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C2C3" w14:textId="77777777" w:rsidR="00B55103" w:rsidRDefault="00B55103" w:rsidP="002508B5">
      <w:pPr>
        <w:jc w:val="right"/>
        <w:rPr>
          <w:rFonts w:ascii="Arial" w:hAnsi="Arial" w:cs="Arial"/>
          <w:b/>
          <w:bCs/>
          <w:sz w:val="36"/>
          <w:szCs w:val="36"/>
        </w:rPr>
      </w:pPr>
      <w:r w:rsidRPr="00B55103">
        <w:rPr>
          <w:rFonts w:ascii="Arial" w:hAnsi="Arial" w:cs="Arial"/>
          <w:b/>
          <w:bCs/>
          <w:sz w:val="36"/>
          <w:szCs w:val="36"/>
        </w:rPr>
        <w:t xml:space="preserve">Original Research Article </w:t>
      </w:r>
    </w:p>
    <w:p w14:paraId="326588EB" w14:textId="77777777" w:rsidR="00B55103" w:rsidRDefault="00B55103" w:rsidP="002508B5">
      <w:pPr>
        <w:jc w:val="right"/>
        <w:rPr>
          <w:rFonts w:ascii="Arial" w:hAnsi="Arial" w:cs="Arial"/>
          <w:b/>
          <w:bCs/>
          <w:sz w:val="36"/>
          <w:szCs w:val="36"/>
        </w:rPr>
      </w:pPr>
    </w:p>
    <w:p w14:paraId="0547F98D" w14:textId="7B451068" w:rsidR="00A258C3" w:rsidRPr="00790ADA" w:rsidRDefault="002508B5" w:rsidP="00B320FA">
      <w:pPr>
        <w:jc w:val="right"/>
        <w:rPr>
          <w:rFonts w:ascii="Arial" w:hAnsi="Arial" w:cs="Arial"/>
          <w:sz w:val="36"/>
        </w:rPr>
      </w:pPr>
      <w:r w:rsidRPr="000E12A5">
        <w:rPr>
          <w:rFonts w:ascii="Arial" w:hAnsi="Arial" w:cs="Arial"/>
          <w:b/>
          <w:bCs/>
          <w:sz w:val="36"/>
          <w:szCs w:val="36"/>
          <w:highlight w:val="yellow"/>
        </w:rPr>
        <w:t>User</w:t>
      </w:r>
      <w:r w:rsidR="00B320FA" w:rsidRPr="000E12A5">
        <w:rPr>
          <w:rFonts w:ascii="Arial" w:hAnsi="Arial" w:cs="Arial"/>
          <w:b/>
          <w:bCs/>
          <w:sz w:val="36"/>
          <w:szCs w:val="36"/>
          <w:highlight w:val="yellow"/>
        </w:rPr>
        <w:t xml:space="preserve"> </w:t>
      </w:r>
      <w:r w:rsidRPr="000E12A5">
        <w:rPr>
          <w:rFonts w:ascii="Arial" w:hAnsi="Arial" w:cs="Arial"/>
          <w:b/>
          <w:bCs/>
          <w:sz w:val="36"/>
          <w:szCs w:val="36"/>
          <w:highlight w:val="yellow"/>
        </w:rPr>
        <w:t>Awareness</w:t>
      </w:r>
      <w:r w:rsidR="00B320FA" w:rsidRPr="000E12A5">
        <w:rPr>
          <w:rFonts w:ascii="Arial" w:hAnsi="Arial" w:cs="Arial"/>
          <w:b/>
          <w:bCs/>
          <w:sz w:val="36"/>
          <w:szCs w:val="36"/>
          <w:highlight w:val="yellow"/>
        </w:rPr>
        <w:t xml:space="preserve"> and</w:t>
      </w:r>
      <w:r w:rsidRPr="000E12A5">
        <w:rPr>
          <w:rFonts w:ascii="Arial" w:hAnsi="Arial" w:cs="Arial"/>
          <w:b/>
          <w:bCs/>
          <w:sz w:val="36"/>
          <w:szCs w:val="36"/>
          <w:highlight w:val="yellow"/>
        </w:rPr>
        <w:t xml:space="preserve"> Understanding</w:t>
      </w:r>
      <w:r w:rsidR="00B320FA" w:rsidRPr="000E12A5">
        <w:rPr>
          <w:rFonts w:ascii="Arial" w:hAnsi="Arial" w:cs="Arial"/>
          <w:b/>
          <w:bCs/>
          <w:sz w:val="36"/>
          <w:szCs w:val="36"/>
          <w:highlight w:val="yellow"/>
        </w:rPr>
        <w:t xml:space="preserve"> of Digital Privacy Policies in Ghana: An Exploratory Study</w:t>
      </w:r>
    </w:p>
    <w:p w14:paraId="74BFAF0F" w14:textId="77777777" w:rsidR="00B55103" w:rsidRDefault="00B55103" w:rsidP="00170270">
      <w:pPr>
        <w:spacing w:line="360" w:lineRule="auto"/>
        <w:jc w:val="right"/>
        <w:rPr>
          <w:rFonts w:ascii="Arial" w:hAnsi="Arial" w:cs="Arial"/>
        </w:rPr>
      </w:pPr>
    </w:p>
    <w:p w14:paraId="6EA1E402" w14:textId="77777777" w:rsidR="00050F33" w:rsidRDefault="00050F33" w:rsidP="00441B6F">
      <w:pPr>
        <w:pStyle w:val="AbstHead"/>
        <w:spacing w:after="0"/>
        <w:jc w:val="both"/>
        <w:rPr>
          <w:rFonts w:ascii="Arial" w:hAnsi="Arial" w:cs="Arial"/>
        </w:rPr>
      </w:pPr>
    </w:p>
    <w:p w14:paraId="2CC0CB22" w14:textId="3AA532F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B3DAF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056255B" w14:textId="77777777" w:rsidTr="001E44FE">
        <w:tc>
          <w:tcPr>
            <w:tcW w:w="9576" w:type="dxa"/>
            <w:shd w:val="clear" w:color="auto" w:fill="F2F2F2"/>
          </w:tcPr>
          <w:p w14:paraId="579BF792" w14:textId="5331CC78" w:rsidR="00F00E3A" w:rsidRPr="00CF7D2C" w:rsidRDefault="00F00E3A" w:rsidP="00F00E3A">
            <w:pPr>
              <w:rPr>
                <w:rFonts w:ascii="Arial" w:hAnsi="Arial" w:cs="Arial"/>
              </w:rPr>
            </w:pPr>
            <w:r w:rsidRPr="00CF7D2C">
              <w:rPr>
                <w:rFonts w:ascii="Arial" w:eastAsia="Calibri" w:hAnsi="Arial" w:cs="Arial"/>
                <w:b/>
                <w:bCs/>
              </w:rPr>
              <w:t>Aims:</w:t>
            </w:r>
            <w:r w:rsidRPr="00CF7D2C">
              <w:rPr>
                <w:rFonts w:ascii="Arial" w:eastAsia="Calibri" w:hAnsi="Arial" w:cs="Arial"/>
              </w:rPr>
              <w:t xml:space="preserve"> </w:t>
            </w:r>
            <w:r w:rsidRPr="00CF7D2C">
              <w:rPr>
                <w:rFonts w:ascii="Arial" w:hAnsi="Arial" w:cs="Arial"/>
              </w:rPr>
              <w:t xml:space="preserve">This study </w:t>
            </w:r>
            <w:r w:rsidRPr="00244328">
              <w:rPr>
                <w:rFonts w:ascii="Arial" w:hAnsi="Arial" w:cs="Arial"/>
                <w:highlight w:val="yellow"/>
              </w:rPr>
              <w:t>explore</w:t>
            </w:r>
            <w:r w:rsidR="00244328" w:rsidRPr="00244328">
              <w:rPr>
                <w:rFonts w:ascii="Arial" w:hAnsi="Arial" w:cs="Arial"/>
                <w:highlight w:val="yellow"/>
              </w:rPr>
              <w:t>d</w:t>
            </w:r>
            <w:r w:rsidRPr="00CF7D2C">
              <w:rPr>
                <w:rFonts w:ascii="Arial" w:hAnsi="Arial" w:cs="Arial"/>
              </w:rPr>
              <w:t xml:space="preserve"> how well users understand data privacy policies and what factors shape their behavio</w:t>
            </w:r>
            <w:r w:rsidR="00D8472C">
              <w:rPr>
                <w:rFonts w:ascii="Arial" w:hAnsi="Arial" w:cs="Arial"/>
              </w:rPr>
              <w:t>u</w:t>
            </w:r>
            <w:r w:rsidRPr="00CF7D2C">
              <w:rPr>
                <w:rFonts w:ascii="Arial" w:hAnsi="Arial" w:cs="Arial"/>
              </w:rPr>
              <w:t>r toward them.</w:t>
            </w:r>
          </w:p>
          <w:p w14:paraId="53529F25" w14:textId="0537F546" w:rsidR="00BA1B01" w:rsidRPr="00CF7D2C" w:rsidRDefault="00BA1B01" w:rsidP="00441B6F">
            <w:pPr>
              <w:pStyle w:val="Body"/>
              <w:spacing w:after="0"/>
              <w:rPr>
                <w:rFonts w:ascii="Arial" w:eastAsia="Calibri" w:hAnsi="Arial" w:cs="Arial"/>
              </w:rPr>
            </w:pPr>
            <w:r w:rsidRPr="00CF7D2C">
              <w:rPr>
                <w:rFonts w:ascii="Arial" w:eastAsia="Calibri" w:hAnsi="Arial" w:cs="Arial"/>
                <w:b/>
              </w:rPr>
              <w:t>Study design:</w:t>
            </w:r>
            <w:r w:rsidRPr="00CF7D2C">
              <w:rPr>
                <w:rFonts w:ascii="Arial" w:eastAsia="Calibri" w:hAnsi="Arial" w:cs="Arial"/>
              </w:rPr>
              <w:t xml:space="preserve">  </w:t>
            </w:r>
            <w:r w:rsidR="00CF7D2C">
              <w:rPr>
                <w:rFonts w:ascii="Arial" w:eastAsia="Calibri" w:hAnsi="Arial" w:cs="Arial"/>
              </w:rPr>
              <w:t xml:space="preserve">A </w:t>
            </w:r>
            <w:r w:rsidR="00F00E3A" w:rsidRPr="00CF7D2C">
              <w:rPr>
                <w:rFonts w:ascii="Arial" w:hAnsi="Arial" w:cs="Arial"/>
              </w:rPr>
              <w:t>quantitative cross-sectional research design</w:t>
            </w:r>
            <w:r w:rsidR="00244328">
              <w:rPr>
                <w:rFonts w:ascii="Arial" w:hAnsi="Arial" w:cs="Arial"/>
              </w:rPr>
              <w:t xml:space="preserve"> </w:t>
            </w:r>
            <w:r w:rsidR="00244328" w:rsidRPr="00244328">
              <w:rPr>
                <w:rFonts w:ascii="Arial" w:hAnsi="Arial" w:cs="Arial"/>
                <w:highlight w:val="yellow"/>
              </w:rPr>
              <w:t>was used in this study.</w:t>
            </w:r>
          </w:p>
          <w:p w14:paraId="23B02BBB" w14:textId="14EEA117" w:rsidR="00BA1B01" w:rsidRPr="00CF7D2C" w:rsidRDefault="00BA1B01" w:rsidP="00441B6F">
            <w:pPr>
              <w:pStyle w:val="Body"/>
              <w:spacing w:after="0"/>
              <w:rPr>
                <w:rFonts w:ascii="Arial" w:eastAsia="Calibri" w:hAnsi="Arial" w:cs="Arial"/>
              </w:rPr>
            </w:pPr>
            <w:r w:rsidRPr="00CF7D2C">
              <w:rPr>
                <w:rFonts w:ascii="Arial" w:eastAsia="Calibri" w:hAnsi="Arial" w:cs="Arial"/>
                <w:b/>
              </w:rPr>
              <w:t>Place and Duration of Study:</w:t>
            </w:r>
            <w:r w:rsidRPr="00CF7D2C">
              <w:rPr>
                <w:rFonts w:ascii="Arial" w:eastAsia="Calibri" w:hAnsi="Arial" w:cs="Arial"/>
              </w:rPr>
              <w:t xml:space="preserve"> </w:t>
            </w:r>
            <w:r w:rsidR="00CF7D2C" w:rsidRPr="00CF7D2C">
              <w:rPr>
                <w:rFonts w:ascii="Arial" w:hAnsi="Arial" w:cs="Arial"/>
              </w:rPr>
              <w:t xml:space="preserve">The research was conducted at the Department of Computer </w:t>
            </w:r>
            <w:r w:rsidR="00244328" w:rsidRPr="00244328">
              <w:rPr>
                <w:rFonts w:ascii="Arial" w:hAnsi="Arial" w:cs="Arial"/>
                <w:highlight w:val="yellow"/>
              </w:rPr>
              <w:t>S</w:t>
            </w:r>
            <w:r w:rsidR="00CF7D2C" w:rsidRPr="00244328">
              <w:rPr>
                <w:rFonts w:ascii="Arial" w:hAnsi="Arial" w:cs="Arial"/>
                <w:highlight w:val="yellow"/>
              </w:rPr>
              <w:t>cience,</w:t>
            </w:r>
            <w:r w:rsidR="00CF7D2C" w:rsidRPr="00CF7D2C">
              <w:rPr>
                <w:rFonts w:ascii="Arial" w:hAnsi="Arial" w:cs="Arial"/>
              </w:rPr>
              <w:t xml:space="preserve"> Garden City University in Kumasi between September 2024 and September 2025.</w:t>
            </w:r>
          </w:p>
          <w:p w14:paraId="0AD5A27C" w14:textId="6C82CC63" w:rsidR="00CF7D2C" w:rsidRPr="00CF7D2C" w:rsidRDefault="00BA1B01" w:rsidP="00441B6F">
            <w:pPr>
              <w:pStyle w:val="Body"/>
              <w:spacing w:after="0"/>
              <w:rPr>
                <w:rFonts w:ascii="Arial" w:eastAsia="Calibri" w:hAnsi="Arial" w:cs="Arial"/>
              </w:rPr>
            </w:pPr>
            <w:r w:rsidRPr="00CF7D2C">
              <w:rPr>
                <w:rFonts w:ascii="Arial" w:eastAsia="Calibri" w:hAnsi="Arial" w:cs="Arial"/>
                <w:b/>
                <w:bCs/>
              </w:rPr>
              <w:t>Methodology:</w:t>
            </w:r>
            <w:r w:rsidRPr="00CF7D2C">
              <w:rPr>
                <w:rFonts w:ascii="Arial" w:eastAsia="Calibri" w:hAnsi="Arial" w:cs="Arial"/>
              </w:rPr>
              <w:t xml:space="preserve"> </w:t>
            </w:r>
            <w:r w:rsidR="00CF7D2C" w:rsidRPr="00CF7D2C">
              <w:rPr>
                <w:rFonts w:ascii="Arial" w:hAnsi="Arial" w:cs="Arial"/>
              </w:rPr>
              <w:t>Data were collected from 172 Computer Science and Inform</w:t>
            </w:r>
            <w:r w:rsidR="00B21BB7">
              <w:rPr>
                <w:rFonts w:ascii="Arial" w:hAnsi="Arial" w:cs="Arial"/>
              </w:rPr>
              <w:t>a</w:t>
            </w:r>
            <w:r w:rsidR="00CF7D2C" w:rsidRPr="00CF7D2C">
              <w:rPr>
                <w:rFonts w:ascii="Arial" w:hAnsi="Arial" w:cs="Arial"/>
              </w:rPr>
              <w:t xml:space="preserve">tion Technology students, using a structured questionnaire administered through Google Forms. The collected data were analyzed using Statistical Package for the Social Sciences (SPSS) software version 25. Descriptive statistics such as frequencies, percentages, means, and standard deviations were calculated. Also, Chi-square tests, correlation, and multiple linear regression analysis </w:t>
            </w:r>
            <w:r w:rsidR="00CF7D2C" w:rsidRPr="003811CF">
              <w:rPr>
                <w:rFonts w:ascii="Arial" w:hAnsi="Arial" w:cs="Arial"/>
                <w:highlight w:val="yellow"/>
              </w:rPr>
              <w:t>were</w:t>
            </w:r>
            <w:r w:rsidR="003811CF" w:rsidRPr="003811CF">
              <w:rPr>
                <w:rFonts w:ascii="Arial" w:hAnsi="Arial" w:cs="Arial"/>
                <w:highlight w:val="yellow"/>
              </w:rPr>
              <w:t xml:space="preserve"> done</w:t>
            </w:r>
            <w:r w:rsidR="00CF7D2C" w:rsidRPr="00CF7D2C">
              <w:rPr>
                <w:rFonts w:ascii="Arial" w:hAnsi="Arial" w:cs="Arial"/>
              </w:rPr>
              <w:t xml:space="preserve"> to explore relationships and determine significant factors influencing user behavio</w:t>
            </w:r>
            <w:r w:rsidR="00532D31">
              <w:rPr>
                <w:rFonts w:ascii="Arial" w:hAnsi="Arial" w:cs="Arial"/>
              </w:rPr>
              <w:t>u</w:t>
            </w:r>
            <w:r w:rsidR="00CF7D2C" w:rsidRPr="00CF7D2C">
              <w:rPr>
                <w:rFonts w:ascii="Arial" w:hAnsi="Arial" w:cs="Arial"/>
              </w:rPr>
              <w:t>rs regarding digital privacy.</w:t>
            </w:r>
          </w:p>
          <w:p w14:paraId="0627F21F" w14:textId="6C6A38DF" w:rsidR="00C172FA" w:rsidRDefault="00BA1B01" w:rsidP="003811CF">
            <w:pPr>
              <w:jc w:val="both"/>
              <w:rPr>
                <w:rFonts w:ascii="Arial" w:hAnsi="Arial" w:cs="Arial"/>
              </w:rPr>
            </w:pPr>
            <w:r w:rsidRPr="00CF7D2C">
              <w:rPr>
                <w:rFonts w:ascii="Arial" w:eastAsia="Calibri" w:hAnsi="Arial" w:cs="Arial"/>
                <w:b/>
                <w:bCs/>
              </w:rPr>
              <w:t>Results:</w:t>
            </w:r>
            <w:r w:rsidRPr="00CF7D2C">
              <w:rPr>
                <w:rFonts w:ascii="Arial" w:eastAsia="Calibri" w:hAnsi="Arial" w:cs="Arial"/>
              </w:rPr>
              <w:t xml:space="preserve"> </w:t>
            </w:r>
            <w:r w:rsidR="00CF7D2C" w:rsidRPr="00CF7D2C">
              <w:rPr>
                <w:rFonts w:ascii="Arial" w:hAnsi="Arial" w:cs="Arial"/>
              </w:rPr>
              <w:t>Overall, students showed a moderate level of awareness and understanding of data privacy policies, with average scores between 3.58 and 4.27 (overall mean = 3.87, SD = 1.026). Most participants recognized that the core purpose of privacy policies is to protect personal information. Additionally, responses to behavio</w:t>
            </w:r>
            <w:r w:rsidR="00532D31">
              <w:rPr>
                <w:rFonts w:ascii="Arial" w:hAnsi="Arial" w:cs="Arial"/>
              </w:rPr>
              <w:t>u</w:t>
            </w:r>
            <w:r w:rsidR="00CF7D2C" w:rsidRPr="00CF7D2C">
              <w:rPr>
                <w:rFonts w:ascii="Arial" w:hAnsi="Arial" w:cs="Arial"/>
              </w:rPr>
              <w:t>ral factors showed mean scores ranging from 3.68 to 4.52 (overall mean = 4.05, SD = 1.167), pointing to a general agreement that these factors play a role in shaping user behavio</w:t>
            </w:r>
            <w:r w:rsidR="00532D31">
              <w:rPr>
                <w:rFonts w:ascii="Arial" w:hAnsi="Arial" w:cs="Arial"/>
              </w:rPr>
              <w:t>u</w:t>
            </w:r>
            <w:r w:rsidR="00CF7D2C" w:rsidRPr="00CF7D2C">
              <w:rPr>
                <w:rFonts w:ascii="Arial" w:hAnsi="Arial" w:cs="Arial"/>
              </w:rPr>
              <w:t>r</w:t>
            </w:r>
            <w:r w:rsidR="003811CF">
              <w:rPr>
                <w:rFonts w:ascii="Arial" w:hAnsi="Arial" w:cs="Arial"/>
              </w:rPr>
              <w:t>.</w:t>
            </w:r>
            <w:r w:rsidR="00C172FA">
              <w:rPr>
                <w:rFonts w:ascii="Arial" w:hAnsi="Arial" w:cs="Arial"/>
              </w:rPr>
              <w:t xml:space="preserve"> </w:t>
            </w:r>
            <w:r w:rsidR="00C172FA" w:rsidRPr="00E91BE7">
              <w:rPr>
                <w:rFonts w:ascii="Arial" w:hAnsi="Arial" w:cs="Arial"/>
                <w:highlight w:val="yellow"/>
              </w:rPr>
              <w:t>The regression model’s Adjusted R Square value of 0.105 indicate</w:t>
            </w:r>
            <w:r w:rsidR="00E91BE7">
              <w:rPr>
                <w:rFonts w:ascii="Arial" w:hAnsi="Arial" w:cs="Arial"/>
                <w:highlight w:val="yellow"/>
              </w:rPr>
              <w:t>d</w:t>
            </w:r>
            <w:r w:rsidR="00C172FA" w:rsidRPr="00E91BE7">
              <w:rPr>
                <w:rFonts w:ascii="Arial" w:hAnsi="Arial" w:cs="Arial"/>
                <w:highlight w:val="yellow"/>
              </w:rPr>
              <w:t xml:space="preserve"> that 10.5% of the variance in user behaviour </w:t>
            </w:r>
            <w:r w:rsidR="00E91BE7">
              <w:rPr>
                <w:rFonts w:ascii="Arial" w:hAnsi="Arial" w:cs="Arial"/>
                <w:highlight w:val="yellow"/>
              </w:rPr>
              <w:t>wa</w:t>
            </w:r>
            <w:r w:rsidR="00C172FA" w:rsidRPr="00E91BE7">
              <w:rPr>
                <w:rFonts w:ascii="Arial" w:hAnsi="Arial" w:cs="Arial"/>
                <w:highlight w:val="yellow"/>
              </w:rPr>
              <w:t>s explained by the independent variables, indicating other behavioural factors were excluded in the model.</w:t>
            </w:r>
          </w:p>
          <w:p w14:paraId="4140DC74" w14:textId="21077060" w:rsidR="00505F06" w:rsidRPr="00CF7D2C" w:rsidRDefault="00BA1B01" w:rsidP="003811CF">
            <w:pPr>
              <w:jc w:val="both"/>
              <w:rPr>
                <w:rFonts w:ascii="Arial" w:hAnsi="Arial" w:cs="Arial"/>
              </w:rPr>
            </w:pPr>
            <w:r w:rsidRPr="00CF7D2C">
              <w:rPr>
                <w:rFonts w:ascii="Arial" w:eastAsia="Calibri" w:hAnsi="Arial" w:cs="Arial"/>
                <w:b/>
                <w:bCs/>
              </w:rPr>
              <w:t>Conclusion:</w:t>
            </w:r>
            <w:r w:rsidRPr="00CF7D2C">
              <w:rPr>
                <w:rFonts w:ascii="Arial" w:eastAsia="Calibri" w:hAnsi="Arial" w:cs="Arial"/>
              </w:rPr>
              <w:t xml:space="preserve"> </w:t>
            </w:r>
            <w:r w:rsidR="00CF7D2C" w:rsidRPr="00CF7D2C">
              <w:rPr>
                <w:rFonts w:ascii="Arial" w:hAnsi="Arial" w:cs="Arial"/>
              </w:rPr>
              <w:t xml:space="preserve">The findings suggest that students are less likely to read lengthy privacy policies, implying a need for simpler and more accessible versions. Awareness campaigns could also help users understand why privacy policies matter. To gain a fuller picture of how </w:t>
            </w:r>
            <w:r w:rsidR="00CF7D2C" w:rsidRPr="002040BD">
              <w:rPr>
                <w:rFonts w:ascii="Arial" w:hAnsi="Arial" w:cs="Arial"/>
                <w:highlight w:val="yellow"/>
              </w:rPr>
              <w:t>behavio</w:t>
            </w:r>
            <w:r w:rsidR="00532D31">
              <w:rPr>
                <w:rFonts w:ascii="Arial" w:hAnsi="Arial" w:cs="Arial"/>
                <w:highlight w:val="yellow"/>
              </w:rPr>
              <w:t>u</w:t>
            </w:r>
            <w:r w:rsidR="00CF7D2C" w:rsidRPr="002040BD">
              <w:rPr>
                <w:rFonts w:ascii="Arial" w:hAnsi="Arial" w:cs="Arial"/>
                <w:highlight w:val="yellow"/>
              </w:rPr>
              <w:t>r evolves, future studies</w:t>
            </w:r>
            <w:r w:rsidR="00CF7D2C" w:rsidRPr="00CF7D2C">
              <w:rPr>
                <w:rFonts w:ascii="Arial" w:hAnsi="Arial" w:cs="Arial"/>
              </w:rPr>
              <w:t xml:space="preserve"> should consider a longitudinal approach.</w:t>
            </w:r>
          </w:p>
        </w:tc>
      </w:tr>
    </w:tbl>
    <w:p w14:paraId="33E3FE62" w14:textId="77777777" w:rsidR="00636EB2" w:rsidRDefault="00636EB2" w:rsidP="00441B6F">
      <w:pPr>
        <w:pStyle w:val="Body"/>
        <w:spacing w:after="0"/>
        <w:rPr>
          <w:rFonts w:ascii="Arial" w:hAnsi="Arial" w:cs="Arial"/>
          <w:i/>
        </w:rPr>
      </w:pPr>
    </w:p>
    <w:p w14:paraId="5D198898" w14:textId="46553C5D" w:rsidR="0024282C" w:rsidRPr="002D19CF" w:rsidRDefault="00A24E7E" w:rsidP="002D19CF">
      <w:pPr>
        <w:jc w:val="both"/>
        <w:rPr>
          <w:rFonts w:ascii="Arial" w:hAnsi="Arial" w:cs="Arial"/>
          <w:i/>
        </w:rPr>
      </w:pPr>
      <w:r w:rsidRPr="00374DEE">
        <w:rPr>
          <w:rFonts w:ascii="Arial" w:hAnsi="Arial" w:cs="Arial"/>
          <w:i/>
        </w:rPr>
        <w:t>Keywords:</w:t>
      </w:r>
      <w:r w:rsidR="00374DEE">
        <w:rPr>
          <w:rFonts w:ascii="Arial" w:hAnsi="Arial" w:cs="Arial"/>
          <w:i/>
        </w:rPr>
        <w:t xml:space="preserve"> </w:t>
      </w:r>
      <w:r w:rsidR="00374DEE" w:rsidRPr="00374DEE">
        <w:rPr>
          <w:rFonts w:ascii="Arial" w:hAnsi="Arial" w:cs="Arial"/>
          <w:i/>
        </w:rPr>
        <w:t>Privacy, Data Protection, Policy, Data Security, User Behavio</w:t>
      </w:r>
      <w:r w:rsidR="009F7904">
        <w:rPr>
          <w:rFonts w:ascii="Arial" w:hAnsi="Arial" w:cs="Arial"/>
          <w:i/>
        </w:rPr>
        <w:t>u</w:t>
      </w:r>
      <w:r w:rsidR="00374DEE" w:rsidRPr="00374DEE">
        <w:rPr>
          <w:rFonts w:ascii="Arial" w:hAnsi="Arial" w:cs="Arial"/>
          <w:i/>
        </w:rPr>
        <w:t>r</w:t>
      </w:r>
    </w:p>
    <w:p w14:paraId="379A0683" w14:textId="77777777" w:rsidR="00505F06" w:rsidRPr="00A24E7E" w:rsidRDefault="00505F06" w:rsidP="00441B6F">
      <w:pPr>
        <w:pStyle w:val="Body"/>
        <w:spacing w:after="0"/>
        <w:rPr>
          <w:rFonts w:ascii="Arial" w:hAnsi="Arial" w:cs="Arial"/>
          <w:i/>
        </w:rPr>
      </w:pPr>
    </w:p>
    <w:p w14:paraId="2AF89A85" w14:textId="54F68361" w:rsidR="007F7B32" w:rsidRDefault="00902823" w:rsidP="00592C1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6B17EE" w14:textId="12E2E8C2" w:rsidR="00374DEE" w:rsidRPr="00374DEE" w:rsidRDefault="00374DEE" w:rsidP="00592C12">
      <w:pPr>
        <w:jc w:val="both"/>
        <w:rPr>
          <w:rFonts w:ascii="Arial" w:hAnsi="Arial" w:cs="Arial"/>
        </w:rPr>
      </w:pPr>
      <w:r w:rsidRPr="00374DEE">
        <w:rPr>
          <w:rFonts w:ascii="Arial" w:hAnsi="Arial" w:cs="Arial"/>
        </w:rPr>
        <w:t>In an era marked by the pervasive integration of digital technologies into daily life, the volume of personal data generated and shared online is growing. This surge in data exchange has raised concerns about digital privacy, emerging as a critical discourse globally (Tchao et al., 2017). Digital privacy, as defined by UNESCO, refers to the right to the protection of personal information shared and stored online, ensuring that information is not misused or accessed without consent (Toby et al., 2012). Ghanaians engage with digital platforms for a range of purposes</w:t>
      </w:r>
      <w:r w:rsidR="005D683F">
        <w:rPr>
          <w:rFonts w:ascii="Arial" w:hAnsi="Arial" w:cs="Arial"/>
        </w:rPr>
        <w:t>,</w:t>
      </w:r>
      <w:r w:rsidRPr="00374DEE">
        <w:rPr>
          <w:rFonts w:ascii="Arial" w:hAnsi="Arial" w:cs="Arial"/>
        </w:rPr>
        <w:t xml:space="preserve"> including banking, commerce, work and employment, transportation, entertainment, community life, family life, human relationships, education, freedom, democracy, and many more. As Ghana embraces the digital age, characterised by increased internet penetration and widespread adoption of digital platforms, the intricate landscape of digital privacy becomes an imperative subject for investigation (Quarshie </w:t>
      </w:r>
      <w:r w:rsidR="00556357">
        <w:rPr>
          <w:rFonts w:ascii="Arial" w:hAnsi="Arial" w:cs="Arial"/>
        </w:rPr>
        <w:t>&amp;</w:t>
      </w:r>
      <w:r w:rsidRPr="00374DEE">
        <w:rPr>
          <w:rFonts w:ascii="Arial" w:hAnsi="Arial" w:cs="Arial"/>
        </w:rPr>
        <w:t xml:space="preserve"> Ami-Narh, 2012).  </w:t>
      </w:r>
    </w:p>
    <w:p w14:paraId="0281B93E" w14:textId="62F3974C" w:rsidR="00374DEE" w:rsidRPr="00374DEE" w:rsidRDefault="00374DEE" w:rsidP="00592C12">
      <w:pPr>
        <w:spacing w:after="160"/>
        <w:jc w:val="both"/>
        <w:rPr>
          <w:rFonts w:ascii="Arial" w:hAnsi="Arial" w:cs="Arial"/>
        </w:rPr>
      </w:pPr>
      <w:r w:rsidRPr="00374DEE">
        <w:rPr>
          <w:rFonts w:ascii="Arial" w:hAnsi="Arial" w:cs="Arial"/>
        </w:rPr>
        <w:t>Prior research on digital privacy primarily examined nations with high internet adoption rates, like the US, the EU, and some regions of Asia. Research on user behavio</w:t>
      </w:r>
      <w:r w:rsidR="009F7904">
        <w:rPr>
          <w:rFonts w:ascii="Arial" w:hAnsi="Arial" w:cs="Arial"/>
        </w:rPr>
        <w:t>u</w:t>
      </w:r>
      <w:r w:rsidRPr="00374DEE">
        <w:rPr>
          <w:rFonts w:ascii="Arial" w:hAnsi="Arial" w:cs="Arial"/>
        </w:rPr>
        <w:t>r and privacy policies, such as by Rainie et al. (2014), has demonstrated that while most users are aware of privacy concerns, they cannot read or comprehend policies because of their length and complexity.</w:t>
      </w:r>
      <w:r w:rsidRPr="00374DEE">
        <w:rPr>
          <w:rFonts w:ascii="Arial" w:hAnsi="Arial" w:cs="Arial"/>
          <w:sz w:val="22"/>
          <w:szCs w:val="22"/>
        </w:rPr>
        <w:t xml:space="preserve"> </w:t>
      </w:r>
      <w:r w:rsidRPr="00374DEE">
        <w:rPr>
          <w:rFonts w:ascii="Arial" w:hAnsi="Arial" w:cs="Arial"/>
        </w:rPr>
        <w:t>McDonald</w:t>
      </w:r>
      <w:r w:rsidR="00556357">
        <w:rPr>
          <w:rFonts w:ascii="Arial" w:hAnsi="Arial" w:cs="Arial"/>
        </w:rPr>
        <w:t xml:space="preserve"> &amp;</w:t>
      </w:r>
      <w:r w:rsidRPr="00374DEE">
        <w:rPr>
          <w:rFonts w:ascii="Arial" w:hAnsi="Arial" w:cs="Arial"/>
        </w:rPr>
        <w:t xml:space="preserve">Cranor (2008) and several earlier studies on digital privacy have shown that although most users are aware of privacy issues, they may not always be able to read or understand privacy regulations because of their length and complexity. According to studies, it would take an average user hundreds of hours a year to read every privacy policy they come across (McDonald &amp; Cranor, 2008). This results in what Acquisti et al. (2015) refer to as the "privacy paradox," in which users value privacy but frequently interact with policies only superficially. Furthermore, Bartsch </w:t>
      </w:r>
      <w:r w:rsidR="00556357">
        <w:rPr>
          <w:rFonts w:ascii="Arial" w:hAnsi="Arial" w:cs="Arial"/>
        </w:rPr>
        <w:t>&amp;</w:t>
      </w:r>
      <w:r w:rsidRPr="00374DEE">
        <w:rPr>
          <w:rFonts w:ascii="Arial" w:hAnsi="Arial" w:cs="Arial"/>
        </w:rPr>
        <w:t xml:space="preserve"> Dienlin (2016) point out that using technical and legal language makes comprehension even more difficult. Research by Tchao et al. (2017) and Alhassan (2020) indicates that although digital use is growing in Ghana, users' capacity to interact meaningfully with privacy regulations may be further hampered by digital literacy gaps. Acquisti et al. (2015) also found that, despite users' concerns, their actions frequently do not match their concerns because of ignorance </w:t>
      </w:r>
      <w:r w:rsidRPr="00374DEE">
        <w:rPr>
          <w:rFonts w:ascii="Arial" w:hAnsi="Arial" w:cs="Arial"/>
        </w:rPr>
        <w:lastRenderedPageBreak/>
        <w:t>or inattention. The Ghanaian context, where internet usage is rising but digital literacy may not be as high, has attracted less academic attention. Other studies have primarily concentrated on technological advancements and regulatory frameworks in developed countries, neglecting the challenges developing nations like Ghana face (</w:t>
      </w:r>
      <w:r w:rsidRPr="00374DEE">
        <w:rPr>
          <w:rFonts w:ascii="Arial" w:hAnsi="Arial" w:cs="Arial"/>
          <w:color w:val="222222"/>
          <w:shd w:val="clear" w:color="auto" w:fill="FFFFFF"/>
        </w:rPr>
        <w:t>Díaz et al.</w:t>
      </w:r>
      <w:r w:rsidRPr="00374DEE">
        <w:rPr>
          <w:rFonts w:ascii="Arial" w:hAnsi="Arial" w:cs="Arial"/>
        </w:rPr>
        <w:t xml:space="preserve">, 2022; </w:t>
      </w:r>
      <w:r w:rsidRPr="00374DEE">
        <w:rPr>
          <w:rFonts w:ascii="Arial" w:hAnsi="Arial" w:cs="Arial"/>
          <w:color w:val="222222"/>
          <w:shd w:val="clear" w:color="auto" w:fill="FFFFFF"/>
        </w:rPr>
        <w:t>Isıkay, 2021; Pousttchi et al., 2019</w:t>
      </w:r>
      <w:r w:rsidRPr="00374DEE">
        <w:rPr>
          <w:rFonts w:ascii="Arial" w:hAnsi="Arial" w:cs="Arial"/>
        </w:rPr>
        <w:t>). The rapid digital transformation has not been matched with an equally robust framework for data protection and user education, leading to potential vulnerabilities and misuse of personal information (</w:t>
      </w:r>
      <w:r w:rsidRPr="00374DEE">
        <w:rPr>
          <w:rFonts w:ascii="Arial" w:hAnsi="Arial" w:cs="Arial"/>
          <w:color w:val="222222"/>
          <w:shd w:val="clear" w:color="auto" w:fill="FFFFFF"/>
        </w:rPr>
        <w:t xml:space="preserve">Romansky </w:t>
      </w:r>
      <w:r w:rsidR="00556357">
        <w:rPr>
          <w:rFonts w:ascii="Arial" w:hAnsi="Arial" w:cs="Arial"/>
          <w:color w:val="222222"/>
          <w:shd w:val="clear" w:color="auto" w:fill="FFFFFF"/>
        </w:rPr>
        <w:t xml:space="preserve">&amp; </w:t>
      </w:r>
      <w:r w:rsidRPr="00374DEE">
        <w:rPr>
          <w:rFonts w:ascii="Arial" w:hAnsi="Arial" w:cs="Arial"/>
          <w:color w:val="222222"/>
          <w:shd w:val="clear" w:color="auto" w:fill="FFFFFF"/>
        </w:rPr>
        <w:t>Noninska, 2020).</w:t>
      </w:r>
    </w:p>
    <w:p w14:paraId="45AC2058" w14:textId="0E2CBA6E" w:rsidR="00374DEE" w:rsidRPr="00374DEE" w:rsidRDefault="00374DEE" w:rsidP="00592C12">
      <w:pPr>
        <w:jc w:val="both"/>
        <w:rPr>
          <w:rFonts w:ascii="Arial" w:hAnsi="Arial" w:cs="Arial"/>
        </w:rPr>
      </w:pPr>
      <w:r w:rsidRPr="00374DEE">
        <w:rPr>
          <w:rFonts w:ascii="Arial" w:hAnsi="Arial" w:cs="Arial"/>
        </w:rPr>
        <w:t xml:space="preserve">The significance of this investigation lies in its potential to unearth the prevailing attitudes, awareness, and gaps in understanding digital privacy among Ghanaians. Awareness in this context is the extent to which users are informed about the significance and existence of privacy policies, while understanding refers to their comprehension of the details and implications of these policies (Brunotte et al., 2020). Insufficient awareness and understanding may result in inadequate protection of private data, exposing users to fraudulent activities, identity theft, and unauthorized data exploitation (Pötzsch, 2009). It is critical to understand user </w:t>
      </w:r>
      <w:r w:rsidR="009F7904">
        <w:rPr>
          <w:rFonts w:ascii="Arial" w:hAnsi="Arial" w:cs="Arial"/>
        </w:rPr>
        <w:t>behaviour</w:t>
      </w:r>
      <w:r w:rsidRPr="00374DEE">
        <w:rPr>
          <w:rFonts w:ascii="Arial" w:hAnsi="Arial" w:cs="Arial"/>
        </w:rPr>
        <w:t xml:space="preserve"> concerning digital privacy for various reasons. It helps in recognizing the patterns and habits users adopt to protect their data (Ullah et al., 2022). Furthermore, it offers insights into the efficiency of current data privacy policies and underscores areas requiring </w:t>
      </w:r>
      <w:r w:rsidRPr="00600B52">
        <w:rPr>
          <w:rFonts w:ascii="Arial" w:hAnsi="Arial" w:cs="Arial"/>
          <w:highlight w:val="yellow"/>
        </w:rPr>
        <w:t>improvement</w:t>
      </w:r>
      <w:r w:rsidRPr="00374DEE">
        <w:rPr>
          <w:rFonts w:ascii="Arial" w:hAnsi="Arial" w:cs="Arial"/>
        </w:rPr>
        <w:t xml:space="preserve"> (Cottrill </w:t>
      </w:r>
      <w:r w:rsidR="00556357">
        <w:rPr>
          <w:rFonts w:ascii="Arial" w:hAnsi="Arial" w:cs="Arial"/>
        </w:rPr>
        <w:t>&amp;</w:t>
      </w:r>
      <w:r w:rsidRPr="00374DEE">
        <w:rPr>
          <w:rFonts w:ascii="Arial" w:hAnsi="Arial" w:cs="Arial"/>
        </w:rPr>
        <w:t xml:space="preserve"> Thakuriah, 2011). Factors influencing user </w:t>
      </w:r>
      <w:r w:rsidR="009F7904">
        <w:rPr>
          <w:rFonts w:ascii="Arial" w:hAnsi="Arial" w:cs="Arial"/>
        </w:rPr>
        <w:t>behaviour</w:t>
      </w:r>
      <w:r w:rsidRPr="00374DEE">
        <w:rPr>
          <w:rFonts w:ascii="Arial" w:hAnsi="Arial" w:cs="Arial"/>
        </w:rPr>
        <w:t xml:space="preserve"> can vary from personal attitudes and beliefs to external influencers like peer </w:t>
      </w:r>
      <w:r w:rsidR="009F7904">
        <w:rPr>
          <w:rFonts w:ascii="Arial" w:hAnsi="Arial" w:cs="Arial"/>
        </w:rPr>
        <w:t>behaviour</w:t>
      </w:r>
      <w:r w:rsidRPr="00374DEE">
        <w:rPr>
          <w:rFonts w:ascii="Arial" w:hAnsi="Arial" w:cs="Arial"/>
        </w:rPr>
        <w:t xml:space="preserve"> and the perceived reliability of digital platforms (Youn, 2009). For instance, users who prioritize their privacy are likely to adopt stricter data protection practices (Baruh et al., 2017). The </w:t>
      </w:r>
      <w:r w:rsidR="009F7904">
        <w:rPr>
          <w:rFonts w:ascii="Arial" w:hAnsi="Arial" w:cs="Arial"/>
        </w:rPr>
        <w:t>behaviour</w:t>
      </w:r>
      <w:r w:rsidRPr="00374DEE">
        <w:rPr>
          <w:rFonts w:ascii="Arial" w:hAnsi="Arial" w:cs="Arial"/>
        </w:rPr>
        <w:t xml:space="preserve"> of users and the protection of privacy are significantly influenced by the regulatory environment. Ghana has taken steps to establish legal frameworks to safeguard digital privacy, which include the Data Protection Act of 2012 (Act 843). However, challenges regarding the enforcement and public awareness of these regulations still need to be addressed (Daigle, 2021).</w:t>
      </w:r>
      <w:r w:rsidR="00600B52">
        <w:rPr>
          <w:rFonts w:ascii="Arial" w:hAnsi="Arial" w:cs="Arial"/>
        </w:rPr>
        <w:t xml:space="preserve"> </w:t>
      </w:r>
      <w:r w:rsidR="00600B52" w:rsidRPr="00600B52">
        <w:rPr>
          <w:rFonts w:ascii="Arial" w:hAnsi="Arial" w:cs="Arial"/>
          <w:highlight w:val="yellow"/>
        </w:rPr>
        <w:t>A</w:t>
      </w:r>
      <w:r w:rsidRPr="00600B52">
        <w:rPr>
          <w:rFonts w:ascii="Arial" w:hAnsi="Arial" w:cs="Arial"/>
          <w:highlight w:val="yellow"/>
        </w:rPr>
        <w:t xml:space="preserve"> successful implementation of these policies requires not only strong</w:t>
      </w:r>
      <w:r w:rsidRPr="00374DEE">
        <w:rPr>
          <w:rFonts w:ascii="Arial" w:hAnsi="Arial" w:cs="Arial"/>
        </w:rPr>
        <w:t xml:space="preserve"> legal mechanisms but also active participation and compliance from the public (Babikian, 2023).</w:t>
      </w:r>
    </w:p>
    <w:p w14:paraId="27FC88B5" w14:textId="726D381F" w:rsidR="009B338E" w:rsidRDefault="00374DEE" w:rsidP="00592C12">
      <w:pPr>
        <w:jc w:val="both"/>
        <w:rPr>
          <w:rFonts w:ascii="Arial" w:hAnsi="Arial" w:cs="Arial"/>
        </w:rPr>
      </w:pPr>
      <w:r w:rsidRPr="00374DEE">
        <w:rPr>
          <w:rFonts w:ascii="Arial" w:hAnsi="Arial" w:cs="Arial"/>
        </w:rPr>
        <w:t xml:space="preserve">The primary research questions in this study were: What factors influence Ghanaian users' </w:t>
      </w:r>
      <w:r w:rsidR="009F7904">
        <w:rPr>
          <w:rFonts w:ascii="Arial" w:hAnsi="Arial" w:cs="Arial"/>
        </w:rPr>
        <w:t>behaviour</w:t>
      </w:r>
      <w:r w:rsidRPr="00374DEE">
        <w:rPr>
          <w:rFonts w:ascii="Arial" w:hAnsi="Arial" w:cs="Arial"/>
        </w:rPr>
        <w:t xml:space="preserve"> toward reading, comprehending, and adhering to data privacy policies, and how aware are they of these policies? What elements (such as document length, educational attainment, and institutional trust) affect consumers' willingness to interact with these policies? This inquiry aims to assess the awareness and understanding of data privacy policies by users and determine the factors that influence user </w:t>
      </w:r>
      <w:r w:rsidR="009F7904">
        <w:rPr>
          <w:rFonts w:ascii="Arial" w:hAnsi="Arial" w:cs="Arial"/>
        </w:rPr>
        <w:t>behaviour</w:t>
      </w:r>
      <w:r w:rsidRPr="00374DEE">
        <w:rPr>
          <w:rFonts w:ascii="Arial" w:hAnsi="Arial" w:cs="Arial"/>
        </w:rPr>
        <w:t>. This research aims to contribute to the development of more effective strategies and policies that bolster digital privacy safeguards and user awareness in Ghana. The results will hold significant importance for policymakers, digital platform providers, and the public in promoting a more secure digital landscape.</w:t>
      </w:r>
    </w:p>
    <w:p w14:paraId="4A1D0233" w14:textId="77777777" w:rsidR="009B338E" w:rsidRDefault="009B338E" w:rsidP="00592C12">
      <w:pPr>
        <w:jc w:val="both"/>
        <w:rPr>
          <w:rFonts w:ascii="Arial" w:hAnsi="Arial" w:cs="Arial"/>
        </w:rPr>
      </w:pPr>
    </w:p>
    <w:p w14:paraId="4090C884" w14:textId="77777777" w:rsidR="009B338E" w:rsidRDefault="009B338E" w:rsidP="00592C12">
      <w:pPr>
        <w:jc w:val="both"/>
        <w:rPr>
          <w:rFonts w:ascii="Arial" w:hAnsi="Arial" w:cs="Arial"/>
        </w:rPr>
      </w:pPr>
    </w:p>
    <w:p w14:paraId="52C161E4" w14:textId="37B921C0" w:rsidR="009B338E" w:rsidRPr="002D19CF" w:rsidRDefault="009B338E" w:rsidP="00592C12">
      <w:pPr>
        <w:jc w:val="both"/>
        <w:rPr>
          <w:rFonts w:ascii="Arial" w:hAnsi="Arial" w:cs="Arial"/>
          <w:b/>
          <w:bCs/>
          <w:i/>
          <w:iCs/>
          <w:sz w:val="22"/>
          <w:szCs w:val="22"/>
        </w:rPr>
      </w:pPr>
      <w:r w:rsidRPr="002D19CF">
        <w:rPr>
          <w:rFonts w:ascii="Arial" w:hAnsi="Arial" w:cs="Arial"/>
          <w:b/>
          <w:bCs/>
          <w:i/>
          <w:iCs/>
          <w:sz w:val="22"/>
          <w:szCs w:val="22"/>
        </w:rPr>
        <w:t xml:space="preserve">1.1 Literature Review </w:t>
      </w:r>
    </w:p>
    <w:p w14:paraId="1C17A7F2" w14:textId="32D766E4" w:rsidR="009B338E" w:rsidRPr="009B338E" w:rsidRDefault="009B338E" w:rsidP="00592C12">
      <w:pPr>
        <w:jc w:val="both"/>
        <w:rPr>
          <w:rFonts w:ascii="Arial" w:hAnsi="Arial" w:cs="Arial"/>
          <w:b/>
          <w:bCs/>
        </w:rPr>
      </w:pPr>
      <w:r w:rsidRPr="009B338E">
        <w:rPr>
          <w:rFonts w:ascii="Arial" w:hAnsi="Arial" w:cs="Arial"/>
        </w:rPr>
        <w:t xml:space="preserve">In privacy studies, user awareness is typically defined in several dimensions, including awareness of the existence of privacy policies, knowledge about what these policies protect, and awareness of data collection practices (Milne </w:t>
      </w:r>
      <w:r w:rsidR="00556357">
        <w:rPr>
          <w:rFonts w:ascii="Arial" w:hAnsi="Arial" w:cs="Arial"/>
        </w:rPr>
        <w:t>&amp;</w:t>
      </w:r>
      <w:r w:rsidRPr="009B338E">
        <w:rPr>
          <w:rFonts w:ascii="Arial" w:hAnsi="Arial" w:cs="Arial"/>
        </w:rPr>
        <w:t xml:space="preserve"> Culnan, 2004). For instance, Pavlou (2011) identifies awareness as a key precursor to </w:t>
      </w:r>
      <w:r w:rsidR="009F7904">
        <w:rPr>
          <w:rFonts w:ascii="Arial" w:hAnsi="Arial" w:cs="Arial"/>
        </w:rPr>
        <w:t>behaviour</w:t>
      </w:r>
      <w:r w:rsidRPr="009B338E">
        <w:rPr>
          <w:rFonts w:ascii="Arial" w:hAnsi="Arial" w:cs="Arial"/>
        </w:rPr>
        <w:t xml:space="preserve"> change regarding privacy practices. Understanding of policies refers to the degree to which users comprehend the content of privacy policies. It involves: whether users understand the language and terms used in the policy; whether users can infer how their data will be used based on the policy; and the clarity of communication within the privacy policy (Bartsch </w:t>
      </w:r>
      <w:r w:rsidR="00556357">
        <w:rPr>
          <w:rFonts w:ascii="Arial" w:hAnsi="Arial" w:cs="Arial"/>
        </w:rPr>
        <w:t>&amp;</w:t>
      </w:r>
      <w:r w:rsidRPr="009B338E">
        <w:rPr>
          <w:rFonts w:ascii="Arial" w:hAnsi="Arial" w:cs="Arial"/>
        </w:rPr>
        <w:t xml:space="preserve"> Dienlin, 2016). Bartsch </w:t>
      </w:r>
      <w:r w:rsidR="00556357">
        <w:rPr>
          <w:rFonts w:ascii="Arial" w:hAnsi="Arial" w:cs="Arial"/>
        </w:rPr>
        <w:t>&amp;</w:t>
      </w:r>
      <w:r w:rsidRPr="009B338E">
        <w:rPr>
          <w:rFonts w:ascii="Arial" w:hAnsi="Arial" w:cs="Arial"/>
        </w:rPr>
        <w:t xml:space="preserve"> Dienlin (2016) have argued that understanding is often a challenge due to the technical jargon used in privacy policies. User </w:t>
      </w:r>
      <w:r w:rsidR="009F7904">
        <w:rPr>
          <w:rFonts w:ascii="Arial" w:hAnsi="Arial" w:cs="Arial"/>
        </w:rPr>
        <w:t>behaviour</w:t>
      </w:r>
      <w:r w:rsidRPr="009B338E">
        <w:rPr>
          <w:rFonts w:ascii="Arial" w:hAnsi="Arial" w:cs="Arial"/>
        </w:rPr>
        <w:t xml:space="preserve"> is that in relation to data privacy policies, such as whether users take the time to read or skim privacy policies. Studies show that document length negatively impacts reading </w:t>
      </w:r>
      <w:r w:rsidR="009F7904">
        <w:rPr>
          <w:rFonts w:ascii="Arial" w:hAnsi="Arial" w:cs="Arial"/>
        </w:rPr>
        <w:t>behaviour</w:t>
      </w:r>
      <w:r w:rsidRPr="009B338E">
        <w:rPr>
          <w:rFonts w:ascii="Arial" w:hAnsi="Arial" w:cs="Arial"/>
        </w:rPr>
        <w:t xml:space="preserve"> (Milne</w:t>
      </w:r>
      <w:r w:rsidR="00556357">
        <w:rPr>
          <w:rFonts w:ascii="Arial" w:hAnsi="Arial" w:cs="Arial"/>
        </w:rPr>
        <w:t xml:space="preserve"> &amp;</w:t>
      </w:r>
      <w:r w:rsidRPr="009B338E">
        <w:rPr>
          <w:rFonts w:ascii="Arial" w:hAnsi="Arial" w:cs="Arial"/>
        </w:rPr>
        <w:t xml:space="preserve"> Culnan, 2004); how awareness and understanding of privacy policies influence decisions to share data or use specific platforms (Culnan </w:t>
      </w:r>
      <w:r w:rsidR="00556357">
        <w:rPr>
          <w:rFonts w:ascii="Arial" w:hAnsi="Arial" w:cs="Arial"/>
        </w:rPr>
        <w:t>&amp;</w:t>
      </w:r>
      <w:r w:rsidRPr="009B338E">
        <w:rPr>
          <w:rFonts w:ascii="Arial" w:hAnsi="Arial" w:cs="Arial"/>
        </w:rPr>
        <w:t xml:space="preserve"> Bies, 2003); and users' decisions to share personal information based on their understanding of privacy policies (Jai </w:t>
      </w:r>
      <w:r w:rsidR="00556357">
        <w:rPr>
          <w:rFonts w:ascii="Arial" w:hAnsi="Arial" w:cs="Arial"/>
        </w:rPr>
        <w:t>&amp;</w:t>
      </w:r>
      <w:r w:rsidRPr="009B338E">
        <w:rPr>
          <w:rFonts w:ascii="Arial" w:hAnsi="Arial" w:cs="Arial"/>
        </w:rPr>
        <w:t xml:space="preserve"> King, 2016).</w:t>
      </w:r>
    </w:p>
    <w:p w14:paraId="1A793C9D" w14:textId="733BFA9D" w:rsidR="009B338E" w:rsidRDefault="009B338E" w:rsidP="00592C12">
      <w:pPr>
        <w:jc w:val="both"/>
        <w:rPr>
          <w:rFonts w:ascii="Arial" w:hAnsi="Arial" w:cs="Arial"/>
        </w:rPr>
      </w:pPr>
      <w:r w:rsidRPr="009B338E">
        <w:rPr>
          <w:rFonts w:ascii="Arial" w:hAnsi="Arial" w:cs="Arial"/>
        </w:rPr>
        <w:t xml:space="preserve">Because privacy rules are so lengthy and difficult to understand, most individuals do not read them, according to studies like McDonald </w:t>
      </w:r>
      <w:r w:rsidR="00556357">
        <w:rPr>
          <w:rFonts w:ascii="Arial" w:hAnsi="Arial" w:cs="Arial"/>
        </w:rPr>
        <w:t>&amp;</w:t>
      </w:r>
      <w:r w:rsidRPr="009B338E">
        <w:rPr>
          <w:rFonts w:ascii="Arial" w:hAnsi="Arial" w:cs="Arial"/>
        </w:rPr>
        <w:t xml:space="preserve"> Cranor (2008). Also, Böhme </w:t>
      </w:r>
      <w:r w:rsidR="00556357">
        <w:rPr>
          <w:rFonts w:ascii="Arial" w:hAnsi="Arial" w:cs="Arial"/>
        </w:rPr>
        <w:t>&amp;</w:t>
      </w:r>
      <w:r w:rsidRPr="009B338E">
        <w:rPr>
          <w:rFonts w:ascii="Arial" w:hAnsi="Arial" w:cs="Arial"/>
        </w:rPr>
        <w:t xml:space="preserve"> Köpsell (2010) showed that even when consumers quickly scan privacy regulations, they frequently miss important details, which results in privacy issues being disregarded. Furthermore, Acquisti </w:t>
      </w:r>
      <w:r w:rsidR="00556357">
        <w:rPr>
          <w:rFonts w:ascii="Arial" w:hAnsi="Arial" w:cs="Arial"/>
        </w:rPr>
        <w:t>&amp;</w:t>
      </w:r>
      <w:r w:rsidRPr="009B338E">
        <w:rPr>
          <w:rFonts w:ascii="Arial" w:hAnsi="Arial" w:cs="Arial"/>
        </w:rPr>
        <w:t xml:space="preserve"> Grossklags (2007) contend that consumers' professed privacy choices and their real actions differ. The ‘privacy paradox’ refers to the tendency of users to reveal personal information without completely comprehending the repercussions, even while they claim to cherish privacy. This tendency is typically caused by users not fully understanding the privacy regulations they agree to, the context in which personal data is processed, </w:t>
      </w:r>
      <w:r w:rsidRPr="00D56FA5">
        <w:rPr>
          <w:rFonts w:ascii="Arial" w:hAnsi="Arial" w:cs="Arial"/>
          <w:highlight w:val="yellow"/>
        </w:rPr>
        <w:t xml:space="preserve">and </w:t>
      </w:r>
      <w:r w:rsidR="00D56FA5" w:rsidRPr="00D56FA5">
        <w:rPr>
          <w:rFonts w:ascii="Arial" w:hAnsi="Arial" w:cs="Arial"/>
          <w:highlight w:val="yellow"/>
        </w:rPr>
        <w:t xml:space="preserve">their </w:t>
      </w:r>
      <w:r w:rsidRPr="00D56FA5">
        <w:rPr>
          <w:rFonts w:ascii="Arial" w:hAnsi="Arial" w:cs="Arial"/>
          <w:highlight w:val="yellow"/>
        </w:rPr>
        <w:t>user awareness</w:t>
      </w:r>
      <w:r w:rsidRPr="009B338E">
        <w:rPr>
          <w:rFonts w:ascii="Arial" w:hAnsi="Arial" w:cs="Arial"/>
        </w:rPr>
        <w:t xml:space="preserve"> and understanding of what happens with their data. Nevertheless, little study has been done on how local consumers interact with these policies in the Ghanaian context. Research that is particular to Ghana's digital environment, like Tchao et al. (2017), has given less attention to privacy regulations and more attention to digital literacy and general internet usage. Alhassan (2020) draws attention to Ghana's expanding digital footprint but does not delve into how users interact with privacy agreements. By shedding light on how Ghanaians engage with digital privacy concepts differently from what has been seen in more developed areas, this study seeks to close that knowledge gap. Through evaluating users' knowledge, comprehension, and conduct regarding privacy regulations, this study will establish a fundamental framework for upcoming privacy policy modifications in Ghana. In light of Ghana's increasing internet penetration and use of digital </w:t>
      </w:r>
      <w:r w:rsidRPr="009B338E">
        <w:rPr>
          <w:rFonts w:ascii="Arial" w:hAnsi="Arial" w:cs="Arial"/>
        </w:rPr>
        <w:lastRenderedPageBreak/>
        <w:t xml:space="preserve">services (GSS, 2022), it is critical to comprehend user </w:t>
      </w:r>
      <w:r w:rsidR="009F7904">
        <w:rPr>
          <w:rFonts w:ascii="Arial" w:hAnsi="Arial" w:cs="Arial"/>
        </w:rPr>
        <w:t>behaviour</w:t>
      </w:r>
      <w:r w:rsidRPr="009B338E">
        <w:rPr>
          <w:rFonts w:ascii="Arial" w:hAnsi="Arial" w:cs="Arial"/>
        </w:rPr>
        <w:t xml:space="preserve"> in this context in order to design suitable policies and safeguards. Research on user </w:t>
      </w:r>
      <w:r w:rsidR="009F7904">
        <w:rPr>
          <w:rFonts w:ascii="Arial" w:hAnsi="Arial" w:cs="Arial"/>
        </w:rPr>
        <w:t>behaviour</w:t>
      </w:r>
      <w:r w:rsidRPr="009B338E">
        <w:rPr>
          <w:rFonts w:ascii="Arial" w:hAnsi="Arial" w:cs="Arial"/>
        </w:rPr>
        <w:t xml:space="preserve"> and data privacy awareness is accessible in many developed countries (including the United States, the European Union, and portions of Asia), but it is not available in the Ghanaian context. Studies on user privacy concerns conducted in the United States, such as Milne et al. (2004), do not adequately address the particular difficulties encountered in a nation like Ghana, where internet access and digital literacy are still developing. Furthermore, because contracts and privacy policies are lengthy and full of legalese, most individuals do not read them, according to Ben-Shahar </w:t>
      </w:r>
      <w:r w:rsidR="00556357">
        <w:rPr>
          <w:rFonts w:ascii="Arial" w:hAnsi="Arial" w:cs="Arial"/>
        </w:rPr>
        <w:t>&amp;</w:t>
      </w:r>
      <w:r w:rsidRPr="009B338E">
        <w:rPr>
          <w:rFonts w:ascii="Arial" w:hAnsi="Arial" w:cs="Arial"/>
        </w:rPr>
        <w:t xml:space="preserve"> Schneider (2014). Acquisti et al. (2015) found that even in cases where users express concern about privacy, they frequently overlook these papers due to the deluge of information and intricacy of privacy policies. While some studies, such as Bada et al. (2020), concentrate on cybersecurity knowledge in African nations, few particularly address data privacy awareness. According to research on Ghana's Data Protection Act by Sutherland et al. (2021), there is legislation in place, but enforcement is lax, and public awareness is still low.</w:t>
      </w:r>
    </w:p>
    <w:p w14:paraId="5A0D0522" w14:textId="53E145DA" w:rsidR="007858B5" w:rsidRDefault="00000000" w:rsidP="00592C12">
      <w:pPr>
        <w:jc w:val="both"/>
        <w:rPr>
          <w:rFonts w:ascii="Arial" w:hAnsi="Arial" w:cs="Arial"/>
        </w:rPr>
      </w:pPr>
      <w:r>
        <w:rPr>
          <w:rFonts w:ascii="Arial" w:hAnsi="Arial" w:cs="Arial"/>
          <w:noProof/>
        </w:rPr>
        <w:pict w14:anchorId="1C74AA0A">
          <v:group id="_x0000_s2061" style="position:absolute;left:0;text-align:left;margin-left:.5pt;margin-top:11.75pt;width:511.6pt;height:147.45pt;z-index:251678720" coordorigin="730,3715" coordsize="10232,2949">
            <v:rect id="_x0000_s2050" style="position:absolute;left:730;top:3746;width:1889;height:720" fillcolor="white [3201]" strokecolor="black [3200]" strokeweight="2.5pt">
              <v:shadow color="#868686"/>
              <v:textbox>
                <w:txbxContent>
                  <w:p w14:paraId="1A2B027B" w14:textId="1E8FC687" w:rsidR="007858B5" w:rsidRPr="007858B5" w:rsidRDefault="007858B5" w:rsidP="007858B5">
                    <w:pPr>
                      <w:jc w:val="center"/>
                      <w:rPr>
                        <w:rFonts w:ascii="Arial" w:hAnsi="Arial" w:cs="Arial"/>
                        <w:b/>
                        <w:bCs/>
                        <w:sz w:val="24"/>
                        <w:szCs w:val="24"/>
                      </w:rPr>
                    </w:pPr>
                    <w:r w:rsidRPr="007858B5">
                      <w:rPr>
                        <w:rFonts w:ascii="Arial" w:hAnsi="Arial" w:cs="Arial"/>
                        <w:b/>
                        <w:bCs/>
                        <w:sz w:val="24"/>
                        <w:szCs w:val="24"/>
                      </w:rPr>
                      <w:t>User Awareness</w:t>
                    </w:r>
                  </w:p>
                </w:txbxContent>
              </v:textbox>
            </v:rect>
            <v:rect id="_x0000_s2051" style="position:absolute;left:7091;top:5619;width:3871;height:1045" fillcolor="white [3201]" strokecolor="black [3200]" strokeweight="2.5pt">
              <v:shadow color="#868686"/>
              <v:textbox>
                <w:txbxContent>
                  <w:p w14:paraId="2717C5CE" w14:textId="2AB2DDBD" w:rsidR="00D266D5" w:rsidRPr="00D266D5" w:rsidRDefault="00D266D5" w:rsidP="00D266D5">
                    <w:pPr>
                      <w:jc w:val="center"/>
                      <w:rPr>
                        <w:rFonts w:ascii="Arial" w:hAnsi="Arial" w:cs="Arial"/>
                        <w:b/>
                        <w:bCs/>
                        <w:sz w:val="24"/>
                        <w:szCs w:val="24"/>
                      </w:rPr>
                    </w:pPr>
                    <w:r w:rsidRPr="00D266D5">
                      <w:rPr>
                        <w:rFonts w:ascii="Arial" w:hAnsi="Arial" w:cs="Arial"/>
                        <w:b/>
                        <w:bCs/>
                        <w:sz w:val="24"/>
                        <w:szCs w:val="24"/>
                      </w:rPr>
                      <w:t>Predictors</w:t>
                    </w:r>
                    <w:r>
                      <w:rPr>
                        <w:rFonts w:ascii="Arial" w:hAnsi="Arial" w:cs="Arial"/>
                        <w:b/>
                        <w:bCs/>
                        <w:sz w:val="24"/>
                        <w:szCs w:val="24"/>
                      </w:rPr>
                      <w:t xml:space="preserve"> like age, education, formal training, length of policy, etc.</w:t>
                    </w:r>
                  </w:p>
                </w:txbxContent>
              </v:textbox>
            </v:rect>
            <v:rect id="_x0000_s2052" style="position:absolute;left:5771;top:3756;width:2525;height:782" fillcolor="white [3201]" strokecolor="black [3200]" strokeweight="2.5pt">
              <v:shadow color="#868686"/>
              <v:textbox>
                <w:txbxContent>
                  <w:p w14:paraId="7467A757" w14:textId="098BE805" w:rsidR="00D266D5" w:rsidRPr="00D266D5" w:rsidRDefault="00D266D5" w:rsidP="00D266D5">
                    <w:pPr>
                      <w:jc w:val="center"/>
                      <w:rPr>
                        <w:rFonts w:ascii="Arial" w:hAnsi="Arial" w:cs="Arial"/>
                        <w:b/>
                        <w:bCs/>
                        <w:sz w:val="24"/>
                        <w:szCs w:val="24"/>
                      </w:rPr>
                    </w:pPr>
                    <w:r w:rsidRPr="00D266D5">
                      <w:rPr>
                        <w:rFonts w:ascii="Arial" w:hAnsi="Arial" w:cs="Arial"/>
                        <w:b/>
                        <w:bCs/>
                        <w:sz w:val="24"/>
                        <w:szCs w:val="24"/>
                      </w:rPr>
                      <w:t>Attitude towards Privacy Policies</w:t>
                    </w:r>
                  </w:p>
                </w:txbxContent>
              </v:textbox>
            </v:rect>
            <v:rect id="_x0000_s2053" style="position:absolute;left:8817;top:3777;width:2107;height:824" fillcolor="white [3201]" strokecolor="black [3200]" strokeweight="2.5pt">
              <v:shadow color="#868686"/>
              <v:textbox>
                <w:txbxContent>
                  <w:p w14:paraId="663E9FA2" w14:textId="4A12AFBA" w:rsidR="007858B5" w:rsidRPr="007858B5" w:rsidRDefault="007858B5" w:rsidP="007858B5">
                    <w:pPr>
                      <w:jc w:val="center"/>
                      <w:rPr>
                        <w:rFonts w:ascii="Arial" w:hAnsi="Arial" w:cs="Arial"/>
                        <w:b/>
                        <w:bCs/>
                        <w:sz w:val="24"/>
                        <w:szCs w:val="24"/>
                      </w:rPr>
                    </w:pPr>
                    <w:r w:rsidRPr="007858B5">
                      <w:rPr>
                        <w:rFonts w:ascii="Arial" w:hAnsi="Arial" w:cs="Arial"/>
                        <w:b/>
                        <w:bCs/>
                        <w:sz w:val="24"/>
                        <w:szCs w:val="24"/>
                      </w:rPr>
                      <w:t>User Behaviours</w:t>
                    </w:r>
                  </w:p>
                </w:txbxContent>
              </v:textbox>
            </v:rect>
            <v:rect id="_x0000_s2054" style="position:absolute;left:3182;top:3715;width:2076;height:773" fillcolor="white [3201]" strokecolor="black [3200]" strokeweight="2.5pt">
              <v:shadow color="#868686"/>
              <v:textbox>
                <w:txbxContent>
                  <w:p w14:paraId="1349CE0F" w14:textId="211E7E3F" w:rsidR="007858B5" w:rsidRPr="007858B5" w:rsidRDefault="007858B5" w:rsidP="007858B5">
                    <w:pPr>
                      <w:jc w:val="center"/>
                      <w:rPr>
                        <w:rFonts w:ascii="Arial" w:hAnsi="Arial" w:cs="Arial"/>
                        <w:b/>
                        <w:bCs/>
                        <w:sz w:val="24"/>
                        <w:szCs w:val="24"/>
                      </w:rPr>
                    </w:pPr>
                    <w:r w:rsidRPr="007858B5">
                      <w:rPr>
                        <w:rFonts w:ascii="Arial" w:hAnsi="Arial" w:cs="Arial"/>
                        <w:b/>
                        <w:bCs/>
                        <w:sz w:val="24"/>
                        <w:szCs w:val="24"/>
                      </w:rPr>
                      <w:t>User Understanding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6" type="#_x0000_t13" style="position:absolute;left:2650;top:4032;width:522;height:146" fillcolor="black [3200]" strokecolor="#f2f2f2 [3041]" strokeweight="3pt">
              <v:shadow on="t" type="perspective" color="#7f7f7f [1601]" opacity=".5" offset="1pt" offset2="-1pt"/>
            </v:shape>
            <v:shape id="_x0000_s2057" type="#_x0000_t13" style="position:absolute;left:5230;top:4084;width:522;height:146" fillcolor="black [3200]" strokecolor="#f2f2f2 [3041]" strokeweight="3pt">
              <v:shadow on="t" type="perspective" color="#7f7f7f [1601]" opacity=".5" offset="1pt" offset2="-1pt"/>
            </v:shape>
            <v:shape id="_x0000_s2058" type="#_x0000_t13" style="position:absolute;left:8316;top:4125;width:522;height:146" fillcolor="black [3200]" strokecolor="#f2f2f2 [3041]" strokeweight="3pt">
              <v:shadow on="t" type="perspective" color="#7f7f7f [1601]" opacity=".5" offset="1pt" offset2="-1pt"/>
            </v:shape>
            <v:shape id="_x0000_s2059" type="#_x0000_t13" style="position:absolute;left:9427;top:5024;width:992;height:146;rotation:270" fillcolor="black [3200]" strokecolor="#f2f2f2 [3041]" strokeweight="3pt">
              <v:shadow on="t" type="perspective" color="#7f7f7f [1601]" opacity=".5" offset="1pt" offset2="-1pt"/>
            </v:shape>
          </v:group>
        </w:pict>
      </w:r>
    </w:p>
    <w:p w14:paraId="70F14ADF" w14:textId="6F3EB637" w:rsidR="007858B5" w:rsidRDefault="007858B5" w:rsidP="00592C12">
      <w:pPr>
        <w:jc w:val="both"/>
        <w:rPr>
          <w:rFonts w:ascii="Arial" w:hAnsi="Arial" w:cs="Arial"/>
        </w:rPr>
      </w:pPr>
    </w:p>
    <w:p w14:paraId="25D927BD" w14:textId="4FC6CDFC" w:rsidR="007858B5" w:rsidRDefault="007858B5" w:rsidP="00592C12">
      <w:pPr>
        <w:jc w:val="both"/>
        <w:rPr>
          <w:rFonts w:ascii="Arial" w:hAnsi="Arial" w:cs="Arial"/>
        </w:rPr>
      </w:pPr>
    </w:p>
    <w:p w14:paraId="73A6C33E" w14:textId="41BA36FC" w:rsidR="007858B5" w:rsidRDefault="007858B5" w:rsidP="00592C12">
      <w:pPr>
        <w:jc w:val="both"/>
        <w:rPr>
          <w:rFonts w:ascii="Arial" w:hAnsi="Arial" w:cs="Arial"/>
        </w:rPr>
      </w:pPr>
    </w:p>
    <w:p w14:paraId="3D5F2407" w14:textId="18D91650" w:rsidR="007858B5" w:rsidRDefault="007858B5" w:rsidP="00592C12">
      <w:pPr>
        <w:jc w:val="both"/>
        <w:rPr>
          <w:rFonts w:ascii="Arial" w:hAnsi="Arial" w:cs="Arial"/>
        </w:rPr>
      </w:pPr>
    </w:p>
    <w:p w14:paraId="61B95F1D" w14:textId="47907F8A" w:rsidR="007858B5" w:rsidRDefault="007858B5" w:rsidP="00592C12">
      <w:pPr>
        <w:jc w:val="both"/>
        <w:rPr>
          <w:rFonts w:ascii="Arial" w:hAnsi="Arial" w:cs="Arial"/>
        </w:rPr>
      </w:pPr>
    </w:p>
    <w:p w14:paraId="7172A1FE" w14:textId="0590ECEB" w:rsidR="007858B5" w:rsidRDefault="007858B5" w:rsidP="00592C12">
      <w:pPr>
        <w:jc w:val="both"/>
        <w:rPr>
          <w:rFonts w:ascii="Arial" w:hAnsi="Arial" w:cs="Arial"/>
        </w:rPr>
      </w:pPr>
    </w:p>
    <w:p w14:paraId="5926E545" w14:textId="488AF489" w:rsidR="007858B5" w:rsidRDefault="007858B5" w:rsidP="00592C12">
      <w:pPr>
        <w:jc w:val="both"/>
        <w:rPr>
          <w:rFonts w:ascii="Arial" w:hAnsi="Arial" w:cs="Arial"/>
        </w:rPr>
      </w:pPr>
    </w:p>
    <w:p w14:paraId="61927282" w14:textId="4D8FA00E" w:rsidR="007858B5" w:rsidRDefault="007858B5" w:rsidP="00592C12">
      <w:pPr>
        <w:jc w:val="both"/>
        <w:rPr>
          <w:rFonts w:ascii="Arial" w:hAnsi="Arial" w:cs="Arial"/>
        </w:rPr>
      </w:pPr>
    </w:p>
    <w:p w14:paraId="0EF88E28" w14:textId="5C9EA58C" w:rsidR="007858B5" w:rsidRDefault="007858B5" w:rsidP="00592C12">
      <w:pPr>
        <w:jc w:val="both"/>
        <w:rPr>
          <w:rFonts w:ascii="Arial" w:hAnsi="Arial" w:cs="Arial"/>
        </w:rPr>
      </w:pPr>
    </w:p>
    <w:p w14:paraId="1AB1BE3D" w14:textId="77777777" w:rsidR="007858B5" w:rsidRDefault="007858B5" w:rsidP="00592C12">
      <w:pPr>
        <w:jc w:val="both"/>
        <w:rPr>
          <w:rFonts w:ascii="Arial" w:hAnsi="Arial" w:cs="Arial"/>
        </w:rPr>
      </w:pPr>
    </w:p>
    <w:p w14:paraId="3ADADA73" w14:textId="77777777" w:rsidR="007858B5" w:rsidRDefault="007858B5" w:rsidP="00592C12">
      <w:pPr>
        <w:jc w:val="both"/>
        <w:rPr>
          <w:rFonts w:ascii="Arial" w:hAnsi="Arial" w:cs="Arial"/>
        </w:rPr>
      </w:pPr>
    </w:p>
    <w:p w14:paraId="4F55CFB6" w14:textId="77777777" w:rsidR="007858B5" w:rsidRPr="00374DEE" w:rsidRDefault="007858B5" w:rsidP="00592C12">
      <w:pPr>
        <w:jc w:val="both"/>
        <w:rPr>
          <w:rFonts w:ascii="Arial" w:hAnsi="Arial" w:cs="Arial"/>
        </w:rPr>
      </w:pPr>
    </w:p>
    <w:p w14:paraId="11467555" w14:textId="77777777" w:rsidR="00790ADA" w:rsidRPr="00FB3A86" w:rsidRDefault="00790ADA" w:rsidP="00592C12">
      <w:pPr>
        <w:pStyle w:val="Body"/>
        <w:spacing w:after="0"/>
        <w:rPr>
          <w:rFonts w:ascii="Arial" w:hAnsi="Arial" w:cs="Arial"/>
        </w:rPr>
      </w:pPr>
    </w:p>
    <w:p w14:paraId="230E7403" w14:textId="36689DCC" w:rsidR="00D266D5" w:rsidRDefault="00D266D5" w:rsidP="00592C12">
      <w:pPr>
        <w:pStyle w:val="AbstHead"/>
        <w:spacing w:after="0"/>
        <w:jc w:val="both"/>
        <w:rPr>
          <w:rFonts w:ascii="Arial" w:hAnsi="Arial" w:cs="Arial"/>
          <w:highlight w:val="yellow"/>
        </w:rPr>
      </w:pPr>
    </w:p>
    <w:p w14:paraId="1B7B2F48" w14:textId="400DEABC" w:rsidR="00D266D5" w:rsidRPr="00D266D5" w:rsidRDefault="00D266D5" w:rsidP="00592C12">
      <w:pPr>
        <w:pStyle w:val="AbstHead"/>
        <w:spacing w:after="0"/>
        <w:jc w:val="both"/>
        <w:rPr>
          <w:rFonts w:ascii="Arial" w:hAnsi="Arial" w:cs="Arial"/>
          <w:sz w:val="20"/>
          <w:szCs w:val="18"/>
          <w:highlight w:val="yellow"/>
        </w:rPr>
      </w:pPr>
      <w:r>
        <w:rPr>
          <w:rFonts w:ascii="Arial" w:hAnsi="Arial" w:cs="Arial"/>
          <w:caps w:val="0"/>
          <w:sz w:val="20"/>
          <w:szCs w:val="18"/>
          <w:highlight w:val="yellow"/>
        </w:rPr>
        <w:t>F</w:t>
      </w:r>
      <w:r w:rsidRPr="00D266D5">
        <w:rPr>
          <w:rFonts w:ascii="Arial" w:hAnsi="Arial" w:cs="Arial"/>
          <w:caps w:val="0"/>
          <w:sz w:val="20"/>
          <w:szCs w:val="18"/>
          <w:highlight w:val="yellow"/>
        </w:rPr>
        <w:t xml:space="preserve">ig. 1. </w:t>
      </w:r>
      <w:r>
        <w:rPr>
          <w:rFonts w:ascii="Arial" w:hAnsi="Arial" w:cs="Arial"/>
          <w:caps w:val="0"/>
          <w:sz w:val="20"/>
          <w:szCs w:val="18"/>
          <w:highlight w:val="yellow"/>
        </w:rPr>
        <w:t xml:space="preserve">A </w:t>
      </w:r>
      <w:r w:rsidRPr="00D266D5">
        <w:rPr>
          <w:rFonts w:ascii="Arial" w:hAnsi="Arial" w:cs="Arial"/>
          <w:caps w:val="0"/>
          <w:sz w:val="20"/>
          <w:szCs w:val="18"/>
          <w:highlight w:val="yellow"/>
        </w:rPr>
        <w:t>conceptual framework of the relationship among user</w:t>
      </w:r>
      <w:r>
        <w:rPr>
          <w:rFonts w:ascii="Arial" w:hAnsi="Arial" w:cs="Arial"/>
          <w:caps w:val="0"/>
          <w:sz w:val="20"/>
          <w:szCs w:val="18"/>
          <w:highlight w:val="yellow"/>
        </w:rPr>
        <w:t xml:space="preserve"> </w:t>
      </w:r>
      <w:r w:rsidRPr="00D266D5">
        <w:rPr>
          <w:rFonts w:ascii="Arial" w:hAnsi="Arial" w:cs="Arial"/>
          <w:caps w:val="0"/>
          <w:sz w:val="20"/>
          <w:szCs w:val="18"/>
          <w:highlight w:val="yellow"/>
        </w:rPr>
        <w:t>awareness, understanding, attitude and user behaviour.</w:t>
      </w:r>
    </w:p>
    <w:p w14:paraId="38C171AB" w14:textId="77777777" w:rsidR="00D266D5" w:rsidRDefault="00D266D5" w:rsidP="00592C12">
      <w:pPr>
        <w:pStyle w:val="AbstHead"/>
        <w:spacing w:after="0"/>
        <w:jc w:val="both"/>
        <w:rPr>
          <w:rFonts w:ascii="Arial" w:hAnsi="Arial" w:cs="Arial"/>
          <w:highlight w:val="yellow"/>
        </w:rPr>
      </w:pPr>
    </w:p>
    <w:p w14:paraId="2B5AE02C" w14:textId="77777777" w:rsidR="00D266D5" w:rsidRDefault="00D266D5" w:rsidP="00592C12">
      <w:pPr>
        <w:pStyle w:val="AbstHead"/>
        <w:spacing w:after="0"/>
        <w:jc w:val="both"/>
        <w:rPr>
          <w:rFonts w:ascii="Arial" w:hAnsi="Arial" w:cs="Arial"/>
          <w:highlight w:val="yellow"/>
        </w:rPr>
      </w:pPr>
    </w:p>
    <w:p w14:paraId="570FFF24" w14:textId="48A63563" w:rsidR="007F7B32" w:rsidRDefault="00902823" w:rsidP="00592C12">
      <w:pPr>
        <w:pStyle w:val="AbstHead"/>
        <w:spacing w:after="0"/>
        <w:jc w:val="both"/>
        <w:rPr>
          <w:rFonts w:ascii="Arial" w:hAnsi="Arial" w:cs="Arial"/>
        </w:rPr>
      </w:pPr>
      <w:r w:rsidRPr="0091605C">
        <w:rPr>
          <w:rFonts w:ascii="Arial" w:hAnsi="Arial" w:cs="Arial"/>
          <w:highlight w:val="yellow"/>
        </w:rPr>
        <w:t>2. material</w:t>
      </w:r>
      <w:r w:rsidR="0091605C" w:rsidRPr="0091605C">
        <w:rPr>
          <w:rFonts w:ascii="Arial" w:hAnsi="Arial" w:cs="Arial"/>
          <w:highlight w:val="yellow"/>
        </w:rPr>
        <w:t>S</w:t>
      </w:r>
      <w:r w:rsidRPr="0091605C">
        <w:rPr>
          <w:rFonts w:ascii="Arial" w:hAnsi="Arial" w:cs="Arial"/>
          <w:highlight w:val="yellow"/>
        </w:rPr>
        <w:t xml:space="preserve"> and method</w:t>
      </w:r>
      <w:r w:rsidR="00000F8F" w:rsidRPr="0091605C">
        <w:rPr>
          <w:rFonts w:ascii="Arial" w:hAnsi="Arial" w:cs="Arial"/>
          <w:highlight w:val="yellow"/>
        </w:rPr>
        <w:t>s</w:t>
      </w:r>
      <w:r w:rsidR="00000F8F">
        <w:rPr>
          <w:rFonts w:ascii="Arial" w:hAnsi="Arial" w:cs="Arial"/>
        </w:rPr>
        <w:t xml:space="preserve"> </w:t>
      </w:r>
    </w:p>
    <w:p w14:paraId="2964CD8D" w14:textId="6D745A7B" w:rsidR="00912BD2" w:rsidRPr="001204EB" w:rsidRDefault="00D6002D" w:rsidP="00592C1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.1 Research Design</w:t>
      </w:r>
      <w:r w:rsidR="00912BD2" w:rsidRPr="001204EB">
        <w:rPr>
          <w:rFonts w:ascii="Arial" w:hAnsi="Arial" w:cs="Arial"/>
          <w:sz w:val="22"/>
          <w:szCs w:val="22"/>
        </w:rPr>
        <w:t xml:space="preserve"> </w:t>
      </w:r>
    </w:p>
    <w:p w14:paraId="1B2E63E1" w14:textId="77777777" w:rsidR="00912BD2" w:rsidRPr="001204EB" w:rsidRDefault="00912BD2" w:rsidP="00592C12">
      <w:pPr>
        <w:jc w:val="both"/>
        <w:rPr>
          <w:rFonts w:ascii="Arial" w:hAnsi="Arial" w:cs="Arial"/>
        </w:rPr>
      </w:pPr>
      <w:r w:rsidRPr="001204EB">
        <w:rPr>
          <w:rFonts w:ascii="Arial" w:hAnsi="Arial" w:cs="Arial"/>
        </w:rPr>
        <w:t>This study adopted a quantitative cross-sectional survey design to examine the awareness, understanding, and behavioural engagement with digital privacy policies among undergraduate students in Ghana. The design enabled the collection of data from a specific population at a single point in time and was suitable for identifying patterns and associations between various digital privacy-related variables (Creswell &amp; Creswell, 2017).</w:t>
      </w:r>
    </w:p>
    <w:p w14:paraId="5DBA776B" w14:textId="05DAFC64" w:rsidR="00912BD2" w:rsidRPr="001204EB" w:rsidRDefault="00D6002D" w:rsidP="00592C1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.2 Study Area and Population</w:t>
      </w:r>
      <w:r w:rsidR="00912BD2" w:rsidRPr="001204EB">
        <w:rPr>
          <w:rFonts w:ascii="Arial" w:hAnsi="Arial" w:cs="Arial"/>
          <w:sz w:val="22"/>
          <w:szCs w:val="22"/>
        </w:rPr>
        <w:t xml:space="preserve"> </w:t>
      </w:r>
    </w:p>
    <w:p w14:paraId="5584250D" w14:textId="28F2B677" w:rsidR="00912BD2" w:rsidRPr="001204EB" w:rsidRDefault="00912BD2" w:rsidP="00592C12">
      <w:pPr>
        <w:jc w:val="both"/>
        <w:rPr>
          <w:rFonts w:ascii="Arial" w:hAnsi="Arial" w:cs="Arial"/>
        </w:rPr>
      </w:pPr>
      <w:r w:rsidRPr="001204EB">
        <w:rPr>
          <w:rFonts w:ascii="Arial" w:hAnsi="Arial" w:cs="Arial"/>
        </w:rPr>
        <w:t>The research was conducted at Garden City University in Kumasi, Ghana’s second-largest city, known for its concentration of tertiary institutions and diverse student population (Ghana Statistical Service, 2021). The study population consisted of undergraduate students enrolled in Computer Science and Information Technology programs. These students were selected due to their high digital exposure, making them a relevant group for studying digital privacy awareness and behaviour. Diploma students and postgraduate students were excluded to ensure alignment with the target population of degree-seeking undergraduates only.</w:t>
      </w:r>
    </w:p>
    <w:p w14:paraId="498E541D" w14:textId="31D68E6D"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.3 Sampling and Sampling Technique</w:t>
      </w:r>
      <w:r w:rsidR="00912BD2" w:rsidRPr="001204EB">
        <w:rPr>
          <w:rFonts w:ascii="Arial" w:hAnsi="Arial" w:cs="Arial"/>
          <w:sz w:val="22"/>
          <w:szCs w:val="22"/>
        </w:rPr>
        <w:t xml:space="preserve"> </w:t>
      </w:r>
    </w:p>
    <w:p w14:paraId="743DC80E" w14:textId="77777777" w:rsidR="00912BD2" w:rsidRPr="001204EB" w:rsidRDefault="00912BD2" w:rsidP="00912BD2">
      <w:pPr>
        <w:jc w:val="both"/>
        <w:rPr>
          <w:rFonts w:ascii="Arial" w:hAnsi="Arial" w:cs="Arial"/>
        </w:rPr>
      </w:pPr>
      <w:r w:rsidRPr="001204EB">
        <w:rPr>
          <w:rFonts w:ascii="Arial" w:hAnsi="Arial" w:cs="Arial"/>
        </w:rPr>
        <w:t>A stratified random sampling technique was used to ensure representation across the various academic levels (Levels 100 to 400). Within each stratum, participants were randomly selected using a computer-generated list of students provided by the registrar's office. Although the sampling frame was stratified by academic level, gender representation was not used as a stratifying factor, but gender distribution was monitored and reported in the demographic analysis.</w:t>
      </w:r>
    </w:p>
    <w:p w14:paraId="0130B408" w14:textId="5C48C37E"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.4 Sample Size Determination</w:t>
      </w:r>
      <w:r w:rsidR="00912BD2" w:rsidRPr="001204EB">
        <w:rPr>
          <w:rFonts w:ascii="Arial" w:hAnsi="Arial" w:cs="Arial"/>
          <w:sz w:val="22"/>
          <w:szCs w:val="22"/>
        </w:rPr>
        <w:t xml:space="preserve"> </w:t>
      </w:r>
    </w:p>
    <w:p w14:paraId="44773C98" w14:textId="7C75087F" w:rsidR="00912BD2" w:rsidRPr="001204EB" w:rsidRDefault="00912BD2" w:rsidP="00912BD2">
      <w:pPr>
        <w:jc w:val="both"/>
        <w:rPr>
          <w:rFonts w:ascii="Arial" w:hAnsi="Arial" w:cs="Arial"/>
        </w:rPr>
      </w:pPr>
      <w:r w:rsidRPr="001204EB">
        <w:rPr>
          <w:rFonts w:ascii="Arial" w:hAnsi="Arial" w:cs="Arial"/>
        </w:rPr>
        <w:t>Using Yamane’s simplified formula for sample size determination</w:t>
      </w:r>
      <w:r w:rsidR="001204EB" w:rsidRPr="001204EB">
        <w:rPr>
          <w:rFonts w:ascii="Arial" w:hAnsi="Arial" w:cs="Arial"/>
        </w:rPr>
        <w:t>,</w:t>
      </w:r>
      <w:r w:rsidRPr="001204EB">
        <w:rPr>
          <w:rFonts w:ascii="Arial" w:hAnsi="Arial" w:cs="Arial"/>
        </w:rPr>
        <w:t xml:space="preserve"> [n = N / (1 + N(e^2)], where N = 300 (estimated population) and e = 0.05 (precision level), a sample size of 172 was calculated</w:t>
      </w:r>
      <w:r w:rsidR="001204EB" w:rsidRPr="001204EB">
        <w:rPr>
          <w:rFonts w:ascii="Arial" w:hAnsi="Arial" w:cs="Arial"/>
        </w:rPr>
        <w:t xml:space="preserve"> (</w:t>
      </w:r>
      <w:r w:rsidR="001204EB" w:rsidRPr="001204EB">
        <w:rPr>
          <w:rFonts w:ascii="Arial" w:hAnsi="Arial" w:cs="Arial"/>
          <w:color w:val="222222"/>
          <w:shd w:val="clear" w:color="auto" w:fill="FFFFFF"/>
        </w:rPr>
        <w:t xml:space="preserve">Singh &amp; Masuku, 2014; </w:t>
      </w:r>
      <w:r w:rsidR="001204EB" w:rsidRPr="001204EB">
        <w:rPr>
          <w:rFonts w:ascii="Arial" w:hAnsi="Arial" w:cs="Arial"/>
        </w:rPr>
        <w:t>Osei, 2023;</w:t>
      </w:r>
      <w:r w:rsidR="001204EB">
        <w:rPr>
          <w:rFonts w:ascii="Arial" w:hAnsi="Arial" w:cs="Arial"/>
        </w:rPr>
        <w:t xml:space="preserve"> </w:t>
      </w:r>
      <w:r w:rsidR="001204EB" w:rsidRPr="001204EB">
        <w:rPr>
          <w:rFonts w:ascii="Arial" w:hAnsi="Arial" w:cs="Arial"/>
        </w:rPr>
        <w:t>Osei et al., 2024)</w:t>
      </w:r>
      <w:r w:rsidRPr="001204EB">
        <w:rPr>
          <w:rFonts w:ascii="Arial" w:hAnsi="Arial" w:cs="Arial"/>
        </w:rPr>
        <w:t>. This ensured adequate power for statistical analysis while maintaining representativeness.</w:t>
      </w:r>
    </w:p>
    <w:p w14:paraId="2D5C7B12" w14:textId="06D34181"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.5 Instrumentation and Pretesting</w:t>
      </w:r>
      <w:r w:rsidR="00912BD2" w:rsidRPr="001204EB">
        <w:rPr>
          <w:rFonts w:ascii="Arial" w:hAnsi="Arial" w:cs="Arial"/>
          <w:sz w:val="22"/>
          <w:szCs w:val="22"/>
        </w:rPr>
        <w:t xml:space="preserve"> </w:t>
      </w:r>
    </w:p>
    <w:p w14:paraId="4FEA3D67" w14:textId="77777777" w:rsidR="00912BD2" w:rsidRDefault="00912BD2" w:rsidP="00912BD2">
      <w:pPr>
        <w:jc w:val="both"/>
        <w:rPr>
          <w:rFonts w:ascii="Arial" w:hAnsi="Arial" w:cs="Arial"/>
        </w:rPr>
      </w:pPr>
      <w:r w:rsidRPr="001204EB">
        <w:rPr>
          <w:rFonts w:ascii="Arial" w:hAnsi="Arial" w:cs="Arial"/>
        </w:rPr>
        <w:t>A structured questionnaire was developed and pre-tested among a similar cohort of 20 students at a different private university to ensure clarity, reliability, and construct validity. Feedback from the pilot informed revisions to item wording and scale consistency. The final instrument consisted of three main sections: demographic data, awareness and understanding of digital privacy policies (7 items), and factors influencing privacy behaviour (7 items), making a total of 14 items. All items used a uniform 5-point Likert scale (1 = Strongly Disagree to 5 = Strongly Agree) to ensure consistency.</w:t>
      </w:r>
    </w:p>
    <w:p w14:paraId="6CD3403E" w14:textId="77777777" w:rsidR="009B58AD" w:rsidRPr="001204EB" w:rsidRDefault="009B58AD" w:rsidP="00912BD2">
      <w:pPr>
        <w:jc w:val="both"/>
        <w:rPr>
          <w:rFonts w:ascii="Arial" w:hAnsi="Arial" w:cs="Arial"/>
        </w:rPr>
      </w:pPr>
    </w:p>
    <w:p w14:paraId="6842666B" w14:textId="3E447CDA" w:rsidR="00912BD2" w:rsidRPr="001204EB" w:rsidRDefault="00D6002D" w:rsidP="00912BD2">
      <w:pPr>
        <w:rPr>
          <w:rFonts w:ascii="Arial" w:hAnsi="Arial" w:cs="Arial"/>
          <w:sz w:val="22"/>
          <w:szCs w:val="22"/>
        </w:rPr>
      </w:pPr>
      <w:r>
        <w:rPr>
          <w:rFonts w:ascii="Arial" w:hAnsi="Arial" w:cs="Arial"/>
          <w:b/>
          <w:bCs/>
          <w:sz w:val="22"/>
          <w:szCs w:val="22"/>
        </w:rPr>
        <w:lastRenderedPageBreak/>
        <w:t>2</w:t>
      </w:r>
      <w:r w:rsidR="00912BD2" w:rsidRPr="001204EB">
        <w:rPr>
          <w:rFonts w:ascii="Arial" w:hAnsi="Arial" w:cs="Arial"/>
          <w:b/>
          <w:bCs/>
          <w:sz w:val="22"/>
          <w:szCs w:val="22"/>
        </w:rPr>
        <w:t>.6 Data Collection Procedure</w:t>
      </w:r>
      <w:r w:rsidR="00912BD2" w:rsidRPr="001204EB">
        <w:rPr>
          <w:rFonts w:ascii="Arial" w:hAnsi="Arial" w:cs="Arial"/>
          <w:sz w:val="22"/>
          <w:szCs w:val="22"/>
        </w:rPr>
        <w:t xml:space="preserve"> </w:t>
      </w:r>
    </w:p>
    <w:p w14:paraId="565FF415" w14:textId="77777777" w:rsidR="00912BD2" w:rsidRPr="001204EB" w:rsidRDefault="00912BD2" w:rsidP="00912BD2">
      <w:pPr>
        <w:jc w:val="both"/>
        <w:rPr>
          <w:rFonts w:ascii="Arial" w:hAnsi="Arial" w:cs="Arial"/>
        </w:rPr>
      </w:pPr>
      <w:r w:rsidRPr="001204EB">
        <w:rPr>
          <w:rFonts w:ascii="Arial" w:hAnsi="Arial" w:cs="Arial"/>
        </w:rPr>
        <w:t>Data were collected through a Google Forms online survey distributed to selected students via institutional email. Participation was voluntary and anonymous, and inclusion was restricted to students who confirmed their enrolment status and academic level. Only responses from confirmed degree-seeking undergraduates were included in the final dataset.</w:t>
      </w:r>
    </w:p>
    <w:p w14:paraId="3A23A1F8" w14:textId="786FCD03"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.7 Reliability and Validity</w:t>
      </w:r>
      <w:r w:rsidR="00912BD2" w:rsidRPr="001204EB">
        <w:rPr>
          <w:rFonts w:ascii="Arial" w:hAnsi="Arial" w:cs="Arial"/>
          <w:sz w:val="22"/>
          <w:szCs w:val="22"/>
        </w:rPr>
        <w:t xml:space="preserve"> </w:t>
      </w:r>
    </w:p>
    <w:p w14:paraId="040986DB" w14:textId="77777777" w:rsidR="00912BD2" w:rsidRDefault="00912BD2" w:rsidP="00912BD2">
      <w:pPr>
        <w:jc w:val="both"/>
        <w:rPr>
          <w:rFonts w:ascii="Arial" w:hAnsi="Arial" w:cs="Arial"/>
        </w:rPr>
      </w:pPr>
      <w:r w:rsidRPr="001204EB">
        <w:rPr>
          <w:rFonts w:ascii="Arial" w:hAnsi="Arial" w:cs="Arial"/>
        </w:rPr>
        <w:t>Internal consistency was evaluated using Cronbach’s alpha. The scale measuring awareness and understanding yielded an alpha of 0.68, which is acceptable for exploratory studies (Hair et al., 2010). The behaviour-influencing factors scale reported an alpha of 0.72, indicating good reliability. Items were revised based on pilot results to improve reliability.</w:t>
      </w:r>
    </w:p>
    <w:p w14:paraId="7C873847" w14:textId="6AEDB272" w:rsidR="00912BD2" w:rsidRPr="001204EB" w:rsidRDefault="00D6002D" w:rsidP="00912BD2">
      <w:pPr>
        <w:rPr>
          <w:rFonts w:ascii="Arial" w:hAnsi="Arial" w:cs="Arial"/>
          <w:sz w:val="22"/>
          <w:szCs w:val="22"/>
        </w:rPr>
      </w:pPr>
      <w:r>
        <w:rPr>
          <w:rFonts w:ascii="Arial" w:hAnsi="Arial" w:cs="Arial"/>
          <w:b/>
          <w:bCs/>
          <w:sz w:val="22"/>
          <w:szCs w:val="22"/>
        </w:rPr>
        <w:t>2</w:t>
      </w:r>
      <w:r w:rsidR="00912BD2" w:rsidRPr="001204EB">
        <w:rPr>
          <w:rFonts w:ascii="Arial" w:hAnsi="Arial" w:cs="Arial"/>
          <w:b/>
          <w:bCs/>
          <w:sz w:val="22"/>
          <w:szCs w:val="22"/>
        </w:rPr>
        <w:t>.8 Data Analysis</w:t>
      </w:r>
      <w:r w:rsidR="00912BD2" w:rsidRPr="001204EB">
        <w:rPr>
          <w:rFonts w:ascii="Arial" w:hAnsi="Arial" w:cs="Arial"/>
          <w:sz w:val="22"/>
          <w:szCs w:val="22"/>
        </w:rPr>
        <w:t xml:space="preserve"> </w:t>
      </w:r>
    </w:p>
    <w:p w14:paraId="6A86E8E3" w14:textId="56527B7B" w:rsidR="00912BD2" w:rsidRPr="001204EB" w:rsidRDefault="00912BD2" w:rsidP="00912BD2">
      <w:pPr>
        <w:jc w:val="both"/>
        <w:rPr>
          <w:rFonts w:ascii="Arial" w:hAnsi="Arial" w:cs="Arial"/>
        </w:rPr>
      </w:pPr>
      <w:r w:rsidRPr="001204EB">
        <w:rPr>
          <w:rFonts w:ascii="Arial" w:hAnsi="Arial" w:cs="Arial"/>
        </w:rPr>
        <w:t>Data were analysed using SPSS version 25. Descriptive statistics (frequencies, percentages, means, and standard deviations) were used to summarise demographic characteristics and key constructs. Inferential analysis</w:t>
      </w:r>
      <w:r w:rsidR="00290C91">
        <w:rPr>
          <w:rFonts w:ascii="Arial" w:hAnsi="Arial" w:cs="Arial"/>
        </w:rPr>
        <w:t>,</w:t>
      </w:r>
      <w:r w:rsidRPr="001204EB">
        <w:rPr>
          <w:rFonts w:ascii="Arial" w:hAnsi="Arial" w:cs="Arial"/>
        </w:rPr>
        <w:t xml:space="preserve"> including Pearson correlation, chi-square tests, and multiple regression</w:t>
      </w:r>
      <w:r w:rsidR="00290C91">
        <w:rPr>
          <w:rFonts w:ascii="Arial" w:hAnsi="Arial" w:cs="Arial"/>
        </w:rPr>
        <w:t>,</w:t>
      </w:r>
      <w:r w:rsidRPr="001204EB">
        <w:rPr>
          <w:rFonts w:ascii="Arial" w:hAnsi="Arial" w:cs="Arial"/>
        </w:rPr>
        <w:t xml:space="preserve"> was conducted to determine associations between awareness, understanding, demographic variables, and behavioural tendencies regarding digital privacy.</w:t>
      </w:r>
    </w:p>
    <w:p w14:paraId="0705DE06" w14:textId="77777777" w:rsidR="00912BD2" w:rsidRPr="001204EB" w:rsidRDefault="00912BD2" w:rsidP="00441B6F">
      <w:pPr>
        <w:pStyle w:val="Body"/>
        <w:spacing w:after="0"/>
        <w:rPr>
          <w:rFonts w:ascii="Arial" w:hAnsi="Arial" w:cs="Arial"/>
          <w:b/>
          <w:caps/>
        </w:rPr>
      </w:pPr>
    </w:p>
    <w:p w14:paraId="2744C623" w14:textId="5BF5B5E6" w:rsidR="00902823" w:rsidRPr="002D19CF" w:rsidRDefault="00000F8F" w:rsidP="002D19CF">
      <w:pPr>
        <w:pStyle w:val="Head1"/>
        <w:spacing w:after="0"/>
        <w:jc w:val="both"/>
        <w:rPr>
          <w:rFonts w:ascii="Arial" w:hAnsi="Arial" w:cs="Arial"/>
        </w:rPr>
      </w:pPr>
      <w:r w:rsidRPr="002D19CF">
        <w:rPr>
          <w:rFonts w:ascii="Arial" w:hAnsi="Arial" w:cs="Arial"/>
        </w:rPr>
        <w:t>3</w:t>
      </w:r>
      <w:r w:rsidR="00902823" w:rsidRPr="002D19CF">
        <w:rPr>
          <w:rFonts w:ascii="Arial" w:hAnsi="Arial" w:cs="Arial"/>
        </w:rPr>
        <w:t xml:space="preserve">. </w:t>
      </w:r>
      <w:r w:rsidRPr="002D19CF">
        <w:rPr>
          <w:rFonts w:ascii="Arial" w:hAnsi="Arial" w:cs="Arial"/>
        </w:rPr>
        <w:t xml:space="preserve">results </w:t>
      </w:r>
    </w:p>
    <w:p w14:paraId="0F433597" w14:textId="0B9D1078" w:rsidR="007A6F77" w:rsidRPr="002D19CF" w:rsidRDefault="007A6F77" w:rsidP="002D19CF">
      <w:pPr>
        <w:jc w:val="both"/>
        <w:rPr>
          <w:rFonts w:ascii="Arial" w:hAnsi="Arial" w:cs="Arial"/>
          <w:b/>
          <w:sz w:val="22"/>
          <w:szCs w:val="22"/>
        </w:rPr>
      </w:pPr>
      <w:bookmarkStart w:id="0" w:name="_Hlk212547475"/>
      <w:r w:rsidRPr="002D19CF">
        <w:rPr>
          <w:rFonts w:ascii="Arial" w:hAnsi="Arial" w:cs="Arial"/>
          <w:b/>
          <w:sz w:val="22"/>
          <w:szCs w:val="22"/>
        </w:rPr>
        <w:t>3.1 Demographic Characteristics of Respondents</w:t>
      </w:r>
    </w:p>
    <w:p w14:paraId="206BACC9" w14:textId="77777777" w:rsidR="007A6F77" w:rsidRPr="002D19CF" w:rsidRDefault="007A6F77" w:rsidP="002D19CF">
      <w:pPr>
        <w:jc w:val="both"/>
        <w:rPr>
          <w:rFonts w:ascii="Arial" w:hAnsi="Arial" w:cs="Arial"/>
        </w:rPr>
      </w:pPr>
      <w:r w:rsidRPr="002D19CF">
        <w:rPr>
          <w:rFonts w:ascii="Arial" w:hAnsi="Arial" w:cs="Arial"/>
        </w:rPr>
        <w:t>Table 1 illustrates the demographic characteristics of respondents to the questionnaire. The total number of respondents was 172 (100%), of which 115 (66.9%) were males and 57 (33.1%) were females. This implies that a greater percentage of males responded than females. Most of the respondents fell within the age range of 20–29 years (43%). Those under 20 years were the least among the respondents (3.5%). Most of the respondents were at a youthful age, which is very satisfying for the survey since most youths use the internet more compared to adults. 53 respondents (30.8%) were pursuing a diploma degree, while 119 (69.2%) respondents were pursuing a bachelor's degree. Most of the respondents were in level 200 (n = 56, 32.6%), followed by level 300 (n = 44, 25.6%), level 100 (n = 42, 24.4%), and the least being level 400 (n = 30, 17.4%). 71 (41.3%) respondents had received formal training and education on digital privacy policies, while 101 (58.7%) had no formal training and education.</w:t>
      </w:r>
    </w:p>
    <w:p w14:paraId="5DD06712" w14:textId="77777777" w:rsidR="007A6F77" w:rsidRPr="002D19CF" w:rsidRDefault="007A6F77" w:rsidP="002D19CF">
      <w:pPr>
        <w:rPr>
          <w:rFonts w:ascii="Arial" w:hAnsi="Arial" w:cs="Arial"/>
          <w:b/>
        </w:rPr>
      </w:pPr>
      <w:r w:rsidRPr="002D19CF">
        <w:rPr>
          <w:rFonts w:ascii="Arial" w:hAnsi="Arial" w:cs="Arial"/>
          <w:b/>
        </w:rPr>
        <w:t>Table 1. Demographic characteristics of respondents</w:t>
      </w:r>
    </w:p>
    <w:tbl>
      <w:tblPr>
        <w:tblStyle w:val="LightShading"/>
        <w:tblW w:w="0" w:type="auto"/>
        <w:tblLook w:val="06A0" w:firstRow="1" w:lastRow="0" w:firstColumn="1" w:lastColumn="0" w:noHBand="1" w:noVBand="1"/>
      </w:tblPr>
      <w:tblGrid>
        <w:gridCol w:w="2510"/>
        <w:gridCol w:w="2276"/>
        <w:gridCol w:w="2410"/>
        <w:gridCol w:w="2428"/>
      </w:tblGrid>
      <w:tr w:rsidR="007A6F77" w:rsidRPr="002D19CF" w14:paraId="43831576"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0" w:type="dxa"/>
          </w:tcPr>
          <w:p w14:paraId="1F0F0564" w14:textId="77777777" w:rsidR="007A6F77" w:rsidRPr="002D19CF" w:rsidRDefault="007A6F77" w:rsidP="002D19CF">
            <w:pPr>
              <w:rPr>
                <w:rFonts w:ascii="Arial" w:hAnsi="Arial" w:cs="Arial"/>
                <w:sz w:val="20"/>
                <w:szCs w:val="20"/>
              </w:rPr>
            </w:pPr>
            <w:r w:rsidRPr="002D19CF">
              <w:rPr>
                <w:rFonts w:ascii="Arial" w:hAnsi="Arial" w:cs="Arial"/>
                <w:sz w:val="20"/>
                <w:szCs w:val="20"/>
              </w:rPr>
              <w:t>Categories</w:t>
            </w:r>
          </w:p>
        </w:tc>
        <w:tc>
          <w:tcPr>
            <w:tcW w:w="2276" w:type="dxa"/>
          </w:tcPr>
          <w:p w14:paraId="1E4E9DBB"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4905BE96"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Frequency (N)</w:t>
            </w:r>
          </w:p>
        </w:tc>
        <w:tc>
          <w:tcPr>
            <w:tcW w:w="2428" w:type="dxa"/>
          </w:tcPr>
          <w:p w14:paraId="7C6D6E69"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Percentage (%)</w:t>
            </w:r>
          </w:p>
          <w:p w14:paraId="0D319DE5"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3A7E5E95"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16DB1D59"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Gender</w:t>
            </w:r>
          </w:p>
        </w:tc>
        <w:tc>
          <w:tcPr>
            <w:tcW w:w="2276" w:type="dxa"/>
          </w:tcPr>
          <w:p w14:paraId="6F018BC3"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295BAD0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28" w:type="dxa"/>
          </w:tcPr>
          <w:p w14:paraId="3D09C2A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3AC15F9D"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1CFF5E03" w14:textId="77777777" w:rsidR="007A6F77" w:rsidRPr="002D19CF" w:rsidRDefault="007A6F77" w:rsidP="002D19CF">
            <w:pPr>
              <w:rPr>
                <w:rFonts w:ascii="Arial" w:hAnsi="Arial" w:cs="Arial"/>
                <w:sz w:val="20"/>
                <w:szCs w:val="20"/>
              </w:rPr>
            </w:pPr>
          </w:p>
        </w:tc>
        <w:tc>
          <w:tcPr>
            <w:tcW w:w="2276" w:type="dxa"/>
          </w:tcPr>
          <w:p w14:paraId="0BC6517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Male</w:t>
            </w:r>
          </w:p>
        </w:tc>
        <w:tc>
          <w:tcPr>
            <w:tcW w:w="2410" w:type="dxa"/>
          </w:tcPr>
          <w:p w14:paraId="522EFFF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115</w:t>
            </w:r>
          </w:p>
        </w:tc>
        <w:tc>
          <w:tcPr>
            <w:tcW w:w="2428" w:type="dxa"/>
          </w:tcPr>
          <w:p w14:paraId="701D9A9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66.9</w:t>
            </w:r>
          </w:p>
        </w:tc>
      </w:tr>
      <w:tr w:rsidR="007A6F77" w:rsidRPr="002D19CF" w14:paraId="09FB73FF"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277DD723" w14:textId="77777777" w:rsidR="007A6F77" w:rsidRPr="002D19CF" w:rsidRDefault="007A6F77" w:rsidP="002D19CF">
            <w:pPr>
              <w:rPr>
                <w:rFonts w:ascii="Arial" w:hAnsi="Arial" w:cs="Arial"/>
                <w:sz w:val="20"/>
                <w:szCs w:val="20"/>
              </w:rPr>
            </w:pPr>
          </w:p>
        </w:tc>
        <w:tc>
          <w:tcPr>
            <w:tcW w:w="2276" w:type="dxa"/>
          </w:tcPr>
          <w:p w14:paraId="21B33009"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Female</w:t>
            </w:r>
          </w:p>
        </w:tc>
        <w:tc>
          <w:tcPr>
            <w:tcW w:w="2410" w:type="dxa"/>
          </w:tcPr>
          <w:p w14:paraId="7246865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57</w:t>
            </w:r>
          </w:p>
        </w:tc>
        <w:tc>
          <w:tcPr>
            <w:tcW w:w="2428" w:type="dxa"/>
          </w:tcPr>
          <w:p w14:paraId="169C6C8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33.1</w:t>
            </w:r>
          </w:p>
        </w:tc>
      </w:tr>
      <w:tr w:rsidR="007A6F77" w:rsidRPr="002D19CF" w14:paraId="69A6A6D8"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0E9DBD08" w14:textId="77777777" w:rsidR="007A6F77" w:rsidRPr="002D19CF" w:rsidRDefault="007A6F77" w:rsidP="002D19CF">
            <w:pPr>
              <w:rPr>
                <w:rFonts w:ascii="Arial" w:hAnsi="Arial" w:cs="Arial"/>
                <w:sz w:val="20"/>
                <w:szCs w:val="20"/>
              </w:rPr>
            </w:pPr>
          </w:p>
        </w:tc>
        <w:tc>
          <w:tcPr>
            <w:tcW w:w="2276" w:type="dxa"/>
          </w:tcPr>
          <w:p w14:paraId="546982A5"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Total</w:t>
            </w:r>
          </w:p>
        </w:tc>
        <w:tc>
          <w:tcPr>
            <w:tcW w:w="2410" w:type="dxa"/>
          </w:tcPr>
          <w:p w14:paraId="6EC5CA4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2428" w:type="dxa"/>
          </w:tcPr>
          <w:p w14:paraId="34ED296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100.0</w:t>
            </w:r>
          </w:p>
          <w:p w14:paraId="095A561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42A07F03"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395BA687"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Age</w:t>
            </w:r>
          </w:p>
        </w:tc>
        <w:tc>
          <w:tcPr>
            <w:tcW w:w="2276" w:type="dxa"/>
          </w:tcPr>
          <w:p w14:paraId="0C105EC4"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6B1030E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28" w:type="dxa"/>
          </w:tcPr>
          <w:p w14:paraId="67304A5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6B30CB7D"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223571A8" w14:textId="77777777" w:rsidR="007A6F77" w:rsidRPr="002D19CF" w:rsidRDefault="007A6F77" w:rsidP="002D19CF">
            <w:pPr>
              <w:rPr>
                <w:rFonts w:ascii="Arial" w:hAnsi="Arial" w:cs="Arial"/>
                <w:sz w:val="20"/>
                <w:szCs w:val="20"/>
              </w:rPr>
            </w:pPr>
          </w:p>
        </w:tc>
        <w:tc>
          <w:tcPr>
            <w:tcW w:w="2276" w:type="dxa"/>
          </w:tcPr>
          <w:p w14:paraId="7755EC2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Under 20</w:t>
            </w:r>
          </w:p>
        </w:tc>
        <w:tc>
          <w:tcPr>
            <w:tcW w:w="2410" w:type="dxa"/>
          </w:tcPr>
          <w:p w14:paraId="3651A83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w:t>
            </w:r>
          </w:p>
        </w:tc>
        <w:tc>
          <w:tcPr>
            <w:tcW w:w="2428" w:type="dxa"/>
          </w:tcPr>
          <w:p w14:paraId="75AF8FE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3.5</w:t>
            </w:r>
          </w:p>
        </w:tc>
      </w:tr>
      <w:tr w:rsidR="007A6F77" w:rsidRPr="002D19CF" w14:paraId="25B2A9C4"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49FB5F57" w14:textId="77777777" w:rsidR="007A6F77" w:rsidRPr="002D19CF" w:rsidRDefault="007A6F77" w:rsidP="002D19CF">
            <w:pPr>
              <w:rPr>
                <w:rFonts w:ascii="Arial" w:hAnsi="Arial" w:cs="Arial"/>
                <w:sz w:val="20"/>
                <w:szCs w:val="20"/>
              </w:rPr>
            </w:pPr>
          </w:p>
        </w:tc>
        <w:tc>
          <w:tcPr>
            <w:tcW w:w="2276" w:type="dxa"/>
          </w:tcPr>
          <w:p w14:paraId="4B8559DB"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20-29</w:t>
            </w:r>
          </w:p>
        </w:tc>
        <w:tc>
          <w:tcPr>
            <w:tcW w:w="2410" w:type="dxa"/>
          </w:tcPr>
          <w:p w14:paraId="55D50AD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74</w:t>
            </w:r>
          </w:p>
        </w:tc>
        <w:tc>
          <w:tcPr>
            <w:tcW w:w="2428" w:type="dxa"/>
          </w:tcPr>
          <w:p w14:paraId="690CA8C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43.0</w:t>
            </w:r>
          </w:p>
        </w:tc>
      </w:tr>
      <w:tr w:rsidR="007A6F77" w:rsidRPr="002D19CF" w14:paraId="6A0B9415"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522779C7" w14:textId="77777777" w:rsidR="007A6F77" w:rsidRPr="002D19CF" w:rsidRDefault="007A6F77" w:rsidP="002D19CF">
            <w:pPr>
              <w:rPr>
                <w:rFonts w:ascii="Arial" w:hAnsi="Arial" w:cs="Arial"/>
                <w:sz w:val="20"/>
                <w:szCs w:val="20"/>
              </w:rPr>
            </w:pPr>
          </w:p>
        </w:tc>
        <w:tc>
          <w:tcPr>
            <w:tcW w:w="2276" w:type="dxa"/>
          </w:tcPr>
          <w:p w14:paraId="4F779C43"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30-39</w:t>
            </w:r>
          </w:p>
        </w:tc>
        <w:tc>
          <w:tcPr>
            <w:tcW w:w="2410" w:type="dxa"/>
          </w:tcPr>
          <w:p w14:paraId="3AB28F6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66</w:t>
            </w:r>
          </w:p>
        </w:tc>
        <w:tc>
          <w:tcPr>
            <w:tcW w:w="2428" w:type="dxa"/>
          </w:tcPr>
          <w:p w14:paraId="6F3547A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38.4</w:t>
            </w:r>
          </w:p>
        </w:tc>
      </w:tr>
      <w:tr w:rsidR="007A6F77" w:rsidRPr="002D19CF" w14:paraId="52184951"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593CDA8B" w14:textId="77777777" w:rsidR="007A6F77" w:rsidRPr="002D19CF" w:rsidRDefault="007A6F77" w:rsidP="002D19CF">
            <w:pPr>
              <w:rPr>
                <w:rFonts w:ascii="Arial" w:hAnsi="Arial" w:cs="Arial"/>
                <w:sz w:val="20"/>
                <w:szCs w:val="20"/>
              </w:rPr>
            </w:pPr>
          </w:p>
        </w:tc>
        <w:tc>
          <w:tcPr>
            <w:tcW w:w="2276" w:type="dxa"/>
          </w:tcPr>
          <w:p w14:paraId="0E98FC7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40-49</w:t>
            </w:r>
          </w:p>
        </w:tc>
        <w:tc>
          <w:tcPr>
            <w:tcW w:w="2410" w:type="dxa"/>
          </w:tcPr>
          <w:p w14:paraId="1E19046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26</w:t>
            </w:r>
          </w:p>
        </w:tc>
        <w:tc>
          <w:tcPr>
            <w:tcW w:w="2428" w:type="dxa"/>
          </w:tcPr>
          <w:p w14:paraId="40CB4B6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15.1</w:t>
            </w:r>
          </w:p>
        </w:tc>
      </w:tr>
      <w:tr w:rsidR="007A6F77" w:rsidRPr="002D19CF" w14:paraId="252174F3"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08C18A49" w14:textId="77777777" w:rsidR="007A6F77" w:rsidRPr="002D19CF" w:rsidRDefault="007A6F77" w:rsidP="002D19CF">
            <w:pPr>
              <w:rPr>
                <w:rFonts w:ascii="Arial" w:hAnsi="Arial" w:cs="Arial"/>
                <w:sz w:val="20"/>
                <w:szCs w:val="20"/>
              </w:rPr>
            </w:pPr>
          </w:p>
        </w:tc>
        <w:tc>
          <w:tcPr>
            <w:tcW w:w="2276" w:type="dxa"/>
          </w:tcPr>
          <w:p w14:paraId="03E2CE8B"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Total</w:t>
            </w:r>
          </w:p>
        </w:tc>
        <w:tc>
          <w:tcPr>
            <w:tcW w:w="2410" w:type="dxa"/>
          </w:tcPr>
          <w:p w14:paraId="2F1A4A9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2428" w:type="dxa"/>
          </w:tcPr>
          <w:p w14:paraId="1EAB6CA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100.0</w:t>
            </w:r>
          </w:p>
          <w:p w14:paraId="317308B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797E7862"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0F90516B"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Educational Background</w:t>
            </w:r>
          </w:p>
        </w:tc>
        <w:tc>
          <w:tcPr>
            <w:tcW w:w="2276" w:type="dxa"/>
          </w:tcPr>
          <w:p w14:paraId="2E901FC2"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6A1F1D8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28" w:type="dxa"/>
          </w:tcPr>
          <w:p w14:paraId="46BDC6B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5562477A"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03DD3021" w14:textId="77777777" w:rsidR="007A6F77" w:rsidRPr="002D19CF" w:rsidRDefault="007A6F77" w:rsidP="002D19CF">
            <w:pPr>
              <w:rPr>
                <w:rFonts w:ascii="Arial" w:hAnsi="Arial" w:cs="Arial"/>
                <w:sz w:val="20"/>
                <w:szCs w:val="20"/>
              </w:rPr>
            </w:pPr>
          </w:p>
        </w:tc>
        <w:tc>
          <w:tcPr>
            <w:tcW w:w="2276" w:type="dxa"/>
          </w:tcPr>
          <w:p w14:paraId="578C2473"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Diploma</w:t>
            </w:r>
          </w:p>
        </w:tc>
        <w:tc>
          <w:tcPr>
            <w:tcW w:w="2410" w:type="dxa"/>
          </w:tcPr>
          <w:p w14:paraId="365F2E0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53</w:t>
            </w:r>
          </w:p>
        </w:tc>
        <w:tc>
          <w:tcPr>
            <w:tcW w:w="2428" w:type="dxa"/>
          </w:tcPr>
          <w:p w14:paraId="7C75FC7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30.8</w:t>
            </w:r>
          </w:p>
        </w:tc>
      </w:tr>
      <w:tr w:rsidR="007A6F77" w:rsidRPr="002D19CF" w14:paraId="173333D5"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365CF7A6" w14:textId="77777777" w:rsidR="007A6F77" w:rsidRPr="002D19CF" w:rsidRDefault="007A6F77" w:rsidP="002D19CF">
            <w:pPr>
              <w:rPr>
                <w:rFonts w:ascii="Arial" w:hAnsi="Arial" w:cs="Arial"/>
                <w:sz w:val="20"/>
                <w:szCs w:val="20"/>
              </w:rPr>
            </w:pPr>
          </w:p>
        </w:tc>
        <w:tc>
          <w:tcPr>
            <w:tcW w:w="2276" w:type="dxa"/>
          </w:tcPr>
          <w:p w14:paraId="27957D76"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Bachelor</w:t>
            </w:r>
          </w:p>
        </w:tc>
        <w:tc>
          <w:tcPr>
            <w:tcW w:w="2410" w:type="dxa"/>
          </w:tcPr>
          <w:p w14:paraId="2CFAEFC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119</w:t>
            </w:r>
          </w:p>
        </w:tc>
        <w:tc>
          <w:tcPr>
            <w:tcW w:w="2428" w:type="dxa"/>
          </w:tcPr>
          <w:p w14:paraId="31CCC1C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69.2</w:t>
            </w:r>
          </w:p>
        </w:tc>
      </w:tr>
      <w:tr w:rsidR="007A6F77" w:rsidRPr="002D19CF" w14:paraId="6D4B2883"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225836DE" w14:textId="77777777" w:rsidR="007A6F77" w:rsidRPr="002D19CF" w:rsidRDefault="007A6F77" w:rsidP="002D19CF">
            <w:pPr>
              <w:rPr>
                <w:rFonts w:ascii="Arial" w:hAnsi="Arial" w:cs="Arial"/>
                <w:sz w:val="20"/>
                <w:szCs w:val="20"/>
              </w:rPr>
            </w:pPr>
          </w:p>
        </w:tc>
        <w:tc>
          <w:tcPr>
            <w:tcW w:w="2276" w:type="dxa"/>
          </w:tcPr>
          <w:p w14:paraId="2D3D96E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Total</w:t>
            </w:r>
          </w:p>
        </w:tc>
        <w:tc>
          <w:tcPr>
            <w:tcW w:w="2410" w:type="dxa"/>
          </w:tcPr>
          <w:p w14:paraId="2ED1DA0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2428" w:type="dxa"/>
          </w:tcPr>
          <w:p w14:paraId="43A52EE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100.0</w:t>
            </w:r>
          </w:p>
          <w:p w14:paraId="33054C4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7A6F77" w:rsidRPr="002D19CF" w14:paraId="5692E8D1"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775E0DB1"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Level</w:t>
            </w:r>
          </w:p>
        </w:tc>
        <w:tc>
          <w:tcPr>
            <w:tcW w:w="2276" w:type="dxa"/>
          </w:tcPr>
          <w:p w14:paraId="6E4032EA"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2FEE1F5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28" w:type="dxa"/>
          </w:tcPr>
          <w:p w14:paraId="5D35087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760E2BBE"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5CFA721D" w14:textId="77777777" w:rsidR="007A6F77" w:rsidRPr="002D19CF" w:rsidRDefault="007A6F77" w:rsidP="002D19CF">
            <w:pPr>
              <w:rPr>
                <w:rFonts w:ascii="Arial" w:hAnsi="Arial" w:cs="Arial"/>
                <w:sz w:val="20"/>
                <w:szCs w:val="20"/>
              </w:rPr>
            </w:pPr>
          </w:p>
        </w:tc>
        <w:tc>
          <w:tcPr>
            <w:tcW w:w="2276" w:type="dxa"/>
          </w:tcPr>
          <w:p w14:paraId="0EF8BAB9"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w:t>
            </w:r>
          </w:p>
        </w:tc>
        <w:tc>
          <w:tcPr>
            <w:tcW w:w="2410" w:type="dxa"/>
          </w:tcPr>
          <w:p w14:paraId="77200C2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42</w:t>
            </w:r>
          </w:p>
        </w:tc>
        <w:tc>
          <w:tcPr>
            <w:tcW w:w="2428" w:type="dxa"/>
          </w:tcPr>
          <w:p w14:paraId="237FB9F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24.4</w:t>
            </w:r>
          </w:p>
        </w:tc>
      </w:tr>
      <w:tr w:rsidR="007A6F77" w:rsidRPr="002D19CF" w14:paraId="3C12CF24"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18B11143" w14:textId="77777777" w:rsidR="007A6F77" w:rsidRPr="002D19CF" w:rsidRDefault="007A6F77" w:rsidP="002D19CF">
            <w:pPr>
              <w:rPr>
                <w:rFonts w:ascii="Arial" w:hAnsi="Arial" w:cs="Arial"/>
                <w:sz w:val="20"/>
                <w:szCs w:val="20"/>
              </w:rPr>
            </w:pPr>
          </w:p>
        </w:tc>
        <w:tc>
          <w:tcPr>
            <w:tcW w:w="2276" w:type="dxa"/>
          </w:tcPr>
          <w:p w14:paraId="5BEFE6EB"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200</w:t>
            </w:r>
          </w:p>
        </w:tc>
        <w:tc>
          <w:tcPr>
            <w:tcW w:w="2410" w:type="dxa"/>
          </w:tcPr>
          <w:p w14:paraId="1D7AAC5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56</w:t>
            </w:r>
          </w:p>
        </w:tc>
        <w:tc>
          <w:tcPr>
            <w:tcW w:w="2428" w:type="dxa"/>
          </w:tcPr>
          <w:p w14:paraId="0631B5A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32.6</w:t>
            </w:r>
          </w:p>
        </w:tc>
      </w:tr>
      <w:tr w:rsidR="007A6F77" w:rsidRPr="002D19CF" w14:paraId="2CD81C61"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38A15B24" w14:textId="77777777" w:rsidR="007A6F77" w:rsidRPr="002D19CF" w:rsidRDefault="007A6F77" w:rsidP="002D19CF">
            <w:pPr>
              <w:rPr>
                <w:rFonts w:ascii="Arial" w:hAnsi="Arial" w:cs="Arial"/>
                <w:sz w:val="20"/>
                <w:szCs w:val="20"/>
              </w:rPr>
            </w:pPr>
          </w:p>
        </w:tc>
        <w:tc>
          <w:tcPr>
            <w:tcW w:w="2276" w:type="dxa"/>
          </w:tcPr>
          <w:p w14:paraId="21323D5C"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300</w:t>
            </w:r>
          </w:p>
        </w:tc>
        <w:tc>
          <w:tcPr>
            <w:tcW w:w="2410" w:type="dxa"/>
          </w:tcPr>
          <w:p w14:paraId="1F68BEA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44</w:t>
            </w:r>
          </w:p>
        </w:tc>
        <w:tc>
          <w:tcPr>
            <w:tcW w:w="2428" w:type="dxa"/>
          </w:tcPr>
          <w:p w14:paraId="1065CF8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25.6</w:t>
            </w:r>
          </w:p>
        </w:tc>
      </w:tr>
      <w:tr w:rsidR="007A6F77" w:rsidRPr="002D19CF" w14:paraId="323315CA"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79C58C01" w14:textId="77777777" w:rsidR="007A6F77" w:rsidRPr="002D19CF" w:rsidRDefault="007A6F77" w:rsidP="002D19CF">
            <w:pPr>
              <w:rPr>
                <w:rFonts w:ascii="Arial" w:hAnsi="Arial" w:cs="Arial"/>
                <w:sz w:val="20"/>
                <w:szCs w:val="20"/>
              </w:rPr>
            </w:pPr>
          </w:p>
        </w:tc>
        <w:tc>
          <w:tcPr>
            <w:tcW w:w="2276" w:type="dxa"/>
          </w:tcPr>
          <w:p w14:paraId="2A98E93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400</w:t>
            </w:r>
          </w:p>
        </w:tc>
        <w:tc>
          <w:tcPr>
            <w:tcW w:w="2410" w:type="dxa"/>
          </w:tcPr>
          <w:p w14:paraId="4738B22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w:t>
            </w:r>
          </w:p>
        </w:tc>
        <w:tc>
          <w:tcPr>
            <w:tcW w:w="2428" w:type="dxa"/>
          </w:tcPr>
          <w:p w14:paraId="6516AE8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17.4</w:t>
            </w:r>
          </w:p>
        </w:tc>
      </w:tr>
      <w:tr w:rsidR="007A6F77" w:rsidRPr="002D19CF" w14:paraId="69CAEADC"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6CD7B38E" w14:textId="77777777" w:rsidR="007A6F77" w:rsidRPr="002D19CF" w:rsidRDefault="007A6F77" w:rsidP="002D19CF">
            <w:pPr>
              <w:rPr>
                <w:rFonts w:ascii="Arial" w:hAnsi="Arial" w:cs="Arial"/>
                <w:sz w:val="20"/>
                <w:szCs w:val="20"/>
              </w:rPr>
            </w:pPr>
          </w:p>
        </w:tc>
        <w:tc>
          <w:tcPr>
            <w:tcW w:w="2276" w:type="dxa"/>
          </w:tcPr>
          <w:p w14:paraId="2A10523D"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Total</w:t>
            </w:r>
          </w:p>
        </w:tc>
        <w:tc>
          <w:tcPr>
            <w:tcW w:w="2410" w:type="dxa"/>
          </w:tcPr>
          <w:p w14:paraId="4F2FA72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2428" w:type="dxa"/>
          </w:tcPr>
          <w:p w14:paraId="722D725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100.0</w:t>
            </w:r>
          </w:p>
          <w:p w14:paraId="548768C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7A6F77" w:rsidRPr="002D19CF" w14:paraId="2D4CA3E2"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28A0FAF3"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Formal Training on Digital Privacy</w:t>
            </w:r>
          </w:p>
        </w:tc>
        <w:tc>
          <w:tcPr>
            <w:tcW w:w="2276" w:type="dxa"/>
          </w:tcPr>
          <w:p w14:paraId="42C80DE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10" w:type="dxa"/>
          </w:tcPr>
          <w:p w14:paraId="0FC91CC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428" w:type="dxa"/>
          </w:tcPr>
          <w:p w14:paraId="3162907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1B0D3F88"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7037E499" w14:textId="77777777" w:rsidR="007A6F77" w:rsidRPr="002D19CF" w:rsidRDefault="007A6F77" w:rsidP="002D19CF">
            <w:pPr>
              <w:rPr>
                <w:rFonts w:ascii="Arial" w:hAnsi="Arial" w:cs="Arial"/>
                <w:sz w:val="20"/>
                <w:szCs w:val="20"/>
              </w:rPr>
            </w:pPr>
          </w:p>
        </w:tc>
        <w:tc>
          <w:tcPr>
            <w:tcW w:w="2276" w:type="dxa"/>
          </w:tcPr>
          <w:p w14:paraId="2B49B712"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Yes</w:t>
            </w:r>
          </w:p>
        </w:tc>
        <w:tc>
          <w:tcPr>
            <w:tcW w:w="2410" w:type="dxa"/>
          </w:tcPr>
          <w:p w14:paraId="4601002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71</w:t>
            </w:r>
          </w:p>
        </w:tc>
        <w:tc>
          <w:tcPr>
            <w:tcW w:w="2428" w:type="dxa"/>
          </w:tcPr>
          <w:p w14:paraId="2F70F25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41.3</w:t>
            </w:r>
          </w:p>
        </w:tc>
      </w:tr>
      <w:tr w:rsidR="007A6F77" w:rsidRPr="002D19CF" w14:paraId="7CEBDED1"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664B1507" w14:textId="77777777" w:rsidR="007A6F77" w:rsidRPr="002D19CF" w:rsidRDefault="007A6F77" w:rsidP="002D19CF">
            <w:pPr>
              <w:rPr>
                <w:rFonts w:ascii="Arial" w:hAnsi="Arial" w:cs="Arial"/>
                <w:sz w:val="20"/>
                <w:szCs w:val="20"/>
              </w:rPr>
            </w:pPr>
          </w:p>
        </w:tc>
        <w:tc>
          <w:tcPr>
            <w:tcW w:w="2276" w:type="dxa"/>
          </w:tcPr>
          <w:p w14:paraId="69729877"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No</w:t>
            </w:r>
          </w:p>
        </w:tc>
        <w:tc>
          <w:tcPr>
            <w:tcW w:w="2410" w:type="dxa"/>
          </w:tcPr>
          <w:p w14:paraId="6C4FEEC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101</w:t>
            </w:r>
          </w:p>
        </w:tc>
        <w:tc>
          <w:tcPr>
            <w:tcW w:w="2428" w:type="dxa"/>
          </w:tcPr>
          <w:p w14:paraId="518881E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58.7</w:t>
            </w:r>
          </w:p>
        </w:tc>
      </w:tr>
      <w:tr w:rsidR="007A6F77" w:rsidRPr="002D19CF" w14:paraId="39C7EFC3" w14:textId="77777777" w:rsidTr="008F57CF">
        <w:tc>
          <w:tcPr>
            <w:cnfStyle w:val="001000000000" w:firstRow="0" w:lastRow="0" w:firstColumn="1" w:lastColumn="0" w:oddVBand="0" w:evenVBand="0" w:oddHBand="0" w:evenHBand="0" w:firstRowFirstColumn="0" w:firstRowLastColumn="0" w:lastRowFirstColumn="0" w:lastRowLastColumn="0"/>
            <w:tcW w:w="2510" w:type="dxa"/>
          </w:tcPr>
          <w:p w14:paraId="7FCFF3B4" w14:textId="77777777" w:rsidR="007A6F77" w:rsidRPr="002D19CF" w:rsidRDefault="007A6F77" w:rsidP="002D19CF">
            <w:pPr>
              <w:rPr>
                <w:rFonts w:ascii="Arial" w:hAnsi="Arial" w:cs="Arial"/>
                <w:sz w:val="20"/>
                <w:szCs w:val="20"/>
              </w:rPr>
            </w:pPr>
          </w:p>
        </w:tc>
        <w:tc>
          <w:tcPr>
            <w:tcW w:w="2276" w:type="dxa"/>
          </w:tcPr>
          <w:p w14:paraId="67C5434A"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Total</w:t>
            </w:r>
          </w:p>
        </w:tc>
        <w:tc>
          <w:tcPr>
            <w:tcW w:w="2410" w:type="dxa"/>
          </w:tcPr>
          <w:p w14:paraId="15B3545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2428" w:type="dxa"/>
          </w:tcPr>
          <w:p w14:paraId="1BB6402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100.0</w:t>
            </w:r>
          </w:p>
        </w:tc>
      </w:tr>
    </w:tbl>
    <w:p w14:paraId="4645CC47" w14:textId="77777777" w:rsidR="007A6F77" w:rsidRPr="002D19CF" w:rsidRDefault="007A6F77" w:rsidP="002D19CF">
      <w:pPr>
        <w:rPr>
          <w:rFonts w:ascii="Arial" w:hAnsi="Arial" w:cs="Arial"/>
        </w:rPr>
      </w:pPr>
    </w:p>
    <w:p w14:paraId="35962854" w14:textId="77777777" w:rsidR="009B58AD" w:rsidRDefault="009B58AD" w:rsidP="002D19CF">
      <w:pPr>
        <w:jc w:val="both"/>
        <w:rPr>
          <w:rFonts w:ascii="Arial" w:hAnsi="Arial" w:cs="Arial"/>
          <w:b/>
          <w:sz w:val="22"/>
          <w:szCs w:val="22"/>
        </w:rPr>
      </w:pPr>
    </w:p>
    <w:p w14:paraId="7EBAA1B9" w14:textId="16FE51D5" w:rsidR="007A6F77" w:rsidRPr="002D19CF" w:rsidRDefault="007A6F77" w:rsidP="002D19CF">
      <w:pPr>
        <w:jc w:val="both"/>
        <w:rPr>
          <w:rFonts w:ascii="Arial" w:hAnsi="Arial" w:cs="Arial"/>
          <w:b/>
          <w:sz w:val="22"/>
          <w:szCs w:val="22"/>
        </w:rPr>
      </w:pPr>
      <w:r w:rsidRPr="002D19CF">
        <w:rPr>
          <w:rFonts w:ascii="Arial" w:hAnsi="Arial" w:cs="Arial"/>
          <w:b/>
          <w:sz w:val="22"/>
          <w:szCs w:val="22"/>
        </w:rPr>
        <w:lastRenderedPageBreak/>
        <w:t>3.2 Assessing the awareness and understanding of Data Privacy Policies by users</w:t>
      </w:r>
    </w:p>
    <w:p w14:paraId="58DB1F8E" w14:textId="0405BD32" w:rsidR="007A6F77" w:rsidRPr="002D19CF" w:rsidRDefault="007A6F77" w:rsidP="002D19CF">
      <w:pPr>
        <w:jc w:val="both"/>
        <w:rPr>
          <w:rFonts w:ascii="Arial" w:hAnsi="Arial" w:cs="Arial"/>
          <w:b/>
          <w:sz w:val="22"/>
          <w:szCs w:val="22"/>
        </w:rPr>
      </w:pPr>
      <w:r w:rsidRPr="002D19CF">
        <w:rPr>
          <w:rFonts w:ascii="Arial" w:hAnsi="Arial" w:cs="Arial"/>
          <w:b/>
          <w:sz w:val="22"/>
          <w:szCs w:val="22"/>
        </w:rPr>
        <w:t>3.2.1 Descriptive statistics of user awareness and understanding of data privacy policies</w:t>
      </w:r>
    </w:p>
    <w:p w14:paraId="69567369" w14:textId="0948390E" w:rsidR="007A6F77" w:rsidRPr="002D19CF" w:rsidRDefault="007A6F77" w:rsidP="002D19CF">
      <w:pPr>
        <w:jc w:val="both"/>
        <w:rPr>
          <w:rFonts w:ascii="Arial" w:hAnsi="Arial" w:cs="Arial"/>
          <w:b/>
        </w:rPr>
      </w:pPr>
      <w:r w:rsidRPr="002D19CF">
        <w:rPr>
          <w:rStyle w:val="fontstyle01"/>
          <w:rFonts w:ascii="Arial" w:hAnsi="Arial" w:cs="Arial"/>
          <w:sz w:val="20"/>
          <w:szCs w:val="20"/>
        </w:rPr>
        <w:t>User awareness and understanding of data privacy policies w</w:t>
      </w:r>
      <w:r w:rsidR="0041197B">
        <w:rPr>
          <w:rStyle w:val="fontstyle01"/>
          <w:rFonts w:ascii="Arial" w:hAnsi="Arial" w:cs="Arial"/>
          <w:sz w:val="20"/>
          <w:szCs w:val="20"/>
        </w:rPr>
        <w:t>ere</w:t>
      </w:r>
      <w:r w:rsidRPr="002D19CF">
        <w:rPr>
          <w:rStyle w:val="fontstyle01"/>
          <w:rFonts w:ascii="Arial" w:hAnsi="Arial" w:cs="Arial"/>
          <w:sz w:val="20"/>
          <w:szCs w:val="20"/>
        </w:rPr>
        <w:t xml:space="preserve"> measured using 5 items on a five-point Likert Scale. Thus, the item descriptive statistics in terms of means and standard deviations (SD) of user awareness (UA) are presented in Table 2. The mean range of the user awareness construct was 3.58 to 4.27 (Table 2). The total mean was 3.87 (SD=1.026), indicating a moderate level of user awareness and understanding of data privacy policies. Specifically, most of the respondents indicated that </w:t>
      </w:r>
      <w:r w:rsidRPr="002D19CF">
        <w:rPr>
          <w:rFonts w:ascii="Arial" w:hAnsi="Arial" w:cs="Arial"/>
        </w:rPr>
        <w:t>the primary reason for having data privacy policies and terms and conditions on websites and apps is to protect user information.</w:t>
      </w:r>
    </w:p>
    <w:p w14:paraId="34966168" w14:textId="77777777" w:rsidR="007A6F77" w:rsidRPr="002D19CF" w:rsidRDefault="007A6F77" w:rsidP="002D19CF">
      <w:pPr>
        <w:rPr>
          <w:rFonts w:ascii="Arial" w:hAnsi="Arial" w:cs="Arial"/>
          <w:b/>
        </w:rPr>
      </w:pPr>
      <w:r w:rsidRPr="002D19CF">
        <w:rPr>
          <w:rFonts w:ascii="Arial" w:hAnsi="Arial" w:cs="Arial"/>
          <w:b/>
        </w:rPr>
        <w:t>Table 2. Descriptive statistics of user awareness and understanding of data privacy policies</w:t>
      </w:r>
    </w:p>
    <w:tbl>
      <w:tblPr>
        <w:tblStyle w:val="LightShading"/>
        <w:tblW w:w="0" w:type="auto"/>
        <w:tblLook w:val="06A0" w:firstRow="1" w:lastRow="0" w:firstColumn="1" w:lastColumn="0" w:noHBand="1" w:noVBand="1"/>
      </w:tblPr>
      <w:tblGrid>
        <w:gridCol w:w="3652"/>
        <w:gridCol w:w="949"/>
        <w:gridCol w:w="1177"/>
        <w:gridCol w:w="1276"/>
        <w:gridCol w:w="966"/>
        <w:gridCol w:w="1604"/>
      </w:tblGrid>
      <w:tr w:rsidR="007A6F77" w:rsidRPr="002D19CF" w14:paraId="37946C8B"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8239998" w14:textId="77777777" w:rsidR="007A6F77" w:rsidRPr="002D19CF" w:rsidRDefault="007A6F77" w:rsidP="002D19CF">
            <w:pPr>
              <w:rPr>
                <w:rFonts w:ascii="Arial" w:hAnsi="Arial" w:cs="Arial"/>
                <w:sz w:val="20"/>
                <w:szCs w:val="20"/>
              </w:rPr>
            </w:pPr>
            <w:r w:rsidRPr="002D19CF">
              <w:rPr>
                <w:rFonts w:ascii="Arial" w:hAnsi="Arial" w:cs="Arial"/>
                <w:sz w:val="20"/>
                <w:szCs w:val="20"/>
              </w:rPr>
              <w:t>Items</w:t>
            </w:r>
          </w:p>
        </w:tc>
        <w:tc>
          <w:tcPr>
            <w:tcW w:w="949" w:type="dxa"/>
          </w:tcPr>
          <w:p w14:paraId="58C80248"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N</w:t>
            </w:r>
          </w:p>
        </w:tc>
        <w:tc>
          <w:tcPr>
            <w:tcW w:w="1177" w:type="dxa"/>
          </w:tcPr>
          <w:p w14:paraId="0C0C687D"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Minimum</w:t>
            </w:r>
          </w:p>
        </w:tc>
        <w:tc>
          <w:tcPr>
            <w:tcW w:w="1276" w:type="dxa"/>
          </w:tcPr>
          <w:p w14:paraId="53113F34"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Maximum</w:t>
            </w:r>
          </w:p>
        </w:tc>
        <w:tc>
          <w:tcPr>
            <w:tcW w:w="966" w:type="dxa"/>
          </w:tcPr>
          <w:p w14:paraId="57B285C8"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Mean</w:t>
            </w:r>
          </w:p>
        </w:tc>
        <w:tc>
          <w:tcPr>
            <w:tcW w:w="1604" w:type="dxa"/>
          </w:tcPr>
          <w:p w14:paraId="76C325F7"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Std. Deviation</w:t>
            </w:r>
          </w:p>
        </w:tc>
      </w:tr>
      <w:tr w:rsidR="007A6F77" w:rsidRPr="002D19CF" w14:paraId="1BEC9EC8"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5414D50E" w14:textId="77777777" w:rsidR="007A6F77" w:rsidRPr="002D19CF" w:rsidRDefault="007A6F77" w:rsidP="002D19CF">
            <w:pPr>
              <w:rPr>
                <w:rFonts w:ascii="Arial" w:hAnsi="Arial" w:cs="Arial"/>
                <w:sz w:val="20"/>
                <w:szCs w:val="20"/>
              </w:rPr>
            </w:pPr>
          </w:p>
        </w:tc>
        <w:tc>
          <w:tcPr>
            <w:tcW w:w="949" w:type="dxa"/>
          </w:tcPr>
          <w:p w14:paraId="3E3E5BA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7" w:type="dxa"/>
          </w:tcPr>
          <w:p w14:paraId="794E8F7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55E205B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66" w:type="dxa"/>
          </w:tcPr>
          <w:p w14:paraId="5B014C1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04" w:type="dxa"/>
          </w:tcPr>
          <w:p w14:paraId="5BD1D53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5B5AC8D0"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5F941A4C" w14:textId="07FFD4FA"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The primary reason for having data privacy policies and terms and conditions on websites and apps is to protect user information</w:t>
            </w:r>
            <w:r w:rsidR="00B13215">
              <w:rPr>
                <w:rFonts w:ascii="Arial" w:hAnsi="Arial" w:cs="Arial"/>
                <w:b w:val="0"/>
                <w:sz w:val="20"/>
                <w:szCs w:val="20"/>
              </w:rPr>
              <w:t>.</w:t>
            </w:r>
          </w:p>
          <w:p w14:paraId="4FC1C5ED" w14:textId="77777777" w:rsidR="007A6F77" w:rsidRPr="002D19CF" w:rsidRDefault="007A6F77" w:rsidP="002D19CF">
            <w:pPr>
              <w:jc w:val="both"/>
              <w:rPr>
                <w:rFonts w:ascii="Arial" w:hAnsi="Arial" w:cs="Arial"/>
                <w:b w:val="0"/>
                <w:sz w:val="20"/>
                <w:szCs w:val="20"/>
              </w:rPr>
            </w:pPr>
          </w:p>
        </w:tc>
        <w:tc>
          <w:tcPr>
            <w:tcW w:w="949" w:type="dxa"/>
          </w:tcPr>
          <w:p w14:paraId="57D2F9A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177" w:type="dxa"/>
          </w:tcPr>
          <w:p w14:paraId="53C04C5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76" w:type="dxa"/>
          </w:tcPr>
          <w:p w14:paraId="133E7DA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966" w:type="dxa"/>
          </w:tcPr>
          <w:p w14:paraId="5F68334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4.27</w:t>
            </w:r>
          </w:p>
        </w:tc>
        <w:tc>
          <w:tcPr>
            <w:tcW w:w="1604" w:type="dxa"/>
          </w:tcPr>
          <w:p w14:paraId="3B843E6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.974</w:t>
            </w:r>
          </w:p>
        </w:tc>
      </w:tr>
      <w:tr w:rsidR="007A6F77" w:rsidRPr="002D19CF" w14:paraId="6B0828ED"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44D6B3C5" w14:textId="17B81D9F"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The primary reason for having data privacy policies and terms and conditions on websites and apps is to ensure legal compliance</w:t>
            </w:r>
            <w:r w:rsidR="00B13215">
              <w:rPr>
                <w:rFonts w:ascii="Arial" w:hAnsi="Arial" w:cs="Arial"/>
                <w:b w:val="0"/>
                <w:sz w:val="20"/>
                <w:szCs w:val="20"/>
              </w:rPr>
              <w:t>.</w:t>
            </w:r>
          </w:p>
          <w:p w14:paraId="7BBB6F18" w14:textId="77777777" w:rsidR="007A6F77" w:rsidRPr="002D19CF" w:rsidRDefault="007A6F77" w:rsidP="002D19CF">
            <w:pPr>
              <w:jc w:val="both"/>
              <w:rPr>
                <w:rFonts w:ascii="Arial" w:hAnsi="Arial" w:cs="Arial"/>
                <w:b w:val="0"/>
                <w:sz w:val="20"/>
                <w:szCs w:val="20"/>
              </w:rPr>
            </w:pPr>
          </w:p>
        </w:tc>
        <w:tc>
          <w:tcPr>
            <w:tcW w:w="949" w:type="dxa"/>
          </w:tcPr>
          <w:p w14:paraId="60A1E67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177" w:type="dxa"/>
          </w:tcPr>
          <w:p w14:paraId="3E12B7F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76" w:type="dxa"/>
          </w:tcPr>
          <w:p w14:paraId="6F2992E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966" w:type="dxa"/>
          </w:tcPr>
          <w:p w14:paraId="28F52C3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3.58</w:t>
            </w:r>
          </w:p>
        </w:tc>
        <w:tc>
          <w:tcPr>
            <w:tcW w:w="1604" w:type="dxa"/>
          </w:tcPr>
          <w:p w14:paraId="60AD14E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1.082</w:t>
            </w:r>
          </w:p>
        </w:tc>
      </w:tr>
      <w:tr w:rsidR="007A6F77" w:rsidRPr="002D19CF" w14:paraId="2C922906"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3316F6B9" w14:textId="26F42F4F"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The primary reason for having data privacy policies and terms and conditions on websites and apps is to establish trust</w:t>
            </w:r>
            <w:r w:rsidR="00B13215">
              <w:rPr>
                <w:rFonts w:ascii="Arial" w:hAnsi="Arial" w:cs="Arial"/>
                <w:b w:val="0"/>
                <w:sz w:val="20"/>
                <w:szCs w:val="20"/>
              </w:rPr>
              <w:t>.</w:t>
            </w:r>
          </w:p>
          <w:p w14:paraId="1303DCF8" w14:textId="77777777" w:rsidR="007A6F77" w:rsidRPr="002D19CF" w:rsidRDefault="007A6F77" w:rsidP="002D19CF">
            <w:pPr>
              <w:jc w:val="both"/>
              <w:rPr>
                <w:rFonts w:ascii="Arial" w:hAnsi="Arial" w:cs="Arial"/>
                <w:b w:val="0"/>
                <w:sz w:val="20"/>
                <w:szCs w:val="20"/>
              </w:rPr>
            </w:pPr>
          </w:p>
        </w:tc>
        <w:tc>
          <w:tcPr>
            <w:tcW w:w="949" w:type="dxa"/>
          </w:tcPr>
          <w:p w14:paraId="1640CDB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177" w:type="dxa"/>
          </w:tcPr>
          <w:p w14:paraId="4F1FD09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76" w:type="dxa"/>
          </w:tcPr>
          <w:p w14:paraId="12925A7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966" w:type="dxa"/>
          </w:tcPr>
          <w:p w14:paraId="13A6769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3.72</w:t>
            </w:r>
          </w:p>
        </w:tc>
        <w:tc>
          <w:tcPr>
            <w:tcW w:w="1604" w:type="dxa"/>
          </w:tcPr>
          <w:p w14:paraId="7420E22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.970</w:t>
            </w:r>
          </w:p>
        </w:tc>
      </w:tr>
      <w:tr w:rsidR="007A6F77" w:rsidRPr="002D19CF" w14:paraId="265D80C5"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7E3CA012" w14:textId="2DE97A0D"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The primary reason for having data privacy policies and terms and conditions on websites and apps is to clarify user rights</w:t>
            </w:r>
            <w:r w:rsidR="00B13215">
              <w:rPr>
                <w:rFonts w:ascii="Arial" w:hAnsi="Arial" w:cs="Arial"/>
                <w:b w:val="0"/>
                <w:sz w:val="20"/>
                <w:szCs w:val="20"/>
              </w:rPr>
              <w:t>.</w:t>
            </w:r>
          </w:p>
          <w:p w14:paraId="76D5CB05" w14:textId="77777777" w:rsidR="007A6F77" w:rsidRPr="002D19CF" w:rsidRDefault="007A6F77" w:rsidP="002D19CF">
            <w:pPr>
              <w:jc w:val="both"/>
              <w:rPr>
                <w:rFonts w:ascii="Arial" w:hAnsi="Arial" w:cs="Arial"/>
                <w:b w:val="0"/>
                <w:sz w:val="20"/>
                <w:szCs w:val="20"/>
              </w:rPr>
            </w:pPr>
          </w:p>
        </w:tc>
        <w:tc>
          <w:tcPr>
            <w:tcW w:w="949" w:type="dxa"/>
          </w:tcPr>
          <w:p w14:paraId="02DA820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177" w:type="dxa"/>
          </w:tcPr>
          <w:p w14:paraId="13BAAF6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76" w:type="dxa"/>
          </w:tcPr>
          <w:p w14:paraId="7BE7644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966" w:type="dxa"/>
          </w:tcPr>
          <w:p w14:paraId="76FFA7B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3.88</w:t>
            </w:r>
          </w:p>
        </w:tc>
        <w:tc>
          <w:tcPr>
            <w:tcW w:w="1604" w:type="dxa"/>
          </w:tcPr>
          <w:p w14:paraId="48D1740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1.053</w:t>
            </w:r>
          </w:p>
        </w:tc>
      </w:tr>
      <w:tr w:rsidR="007A6F77" w:rsidRPr="002D19CF" w14:paraId="1D6CD14C"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6C21D6F0" w14:textId="4A422565"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The primary reason for having data privacy policies and terms and conditions on websites and apps is to provide guidelines for appropriate use</w:t>
            </w:r>
            <w:r w:rsidR="00B13215">
              <w:rPr>
                <w:rFonts w:ascii="Arial" w:hAnsi="Arial" w:cs="Arial"/>
                <w:b w:val="0"/>
                <w:sz w:val="20"/>
                <w:szCs w:val="20"/>
              </w:rPr>
              <w:t>.</w:t>
            </w:r>
          </w:p>
          <w:p w14:paraId="693F9911" w14:textId="77777777" w:rsidR="007A6F77" w:rsidRPr="002D19CF" w:rsidRDefault="007A6F77" w:rsidP="002D19CF">
            <w:pPr>
              <w:jc w:val="both"/>
              <w:rPr>
                <w:rFonts w:ascii="Arial" w:hAnsi="Arial" w:cs="Arial"/>
                <w:b w:val="0"/>
                <w:sz w:val="20"/>
                <w:szCs w:val="20"/>
              </w:rPr>
            </w:pPr>
          </w:p>
        </w:tc>
        <w:tc>
          <w:tcPr>
            <w:tcW w:w="949" w:type="dxa"/>
          </w:tcPr>
          <w:p w14:paraId="47DFFFF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177" w:type="dxa"/>
          </w:tcPr>
          <w:p w14:paraId="776B519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76" w:type="dxa"/>
          </w:tcPr>
          <w:p w14:paraId="6B25E3C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966" w:type="dxa"/>
          </w:tcPr>
          <w:p w14:paraId="27A0F02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3.92</w:t>
            </w:r>
          </w:p>
        </w:tc>
        <w:tc>
          <w:tcPr>
            <w:tcW w:w="1604" w:type="dxa"/>
          </w:tcPr>
          <w:p w14:paraId="64293F4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1.049</w:t>
            </w:r>
          </w:p>
        </w:tc>
      </w:tr>
      <w:tr w:rsidR="007A6F77" w:rsidRPr="002D19CF" w14:paraId="3C24BA95" w14:textId="77777777" w:rsidTr="008F57CF">
        <w:tc>
          <w:tcPr>
            <w:cnfStyle w:val="001000000000" w:firstRow="0" w:lastRow="0" w:firstColumn="1" w:lastColumn="0" w:oddVBand="0" w:evenVBand="0" w:oddHBand="0" w:evenHBand="0" w:firstRowFirstColumn="0" w:firstRowLastColumn="0" w:lastRowFirstColumn="0" w:lastRowLastColumn="0"/>
            <w:tcW w:w="3652" w:type="dxa"/>
          </w:tcPr>
          <w:p w14:paraId="72A60FEC" w14:textId="77777777" w:rsidR="007A6F77" w:rsidRPr="002D19CF" w:rsidRDefault="007A6F77" w:rsidP="002D19CF">
            <w:pPr>
              <w:rPr>
                <w:rFonts w:ascii="Arial" w:hAnsi="Arial" w:cs="Arial"/>
                <w:sz w:val="20"/>
                <w:szCs w:val="20"/>
              </w:rPr>
            </w:pPr>
            <w:r w:rsidRPr="002D19CF">
              <w:rPr>
                <w:rFonts w:ascii="Arial" w:hAnsi="Arial" w:cs="Arial"/>
                <w:sz w:val="20"/>
                <w:szCs w:val="20"/>
              </w:rPr>
              <w:t>Total</w:t>
            </w:r>
          </w:p>
        </w:tc>
        <w:tc>
          <w:tcPr>
            <w:tcW w:w="949" w:type="dxa"/>
          </w:tcPr>
          <w:p w14:paraId="67BDBD3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1177" w:type="dxa"/>
          </w:tcPr>
          <w:p w14:paraId="75115AD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w:t>
            </w:r>
          </w:p>
        </w:tc>
        <w:tc>
          <w:tcPr>
            <w:tcW w:w="1276" w:type="dxa"/>
          </w:tcPr>
          <w:p w14:paraId="35D8001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5</w:t>
            </w:r>
          </w:p>
        </w:tc>
        <w:tc>
          <w:tcPr>
            <w:tcW w:w="966" w:type="dxa"/>
          </w:tcPr>
          <w:p w14:paraId="3A876B1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3.87</w:t>
            </w:r>
          </w:p>
        </w:tc>
        <w:tc>
          <w:tcPr>
            <w:tcW w:w="1604" w:type="dxa"/>
          </w:tcPr>
          <w:p w14:paraId="7824F05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1.026</w:t>
            </w:r>
          </w:p>
        </w:tc>
      </w:tr>
    </w:tbl>
    <w:p w14:paraId="6816A78A" w14:textId="77777777" w:rsidR="007A6F77" w:rsidRPr="002D19CF" w:rsidRDefault="007A6F77" w:rsidP="002D19CF">
      <w:pPr>
        <w:rPr>
          <w:rFonts w:ascii="Arial" w:hAnsi="Arial" w:cs="Arial"/>
          <w:i/>
        </w:rPr>
      </w:pPr>
      <w:r w:rsidRPr="002D19CF">
        <w:rPr>
          <w:rFonts w:ascii="Arial" w:hAnsi="Arial" w:cs="Arial"/>
          <w:i/>
        </w:rPr>
        <w:t>N=Frequency</w:t>
      </w:r>
    </w:p>
    <w:p w14:paraId="482648ED" w14:textId="77777777" w:rsidR="007A6F77" w:rsidRPr="002D19CF" w:rsidRDefault="007A6F77" w:rsidP="002D19CF">
      <w:pPr>
        <w:jc w:val="both"/>
        <w:rPr>
          <w:rFonts w:ascii="Arial" w:hAnsi="Arial" w:cs="Arial"/>
          <w:bCs/>
        </w:rPr>
      </w:pPr>
      <w:r w:rsidRPr="002D19CF">
        <w:rPr>
          <w:rFonts w:ascii="Arial" w:hAnsi="Arial" w:cs="Arial"/>
          <w:bCs/>
        </w:rPr>
        <w:t>Participants' answers to Likert-scale items measuring their comprehension of the function and goal of data privacy regulations were used to infer user awareness and understanding. A moderate degree of awareness and comprehension is indicated by the mean scores, which range from 3.58 to 4.27. Higher mean scores on phrases like "The primary reason for having data privacy policies is to protect user information" specifically indicate that participants value these kinds of regulations. It is possible to evaluate many aspects of comprehension by including issues about trust, legal compliance, user rights, and recommendations for acceptable use. The standard deviations show how consistently participants perceive these elements and aid in determining response variability. The fact that awareness is comparatively consistent across demographic groupings is further supported by inferential statistics like chi-square tests.</w:t>
      </w:r>
    </w:p>
    <w:p w14:paraId="7FC8863C" w14:textId="71EFF070" w:rsidR="007A6F77" w:rsidRPr="002D19CF" w:rsidRDefault="009B58AD" w:rsidP="002D19CF">
      <w:pPr>
        <w:rPr>
          <w:rFonts w:ascii="Arial" w:hAnsi="Arial" w:cs="Arial"/>
          <w:b/>
          <w:sz w:val="22"/>
          <w:szCs w:val="22"/>
        </w:rPr>
      </w:pPr>
      <w:r w:rsidRPr="009B58AD">
        <w:rPr>
          <w:rFonts w:ascii="Arial" w:hAnsi="Arial" w:cs="Arial"/>
          <w:b/>
          <w:sz w:val="22"/>
          <w:szCs w:val="22"/>
          <w:highlight w:val="yellow"/>
        </w:rPr>
        <w:t>3</w:t>
      </w:r>
      <w:r w:rsidR="007A6F77" w:rsidRPr="009B58AD">
        <w:rPr>
          <w:rFonts w:ascii="Arial" w:hAnsi="Arial" w:cs="Arial"/>
          <w:b/>
          <w:sz w:val="22"/>
          <w:szCs w:val="22"/>
          <w:highlight w:val="yellow"/>
        </w:rPr>
        <w:t>.2.2 Chi-Square Test Results</w:t>
      </w:r>
    </w:p>
    <w:p w14:paraId="29DE8F3F" w14:textId="2AF46C26" w:rsidR="00F1730C" w:rsidRPr="00556357" w:rsidRDefault="007A6F77" w:rsidP="00556357">
      <w:pPr>
        <w:jc w:val="both"/>
        <w:rPr>
          <w:rFonts w:ascii="Arial" w:hAnsi="Arial" w:cs="Arial"/>
        </w:rPr>
      </w:pPr>
      <w:r w:rsidRPr="002D19CF">
        <w:rPr>
          <w:rFonts w:ascii="Arial" w:hAnsi="Arial" w:cs="Arial"/>
        </w:rPr>
        <w:t xml:space="preserve">Pearson’s Chi-square analyses were run to determine the significance of the association between the constructs (user awareness and user </w:t>
      </w:r>
      <w:r w:rsidR="009F7904">
        <w:rPr>
          <w:rFonts w:ascii="Arial" w:hAnsi="Arial" w:cs="Arial"/>
        </w:rPr>
        <w:t>behaviour</w:t>
      </w:r>
      <w:r w:rsidRPr="002D19CF">
        <w:rPr>
          <w:rFonts w:ascii="Arial" w:hAnsi="Arial" w:cs="Arial"/>
        </w:rPr>
        <w:t xml:space="preserve">) and the demographic variables (Table 3). These analyses help to identify interrelated factors. From Table 3, all p-values were greater than .05, indicating no statistically significant association between the categorical variables tested. This means that any observed differences in the distribution of the categories are likely due to random chance rather than a real underlying relationship. Also, this means the categorical variables are independent of each other. </w:t>
      </w:r>
    </w:p>
    <w:p w14:paraId="0C518E07" w14:textId="4C9E945F" w:rsidR="007A6F77" w:rsidRPr="002D19CF" w:rsidRDefault="007A6F77" w:rsidP="002D19CF">
      <w:pPr>
        <w:rPr>
          <w:rFonts w:ascii="Arial" w:hAnsi="Arial" w:cs="Arial"/>
          <w:b/>
        </w:rPr>
      </w:pPr>
      <w:r w:rsidRPr="002D19CF">
        <w:rPr>
          <w:rFonts w:ascii="Arial" w:hAnsi="Arial" w:cs="Arial"/>
          <w:b/>
        </w:rPr>
        <w:t>Table 3. Results on Pearson’s Chi–Square analysis</w:t>
      </w:r>
    </w:p>
    <w:tbl>
      <w:tblPr>
        <w:tblStyle w:val="LightShading"/>
        <w:tblW w:w="0" w:type="auto"/>
        <w:tblLook w:val="06A0" w:firstRow="1" w:lastRow="0" w:firstColumn="1" w:lastColumn="0" w:noHBand="1" w:noVBand="1"/>
      </w:tblPr>
      <w:tblGrid>
        <w:gridCol w:w="2235"/>
        <w:gridCol w:w="2835"/>
        <w:gridCol w:w="2693"/>
        <w:gridCol w:w="1861"/>
      </w:tblGrid>
      <w:tr w:rsidR="007A6F77" w:rsidRPr="002D19CF" w14:paraId="627FCC09"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gridSpan w:val="2"/>
          </w:tcPr>
          <w:p w14:paraId="2FC259D7" w14:textId="77777777" w:rsidR="007A6F77" w:rsidRPr="002D19CF" w:rsidRDefault="007A6F77" w:rsidP="002D19CF">
            <w:pPr>
              <w:jc w:val="center"/>
              <w:rPr>
                <w:rFonts w:ascii="Arial" w:hAnsi="Arial" w:cs="Arial"/>
                <w:sz w:val="20"/>
                <w:szCs w:val="20"/>
              </w:rPr>
            </w:pPr>
            <w:r w:rsidRPr="002D19CF">
              <w:rPr>
                <w:rFonts w:ascii="Arial" w:hAnsi="Arial" w:cs="Arial"/>
                <w:sz w:val="20"/>
                <w:szCs w:val="20"/>
              </w:rPr>
              <w:t>Variables</w:t>
            </w:r>
          </w:p>
        </w:tc>
        <w:tc>
          <w:tcPr>
            <w:tcW w:w="2693" w:type="dxa"/>
          </w:tcPr>
          <w:p w14:paraId="4DFD68E4"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Chi-Square Value</w:t>
            </w:r>
          </w:p>
        </w:tc>
        <w:tc>
          <w:tcPr>
            <w:tcW w:w="1861" w:type="dxa"/>
          </w:tcPr>
          <w:p w14:paraId="0DADE03A"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P-Value</w:t>
            </w:r>
          </w:p>
        </w:tc>
      </w:tr>
      <w:tr w:rsidR="007A6F77" w:rsidRPr="002D19CF" w14:paraId="4D15DD55"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5BC37399" w14:textId="77777777" w:rsidR="007A6F77" w:rsidRPr="002D19CF" w:rsidRDefault="007A6F77" w:rsidP="002D19CF">
            <w:pPr>
              <w:rPr>
                <w:rFonts w:ascii="Arial" w:hAnsi="Arial" w:cs="Arial"/>
                <w:sz w:val="20"/>
                <w:szCs w:val="20"/>
              </w:rPr>
            </w:pPr>
            <w:r w:rsidRPr="002D19CF">
              <w:rPr>
                <w:rFonts w:ascii="Arial" w:hAnsi="Arial" w:cs="Arial"/>
                <w:sz w:val="20"/>
                <w:szCs w:val="20"/>
              </w:rPr>
              <w:t>User Awareness</w:t>
            </w:r>
          </w:p>
        </w:tc>
        <w:tc>
          <w:tcPr>
            <w:tcW w:w="2835" w:type="dxa"/>
          </w:tcPr>
          <w:p w14:paraId="743697DC"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Gender</w:t>
            </w:r>
          </w:p>
        </w:tc>
        <w:tc>
          <w:tcPr>
            <w:tcW w:w="2693" w:type="dxa"/>
          </w:tcPr>
          <w:p w14:paraId="6D6CC69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10.066</w:t>
            </w:r>
          </w:p>
        </w:tc>
        <w:tc>
          <w:tcPr>
            <w:tcW w:w="1861" w:type="dxa"/>
          </w:tcPr>
          <w:p w14:paraId="010C39E6" w14:textId="224417DE"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.435</w:t>
            </w:r>
          </w:p>
        </w:tc>
      </w:tr>
      <w:tr w:rsidR="007A6F77" w:rsidRPr="002D19CF" w14:paraId="62CCC2CD"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5AD8E93C" w14:textId="77777777" w:rsidR="007A6F77" w:rsidRPr="002D19CF" w:rsidRDefault="007A6F77" w:rsidP="002D19CF">
            <w:pPr>
              <w:rPr>
                <w:rFonts w:ascii="Arial" w:hAnsi="Arial" w:cs="Arial"/>
                <w:sz w:val="20"/>
                <w:szCs w:val="20"/>
              </w:rPr>
            </w:pPr>
          </w:p>
        </w:tc>
        <w:tc>
          <w:tcPr>
            <w:tcW w:w="2835" w:type="dxa"/>
          </w:tcPr>
          <w:p w14:paraId="4E78828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Age</w:t>
            </w:r>
          </w:p>
        </w:tc>
        <w:tc>
          <w:tcPr>
            <w:tcW w:w="2693" w:type="dxa"/>
          </w:tcPr>
          <w:p w14:paraId="003560A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46.045</w:t>
            </w:r>
          </w:p>
        </w:tc>
        <w:tc>
          <w:tcPr>
            <w:tcW w:w="1861" w:type="dxa"/>
          </w:tcPr>
          <w:p w14:paraId="1ACA6D38" w14:textId="29545D8A"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.236</w:t>
            </w:r>
          </w:p>
        </w:tc>
      </w:tr>
      <w:tr w:rsidR="007A6F77" w:rsidRPr="002D19CF" w14:paraId="7FF21FCF"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645A294F" w14:textId="77777777" w:rsidR="007A6F77" w:rsidRPr="002D19CF" w:rsidRDefault="007A6F77" w:rsidP="002D19CF">
            <w:pPr>
              <w:rPr>
                <w:rFonts w:ascii="Arial" w:hAnsi="Arial" w:cs="Arial"/>
                <w:sz w:val="20"/>
                <w:szCs w:val="20"/>
              </w:rPr>
            </w:pPr>
          </w:p>
        </w:tc>
        <w:tc>
          <w:tcPr>
            <w:tcW w:w="2835" w:type="dxa"/>
          </w:tcPr>
          <w:p w14:paraId="71EF98AF"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Educational Background</w:t>
            </w:r>
          </w:p>
        </w:tc>
        <w:tc>
          <w:tcPr>
            <w:tcW w:w="2693" w:type="dxa"/>
          </w:tcPr>
          <w:p w14:paraId="0FC15B6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29.621</w:t>
            </w:r>
          </w:p>
        </w:tc>
        <w:tc>
          <w:tcPr>
            <w:tcW w:w="1861" w:type="dxa"/>
          </w:tcPr>
          <w:p w14:paraId="07DB37A3" w14:textId="24955253"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.485</w:t>
            </w:r>
          </w:p>
        </w:tc>
      </w:tr>
      <w:tr w:rsidR="007A6F77" w:rsidRPr="002D19CF" w14:paraId="716843EC"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06BB3FDD" w14:textId="77777777" w:rsidR="007A6F77" w:rsidRPr="002D19CF" w:rsidRDefault="007A6F77" w:rsidP="002D19CF">
            <w:pPr>
              <w:rPr>
                <w:rFonts w:ascii="Arial" w:hAnsi="Arial" w:cs="Arial"/>
                <w:sz w:val="20"/>
                <w:szCs w:val="20"/>
              </w:rPr>
            </w:pPr>
          </w:p>
        </w:tc>
        <w:tc>
          <w:tcPr>
            <w:tcW w:w="2835" w:type="dxa"/>
          </w:tcPr>
          <w:p w14:paraId="588DB7E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Level</w:t>
            </w:r>
          </w:p>
        </w:tc>
        <w:tc>
          <w:tcPr>
            <w:tcW w:w="2693" w:type="dxa"/>
          </w:tcPr>
          <w:p w14:paraId="4FD5291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38.664</w:t>
            </w:r>
          </w:p>
        </w:tc>
        <w:tc>
          <w:tcPr>
            <w:tcW w:w="1861" w:type="dxa"/>
          </w:tcPr>
          <w:p w14:paraId="3F95D063" w14:textId="0F83EFCE"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.133</w:t>
            </w:r>
          </w:p>
        </w:tc>
      </w:tr>
      <w:tr w:rsidR="007A6F77" w:rsidRPr="002D19CF" w14:paraId="2702FED9"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4802AC65" w14:textId="77777777" w:rsidR="007A6F77" w:rsidRPr="002D19CF" w:rsidRDefault="007A6F77" w:rsidP="002D19CF">
            <w:pPr>
              <w:rPr>
                <w:rFonts w:ascii="Arial" w:hAnsi="Arial" w:cs="Arial"/>
                <w:sz w:val="20"/>
                <w:szCs w:val="20"/>
              </w:rPr>
            </w:pPr>
          </w:p>
        </w:tc>
        <w:tc>
          <w:tcPr>
            <w:tcW w:w="2835" w:type="dxa"/>
          </w:tcPr>
          <w:p w14:paraId="299C7BA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Formal Training on Digital Privacy</w:t>
            </w:r>
          </w:p>
        </w:tc>
        <w:tc>
          <w:tcPr>
            <w:tcW w:w="2693" w:type="dxa"/>
          </w:tcPr>
          <w:p w14:paraId="734185A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13.682</w:t>
            </w:r>
          </w:p>
        </w:tc>
        <w:tc>
          <w:tcPr>
            <w:tcW w:w="1861" w:type="dxa"/>
          </w:tcPr>
          <w:p w14:paraId="33B0F710" w14:textId="53936769"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.188</w:t>
            </w:r>
          </w:p>
        </w:tc>
      </w:tr>
      <w:tr w:rsidR="007A6F77" w:rsidRPr="002D19CF" w14:paraId="4611485F"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38F7A319" w14:textId="77777777" w:rsidR="007A6F77" w:rsidRPr="002D19CF" w:rsidRDefault="007A6F77" w:rsidP="002D19CF">
            <w:pPr>
              <w:rPr>
                <w:rFonts w:ascii="Arial" w:hAnsi="Arial" w:cs="Arial"/>
                <w:sz w:val="20"/>
                <w:szCs w:val="20"/>
              </w:rPr>
            </w:pPr>
          </w:p>
        </w:tc>
        <w:tc>
          <w:tcPr>
            <w:tcW w:w="2835" w:type="dxa"/>
          </w:tcPr>
          <w:p w14:paraId="0F38CEE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tcPr>
          <w:p w14:paraId="1165243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61" w:type="dxa"/>
          </w:tcPr>
          <w:p w14:paraId="702B3EB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0570A54A"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20123B5B" w14:textId="6F3DA3BF" w:rsidR="007A6F77" w:rsidRPr="002D19CF" w:rsidRDefault="007A6F77" w:rsidP="002D19CF">
            <w:pPr>
              <w:rPr>
                <w:rFonts w:ascii="Arial" w:hAnsi="Arial" w:cs="Arial"/>
                <w:sz w:val="20"/>
                <w:szCs w:val="20"/>
              </w:rPr>
            </w:pPr>
            <w:r w:rsidRPr="002D19CF">
              <w:rPr>
                <w:rFonts w:ascii="Arial" w:hAnsi="Arial" w:cs="Arial"/>
                <w:sz w:val="20"/>
                <w:szCs w:val="20"/>
              </w:rPr>
              <w:t xml:space="preserve">User </w:t>
            </w:r>
            <w:r w:rsidR="009F7904">
              <w:rPr>
                <w:rFonts w:ascii="Arial" w:hAnsi="Arial" w:cs="Arial"/>
                <w:sz w:val="20"/>
                <w:szCs w:val="20"/>
              </w:rPr>
              <w:t>Behaviour</w:t>
            </w:r>
          </w:p>
        </w:tc>
        <w:tc>
          <w:tcPr>
            <w:tcW w:w="2835" w:type="dxa"/>
          </w:tcPr>
          <w:p w14:paraId="767BD98A"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Gender</w:t>
            </w:r>
          </w:p>
        </w:tc>
        <w:tc>
          <w:tcPr>
            <w:tcW w:w="2693" w:type="dxa"/>
          </w:tcPr>
          <w:p w14:paraId="085567E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13.830</w:t>
            </w:r>
          </w:p>
        </w:tc>
        <w:tc>
          <w:tcPr>
            <w:tcW w:w="1861" w:type="dxa"/>
          </w:tcPr>
          <w:p w14:paraId="4F803B52" w14:textId="58F2FC1D"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.243</w:t>
            </w:r>
          </w:p>
        </w:tc>
      </w:tr>
      <w:tr w:rsidR="007A6F77" w:rsidRPr="002D19CF" w14:paraId="082703C3"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4D81BBF5" w14:textId="77777777" w:rsidR="007A6F77" w:rsidRPr="002D19CF" w:rsidRDefault="007A6F77" w:rsidP="002D19CF">
            <w:pPr>
              <w:rPr>
                <w:rFonts w:ascii="Arial" w:hAnsi="Arial" w:cs="Arial"/>
                <w:sz w:val="20"/>
                <w:szCs w:val="20"/>
              </w:rPr>
            </w:pPr>
          </w:p>
        </w:tc>
        <w:tc>
          <w:tcPr>
            <w:tcW w:w="2835" w:type="dxa"/>
          </w:tcPr>
          <w:p w14:paraId="0514891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Age</w:t>
            </w:r>
          </w:p>
        </w:tc>
        <w:tc>
          <w:tcPr>
            <w:tcW w:w="2693" w:type="dxa"/>
          </w:tcPr>
          <w:p w14:paraId="7FDAE33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45.009</w:t>
            </w:r>
          </w:p>
        </w:tc>
        <w:tc>
          <w:tcPr>
            <w:tcW w:w="1861" w:type="dxa"/>
          </w:tcPr>
          <w:p w14:paraId="0B4C4606" w14:textId="7CBEBD9F"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.429</w:t>
            </w:r>
          </w:p>
        </w:tc>
      </w:tr>
      <w:tr w:rsidR="007A6F77" w:rsidRPr="002D19CF" w14:paraId="3A87D467"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5BC8106D" w14:textId="77777777" w:rsidR="007A6F77" w:rsidRPr="002D19CF" w:rsidRDefault="007A6F77" w:rsidP="002D19CF">
            <w:pPr>
              <w:rPr>
                <w:rFonts w:ascii="Arial" w:hAnsi="Arial" w:cs="Arial"/>
                <w:sz w:val="20"/>
                <w:szCs w:val="20"/>
              </w:rPr>
            </w:pPr>
          </w:p>
        </w:tc>
        <w:tc>
          <w:tcPr>
            <w:tcW w:w="2835" w:type="dxa"/>
          </w:tcPr>
          <w:p w14:paraId="252B157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Educational Background</w:t>
            </w:r>
          </w:p>
        </w:tc>
        <w:tc>
          <w:tcPr>
            <w:tcW w:w="2693" w:type="dxa"/>
          </w:tcPr>
          <w:p w14:paraId="00E3575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26.021</w:t>
            </w:r>
          </w:p>
        </w:tc>
        <w:tc>
          <w:tcPr>
            <w:tcW w:w="1861" w:type="dxa"/>
          </w:tcPr>
          <w:p w14:paraId="2C9A67AB" w14:textId="3C7D7BD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.801</w:t>
            </w:r>
          </w:p>
        </w:tc>
      </w:tr>
      <w:tr w:rsidR="007A6F77" w:rsidRPr="002D19CF" w14:paraId="29531DAB"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07EC4B20" w14:textId="77777777" w:rsidR="007A6F77" w:rsidRPr="002D19CF" w:rsidRDefault="007A6F77" w:rsidP="002D19CF">
            <w:pPr>
              <w:rPr>
                <w:rFonts w:ascii="Arial" w:hAnsi="Arial" w:cs="Arial"/>
                <w:sz w:val="20"/>
                <w:szCs w:val="20"/>
              </w:rPr>
            </w:pPr>
          </w:p>
        </w:tc>
        <w:tc>
          <w:tcPr>
            <w:tcW w:w="2835" w:type="dxa"/>
          </w:tcPr>
          <w:p w14:paraId="0F0AC26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Level</w:t>
            </w:r>
          </w:p>
        </w:tc>
        <w:tc>
          <w:tcPr>
            <w:tcW w:w="2693" w:type="dxa"/>
          </w:tcPr>
          <w:p w14:paraId="2ACF95B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30.952</w:t>
            </w:r>
          </w:p>
        </w:tc>
        <w:tc>
          <w:tcPr>
            <w:tcW w:w="1861" w:type="dxa"/>
          </w:tcPr>
          <w:p w14:paraId="78B0950D" w14:textId="3504C358"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.569</w:t>
            </w:r>
          </w:p>
        </w:tc>
      </w:tr>
      <w:tr w:rsidR="007A6F77" w:rsidRPr="002D19CF" w14:paraId="248C44A0"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74A5EC07" w14:textId="77777777" w:rsidR="007A6F77" w:rsidRPr="002D19CF" w:rsidRDefault="007A6F77" w:rsidP="002D19CF">
            <w:pPr>
              <w:rPr>
                <w:rFonts w:ascii="Arial" w:hAnsi="Arial" w:cs="Arial"/>
                <w:sz w:val="20"/>
                <w:szCs w:val="20"/>
              </w:rPr>
            </w:pPr>
          </w:p>
        </w:tc>
        <w:tc>
          <w:tcPr>
            <w:tcW w:w="2835" w:type="dxa"/>
          </w:tcPr>
          <w:p w14:paraId="1C5CD09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Formal Training on Digital Privacy</w:t>
            </w:r>
          </w:p>
        </w:tc>
        <w:tc>
          <w:tcPr>
            <w:tcW w:w="2693" w:type="dxa"/>
          </w:tcPr>
          <w:p w14:paraId="2FBBEB7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11.595</w:t>
            </w:r>
          </w:p>
        </w:tc>
        <w:tc>
          <w:tcPr>
            <w:tcW w:w="1861" w:type="dxa"/>
          </w:tcPr>
          <w:p w14:paraId="57459C5B" w14:textId="12C6D173"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.395</w:t>
            </w:r>
          </w:p>
        </w:tc>
      </w:tr>
      <w:tr w:rsidR="007A6F77" w:rsidRPr="002D19CF" w14:paraId="77476D50" w14:textId="77777777" w:rsidTr="008F57CF">
        <w:tc>
          <w:tcPr>
            <w:cnfStyle w:val="001000000000" w:firstRow="0" w:lastRow="0" w:firstColumn="1" w:lastColumn="0" w:oddVBand="0" w:evenVBand="0" w:oddHBand="0" w:evenHBand="0" w:firstRowFirstColumn="0" w:firstRowLastColumn="0" w:lastRowFirstColumn="0" w:lastRowLastColumn="0"/>
            <w:tcW w:w="2235" w:type="dxa"/>
          </w:tcPr>
          <w:p w14:paraId="34316161" w14:textId="77777777" w:rsidR="007A6F77" w:rsidRPr="002D19CF" w:rsidRDefault="007A6F77" w:rsidP="002D19CF">
            <w:pPr>
              <w:rPr>
                <w:rFonts w:ascii="Arial" w:hAnsi="Arial" w:cs="Arial"/>
                <w:sz w:val="20"/>
                <w:szCs w:val="20"/>
              </w:rPr>
            </w:pPr>
          </w:p>
        </w:tc>
        <w:tc>
          <w:tcPr>
            <w:tcW w:w="2835" w:type="dxa"/>
          </w:tcPr>
          <w:p w14:paraId="65718301"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tcPr>
          <w:p w14:paraId="4EBBA31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61" w:type="dxa"/>
          </w:tcPr>
          <w:p w14:paraId="0F6D830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A399FDC" w14:textId="77777777" w:rsidR="007A6F77" w:rsidRPr="002D19CF" w:rsidRDefault="007A6F77" w:rsidP="002D19CF">
      <w:pPr>
        <w:rPr>
          <w:rFonts w:ascii="Arial" w:hAnsi="Arial" w:cs="Arial"/>
        </w:rPr>
      </w:pPr>
    </w:p>
    <w:p w14:paraId="5FB66FE5" w14:textId="2DFB97BB" w:rsidR="007A6F77" w:rsidRPr="009B58AD" w:rsidRDefault="009B58AD" w:rsidP="002D19CF">
      <w:pPr>
        <w:rPr>
          <w:rFonts w:ascii="Arial" w:hAnsi="Arial" w:cs="Arial"/>
          <w:b/>
          <w:sz w:val="22"/>
          <w:szCs w:val="22"/>
          <w:highlight w:val="yellow"/>
        </w:rPr>
      </w:pPr>
      <w:r w:rsidRPr="009B58AD">
        <w:rPr>
          <w:rFonts w:ascii="Arial" w:hAnsi="Arial" w:cs="Arial"/>
          <w:b/>
          <w:sz w:val="22"/>
          <w:szCs w:val="22"/>
          <w:highlight w:val="yellow"/>
        </w:rPr>
        <w:t>3</w:t>
      </w:r>
      <w:r w:rsidR="007A6F77" w:rsidRPr="009B58AD">
        <w:rPr>
          <w:rFonts w:ascii="Arial" w:hAnsi="Arial" w:cs="Arial"/>
          <w:b/>
          <w:sz w:val="22"/>
          <w:szCs w:val="22"/>
          <w:highlight w:val="yellow"/>
        </w:rPr>
        <w:t xml:space="preserve">.3 Determine factors that influence user </w:t>
      </w:r>
      <w:r w:rsidR="009F7904" w:rsidRPr="009B58AD">
        <w:rPr>
          <w:rFonts w:ascii="Arial" w:hAnsi="Arial" w:cs="Arial"/>
          <w:b/>
          <w:sz w:val="22"/>
          <w:szCs w:val="22"/>
          <w:highlight w:val="yellow"/>
        </w:rPr>
        <w:t>behaviour</w:t>
      </w:r>
    </w:p>
    <w:p w14:paraId="74EF8E23" w14:textId="4009E79F" w:rsidR="007A6F77" w:rsidRPr="002D19CF" w:rsidRDefault="009B58AD" w:rsidP="002D19CF">
      <w:pPr>
        <w:rPr>
          <w:rFonts w:ascii="Arial" w:hAnsi="Arial" w:cs="Arial"/>
          <w:b/>
          <w:sz w:val="22"/>
          <w:szCs w:val="22"/>
        </w:rPr>
      </w:pPr>
      <w:r w:rsidRPr="009B58AD">
        <w:rPr>
          <w:rFonts w:ascii="Arial" w:hAnsi="Arial" w:cs="Arial"/>
          <w:b/>
          <w:sz w:val="22"/>
          <w:szCs w:val="22"/>
          <w:highlight w:val="yellow"/>
        </w:rPr>
        <w:t>3</w:t>
      </w:r>
      <w:r w:rsidR="007A6F77" w:rsidRPr="009B58AD">
        <w:rPr>
          <w:rFonts w:ascii="Arial" w:hAnsi="Arial" w:cs="Arial"/>
          <w:b/>
          <w:sz w:val="22"/>
          <w:szCs w:val="22"/>
          <w:highlight w:val="yellow"/>
        </w:rPr>
        <w:t xml:space="preserve">.3.1 Descriptive statistics of factors that influence user </w:t>
      </w:r>
      <w:r w:rsidR="009F7904" w:rsidRPr="009B58AD">
        <w:rPr>
          <w:rFonts w:ascii="Arial" w:hAnsi="Arial" w:cs="Arial"/>
          <w:b/>
          <w:sz w:val="22"/>
          <w:szCs w:val="22"/>
          <w:highlight w:val="yellow"/>
        </w:rPr>
        <w:t>behaviour</w:t>
      </w:r>
    </w:p>
    <w:p w14:paraId="252CCEC6" w14:textId="478D64A5" w:rsidR="007A6F77" w:rsidRPr="002D19CF" w:rsidRDefault="007A6F77" w:rsidP="002D19CF">
      <w:pPr>
        <w:jc w:val="both"/>
        <w:rPr>
          <w:rFonts w:ascii="Arial" w:hAnsi="Arial" w:cs="Arial"/>
        </w:rPr>
      </w:pPr>
      <w:r w:rsidRPr="002D19CF">
        <w:rPr>
          <w:rStyle w:val="fontstyle01"/>
          <w:rFonts w:ascii="Arial" w:hAnsi="Arial" w:cs="Arial"/>
          <w:sz w:val="20"/>
          <w:szCs w:val="20"/>
        </w:rPr>
        <w:t xml:space="preserve">The factors that influence user </w:t>
      </w:r>
      <w:r w:rsidR="009F7904">
        <w:rPr>
          <w:rStyle w:val="fontstyle01"/>
          <w:rFonts w:ascii="Arial" w:hAnsi="Arial" w:cs="Arial"/>
          <w:sz w:val="20"/>
          <w:szCs w:val="20"/>
        </w:rPr>
        <w:t>behaviour</w:t>
      </w:r>
      <w:r w:rsidRPr="002D19CF">
        <w:rPr>
          <w:rStyle w:val="fontstyle01"/>
          <w:rFonts w:ascii="Arial" w:hAnsi="Arial" w:cs="Arial"/>
          <w:sz w:val="20"/>
          <w:szCs w:val="20"/>
        </w:rPr>
        <w:t xml:space="preserve"> were measured using 3 items on a five-point Likert Scale. Thus, the item descriptive statistics in terms of means and standard deviations (SD) of user </w:t>
      </w:r>
      <w:r w:rsidR="009F7904">
        <w:rPr>
          <w:rStyle w:val="fontstyle01"/>
          <w:rFonts w:ascii="Arial" w:hAnsi="Arial" w:cs="Arial"/>
          <w:sz w:val="20"/>
          <w:szCs w:val="20"/>
        </w:rPr>
        <w:t>behaviour</w:t>
      </w:r>
      <w:r w:rsidRPr="002D19CF">
        <w:rPr>
          <w:rStyle w:val="fontstyle01"/>
          <w:rFonts w:ascii="Arial" w:hAnsi="Arial" w:cs="Arial"/>
          <w:sz w:val="20"/>
          <w:szCs w:val="20"/>
        </w:rPr>
        <w:t xml:space="preserve"> (UB) are presented in Table 4 below. The mean range of the user </w:t>
      </w:r>
      <w:r w:rsidR="009F7904">
        <w:rPr>
          <w:rStyle w:val="fontstyle01"/>
          <w:rFonts w:ascii="Arial" w:hAnsi="Arial" w:cs="Arial"/>
          <w:sz w:val="20"/>
          <w:szCs w:val="20"/>
        </w:rPr>
        <w:t>behaviour</w:t>
      </w:r>
      <w:r w:rsidRPr="002D19CF">
        <w:rPr>
          <w:rStyle w:val="fontstyle01"/>
          <w:rFonts w:ascii="Arial" w:hAnsi="Arial" w:cs="Arial"/>
          <w:sz w:val="20"/>
          <w:szCs w:val="20"/>
        </w:rPr>
        <w:t xml:space="preserve"> construct was 3.68 to 4.52 (Table 4). The total mean was 4.05 (SD=</w:t>
      </w:r>
      <w:r w:rsidRPr="002D19CF">
        <w:rPr>
          <w:rFonts w:ascii="Arial" w:hAnsi="Arial" w:cs="Arial"/>
        </w:rPr>
        <w:t>1.167</w:t>
      </w:r>
      <w:r w:rsidRPr="002D19CF">
        <w:rPr>
          <w:rStyle w:val="fontstyle01"/>
          <w:rFonts w:ascii="Arial" w:hAnsi="Arial" w:cs="Arial"/>
          <w:sz w:val="20"/>
          <w:szCs w:val="20"/>
        </w:rPr>
        <w:t xml:space="preserve">), indicating a strong level of user </w:t>
      </w:r>
      <w:r w:rsidR="009F7904">
        <w:rPr>
          <w:rStyle w:val="fontstyle01"/>
          <w:rFonts w:ascii="Arial" w:hAnsi="Arial" w:cs="Arial"/>
          <w:sz w:val="20"/>
          <w:szCs w:val="20"/>
        </w:rPr>
        <w:t>behaviour</w:t>
      </w:r>
      <w:r w:rsidRPr="002D19CF">
        <w:rPr>
          <w:rStyle w:val="fontstyle01"/>
          <w:rFonts w:ascii="Arial" w:hAnsi="Arial" w:cs="Arial"/>
          <w:sz w:val="20"/>
          <w:szCs w:val="20"/>
        </w:rPr>
        <w:t xml:space="preserve"> factors toward data privacy policies. Specifically, most of the respondents indicated that </w:t>
      </w:r>
      <w:r w:rsidRPr="002D19CF">
        <w:rPr>
          <w:rFonts w:ascii="Arial" w:hAnsi="Arial" w:cs="Arial"/>
        </w:rPr>
        <w:t>the length of the policy is a factor that influences one’s decision to read or not read data privacy policies and terms and conditions.</w:t>
      </w:r>
    </w:p>
    <w:p w14:paraId="430557B9" w14:textId="3AE79965" w:rsidR="007A6F77" w:rsidRPr="002D19CF" w:rsidRDefault="007A6F77" w:rsidP="002D19CF">
      <w:pPr>
        <w:rPr>
          <w:rFonts w:ascii="Arial" w:hAnsi="Arial" w:cs="Arial"/>
          <w:b/>
        </w:rPr>
      </w:pPr>
      <w:r w:rsidRPr="002D19CF">
        <w:rPr>
          <w:rFonts w:ascii="Arial" w:hAnsi="Arial" w:cs="Arial"/>
          <w:b/>
        </w:rPr>
        <w:t xml:space="preserve">Table 4. Descriptive statistics of factors that influence user </w:t>
      </w:r>
      <w:r w:rsidR="009F7904">
        <w:rPr>
          <w:rFonts w:ascii="Arial" w:hAnsi="Arial" w:cs="Arial"/>
          <w:b/>
        </w:rPr>
        <w:t>behaviour</w:t>
      </w:r>
    </w:p>
    <w:tbl>
      <w:tblPr>
        <w:tblStyle w:val="LightShading"/>
        <w:tblW w:w="0" w:type="auto"/>
        <w:tblLook w:val="06A0" w:firstRow="1" w:lastRow="0" w:firstColumn="1" w:lastColumn="0" w:noHBand="1" w:noVBand="1"/>
      </w:tblPr>
      <w:tblGrid>
        <w:gridCol w:w="3505"/>
        <w:gridCol w:w="992"/>
        <w:gridCol w:w="1275"/>
        <w:gridCol w:w="1283"/>
        <w:gridCol w:w="850"/>
        <w:gridCol w:w="1719"/>
      </w:tblGrid>
      <w:tr w:rsidR="007A6F77" w:rsidRPr="002D19CF" w14:paraId="72B82F2B"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3F032D39" w14:textId="77777777" w:rsidR="007A6F77" w:rsidRPr="002D19CF" w:rsidRDefault="007A6F77" w:rsidP="002D19CF">
            <w:pPr>
              <w:rPr>
                <w:rFonts w:ascii="Arial" w:hAnsi="Arial" w:cs="Arial"/>
                <w:sz w:val="20"/>
                <w:szCs w:val="20"/>
              </w:rPr>
            </w:pPr>
          </w:p>
        </w:tc>
        <w:tc>
          <w:tcPr>
            <w:tcW w:w="992" w:type="dxa"/>
          </w:tcPr>
          <w:p w14:paraId="77EAB573"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N</w:t>
            </w:r>
          </w:p>
        </w:tc>
        <w:tc>
          <w:tcPr>
            <w:tcW w:w="1275" w:type="dxa"/>
          </w:tcPr>
          <w:p w14:paraId="02400381"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Minimum</w:t>
            </w:r>
          </w:p>
        </w:tc>
        <w:tc>
          <w:tcPr>
            <w:tcW w:w="1283" w:type="dxa"/>
          </w:tcPr>
          <w:p w14:paraId="6CD30FC0"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Maximum</w:t>
            </w:r>
          </w:p>
        </w:tc>
        <w:tc>
          <w:tcPr>
            <w:tcW w:w="850" w:type="dxa"/>
          </w:tcPr>
          <w:p w14:paraId="7810392D"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Mean</w:t>
            </w:r>
          </w:p>
        </w:tc>
        <w:tc>
          <w:tcPr>
            <w:tcW w:w="1719" w:type="dxa"/>
          </w:tcPr>
          <w:p w14:paraId="216E7101"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Std. Deviation</w:t>
            </w:r>
          </w:p>
          <w:p w14:paraId="24F1FE5E"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2544C39C" w14:textId="77777777" w:rsidTr="008F57CF">
        <w:tc>
          <w:tcPr>
            <w:cnfStyle w:val="001000000000" w:firstRow="0" w:lastRow="0" w:firstColumn="1" w:lastColumn="0" w:oddVBand="0" w:evenVBand="0" w:oddHBand="0" w:evenHBand="0" w:firstRowFirstColumn="0" w:firstRowLastColumn="0" w:lastRowFirstColumn="0" w:lastRowLastColumn="0"/>
            <w:tcW w:w="3505" w:type="dxa"/>
          </w:tcPr>
          <w:p w14:paraId="1EF6685A" w14:textId="6269C17C"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Length of policy is a factor that influence</w:t>
            </w:r>
            <w:r w:rsidR="00DB45C2">
              <w:rPr>
                <w:rFonts w:ascii="Arial" w:hAnsi="Arial" w:cs="Arial"/>
                <w:b w:val="0"/>
                <w:sz w:val="20"/>
                <w:szCs w:val="20"/>
              </w:rPr>
              <w:t>s</w:t>
            </w:r>
            <w:r w:rsidRPr="002D19CF">
              <w:rPr>
                <w:rFonts w:ascii="Arial" w:hAnsi="Arial" w:cs="Arial"/>
                <w:b w:val="0"/>
                <w:sz w:val="20"/>
                <w:szCs w:val="20"/>
              </w:rPr>
              <w:t xml:space="preserve"> your decision to read or not read data privacy policies and terms and conditions</w:t>
            </w:r>
            <w:r w:rsidR="00B13215">
              <w:rPr>
                <w:rFonts w:ascii="Arial" w:hAnsi="Arial" w:cs="Arial"/>
                <w:b w:val="0"/>
                <w:sz w:val="20"/>
                <w:szCs w:val="20"/>
              </w:rPr>
              <w:t>.</w:t>
            </w:r>
          </w:p>
          <w:p w14:paraId="6E0E158A" w14:textId="77777777" w:rsidR="007A6F77" w:rsidRPr="002D19CF" w:rsidRDefault="007A6F77" w:rsidP="002D19CF">
            <w:pPr>
              <w:jc w:val="both"/>
              <w:rPr>
                <w:rFonts w:ascii="Arial" w:hAnsi="Arial" w:cs="Arial"/>
                <w:b w:val="0"/>
                <w:sz w:val="20"/>
                <w:szCs w:val="20"/>
              </w:rPr>
            </w:pPr>
          </w:p>
        </w:tc>
        <w:tc>
          <w:tcPr>
            <w:tcW w:w="992" w:type="dxa"/>
          </w:tcPr>
          <w:p w14:paraId="2D5D4EF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275" w:type="dxa"/>
          </w:tcPr>
          <w:p w14:paraId="6FAB08B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83" w:type="dxa"/>
          </w:tcPr>
          <w:p w14:paraId="0F7A03B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850" w:type="dxa"/>
          </w:tcPr>
          <w:p w14:paraId="56EC3B3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4.52</w:t>
            </w:r>
          </w:p>
        </w:tc>
        <w:tc>
          <w:tcPr>
            <w:tcW w:w="1719" w:type="dxa"/>
          </w:tcPr>
          <w:p w14:paraId="3FA7D93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.875</w:t>
            </w:r>
          </w:p>
        </w:tc>
      </w:tr>
      <w:tr w:rsidR="007A6F77" w:rsidRPr="002D19CF" w14:paraId="71A12FB0" w14:textId="77777777" w:rsidTr="008F57CF">
        <w:tc>
          <w:tcPr>
            <w:cnfStyle w:val="001000000000" w:firstRow="0" w:lastRow="0" w:firstColumn="1" w:lastColumn="0" w:oddVBand="0" w:evenVBand="0" w:oddHBand="0" w:evenHBand="0" w:firstRowFirstColumn="0" w:firstRowLastColumn="0" w:lastRowFirstColumn="0" w:lastRowLastColumn="0"/>
            <w:tcW w:w="3505" w:type="dxa"/>
          </w:tcPr>
          <w:p w14:paraId="5A110D17" w14:textId="0A232052"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How concerned I am about the privacy of my personal information when using online services influence</w:t>
            </w:r>
            <w:r w:rsidR="002F2835">
              <w:rPr>
                <w:rFonts w:ascii="Arial" w:hAnsi="Arial" w:cs="Arial"/>
                <w:b w:val="0"/>
                <w:sz w:val="20"/>
                <w:szCs w:val="20"/>
              </w:rPr>
              <w:t>s</w:t>
            </w:r>
            <w:r w:rsidRPr="002D19CF">
              <w:rPr>
                <w:rFonts w:ascii="Arial" w:hAnsi="Arial" w:cs="Arial"/>
                <w:b w:val="0"/>
                <w:sz w:val="20"/>
                <w:szCs w:val="20"/>
              </w:rPr>
              <w:t xml:space="preserve"> my </w:t>
            </w:r>
            <w:r w:rsidR="009F7904">
              <w:rPr>
                <w:rFonts w:ascii="Arial" w:hAnsi="Arial" w:cs="Arial"/>
                <w:b w:val="0"/>
                <w:sz w:val="20"/>
                <w:szCs w:val="20"/>
              </w:rPr>
              <w:t>behaviour</w:t>
            </w:r>
          </w:p>
          <w:p w14:paraId="5B3007E4" w14:textId="77777777" w:rsidR="007A6F77" w:rsidRPr="002D19CF" w:rsidRDefault="007A6F77" w:rsidP="002D19CF">
            <w:pPr>
              <w:jc w:val="both"/>
              <w:rPr>
                <w:rFonts w:ascii="Arial" w:hAnsi="Arial" w:cs="Arial"/>
                <w:b w:val="0"/>
                <w:sz w:val="20"/>
                <w:szCs w:val="20"/>
              </w:rPr>
            </w:pPr>
          </w:p>
        </w:tc>
        <w:tc>
          <w:tcPr>
            <w:tcW w:w="992" w:type="dxa"/>
          </w:tcPr>
          <w:p w14:paraId="5CAB9C2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275" w:type="dxa"/>
          </w:tcPr>
          <w:p w14:paraId="3E936F3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83" w:type="dxa"/>
          </w:tcPr>
          <w:p w14:paraId="391DACE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850" w:type="dxa"/>
          </w:tcPr>
          <w:p w14:paraId="427DF3C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3.96</w:t>
            </w:r>
          </w:p>
        </w:tc>
        <w:tc>
          <w:tcPr>
            <w:tcW w:w="1719" w:type="dxa"/>
          </w:tcPr>
          <w:p w14:paraId="74FEE4E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1.254</w:t>
            </w:r>
          </w:p>
        </w:tc>
      </w:tr>
      <w:tr w:rsidR="007A6F77" w:rsidRPr="002D19CF" w14:paraId="418B7BB5" w14:textId="77777777" w:rsidTr="008F57CF">
        <w:tc>
          <w:tcPr>
            <w:cnfStyle w:val="001000000000" w:firstRow="0" w:lastRow="0" w:firstColumn="1" w:lastColumn="0" w:oddVBand="0" w:evenVBand="0" w:oddHBand="0" w:evenHBand="0" w:firstRowFirstColumn="0" w:firstRowLastColumn="0" w:lastRowFirstColumn="0" w:lastRowLastColumn="0"/>
            <w:tcW w:w="3505" w:type="dxa"/>
          </w:tcPr>
          <w:p w14:paraId="4FAF59D0" w14:textId="39F3DD07" w:rsidR="007A6F77" w:rsidRPr="002D19CF" w:rsidRDefault="007A6F77" w:rsidP="002D19CF">
            <w:pPr>
              <w:jc w:val="both"/>
              <w:rPr>
                <w:rFonts w:ascii="Arial" w:hAnsi="Arial" w:cs="Arial"/>
                <w:b w:val="0"/>
                <w:sz w:val="20"/>
                <w:szCs w:val="20"/>
              </w:rPr>
            </w:pPr>
            <w:r w:rsidRPr="002D19CF">
              <w:rPr>
                <w:rFonts w:ascii="Arial" w:hAnsi="Arial" w:cs="Arial"/>
                <w:b w:val="0"/>
                <w:sz w:val="20"/>
                <w:szCs w:val="20"/>
              </w:rPr>
              <w:t xml:space="preserve">My attitudes towards data privacy policies influence my online </w:t>
            </w:r>
            <w:r w:rsidR="009F7904">
              <w:rPr>
                <w:rFonts w:ascii="Arial" w:hAnsi="Arial" w:cs="Arial"/>
                <w:b w:val="0"/>
                <w:sz w:val="20"/>
                <w:szCs w:val="20"/>
              </w:rPr>
              <w:t>behaviour</w:t>
            </w:r>
            <w:r w:rsidRPr="002D19CF">
              <w:rPr>
                <w:rFonts w:ascii="Arial" w:hAnsi="Arial" w:cs="Arial"/>
                <w:b w:val="0"/>
                <w:sz w:val="20"/>
                <w:szCs w:val="20"/>
              </w:rPr>
              <w:t>s, such as the information I share or the services I use</w:t>
            </w:r>
          </w:p>
          <w:p w14:paraId="1515698A" w14:textId="77777777" w:rsidR="007A6F77" w:rsidRPr="002D19CF" w:rsidRDefault="007A6F77" w:rsidP="002D19CF">
            <w:pPr>
              <w:jc w:val="both"/>
              <w:rPr>
                <w:rFonts w:ascii="Arial" w:hAnsi="Arial" w:cs="Arial"/>
                <w:b w:val="0"/>
                <w:sz w:val="20"/>
                <w:szCs w:val="20"/>
              </w:rPr>
            </w:pPr>
          </w:p>
        </w:tc>
        <w:tc>
          <w:tcPr>
            <w:tcW w:w="992" w:type="dxa"/>
          </w:tcPr>
          <w:p w14:paraId="717E98F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1275" w:type="dxa"/>
          </w:tcPr>
          <w:p w14:paraId="20BF20A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1283" w:type="dxa"/>
          </w:tcPr>
          <w:p w14:paraId="5F54C0A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850" w:type="dxa"/>
          </w:tcPr>
          <w:p w14:paraId="516F5E3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3.68</w:t>
            </w:r>
          </w:p>
        </w:tc>
        <w:tc>
          <w:tcPr>
            <w:tcW w:w="1719" w:type="dxa"/>
          </w:tcPr>
          <w:p w14:paraId="387D7F5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1.371</w:t>
            </w:r>
          </w:p>
        </w:tc>
      </w:tr>
      <w:tr w:rsidR="007A6F77" w:rsidRPr="002D19CF" w14:paraId="7B290369" w14:textId="77777777" w:rsidTr="008F57CF">
        <w:tc>
          <w:tcPr>
            <w:cnfStyle w:val="001000000000" w:firstRow="0" w:lastRow="0" w:firstColumn="1" w:lastColumn="0" w:oddVBand="0" w:evenVBand="0" w:oddHBand="0" w:evenHBand="0" w:firstRowFirstColumn="0" w:firstRowLastColumn="0" w:lastRowFirstColumn="0" w:lastRowLastColumn="0"/>
            <w:tcW w:w="3505" w:type="dxa"/>
          </w:tcPr>
          <w:p w14:paraId="1F15AAB1" w14:textId="77777777" w:rsidR="007A6F77" w:rsidRPr="002D19CF" w:rsidRDefault="007A6F77" w:rsidP="002D19CF">
            <w:pPr>
              <w:rPr>
                <w:rFonts w:ascii="Arial" w:hAnsi="Arial" w:cs="Arial"/>
                <w:sz w:val="20"/>
                <w:szCs w:val="20"/>
              </w:rPr>
            </w:pPr>
            <w:r w:rsidRPr="002D19CF">
              <w:rPr>
                <w:rFonts w:ascii="Arial" w:hAnsi="Arial" w:cs="Arial"/>
                <w:sz w:val="20"/>
                <w:szCs w:val="20"/>
              </w:rPr>
              <w:t>Total</w:t>
            </w:r>
          </w:p>
        </w:tc>
        <w:tc>
          <w:tcPr>
            <w:tcW w:w="992" w:type="dxa"/>
          </w:tcPr>
          <w:p w14:paraId="1D421D4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172</w:t>
            </w:r>
          </w:p>
        </w:tc>
        <w:tc>
          <w:tcPr>
            <w:tcW w:w="1275" w:type="dxa"/>
          </w:tcPr>
          <w:p w14:paraId="0C69B92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w:t>
            </w:r>
          </w:p>
        </w:tc>
        <w:tc>
          <w:tcPr>
            <w:tcW w:w="1283" w:type="dxa"/>
          </w:tcPr>
          <w:p w14:paraId="4EF10C3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5</w:t>
            </w:r>
          </w:p>
        </w:tc>
        <w:tc>
          <w:tcPr>
            <w:tcW w:w="850" w:type="dxa"/>
          </w:tcPr>
          <w:p w14:paraId="106FA92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4.05</w:t>
            </w:r>
          </w:p>
        </w:tc>
        <w:tc>
          <w:tcPr>
            <w:tcW w:w="1719" w:type="dxa"/>
          </w:tcPr>
          <w:p w14:paraId="26B7FB1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1.167</w:t>
            </w:r>
          </w:p>
        </w:tc>
      </w:tr>
    </w:tbl>
    <w:p w14:paraId="6F74D3B8" w14:textId="77777777" w:rsidR="007A6F77" w:rsidRPr="002D19CF" w:rsidRDefault="007A6F77" w:rsidP="002D19CF">
      <w:pPr>
        <w:rPr>
          <w:rFonts w:ascii="Arial" w:hAnsi="Arial" w:cs="Arial"/>
          <w:i/>
        </w:rPr>
      </w:pPr>
      <w:r w:rsidRPr="002D19CF">
        <w:rPr>
          <w:rFonts w:ascii="Arial" w:hAnsi="Arial" w:cs="Arial"/>
          <w:i/>
        </w:rPr>
        <w:t>N=Frequency</w:t>
      </w:r>
    </w:p>
    <w:p w14:paraId="6FEB2E5B" w14:textId="696637F7" w:rsidR="007A6F77" w:rsidRPr="002D19CF" w:rsidRDefault="007A6F77" w:rsidP="002D19CF">
      <w:pPr>
        <w:tabs>
          <w:tab w:val="left" w:pos="915"/>
        </w:tabs>
        <w:jc w:val="both"/>
        <w:rPr>
          <w:rFonts w:ascii="Arial" w:hAnsi="Arial" w:cs="Arial"/>
        </w:rPr>
      </w:pPr>
      <w:r w:rsidRPr="002D19CF">
        <w:rPr>
          <w:rFonts w:ascii="Arial" w:hAnsi="Arial" w:cs="Arial"/>
        </w:rPr>
        <w:t xml:space="preserve">The term "attitude" describes how people's thoughts and emotions around data privacy regulations affect how they behave online. </w:t>
      </w:r>
      <w:r w:rsidR="002F2835" w:rsidRPr="002F2835">
        <w:rPr>
          <w:rFonts w:ascii="Arial" w:hAnsi="Arial" w:cs="Arial"/>
          <w:highlight w:val="yellow"/>
        </w:rPr>
        <w:t>I</w:t>
      </w:r>
      <w:r w:rsidRPr="002F2835">
        <w:rPr>
          <w:rFonts w:ascii="Arial" w:hAnsi="Arial" w:cs="Arial"/>
          <w:highlight w:val="yellow"/>
        </w:rPr>
        <w:t>t includes</w:t>
      </w:r>
      <w:r w:rsidR="002F2835" w:rsidRPr="002F2835">
        <w:rPr>
          <w:rFonts w:ascii="Arial" w:hAnsi="Arial" w:cs="Arial"/>
          <w:highlight w:val="yellow"/>
        </w:rPr>
        <w:t xml:space="preserve"> </w:t>
      </w:r>
      <w:r w:rsidR="009F7904" w:rsidRPr="002F2835">
        <w:rPr>
          <w:rFonts w:ascii="Arial" w:hAnsi="Arial" w:cs="Arial"/>
          <w:highlight w:val="yellow"/>
        </w:rPr>
        <w:t>behaviour</w:t>
      </w:r>
      <w:r w:rsidRPr="002F2835">
        <w:rPr>
          <w:rFonts w:ascii="Arial" w:hAnsi="Arial" w:cs="Arial"/>
          <w:highlight w:val="yellow"/>
        </w:rPr>
        <w:t>al reactions to privacy concerns, trust in privacy safeguards, and willingness to read policies.</w:t>
      </w:r>
      <w:r w:rsidRPr="002D19CF">
        <w:rPr>
          <w:rFonts w:ascii="Arial" w:hAnsi="Arial" w:cs="Arial"/>
        </w:rPr>
        <w:t xml:space="preserve"> It is not synonymous with consciousness and understanding. </w:t>
      </w:r>
    </w:p>
    <w:p w14:paraId="2C5E4448" w14:textId="77777777" w:rsidR="007A6F77" w:rsidRPr="002D19CF" w:rsidRDefault="007A6F77" w:rsidP="002D19CF">
      <w:pPr>
        <w:rPr>
          <w:rFonts w:ascii="Arial" w:hAnsi="Arial" w:cs="Arial"/>
          <w:b/>
        </w:rPr>
      </w:pPr>
    </w:p>
    <w:p w14:paraId="376E554C" w14:textId="4C5A597B" w:rsidR="007A6F77" w:rsidRPr="002D19CF" w:rsidRDefault="009B58AD" w:rsidP="002D19CF">
      <w:pPr>
        <w:rPr>
          <w:rFonts w:ascii="Arial" w:hAnsi="Arial" w:cs="Arial"/>
          <w:b/>
          <w:sz w:val="22"/>
          <w:szCs w:val="22"/>
        </w:rPr>
      </w:pPr>
      <w:r w:rsidRPr="009B58AD">
        <w:rPr>
          <w:rFonts w:ascii="Arial" w:hAnsi="Arial" w:cs="Arial"/>
          <w:b/>
          <w:sz w:val="22"/>
          <w:szCs w:val="22"/>
          <w:highlight w:val="yellow"/>
        </w:rPr>
        <w:t>3</w:t>
      </w:r>
      <w:r w:rsidR="007A6F77" w:rsidRPr="009B58AD">
        <w:rPr>
          <w:rFonts w:ascii="Arial" w:hAnsi="Arial" w:cs="Arial"/>
          <w:b/>
          <w:sz w:val="22"/>
          <w:szCs w:val="22"/>
          <w:highlight w:val="yellow"/>
        </w:rPr>
        <w:t>.3.2</w:t>
      </w:r>
      <w:r w:rsidR="007A6F77" w:rsidRPr="009B58AD">
        <w:rPr>
          <w:rFonts w:ascii="Arial" w:hAnsi="Arial" w:cs="Arial"/>
          <w:sz w:val="22"/>
          <w:szCs w:val="22"/>
          <w:highlight w:val="yellow"/>
        </w:rPr>
        <w:t xml:space="preserve"> </w:t>
      </w:r>
      <w:r w:rsidR="007A6F77" w:rsidRPr="009B58AD">
        <w:rPr>
          <w:rFonts w:ascii="Arial" w:hAnsi="Arial" w:cs="Arial"/>
          <w:b/>
          <w:sz w:val="22"/>
          <w:szCs w:val="22"/>
          <w:highlight w:val="yellow"/>
        </w:rPr>
        <w:t>Correlation Results</w:t>
      </w:r>
    </w:p>
    <w:p w14:paraId="1ECB27F7" w14:textId="7A6D07F0" w:rsidR="007A6F77" w:rsidRPr="002D19CF" w:rsidRDefault="007A6F77" w:rsidP="002D19CF">
      <w:pPr>
        <w:jc w:val="both"/>
        <w:rPr>
          <w:rFonts w:ascii="Arial" w:hAnsi="Arial" w:cs="Arial"/>
          <w:color w:val="000000"/>
          <w:lang w:eastAsia="en-GB"/>
        </w:rPr>
      </w:pPr>
      <w:r w:rsidRPr="002D19CF">
        <w:rPr>
          <w:rStyle w:val="fontstyle01"/>
          <w:rFonts w:ascii="Arial" w:hAnsi="Arial" w:cs="Arial"/>
          <w:sz w:val="20"/>
          <w:szCs w:val="20"/>
        </w:rPr>
        <w:t xml:space="preserve">A Spearman correlation analysis was conducted among gender, age, educational background, level, formal training on data privacy, length of policy, concern about the privacy of personal information, and the influence of attitude towards privacy policy on user </w:t>
      </w:r>
      <w:r w:rsidR="009F7904">
        <w:rPr>
          <w:rStyle w:val="fontstyle01"/>
          <w:rFonts w:ascii="Arial" w:hAnsi="Arial" w:cs="Arial"/>
          <w:sz w:val="20"/>
          <w:szCs w:val="20"/>
        </w:rPr>
        <w:t>behaviour</w:t>
      </w:r>
      <w:r w:rsidRPr="002D19CF">
        <w:rPr>
          <w:rStyle w:val="fontstyle01"/>
          <w:rFonts w:ascii="Arial" w:hAnsi="Arial" w:cs="Arial"/>
          <w:sz w:val="20"/>
          <w:szCs w:val="20"/>
        </w:rPr>
        <w:t xml:space="preserve">. The results are depicted in Table 5. </w:t>
      </w:r>
      <w:r w:rsidR="00A9443A">
        <w:rPr>
          <w:rFonts w:ascii="Arial" w:hAnsi="Arial" w:cs="Arial"/>
          <w:color w:val="000000"/>
          <w:lang w:eastAsia="en-GB"/>
        </w:rPr>
        <w:t>T</w:t>
      </w:r>
      <w:r w:rsidRPr="002D19CF">
        <w:rPr>
          <w:rStyle w:val="fontstyle01"/>
          <w:rFonts w:ascii="Arial" w:hAnsi="Arial" w:cs="Arial"/>
          <w:sz w:val="20"/>
          <w:szCs w:val="20"/>
        </w:rPr>
        <w:t xml:space="preserve">he concern about the privacy of personal information factor significantly positively correlated with the influence of attitude towards privacy policy on user </w:t>
      </w:r>
      <w:r w:rsidR="009F7904">
        <w:rPr>
          <w:rStyle w:val="fontstyle01"/>
          <w:rFonts w:ascii="Arial" w:hAnsi="Arial" w:cs="Arial"/>
          <w:sz w:val="20"/>
          <w:szCs w:val="20"/>
        </w:rPr>
        <w:t>behaviour</w:t>
      </w:r>
      <w:r w:rsidRPr="002D19CF">
        <w:rPr>
          <w:rStyle w:val="fontstyle01"/>
          <w:rFonts w:ascii="Arial" w:hAnsi="Arial" w:cs="Arial"/>
          <w:sz w:val="20"/>
          <w:szCs w:val="20"/>
        </w:rPr>
        <w:t xml:space="preserve"> factor </w:t>
      </w:r>
      <w:r w:rsidRPr="002D19CF">
        <w:rPr>
          <w:rFonts w:ascii="Arial" w:hAnsi="Arial" w:cs="Arial"/>
          <w:color w:val="000000"/>
          <w:lang w:eastAsia="en-GB"/>
        </w:rPr>
        <w:t xml:space="preserve">(rs=0.520; p </w:t>
      </w:r>
      <w:r w:rsidR="0039383F">
        <w:rPr>
          <w:rFonts w:ascii="Arial" w:hAnsi="Arial" w:cs="Arial"/>
          <w:color w:val="000000"/>
          <w:lang w:eastAsia="en-GB"/>
        </w:rPr>
        <w:t>=</w:t>
      </w:r>
      <w:r w:rsidRPr="002D19CF">
        <w:rPr>
          <w:rFonts w:ascii="Arial" w:hAnsi="Arial" w:cs="Arial"/>
          <w:color w:val="000000"/>
          <w:lang w:eastAsia="en-GB"/>
        </w:rPr>
        <w:t xml:space="preserve"> .0</w:t>
      </w:r>
      <w:r w:rsidR="0039383F">
        <w:rPr>
          <w:rFonts w:ascii="Arial" w:hAnsi="Arial" w:cs="Arial"/>
          <w:color w:val="000000"/>
          <w:lang w:eastAsia="en-GB"/>
        </w:rPr>
        <w:t>0</w:t>
      </w:r>
      <w:r w:rsidRPr="002D19CF">
        <w:rPr>
          <w:rFonts w:ascii="Arial" w:hAnsi="Arial" w:cs="Arial"/>
          <w:color w:val="000000"/>
          <w:lang w:eastAsia="en-GB"/>
        </w:rPr>
        <w:t>). Users' attitudes about privacy policies such as their perceived importance, level of trust, or willingness to interact with them become stronger as their concerns about the protection of their personal information grow, and this in turn affects how they behave when it comes to data privacy.</w:t>
      </w:r>
    </w:p>
    <w:p w14:paraId="72C90306" w14:textId="77777777" w:rsidR="007A6F77" w:rsidRPr="002D19CF" w:rsidRDefault="007A6F77" w:rsidP="002D19CF">
      <w:pPr>
        <w:rPr>
          <w:rFonts w:ascii="Arial" w:hAnsi="Arial" w:cs="Arial"/>
          <w:b/>
        </w:rPr>
      </w:pPr>
      <w:r w:rsidRPr="002D19CF">
        <w:rPr>
          <w:rFonts w:ascii="Arial" w:hAnsi="Arial" w:cs="Arial"/>
          <w:b/>
        </w:rPr>
        <w:t>Table 5. Results of correlation analysis</w:t>
      </w:r>
    </w:p>
    <w:tbl>
      <w:tblPr>
        <w:tblStyle w:val="LightShading"/>
        <w:tblW w:w="8604" w:type="dxa"/>
        <w:tblLayout w:type="fixed"/>
        <w:tblLook w:val="06A0" w:firstRow="1" w:lastRow="0" w:firstColumn="1" w:lastColumn="0" w:noHBand="1" w:noVBand="1"/>
      </w:tblPr>
      <w:tblGrid>
        <w:gridCol w:w="2063"/>
        <w:gridCol w:w="848"/>
        <w:gridCol w:w="848"/>
        <w:gridCol w:w="848"/>
        <w:gridCol w:w="726"/>
        <w:gridCol w:w="848"/>
        <w:gridCol w:w="727"/>
        <w:gridCol w:w="848"/>
        <w:gridCol w:w="848"/>
      </w:tblGrid>
      <w:tr w:rsidR="006771D3" w:rsidRPr="002D19CF" w14:paraId="41B36561" w14:textId="77777777" w:rsidTr="006771D3">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63" w:type="dxa"/>
          </w:tcPr>
          <w:p w14:paraId="2485E448" w14:textId="77777777" w:rsidR="007A6F77" w:rsidRPr="002D19CF" w:rsidRDefault="007A6F77" w:rsidP="002D19CF">
            <w:pPr>
              <w:rPr>
                <w:rFonts w:ascii="Arial" w:hAnsi="Arial" w:cs="Arial"/>
                <w:sz w:val="20"/>
                <w:szCs w:val="20"/>
              </w:rPr>
            </w:pPr>
            <w:r w:rsidRPr="002D19CF">
              <w:rPr>
                <w:rFonts w:ascii="Arial" w:hAnsi="Arial" w:cs="Arial"/>
                <w:sz w:val="20"/>
                <w:szCs w:val="20"/>
              </w:rPr>
              <w:t>Variables</w:t>
            </w:r>
          </w:p>
        </w:tc>
        <w:tc>
          <w:tcPr>
            <w:tcW w:w="848" w:type="dxa"/>
          </w:tcPr>
          <w:p w14:paraId="3F937599"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w:t>
            </w:r>
          </w:p>
        </w:tc>
        <w:tc>
          <w:tcPr>
            <w:tcW w:w="848" w:type="dxa"/>
          </w:tcPr>
          <w:p w14:paraId="17134773"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w:t>
            </w:r>
          </w:p>
        </w:tc>
        <w:tc>
          <w:tcPr>
            <w:tcW w:w="848" w:type="dxa"/>
          </w:tcPr>
          <w:p w14:paraId="59A8CA96"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w:t>
            </w:r>
          </w:p>
        </w:tc>
        <w:tc>
          <w:tcPr>
            <w:tcW w:w="726" w:type="dxa"/>
          </w:tcPr>
          <w:p w14:paraId="3B70C518"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w:t>
            </w:r>
          </w:p>
        </w:tc>
        <w:tc>
          <w:tcPr>
            <w:tcW w:w="848" w:type="dxa"/>
          </w:tcPr>
          <w:p w14:paraId="7045F312"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727" w:type="dxa"/>
          </w:tcPr>
          <w:p w14:paraId="468AF313"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w:t>
            </w:r>
          </w:p>
        </w:tc>
        <w:tc>
          <w:tcPr>
            <w:tcW w:w="848" w:type="dxa"/>
          </w:tcPr>
          <w:p w14:paraId="5B9BEB5B"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7</w:t>
            </w:r>
          </w:p>
        </w:tc>
        <w:tc>
          <w:tcPr>
            <w:tcW w:w="848" w:type="dxa"/>
          </w:tcPr>
          <w:p w14:paraId="07A0D888"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8</w:t>
            </w:r>
          </w:p>
          <w:p w14:paraId="409F7E0C"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61C5034B" w14:textId="77777777" w:rsidTr="006771D3">
        <w:trPr>
          <w:trHeight w:val="474"/>
        </w:trPr>
        <w:tc>
          <w:tcPr>
            <w:cnfStyle w:val="001000000000" w:firstRow="0" w:lastRow="0" w:firstColumn="1" w:lastColumn="0" w:oddVBand="0" w:evenVBand="0" w:oddHBand="0" w:evenHBand="0" w:firstRowFirstColumn="0" w:firstRowLastColumn="0" w:lastRowFirstColumn="0" w:lastRowLastColumn="0"/>
            <w:tcW w:w="2063" w:type="dxa"/>
          </w:tcPr>
          <w:p w14:paraId="1A451DF8"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1. Gender</w:t>
            </w:r>
          </w:p>
        </w:tc>
        <w:tc>
          <w:tcPr>
            <w:tcW w:w="848" w:type="dxa"/>
          </w:tcPr>
          <w:p w14:paraId="689B83D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p w14:paraId="311EAE2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010B9AC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53CCBB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6" w:type="dxa"/>
          </w:tcPr>
          <w:p w14:paraId="7860BB2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1F95E1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7" w:type="dxa"/>
          </w:tcPr>
          <w:p w14:paraId="469B652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5284905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42A2272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103E88B1" w14:textId="77777777" w:rsidTr="006771D3">
        <w:trPr>
          <w:trHeight w:val="711"/>
        </w:trPr>
        <w:tc>
          <w:tcPr>
            <w:cnfStyle w:val="001000000000" w:firstRow="0" w:lastRow="0" w:firstColumn="1" w:lastColumn="0" w:oddVBand="0" w:evenVBand="0" w:oddHBand="0" w:evenHBand="0" w:firstRowFirstColumn="0" w:firstRowLastColumn="0" w:lastRowFirstColumn="0" w:lastRowLastColumn="0"/>
            <w:tcW w:w="2063" w:type="dxa"/>
          </w:tcPr>
          <w:p w14:paraId="5E1C4550"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2. Age</w:t>
            </w:r>
          </w:p>
        </w:tc>
        <w:tc>
          <w:tcPr>
            <w:tcW w:w="848" w:type="dxa"/>
          </w:tcPr>
          <w:p w14:paraId="7D9BEB9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-.306** (.000)</w:t>
            </w:r>
          </w:p>
          <w:p w14:paraId="61A9344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34670F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848" w:type="dxa"/>
          </w:tcPr>
          <w:p w14:paraId="306874E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6" w:type="dxa"/>
          </w:tcPr>
          <w:p w14:paraId="325A364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49E0687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7" w:type="dxa"/>
          </w:tcPr>
          <w:p w14:paraId="4114FCB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5D30D87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5EE40F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05C5C512" w14:textId="77777777" w:rsidTr="006771D3">
        <w:trPr>
          <w:trHeight w:val="711"/>
        </w:trPr>
        <w:tc>
          <w:tcPr>
            <w:cnfStyle w:val="001000000000" w:firstRow="0" w:lastRow="0" w:firstColumn="1" w:lastColumn="0" w:oddVBand="0" w:evenVBand="0" w:oddHBand="0" w:evenHBand="0" w:firstRowFirstColumn="0" w:firstRowLastColumn="0" w:lastRowFirstColumn="0" w:lastRowLastColumn="0"/>
            <w:tcW w:w="2063" w:type="dxa"/>
          </w:tcPr>
          <w:p w14:paraId="4A0E9CAE"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lastRenderedPageBreak/>
              <w:t>3. Educational Background</w:t>
            </w:r>
          </w:p>
        </w:tc>
        <w:tc>
          <w:tcPr>
            <w:tcW w:w="848" w:type="dxa"/>
          </w:tcPr>
          <w:p w14:paraId="2D9DA9C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-.130 (.090)</w:t>
            </w:r>
          </w:p>
        </w:tc>
        <w:tc>
          <w:tcPr>
            <w:tcW w:w="848" w:type="dxa"/>
          </w:tcPr>
          <w:p w14:paraId="14865C8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.247** (.001)</w:t>
            </w:r>
          </w:p>
          <w:p w14:paraId="01998EB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7B043E1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726" w:type="dxa"/>
          </w:tcPr>
          <w:p w14:paraId="6CCE189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99285B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7" w:type="dxa"/>
          </w:tcPr>
          <w:p w14:paraId="4520991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0E9EF35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02EAD3A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0A925E40" w14:textId="77777777" w:rsidTr="006771D3">
        <w:trPr>
          <w:trHeight w:val="711"/>
        </w:trPr>
        <w:tc>
          <w:tcPr>
            <w:cnfStyle w:val="001000000000" w:firstRow="0" w:lastRow="0" w:firstColumn="1" w:lastColumn="0" w:oddVBand="0" w:evenVBand="0" w:oddHBand="0" w:evenHBand="0" w:firstRowFirstColumn="0" w:firstRowLastColumn="0" w:lastRowFirstColumn="0" w:lastRowLastColumn="0"/>
            <w:tcW w:w="2063" w:type="dxa"/>
          </w:tcPr>
          <w:p w14:paraId="0F260781"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4. Level</w:t>
            </w:r>
          </w:p>
        </w:tc>
        <w:tc>
          <w:tcPr>
            <w:tcW w:w="848" w:type="dxa"/>
          </w:tcPr>
          <w:p w14:paraId="40FAA0A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-.001</w:t>
            </w:r>
          </w:p>
          <w:p w14:paraId="69F28F4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(.995)</w:t>
            </w:r>
          </w:p>
        </w:tc>
        <w:tc>
          <w:tcPr>
            <w:tcW w:w="848" w:type="dxa"/>
          </w:tcPr>
          <w:p w14:paraId="196FA68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.118 (.123)</w:t>
            </w:r>
          </w:p>
        </w:tc>
        <w:tc>
          <w:tcPr>
            <w:tcW w:w="848" w:type="dxa"/>
          </w:tcPr>
          <w:p w14:paraId="6B538B8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-.059 (.439)</w:t>
            </w:r>
          </w:p>
          <w:p w14:paraId="7F1CFD7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6" w:type="dxa"/>
          </w:tcPr>
          <w:p w14:paraId="1634408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848" w:type="dxa"/>
          </w:tcPr>
          <w:p w14:paraId="6D9D535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7" w:type="dxa"/>
          </w:tcPr>
          <w:p w14:paraId="4792FC9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6CF0C12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6B2F245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552A361C" w14:textId="77777777" w:rsidTr="006771D3">
        <w:trPr>
          <w:trHeight w:val="948"/>
        </w:trPr>
        <w:tc>
          <w:tcPr>
            <w:cnfStyle w:val="001000000000" w:firstRow="0" w:lastRow="0" w:firstColumn="1" w:lastColumn="0" w:oddVBand="0" w:evenVBand="0" w:oddHBand="0" w:evenHBand="0" w:firstRowFirstColumn="0" w:firstRowLastColumn="0" w:lastRowFirstColumn="0" w:lastRowLastColumn="0"/>
            <w:tcW w:w="2063" w:type="dxa"/>
          </w:tcPr>
          <w:p w14:paraId="2C3670BA"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5. Formal training or education on privacy and online security</w:t>
            </w:r>
          </w:p>
          <w:p w14:paraId="3F8F613E" w14:textId="77777777" w:rsidR="007A6F77" w:rsidRPr="002D19CF" w:rsidRDefault="007A6F77" w:rsidP="002D19CF">
            <w:pPr>
              <w:rPr>
                <w:rFonts w:ascii="Arial" w:hAnsi="Arial" w:cs="Arial"/>
                <w:b w:val="0"/>
                <w:sz w:val="20"/>
                <w:szCs w:val="20"/>
              </w:rPr>
            </w:pPr>
          </w:p>
        </w:tc>
        <w:tc>
          <w:tcPr>
            <w:tcW w:w="848" w:type="dxa"/>
          </w:tcPr>
          <w:p w14:paraId="7A9260E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.063</w:t>
            </w:r>
          </w:p>
          <w:p w14:paraId="5C9CBF3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(.408)</w:t>
            </w:r>
          </w:p>
        </w:tc>
        <w:tc>
          <w:tcPr>
            <w:tcW w:w="848" w:type="dxa"/>
          </w:tcPr>
          <w:p w14:paraId="04612C8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-.127</w:t>
            </w:r>
          </w:p>
          <w:p w14:paraId="1EF6E934"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(.098)</w:t>
            </w:r>
          </w:p>
        </w:tc>
        <w:tc>
          <w:tcPr>
            <w:tcW w:w="848" w:type="dxa"/>
          </w:tcPr>
          <w:p w14:paraId="015D2A6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-.068</w:t>
            </w:r>
          </w:p>
          <w:p w14:paraId="6E30D2A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(.376)</w:t>
            </w:r>
          </w:p>
        </w:tc>
        <w:tc>
          <w:tcPr>
            <w:tcW w:w="726" w:type="dxa"/>
          </w:tcPr>
          <w:p w14:paraId="620E996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-.132</w:t>
            </w:r>
          </w:p>
          <w:p w14:paraId="651FDB1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(.084)</w:t>
            </w:r>
          </w:p>
        </w:tc>
        <w:tc>
          <w:tcPr>
            <w:tcW w:w="848" w:type="dxa"/>
          </w:tcPr>
          <w:p w14:paraId="1225A11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727" w:type="dxa"/>
          </w:tcPr>
          <w:p w14:paraId="48A1694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7350FA5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04A1FB1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1D1A72BA" w14:textId="77777777" w:rsidTr="006771D3">
        <w:trPr>
          <w:trHeight w:val="711"/>
        </w:trPr>
        <w:tc>
          <w:tcPr>
            <w:cnfStyle w:val="001000000000" w:firstRow="0" w:lastRow="0" w:firstColumn="1" w:lastColumn="0" w:oddVBand="0" w:evenVBand="0" w:oddHBand="0" w:evenHBand="0" w:firstRowFirstColumn="0" w:firstRowLastColumn="0" w:lastRowFirstColumn="0" w:lastRowLastColumn="0"/>
            <w:tcW w:w="2063" w:type="dxa"/>
          </w:tcPr>
          <w:p w14:paraId="4F6AB613"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 xml:space="preserve">6. Length of policy </w:t>
            </w:r>
          </w:p>
        </w:tc>
        <w:tc>
          <w:tcPr>
            <w:tcW w:w="848" w:type="dxa"/>
          </w:tcPr>
          <w:p w14:paraId="4BD7D1F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-.023</w:t>
            </w:r>
          </w:p>
          <w:p w14:paraId="319DD8A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(.766)</w:t>
            </w:r>
          </w:p>
        </w:tc>
        <w:tc>
          <w:tcPr>
            <w:tcW w:w="848" w:type="dxa"/>
          </w:tcPr>
          <w:p w14:paraId="0F8C564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.209** (.006)</w:t>
            </w:r>
          </w:p>
        </w:tc>
        <w:tc>
          <w:tcPr>
            <w:tcW w:w="848" w:type="dxa"/>
          </w:tcPr>
          <w:p w14:paraId="15D7C28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.076</w:t>
            </w:r>
          </w:p>
          <w:p w14:paraId="114FA1B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(.323)</w:t>
            </w:r>
          </w:p>
        </w:tc>
        <w:tc>
          <w:tcPr>
            <w:tcW w:w="726" w:type="dxa"/>
          </w:tcPr>
          <w:p w14:paraId="36FBEB6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-.002</w:t>
            </w:r>
          </w:p>
          <w:p w14:paraId="7982CD4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(.982)</w:t>
            </w:r>
          </w:p>
        </w:tc>
        <w:tc>
          <w:tcPr>
            <w:tcW w:w="848" w:type="dxa"/>
          </w:tcPr>
          <w:p w14:paraId="2A09BDC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-.105</w:t>
            </w:r>
          </w:p>
          <w:p w14:paraId="52C1B8A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(.171)</w:t>
            </w:r>
          </w:p>
          <w:p w14:paraId="6CD6D90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7" w:type="dxa"/>
          </w:tcPr>
          <w:p w14:paraId="0951D2D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848" w:type="dxa"/>
          </w:tcPr>
          <w:p w14:paraId="23134DF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48" w:type="dxa"/>
          </w:tcPr>
          <w:p w14:paraId="36A2C2D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6591C044" w14:textId="77777777" w:rsidTr="006771D3">
        <w:trPr>
          <w:trHeight w:val="237"/>
        </w:trPr>
        <w:tc>
          <w:tcPr>
            <w:cnfStyle w:val="001000000000" w:firstRow="0" w:lastRow="0" w:firstColumn="1" w:lastColumn="0" w:oddVBand="0" w:evenVBand="0" w:oddHBand="0" w:evenHBand="0" w:firstRowFirstColumn="0" w:firstRowLastColumn="0" w:lastRowFirstColumn="0" w:lastRowLastColumn="0"/>
            <w:tcW w:w="2063" w:type="dxa"/>
          </w:tcPr>
          <w:p w14:paraId="1AB00644" w14:textId="77777777" w:rsidR="007A6F77" w:rsidRPr="002D19CF" w:rsidRDefault="007A6F77" w:rsidP="002D19CF">
            <w:pPr>
              <w:rPr>
                <w:rFonts w:ascii="Arial" w:hAnsi="Arial" w:cs="Arial"/>
                <w:b w:val="0"/>
                <w:sz w:val="20"/>
                <w:szCs w:val="20"/>
              </w:rPr>
            </w:pPr>
            <w:r w:rsidRPr="002D19CF">
              <w:rPr>
                <w:rFonts w:ascii="Arial" w:hAnsi="Arial" w:cs="Arial"/>
                <w:b w:val="0"/>
                <w:sz w:val="20"/>
                <w:szCs w:val="20"/>
              </w:rPr>
              <w:t xml:space="preserve">7. Concern about the privacy of personal information </w:t>
            </w:r>
          </w:p>
          <w:p w14:paraId="6DED171F" w14:textId="77777777" w:rsidR="007A6F77" w:rsidRPr="002D19CF" w:rsidRDefault="007A6F77" w:rsidP="002D19CF">
            <w:pPr>
              <w:rPr>
                <w:rFonts w:ascii="Arial" w:hAnsi="Arial" w:cs="Arial"/>
                <w:b w:val="0"/>
                <w:sz w:val="20"/>
                <w:szCs w:val="20"/>
              </w:rPr>
            </w:pPr>
          </w:p>
        </w:tc>
        <w:tc>
          <w:tcPr>
            <w:tcW w:w="848" w:type="dxa"/>
          </w:tcPr>
          <w:p w14:paraId="3B9CF7D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.078</w:t>
            </w:r>
          </w:p>
          <w:p w14:paraId="0FDD15C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(.309)</w:t>
            </w:r>
          </w:p>
        </w:tc>
        <w:tc>
          <w:tcPr>
            <w:tcW w:w="848" w:type="dxa"/>
          </w:tcPr>
          <w:p w14:paraId="2F9933E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.206** (.007)</w:t>
            </w:r>
          </w:p>
        </w:tc>
        <w:tc>
          <w:tcPr>
            <w:tcW w:w="848" w:type="dxa"/>
          </w:tcPr>
          <w:p w14:paraId="23682E9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.129</w:t>
            </w:r>
          </w:p>
          <w:p w14:paraId="6ED0D16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(.093)</w:t>
            </w:r>
          </w:p>
        </w:tc>
        <w:tc>
          <w:tcPr>
            <w:tcW w:w="726" w:type="dxa"/>
          </w:tcPr>
          <w:p w14:paraId="5BFEB8E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.012</w:t>
            </w:r>
          </w:p>
          <w:p w14:paraId="5609722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(.877)</w:t>
            </w:r>
          </w:p>
        </w:tc>
        <w:tc>
          <w:tcPr>
            <w:tcW w:w="848" w:type="dxa"/>
          </w:tcPr>
          <w:p w14:paraId="436E21E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-.173*</w:t>
            </w:r>
          </w:p>
          <w:p w14:paraId="7316A66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(.024)</w:t>
            </w:r>
          </w:p>
        </w:tc>
        <w:tc>
          <w:tcPr>
            <w:tcW w:w="727" w:type="dxa"/>
          </w:tcPr>
          <w:p w14:paraId="46FAAC5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.105</w:t>
            </w:r>
          </w:p>
          <w:p w14:paraId="19B14C4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(.172)</w:t>
            </w:r>
          </w:p>
        </w:tc>
        <w:tc>
          <w:tcPr>
            <w:tcW w:w="848" w:type="dxa"/>
          </w:tcPr>
          <w:p w14:paraId="41C944F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c>
          <w:tcPr>
            <w:tcW w:w="848" w:type="dxa"/>
          </w:tcPr>
          <w:p w14:paraId="6167C8D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771D3" w:rsidRPr="002D19CF" w14:paraId="76BED6AB" w14:textId="77777777" w:rsidTr="006771D3">
        <w:trPr>
          <w:trHeight w:val="711"/>
        </w:trPr>
        <w:tc>
          <w:tcPr>
            <w:cnfStyle w:val="001000000000" w:firstRow="0" w:lastRow="0" w:firstColumn="1" w:lastColumn="0" w:oddVBand="0" w:evenVBand="0" w:oddHBand="0" w:evenHBand="0" w:firstRowFirstColumn="0" w:firstRowLastColumn="0" w:lastRowFirstColumn="0" w:lastRowLastColumn="0"/>
            <w:tcW w:w="2063" w:type="dxa"/>
          </w:tcPr>
          <w:p w14:paraId="2389E5D1" w14:textId="1740E8E8" w:rsidR="007A6F77" w:rsidRPr="002D19CF" w:rsidRDefault="007A6F77" w:rsidP="002D19CF">
            <w:pPr>
              <w:rPr>
                <w:rFonts w:ascii="Arial" w:hAnsi="Arial" w:cs="Arial"/>
                <w:b w:val="0"/>
                <w:sz w:val="20"/>
                <w:szCs w:val="20"/>
              </w:rPr>
            </w:pPr>
            <w:r w:rsidRPr="002D19CF">
              <w:rPr>
                <w:rFonts w:ascii="Arial" w:hAnsi="Arial" w:cs="Arial"/>
                <w:b w:val="0"/>
                <w:sz w:val="20"/>
                <w:szCs w:val="20"/>
              </w:rPr>
              <w:t xml:space="preserve">8. Influence of attitude towards data privacy policy on user </w:t>
            </w:r>
            <w:r w:rsidR="009F7904">
              <w:rPr>
                <w:rFonts w:ascii="Arial" w:hAnsi="Arial" w:cs="Arial"/>
                <w:b w:val="0"/>
                <w:sz w:val="20"/>
                <w:szCs w:val="20"/>
              </w:rPr>
              <w:t>behaviour</w:t>
            </w:r>
          </w:p>
        </w:tc>
        <w:tc>
          <w:tcPr>
            <w:tcW w:w="848" w:type="dxa"/>
          </w:tcPr>
          <w:p w14:paraId="7C42591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-.067</w:t>
            </w:r>
          </w:p>
          <w:p w14:paraId="1860C33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(.382)</w:t>
            </w:r>
          </w:p>
        </w:tc>
        <w:tc>
          <w:tcPr>
            <w:tcW w:w="848" w:type="dxa"/>
          </w:tcPr>
          <w:p w14:paraId="532DD23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.158*</w:t>
            </w:r>
          </w:p>
          <w:p w14:paraId="1FE5B15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(.039)</w:t>
            </w:r>
          </w:p>
        </w:tc>
        <w:tc>
          <w:tcPr>
            <w:tcW w:w="848" w:type="dxa"/>
          </w:tcPr>
          <w:p w14:paraId="49D2178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.215**</w:t>
            </w:r>
          </w:p>
          <w:p w14:paraId="1BDD483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(.005)</w:t>
            </w:r>
          </w:p>
        </w:tc>
        <w:tc>
          <w:tcPr>
            <w:tcW w:w="726" w:type="dxa"/>
          </w:tcPr>
          <w:p w14:paraId="1329673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-.054</w:t>
            </w:r>
          </w:p>
          <w:p w14:paraId="36686F2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(.479)</w:t>
            </w:r>
          </w:p>
        </w:tc>
        <w:tc>
          <w:tcPr>
            <w:tcW w:w="848" w:type="dxa"/>
          </w:tcPr>
          <w:p w14:paraId="5F7D3FC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-.187*</w:t>
            </w:r>
          </w:p>
          <w:p w14:paraId="63038A0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(.014)</w:t>
            </w:r>
          </w:p>
        </w:tc>
        <w:tc>
          <w:tcPr>
            <w:tcW w:w="727" w:type="dxa"/>
          </w:tcPr>
          <w:p w14:paraId="19D23FB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.093</w:t>
            </w:r>
          </w:p>
          <w:p w14:paraId="31E3839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(.224)</w:t>
            </w:r>
          </w:p>
        </w:tc>
        <w:tc>
          <w:tcPr>
            <w:tcW w:w="848" w:type="dxa"/>
          </w:tcPr>
          <w:p w14:paraId="003CC4A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.520**</w:t>
            </w:r>
          </w:p>
          <w:p w14:paraId="364FF68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(.000)</w:t>
            </w:r>
          </w:p>
        </w:tc>
        <w:tc>
          <w:tcPr>
            <w:tcW w:w="848" w:type="dxa"/>
          </w:tcPr>
          <w:p w14:paraId="34B09E8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1.000</w:t>
            </w:r>
          </w:p>
        </w:tc>
      </w:tr>
    </w:tbl>
    <w:p w14:paraId="123E435A" w14:textId="77777777" w:rsidR="007A6F77" w:rsidRPr="002D19CF" w:rsidRDefault="007A6F77" w:rsidP="002D19CF">
      <w:pPr>
        <w:rPr>
          <w:rFonts w:ascii="Arial" w:hAnsi="Arial" w:cs="Arial"/>
        </w:rPr>
      </w:pPr>
      <w:r w:rsidRPr="002D19CF">
        <w:rPr>
          <w:rFonts w:ascii="Arial" w:hAnsi="Arial" w:cs="Arial"/>
        </w:rPr>
        <w:t>** Correlation is significant at the 0.01 level (2-tailed).</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79AA9674" w14:textId="77777777" w:rsidR="007A6F77" w:rsidRPr="002D19CF" w:rsidRDefault="007A6F77" w:rsidP="002D19CF">
      <w:pPr>
        <w:rPr>
          <w:rFonts w:ascii="Arial" w:hAnsi="Arial" w:cs="Arial"/>
        </w:rPr>
      </w:pPr>
      <w:r w:rsidRPr="002D19CF">
        <w:rPr>
          <w:rFonts w:ascii="Arial" w:hAnsi="Arial" w:cs="Arial"/>
        </w:rPr>
        <w:t>* Correlation is significant at the 0.05 level (2-tailed).</w:t>
      </w:r>
    </w:p>
    <w:p w14:paraId="205ADA47" w14:textId="77777777" w:rsidR="007A6F77" w:rsidRPr="002D19CF" w:rsidRDefault="007A6F77" w:rsidP="002D19CF">
      <w:pPr>
        <w:rPr>
          <w:rFonts w:ascii="Arial" w:hAnsi="Arial" w:cs="Arial"/>
        </w:rPr>
      </w:pPr>
      <w:r w:rsidRPr="002D19CF">
        <w:rPr>
          <w:rFonts w:ascii="Arial" w:hAnsi="Arial" w:cs="Arial"/>
        </w:rPr>
        <w:t>(Value) = significant value or p-value</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58748C44" w14:textId="4507307C" w:rsidR="007A6F77" w:rsidRPr="002D19CF" w:rsidRDefault="009B58AD" w:rsidP="002D19CF">
      <w:pPr>
        <w:rPr>
          <w:rFonts w:ascii="Arial" w:hAnsi="Arial" w:cs="Arial"/>
          <w:b/>
          <w:sz w:val="22"/>
          <w:szCs w:val="22"/>
        </w:rPr>
      </w:pPr>
      <w:r w:rsidRPr="009B58AD">
        <w:rPr>
          <w:rFonts w:ascii="Arial" w:hAnsi="Arial" w:cs="Arial"/>
          <w:b/>
          <w:sz w:val="22"/>
          <w:szCs w:val="22"/>
          <w:highlight w:val="yellow"/>
        </w:rPr>
        <w:t>3</w:t>
      </w:r>
      <w:r w:rsidR="007A6F77" w:rsidRPr="009B58AD">
        <w:rPr>
          <w:rFonts w:ascii="Arial" w:hAnsi="Arial" w:cs="Arial"/>
          <w:b/>
          <w:sz w:val="22"/>
          <w:szCs w:val="22"/>
          <w:highlight w:val="yellow"/>
        </w:rPr>
        <w:t>.3.3 Results on the Multiple Linear Regression analysis</w:t>
      </w:r>
    </w:p>
    <w:p w14:paraId="0A35E892" w14:textId="6FCC2651" w:rsidR="007A6F77" w:rsidRPr="002D19CF" w:rsidRDefault="007A6F77" w:rsidP="002D19CF">
      <w:pPr>
        <w:jc w:val="both"/>
        <w:rPr>
          <w:rFonts w:ascii="Arial" w:hAnsi="Arial" w:cs="Arial"/>
        </w:rPr>
      </w:pPr>
      <w:r w:rsidRPr="002D19CF">
        <w:rPr>
          <w:rFonts w:ascii="Arial" w:hAnsi="Arial" w:cs="Arial"/>
        </w:rPr>
        <w:t>The model summary (Table 6) gave a correlation coefficient(R) of 0.362</w:t>
      </w:r>
      <w:r w:rsidR="00506EE8">
        <w:rPr>
          <w:rFonts w:ascii="Arial" w:hAnsi="Arial" w:cs="Arial"/>
        </w:rPr>
        <w:t>,</w:t>
      </w:r>
      <w:r w:rsidRPr="002D19CF">
        <w:rPr>
          <w:rFonts w:ascii="Arial" w:hAnsi="Arial" w:cs="Arial"/>
        </w:rPr>
        <w:t xml:space="preserve"> which suggests a moderate positive linear relationship between the independent variables and the user </w:t>
      </w:r>
      <w:r w:rsidR="009F7904">
        <w:rPr>
          <w:rFonts w:ascii="Arial" w:hAnsi="Arial" w:cs="Arial"/>
        </w:rPr>
        <w:t>behaviour</w:t>
      </w:r>
      <w:r w:rsidRPr="002D19CF">
        <w:rPr>
          <w:rFonts w:ascii="Arial" w:hAnsi="Arial" w:cs="Arial"/>
        </w:rPr>
        <w:t>. The Adjusted R Square value is 0.105</w:t>
      </w:r>
      <w:r w:rsidR="00506EE8">
        <w:rPr>
          <w:rFonts w:ascii="Arial" w:hAnsi="Arial" w:cs="Arial"/>
        </w:rPr>
        <w:t>,</w:t>
      </w:r>
      <w:r w:rsidRPr="002D19CF">
        <w:rPr>
          <w:rFonts w:ascii="Arial" w:hAnsi="Arial" w:cs="Arial"/>
        </w:rPr>
        <w:t xml:space="preserve"> which means that about 10.5% of the variance in the user </w:t>
      </w:r>
      <w:r w:rsidR="009F7904">
        <w:rPr>
          <w:rFonts w:ascii="Arial" w:hAnsi="Arial" w:cs="Arial"/>
        </w:rPr>
        <w:t>behaviour</w:t>
      </w:r>
      <w:r w:rsidRPr="002D19CF">
        <w:rPr>
          <w:rFonts w:ascii="Arial" w:hAnsi="Arial" w:cs="Arial"/>
        </w:rPr>
        <w:t xml:space="preserve"> is explained by the independent variables. This percentage is small</w:t>
      </w:r>
      <w:r w:rsidR="00506EE8">
        <w:rPr>
          <w:rFonts w:ascii="Arial" w:hAnsi="Arial" w:cs="Arial"/>
        </w:rPr>
        <w:t>,</w:t>
      </w:r>
      <w:r w:rsidRPr="002D19CF">
        <w:rPr>
          <w:rFonts w:ascii="Arial" w:hAnsi="Arial" w:cs="Arial"/>
        </w:rPr>
        <w:t xml:space="preserve"> and therefore</w:t>
      </w:r>
      <w:r w:rsidR="001772E3">
        <w:rPr>
          <w:rFonts w:ascii="Arial" w:hAnsi="Arial" w:cs="Arial"/>
        </w:rPr>
        <w:t>,</w:t>
      </w:r>
      <w:r w:rsidRPr="002D19CF">
        <w:rPr>
          <w:rFonts w:ascii="Arial" w:hAnsi="Arial" w:cs="Arial"/>
        </w:rPr>
        <w:t xml:space="preserve"> additional factors could potentially increase the explanatory power.</w:t>
      </w:r>
    </w:p>
    <w:p w14:paraId="5127D0AD" w14:textId="77777777" w:rsidR="007A6F77" w:rsidRPr="002D19CF" w:rsidRDefault="007A6F77" w:rsidP="002D19CF">
      <w:pPr>
        <w:rPr>
          <w:rFonts w:ascii="Arial" w:hAnsi="Arial" w:cs="Arial"/>
          <w:b/>
        </w:rPr>
      </w:pPr>
      <w:r w:rsidRPr="002D19CF">
        <w:rPr>
          <w:rFonts w:ascii="Arial" w:hAnsi="Arial" w:cs="Arial"/>
          <w:b/>
        </w:rPr>
        <w:t>Table 6. Model summary results</w:t>
      </w:r>
    </w:p>
    <w:tbl>
      <w:tblPr>
        <w:tblStyle w:val="LightShading"/>
        <w:tblW w:w="0" w:type="auto"/>
        <w:tblLook w:val="06A0" w:firstRow="1" w:lastRow="0" w:firstColumn="1" w:lastColumn="0" w:noHBand="1" w:noVBand="1"/>
      </w:tblPr>
      <w:tblGrid>
        <w:gridCol w:w="1924"/>
        <w:gridCol w:w="1925"/>
        <w:gridCol w:w="1925"/>
        <w:gridCol w:w="1925"/>
        <w:gridCol w:w="1925"/>
      </w:tblGrid>
      <w:tr w:rsidR="007A6F77" w:rsidRPr="002D19CF" w14:paraId="48FA48AD"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7F7D5A0E" w14:textId="77777777" w:rsidR="007A6F77" w:rsidRPr="002D19CF" w:rsidRDefault="007A6F77" w:rsidP="002D19CF">
            <w:pPr>
              <w:rPr>
                <w:rFonts w:ascii="Arial" w:hAnsi="Arial" w:cs="Arial"/>
                <w:sz w:val="20"/>
                <w:szCs w:val="20"/>
              </w:rPr>
            </w:pPr>
            <w:r w:rsidRPr="002D19CF">
              <w:rPr>
                <w:rFonts w:ascii="Arial" w:hAnsi="Arial" w:cs="Arial"/>
                <w:sz w:val="20"/>
                <w:szCs w:val="20"/>
              </w:rPr>
              <w:t>Model</w:t>
            </w:r>
          </w:p>
        </w:tc>
        <w:tc>
          <w:tcPr>
            <w:tcW w:w="1925" w:type="dxa"/>
          </w:tcPr>
          <w:p w14:paraId="06F4C9CB"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R</w:t>
            </w:r>
          </w:p>
        </w:tc>
        <w:tc>
          <w:tcPr>
            <w:tcW w:w="1925" w:type="dxa"/>
          </w:tcPr>
          <w:p w14:paraId="77EE2A37"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R Square</w:t>
            </w:r>
          </w:p>
        </w:tc>
        <w:tc>
          <w:tcPr>
            <w:tcW w:w="1925" w:type="dxa"/>
          </w:tcPr>
          <w:p w14:paraId="06D66609"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Adjusted R Square</w:t>
            </w:r>
          </w:p>
        </w:tc>
        <w:tc>
          <w:tcPr>
            <w:tcW w:w="1925" w:type="dxa"/>
          </w:tcPr>
          <w:p w14:paraId="6A152A07"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Std. Error of the Estimate</w:t>
            </w:r>
          </w:p>
        </w:tc>
      </w:tr>
      <w:tr w:rsidR="007A6F77" w:rsidRPr="002D19CF" w14:paraId="57EA1C76" w14:textId="77777777" w:rsidTr="008F57CF">
        <w:tc>
          <w:tcPr>
            <w:cnfStyle w:val="001000000000" w:firstRow="0" w:lastRow="0" w:firstColumn="1" w:lastColumn="0" w:oddVBand="0" w:evenVBand="0" w:oddHBand="0" w:evenHBand="0" w:firstRowFirstColumn="0" w:firstRowLastColumn="0" w:lastRowFirstColumn="0" w:lastRowLastColumn="0"/>
            <w:tcW w:w="1924" w:type="dxa"/>
          </w:tcPr>
          <w:p w14:paraId="44C2F189" w14:textId="77777777" w:rsidR="007A6F77" w:rsidRPr="002D19CF" w:rsidRDefault="007A6F77" w:rsidP="002D19CF">
            <w:pPr>
              <w:rPr>
                <w:rFonts w:ascii="Arial" w:hAnsi="Arial" w:cs="Arial"/>
                <w:sz w:val="20"/>
                <w:szCs w:val="20"/>
              </w:rPr>
            </w:pPr>
            <w:r w:rsidRPr="002D19CF">
              <w:rPr>
                <w:rFonts w:ascii="Arial" w:hAnsi="Arial" w:cs="Arial"/>
                <w:sz w:val="20"/>
                <w:szCs w:val="20"/>
              </w:rPr>
              <w:t>1</w:t>
            </w:r>
          </w:p>
        </w:tc>
        <w:tc>
          <w:tcPr>
            <w:tcW w:w="1925" w:type="dxa"/>
          </w:tcPr>
          <w:p w14:paraId="05B8E2B3"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.362</w:t>
            </w:r>
          </w:p>
        </w:tc>
        <w:tc>
          <w:tcPr>
            <w:tcW w:w="1925" w:type="dxa"/>
          </w:tcPr>
          <w:p w14:paraId="20DD9CE9"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.131</w:t>
            </w:r>
          </w:p>
        </w:tc>
        <w:tc>
          <w:tcPr>
            <w:tcW w:w="1925" w:type="dxa"/>
          </w:tcPr>
          <w:p w14:paraId="70D94CBD"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.105</w:t>
            </w:r>
          </w:p>
        </w:tc>
        <w:tc>
          <w:tcPr>
            <w:tcW w:w="1925" w:type="dxa"/>
          </w:tcPr>
          <w:p w14:paraId="5B61F46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.80675</w:t>
            </w:r>
          </w:p>
        </w:tc>
      </w:tr>
    </w:tbl>
    <w:p w14:paraId="4B52BD2C" w14:textId="77777777" w:rsidR="007A6F77" w:rsidRPr="002D19CF" w:rsidRDefault="007A6F77" w:rsidP="002D19CF">
      <w:pPr>
        <w:rPr>
          <w:rFonts w:ascii="Arial" w:hAnsi="Arial" w:cs="Arial"/>
        </w:rPr>
      </w:pPr>
      <w:r w:rsidRPr="002D19CF">
        <w:rPr>
          <w:rFonts w:ascii="Arial" w:hAnsi="Arial" w:cs="Arial"/>
        </w:rPr>
        <w:t>a Predictors: (Constant), Gender, Level, Educational Background, Age, Formal training or education on data privacy</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124DCDA3" w14:textId="41A61173" w:rsidR="007A6F77" w:rsidRPr="002D19CF" w:rsidRDefault="007A6F77" w:rsidP="002D19CF">
      <w:pPr>
        <w:jc w:val="both"/>
        <w:rPr>
          <w:rFonts w:ascii="Arial" w:hAnsi="Arial" w:cs="Arial"/>
          <w:color w:val="000000"/>
          <w:lang w:eastAsia="en-GB"/>
        </w:rPr>
      </w:pPr>
      <w:r w:rsidRPr="002D19CF">
        <w:rPr>
          <w:rFonts w:ascii="Arial" w:hAnsi="Arial" w:cs="Arial"/>
          <w:color w:val="000000"/>
          <w:lang w:eastAsia="en-GB"/>
        </w:rPr>
        <w:t xml:space="preserve">Table 7 indicates that the regression model predicts user </w:t>
      </w:r>
      <w:r w:rsidR="009F7904">
        <w:rPr>
          <w:rFonts w:ascii="Arial" w:hAnsi="Arial" w:cs="Arial"/>
          <w:color w:val="000000"/>
          <w:lang w:eastAsia="en-GB"/>
        </w:rPr>
        <w:t>behaviour</w:t>
      </w:r>
      <w:r w:rsidRPr="002D19CF">
        <w:rPr>
          <w:rFonts w:ascii="Arial" w:hAnsi="Arial" w:cs="Arial"/>
          <w:color w:val="000000"/>
          <w:lang w:eastAsia="en-GB"/>
        </w:rPr>
        <w:t xml:space="preserve"> significantly well. P-value/Significant value = .00, which is less than .05, and indicates that, overall, the regression model statistically significantly predicts user </w:t>
      </w:r>
      <w:r w:rsidR="009F7904">
        <w:rPr>
          <w:rFonts w:ascii="Arial" w:hAnsi="Arial" w:cs="Arial"/>
          <w:color w:val="000000"/>
          <w:lang w:eastAsia="en-GB"/>
        </w:rPr>
        <w:t>behaviour</w:t>
      </w:r>
      <w:r w:rsidRPr="002D19CF">
        <w:rPr>
          <w:rFonts w:ascii="Arial" w:hAnsi="Arial" w:cs="Arial"/>
          <w:color w:val="000000"/>
          <w:lang w:eastAsia="en-GB"/>
        </w:rPr>
        <w:t>.</w:t>
      </w:r>
    </w:p>
    <w:p w14:paraId="4DD6920C" w14:textId="77777777" w:rsidR="007A6F77" w:rsidRPr="002D19CF" w:rsidRDefault="007A6F77" w:rsidP="002D19CF">
      <w:pPr>
        <w:rPr>
          <w:rFonts w:ascii="Arial" w:hAnsi="Arial" w:cs="Arial"/>
          <w:b/>
        </w:rPr>
      </w:pPr>
      <w:r w:rsidRPr="002D19CF">
        <w:rPr>
          <w:rFonts w:ascii="Arial" w:hAnsi="Arial" w:cs="Arial"/>
          <w:b/>
        </w:rPr>
        <w:t>Table 7. Results on ANOVA</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tbl>
      <w:tblPr>
        <w:tblStyle w:val="LightShading"/>
        <w:tblW w:w="0" w:type="auto"/>
        <w:tblLook w:val="06A0" w:firstRow="1" w:lastRow="0" w:firstColumn="1" w:lastColumn="0" w:noHBand="1" w:noVBand="1"/>
      </w:tblPr>
      <w:tblGrid>
        <w:gridCol w:w="1374"/>
        <w:gridCol w:w="1375"/>
        <w:gridCol w:w="1375"/>
        <w:gridCol w:w="1375"/>
        <w:gridCol w:w="1375"/>
        <w:gridCol w:w="1375"/>
        <w:gridCol w:w="1375"/>
      </w:tblGrid>
      <w:tr w:rsidR="007A6F77" w:rsidRPr="002D19CF" w14:paraId="1C343584"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 w:type="dxa"/>
          </w:tcPr>
          <w:p w14:paraId="3BADBA2A" w14:textId="77777777" w:rsidR="007A6F77" w:rsidRPr="002D19CF" w:rsidRDefault="007A6F77" w:rsidP="002D19CF">
            <w:pPr>
              <w:rPr>
                <w:rFonts w:ascii="Arial" w:hAnsi="Arial" w:cs="Arial"/>
                <w:sz w:val="20"/>
                <w:szCs w:val="20"/>
              </w:rPr>
            </w:pPr>
            <w:r w:rsidRPr="002D19CF">
              <w:rPr>
                <w:rFonts w:ascii="Arial" w:hAnsi="Arial" w:cs="Arial"/>
                <w:sz w:val="20"/>
                <w:szCs w:val="20"/>
              </w:rPr>
              <w:t>Model</w:t>
            </w:r>
          </w:p>
        </w:tc>
        <w:tc>
          <w:tcPr>
            <w:tcW w:w="1375" w:type="dxa"/>
          </w:tcPr>
          <w:p w14:paraId="12CBB500"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375" w:type="dxa"/>
          </w:tcPr>
          <w:p w14:paraId="2BEB8F60"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Sum of Squares</w:t>
            </w:r>
          </w:p>
        </w:tc>
        <w:tc>
          <w:tcPr>
            <w:tcW w:w="1375" w:type="dxa"/>
          </w:tcPr>
          <w:p w14:paraId="06E82F91"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Df</w:t>
            </w:r>
          </w:p>
        </w:tc>
        <w:tc>
          <w:tcPr>
            <w:tcW w:w="1375" w:type="dxa"/>
          </w:tcPr>
          <w:p w14:paraId="1475916A"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Mean Square</w:t>
            </w:r>
          </w:p>
        </w:tc>
        <w:tc>
          <w:tcPr>
            <w:tcW w:w="1375" w:type="dxa"/>
          </w:tcPr>
          <w:p w14:paraId="7D584AC6"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F</w:t>
            </w:r>
          </w:p>
        </w:tc>
        <w:tc>
          <w:tcPr>
            <w:tcW w:w="1375" w:type="dxa"/>
          </w:tcPr>
          <w:p w14:paraId="3F3981C5"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Sig.</w:t>
            </w:r>
          </w:p>
        </w:tc>
      </w:tr>
      <w:tr w:rsidR="007A6F77" w:rsidRPr="002D19CF" w14:paraId="14A1EC6F" w14:textId="77777777" w:rsidTr="008F57CF">
        <w:tc>
          <w:tcPr>
            <w:cnfStyle w:val="001000000000" w:firstRow="0" w:lastRow="0" w:firstColumn="1" w:lastColumn="0" w:oddVBand="0" w:evenVBand="0" w:oddHBand="0" w:evenHBand="0" w:firstRowFirstColumn="0" w:firstRowLastColumn="0" w:lastRowFirstColumn="0" w:lastRowLastColumn="0"/>
            <w:tcW w:w="1374" w:type="dxa"/>
          </w:tcPr>
          <w:p w14:paraId="19F5BF5B" w14:textId="77777777" w:rsidR="007A6F77" w:rsidRPr="002D19CF" w:rsidRDefault="007A6F77" w:rsidP="002D19CF">
            <w:pPr>
              <w:rPr>
                <w:rFonts w:ascii="Arial" w:hAnsi="Arial" w:cs="Arial"/>
                <w:sz w:val="20"/>
                <w:szCs w:val="20"/>
              </w:rPr>
            </w:pPr>
            <w:r w:rsidRPr="002D19CF">
              <w:rPr>
                <w:rFonts w:ascii="Arial" w:hAnsi="Arial" w:cs="Arial"/>
                <w:sz w:val="20"/>
                <w:szCs w:val="20"/>
              </w:rPr>
              <w:t>1</w:t>
            </w:r>
          </w:p>
        </w:tc>
        <w:tc>
          <w:tcPr>
            <w:tcW w:w="1375" w:type="dxa"/>
          </w:tcPr>
          <w:p w14:paraId="03BAB49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Regression</w:t>
            </w:r>
          </w:p>
        </w:tc>
        <w:tc>
          <w:tcPr>
            <w:tcW w:w="1375" w:type="dxa"/>
          </w:tcPr>
          <w:p w14:paraId="2CAED6FA"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16.342</w:t>
            </w:r>
          </w:p>
        </w:tc>
        <w:tc>
          <w:tcPr>
            <w:tcW w:w="1375" w:type="dxa"/>
          </w:tcPr>
          <w:p w14:paraId="4A7A11A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w:t>
            </w:r>
          </w:p>
        </w:tc>
        <w:tc>
          <w:tcPr>
            <w:tcW w:w="1375" w:type="dxa"/>
          </w:tcPr>
          <w:p w14:paraId="480435E5"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3.268</w:t>
            </w:r>
          </w:p>
        </w:tc>
        <w:tc>
          <w:tcPr>
            <w:tcW w:w="1375" w:type="dxa"/>
          </w:tcPr>
          <w:p w14:paraId="64946031"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5.022</w:t>
            </w:r>
          </w:p>
        </w:tc>
        <w:tc>
          <w:tcPr>
            <w:tcW w:w="1375" w:type="dxa"/>
          </w:tcPr>
          <w:p w14:paraId="2B3B1503"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.000</w:t>
            </w:r>
            <w:r w:rsidRPr="002D19CF">
              <w:rPr>
                <w:rFonts w:ascii="Arial" w:hAnsi="Arial" w:cs="Arial"/>
                <w:b/>
                <w:sz w:val="20"/>
                <w:szCs w:val="20"/>
                <w:vertAlign w:val="superscript"/>
              </w:rPr>
              <w:t>b</w:t>
            </w:r>
          </w:p>
        </w:tc>
      </w:tr>
      <w:tr w:rsidR="007A6F77" w:rsidRPr="002D19CF" w14:paraId="2B1E4326" w14:textId="77777777" w:rsidTr="008F57CF">
        <w:tc>
          <w:tcPr>
            <w:cnfStyle w:val="001000000000" w:firstRow="0" w:lastRow="0" w:firstColumn="1" w:lastColumn="0" w:oddVBand="0" w:evenVBand="0" w:oddHBand="0" w:evenHBand="0" w:firstRowFirstColumn="0" w:firstRowLastColumn="0" w:lastRowFirstColumn="0" w:lastRowLastColumn="0"/>
            <w:tcW w:w="1374" w:type="dxa"/>
          </w:tcPr>
          <w:p w14:paraId="22F817B9" w14:textId="77777777" w:rsidR="007A6F77" w:rsidRPr="002D19CF" w:rsidRDefault="007A6F77" w:rsidP="002D19CF">
            <w:pPr>
              <w:rPr>
                <w:rFonts w:ascii="Arial" w:hAnsi="Arial" w:cs="Arial"/>
                <w:sz w:val="20"/>
                <w:szCs w:val="20"/>
              </w:rPr>
            </w:pPr>
          </w:p>
        </w:tc>
        <w:tc>
          <w:tcPr>
            <w:tcW w:w="1375" w:type="dxa"/>
          </w:tcPr>
          <w:p w14:paraId="22B2CCE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Residual</w:t>
            </w:r>
          </w:p>
        </w:tc>
        <w:tc>
          <w:tcPr>
            <w:tcW w:w="1375" w:type="dxa"/>
          </w:tcPr>
          <w:p w14:paraId="406C8D32"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108.041</w:t>
            </w:r>
          </w:p>
        </w:tc>
        <w:tc>
          <w:tcPr>
            <w:tcW w:w="1375" w:type="dxa"/>
          </w:tcPr>
          <w:p w14:paraId="1F717CA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166</w:t>
            </w:r>
          </w:p>
        </w:tc>
        <w:tc>
          <w:tcPr>
            <w:tcW w:w="1375" w:type="dxa"/>
          </w:tcPr>
          <w:p w14:paraId="5FC6C836"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.651</w:t>
            </w:r>
          </w:p>
        </w:tc>
        <w:tc>
          <w:tcPr>
            <w:tcW w:w="1375" w:type="dxa"/>
          </w:tcPr>
          <w:p w14:paraId="67FBA166"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75" w:type="dxa"/>
          </w:tcPr>
          <w:p w14:paraId="3B6BA178"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6F77" w:rsidRPr="002D19CF" w14:paraId="513A257A" w14:textId="77777777" w:rsidTr="008F57CF">
        <w:tc>
          <w:tcPr>
            <w:cnfStyle w:val="001000000000" w:firstRow="0" w:lastRow="0" w:firstColumn="1" w:lastColumn="0" w:oddVBand="0" w:evenVBand="0" w:oddHBand="0" w:evenHBand="0" w:firstRowFirstColumn="0" w:firstRowLastColumn="0" w:lastRowFirstColumn="0" w:lastRowLastColumn="0"/>
            <w:tcW w:w="1374" w:type="dxa"/>
          </w:tcPr>
          <w:p w14:paraId="4302D861" w14:textId="77777777" w:rsidR="007A6F77" w:rsidRPr="002D19CF" w:rsidRDefault="007A6F77" w:rsidP="002D19CF">
            <w:pPr>
              <w:rPr>
                <w:rFonts w:ascii="Arial" w:hAnsi="Arial" w:cs="Arial"/>
                <w:sz w:val="20"/>
                <w:szCs w:val="20"/>
              </w:rPr>
            </w:pPr>
          </w:p>
        </w:tc>
        <w:tc>
          <w:tcPr>
            <w:tcW w:w="1375" w:type="dxa"/>
          </w:tcPr>
          <w:p w14:paraId="5F33D754"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Total</w:t>
            </w:r>
          </w:p>
        </w:tc>
        <w:tc>
          <w:tcPr>
            <w:tcW w:w="1375" w:type="dxa"/>
          </w:tcPr>
          <w:p w14:paraId="62D8A667"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124.382</w:t>
            </w:r>
          </w:p>
        </w:tc>
        <w:tc>
          <w:tcPr>
            <w:tcW w:w="1375" w:type="dxa"/>
          </w:tcPr>
          <w:p w14:paraId="2C74A50C"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171</w:t>
            </w:r>
          </w:p>
        </w:tc>
        <w:tc>
          <w:tcPr>
            <w:tcW w:w="1375" w:type="dxa"/>
          </w:tcPr>
          <w:p w14:paraId="11EC78DB"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75" w:type="dxa"/>
          </w:tcPr>
          <w:p w14:paraId="37E52594"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75" w:type="dxa"/>
          </w:tcPr>
          <w:p w14:paraId="6CDF6532"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EBC8BF7" w14:textId="3E9C960A" w:rsidR="007A6F77" w:rsidRPr="002D19CF" w:rsidRDefault="007A6F77" w:rsidP="002D19CF">
      <w:pPr>
        <w:rPr>
          <w:rFonts w:ascii="Arial" w:hAnsi="Arial" w:cs="Arial"/>
        </w:rPr>
      </w:pPr>
      <w:r w:rsidRPr="002D19CF">
        <w:rPr>
          <w:rFonts w:ascii="Arial" w:hAnsi="Arial" w:cs="Arial"/>
        </w:rPr>
        <w:t xml:space="preserve">a Dependent Variable: User </w:t>
      </w:r>
      <w:r w:rsidR="009F7904">
        <w:rPr>
          <w:rFonts w:ascii="Arial" w:hAnsi="Arial" w:cs="Arial"/>
        </w:rPr>
        <w:t>Behaviour</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625269FB" w14:textId="77777777" w:rsidR="007A6F77" w:rsidRPr="002D19CF" w:rsidRDefault="007A6F77" w:rsidP="002D19CF">
      <w:pPr>
        <w:rPr>
          <w:rFonts w:ascii="Arial" w:hAnsi="Arial" w:cs="Arial"/>
        </w:rPr>
      </w:pPr>
      <w:r w:rsidRPr="002D19CF">
        <w:rPr>
          <w:rFonts w:ascii="Arial" w:hAnsi="Arial" w:cs="Arial"/>
        </w:rPr>
        <w:t>b Predictors: (Constant), Gender, Level, Educational Background, Age, Formal training or education on data privacy</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0CCD2EC0" w14:textId="7102B68C" w:rsidR="007A6F77" w:rsidRPr="002D19CF" w:rsidRDefault="007A6F77" w:rsidP="002D19CF">
      <w:pPr>
        <w:spacing w:after="160"/>
        <w:jc w:val="both"/>
        <w:rPr>
          <w:rFonts w:ascii="Arial" w:hAnsi="Arial" w:cs="Arial"/>
        </w:rPr>
      </w:pPr>
      <w:r w:rsidRPr="002D19CF">
        <w:rPr>
          <w:rFonts w:ascii="Arial" w:hAnsi="Arial" w:cs="Arial"/>
        </w:rPr>
        <w:t xml:space="preserve">The study looked at how user </w:t>
      </w:r>
      <w:r w:rsidR="009F7904">
        <w:rPr>
          <w:rFonts w:ascii="Arial" w:hAnsi="Arial" w:cs="Arial"/>
        </w:rPr>
        <w:t>behaviour</w:t>
      </w:r>
      <w:r w:rsidRPr="002D19CF">
        <w:rPr>
          <w:rFonts w:ascii="Arial" w:hAnsi="Arial" w:cs="Arial"/>
        </w:rPr>
        <w:t xml:space="preserve"> toward data privacy policies is influenced by a variety of criteria, including gender, age, academic level, educational background, and formal training on data privacy. Although these characteristics are crucial, other factors that were not included in the study might also be significant, as the model indicates a moderate relationship between these factors and user </w:t>
      </w:r>
      <w:r w:rsidR="009F7904">
        <w:rPr>
          <w:rFonts w:ascii="Arial" w:hAnsi="Arial" w:cs="Arial"/>
        </w:rPr>
        <w:t>behaviour</w:t>
      </w:r>
      <w:r w:rsidRPr="002D19CF">
        <w:rPr>
          <w:rFonts w:ascii="Arial" w:hAnsi="Arial" w:cs="Arial"/>
        </w:rPr>
        <w:t xml:space="preserve">. About 10.5% of the variations in user </w:t>
      </w:r>
      <w:r w:rsidR="009F7904">
        <w:rPr>
          <w:rFonts w:ascii="Arial" w:hAnsi="Arial" w:cs="Arial"/>
        </w:rPr>
        <w:t>behaviour</w:t>
      </w:r>
      <w:r w:rsidRPr="002D19CF">
        <w:rPr>
          <w:rFonts w:ascii="Arial" w:hAnsi="Arial" w:cs="Arial"/>
        </w:rPr>
        <w:t xml:space="preserve"> can be explained by the model, suggesting that there are additional important contributing factors. Data privacy policies are more likely to be used by older people. This finding is statistically significant. People who were formally trained in data privacy were surprisingly less inclined to interact with privacy policies. This could indicate that trained people do not thoroughly examine the policies because they believe they already understand privacy issues. Although they may have a role, gender</w:t>
      </w:r>
      <w:r w:rsidR="000843C3">
        <w:rPr>
          <w:rFonts w:ascii="Arial" w:hAnsi="Arial" w:cs="Arial"/>
        </w:rPr>
        <w:t xml:space="preserve"> </w:t>
      </w:r>
      <w:r w:rsidRPr="002D19CF">
        <w:rPr>
          <w:rFonts w:ascii="Arial" w:hAnsi="Arial" w:cs="Arial"/>
        </w:rPr>
        <w:t xml:space="preserve">and educational background did not reveal a substantial enough correlation with user </w:t>
      </w:r>
      <w:r w:rsidR="009F7904">
        <w:rPr>
          <w:rFonts w:ascii="Arial" w:hAnsi="Arial" w:cs="Arial"/>
        </w:rPr>
        <w:t>behaviour</w:t>
      </w:r>
      <w:r w:rsidRPr="002D19CF">
        <w:rPr>
          <w:rFonts w:ascii="Arial" w:hAnsi="Arial" w:cs="Arial"/>
        </w:rPr>
        <w:t xml:space="preserve"> to be deemed conclusive. The effect of academic level was negative but not statistically significant, indicating that students at higher academic levels are less likely to interact with privacy regulations. These results demonstrate that although demographic variables such as age and education have an impact on </w:t>
      </w:r>
      <w:r w:rsidR="009F7904">
        <w:rPr>
          <w:rFonts w:ascii="Arial" w:hAnsi="Arial" w:cs="Arial"/>
        </w:rPr>
        <w:t>behaviour</w:t>
      </w:r>
      <w:r w:rsidRPr="002D19CF">
        <w:rPr>
          <w:rFonts w:ascii="Arial" w:hAnsi="Arial" w:cs="Arial"/>
        </w:rPr>
        <w:t xml:space="preserve">, they fall short of providing a complete explanation for why people interact with privacy laws. </w:t>
      </w:r>
      <w:r w:rsidRPr="002D19CF">
        <w:rPr>
          <w:rFonts w:ascii="Arial" w:hAnsi="Arial" w:cs="Arial"/>
          <w:color w:val="000000"/>
          <w:lang w:eastAsia="en-GB"/>
        </w:rPr>
        <w:t xml:space="preserve">Table 8 shows the coefficients, which provide the necessary information to predict </w:t>
      </w:r>
      <w:r w:rsidRPr="002D19CF">
        <w:rPr>
          <w:rFonts w:ascii="Arial" w:hAnsi="Arial" w:cs="Arial"/>
          <w:color w:val="000000"/>
          <w:lang w:eastAsia="en-GB"/>
        </w:rPr>
        <w:lastRenderedPageBreak/>
        <w:t xml:space="preserve">user </w:t>
      </w:r>
      <w:r w:rsidR="009F7904">
        <w:rPr>
          <w:rFonts w:ascii="Arial" w:hAnsi="Arial" w:cs="Arial"/>
          <w:color w:val="000000"/>
          <w:lang w:eastAsia="en-GB"/>
        </w:rPr>
        <w:t>behaviour</w:t>
      </w:r>
      <w:r w:rsidRPr="002D19CF">
        <w:rPr>
          <w:rFonts w:ascii="Arial" w:hAnsi="Arial" w:cs="Arial"/>
          <w:color w:val="000000"/>
          <w:lang w:eastAsia="en-GB"/>
        </w:rPr>
        <w:t xml:space="preserve"> from </w:t>
      </w:r>
      <w:r w:rsidRPr="002D19CF">
        <w:rPr>
          <w:rFonts w:ascii="Arial" w:hAnsi="Arial" w:cs="Arial"/>
        </w:rPr>
        <w:t>gender, level, educational background, age, and formal training or education on data privacy</w:t>
      </w:r>
      <w:r w:rsidRPr="002D19CF">
        <w:rPr>
          <w:rFonts w:ascii="Arial" w:hAnsi="Arial" w:cs="Arial"/>
          <w:color w:val="000000"/>
          <w:lang w:eastAsia="en-GB"/>
        </w:rPr>
        <w:t>. The unstandardized coefficients of gender, age</w:t>
      </w:r>
      <w:r w:rsidR="000843C3">
        <w:rPr>
          <w:rFonts w:ascii="Arial" w:hAnsi="Arial" w:cs="Arial"/>
          <w:color w:val="000000"/>
          <w:lang w:eastAsia="en-GB"/>
        </w:rPr>
        <w:t>,</w:t>
      </w:r>
      <w:r w:rsidRPr="002D19CF">
        <w:rPr>
          <w:rFonts w:ascii="Arial" w:hAnsi="Arial" w:cs="Arial"/>
          <w:color w:val="000000"/>
          <w:lang w:eastAsia="en-GB"/>
        </w:rPr>
        <w:t xml:space="preserve"> and educational background indicate a positive relationship, which means </w:t>
      </w:r>
      <w:r w:rsidR="00622FFC">
        <w:rPr>
          <w:rFonts w:ascii="Arial" w:hAnsi="Arial" w:cs="Arial"/>
          <w:color w:val="000000"/>
          <w:lang w:eastAsia="en-GB"/>
        </w:rPr>
        <w:t xml:space="preserve">that </w:t>
      </w:r>
      <w:r w:rsidRPr="002D19CF">
        <w:rPr>
          <w:rFonts w:ascii="Arial" w:hAnsi="Arial" w:cs="Arial"/>
          <w:color w:val="000000"/>
          <w:lang w:eastAsia="en-GB"/>
        </w:rPr>
        <w:t xml:space="preserve">as they increase, the user </w:t>
      </w:r>
      <w:r w:rsidR="009F7904">
        <w:rPr>
          <w:rFonts w:ascii="Arial" w:hAnsi="Arial" w:cs="Arial"/>
          <w:color w:val="000000"/>
          <w:lang w:eastAsia="en-GB"/>
        </w:rPr>
        <w:t>behaviour</w:t>
      </w:r>
      <w:r w:rsidRPr="002D19CF">
        <w:rPr>
          <w:rFonts w:ascii="Arial" w:hAnsi="Arial" w:cs="Arial"/>
          <w:color w:val="000000"/>
          <w:lang w:eastAsia="en-GB"/>
        </w:rPr>
        <w:t xml:space="preserve"> will also increase. Thus, individuals are more likely to interact with data privacy policies as they get older. There is also a correlation between higher education and increased participation. There is also a positive correlation between gender (male or female), albeit a weak one. The relationships between age, formal training or education, and user </w:t>
      </w:r>
      <w:r w:rsidR="009F7904">
        <w:rPr>
          <w:rFonts w:ascii="Arial" w:hAnsi="Arial" w:cs="Arial"/>
          <w:color w:val="000000"/>
          <w:lang w:eastAsia="en-GB"/>
        </w:rPr>
        <w:t>behaviour</w:t>
      </w:r>
      <w:r w:rsidRPr="002D19CF">
        <w:rPr>
          <w:rFonts w:ascii="Arial" w:hAnsi="Arial" w:cs="Arial"/>
          <w:color w:val="000000"/>
          <w:lang w:eastAsia="en-GB"/>
        </w:rPr>
        <w:t xml:space="preserve"> are statistically significant and contribute meaningfully to the model. The 95% Confidence level for age (0.072 – 0.400) suggests that there is 95% confidence that the true effect of age on user </w:t>
      </w:r>
      <w:r w:rsidR="009F7904">
        <w:rPr>
          <w:rFonts w:ascii="Arial" w:hAnsi="Arial" w:cs="Arial"/>
          <w:color w:val="000000"/>
          <w:lang w:eastAsia="en-GB"/>
        </w:rPr>
        <w:t>behaviour</w:t>
      </w:r>
      <w:r w:rsidRPr="002D19CF">
        <w:rPr>
          <w:rFonts w:ascii="Arial" w:hAnsi="Arial" w:cs="Arial"/>
          <w:color w:val="000000"/>
          <w:lang w:eastAsia="en-GB"/>
        </w:rPr>
        <w:t xml:space="preserve"> lies within this range, and it is a significant predictor of user </w:t>
      </w:r>
      <w:r w:rsidR="009F7904">
        <w:rPr>
          <w:rFonts w:ascii="Arial" w:hAnsi="Arial" w:cs="Arial"/>
          <w:color w:val="000000"/>
          <w:lang w:eastAsia="en-GB"/>
        </w:rPr>
        <w:t>behaviour</w:t>
      </w:r>
      <w:r w:rsidRPr="002D19CF">
        <w:rPr>
          <w:rFonts w:ascii="Arial" w:hAnsi="Arial" w:cs="Arial"/>
          <w:color w:val="000000"/>
          <w:lang w:eastAsia="en-GB"/>
        </w:rPr>
        <w:t>.</w:t>
      </w:r>
    </w:p>
    <w:p w14:paraId="368736F2" w14:textId="77777777" w:rsidR="007A6F77" w:rsidRPr="002D19CF" w:rsidRDefault="007A6F77" w:rsidP="002D19CF">
      <w:pPr>
        <w:rPr>
          <w:rFonts w:ascii="Arial" w:hAnsi="Arial" w:cs="Arial"/>
          <w:b/>
        </w:rPr>
      </w:pPr>
      <w:r w:rsidRPr="002D19CF">
        <w:rPr>
          <w:rFonts w:ascii="Arial" w:hAnsi="Arial" w:cs="Arial"/>
          <w:b/>
        </w:rPr>
        <w:t>Table 8. Results on Coefficients</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tbl>
      <w:tblPr>
        <w:tblStyle w:val="LightShading"/>
        <w:tblW w:w="9640" w:type="dxa"/>
        <w:tblLayout w:type="fixed"/>
        <w:tblLook w:val="06A0" w:firstRow="1" w:lastRow="0" w:firstColumn="1" w:lastColumn="0" w:noHBand="1" w:noVBand="1"/>
      </w:tblPr>
      <w:tblGrid>
        <w:gridCol w:w="851"/>
        <w:gridCol w:w="1418"/>
        <w:gridCol w:w="992"/>
        <w:gridCol w:w="1134"/>
        <w:gridCol w:w="1559"/>
        <w:gridCol w:w="851"/>
        <w:gridCol w:w="850"/>
        <w:gridCol w:w="993"/>
        <w:gridCol w:w="992"/>
      </w:tblGrid>
      <w:tr w:rsidR="007A6F77" w:rsidRPr="002D19CF" w14:paraId="0E0B7D7C" w14:textId="77777777" w:rsidTr="008F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7C53A86B" w14:textId="77777777" w:rsidR="007A6F77" w:rsidRPr="002D19CF" w:rsidRDefault="007A6F77" w:rsidP="002D19CF">
            <w:pPr>
              <w:rPr>
                <w:rFonts w:ascii="Arial" w:hAnsi="Arial" w:cs="Arial"/>
                <w:sz w:val="20"/>
                <w:szCs w:val="20"/>
              </w:rPr>
            </w:pPr>
            <w:r w:rsidRPr="002D19CF">
              <w:rPr>
                <w:rFonts w:ascii="Arial" w:hAnsi="Arial" w:cs="Arial"/>
                <w:sz w:val="20"/>
                <w:szCs w:val="20"/>
              </w:rPr>
              <w:t>Model</w:t>
            </w:r>
          </w:p>
        </w:tc>
        <w:tc>
          <w:tcPr>
            <w:tcW w:w="1418" w:type="dxa"/>
          </w:tcPr>
          <w:p w14:paraId="30710E27" w14:textId="77777777" w:rsidR="007A6F77" w:rsidRPr="002D19CF" w:rsidRDefault="007A6F77" w:rsidP="002D19C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2126" w:type="dxa"/>
            <w:gridSpan w:val="2"/>
          </w:tcPr>
          <w:p w14:paraId="7C38BC9D"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Unstandardized Coefficients</w:t>
            </w:r>
          </w:p>
        </w:tc>
        <w:tc>
          <w:tcPr>
            <w:tcW w:w="1559" w:type="dxa"/>
          </w:tcPr>
          <w:p w14:paraId="27A8DA0F"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Standardized Coefficients</w:t>
            </w:r>
          </w:p>
        </w:tc>
        <w:tc>
          <w:tcPr>
            <w:tcW w:w="851" w:type="dxa"/>
          </w:tcPr>
          <w:p w14:paraId="13C23137" w14:textId="7D9307BE" w:rsidR="007A6F77" w:rsidRPr="002D19CF" w:rsidRDefault="00407FAB"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T</w:t>
            </w:r>
          </w:p>
        </w:tc>
        <w:tc>
          <w:tcPr>
            <w:tcW w:w="850" w:type="dxa"/>
          </w:tcPr>
          <w:p w14:paraId="1BE6D490"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Sig.</w:t>
            </w:r>
          </w:p>
        </w:tc>
        <w:tc>
          <w:tcPr>
            <w:tcW w:w="1985" w:type="dxa"/>
            <w:gridSpan w:val="2"/>
          </w:tcPr>
          <w:p w14:paraId="01755A07" w14:textId="77777777" w:rsidR="007A6F77" w:rsidRPr="002D19CF" w:rsidRDefault="007A6F77" w:rsidP="002D19C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95.0% Confidence Interval for B</w:t>
            </w:r>
          </w:p>
        </w:tc>
      </w:tr>
      <w:tr w:rsidR="007A6F77" w:rsidRPr="002D19CF" w14:paraId="5AE82195"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69D9C7B3" w14:textId="77777777" w:rsidR="007A6F77" w:rsidRPr="002D19CF" w:rsidRDefault="007A6F77" w:rsidP="002D19CF">
            <w:pPr>
              <w:rPr>
                <w:rFonts w:ascii="Arial" w:hAnsi="Arial" w:cs="Arial"/>
                <w:sz w:val="20"/>
                <w:szCs w:val="20"/>
              </w:rPr>
            </w:pPr>
          </w:p>
        </w:tc>
        <w:tc>
          <w:tcPr>
            <w:tcW w:w="1418" w:type="dxa"/>
          </w:tcPr>
          <w:p w14:paraId="62CF1892"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2" w:type="dxa"/>
          </w:tcPr>
          <w:p w14:paraId="3DEE88D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B</w:t>
            </w:r>
          </w:p>
        </w:tc>
        <w:tc>
          <w:tcPr>
            <w:tcW w:w="1134" w:type="dxa"/>
          </w:tcPr>
          <w:p w14:paraId="03042D8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Std. Error</w:t>
            </w:r>
          </w:p>
        </w:tc>
        <w:tc>
          <w:tcPr>
            <w:tcW w:w="1559" w:type="dxa"/>
          </w:tcPr>
          <w:p w14:paraId="52530E7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Beta</w:t>
            </w:r>
          </w:p>
        </w:tc>
        <w:tc>
          <w:tcPr>
            <w:tcW w:w="851" w:type="dxa"/>
          </w:tcPr>
          <w:p w14:paraId="57600D6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tcPr>
          <w:p w14:paraId="1AEF358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3" w:type="dxa"/>
          </w:tcPr>
          <w:p w14:paraId="65E4973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Lower Bound</w:t>
            </w:r>
          </w:p>
        </w:tc>
        <w:tc>
          <w:tcPr>
            <w:tcW w:w="992" w:type="dxa"/>
          </w:tcPr>
          <w:p w14:paraId="0D88F9E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Upper Bound</w:t>
            </w:r>
          </w:p>
        </w:tc>
      </w:tr>
      <w:tr w:rsidR="007A6F77" w:rsidRPr="002D19CF" w14:paraId="0117A9BE"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165D24FA" w14:textId="77777777" w:rsidR="007A6F77" w:rsidRPr="002D19CF" w:rsidRDefault="007A6F77" w:rsidP="002D19CF">
            <w:pPr>
              <w:rPr>
                <w:rFonts w:ascii="Arial" w:hAnsi="Arial" w:cs="Arial"/>
                <w:sz w:val="20"/>
                <w:szCs w:val="20"/>
              </w:rPr>
            </w:pPr>
            <w:r w:rsidRPr="002D19CF">
              <w:rPr>
                <w:rFonts w:ascii="Arial" w:hAnsi="Arial" w:cs="Arial"/>
                <w:sz w:val="20"/>
                <w:szCs w:val="20"/>
              </w:rPr>
              <w:t>1</w:t>
            </w:r>
          </w:p>
        </w:tc>
        <w:tc>
          <w:tcPr>
            <w:tcW w:w="1418" w:type="dxa"/>
          </w:tcPr>
          <w:p w14:paraId="0E60481D"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(Constant)</w:t>
            </w:r>
          </w:p>
        </w:tc>
        <w:tc>
          <w:tcPr>
            <w:tcW w:w="992" w:type="dxa"/>
          </w:tcPr>
          <w:p w14:paraId="1EBB4A5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3.380</w:t>
            </w:r>
          </w:p>
        </w:tc>
        <w:tc>
          <w:tcPr>
            <w:tcW w:w="1134" w:type="dxa"/>
          </w:tcPr>
          <w:p w14:paraId="121FC23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.459</w:t>
            </w:r>
          </w:p>
        </w:tc>
        <w:tc>
          <w:tcPr>
            <w:tcW w:w="1559" w:type="dxa"/>
          </w:tcPr>
          <w:p w14:paraId="676ADDA5"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dxa"/>
          </w:tcPr>
          <w:p w14:paraId="09C5F416"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7.367</w:t>
            </w:r>
          </w:p>
        </w:tc>
        <w:tc>
          <w:tcPr>
            <w:tcW w:w="850" w:type="dxa"/>
          </w:tcPr>
          <w:p w14:paraId="0A31AE1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.000</w:t>
            </w:r>
          </w:p>
        </w:tc>
        <w:tc>
          <w:tcPr>
            <w:tcW w:w="993" w:type="dxa"/>
          </w:tcPr>
          <w:p w14:paraId="2EF131E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2.474</w:t>
            </w:r>
          </w:p>
        </w:tc>
        <w:tc>
          <w:tcPr>
            <w:tcW w:w="992" w:type="dxa"/>
          </w:tcPr>
          <w:p w14:paraId="76143A9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4.286</w:t>
            </w:r>
          </w:p>
        </w:tc>
      </w:tr>
      <w:tr w:rsidR="007A6F77" w:rsidRPr="002D19CF" w14:paraId="20DDE049"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03D78238" w14:textId="77777777" w:rsidR="007A6F77" w:rsidRPr="002D19CF" w:rsidRDefault="007A6F77" w:rsidP="002D19CF">
            <w:pPr>
              <w:rPr>
                <w:rFonts w:ascii="Arial" w:hAnsi="Arial" w:cs="Arial"/>
                <w:sz w:val="20"/>
                <w:szCs w:val="20"/>
              </w:rPr>
            </w:pPr>
          </w:p>
        </w:tc>
        <w:tc>
          <w:tcPr>
            <w:tcW w:w="1418" w:type="dxa"/>
          </w:tcPr>
          <w:p w14:paraId="7DAB478D"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Gender</w:t>
            </w:r>
          </w:p>
        </w:tc>
        <w:tc>
          <w:tcPr>
            <w:tcW w:w="992" w:type="dxa"/>
          </w:tcPr>
          <w:p w14:paraId="2EE4F42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.193</w:t>
            </w:r>
          </w:p>
        </w:tc>
        <w:tc>
          <w:tcPr>
            <w:tcW w:w="1134" w:type="dxa"/>
          </w:tcPr>
          <w:p w14:paraId="207837F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.138</w:t>
            </w:r>
          </w:p>
        </w:tc>
        <w:tc>
          <w:tcPr>
            <w:tcW w:w="1559" w:type="dxa"/>
          </w:tcPr>
          <w:p w14:paraId="3F08D65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.107</w:t>
            </w:r>
          </w:p>
        </w:tc>
        <w:tc>
          <w:tcPr>
            <w:tcW w:w="851" w:type="dxa"/>
          </w:tcPr>
          <w:p w14:paraId="511414A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1.401</w:t>
            </w:r>
          </w:p>
        </w:tc>
        <w:tc>
          <w:tcPr>
            <w:tcW w:w="850" w:type="dxa"/>
          </w:tcPr>
          <w:p w14:paraId="0A6A5D3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.163</w:t>
            </w:r>
          </w:p>
        </w:tc>
        <w:tc>
          <w:tcPr>
            <w:tcW w:w="993" w:type="dxa"/>
          </w:tcPr>
          <w:p w14:paraId="2D85A53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-.079</w:t>
            </w:r>
          </w:p>
        </w:tc>
        <w:tc>
          <w:tcPr>
            <w:tcW w:w="992" w:type="dxa"/>
          </w:tcPr>
          <w:p w14:paraId="7B204AA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.466</w:t>
            </w:r>
          </w:p>
        </w:tc>
      </w:tr>
      <w:tr w:rsidR="007A6F77" w:rsidRPr="002D19CF" w14:paraId="0AA8D7DF"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7AF219B9" w14:textId="77777777" w:rsidR="007A6F77" w:rsidRPr="002D19CF" w:rsidRDefault="007A6F77" w:rsidP="002D19CF">
            <w:pPr>
              <w:rPr>
                <w:rFonts w:ascii="Arial" w:hAnsi="Arial" w:cs="Arial"/>
                <w:sz w:val="20"/>
                <w:szCs w:val="20"/>
              </w:rPr>
            </w:pPr>
          </w:p>
        </w:tc>
        <w:tc>
          <w:tcPr>
            <w:tcW w:w="1418" w:type="dxa"/>
          </w:tcPr>
          <w:p w14:paraId="34D1B9CE"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Age</w:t>
            </w:r>
          </w:p>
        </w:tc>
        <w:tc>
          <w:tcPr>
            <w:tcW w:w="992" w:type="dxa"/>
          </w:tcPr>
          <w:p w14:paraId="6CD1E76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.236</w:t>
            </w:r>
          </w:p>
        </w:tc>
        <w:tc>
          <w:tcPr>
            <w:tcW w:w="1134" w:type="dxa"/>
          </w:tcPr>
          <w:p w14:paraId="4BA6626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.083</w:t>
            </w:r>
          </w:p>
        </w:tc>
        <w:tc>
          <w:tcPr>
            <w:tcW w:w="1559" w:type="dxa"/>
          </w:tcPr>
          <w:p w14:paraId="4919240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.227</w:t>
            </w:r>
          </w:p>
        </w:tc>
        <w:tc>
          <w:tcPr>
            <w:tcW w:w="851" w:type="dxa"/>
          </w:tcPr>
          <w:p w14:paraId="648876B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19CF">
              <w:rPr>
                <w:rFonts w:ascii="Arial" w:hAnsi="Arial" w:cs="Arial"/>
                <w:b/>
                <w:sz w:val="20"/>
                <w:szCs w:val="20"/>
              </w:rPr>
              <w:t>2.842</w:t>
            </w:r>
            <w:r w:rsidRPr="002D19CF">
              <w:rPr>
                <w:rFonts w:ascii="Arial" w:hAnsi="Arial" w:cs="Arial"/>
                <w:b/>
                <w:sz w:val="20"/>
                <w:szCs w:val="20"/>
                <w:vertAlign w:val="superscript"/>
              </w:rPr>
              <w:t>*</w:t>
            </w:r>
          </w:p>
        </w:tc>
        <w:tc>
          <w:tcPr>
            <w:tcW w:w="850" w:type="dxa"/>
          </w:tcPr>
          <w:p w14:paraId="623E1CB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rPr>
            </w:pPr>
            <w:r w:rsidRPr="002D19CF">
              <w:rPr>
                <w:rFonts w:ascii="Arial" w:hAnsi="Arial" w:cs="Arial"/>
                <w:b/>
                <w:sz w:val="20"/>
                <w:szCs w:val="20"/>
              </w:rPr>
              <w:t>.005</w:t>
            </w:r>
            <w:r w:rsidRPr="002D19CF">
              <w:rPr>
                <w:rFonts w:ascii="Arial" w:hAnsi="Arial" w:cs="Arial"/>
                <w:b/>
                <w:sz w:val="20"/>
                <w:szCs w:val="20"/>
                <w:vertAlign w:val="superscript"/>
              </w:rPr>
              <w:t>*</w:t>
            </w:r>
          </w:p>
        </w:tc>
        <w:tc>
          <w:tcPr>
            <w:tcW w:w="993" w:type="dxa"/>
          </w:tcPr>
          <w:p w14:paraId="03E0B66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rPr>
            </w:pPr>
            <w:r w:rsidRPr="002D19CF">
              <w:rPr>
                <w:rFonts w:ascii="Arial" w:hAnsi="Arial" w:cs="Arial"/>
                <w:b/>
                <w:sz w:val="20"/>
                <w:szCs w:val="20"/>
              </w:rPr>
              <w:t>.072</w:t>
            </w:r>
            <w:r w:rsidRPr="002D19CF">
              <w:rPr>
                <w:rFonts w:ascii="Arial" w:hAnsi="Arial" w:cs="Arial"/>
                <w:b/>
                <w:sz w:val="20"/>
                <w:szCs w:val="20"/>
                <w:vertAlign w:val="superscript"/>
              </w:rPr>
              <w:t>*</w:t>
            </w:r>
          </w:p>
        </w:tc>
        <w:tc>
          <w:tcPr>
            <w:tcW w:w="992" w:type="dxa"/>
          </w:tcPr>
          <w:p w14:paraId="5EC36FE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rPr>
            </w:pPr>
            <w:r w:rsidRPr="002D19CF">
              <w:rPr>
                <w:rFonts w:ascii="Arial" w:hAnsi="Arial" w:cs="Arial"/>
                <w:b/>
                <w:sz w:val="20"/>
                <w:szCs w:val="20"/>
              </w:rPr>
              <w:t>.400</w:t>
            </w:r>
            <w:r w:rsidRPr="002D19CF">
              <w:rPr>
                <w:rFonts w:ascii="Arial" w:hAnsi="Arial" w:cs="Arial"/>
                <w:b/>
                <w:sz w:val="20"/>
                <w:szCs w:val="20"/>
                <w:vertAlign w:val="superscript"/>
              </w:rPr>
              <w:t>*</w:t>
            </w:r>
          </w:p>
        </w:tc>
      </w:tr>
      <w:tr w:rsidR="007A6F77" w:rsidRPr="002D19CF" w14:paraId="3FE4DC5F"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0A6E4F85" w14:textId="77777777" w:rsidR="007A6F77" w:rsidRPr="002D19CF" w:rsidRDefault="007A6F77" w:rsidP="002D19CF">
            <w:pPr>
              <w:rPr>
                <w:rFonts w:ascii="Arial" w:hAnsi="Arial" w:cs="Arial"/>
                <w:sz w:val="20"/>
                <w:szCs w:val="20"/>
              </w:rPr>
            </w:pPr>
          </w:p>
        </w:tc>
        <w:tc>
          <w:tcPr>
            <w:tcW w:w="1418" w:type="dxa"/>
          </w:tcPr>
          <w:p w14:paraId="44ED5C0F"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Educational background</w:t>
            </w:r>
          </w:p>
        </w:tc>
        <w:tc>
          <w:tcPr>
            <w:tcW w:w="992" w:type="dxa"/>
          </w:tcPr>
          <w:p w14:paraId="60F194D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.221</w:t>
            </w:r>
          </w:p>
        </w:tc>
        <w:tc>
          <w:tcPr>
            <w:tcW w:w="1134" w:type="dxa"/>
          </w:tcPr>
          <w:p w14:paraId="2EE91EA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.113</w:t>
            </w:r>
          </w:p>
        </w:tc>
        <w:tc>
          <w:tcPr>
            <w:tcW w:w="1559" w:type="dxa"/>
          </w:tcPr>
          <w:p w14:paraId="4049DF3C"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.149</w:t>
            </w:r>
          </w:p>
        </w:tc>
        <w:tc>
          <w:tcPr>
            <w:tcW w:w="851" w:type="dxa"/>
          </w:tcPr>
          <w:p w14:paraId="6D05D038"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1.962</w:t>
            </w:r>
          </w:p>
        </w:tc>
        <w:tc>
          <w:tcPr>
            <w:tcW w:w="850" w:type="dxa"/>
          </w:tcPr>
          <w:p w14:paraId="1311E2DE"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.051</w:t>
            </w:r>
          </w:p>
        </w:tc>
        <w:tc>
          <w:tcPr>
            <w:tcW w:w="993" w:type="dxa"/>
          </w:tcPr>
          <w:p w14:paraId="30390F2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-.001</w:t>
            </w:r>
          </w:p>
        </w:tc>
        <w:tc>
          <w:tcPr>
            <w:tcW w:w="992" w:type="dxa"/>
          </w:tcPr>
          <w:p w14:paraId="18062C7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.443</w:t>
            </w:r>
          </w:p>
        </w:tc>
      </w:tr>
      <w:tr w:rsidR="007A6F77" w:rsidRPr="002D19CF" w14:paraId="527A6843"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49E70E1D" w14:textId="77777777" w:rsidR="007A6F77" w:rsidRPr="002D19CF" w:rsidRDefault="007A6F77" w:rsidP="002D19CF">
            <w:pPr>
              <w:rPr>
                <w:rFonts w:ascii="Arial" w:hAnsi="Arial" w:cs="Arial"/>
                <w:sz w:val="20"/>
                <w:szCs w:val="20"/>
              </w:rPr>
            </w:pPr>
          </w:p>
        </w:tc>
        <w:tc>
          <w:tcPr>
            <w:tcW w:w="1418" w:type="dxa"/>
          </w:tcPr>
          <w:p w14:paraId="40155410"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Level</w:t>
            </w:r>
          </w:p>
        </w:tc>
        <w:tc>
          <w:tcPr>
            <w:tcW w:w="992" w:type="dxa"/>
          </w:tcPr>
          <w:p w14:paraId="0D46C86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-.055</w:t>
            </w:r>
          </w:p>
        </w:tc>
        <w:tc>
          <w:tcPr>
            <w:tcW w:w="1134" w:type="dxa"/>
          </w:tcPr>
          <w:p w14:paraId="6F81C73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.061</w:t>
            </w:r>
          </w:p>
        </w:tc>
        <w:tc>
          <w:tcPr>
            <w:tcW w:w="1559" w:type="dxa"/>
          </w:tcPr>
          <w:p w14:paraId="60C3851B"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-.067</w:t>
            </w:r>
          </w:p>
        </w:tc>
        <w:tc>
          <w:tcPr>
            <w:tcW w:w="851" w:type="dxa"/>
          </w:tcPr>
          <w:p w14:paraId="47D642A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rPr>
            </w:pPr>
            <w:r w:rsidRPr="002D19CF">
              <w:rPr>
                <w:rFonts w:ascii="Arial" w:hAnsi="Arial" w:cs="Arial"/>
                <w:b/>
                <w:sz w:val="20"/>
                <w:szCs w:val="20"/>
              </w:rPr>
              <w:t>-.908</w:t>
            </w:r>
            <w:r w:rsidRPr="002D19CF">
              <w:rPr>
                <w:rFonts w:ascii="Arial" w:hAnsi="Arial" w:cs="Arial"/>
                <w:b/>
                <w:sz w:val="20"/>
                <w:szCs w:val="20"/>
                <w:vertAlign w:val="superscript"/>
              </w:rPr>
              <w:t>*</w:t>
            </w:r>
          </w:p>
        </w:tc>
        <w:tc>
          <w:tcPr>
            <w:tcW w:w="850" w:type="dxa"/>
          </w:tcPr>
          <w:p w14:paraId="01C73B4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.365</w:t>
            </w:r>
          </w:p>
        </w:tc>
        <w:tc>
          <w:tcPr>
            <w:tcW w:w="993" w:type="dxa"/>
          </w:tcPr>
          <w:p w14:paraId="533A31B7"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-.175</w:t>
            </w:r>
          </w:p>
        </w:tc>
        <w:tc>
          <w:tcPr>
            <w:tcW w:w="992" w:type="dxa"/>
          </w:tcPr>
          <w:p w14:paraId="7A921D49"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.065</w:t>
            </w:r>
          </w:p>
        </w:tc>
      </w:tr>
      <w:tr w:rsidR="007A6F77" w:rsidRPr="002D19CF" w14:paraId="7F83D31F" w14:textId="77777777" w:rsidTr="008F57CF">
        <w:tc>
          <w:tcPr>
            <w:cnfStyle w:val="001000000000" w:firstRow="0" w:lastRow="0" w:firstColumn="1" w:lastColumn="0" w:oddVBand="0" w:evenVBand="0" w:oddHBand="0" w:evenHBand="0" w:firstRowFirstColumn="0" w:firstRowLastColumn="0" w:lastRowFirstColumn="0" w:lastRowLastColumn="0"/>
            <w:tcW w:w="851" w:type="dxa"/>
          </w:tcPr>
          <w:p w14:paraId="3CFEBE2A" w14:textId="77777777" w:rsidR="007A6F77" w:rsidRPr="002D19CF" w:rsidRDefault="007A6F77" w:rsidP="002D19CF">
            <w:pPr>
              <w:rPr>
                <w:rFonts w:ascii="Arial" w:hAnsi="Arial" w:cs="Arial"/>
                <w:sz w:val="20"/>
                <w:szCs w:val="20"/>
              </w:rPr>
            </w:pPr>
          </w:p>
        </w:tc>
        <w:tc>
          <w:tcPr>
            <w:tcW w:w="1418" w:type="dxa"/>
          </w:tcPr>
          <w:p w14:paraId="13D21359" w14:textId="77777777" w:rsidR="007A6F77" w:rsidRPr="002D19CF" w:rsidRDefault="007A6F77" w:rsidP="002D19C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 xml:space="preserve">Formal training or education </w:t>
            </w:r>
          </w:p>
        </w:tc>
        <w:tc>
          <w:tcPr>
            <w:tcW w:w="992" w:type="dxa"/>
          </w:tcPr>
          <w:p w14:paraId="7D3CF8BF"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-.337</w:t>
            </w:r>
          </w:p>
        </w:tc>
        <w:tc>
          <w:tcPr>
            <w:tcW w:w="1134" w:type="dxa"/>
          </w:tcPr>
          <w:p w14:paraId="271FB92A"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.127</w:t>
            </w:r>
          </w:p>
        </w:tc>
        <w:tc>
          <w:tcPr>
            <w:tcW w:w="1559" w:type="dxa"/>
          </w:tcPr>
          <w:p w14:paraId="070F4AD1"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-.195</w:t>
            </w:r>
          </w:p>
        </w:tc>
        <w:tc>
          <w:tcPr>
            <w:tcW w:w="851" w:type="dxa"/>
          </w:tcPr>
          <w:p w14:paraId="70B5DD22"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-2.656</w:t>
            </w:r>
          </w:p>
        </w:tc>
        <w:tc>
          <w:tcPr>
            <w:tcW w:w="850" w:type="dxa"/>
          </w:tcPr>
          <w:p w14:paraId="0BF15DD0"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vertAlign w:val="superscript"/>
              </w:rPr>
            </w:pPr>
            <w:r w:rsidRPr="002D19CF">
              <w:rPr>
                <w:rFonts w:ascii="Arial" w:hAnsi="Arial" w:cs="Arial"/>
                <w:b/>
                <w:sz w:val="20"/>
                <w:szCs w:val="20"/>
              </w:rPr>
              <w:t>.009</w:t>
            </w:r>
            <w:r w:rsidRPr="002D19CF">
              <w:rPr>
                <w:rFonts w:ascii="Arial" w:hAnsi="Arial" w:cs="Arial"/>
                <w:b/>
                <w:sz w:val="20"/>
                <w:szCs w:val="20"/>
                <w:vertAlign w:val="superscript"/>
              </w:rPr>
              <w:t>*</w:t>
            </w:r>
          </w:p>
        </w:tc>
        <w:tc>
          <w:tcPr>
            <w:tcW w:w="993" w:type="dxa"/>
          </w:tcPr>
          <w:p w14:paraId="45A89CCD"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-.587</w:t>
            </w:r>
          </w:p>
        </w:tc>
        <w:tc>
          <w:tcPr>
            <w:tcW w:w="992" w:type="dxa"/>
          </w:tcPr>
          <w:p w14:paraId="70942CB3" w14:textId="77777777" w:rsidR="007A6F77" w:rsidRPr="002D19CF" w:rsidRDefault="007A6F77" w:rsidP="002D19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19CF">
              <w:rPr>
                <w:rFonts w:ascii="Arial" w:hAnsi="Arial" w:cs="Arial"/>
                <w:sz w:val="20"/>
                <w:szCs w:val="20"/>
              </w:rPr>
              <w:t>-.086</w:t>
            </w:r>
          </w:p>
        </w:tc>
      </w:tr>
    </w:tbl>
    <w:p w14:paraId="7F475574" w14:textId="6C9EB73C" w:rsidR="007A6F77" w:rsidRPr="002D19CF" w:rsidRDefault="007A6F77" w:rsidP="002D19CF">
      <w:pPr>
        <w:rPr>
          <w:rFonts w:ascii="Arial" w:hAnsi="Arial" w:cs="Arial"/>
        </w:rPr>
      </w:pPr>
      <w:r w:rsidRPr="002D19CF">
        <w:rPr>
          <w:rFonts w:ascii="Arial" w:hAnsi="Arial" w:cs="Arial"/>
        </w:rPr>
        <w:t>a Dependent Variable: User_</w:t>
      </w:r>
      <w:r w:rsidR="009F7904">
        <w:rPr>
          <w:rFonts w:ascii="Arial" w:hAnsi="Arial" w:cs="Arial"/>
        </w:rPr>
        <w:t>Behaviour</w:t>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r w:rsidRPr="002D19CF">
        <w:rPr>
          <w:rFonts w:ascii="Arial" w:hAnsi="Arial" w:cs="Arial"/>
        </w:rPr>
        <w:tab/>
      </w:r>
    </w:p>
    <w:p w14:paraId="540F5CC0" w14:textId="77777777" w:rsidR="002D19CF" w:rsidRDefault="007A6F77" w:rsidP="002D19CF">
      <w:pPr>
        <w:rPr>
          <w:rFonts w:ascii="Arial" w:hAnsi="Arial" w:cs="Arial"/>
        </w:rPr>
      </w:pPr>
      <w:r w:rsidRPr="002D19CF">
        <w:rPr>
          <w:rFonts w:ascii="Arial" w:hAnsi="Arial" w:cs="Arial"/>
        </w:rPr>
        <w:t>(*) = statistically significant association</w:t>
      </w:r>
      <w:r w:rsidRPr="002D19CF">
        <w:rPr>
          <w:rFonts w:ascii="Arial" w:hAnsi="Arial" w:cs="Arial"/>
        </w:rPr>
        <w:tab/>
      </w:r>
    </w:p>
    <w:p w14:paraId="6EA63375" w14:textId="785AF253" w:rsidR="007A6F77" w:rsidRPr="002D19CF" w:rsidRDefault="007A6F77" w:rsidP="002D19CF">
      <w:pPr>
        <w:rPr>
          <w:rFonts w:ascii="Arial" w:hAnsi="Arial" w:cs="Arial"/>
        </w:rPr>
      </w:pPr>
      <w:r w:rsidRPr="002D19CF">
        <w:rPr>
          <w:rFonts w:ascii="Arial" w:hAnsi="Arial" w:cs="Arial"/>
        </w:rPr>
        <w:tab/>
      </w:r>
      <w:r w:rsidRPr="002D19CF">
        <w:rPr>
          <w:rFonts w:ascii="Arial" w:hAnsi="Arial" w:cs="Arial"/>
        </w:rPr>
        <w:tab/>
      </w:r>
    </w:p>
    <w:bookmarkEnd w:id="0"/>
    <w:p w14:paraId="350A912E" w14:textId="33714F1B" w:rsidR="007A6F77" w:rsidRPr="002D19CF" w:rsidRDefault="00F1730C" w:rsidP="002D19CF">
      <w:pPr>
        <w:pStyle w:val="Head1"/>
        <w:spacing w:after="0"/>
        <w:jc w:val="both"/>
        <w:rPr>
          <w:rFonts w:ascii="Arial" w:hAnsi="Arial" w:cs="Arial"/>
          <w:sz w:val="20"/>
        </w:rPr>
      </w:pPr>
      <w:r w:rsidRPr="002D19CF">
        <w:rPr>
          <w:rFonts w:ascii="Arial" w:hAnsi="Arial" w:cs="Arial"/>
          <w:sz w:val="20"/>
        </w:rPr>
        <w:t>4. DISCUSSION</w:t>
      </w:r>
    </w:p>
    <w:p w14:paraId="5847F68A" w14:textId="4440B75A" w:rsidR="001615A1" w:rsidRPr="001615A1" w:rsidRDefault="001615A1" w:rsidP="001615A1">
      <w:pPr>
        <w:jc w:val="both"/>
        <w:rPr>
          <w:rFonts w:ascii="Arial" w:hAnsi="Arial" w:cs="Arial"/>
          <w:b/>
          <w:sz w:val="22"/>
          <w:szCs w:val="22"/>
        </w:rPr>
      </w:pPr>
      <w:r w:rsidRPr="001615A1">
        <w:rPr>
          <w:rFonts w:ascii="Arial" w:hAnsi="Arial" w:cs="Arial"/>
          <w:b/>
          <w:sz w:val="22"/>
          <w:szCs w:val="22"/>
        </w:rPr>
        <w:t>4.1 The awareness and understanding of data privacy policies by users</w:t>
      </w:r>
    </w:p>
    <w:p w14:paraId="5BC9E080" w14:textId="52DB8709" w:rsidR="001615A1" w:rsidRPr="001615A1" w:rsidRDefault="001615A1" w:rsidP="001615A1">
      <w:pPr>
        <w:spacing w:after="160"/>
        <w:jc w:val="both"/>
        <w:rPr>
          <w:rFonts w:ascii="Arial" w:hAnsi="Arial" w:cs="Arial"/>
        </w:rPr>
      </w:pPr>
      <w:r w:rsidRPr="001615A1">
        <w:rPr>
          <w:rFonts w:ascii="Arial" w:hAnsi="Arial" w:cs="Arial"/>
        </w:rPr>
        <w:t xml:space="preserve">The assessment of user awareness and understanding of data privacy policies yielded significant insights. The results, based on a five-item Likert scale, indicated a moderate level of awareness among students, with mean scores ranging from 3.58 to 4.27 and an overall mean of 3.87 (SD=1.026). Most of the students acknowledged that the primary purpose of data privacy policies is to protect user information. This aligns with studies showing that users are aware of privacy policies but struggle with understanding them due to their complexity and length (Meier et al., 2020). Another study by McDonald </w:t>
      </w:r>
      <w:r w:rsidR="003C00D4">
        <w:rPr>
          <w:rFonts w:ascii="Arial" w:hAnsi="Arial" w:cs="Arial"/>
        </w:rPr>
        <w:t xml:space="preserve">&amp; </w:t>
      </w:r>
      <w:r w:rsidRPr="001615A1">
        <w:rPr>
          <w:rFonts w:ascii="Arial" w:hAnsi="Arial" w:cs="Arial"/>
        </w:rPr>
        <w:t xml:space="preserve">Cranor (2008) found that the average internet user would need to spend approximately 400 hours annually to read all privacy policies they encounter, which is impractical and leads to superficial reading or skipping altogether. The findings are consistent with global trends but emphasize any unique aspects of Ghanaian students' engagement with privacy policies. The results suggest that students recognize the purpose of privacy policies but may lack a deeper understanding of their implications. Similarly, studies emphasize the importance of concise and clear privacy policies to enhance user understanding and trust (Christin et al., 2013; Gerber et al., 2018). Other studies have shown that while general awareness about data privacy exists, there is often a gap in deeper understanding and practical knowledge about how to protect personal data effectively. For instance, a study by Prince et al. (2024) on general data protection regulation (GDPR) awareness highlights that users often lack comprehensive knowledge of their data rights and the specific measures they can take to protect their data beyond basic notice and choice systems. Compared to Prince et al. (2024) on GDPR, which shows that users often lack comprehensive knowledge of their data rights beyond basic notice and choice systems. </w:t>
      </w:r>
      <w:r w:rsidRPr="001615A1">
        <w:rPr>
          <w:rFonts w:ascii="Arial" w:hAnsi="Arial" w:cs="Arial"/>
          <w:lang w:eastAsia="en-GB"/>
        </w:rPr>
        <w:t>The Chi-square analyses indicated no significant association between user awareness and demographic variables. This suggests that awareness levels are relatively uniform across different demographic groups, reinforcing findings from other research that indicate privacy concerns and awareness are widespread regardless of age, gender, or socioeconomic status (Prince et al., 2024).</w:t>
      </w:r>
      <w:r w:rsidRPr="001615A1">
        <w:rPr>
          <w:rFonts w:ascii="Arial" w:hAnsi="Arial" w:cs="Arial"/>
        </w:rPr>
        <w:t xml:space="preserve"> The implications of these findings are clear; enhancing user education about data privacy is crucial. Programs aimed at increasing privacy literacy can bridge the gap between basic awareness and practical understanding. Organizations should consider implementing comprehensive privacy education initiatives, which can include workshops, informational campaigns, and interactive tools designed to demystify complex privacy policies. Furthermore, simplifying privacy policies to make them more accessible and understandable is essential. Research indicates that many users find privacy policies overly complex and difficult to comprehend, which can hinder their ability to make informed decisions (McDonald </w:t>
      </w:r>
      <w:r w:rsidR="003C00D4">
        <w:rPr>
          <w:rFonts w:ascii="Arial" w:hAnsi="Arial" w:cs="Arial"/>
        </w:rPr>
        <w:t>&amp;</w:t>
      </w:r>
      <w:r w:rsidRPr="001615A1">
        <w:rPr>
          <w:rFonts w:ascii="Arial" w:hAnsi="Arial" w:cs="Arial"/>
        </w:rPr>
        <w:t xml:space="preserve"> Cranor, 2008). By making these documents clearer and more user-friendly, organizations can foster greater trust and compliance among their users.</w:t>
      </w:r>
    </w:p>
    <w:p w14:paraId="6AB67C91" w14:textId="5019FD2B" w:rsidR="001615A1" w:rsidRPr="001615A1" w:rsidRDefault="001615A1" w:rsidP="001615A1">
      <w:pPr>
        <w:jc w:val="both"/>
        <w:rPr>
          <w:rFonts w:ascii="Arial" w:hAnsi="Arial" w:cs="Arial"/>
          <w:b/>
          <w:sz w:val="22"/>
          <w:szCs w:val="22"/>
        </w:rPr>
      </w:pPr>
      <w:r w:rsidRPr="001615A1">
        <w:rPr>
          <w:rFonts w:ascii="Arial" w:hAnsi="Arial" w:cs="Arial"/>
          <w:b/>
          <w:sz w:val="22"/>
          <w:szCs w:val="22"/>
        </w:rPr>
        <w:t xml:space="preserve">4.2 The factors that influence user </w:t>
      </w:r>
      <w:r w:rsidR="009F7904">
        <w:rPr>
          <w:rFonts w:ascii="Arial" w:hAnsi="Arial" w:cs="Arial"/>
          <w:b/>
          <w:sz w:val="22"/>
          <w:szCs w:val="22"/>
        </w:rPr>
        <w:t>behaviour</w:t>
      </w:r>
    </w:p>
    <w:p w14:paraId="75D5C05B" w14:textId="1B99B3DC" w:rsidR="001615A1" w:rsidRPr="001615A1" w:rsidRDefault="001615A1" w:rsidP="001615A1">
      <w:pPr>
        <w:jc w:val="both"/>
        <w:rPr>
          <w:rFonts w:ascii="Arial" w:hAnsi="Arial" w:cs="Arial"/>
        </w:rPr>
      </w:pPr>
      <w:r w:rsidRPr="001615A1">
        <w:rPr>
          <w:rFonts w:ascii="Arial" w:hAnsi="Arial" w:cs="Arial"/>
        </w:rPr>
        <w:t xml:space="preserve">The assessment of the factors that influence user </w:t>
      </w:r>
      <w:r w:rsidR="009F7904">
        <w:rPr>
          <w:rFonts w:ascii="Arial" w:hAnsi="Arial" w:cs="Arial"/>
        </w:rPr>
        <w:t>behaviour</w:t>
      </w:r>
      <w:r w:rsidRPr="001615A1">
        <w:rPr>
          <w:rFonts w:ascii="Arial" w:hAnsi="Arial" w:cs="Arial"/>
        </w:rPr>
        <w:t xml:space="preserve"> of data privacy policies yielded significant insights. The mean range of user </w:t>
      </w:r>
      <w:r w:rsidR="009F7904">
        <w:rPr>
          <w:rFonts w:ascii="Arial" w:hAnsi="Arial" w:cs="Arial"/>
        </w:rPr>
        <w:t>behaviour</w:t>
      </w:r>
      <w:r w:rsidRPr="001615A1">
        <w:rPr>
          <w:rFonts w:ascii="Arial" w:hAnsi="Arial" w:cs="Arial"/>
        </w:rPr>
        <w:t xml:space="preserve"> construct (3.68 to 4.52) and a total mean of 4.05 (SD=1.167) suggest a strong level of user engagement with data privacy policies. This aligns with findings by Barth </w:t>
      </w:r>
      <w:r w:rsidR="003C00D4">
        <w:rPr>
          <w:rFonts w:ascii="Arial" w:hAnsi="Arial" w:cs="Arial"/>
        </w:rPr>
        <w:t>&amp;</w:t>
      </w:r>
      <w:r w:rsidRPr="001615A1">
        <w:rPr>
          <w:rFonts w:ascii="Arial" w:hAnsi="Arial" w:cs="Arial"/>
        </w:rPr>
        <w:t xml:space="preserve"> De Jong (2017), who noted that users are </w:t>
      </w:r>
      <w:r w:rsidRPr="001615A1">
        <w:rPr>
          <w:rFonts w:ascii="Arial" w:hAnsi="Arial" w:cs="Arial"/>
        </w:rPr>
        <w:lastRenderedPageBreak/>
        <w:t xml:space="preserve">generally aware of privacy issues but often feel overwhelmed by the complexity and length of privacy policies, leading to a paradox where users value privacy but engage superficially with privacy policies. The results indicate that the length of the privacy policy significantly influences the decision to read or ignore it. This finding is supported by literature such as Milne et al. (2006), which highlights that lengthy and complex privacy policies are a major deterrent to users, often leading to lower engagement and understanding. Simplifying these documents could enhance user comprehension and trust. The significant positive correlation (rs=0.520; p ≤ 0.01) between concern about the privacy of personal information and the influence of attitude towards privacy policy on user </w:t>
      </w:r>
      <w:r w:rsidR="009F7904">
        <w:rPr>
          <w:rFonts w:ascii="Arial" w:hAnsi="Arial" w:cs="Arial"/>
        </w:rPr>
        <w:t>behaviour</w:t>
      </w:r>
      <w:r w:rsidRPr="001615A1">
        <w:rPr>
          <w:rFonts w:ascii="Arial" w:hAnsi="Arial" w:cs="Arial"/>
        </w:rPr>
        <w:t xml:space="preserve"> underscores the importance of personal privacy concerns in shaping user </w:t>
      </w:r>
      <w:r w:rsidR="009F7904">
        <w:rPr>
          <w:rFonts w:ascii="Arial" w:hAnsi="Arial" w:cs="Arial"/>
        </w:rPr>
        <w:t>behaviour</w:t>
      </w:r>
      <w:r w:rsidRPr="001615A1">
        <w:rPr>
          <w:rFonts w:ascii="Arial" w:hAnsi="Arial" w:cs="Arial"/>
        </w:rPr>
        <w:t>. Research by Xu et al. (2011) supports this, showing that users with higher privacy concerns are more likely to engage with and be influenced by privacy policies.</w:t>
      </w:r>
    </w:p>
    <w:p w14:paraId="244162AA" w14:textId="174AD1DD" w:rsidR="001615A1" w:rsidRPr="001615A1" w:rsidRDefault="001615A1" w:rsidP="001615A1">
      <w:pPr>
        <w:jc w:val="both"/>
        <w:rPr>
          <w:rFonts w:ascii="Arial" w:hAnsi="Arial" w:cs="Arial"/>
        </w:rPr>
      </w:pPr>
      <w:r w:rsidRPr="001615A1">
        <w:rPr>
          <w:rFonts w:ascii="Arial" w:hAnsi="Arial" w:cs="Arial"/>
        </w:rPr>
        <w:t xml:space="preserve">The regression model’s correlation coefficient (R) of 0.362 suggests a moderate positive relationship between gender, level, educational background, age, formal </w:t>
      </w:r>
      <w:r w:rsidRPr="00096823">
        <w:rPr>
          <w:rFonts w:ascii="Arial" w:hAnsi="Arial" w:cs="Arial"/>
          <w:highlight w:val="yellow"/>
        </w:rPr>
        <w:t>training</w:t>
      </w:r>
      <w:r w:rsidR="00096823" w:rsidRPr="00096823">
        <w:rPr>
          <w:rFonts w:ascii="Arial" w:hAnsi="Arial" w:cs="Arial"/>
          <w:highlight w:val="yellow"/>
        </w:rPr>
        <w:t xml:space="preserve">, and </w:t>
      </w:r>
      <w:r w:rsidRPr="00096823">
        <w:rPr>
          <w:rFonts w:ascii="Arial" w:hAnsi="Arial" w:cs="Arial"/>
          <w:highlight w:val="yellow"/>
        </w:rPr>
        <w:t xml:space="preserve">education on data privacy and user </w:t>
      </w:r>
      <w:r w:rsidR="009F7904" w:rsidRPr="00096823">
        <w:rPr>
          <w:rFonts w:ascii="Arial" w:hAnsi="Arial" w:cs="Arial"/>
          <w:highlight w:val="yellow"/>
        </w:rPr>
        <w:t>behaviour</w:t>
      </w:r>
      <w:r w:rsidRPr="001615A1">
        <w:rPr>
          <w:rFonts w:ascii="Arial" w:hAnsi="Arial" w:cs="Arial"/>
        </w:rPr>
        <w:t xml:space="preserve">. The Adjusted R Square value of 0.105 indicates that 10.5% of the variance in user </w:t>
      </w:r>
      <w:r w:rsidR="009F7904">
        <w:rPr>
          <w:rFonts w:ascii="Arial" w:hAnsi="Arial" w:cs="Arial"/>
        </w:rPr>
        <w:t>behaviour</w:t>
      </w:r>
      <w:r w:rsidRPr="001615A1">
        <w:rPr>
          <w:rFonts w:ascii="Arial" w:hAnsi="Arial" w:cs="Arial"/>
        </w:rPr>
        <w:t xml:space="preserve"> is explained by the independent variables</w:t>
      </w:r>
      <w:r w:rsidR="002400CE">
        <w:rPr>
          <w:rFonts w:ascii="Arial" w:hAnsi="Arial" w:cs="Arial"/>
        </w:rPr>
        <w:t xml:space="preserve">, </w:t>
      </w:r>
      <w:r w:rsidR="002400CE" w:rsidRPr="00270EF1">
        <w:rPr>
          <w:rFonts w:ascii="Arial" w:hAnsi="Arial" w:cs="Arial"/>
          <w:highlight w:val="yellow"/>
        </w:rPr>
        <w:t xml:space="preserve">indicating other behavioural factors </w:t>
      </w:r>
      <w:r w:rsidR="00270EF1" w:rsidRPr="00270EF1">
        <w:rPr>
          <w:rFonts w:ascii="Arial" w:hAnsi="Arial" w:cs="Arial"/>
          <w:highlight w:val="yellow"/>
        </w:rPr>
        <w:t xml:space="preserve">were </w:t>
      </w:r>
      <w:r w:rsidR="002400CE" w:rsidRPr="00270EF1">
        <w:rPr>
          <w:rFonts w:ascii="Arial" w:hAnsi="Arial" w:cs="Arial"/>
          <w:highlight w:val="yellow"/>
        </w:rPr>
        <w:t>excluded in the model</w:t>
      </w:r>
      <w:r w:rsidR="00270EF1" w:rsidRPr="00270EF1">
        <w:rPr>
          <w:rFonts w:ascii="Arial" w:hAnsi="Arial" w:cs="Arial"/>
          <w:highlight w:val="yellow"/>
        </w:rPr>
        <w:t>. Including trust, control, risk, and culture of information dissemination may improve model efficiency in predicting user behaviour in the future.</w:t>
      </w:r>
      <w:r w:rsidR="00270EF1">
        <w:rPr>
          <w:rFonts w:ascii="Arial" w:hAnsi="Arial" w:cs="Arial"/>
        </w:rPr>
        <w:t xml:space="preserve"> </w:t>
      </w:r>
      <w:r w:rsidRPr="001615A1">
        <w:rPr>
          <w:rFonts w:ascii="Arial" w:hAnsi="Arial" w:cs="Arial"/>
        </w:rPr>
        <w:t xml:space="preserve">While this is relatively low, it highlights the complexity of user </w:t>
      </w:r>
      <w:r w:rsidR="009F7904">
        <w:rPr>
          <w:rFonts w:ascii="Arial" w:hAnsi="Arial" w:cs="Arial"/>
        </w:rPr>
        <w:t>behaviour</w:t>
      </w:r>
      <w:r w:rsidRPr="001615A1">
        <w:rPr>
          <w:rFonts w:ascii="Arial" w:hAnsi="Arial" w:cs="Arial"/>
        </w:rPr>
        <w:t xml:space="preserve"> regarding data privacy, as noted by Belanger </w:t>
      </w:r>
      <w:r w:rsidR="003C00D4">
        <w:rPr>
          <w:rFonts w:ascii="Arial" w:hAnsi="Arial" w:cs="Arial"/>
        </w:rPr>
        <w:t>&amp;</w:t>
      </w:r>
      <w:r w:rsidRPr="001615A1">
        <w:rPr>
          <w:rFonts w:ascii="Arial" w:hAnsi="Arial" w:cs="Arial"/>
        </w:rPr>
        <w:t xml:space="preserve"> Crossler (2011), who emphasize the multifaceted nature of privacy concerns and </w:t>
      </w:r>
      <w:r w:rsidR="009F7904">
        <w:rPr>
          <w:rFonts w:ascii="Arial" w:hAnsi="Arial" w:cs="Arial"/>
        </w:rPr>
        <w:t>behaviour</w:t>
      </w:r>
      <w:r w:rsidRPr="001615A1">
        <w:rPr>
          <w:rFonts w:ascii="Arial" w:hAnsi="Arial" w:cs="Arial"/>
        </w:rPr>
        <w:t xml:space="preserve">s. The t-values (2.842) and p-value (.005) indicate that age is a significant predictor of user </w:t>
      </w:r>
      <w:r w:rsidR="009F7904">
        <w:rPr>
          <w:rFonts w:ascii="Arial" w:hAnsi="Arial" w:cs="Arial"/>
        </w:rPr>
        <w:t>behaviour</w:t>
      </w:r>
      <w:r w:rsidRPr="001615A1">
        <w:rPr>
          <w:rFonts w:ascii="Arial" w:hAnsi="Arial" w:cs="Arial"/>
        </w:rPr>
        <w:t>.</w:t>
      </w:r>
      <w:r w:rsidR="00270EF1">
        <w:rPr>
          <w:rFonts w:ascii="Arial" w:hAnsi="Arial" w:cs="Arial"/>
        </w:rPr>
        <w:t xml:space="preserve"> </w:t>
      </w:r>
      <w:r w:rsidRPr="001615A1">
        <w:rPr>
          <w:rFonts w:ascii="Arial" w:hAnsi="Arial" w:cs="Arial"/>
        </w:rPr>
        <w:t>Younger users tend to be more aware and cautious about privacy issues, as supported by studies like those of Madden et al. (2017), which found that younger individuals are more likely to engage with privacy settings and policies due to their familiarity with digital environments. The negative relationship (t-value=-0.908, p=.009) suggests that formal training or education on data privacy decreases user engagement with privacy policies. This counterintuitive result might be explained by the possibility that users with formal training feel overconfident in their understanding of privacy issues and therefore do not engage as deeply with privacy policies. This finding is intriguing and warrants further exploration, as noted by Acquisti et al. (2015), who discuss the complexity of privacy-related decision-making.</w:t>
      </w:r>
    </w:p>
    <w:p w14:paraId="7B72D41E" w14:textId="05317DFB" w:rsidR="001615A1" w:rsidRPr="001615A1" w:rsidRDefault="001615A1" w:rsidP="001615A1">
      <w:pPr>
        <w:jc w:val="both"/>
        <w:rPr>
          <w:rFonts w:ascii="Arial" w:hAnsi="Arial" w:cs="Arial"/>
        </w:rPr>
      </w:pPr>
      <w:r w:rsidRPr="001615A1">
        <w:rPr>
          <w:rFonts w:ascii="Arial" w:hAnsi="Arial" w:cs="Arial"/>
        </w:rPr>
        <w:t xml:space="preserve">The significant predictors identified in the study, </w:t>
      </w:r>
      <w:r w:rsidRPr="009C1F00">
        <w:rPr>
          <w:rFonts w:ascii="Arial" w:hAnsi="Arial" w:cs="Arial"/>
          <w:highlight w:val="yellow"/>
        </w:rPr>
        <w:t>age and formal training</w:t>
      </w:r>
      <w:r w:rsidRPr="001615A1">
        <w:rPr>
          <w:rFonts w:ascii="Arial" w:hAnsi="Arial" w:cs="Arial"/>
        </w:rPr>
        <w:t xml:space="preserve">, provide critical insights for policymakers and organizations. Efforts to enhance user engagement with privacy policies could benefit from targeted strategies that consider these demographic factors. For instance, simplifying privacy policies and providing context-specific training could mitigate the negative impact of formal training on policy engagement. Future research should explore additional factors that could explain user </w:t>
      </w:r>
      <w:r w:rsidR="009F7904">
        <w:rPr>
          <w:rFonts w:ascii="Arial" w:hAnsi="Arial" w:cs="Arial"/>
        </w:rPr>
        <w:t>behaviour</w:t>
      </w:r>
      <w:r w:rsidRPr="001615A1">
        <w:rPr>
          <w:rFonts w:ascii="Arial" w:hAnsi="Arial" w:cs="Arial"/>
        </w:rPr>
        <w:t xml:space="preserve"> variance, such as cultural differences, perceived risks, and trust in organizations. Studies by Beldad et al. (2010) and Pavlou (2011) suggest that trust and risk perceptions are crucial in understanding privacy-related </w:t>
      </w:r>
      <w:r w:rsidR="009F7904">
        <w:rPr>
          <w:rFonts w:ascii="Arial" w:hAnsi="Arial" w:cs="Arial"/>
        </w:rPr>
        <w:t>behaviour</w:t>
      </w:r>
      <w:r w:rsidRPr="001615A1">
        <w:rPr>
          <w:rFonts w:ascii="Arial" w:hAnsi="Arial" w:cs="Arial"/>
        </w:rPr>
        <w:t xml:space="preserve">s and could significantly enhance the explanatory power of your model. </w:t>
      </w:r>
    </w:p>
    <w:p w14:paraId="7F408439" w14:textId="44CA91CB" w:rsidR="001615A1" w:rsidRPr="001615A1" w:rsidRDefault="001615A1" w:rsidP="001615A1">
      <w:pPr>
        <w:jc w:val="both"/>
        <w:rPr>
          <w:rFonts w:ascii="Arial" w:hAnsi="Arial" w:cs="Arial"/>
        </w:rPr>
      </w:pPr>
      <w:r w:rsidRPr="001615A1">
        <w:rPr>
          <w:rFonts w:ascii="Arial" w:hAnsi="Arial" w:cs="Arial"/>
        </w:rPr>
        <w:t xml:space="preserve">The study’s cross-sectional nature limits its ability to measure changes in user </w:t>
      </w:r>
      <w:r w:rsidR="009F7904">
        <w:rPr>
          <w:rFonts w:ascii="Arial" w:hAnsi="Arial" w:cs="Arial"/>
        </w:rPr>
        <w:t>behaviour</w:t>
      </w:r>
      <w:r w:rsidRPr="001615A1">
        <w:rPr>
          <w:rFonts w:ascii="Arial" w:hAnsi="Arial" w:cs="Arial"/>
        </w:rPr>
        <w:t xml:space="preserve"> over time. Also, the data used in this study were gathered through self-reporting, which can introduce bias. The sampled population may not be representative or diverse enough to enhance the generalizability of the findings of this study. Despite these few limitations, this study provides empirical evidence and a foundation upon which future studies could be done. According to several studies, digital literacy, information availability, and socioeconomic status can all have a substantial impact on privacy awareness and </w:t>
      </w:r>
      <w:r w:rsidR="009F7904">
        <w:rPr>
          <w:rFonts w:ascii="Arial" w:hAnsi="Arial" w:cs="Arial"/>
        </w:rPr>
        <w:t>behaviour</w:t>
      </w:r>
      <w:r w:rsidRPr="001615A1">
        <w:rPr>
          <w:rFonts w:ascii="Arial" w:hAnsi="Arial" w:cs="Arial"/>
        </w:rPr>
        <w:t xml:space="preserve"> (Hargittai, 2010; Blank</w:t>
      </w:r>
      <w:r w:rsidR="003C00D4">
        <w:rPr>
          <w:rFonts w:ascii="Arial" w:hAnsi="Arial" w:cs="Arial"/>
        </w:rPr>
        <w:t xml:space="preserve"> et al.</w:t>
      </w:r>
      <w:r w:rsidRPr="001615A1">
        <w:rPr>
          <w:rFonts w:ascii="Arial" w:hAnsi="Arial" w:cs="Arial"/>
        </w:rPr>
        <w:t>,</w:t>
      </w:r>
      <w:r w:rsidR="003C00D4">
        <w:rPr>
          <w:rFonts w:ascii="Arial" w:hAnsi="Arial" w:cs="Arial"/>
        </w:rPr>
        <w:t xml:space="preserve"> </w:t>
      </w:r>
      <w:r w:rsidRPr="001615A1">
        <w:rPr>
          <w:rFonts w:ascii="Arial" w:hAnsi="Arial" w:cs="Arial"/>
        </w:rPr>
        <w:t xml:space="preserve">2014). Therefore, conclusions drawn from this cohort might not apply to other populations, such as senior citizens, people living in remote areas, or people who have less exposure to technology. For instance, less tech-literate people might not be aware of or comprehend privacy policies, whereas tech-savvy students could be more inclined to interact with them or take precautions to safeguard their data (Bartsch </w:t>
      </w:r>
      <w:r w:rsidR="005D6A1A">
        <w:rPr>
          <w:rFonts w:ascii="Arial" w:hAnsi="Arial" w:cs="Arial"/>
        </w:rPr>
        <w:t xml:space="preserve">&amp; </w:t>
      </w:r>
      <w:r w:rsidRPr="001615A1">
        <w:rPr>
          <w:rFonts w:ascii="Arial" w:hAnsi="Arial" w:cs="Arial"/>
        </w:rPr>
        <w:t xml:space="preserve">Dienlin, 2016). </w:t>
      </w:r>
      <w:r w:rsidRPr="009C1F00">
        <w:rPr>
          <w:rFonts w:ascii="Arial" w:hAnsi="Arial" w:cs="Arial"/>
          <w:highlight w:val="yellow"/>
        </w:rPr>
        <w:t xml:space="preserve">Furthermore, </w:t>
      </w:r>
      <w:r w:rsidR="009C1F00" w:rsidRPr="009C1F00">
        <w:rPr>
          <w:rFonts w:ascii="Arial" w:hAnsi="Arial" w:cs="Arial"/>
          <w:highlight w:val="yellow"/>
        </w:rPr>
        <w:t>an</w:t>
      </w:r>
      <w:r w:rsidRPr="009C1F00">
        <w:rPr>
          <w:rFonts w:ascii="Arial" w:hAnsi="Arial" w:cs="Arial"/>
          <w:highlight w:val="yellow"/>
        </w:rPr>
        <w:t>other stud</w:t>
      </w:r>
      <w:r w:rsidR="009C1F00" w:rsidRPr="009C1F00">
        <w:rPr>
          <w:rFonts w:ascii="Arial" w:hAnsi="Arial" w:cs="Arial"/>
          <w:highlight w:val="yellow"/>
        </w:rPr>
        <w:t xml:space="preserve">y </w:t>
      </w:r>
      <w:r w:rsidRPr="009C1F00">
        <w:rPr>
          <w:rFonts w:ascii="Arial" w:hAnsi="Arial" w:cs="Arial"/>
          <w:highlight w:val="yellow"/>
        </w:rPr>
        <w:t>demonstrated the impact of demographic variables</w:t>
      </w:r>
      <w:r w:rsidR="009C1F00" w:rsidRPr="009C1F00">
        <w:rPr>
          <w:rFonts w:ascii="Arial" w:hAnsi="Arial" w:cs="Arial"/>
          <w:highlight w:val="yellow"/>
        </w:rPr>
        <w:t xml:space="preserve"> like </w:t>
      </w:r>
      <w:r w:rsidRPr="009C1F00">
        <w:rPr>
          <w:rFonts w:ascii="Arial" w:hAnsi="Arial" w:cs="Arial"/>
          <w:highlight w:val="yellow"/>
        </w:rPr>
        <w:t>age, income, and education on</w:t>
      </w:r>
      <w:r w:rsidR="009C1F00" w:rsidRPr="009C1F00">
        <w:rPr>
          <w:rFonts w:ascii="Arial" w:hAnsi="Arial" w:cs="Arial"/>
          <w:highlight w:val="yellow"/>
        </w:rPr>
        <w:t xml:space="preserve"> </w:t>
      </w:r>
      <w:r w:rsidRPr="009C1F00">
        <w:rPr>
          <w:rFonts w:ascii="Arial" w:hAnsi="Arial" w:cs="Arial"/>
          <w:highlight w:val="yellow"/>
        </w:rPr>
        <w:t xml:space="preserve">privacy and data-sharing practices (Miltgen </w:t>
      </w:r>
      <w:r w:rsidR="005D6A1A" w:rsidRPr="009C1F00">
        <w:rPr>
          <w:rFonts w:ascii="Arial" w:hAnsi="Arial" w:cs="Arial"/>
          <w:highlight w:val="yellow"/>
        </w:rPr>
        <w:t>&amp;</w:t>
      </w:r>
      <w:r w:rsidRPr="009C1F00">
        <w:rPr>
          <w:rFonts w:ascii="Arial" w:hAnsi="Arial" w:cs="Arial"/>
          <w:highlight w:val="yellow"/>
        </w:rPr>
        <w:t xml:space="preserve"> Peyrat-Guillard, 2014).</w:t>
      </w:r>
      <w:r w:rsidRPr="001615A1">
        <w:rPr>
          <w:rFonts w:ascii="Arial" w:hAnsi="Arial" w:cs="Arial"/>
        </w:rPr>
        <w:t xml:space="preserve"> As a result, even while this study offers insightful information about the </w:t>
      </w:r>
      <w:r w:rsidR="009F7904">
        <w:rPr>
          <w:rFonts w:ascii="Arial" w:hAnsi="Arial" w:cs="Arial"/>
        </w:rPr>
        <w:t>behaviour</w:t>
      </w:r>
      <w:r w:rsidRPr="001615A1">
        <w:rPr>
          <w:rFonts w:ascii="Arial" w:hAnsi="Arial" w:cs="Arial"/>
        </w:rPr>
        <w:t xml:space="preserve"> of a particular demographic, it's possible that a more diverse community, with varying degrees of awareness, comprehension, and concern over data privacy, will not benefit from the findings.</w:t>
      </w:r>
    </w:p>
    <w:p w14:paraId="189CBD08" w14:textId="7F670FD6" w:rsidR="001615A1" w:rsidRPr="009B58AD" w:rsidRDefault="001615A1" w:rsidP="001615A1">
      <w:pPr>
        <w:rPr>
          <w:rFonts w:ascii="Arial" w:hAnsi="Arial" w:cs="Arial"/>
          <w:b/>
          <w:bCs/>
          <w:sz w:val="22"/>
          <w:szCs w:val="22"/>
        </w:rPr>
      </w:pPr>
      <w:r w:rsidRPr="009B58AD">
        <w:rPr>
          <w:rFonts w:ascii="Arial" w:hAnsi="Arial" w:cs="Arial"/>
          <w:b/>
          <w:bCs/>
          <w:sz w:val="22"/>
          <w:szCs w:val="22"/>
        </w:rPr>
        <w:t>4.3 Implications and Limitations</w:t>
      </w:r>
    </w:p>
    <w:p w14:paraId="216A9A26" w14:textId="754ABC20" w:rsidR="007C4A33" w:rsidRDefault="001615A1" w:rsidP="00D4264A">
      <w:pPr>
        <w:jc w:val="both"/>
        <w:rPr>
          <w:rFonts w:ascii="Arial" w:hAnsi="Arial" w:cs="Arial"/>
        </w:rPr>
      </w:pPr>
      <w:r w:rsidRPr="001615A1">
        <w:rPr>
          <w:rFonts w:ascii="Arial" w:hAnsi="Arial" w:cs="Arial"/>
        </w:rPr>
        <w:t>The study’s findings suggest that there is room to enhance user understanding and attitudes toward privacy policies, particularly through accessible communication formats and targeted education. Institutions such as universities and government bodies responsible for data protection</w:t>
      </w:r>
      <w:r w:rsidR="00C146BC" w:rsidRPr="00982679">
        <w:rPr>
          <w:rFonts w:ascii="Arial" w:hAnsi="Arial" w:cs="Arial"/>
          <w:highlight w:val="yellow"/>
        </w:rPr>
        <w:t>,</w:t>
      </w:r>
      <w:r w:rsidRPr="00982679">
        <w:rPr>
          <w:rFonts w:ascii="Arial" w:hAnsi="Arial" w:cs="Arial"/>
          <w:highlight w:val="yellow"/>
        </w:rPr>
        <w:t xml:space="preserve"> </w:t>
      </w:r>
      <w:r w:rsidR="004F29A4" w:rsidRPr="00982679">
        <w:rPr>
          <w:rFonts w:ascii="Arial" w:hAnsi="Arial" w:cs="Arial"/>
          <w:highlight w:val="yellow"/>
        </w:rPr>
        <w:t xml:space="preserve">like </w:t>
      </w:r>
      <w:r w:rsidR="00C146BC" w:rsidRPr="00982679">
        <w:rPr>
          <w:rFonts w:ascii="Arial" w:hAnsi="Arial" w:cs="Arial"/>
          <w:highlight w:val="yellow"/>
        </w:rPr>
        <w:t xml:space="preserve">the </w:t>
      </w:r>
      <w:r w:rsidRPr="00982679">
        <w:rPr>
          <w:rFonts w:ascii="Arial" w:hAnsi="Arial" w:cs="Arial"/>
          <w:highlight w:val="yellow"/>
        </w:rPr>
        <w:t>Ghana Data Protection Commission</w:t>
      </w:r>
      <w:r w:rsidR="00C146BC" w:rsidRPr="00982679">
        <w:rPr>
          <w:rFonts w:ascii="Arial" w:hAnsi="Arial" w:cs="Arial"/>
          <w:highlight w:val="yellow"/>
        </w:rPr>
        <w:t>,</w:t>
      </w:r>
      <w:r w:rsidRPr="00982679">
        <w:rPr>
          <w:rFonts w:ascii="Arial" w:hAnsi="Arial" w:cs="Arial"/>
          <w:highlight w:val="yellow"/>
        </w:rPr>
        <w:t xml:space="preserve"> should</w:t>
      </w:r>
      <w:r w:rsidRPr="001615A1">
        <w:rPr>
          <w:rFonts w:ascii="Arial" w:hAnsi="Arial" w:cs="Arial"/>
        </w:rPr>
        <w:t xml:space="preserve"> be responsible for organizing awareness campaigns. These should focus on institutional policies </w:t>
      </w:r>
      <w:r w:rsidR="004F29A4">
        <w:rPr>
          <w:rFonts w:ascii="Arial" w:hAnsi="Arial" w:cs="Arial"/>
        </w:rPr>
        <w:t>such as</w:t>
      </w:r>
      <w:r w:rsidRPr="001615A1">
        <w:rPr>
          <w:rFonts w:ascii="Arial" w:hAnsi="Arial" w:cs="Arial"/>
        </w:rPr>
        <w:t xml:space="preserve"> university LMS platforms, national data protection laws, and policies of digital vendors widely used by students (e.g., Google, Meta, Zoom).</w:t>
      </w:r>
      <w:r w:rsidR="004F29A4">
        <w:rPr>
          <w:rFonts w:ascii="Arial" w:hAnsi="Arial" w:cs="Arial"/>
        </w:rPr>
        <w:t xml:space="preserve"> </w:t>
      </w:r>
      <w:r w:rsidRPr="001615A1">
        <w:rPr>
          <w:rFonts w:ascii="Arial" w:hAnsi="Arial" w:cs="Arial"/>
        </w:rPr>
        <w:t xml:space="preserve">Efforts to improve accessibility of privacy information should focus on commonly used digital platforms, including learning management systems, university websites, mobile apps, and third-party service platforms integrated into educational systems. Accessibility should not be interpreted as mere availability but as ease of comprehension and </w:t>
      </w:r>
      <w:r w:rsidR="004F29A4">
        <w:rPr>
          <w:rFonts w:ascii="Arial" w:hAnsi="Arial" w:cs="Arial"/>
        </w:rPr>
        <w:t>visibility</w:t>
      </w:r>
      <w:r w:rsidR="00807DA0">
        <w:rPr>
          <w:rFonts w:ascii="Arial" w:hAnsi="Arial" w:cs="Arial"/>
        </w:rPr>
        <w:t>,</w:t>
      </w:r>
      <w:r w:rsidR="004F29A4">
        <w:rPr>
          <w:rFonts w:ascii="Arial" w:hAnsi="Arial" w:cs="Arial"/>
        </w:rPr>
        <w:t xml:space="preserve"> </w:t>
      </w:r>
      <w:r w:rsidRPr="001615A1">
        <w:rPr>
          <w:rFonts w:ascii="Arial" w:hAnsi="Arial" w:cs="Arial"/>
        </w:rPr>
        <w:t>placing simplified policy summaries, visuals, or consent notices prominently on these platforms.</w:t>
      </w:r>
      <w:r w:rsidR="004F29A4">
        <w:rPr>
          <w:rFonts w:ascii="Arial" w:hAnsi="Arial" w:cs="Arial"/>
        </w:rPr>
        <w:t xml:space="preserve"> </w:t>
      </w:r>
      <w:r w:rsidRPr="001615A1">
        <w:rPr>
          <w:rFonts w:ascii="Arial" w:hAnsi="Arial" w:cs="Arial"/>
        </w:rPr>
        <w:t>While a stratified sampling technique was used, the limited scope of the sample</w:t>
      </w:r>
      <w:r w:rsidR="00807DA0">
        <w:rPr>
          <w:rFonts w:ascii="Arial" w:hAnsi="Arial" w:cs="Arial"/>
        </w:rPr>
        <w:t>,</w:t>
      </w:r>
      <w:r w:rsidR="004F29A4">
        <w:rPr>
          <w:rFonts w:ascii="Arial" w:hAnsi="Arial" w:cs="Arial"/>
        </w:rPr>
        <w:t xml:space="preserve"> </w:t>
      </w:r>
      <w:r w:rsidRPr="001615A1">
        <w:rPr>
          <w:rFonts w:ascii="Arial" w:hAnsi="Arial" w:cs="Arial"/>
        </w:rPr>
        <w:t>172 computer science and IT students from a single university</w:t>
      </w:r>
      <w:r w:rsidR="00807DA0">
        <w:rPr>
          <w:rFonts w:ascii="Arial" w:hAnsi="Arial" w:cs="Arial"/>
        </w:rPr>
        <w:t>,</w:t>
      </w:r>
      <w:r w:rsidR="004F29A4">
        <w:rPr>
          <w:rFonts w:ascii="Arial" w:hAnsi="Arial" w:cs="Arial"/>
        </w:rPr>
        <w:t xml:space="preserve"> </w:t>
      </w:r>
      <w:r w:rsidRPr="001615A1">
        <w:rPr>
          <w:rFonts w:ascii="Arial" w:hAnsi="Arial" w:cs="Arial"/>
        </w:rPr>
        <w:t>raises valid concerns about generalizability. Stratified random sampling does not guarantee representativeness if the overall sampling frame is narrow.</w:t>
      </w:r>
      <w:r w:rsidR="00BC1230">
        <w:rPr>
          <w:rFonts w:ascii="Arial" w:hAnsi="Arial" w:cs="Arial"/>
        </w:rPr>
        <w:t xml:space="preserve"> </w:t>
      </w:r>
      <w:r w:rsidR="007C4A33" w:rsidRPr="00BC1230">
        <w:rPr>
          <w:rFonts w:ascii="Arial" w:hAnsi="Arial" w:cs="Arial"/>
          <w:highlight w:val="yellow"/>
        </w:rPr>
        <w:t xml:space="preserve">The results of this research have policy implications in Ghana. </w:t>
      </w:r>
      <w:r w:rsidR="00AA34CC" w:rsidRPr="00BC1230">
        <w:rPr>
          <w:rFonts w:ascii="Arial" w:hAnsi="Arial" w:cs="Arial"/>
          <w:highlight w:val="yellow"/>
        </w:rPr>
        <w:t>The awareness level and comprehension of privacy policies call for strengthening digital privacy education by integrating it into the curriculum and through several campaigns.</w:t>
      </w:r>
      <w:r w:rsidR="001C0D3E" w:rsidRPr="00BC1230">
        <w:rPr>
          <w:rFonts w:ascii="Arial" w:hAnsi="Arial" w:cs="Arial"/>
          <w:highlight w:val="yellow"/>
        </w:rPr>
        <w:t xml:space="preserve"> Also, the privacy policy should be written in clear and simple language, ensuring readers </w:t>
      </w:r>
      <w:r w:rsidR="001C0D3E" w:rsidRPr="00BC1230">
        <w:rPr>
          <w:rFonts w:ascii="Arial" w:hAnsi="Arial" w:cs="Arial"/>
          <w:highlight w:val="yellow"/>
        </w:rPr>
        <w:lastRenderedPageBreak/>
        <w:t>easily understand its content.</w:t>
      </w:r>
      <w:r w:rsidR="00BC1230" w:rsidRPr="00BC1230">
        <w:rPr>
          <w:rFonts w:ascii="Arial" w:hAnsi="Arial" w:cs="Arial"/>
          <w:highlight w:val="yellow"/>
        </w:rPr>
        <w:t xml:space="preserve"> There should be clear and easily accessible privacy information to users from digital service providers.</w:t>
      </w:r>
    </w:p>
    <w:p w14:paraId="021517BD" w14:textId="77777777" w:rsidR="007C4A33" w:rsidRDefault="007C4A33" w:rsidP="00441B6F">
      <w:pPr>
        <w:pStyle w:val="ConcHead"/>
        <w:spacing w:after="0"/>
        <w:jc w:val="both"/>
        <w:rPr>
          <w:rFonts w:ascii="Arial" w:hAnsi="Arial" w:cs="Arial"/>
        </w:rPr>
      </w:pPr>
    </w:p>
    <w:p w14:paraId="482E4B29" w14:textId="0ED0F010" w:rsidR="00B01FCD" w:rsidRDefault="00F1730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08A3D01" w14:textId="20A637CF" w:rsidR="001615A1" w:rsidRDefault="001615A1" w:rsidP="001615A1">
      <w:pPr>
        <w:jc w:val="both"/>
        <w:rPr>
          <w:rFonts w:ascii="Arial" w:hAnsi="Arial" w:cs="Arial"/>
        </w:rPr>
      </w:pPr>
      <w:r w:rsidRPr="001615A1">
        <w:rPr>
          <w:rFonts w:ascii="Arial" w:hAnsi="Arial" w:cs="Arial"/>
        </w:rPr>
        <w:t xml:space="preserve">This study assessed awareness and factors influencing student responses to data privacy policies at Garden City University College. Students demonstrated a moderate level of awareness, primarily agreeing that privacy policies serve to protect user data. They also acknowledged that policy length, privacy concerns, and attitudes can influence </w:t>
      </w:r>
      <w:r w:rsidR="009F7904">
        <w:rPr>
          <w:rFonts w:ascii="Arial" w:hAnsi="Arial" w:cs="Arial"/>
        </w:rPr>
        <w:t>behaviour</w:t>
      </w:r>
      <w:r w:rsidRPr="001615A1">
        <w:rPr>
          <w:rFonts w:ascii="Arial" w:hAnsi="Arial" w:cs="Arial"/>
        </w:rPr>
        <w:t xml:space="preserve">, though actual </w:t>
      </w:r>
      <w:r w:rsidR="009F7904">
        <w:rPr>
          <w:rFonts w:ascii="Arial" w:hAnsi="Arial" w:cs="Arial"/>
        </w:rPr>
        <w:t>behaviour</w:t>
      </w:r>
      <w:r w:rsidRPr="001615A1">
        <w:rPr>
          <w:rFonts w:ascii="Arial" w:hAnsi="Arial" w:cs="Arial"/>
        </w:rPr>
        <w:t>al engagement was not measured.</w:t>
      </w:r>
      <w:r>
        <w:rPr>
          <w:rFonts w:ascii="Arial" w:hAnsi="Arial" w:cs="Arial"/>
        </w:rPr>
        <w:t xml:space="preserve"> </w:t>
      </w:r>
      <w:r w:rsidRPr="001615A1">
        <w:rPr>
          <w:rFonts w:ascii="Arial" w:hAnsi="Arial" w:cs="Arial"/>
        </w:rPr>
        <w:t xml:space="preserve">Regression analysis identified age and formal training as significant predictors of agreement with </w:t>
      </w:r>
      <w:r w:rsidR="009F7904">
        <w:rPr>
          <w:rFonts w:ascii="Arial" w:hAnsi="Arial" w:cs="Arial"/>
        </w:rPr>
        <w:t>behaviour</w:t>
      </w:r>
      <w:r w:rsidRPr="001615A1">
        <w:rPr>
          <w:rFonts w:ascii="Arial" w:hAnsi="Arial" w:cs="Arial"/>
        </w:rPr>
        <w:t>al influences, although the variance explained was modest. These findings suggest that improving clarity and accessibility of privacy policies</w:t>
      </w:r>
      <w:r>
        <w:rPr>
          <w:rFonts w:ascii="Arial" w:hAnsi="Arial" w:cs="Arial"/>
        </w:rPr>
        <w:t xml:space="preserve"> </w:t>
      </w:r>
      <w:r w:rsidRPr="001615A1">
        <w:rPr>
          <w:rFonts w:ascii="Arial" w:hAnsi="Arial" w:cs="Arial"/>
        </w:rPr>
        <w:t>through plain language, summaries, and educational interventions</w:t>
      </w:r>
      <w:r>
        <w:rPr>
          <w:rFonts w:ascii="Arial" w:hAnsi="Arial" w:cs="Arial"/>
        </w:rPr>
        <w:t xml:space="preserve"> </w:t>
      </w:r>
      <w:r w:rsidRPr="001615A1">
        <w:rPr>
          <w:rFonts w:ascii="Arial" w:hAnsi="Arial" w:cs="Arial"/>
        </w:rPr>
        <w:t xml:space="preserve">can foster better user understanding and potentially support informed </w:t>
      </w:r>
      <w:r w:rsidR="009F7904">
        <w:rPr>
          <w:rFonts w:ascii="Arial" w:hAnsi="Arial" w:cs="Arial"/>
        </w:rPr>
        <w:t>behaviour</w:t>
      </w:r>
      <w:r w:rsidRPr="001615A1">
        <w:rPr>
          <w:rFonts w:ascii="Arial" w:hAnsi="Arial" w:cs="Arial"/>
        </w:rPr>
        <w:t>al choices.</w:t>
      </w:r>
      <w:r>
        <w:rPr>
          <w:rFonts w:ascii="Arial" w:hAnsi="Arial" w:cs="Arial"/>
        </w:rPr>
        <w:t xml:space="preserve"> </w:t>
      </w:r>
      <w:r w:rsidRPr="001615A1">
        <w:rPr>
          <w:rFonts w:ascii="Arial" w:hAnsi="Arial" w:cs="Arial"/>
        </w:rPr>
        <w:t xml:space="preserve">The study recommends that educational institutions and data protection authorities lead awareness campaigns targeting institutional, national, and third-party privacy policies. Privacy information should be made more accessible by incorporating simplified summaries and visuals into digital platforms such as LMS, websites, and mobile apps. Future studies should employ broader and more diverse samples, including longitudinal tracking of changes in user awareness and </w:t>
      </w:r>
      <w:r w:rsidR="009F7904">
        <w:rPr>
          <w:rFonts w:ascii="Arial" w:hAnsi="Arial" w:cs="Arial"/>
        </w:rPr>
        <w:t>behaviour</w:t>
      </w:r>
      <w:r w:rsidRPr="001615A1">
        <w:rPr>
          <w:rFonts w:ascii="Arial" w:hAnsi="Arial" w:cs="Arial"/>
        </w:rPr>
        <w:t>.</w:t>
      </w:r>
      <w:r>
        <w:rPr>
          <w:rFonts w:ascii="Arial" w:hAnsi="Arial" w:cs="Arial"/>
        </w:rPr>
        <w:t xml:space="preserve"> </w:t>
      </w:r>
      <w:r w:rsidRPr="001615A1">
        <w:rPr>
          <w:rFonts w:ascii="Arial" w:hAnsi="Arial" w:cs="Arial"/>
        </w:rPr>
        <w:t>Despite its limitations, this study provides a valuable foundation for understanding digital privacy attitudes among university students in Ghana and highlights key areas for policy and educational intervention.</w:t>
      </w:r>
    </w:p>
    <w:p w14:paraId="68DA1C64" w14:textId="77777777" w:rsidR="00494736" w:rsidRDefault="00494736" w:rsidP="0084528F">
      <w:pPr>
        <w:rPr>
          <w:highlight w:val="yellow"/>
        </w:rPr>
      </w:pPr>
    </w:p>
    <w:p w14:paraId="39D9C53D" w14:textId="77777777" w:rsidR="002D7C9E" w:rsidRDefault="002D7C9E" w:rsidP="0084528F">
      <w:pPr>
        <w:rPr>
          <w:rFonts w:ascii="Arial" w:hAnsi="Arial" w:cs="Arial"/>
          <w:b/>
          <w:bCs/>
          <w:sz w:val="22"/>
          <w:szCs w:val="22"/>
          <w:highlight w:val="yellow"/>
        </w:rPr>
      </w:pPr>
    </w:p>
    <w:p w14:paraId="611F9C35" w14:textId="77777777" w:rsidR="002D7C9E" w:rsidRDefault="002D7C9E" w:rsidP="0084528F">
      <w:pPr>
        <w:rPr>
          <w:rFonts w:ascii="Arial" w:hAnsi="Arial" w:cs="Arial"/>
          <w:b/>
          <w:bCs/>
          <w:sz w:val="22"/>
          <w:szCs w:val="22"/>
          <w:highlight w:val="yellow"/>
        </w:rPr>
      </w:pPr>
    </w:p>
    <w:p w14:paraId="06D701B3" w14:textId="77777777" w:rsidR="002D7C9E" w:rsidRDefault="002D7C9E" w:rsidP="0084528F">
      <w:pPr>
        <w:rPr>
          <w:rFonts w:ascii="Arial" w:hAnsi="Arial" w:cs="Arial"/>
          <w:b/>
          <w:bCs/>
          <w:sz w:val="22"/>
          <w:szCs w:val="22"/>
          <w:highlight w:val="yellow"/>
        </w:rPr>
      </w:pPr>
    </w:p>
    <w:p w14:paraId="3D50B65F" w14:textId="684BC1CE" w:rsidR="0084528F" w:rsidRPr="00494736" w:rsidRDefault="00A441AE" w:rsidP="0084528F">
      <w:pPr>
        <w:rPr>
          <w:rFonts w:ascii="Arial" w:hAnsi="Arial" w:cs="Arial"/>
          <w:b/>
          <w:bCs/>
          <w:sz w:val="22"/>
          <w:szCs w:val="22"/>
          <w:highlight w:val="yellow"/>
        </w:rPr>
      </w:pPr>
      <w:r w:rsidRPr="00494736">
        <w:rPr>
          <w:rFonts w:ascii="Arial" w:hAnsi="Arial" w:cs="Arial"/>
          <w:b/>
          <w:bCs/>
          <w:sz w:val="22"/>
          <w:szCs w:val="22"/>
          <w:highlight w:val="yellow"/>
        </w:rPr>
        <w:t>DISCLAIMER (ARTIFICIAL INTELLIGENCE)</w:t>
      </w:r>
    </w:p>
    <w:p w14:paraId="106439F2" w14:textId="5019EAAC" w:rsidR="0084528F" w:rsidRDefault="0084528F" w:rsidP="00494736">
      <w:pPr>
        <w:rPr>
          <w:rFonts w:ascii="Arial" w:hAnsi="Arial" w:cs="Arial"/>
          <w:highlight w:val="yellow"/>
        </w:rPr>
      </w:pPr>
      <w:r w:rsidRPr="00494736">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55ADCF8A" w14:textId="77777777" w:rsidR="00B13215" w:rsidRPr="00821A20" w:rsidRDefault="00B13215" w:rsidP="00494736">
      <w:pPr>
        <w:rPr>
          <w:rFonts w:ascii="Arial" w:hAnsi="Arial" w:cs="Arial"/>
          <w:highlight w:val="yellow"/>
        </w:rPr>
      </w:pPr>
    </w:p>
    <w:p w14:paraId="11EA0EEF" w14:textId="023A8C60" w:rsidR="00D9156C" w:rsidRPr="00D9156C" w:rsidRDefault="00476DFE" w:rsidP="00D9156C">
      <w:pPr>
        <w:pStyle w:val="AcknHead"/>
        <w:jc w:val="both"/>
        <w:rPr>
          <w:rFonts w:ascii="Arial" w:hAnsi="Arial" w:cs="Arial"/>
          <w:highlight w:val="yellow"/>
        </w:rPr>
      </w:pPr>
      <w:r w:rsidRPr="00476DFE">
        <w:rPr>
          <w:rFonts w:ascii="Arial" w:hAnsi="Arial" w:cs="Arial"/>
          <w:highlight w:val="yellow"/>
          <w:lang w:val="en-GB"/>
        </w:rPr>
        <w:t>Ethical Approval</w:t>
      </w:r>
      <w:r>
        <w:rPr>
          <w:rFonts w:ascii="Arial" w:hAnsi="Arial" w:cs="Arial"/>
          <w:highlight w:val="yellow"/>
          <w:lang w:val="en-GB"/>
        </w:rPr>
        <w:t xml:space="preserve"> AND </w:t>
      </w:r>
      <w:r w:rsidRPr="00476DFE">
        <w:rPr>
          <w:rFonts w:ascii="Arial" w:hAnsi="Arial" w:cs="Arial"/>
          <w:highlight w:val="yellow"/>
          <w:lang w:val="en-GB"/>
        </w:rPr>
        <w:t>Consent</w:t>
      </w:r>
      <w:r w:rsidR="00D9156C" w:rsidRPr="00D9156C">
        <w:rPr>
          <w:rFonts w:ascii="Arial" w:hAnsi="Arial" w:cs="Arial"/>
          <w:highlight w:val="yellow"/>
        </w:rPr>
        <w:t xml:space="preserve"> </w:t>
      </w:r>
    </w:p>
    <w:p w14:paraId="4A6EFCA0" w14:textId="5C1EF0CD" w:rsidR="00D9156C" w:rsidRPr="00D9156C" w:rsidRDefault="00D9156C" w:rsidP="00D9156C">
      <w:pPr>
        <w:pStyle w:val="ReferHead"/>
        <w:spacing w:after="0"/>
        <w:jc w:val="both"/>
        <w:rPr>
          <w:rFonts w:ascii="Arial" w:hAnsi="Arial" w:cs="Arial"/>
          <w:b w:val="0"/>
          <w:sz w:val="20"/>
          <w:szCs w:val="18"/>
          <w:highlight w:val="yellow"/>
          <w:lang w:val="en-GB"/>
        </w:rPr>
      </w:pPr>
      <w:r w:rsidRPr="00821A20">
        <w:rPr>
          <w:rFonts w:ascii="Arial" w:hAnsi="Arial" w:cs="Arial"/>
          <w:b w:val="0"/>
          <w:caps w:val="0"/>
          <w:sz w:val="20"/>
          <w:szCs w:val="18"/>
          <w:highlight w:val="yellow"/>
          <w:lang w:val="en-GB"/>
        </w:rPr>
        <w:t>The study received approval from the research committee at the Garden City University College, Ghana (dos/vol.5/04) under the Ohio University’s CITI program on human research with record ID: 56802955. Consent forms were endorsed by students who participated in the study. The authors attest that all data collected during the study are as presented in this manuscript and that no data from the study have been or will be published separately elsewhere.</w:t>
      </w:r>
    </w:p>
    <w:p w14:paraId="558E67AE" w14:textId="77777777" w:rsidR="00043BAB" w:rsidRPr="00821A20" w:rsidRDefault="00043BAB" w:rsidP="00441B6F">
      <w:pPr>
        <w:pStyle w:val="ReferHead"/>
        <w:spacing w:after="0"/>
        <w:jc w:val="both"/>
        <w:rPr>
          <w:rFonts w:ascii="Arial" w:hAnsi="Arial" w:cs="Arial"/>
          <w:sz w:val="20"/>
          <w:szCs w:val="18"/>
        </w:rPr>
      </w:pPr>
    </w:p>
    <w:p w14:paraId="1A255371" w14:textId="77777777" w:rsidR="00043BAB" w:rsidRDefault="00043BAB" w:rsidP="00441B6F">
      <w:pPr>
        <w:pStyle w:val="ReferHead"/>
        <w:spacing w:after="0"/>
        <w:jc w:val="both"/>
        <w:rPr>
          <w:rFonts w:ascii="Arial" w:hAnsi="Arial" w:cs="Arial"/>
        </w:rPr>
      </w:pPr>
    </w:p>
    <w:p w14:paraId="46DBF4E0" w14:textId="77777777" w:rsidR="00B841B8" w:rsidRDefault="00B841B8" w:rsidP="00441B6F">
      <w:pPr>
        <w:pStyle w:val="ReferHead"/>
        <w:spacing w:after="0"/>
        <w:jc w:val="both"/>
        <w:rPr>
          <w:rFonts w:ascii="Arial" w:hAnsi="Arial" w:cs="Arial"/>
        </w:rPr>
      </w:pPr>
    </w:p>
    <w:p w14:paraId="46B4C14F" w14:textId="77777777" w:rsidR="00717A93" w:rsidRDefault="00717A93" w:rsidP="00441B6F">
      <w:pPr>
        <w:pStyle w:val="ReferHead"/>
        <w:spacing w:after="0"/>
        <w:jc w:val="both"/>
        <w:rPr>
          <w:rFonts w:ascii="Arial" w:hAnsi="Arial" w:cs="Arial"/>
        </w:rPr>
      </w:pPr>
    </w:p>
    <w:p w14:paraId="48E99C01" w14:textId="77777777" w:rsidR="00717A93" w:rsidRDefault="00717A93" w:rsidP="00441B6F">
      <w:pPr>
        <w:pStyle w:val="ReferHead"/>
        <w:spacing w:after="0"/>
        <w:jc w:val="both"/>
        <w:rPr>
          <w:rFonts w:ascii="Arial" w:hAnsi="Arial" w:cs="Arial"/>
        </w:rPr>
      </w:pPr>
    </w:p>
    <w:p w14:paraId="4E6CF8F8" w14:textId="77777777" w:rsidR="00717A93" w:rsidRDefault="00717A93" w:rsidP="00441B6F">
      <w:pPr>
        <w:pStyle w:val="ReferHead"/>
        <w:spacing w:after="0"/>
        <w:jc w:val="both"/>
        <w:rPr>
          <w:rFonts w:ascii="Arial" w:hAnsi="Arial" w:cs="Arial"/>
        </w:rPr>
      </w:pPr>
    </w:p>
    <w:p w14:paraId="012ECD94" w14:textId="77777777" w:rsidR="00717A93" w:rsidRDefault="00717A93" w:rsidP="00441B6F">
      <w:pPr>
        <w:pStyle w:val="ReferHead"/>
        <w:spacing w:after="0"/>
        <w:jc w:val="both"/>
        <w:rPr>
          <w:rFonts w:ascii="Arial" w:hAnsi="Arial" w:cs="Arial"/>
        </w:rPr>
      </w:pPr>
    </w:p>
    <w:p w14:paraId="25A07CF8" w14:textId="77777777" w:rsidR="00717A93" w:rsidRDefault="00717A93" w:rsidP="00441B6F">
      <w:pPr>
        <w:pStyle w:val="ReferHead"/>
        <w:spacing w:after="0"/>
        <w:jc w:val="both"/>
        <w:rPr>
          <w:rFonts w:ascii="Arial" w:hAnsi="Arial" w:cs="Arial"/>
        </w:rPr>
      </w:pPr>
    </w:p>
    <w:p w14:paraId="6C000B5E" w14:textId="77777777" w:rsidR="00717A93" w:rsidRDefault="00717A93" w:rsidP="00441B6F">
      <w:pPr>
        <w:pStyle w:val="ReferHead"/>
        <w:spacing w:after="0"/>
        <w:jc w:val="both"/>
        <w:rPr>
          <w:rFonts w:ascii="Arial" w:hAnsi="Arial" w:cs="Arial"/>
        </w:rPr>
      </w:pPr>
    </w:p>
    <w:p w14:paraId="2C8B9F15" w14:textId="77777777" w:rsidR="00717A93" w:rsidRDefault="00717A93" w:rsidP="00441B6F">
      <w:pPr>
        <w:pStyle w:val="ReferHead"/>
        <w:spacing w:after="0"/>
        <w:jc w:val="both"/>
        <w:rPr>
          <w:rFonts w:ascii="Arial" w:hAnsi="Arial" w:cs="Arial"/>
        </w:rPr>
      </w:pPr>
    </w:p>
    <w:p w14:paraId="5CE3DF87" w14:textId="77777777" w:rsidR="00717A93" w:rsidRDefault="00717A93" w:rsidP="00441B6F">
      <w:pPr>
        <w:pStyle w:val="ReferHead"/>
        <w:spacing w:after="0"/>
        <w:jc w:val="both"/>
        <w:rPr>
          <w:rFonts w:ascii="Arial" w:hAnsi="Arial" w:cs="Arial"/>
        </w:rPr>
      </w:pPr>
    </w:p>
    <w:p w14:paraId="474A1D39" w14:textId="77777777" w:rsidR="00717A93" w:rsidRDefault="00717A93" w:rsidP="00441B6F">
      <w:pPr>
        <w:pStyle w:val="ReferHead"/>
        <w:spacing w:after="0"/>
        <w:jc w:val="both"/>
        <w:rPr>
          <w:rFonts w:ascii="Arial" w:hAnsi="Arial" w:cs="Arial"/>
        </w:rPr>
      </w:pPr>
    </w:p>
    <w:p w14:paraId="2CE045DB" w14:textId="77777777" w:rsidR="00717A93" w:rsidRDefault="00717A93" w:rsidP="00441B6F">
      <w:pPr>
        <w:pStyle w:val="ReferHead"/>
        <w:spacing w:after="0"/>
        <w:jc w:val="both"/>
        <w:rPr>
          <w:rFonts w:ascii="Arial" w:hAnsi="Arial" w:cs="Arial"/>
        </w:rPr>
      </w:pPr>
    </w:p>
    <w:p w14:paraId="1E4720FC" w14:textId="77777777" w:rsidR="00717A93" w:rsidRDefault="00717A93" w:rsidP="00441B6F">
      <w:pPr>
        <w:pStyle w:val="ReferHead"/>
        <w:spacing w:after="0"/>
        <w:jc w:val="both"/>
        <w:rPr>
          <w:rFonts w:ascii="Arial" w:hAnsi="Arial" w:cs="Arial"/>
        </w:rPr>
      </w:pPr>
    </w:p>
    <w:p w14:paraId="4066CF04" w14:textId="77777777" w:rsidR="00717A93" w:rsidRDefault="00717A93" w:rsidP="00441B6F">
      <w:pPr>
        <w:pStyle w:val="ReferHead"/>
        <w:spacing w:after="0"/>
        <w:jc w:val="both"/>
        <w:rPr>
          <w:rFonts w:ascii="Arial" w:hAnsi="Arial" w:cs="Arial"/>
        </w:rPr>
      </w:pPr>
    </w:p>
    <w:p w14:paraId="63993A44" w14:textId="77777777" w:rsidR="00717A93" w:rsidRDefault="00717A93" w:rsidP="00441B6F">
      <w:pPr>
        <w:pStyle w:val="ReferHead"/>
        <w:spacing w:after="0"/>
        <w:jc w:val="both"/>
        <w:rPr>
          <w:rFonts w:ascii="Arial" w:hAnsi="Arial" w:cs="Arial"/>
        </w:rPr>
      </w:pPr>
    </w:p>
    <w:p w14:paraId="47C8F050" w14:textId="77777777" w:rsidR="00717A93" w:rsidRDefault="00717A93" w:rsidP="00441B6F">
      <w:pPr>
        <w:pStyle w:val="ReferHead"/>
        <w:spacing w:after="0"/>
        <w:jc w:val="both"/>
        <w:rPr>
          <w:rFonts w:ascii="Arial" w:hAnsi="Arial" w:cs="Arial"/>
        </w:rPr>
      </w:pPr>
    </w:p>
    <w:p w14:paraId="20C59E93" w14:textId="77777777" w:rsidR="00717A93" w:rsidRDefault="00717A93" w:rsidP="00441B6F">
      <w:pPr>
        <w:pStyle w:val="ReferHead"/>
        <w:spacing w:after="0"/>
        <w:jc w:val="both"/>
        <w:rPr>
          <w:rFonts w:ascii="Arial" w:hAnsi="Arial" w:cs="Arial"/>
        </w:rPr>
      </w:pPr>
    </w:p>
    <w:p w14:paraId="595904DF" w14:textId="77777777" w:rsidR="00717A93" w:rsidRDefault="00717A93" w:rsidP="00441B6F">
      <w:pPr>
        <w:pStyle w:val="ReferHead"/>
        <w:spacing w:after="0"/>
        <w:jc w:val="both"/>
        <w:rPr>
          <w:rFonts w:ascii="Arial" w:hAnsi="Arial" w:cs="Arial"/>
        </w:rPr>
      </w:pPr>
    </w:p>
    <w:p w14:paraId="5B9A9BC0" w14:textId="77777777" w:rsidR="00717A93" w:rsidRDefault="00717A93" w:rsidP="00441B6F">
      <w:pPr>
        <w:pStyle w:val="ReferHead"/>
        <w:spacing w:after="0"/>
        <w:jc w:val="both"/>
        <w:rPr>
          <w:rFonts w:ascii="Arial" w:hAnsi="Arial" w:cs="Arial"/>
        </w:rPr>
      </w:pPr>
    </w:p>
    <w:p w14:paraId="1526F817" w14:textId="77777777" w:rsidR="00717A93" w:rsidRDefault="00717A93" w:rsidP="00441B6F">
      <w:pPr>
        <w:pStyle w:val="ReferHead"/>
        <w:spacing w:after="0"/>
        <w:jc w:val="both"/>
        <w:rPr>
          <w:rFonts w:ascii="Arial" w:hAnsi="Arial" w:cs="Arial"/>
        </w:rPr>
      </w:pPr>
    </w:p>
    <w:p w14:paraId="6DE6DC54" w14:textId="60DFCD3D" w:rsidR="00B01FCD" w:rsidRDefault="00B01FCD" w:rsidP="00441B6F">
      <w:pPr>
        <w:pStyle w:val="ReferHead"/>
        <w:spacing w:after="0"/>
        <w:jc w:val="both"/>
        <w:rPr>
          <w:rFonts w:ascii="Arial" w:hAnsi="Arial" w:cs="Arial"/>
        </w:rPr>
      </w:pPr>
      <w:r w:rsidRPr="00FB3A86">
        <w:rPr>
          <w:rFonts w:ascii="Arial" w:hAnsi="Arial" w:cs="Arial"/>
        </w:rPr>
        <w:t>References</w:t>
      </w:r>
    </w:p>
    <w:p w14:paraId="40743DBB" w14:textId="5CB66003" w:rsidR="00050F33" w:rsidRPr="00050F33" w:rsidRDefault="00050F33" w:rsidP="00050F33">
      <w:pPr>
        <w:jc w:val="both"/>
        <w:rPr>
          <w:rFonts w:ascii="Arial" w:hAnsi="Arial" w:cs="Arial"/>
        </w:rPr>
      </w:pPr>
      <w:r w:rsidRPr="00050F33">
        <w:rPr>
          <w:rFonts w:ascii="Arial" w:hAnsi="Arial" w:cs="Arial"/>
        </w:rPr>
        <w:t xml:space="preserve">Acquisti, A., Brandimarte, L., &amp; Loewenstein, G. (2015). Privacy and human </w:t>
      </w:r>
      <w:r w:rsidR="009F7904">
        <w:rPr>
          <w:rFonts w:ascii="Arial" w:hAnsi="Arial" w:cs="Arial"/>
        </w:rPr>
        <w:t>behaviour</w:t>
      </w:r>
      <w:r w:rsidRPr="00050F33">
        <w:rPr>
          <w:rFonts w:ascii="Arial" w:hAnsi="Arial" w:cs="Arial"/>
        </w:rPr>
        <w:t xml:space="preserve"> in the age of information. </w:t>
      </w:r>
      <w:r w:rsidRPr="00050F33">
        <w:rPr>
          <w:rFonts w:ascii="Arial" w:hAnsi="Arial" w:cs="Arial"/>
          <w:i/>
          <w:iCs/>
        </w:rPr>
        <w:t>Science, 347</w:t>
      </w:r>
      <w:r w:rsidRPr="00050F33">
        <w:rPr>
          <w:rFonts w:ascii="Arial" w:hAnsi="Arial" w:cs="Arial"/>
        </w:rPr>
        <w:t xml:space="preserve">(6221), 509–514. </w:t>
      </w:r>
      <w:hyperlink r:id="rId8" w:history="1">
        <w:r w:rsidRPr="00050F33">
          <w:rPr>
            <w:rStyle w:val="Hyperlink"/>
            <w:rFonts w:ascii="Arial" w:hAnsi="Arial" w:cs="Arial"/>
          </w:rPr>
          <w:t>https://doi.org/10.1126/science.aaa1465</w:t>
        </w:r>
      </w:hyperlink>
    </w:p>
    <w:p w14:paraId="064B52CB" w14:textId="77777777" w:rsidR="00B841B8" w:rsidRDefault="00B841B8" w:rsidP="00050F33">
      <w:pPr>
        <w:jc w:val="both"/>
        <w:rPr>
          <w:rFonts w:ascii="Arial" w:hAnsi="Arial" w:cs="Arial"/>
        </w:rPr>
      </w:pPr>
    </w:p>
    <w:p w14:paraId="4670FB10" w14:textId="676AC66E" w:rsidR="00050F33" w:rsidRPr="00050F33" w:rsidRDefault="00050F33" w:rsidP="00050F33">
      <w:pPr>
        <w:jc w:val="both"/>
        <w:rPr>
          <w:rFonts w:ascii="Arial" w:hAnsi="Arial" w:cs="Arial"/>
        </w:rPr>
      </w:pPr>
      <w:r w:rsidRPr="00050F33">
        <w:rPr>
          <w:rFonts w:ascii="Arial" w:hAnsi="Arial" w:cs="Arial"/>
        </w:rPr>
        <w:lastRenderedPageBreak/>
        <w:t xml:space="preserve">Alhassan, G. (2020). </w:t>
      </w:r>
      <w:r w:rsidRPr="00050F33">
        <w:rPr>
          <w:rFonts w:ascii="Arial" w:hAnsi="Arial" w:cs="Arial"/>
          <w:i/>
          <w:iCs/>
        </w:rPr>
        <w:t>E-governance for sustainable development in Ghana: Issues and prospects</w:t>
      </w:r>
      <w:r w:rsidRPr="00050F33">
        <w:rPr>
          <w:rFonts w:ascii="Arial" w:hAnsi="Arial" w:cs="Arial"/>
        </w:rPr>
        <w:t xml:space="preserve"> [Master's thesis, The American University in Cairo]. AUC Knowledge Fountain.</w:t>
      </w:r>
    </w:p>
    <w:p w14:paraId="708375FB" w14:textId="77777777" w:rsidR="00B841B8" w:rsidRDefault="00B841B8" w:rsidP="00050F33">
      <w:pPr>
        <w:jc w:val="both"/>
        <w:rPr>
          <w:rFonts w:ascii="Arial" w:hAnsi="Arial" w:cs="Arial"/>
        </w:rPr>
      </w:pPr>
    </w:p>
    <w:p w14:paraId="775C5D44" w14:textId="684D174B" w:rsidR="00050F33" w:rsidRPr="00050F33" w:rsidRDefault="00050F33" w:rsidP="00050F33">
      <w:pPr>
        <w:jc w:val="both"/>
        <w:rPr>
          <w:rFonts w:ascii="Arial" w:hAnsi="Arial" w:cs="Arial"/>
        </w:rPr>
      </w:pPr>
      <w:r w:rsidRPr="00050F33">
        <w:rPr>
          <w:rFonts w:ascii="Arial" w:hAnsi="Arial" w:cs="Arial"/>
        </w:rPr>
        <w:t xml:space="preserve">Babikian, J. (2023). Securing rights: Legal frameworks for privacy and data protection in the digital era. </w:t>
      </w:r>
      <w:r w:rsidRPr="00050F33">
        <w:rPr>
          <w:rFonts w:ascii="Arial" w:hAnsi="Arial" w:cs="Arial"/>
          <w:i/>
          <w:iCs/>
        </w:rPr>
        <w:t>Law Research Journal, 1</w:t>
      </w:r>
      <w:r w:rsidRPr="00050F33">
        <w:rPr>
          <w:rFonts w:ascii="Arial" w:hAnsi="Arial" w:cs="Arial"/>
        </w:rPr>
        <w:t>(2), 91–101.</w:t>
      </w:r>
    </w:p>
    <w:p w14:paraId="6FDC7881" w14:textId="77777777" w:rsidR="00B841B8" w:rsidRDefault="00B841B8" w:rsidP="00050F33">
      <w:pPr>
        <w:jc w:val="both"/>
        <w:rPr>
          <w:rFonts w:ascii="Arial" w:hAnsi="Arial" w:cs="Arial"/>
        </w:rPr>
      </w:pPr>
    </w:p>
    <w:p w14:paraId="2D72EC58" w14:textId="7D2CC0C7" w:rsidR="00050F33" w:rsidRPr="00050F33" w:rsidRDefault="00050F33" w:rsidP="00050F33">
      <w:pPr>
        <w:jc w:val="both"/>
        <w:rPr>
          <w:rFonts w:ascii="Arial" w:hAnsi="Arial" w:cs="Arial"/>
        </w:rPr>
      </w:pPr>
      <w:r w:rsidRPr="00050F33">
        <w:rPr>
          <w:rFonts w:ascii="Arial" w:hAnsi="Arial" w:cs="Arial"/>
        </w:rPr>
        <w:t xml:space="preserve">Barth, S., &amp; De Jong, M. D. (2017). The privacy paradox–Investigating discrepancies between expressed privacy concerns and actual online </w:t>
      </w:r>
      <w:r w:rsidR="009F7904">
        <w:rPr>
          <w:rFonts w:ascii="Arial" w:hAnsi="Arial" w:cs="Arial"/>
        </w:rPr>
        <w:t>behaviour</w:t>
      </w:r>
      <w:r w:rsidRPr="00050F33">
        <w:rPr>
          <w:rFonts w:ascii="Arial" w:hAnsi="Arial" w:cs="Arial"/>
        </w:rPr>
        <w:t xml:space="preserve">–A systematic literature review. </w:t>
      </w:r>
      <w:r w:rsidRPr="00050F33">
        <w:rPr>
          <w:rFonts w:ascii="Arial" w:hAnsi="Arial" w:cs="Arial"/>
          <w:i/>
          <w:iCs/>
        </w:rPr>
        <w:t>Telematics and Informatics, 34</w:t>
      </w:r>
      <w:r w:rsidRPr="00050F33">
        <w:rPr>
          <w:rFonts w:ascii="Arial" w:hAnsi="Arial" w:cs="Arial"/>
        </w:rPr>
        <w:t xml:space="preserve">(7), 1038–1058. </w:t>
      </w:r>
      <w:hyperlink r:id="rId9" w:history="1">
        <w:r w:rsidRPr="00050F33">
          <w:rPr>
            <w:rStyle w:val="Hyperlink"/>
            <w:rFonts w:ascii="Arial" w:hAnsi="Arial" w:cs="Arial"/>
          </w:rPr>
          <w:t>https://doi.org/10.1016/j.tele.2017.04.013</w:t>
        </w:r>
      </w:hyperlink>
    </w:p>
    <w:p w14:paraId="360819F6" w14:textId="77777777" w:rsidR="00B841B8" w:rsidRDefault="00B841B8" w:rsidP="00050F33">
      <w:pPr>
        <w:jc w:val="both"/>
        <w:rPr>
          <w:rFonts w:ascii="Arial" w:hAnsi="Arial" w:cs="Arial"/>
        </w:rPr>
      </w:pPr>
    </w:p>
    <w:p w14:paraId="2CE1C283" w14:textId="66CE231B" w:rsidR="00050F33" w:rsidRPr="00050F33" w:rsidRDefault="00050F33" w:rsidP="00050F33">
      <w:pPr>
        <w:jc w:val="both"/>
        <w:rPr>
          <w:rFonts w:ascii="Arial" w:hAnsi="Arial" w:cs="Arial"/>
        </w:rPr>
      </w:pPr>
      <w:r w:rsidRPr="00050F33">
        <w:rPr>
          <w:rFonts w:ascii="Arial" w:hAnsi="Arial" w:cs="Arial"/>
        </w:rPr>
        <w:t xml:space="preserve">Bartsch, M., &amp; Dienlin, T. (2016). Control your Facebook: An analysis of online privacy literacy. </w:t>
      </w:r>
      <w:r w:rsidRPr="00050F33">
        <w:rPr>
          <w:rFonts w:ascii="Arial" w:hAnsi="Arial" w:cs="Arial"/>
          <w:i/>
          <w:iCs/>
        </w:rPr>
        <w:t xml:space="preserve">Computers in Human </w:t>
      </w:r>
      <w:r w:rsidR="009F7904">
        <w:rPr>
          <w:rFonts w:ascii="Arial" w:hAnsi="Arial" w:cs="Arial"/>
          <w:i/>
          <w:iCs/>
        </w:rPr>
        <w:t>Behaviour</w:t>
      </w:r>
      <w:r w:rsidRPr="00050F33">
        <w:rPr>
          <w:rFonts w:ascii="Arial" w:hAnsi="Arial" w:cs="Arial"/>
          <w:i/>
          <w:iCs/>
        </w:rPr>
        <w:t>, 56</w:t>
      </w:r>
      <w:r w:rsidRPr="00050F33">
        <w:rPr>
          <w:rFonts w:ascii="Arial" w:hAnsi="Arial" w:cs="Arial"/>
        </w:rPr>
        <w:t>, 147–154.</w:t>
      </w:r>
    </w:p>
    <w:p w14:paraId="0708AB76" w14:textId="77777777" w:rsidR="00B841B8" w:rsidRDefault="00B841B8" w:rsidP="00050F33">
      <w:pPr>
        <w:jc w:val="both"/>
        <w:rPr>
          <w:rFonts w:ascii="Arial" w:hAnsi="Arial" w:cs="Arial"/>
        </w:rPr>
      </w:pPr>
    </w:p>
    <w:p w14:paraId="6BEFED8F" w14:textId="23B8E3D2" w:rsidR="00050F33" w:rsidRPr="00050F33" w:rsidRDefault="00050F33" w:rsidP="00050F33">
      <w:pPr>
        <w:jc w:val="both"/>
        <w:rPr>
          <w:rFonts w:ascii="Arial" w:hAnsi="Arial" w:cs="Arial"/>
        </w:rPr>
      </w:pPr>
      <w:r w:rsidRPr="00050F33">
        <w:rPr>
          <w:rFonts w:ascii="Arial" w:hAnsi="Arial" w:cs="Arial"/>
        </w:rPr>
        <w:t xml:space="preserve">Baruh, L., </w:t>
      </w:r>
      <w:proofErr w:type="spellStart"/>
      <w:r w:rsidRPr="00050F33">
        <w:rPr>
          <w:rFonts w:ascii="Arial" w:hAnsi="Arial" w:cs="Arial"/>
        </w:rPr>
        <w:t>Secinti</w:t>
      </w:r>
      <w:proofErr w:type="spellEnd"/>
      <w:r w:rsidRPr="00050F33">
        <w:rPr>
          <w:rFonts w:ascii="Arial" w:hAnsi="Arial" w:cs="Arial"/>
        </w:rPr>
        <w:t xml:space="preserve">, E., &amp; </w:t>
      </w:r>
      <w:proofErr w:type="spellStart"/>
      <w:r w:rsidRPr="00050F33">
        <w:rPr>
          <w:rFonts w:ascii="Arial" w:hAnsi="Arial" w:cs="Arial"/>
        </w:rPr>
        <w:t>Cemalcilar</w:t>
      </w:r>
      <w:proofErr w:type="spellEnd"/>
      <w:r w:rsidRPr="00050F33">
        <w:rPr>
          <w:rFonts w:ascii="Arial" w:hAnsi="Arial" w:cs="Arial"/>
        </w:rPr>
        <w:t xml:space="preserve">, Z. (2017). Online privacy concerns and privacy management: A meta-analytical review. </w:t>
      </w:r>
      <w:r w:rsidRPr="00050F33">
        <w:rPr>
          <w:rFonts w:ascii="Arial" w:hAnsi="Arial" w:cs="Arial"/>
          <w:i/>
          <w:iCs/>
        </w:rPr>
        <w:t>Journal of Communication, 67</w:t>
      </w:r>
      <w:r w:rsidRPr="00050F33">
        <w:rPr>
          <w:rFonts w:ascii="Arial" w:hAnsi="Arial" w:cs="Arial"/>
        </w:rPr>
        <w:t xml:space="preserve">(1), 26–53. </w:t>
      </w:r>
      <w:hyperlink r:id="rId10" w:history="1">
        <w:r w:rsidRPr="00050F33">
          <w:rPr>
            <w:rStyle w:val="Hyperlink"/>
            <w:rFonts w:ascii="Arial" w:hAnsi="Arial" w:cs="Arial"/>
          </w:rPr>
          <w:t>https://doi.org/10.1111/jcom.12276</w:t>
        </w:r>
      </w:hyperlink>
    </w:p>
    <w:p w14:paraId="59A3352E" w14:textId="77777777" w:rsidR="00B841B8" w:rsidRDefault="00B841B8" w:rsidP="00050F33">
      <w:pPr>
        <w:jc w:val="both"/>
        <w:rPr>
          <w:rFonts w:ascii="Arial" w:hAnsi="Arial" w:cs="Arial"/>
        </w:rPr>
      </w:pPr>
    </w:p>
    <w:p w14:paraId="6E797C36" w14:textId="6F924663" w:rsidR="00050F33" w:rsidRPr="00050F33" w:rsidRDefault="00050F33" w:rsidP="00050F33">
      <w:pPr>
        <w:jc w:val="both"/>
        <w:rPr>
          <w:rFonts w:ascii="Arial" w:hAnsi="Arial" w:cs="Arial"/>
        </w:rPr>
      </w:pPr>
      <w:r w:rsidRPr="00050F33">
        <w:rPr>
          <w:rFonts w:ascii="Arial" w:hAnsi="Arial" w:cs="Arial"/>
        </w:rPr>
        <w:t xml:space="preserve">Bélanger, F., &amp; Crossler, R. E. (2011). Privacy in the digital age: A review of information privacy research in information systems. </w:t>
      </w:r>
      <w:r w:rsidRPr="00050F33">
        <w:rPr>
          <w:rFonts w:ascii="Arial" w:hAnsi="Arial" w:cs="Arial"/>
          <w:i/>
          <w:iCs/>
        </w:rPr>
        <w:t>MIS Quarterly, 35</w:t>
      </w:r>
      <w:r w:rsidRPr="00050F33">
        <w:rPr>
          <w:rFonts w:ascii="Arial" w:hAnsi="Arial" w:cs="Arial"/>
        </w:rPr>
        <w:t xml:space="preserve">(4), 1017–1041. </w:t>
      </w:r>
      <w:hyperlink r:id="rId11" w:history="1">
        <w:r w:rsidRPr="00050F33">
          <w:rPr>
            <w:rStyle w:val="Hyperlink"/>
            <w:rFonts w:ascii="Arial" w:hAnsi="Arial" w:cs="Arial"/>
          </w:rPr>
          <w:t>https://doi.org/10.2307/41409971</w:t>
        </w:r>
      </w:hyperlink>
    </w:p>
    <w:p w14:paraId="23C51CB7" w14:textId="77777777" w:rsidR="00B841B8" w:rsidRDefault="00B841B8" w:rsidP="00050F33">
      <w:pPr>
        <w:jc w:val="both"/>
        <w:rPr>
          <w:rFonts w:ascii="Arial" w:hAnsi="Arial" w:cs="Arial"/>
        </w:rPr>
      </w:pPr>
    </w:p>
    <w:p w14:paraId="459F07CC" w14:textId="79FC9B2F" w:rsidR="00050F33" w:rsidRPr="00050F33" w:rsidRDefault="00050F33" w:rsidP="00050F33">
      <w:pPr>
        <w:jc w:val="both"/>
        <w:rPr>
          <w:rFonts w:ascii="Arial" w:hAnsi="Arial" w:cs="Arial"/>
        </w:rPr>
      </w:pPr>
      <w:r w:rsidRPr="00050F33">
        <w:rPr>
          <w:rFonts w:ascii="Arial" w:hAnsi="Arial" w:cs="Arial"/>
        </w:rPr>
        <w:t xml:space="preserve">Beldad, A., De Jong, M., &amp; </w:t>
      </w:r>
      <w:proofErr w:type="spellStart"/>
      <w:r w:rsidRPr="00050F33">
        <w:rPr>
          <w:rFonts w:ascii="Arial" w:hAnsi="Arial" w:cs="Arial"/>
        </w:rPr>
        <w:t>Steehouder</w:t>
      </w:r>
      <w:proofErr w:type="spellEnd"/>
      <w:r w:rsidRPr="00050F33">
        <w:rPr>
          <w:rFonts w:ascii="Arial" w:hAnsi="Arial" w:cs="Arial"/>
        </w:rPr>
        <w:t xml:space="preserve">, M. (2010). How shall I trust the faceless and the intangible? A literature review on the antecedents of online trust. </w:t>
      </w:r>
      <w:r w:rsidRPr="00050F33">
        <w:rPr>
          <w:rFonts w:ascii="Arial" w:hAnsi="Arial" w:cs="Arial"/>
          <w:i/>
          <w:iCs/>
        </w:rPr>
        <w:t xml:space="preserve">Computers in Human </w:t>
      </w:r>
      <w:r w:rsidR="009F7904">
        <w:rPr>
          <w:rFonts w:ascii="Arial" w:hAnsi="Arial" w:cs="Arial"/>
          <w:i/>
          <w:iCs/>
        </w:rPr>
        <w:t>Behaviour</w:t>
      </w:r>
      <w:r w:rsidRPr="00050F33">
        <w:rPr>
          <w:rFonts w:ascii="Arial" w:hAnsi="Arial" w:cs="Arial"/>
          <w:i/>
          <w:iCs/>
        </w:rPr>
        <w:t>, 26</w:t>
      </w:r>
      <w:r w:rsidRPr="00050F33">
        <w:rPr>
          <w:rFonts w:ascii="Arial" w:hAnsi="Arial" w:cs="Arial"/>
        </w:rPr>
        <w:t xml:space="preserve">(5), 857–869. </w:t>
      </w:r>
      <w:hyperlink r:id="rId12" w:history="1">
        <w:r w:rsidRPr="00050F33">
          <w:rPr>
            <w:rStyle w:val="Hyperlink"/>
            <w:rFonts w:ascii="Arial" w:hAnsi="Arial" w:cs="Arial"/>
          </w:rPr>
          <w:t>https://doi.org/10.1016/j.chb.2010.03.013</w:t>
        </w:r>
      </w:hyperlink>
    </w:p>
    <w:p w14:paraId="519420F9" w14:textId="77777777" w:rsidR="00B841B8" w:rsidRDefault="00B841B8" w:rsidP="00050F33">
      <w:pPr>
        <w:jc w:val="both"/>
        <w:rPr>
          <w:rFonts w:ascii="Arial" w:hAnsi="Arial" w:cs="Arial"/>
        </w:rPr>
      </w:pPr>
    </w:p>
    <w:p w14:paraId="00FAF168" w14:textId="4E5297BE" w:rsidR="00050F33" w:rsidRPr="00050F33" w:rsidRDefault="00050F33" w:rsidP="00050F33">
      <w:pPr>
        <w:jc w:val="both"/>
        <w:rPr>
          <w:rFonts w:ascii="Arial" w:hAnsi="Arial" w:cs="Arial"/>
        </w:rPr>
      </w:pPr>
      <w:r w:rsidRPr="00050F33">
        <w:rPr>
          <w:rFonts w:ascii="Arial" w:hAnsi="Arial" w:cs="Arial"/>
        </w:rPr>
        <w:t xml:space="preserve">Blank, G., Bolsover, G., &amp; Dubois, E. (2014). A new privacy paradox: Young people and privacy on social network sites. In </w:t>
      </w:r>
      <w:r w:rsidRPr="00050F33">
        <w:rPr>
          <w:rFonts w:ascii="Arial" w:hAnsi="Arial" w:cs="Arial"/>
          <w:i/>
          <w:iCs/>
        </w:rPr>
        <w:t>Prepared for the Annual Meeting of the American Sociological Association</w:t>
      </w:r>
      <w:r w:rsidRPr="00050F33">
        <w:rPr>
          <w:rFonts w:ascii="Arial" w:hAnsi="Arial" w:cs="Arial"/>
        </w:rPr>
        <w:t xml:space="preserve"> (17).</w:t>
      </w:r>
    </w:p>
    <w:p w14:paraId="5EBF85E5" w14:textId="77777777" w:rsidR="00B841B8" w:rsidRDefault="00B841B8" w:rsidP="00050F33">
      <w:pPr>
        <w:jc w:val="both"/>
        <w:rPr>
          <w:rFonts w:ascii="Arial" w:hAnsi="Arial" w:cs="Arial"/>
        </w:rPr>
      </w:pPr>
    </w:p>
    <w:p w14:paraId="360BE385" w14:textId="7FCC6159" w:rsidR="00050F33" w:rsidRPr="00050F33" w:rsidRDefault="00050F33" w:rsidP="00050F33">
      <w:pPr>
        <w:jc w:val="both"/>
        <w:rPr>
          <w:rFonts w:ascii="Arial" w:hAnsi="Arial" w:cs="Arial"/>
        </w:rPr>
      </w:pPr>
      <w:r w:rsidRPr="00050F33">
        <w:rPr>
          <w:rFonts w:ascii="Arial" w:hAnsi="Arial" w:cs="Arial"/>
        </w:rPr>
        <w:t xml:space="preserve">Böhme, R., &amp; Köpsell, S. (2010). Trained to accept? A field experiment on consent dialogs. In </w:t>
      </w:r>
      <w:r w:rsidRPr="00050F33">
        <w:rPr>
          <w:rFonts w:ascii="Arial" w:hAnsi="Arial" w:cs="Arial"/>
          <w:i/>
          <w:iCs/>
        </w:rPr>
        <w:t>Proceedings of the SIGCHI Conference on Human Factors in Computing Systems</w:t>
      </w:r>
      <w:r w:rsidRPr="00050F33">
        <w:rPr>
          <w:rFonts w:ascii="Arial" w:hAnsi="Arial" w:cs="Arial"/>
        </w:rPr>
        <w:t xml:space="preserve"> (pp. 2403–2406). Association for Computing Machinery. </w:t>
      </w:r>
      <w:hyperlink r:id="rId13" w:history="1">
        <w:r w:rsidRPr="00050F33">
          <w:rPr>
            <w:rStyle w:val="Hyperlink"/>
            <w:rFonts w:ascii="Arial" w:hAnsi="Arial" w:cs="Arial"/>
          </w:rPr>
          <w:t>https://doi.org/10.1145/1753326.1753689</w:t>
        </w:r>
      </w:hyperlink>
    </w:p>
    <w:p w14:paraId="7F9D514E" w14:textId="77777777" w:rsidR="00B841B8" w:rsidRDefault="00B841B8" w:rsidP="00050F33">
      <w:pPr>
        <w:jc w:val="both"/>
        <w:rPr>
          <w:rFonts w:ascii="Arial" w:hAnsi="Arial" w:cs="Arial"/>
        </w:rPr>
      </w:pPr>
    </w:p>
    <w:p w14:paraId="01243CC3" w14:textId="41A8B10F" w:rsidR="00050F33" w:rsidRPr="00050F33" w:rsidRDefault="00050F33" w:rsidP="00050F33">
      <w:pPr>
        <w:jc w:val="both"/>
        <w:rPr>
          <w:rFonts w:ascii="Arial" w:hAnsi="Arial" w:cs="Arial"/>
        </w:rPr>
      </w:pPr>
      <w:r w:rsidRPr="00050F33">
        <w:rPr>
          <w:rFonts w:ascii="Arial" w:hAnsi="Arial" w:cs="Arial"/>
        </w:rPr>
        <w:t xml:space="preserve">Brunotte, W., </w:t>
      </w:r>
      <w:proofErr w:type="spellStart"/>
      <w:r w:rsidRPr="00050F33">
        <w:rPr>
          <w:rFonts w:ascii="Arial" w:hAnsi="Arial" w:cs="Arial"/>
        </w:rPr>
        <w:t>Chazette</w:t>
      </w:r>
      <w:proofErr w:type="spellEnd"/>
      <w:r w:rsidRPr="00050F33">
        <w:rPr>
          <w:rFonts w:ascii="Arial" w:hAnsi="Arial" w:cs="Arial"/>
        </w:rPr>
        <w:t xml:space="preserve">, L., Kohler, L., Klunder, J., &amp; Schneider, K. (2022). What about my privacy? Helping users understand online privacy policies. In </w:t>
      </w:r>
      <w:r w:rsidRPr="00050F33">
        <w:rPr>
          <w:rFonts w:ascii="Arial" w:hAnsi="Arial" w:cs="Arial"/>
          <w:i/>
          <w:iCs/>
        </w:rPr>
        <w:t>Proceedings of the International Conference on Software and System Processes and International Conference on Global Software Engineering</w:t>
      </w:r>
      <w:r w:rsidRPr="00050F33">
        <w:rPr>
          <w:rFonts w:ascii="Arial" w:hAnsi="Arial" w:cs="Arial"/>
        </w:rPr>
        <w:t xml:space="preserve"> (pp. 56–65). </w:t>
      </w:r>
      <w:hyperlink r:id="rId14" w:history="1">
        <w:r w:rsidRPr="00050F33">
          <w:rPr>
            <w:rStyle w:val="Hyperlink"/>
            <w:rFonts w:ascii="Arial" w:hAnsi="Arial" w:cs="Arial"/>
          </w:rPr>
          <w:t>https://doi.org/10.1145/3529320.3529327</w:t>
        </w:r>
      </w:hyperlink>
    </w:p>
    <w:p w14:paraId="0B5D7B8E" w14:textId="77777777" w:rsidR="00B841B8" w:rsidRDefault="00B841B8" w:rsidP="00050F33">
      <w:pPr>
        <w:jc w:val="both"/>
        <w:rPr>
          <w:rFonts w:ascii="Arial" w:hAnsi="Arial" w:cs="Arial"/>
        </w:rPr>
      </w:pPr>
    </w:p>
    <w:p w14:paraId="663BC2CE" w14:textId="2AD36885" w:rsidR="00050F33" w:rsidRPr="00050F33" w:rsidRDefault="00050F33" w:rsidP="00050F33">
      <w:pPr>
        <w:jc w:val="both"/>
        <w:rPr>
          <w:rFonts w:ascii="Arial" w:hAnsi="Arial" w:cs="Arial"/>
        </w:rPr>
      </w:pPr>
      <w:r w:rsidRPr="00050F33">
        <w:rPr>
          <w:rFonts w:ascii="Arial" w:hAnsi="Arial" w:cs="Arial"/>
        </w:rPr>
        <w:t xml:space="preserve">Bryman, A. (2016). </w:t>
      </w:r>
      <w:r w:rsidRPr="00050F33">
        <w:rPr>
          <w:rFonts w:ascii="Arial" w:hAnsi="Arial" w:cs="Arial"/>
          <w:i/>
          <w:iCs/>
        </w:rPr>
        <w:t>Social research methods</w:t>
      </w:r>
      <w:r w:rsidRPr="00050F33">
        <w:rPr>
          <w:rFonts w:ascii="Arial" w:hAnsi="Arial" w:cs="Arial"/>
        </w:rPr>
        <w:t xml:space="preserve"> (5th ed.). Oxford University Press.</w:t>
      </w:r>
    </w:p>
    <w:p w14:paraId="7744978C" w14:textId="77777777" w:rsidR="00B841B8" w:rsidRDefault="00B841B8" w:rsidP="00050F33">
      <w:pPr>
        <w:jc w:val="both"/>
        <w:rPr>
          <w:rFonts w:ascii="Arial" w:hAnsi="Arial" w:cs="Arial"/>
        </w:rPr>
      </w:pPr>
    </w:p>
    <w:p w14:paraId="1DAD3AFF" w14:textId="54AFCC7C" w:rsidR="00050F33" w:rsidRPr="00050F33" w:rsidRDefault="00050F33" w:rsidP="00050F33">
      <w:pPr>
        <w:jc w:val="both"/>
        <w:rPr>
          <w:rFonts w:ascii="Arial" w:hAnsi="Arial" w:cs="Arial"/>
        </w:rPr>
      </w:pPr>
      <w:r w:rsidRPr="00050F33">
        <w:rPr>
          <w:rFonts w:ascii="Arial" w:hAnsi="Arial" w:cs="Arial"/>
        </w:rPr>
        <w:t xml:space="preserve">Christin, N., </w:t>
      </w:r>
      <w:proofErr w:type="spellStart"/>
      <w:r w:rsidRPr="00050F33">
        <w:rPr>
          <w:rFonts w:ascii="Arial" w:hAnsi="Arial" w:cs="Arial"/>
        </w:rPr>
        <w:t>Egelman</w:t>
      </w:r>
      <w:proofErr w:type="spellEnd"/>
      <w:r w:rsidRPr="00050F33">
        <w:rPr>
          <w:rFonts w:ascii="Arial" w:hAnsi="Arial" w:cs="Arial"/>
        </w:rPr>
        <w:t xml:space="preserve">, S., Vidas, T., &amp; Grossklags, J. (2012). It’s all about the Benjamins: An empirical study on incentivizing users to ignore security advice. In </w:t>
      </w:r>
      <w:r w:rsidRPr="00050F33">
        <w:rPr>
          <w:rFonts w:ascii="Arial" w:hAnsi="Arial" w:cs="Arial"/>
          <w:i/>
          <w:iCs/>
        </w:rPr>
        <w:t>Financial Cryptography and Data Security</w:t>
      </w:r>
      <w:r w:rsidRPr="00050F33">
        <w:rPr>
          <w:rFonts w:ascii="Arial" w:hAnsi="Arial" w:cs="Arial"/>
        </w:rPr>
        <w:t xml:space="preserve"> (pp. 16–30). Springer. </w:t>
      </w:r>
      <w:hyperlink r:id="rId15" w:history="1">
        <w:r w:rsidRPr="00050F33">
          <w:rPr>
            <w:rStyle w:val="Hyperlink"/>
            <w:rFonts w:ascii="Arial" w:hAnsi="Arial" w:cs="Arial"/>
          </w:rPr>
          <w:t>https://doi.org/10.1007/978-3-642-27576-0_2</w:t>
        </w:r>
      </w:hyperlink>
    </w:p>
    <w:p w14:paraId="007D9450" w14:textId="77777777" w:rsidR="00B841B8" w:rsidRDefault="00B841B8" w:rsidP="00050F33">
      <w:pPr>
        <w:jc w:val="both"/>
        <w:rPr>
          <w:rFonts w:ascii="Arial" w:hAnsi="Arial" w:cs="Arial"/>
        </w:rPr>
      </w:pPr>
    </w:p>
    <w:p w14:paraId="19BD05A2" w14:textId="41F5745B" w:rsidR="00050F33" w:rsidRPr="00050F33" w:rsidRDefault="00050F33" w:rsidP="00050F33">
      <w:pPr>
        <w:jc w:val="both"/>
        <w:rPr>
          <w:rFonts w:ascii="Arial" w:hAnsi="Arial" w:cs="Arial"/>
        </w:rPr>
      </w:pPr>
      <w:r w:rsidRPr="00050F33">
        <w:rPr>
          <w:rFonts w:ascii="Arial" w:hAnsi="Arial" w:cs="Arial"/>
        </w:rPr>
        <w:t xml:space="preserve">Cottrill, C., &amp; Thakuriah, P. (2011). Protecting location privacy: Policy evaluation. </w:t>
      </w:r>
      <w:r w:rsidRPr="00050F33">
        <w:rPr>
          <w:rFonts w:ascii="Arial" w:hAnsi="Arial" w:cs="Arial"/>
          <w:i/>
          <w:iCs/>
        </w:rPr>
        <w:t>Transportation Research Record, 2215</w:t>
      </w:r>
      <w:r w:rsidRPr="00050F33">
        <w:rPr>
          <w:rFonts w:ascii="Arial" w:hAnsi="Arial" w:cs="Arial"/>
        </w:rPr>
        <w:t xml:space="preserve">(1), 67–74. </w:t>
      </w:r>
      <w:hyperlink r:id="rId16" w:history="1">
        <w:r w:rsidRPr="00050F33">
          <w:rPr>
            <w:rStyle w:val="Hyperlink"/>
            <w:rFonts w:ascii="Arial" w:hAnsi="Arial" w:cs="Arial"/>
          </w:rPr>
          <w:t>https://doi.org/10.3141/2215-07</w:t>
        </w:r>
      </w:hyperlink>
    </w:p>
    <w:p w14:paraId="59B1AEB1" w14:textId="77777777" w:rsidR="00B841B8" w:rsidRDefault="00B841B8" w:rsidP="00050F33">
      <w:pPr>
        <w:jc w:val="both"/>
        <w:rPr>
          <w:rFonts w:ascii="Arial" w:hAnsi="Arial" w:cs="Arial"/>
        </w:rPr>
      </w:pPr>
    </w:p>
    <w:p w14:paraId="038DC5C9" w14:textId="53A0C4FB" w:rsidR="00050F33" w:rsidRPr="00050F33" w:rsidRDefault="00050F33" w:rsidP="00050F33">
      <w:pPr>
        <w:jc w:val="both"/>
        <w:rPr>
          <w:rFonts w:ascii="Arial" w:hAnsi="Arial" w:cs="Arial"/>
        </w:rPr>
      </w:pPr>
      <w:r w:rsidRPr="00050F33">
        <w:rPr>
          <w:rFonts w:ascii="Arial" w:hAnsi="Arial" w:cs="Arial"/>
        </w:rPr>
        <w:t xml:space="preserve">Creswell, J. W., &amp; Creswell, J. D. (2017). </w:t>
      </w:r>
      <w:r w:rsidRPr="00050F33">
        <w:rPr>
          <w:rFonts w:ascii="Arial" w:hAnsi="Arial" w:cs="Arial"/>
          <w:i/>
          <w:iCs/>
        </w:rPr>
        <w:t>Research design: Qualitative, quantitative, and mixed methods approaches</w:t>
      </w:r>
      <w:r w:rsidRPr="00050F33">
        <w:rPr>
          <w:rFonts w:ascii="Arial" w:hAnsi="Arial" w:cs="Arial"/>
        </w:rPr>
        <w:t>. Sage Publications.</w:t>
      </w:r>
    </w:p>
    <w:p w14:paraId="75B34DA6" w14:textId="77777777" w:rsidR="00B841B8" w:rsidRDefault="00B841B8" w:rsidP="00050F33">
      <w:pPr>
        <w:jc w:val="both"/>
        <w:rPr>
          <w:rFonts w:ascii="Arial" w:hAnsi="Arial" w:cs="Arial"/>
        </w:rPr>
      </w:pPr>
    </w:p>
    <w:p w14:paraId="70E970C1" w14:textId="6F1437F3" w:rsidR="00050F33" w:rsidRPr="00050F33" w:rsidRDefault="00050F33" w:rsidP="00050F33">
      <w:pPr>
        <w:jc w:val="both"/>
        <w:rPr>
          <w:rFonts w:ascii="Arial" w:hAnsi="Arial" w:cs="Arial"/>
        </w:rPr>
      </w:pPr>
      <w:r w:rsidRPr="00050F33">
        <w:rPr>
          <w:rFonts w:ascii="Arial" w:hAnsi="Arial" w:cs="Arial"/>
        </w:rPr>
        <w:t xml:space="preserve">Culnan, M. J., &amp; Bies, R. J. (2003). Consumer privacy: Balancing economic and justice considerations. </w:t>
      </w:r>
      <w:r w:rsidRPr="00050F33">
        <w:rPr>
          <w:rFonts w:ascii="Arial" w:hAnsi="Arial" w:cs="Arial"/>
          <w:i/>
          <w:iCs/>
        </w:rPr>
        <w:t>Journal of Social Issues, 59</w:t>
      </w:r>
      <w:r w:rsidRPr="00050F33">
        <w:rPr>
          <w:rFonts w:ascii="Arial" w:hAnsi="Arial" w:cs="Arial"/>
        </w:rPr>
        <w:t>(2), 323–342.</w:t>
      </w:r>
    </w:p>
    <w:p w14:paraId="37AE7E4A" w14:textId="77777777" w:rsidR="00B841B8" w:rsidRDefault="00B841B8" w:rsidP="00050F33">
      <w:pPr>
        <w:jc w:val="both"/>
        <w:rPr>
          <w:rFonts w:ascii="Arial" w:hAnsi="Arial" w:cs="Arial"/>
        </w:rPr>
      </w:pPr>
    </w:p>
    <w:p w14:paraId="469799EB" w14:textId="34303002" w:rsidR="00050F33" w:rsidRPr="00050F33" w:rsidRDefault="00050F33" w:rsidP="00050F33">
      <w:pPr>
        <w:jc w:val="both"/>
        <w:rPr>
          <w:rFonts w:ascii="Arial" w:hAnsi="Arial" w:cs="Arial"/>
        </w:rPr>
      </w:pPr>
      <w:r w:rsidRPr="00050F33">
        <w:rPr>
          <w:rFonts w:ascii="Arial" w:hAnsi="Arial" w:cs="Arial"/>
        </w:rPr>
        <w:t xml:space="preserve">Daigle, B. (2021). Data protection laws in Africa: A pan-African survey and noted trends. </w:t>
      </w:r>
      <w:r w:rsidRPr="00050F33">
        <w:rPr>
          <w:rFonts w:ascii="Arial" w:hAnsi="Arial" w:cs="Arial"/>
          <w:i/>
          <w:iCs/>
        </w:rPr>
        <w:t>Journal of International Economics</w:t>
      </w:r>
      <w:r w:rsidRPr="00050F33">
        <w:rPr>
          <w:rFonts w:ascii="Arial" w:hAnsi="Arial" w:cs="Arial"/>
        </w:rPr>
        <w:t>, 1.</w:t>
      </w:r>
    </w:p>
    <w:p w14:paraId="4BA9C96E" w14:textId="77777777" w:rsidR="00B841B8" w:rsidRDefault="00B841B8" w:rsidP="00050F33">
      <w:pPr>
        <w:jc w:val="both"/>
        <w:rPr>
          <w:rFonts w:ascii="Arial" w:hAnsi="Arial" w:cs="Arial"/>
        </w:rPr>
      </w:pPr>
    </w:p>
    <w:p w14:paraId="40F8A550" w14:textId="2A1A3D2E" w:rsidR="00050F33" w:rsidRPr="00050F33" w:rsidRDefault="00050F33" w:rsidP="00050F33">
      <w:pPr>
        <w:jc w:val="both"/>
        <w:rPr>
          <w:rFonts w:ascii="Arial" w:hAnsi="Arial" w:cs="Arial"/>
        </w:rPr>
      </w:pPr>
      <w:r w:rsidRPr="00050F33">
        <w:rPr>
          <w:rFonts w:ascii="Arial" w:hAnsi="Arial" w:cs="Arial"/>
        </w:rPr>
        <w:t xml:space="preserve">Data Protection Act, 2012 (Act 843). Republic of Ghana. </w:t>
      </w:r>
      <w:hyperlink r:id="rId17" w:history="1">
        <w:r w:rsidRPr="00050F33">
          <w:rPr>
            <w:rStyle w:val="Hyperlink"/>
            <w:rFonts w:ascii="Arial" w:hAnsi="Arial" w:cs="Arial"/>
          </w:rPr>
          <w:t>http://www.dataprotection.org.gh</w:t>
        </w:r>
      </w:hyperlink>
    </w:p>
    <w:p w14:paraId="3BBACA7C" w14:textId="77777777" w:rsidR="00B841B8" w:rsidRDefault="00B841B8" w:rsidP="00050F33">
      <w:pPr>
        <w:jc w:val="both"/>
        <w:rPr>
          <w:rFonts w:ascii="Arial" w:hAnsi="Arial" w:cs="Arial"/>
        </w:rPr>
      </w:pPr>
    </w:p>
    <w:p w14:paraId="1DEAB8D8" w14:textId="207589EF" w:rsidR="00050F33" w:rsidRPr="00050F33" w:rsidRDefault="00050F33" w:rsidP="00050F33">
      <w:pPr>
        <w:jc w:val="both"/>
        <w:rPr>
          <w:rFonts w:ascii="Arial" w:hAnsi="Arial" w:cs="Arial"/>
        </w:rPr>
      </w:pPr>
      <w:r w:rsidRPr="00050F33">
        <w:rPr>
          <w:rFonts w:ascii="Arial" w:hAnsi="Arial" w:cs="Arial"/>
        </w:rPr>
        <w:t xml:space="preserve">Díaz, A., Guerra, L., &amp; Díaz, E. (2022). Digital transformation impact </w:t>
      </w:r>
      <w:r w:rsidR="00B13215">
        <w:rPr>
          <w:rFonts w:ascii="Arial" w:hAnsi="Arial" w:cs="Arial"/>
        </w:rPr>
        <w:t>on</w:t>
      </w:r>
      <w:r w:rsidRPr="00050F33">
        <w:rPr>
          <w:rFonts w:ascii="Arial" w:hAnsi="Arial" w:cs="Arial"/>
        </w:rPr>
        <w:t xml:space="preserve"> security and privacy. In </w:t>
      </w:r>
      <w:r w:rsidRPr="00050F33">
        <w:rPr>
          <w:rFonts w:ascii="Arial" w:hAnsi="Arial" w:cs="Arial"/>
          <w:i/>
          <w:iCs/>
        </w:rPr>
        <w:t>Developments and Advances in Defense and Security</w:t>
      </w:r>
      <w:r w:rsidRPr="00050F33">
        <w:rPr>
          <w:rFonts w:ascii="Arial" w:hAnsi="Arial" w:cs="Arial"/>
        </w:rPr>
        <w:t xml:space="preserve"> (pp. 61–70). Springer. </w:t>
      </w:r>
      <w:hyperlink r:id="rId18" w:history="1">
        <w:r w:rsidRPr="00050F33">
          <w:rPr>
            <w:rStyle w:val="Hyperlink"/>
            <w:rFonts w:ascii="Arial" w:hAnsi="Arial" w:cs="Arial"/>
          </w:rPr>
          <w:t>https://doi.org/10.1007/978-981-16-4884-7_6</w:t>
        </w:r>
      </w:hyperlink>
    </w:p>
    <w:p w14:paraId="2088DBEB" w14:textId="77777777" w:rsidR="00B841B8" w:rsidRDefault="00B841B8" w:rsidP="00050F33">
      <w:pPr>
        <w:jc w:val="both"/>
        <w:rPr>
          <w:rFonts w:ascii="Arial" w:hAnsi="Arial" w:cs="Arial"/>
        </w:rPr>
      </w:pPr>
    </w:p>
    <w:p w14:paraId="50C1F495" w14:textId="564D4189" w:rsidR="00050F33" w:rsidRPr="00050F33" w:rsidRDefault="00050F33" w:rsidP="00050F33">
      <w:pPr>
        <w:jc w:val="both"/>
        <w:rPr>
          <w:rFonts w:ascii="Arial" w:hAnsi="Arial" w:cs="Arial"/>
        </w:rPr>
      </w:pPr>
      <w:r w:rsidRPr="00050F33">
        <w:rPr>
          <w:rFonts w:ascii="Arial" w:hAnsi="Arial" w:cs="Arial"/>
        </w:rPr>
        <w:t xml:space="preserve">Gerber, N., Gerber, P., &amp; </w:t>
      </w:r>
      <w:proofErr w:type="spellStart"/>
      <w:r w:rsidRPr="00050F33">
        <w:rPr>
          <w:rFonts w:ascii="Arial" w:hAnsi="Arial" w:cs="Arial"/>
        </w:rPr>
        <w:t>Volkamer</w:t>
      </w:r>
      <w:proofErr w:type="spellEnd"/>
      <w:r w:rsidRPr="00050F33">
        <w:rPr>
          <w:rFonts w:ascii="Arial" w:hAnsi="Arial" w:cs="Arial"/>
        </w:rPr>
        <w:t xml:space="preserve">, M. (2018). Explaining the privacy paradox: A systematic review of the literature investigating privacy attitude and </w:t>
      </w:r>
      <w:r w:rsidR="009F7904">
        <w:rPr>
          <w:rFonts w:ascii="Arial" w:hAnsi="Arial" w:cs="Arial"/>
        </w:rPr>
        <w:t>behaviour</w:t>
      </w:r>
      <w:r w:rsidRPr="00050F33">
        <w:rPr>
          <w:rFonts w:ascii="Arial" w:hAnsi="Arial" w:cs="Arial"/>
        </w:rPr>
        <w:t xml:space="preserve">. </w:t>
      </w:r>
      <w:r w:rsidRPr="00050F33">
        <w:rPr>
          <w:rFonts w:ascii="Arial" w:hAnsi="Arial" w:cs="Arial"/>
          <w:i/>
          <w:iCs/>
        </w:rPr>
        <w:t>Computers &amp; Security, 77</w:t>
      </w:r>
      <w:r w:rsidRPr="00050F33">
        <w:rPr>
          <w:rFonts w:ascii="Arial" w:hAnsi="Arial" w:cs="Arial"/>
        </w:rPr>
        <w:t xml:space="preserve">, 226–261. </w:t>
      </w:r>
      <w:hyperlink r:id="rId19" w:history="1">
        <w:r w:rsidRPr="00050F33">
          <w:rPr>
            <w:rStyle w:val="Hyperlink"/>
            <w:rFonts w:ascii="Arial" w:hAnsi="Arial" w:cs="Arial"/>
          </w:rPr>
          <w:t>https://doi.org/10.1016/j.cose.2018.04.002</w:t>
        </w:r>
      </w:hyperlink>
    </w:p>
    <w:p w14:paraId="7B6429AA" w14:textId="77777777" w:rsidR="00B841B8" w:rsidRDefault="00B841B8" w:rsidP="00050F33">
      <w:pPr>
        <w:jc w:val="both"/>
        <w:rPr>
          <w:rFonts w:ascii="Arial" w:hAnsi="Arial" w:cs="Arial"/>
        </w:rPr>
      </w:pPr>
    </w:p>
    <w:p w14:paraId="3BD0E839" w14:textId="370FE42B" w:rsidR="00050F33" w:rsidRPr="00050F33" w:rsidRDefault="00050F33" w:rsidP="00050F33">
      <w:pPr>
        <w:jc w:val="both"/>
        <w:rPr>
          <w:rFonts w:ascii="Arial" w:hAnsi="Arial" w:cs="Arial"/>
        </w:rPr>
      </w:pPr>
      <w:r w:rsidRPr="00050F33">
        <w:rPr>
          <w:rFonts w:ascii="Arial" w:hAnsi="Arial" w:cs="Arial"/>
        </w:rPr>
        <w:t xml:space="preserve">Gerber, N., Gerber, P., Drews, H., Kirchner, E., Schlegel, N., Schmidt, T., &amp; Scholz, L. (2018). </w:t>
      </w:r>
      <w:proofErr w:type="spellStart"/>
      <w:r w:rsidRPr="00050F33">
        <w:rPr>
          <w:rFonts w:ascii="Arial" w:hAnsi="Arial" w:cs="Arial"/>
        </w:rPr>
        <w:t>FoxIT</w:t>
      </w:r>
      <w:proofErr w:type="spellEnd"/>
      <w:r w:rsidRPr="00050F33">
        <w:rPr>
          <w:rFonts w:ascii="Arial" w:hAnsi="Arial" w:cs="Arial"/>
        </w:rPr>
        <w:t xml:space="preserve">: Enhancing mobile users' privacy </w:t>
      </w:r>
      <w:r w:rsidR="009F7904">
        <w:rPr>
          <w:rFonts w:ascii="Arial" w:hAnsi="Arial" w:cs="Arial"/>
        </w:rPr>
        <w:t>behaviour</w:t>
      </w:r>
      <w:r w:rsidRPr="00050F33">
        <w:rPr>
          <w:rFonts w:ascii="Arial" w:hAnsi="Arial" w:cs="Arial"/>
        </w:rPr>
        <w:t xml:space="preserve"> by increasing knowledge and awareness. In </w:t>
      </w:r>
      <w:r w:rsidRPr="00050F33">
        <w:rPr>
          <w:rFonts w:ascii="Arial" w:hAnsi="Arial" w:cs="Arial"/>
          <w:i/>
          <w:iCs/>
        </w:rPr>
        <w:t>Proceedings of the 7th Workshop on Socio-Technical Aspects in Security and Trust</w:t>
      </w:r>
      <w:r w:rsidRPr="00050F33">
        <w:rPr>
          <w:rFonts w:ascii="Arial" w:hAnsi="Arial" w:cs="Arial"/>
        </w:rPr>
        <w:t xml:space="preserve"> (pp. 53–63). </w:t>
      </w:r>
      <w:hyperlink r:id="rId20" w:history="1">
        <w:r w:rsidRPr="00050F33">
          <w:rPr>
            <w:rStyle w:val="Hyperlink"/>
            <w:rFonts w:ascii="Arial" w:hAnsi="Arial" w:cs="Arial"/>
          </w:rPr>
          <w:t>https://doi.org/10.1145/3167996.3167999</w:t>
        </w:r>
      </w:hyperlink>
    </w:p>
    <w:p w14:paraId="62DA1887" w14:textId="77777777" w:rsidR="00B841B8" w:rsidRDefault="00B841B8" w:rsidP="00050F33">
      <w:pPr>
        <w:jc w:val="both"/>
        <w:rPr>
          <w:rFonts w:ascii="Arial" w:hAnsi="Arial" w:cs="Arial"/>
        </w:rPr>
      </w:pPr>
    </w:p>
    <w:p w14:paraId="5869A25B" w14:textId="1E69FB4A" w:rsidR="00050F33" w:rsidRPr="00050F33" w:rsidRDefault="00050F33" w:rsidP="00050F33">
      <w:pPr>
        <w:jc w:val="both"/>
        <w:rPr>
          <w:rFonts w:ascii="Arial" w:hAnsi="Arial" w:cs="Arial"/>
        </w:rPr>
      </w:pPr>
      <w:r w:rsidRPr="00050F33">
        <w:rPr>
          <w:rFonts w:ascii="Arial" w:hAnsi="Arial" w:cs="Arial"/>
        </w:rPr>
        <w:t xml:space="preserve">Ghana Statistical Service. (2021). </w:t>
      </w:r>
      <w:r w:rsidRPr="00050F33">
        <w:rPr>
          <w:rFonts w:ascii="Arial" w:hAnsi="Arial" w:cs="Arial"/>
          <w:i/>
          <w:iCs/>
        </w:rPr>
        <w:t>Population and Housing Census Report</w:t>
      </w:r>
      <w:r w:rsidRPr="00050F33">
        <w:rPr>
          <w:rFonts w:ascii="Arial" w:hAnsi="Arial" w:cs="Arial"/>
        </w:rPr>
        <w:t>. Ghana.</w:t>
      </w:r>
    </w:p>
    <w:p w14:paraId="0F98FDF4" w14:textId="77777777" w:rsidR="00B841B8" w:rsidRDefault="00B841B8" w:rsidP="00050F33">
      <w:pPr>
        <w:jc w:val="both"/>
        <w:rPr>
          <w:rFonts w:ascii="Arial" w:hAnsi="Arial" w:cs="Arial"/>
        </w:rPr>
      </w:pPr>
    </w:p>
    <w:p w14:paraId="67865A1E" w14:textId="3828C84D" w:rsidR="00050F33" w:rsidRPr="00050F33" w:rsidRDefault="00050F33" w:rsidP="00050F33">
      <w:pPr>
        <w:jc w:val="both"/>
        <w:rPr>
          <w:rFonts w:ascii="Arial" w:hAnsi="Arial" w:cs="Arial"/>
        </w:rPr>
      </w:pPr>
      <w:r w:rsidRPr="00050F33">
        <w:rPr>
          <w:rFonts w:ascii="Arial" w:hAnsi="Arial" w:cs="Arial"/>
        </w:rPr>
        <w:t xml:space="preserve">Hargittai, E. (2010). Digital natives? Variation in internet skills and uses among members of the net generation. </w:t>
      </w:r>
      <w:r w:rsidRPr="00050F33">
        <w:rPr>
          <w:rFonts w:ascii="Arial" w:hAnsi="Arial" w:cs="Arial"/>
          <w:i/>
          <w:iCs/>
        </w:rPr>
        <w:t>Sociological Inquiry, 80</w:t>
      </w:r>
      <w:r w:rsidRPr="00050F33">
        <w:rPr>
          <w:rFonts w:ascii="Arial" w:hAnsi="Arial" w:cs="Arial"/>
        </w:rPr>
        <w:t>(1), 92–113.</w:t>
      </w:r>
    </w:p>
    <w:p w14:paraId="2625265B" w14:textId="77777777" w:rsidR="00B841B8" w:rsidRDefault="00B841B8" w:rsidP="00050F33">
      <w:pPr>
        <w:jc w:val="both"/>
        <w:rPr>
          <w:rFonts w:ascii="Arial" w:hAnsi="Arial" w:cs="Arial"/>
        </w:rPr>
      </w:pPr>
    </w:p>
    <w:p w14:paraId="283C21AB" w14:textId="16506AFD" w:rsidR="00050F33" w:rsidRPr="00050F33" w:rsidRDefault="00050F33" w:rsidP="00050F33">
      <w:pPr>
        <w:jc w:val="both"/>
        <w:rPr>
          <w:rFonts w:ascii="Arial" w:hAnsi="Arial" w:cs="Arial"/>
        </w:rPr>
      </w:pPr>
      <w:r w:rsidRPr="00050F33">
        <w:rPr>
          <w:rFonts w:ascii="Arial" w:hAnsi="Arial" w:cs="Arial"/>
        </w:rPr>
        <w:t xml:space="preserve">Işıkay, T. (2021). Marketing ethics: Digital transformation and privacy ethics. In </w:t>
      </w:r>
      <w:r w:rsidRPr="00050F33">
        <w:rPr>
          <w:rFonts w:ascii="Arial" w:hAnsi="Arial" w:cs="Arial"/>
          <w:i/>
          <w:iCs/>
        </w:rPr>
        <w:t>Multidisciplinary Approaches to Ethics in the Digital Era</w:t>
      </w:r>
      <w:r w:rsidRPr="00050F33">
        <w:rPr>
          <w:rFonts w:ascii="Arial" w:hAnsi="Arial" w:cs="Arial"/>
        </w:rPr>
        <w:t xml:space="preserve"> (pp. 129–146). IGI Global. </w:t>
      </w:r>
      <w:hyperlink r:id="rId21" w:history="1">
        <w:r w:rsidRPr="00050F33">
          <w:rPr>
            <w:rStyle w:val="Hyperlink"/>
            <w:rFonts w:ascii="Arial" w:hAnsi="Arial" w:cs="Arial"/>
          </w:rPr>
          <w:t>https://doi.org/10.4018/978-1-7998-4117-3.ch009</w:t>
        </w:r>
      </w:hyperlink>
    </w:p>
    <w:p w14:paraId="568285E7" w14:textId="77777777" w:rsidR="00B841B8" w:rsidRDefault="00B841B8" w:rsidP="00050F33">
      <w:pPr>
        <w:jc w:val="both"/>
        <w:rPr>
          <w:rFonts w:ascii="Arial" w:hAnsi="Arial" w:cs="Arial"/>
        </w:rPr>
      </w:pPr>
    </w:p>
    <w:p w14:paraId="25E45EC3" w14:textId="157F7A46" w:rsidR="00050F33" w:rsidRPr="00050F33" w:rsidRDefault="00050F33" w:rsidP="00050F33">
      <w:pPr>
        <w:jc w:val="both"/>
        <w:rPr>
          <w:rFonts w:ascii="Arial" w:hAnsi="Arial" w:cs="Arial"/>
        </w:rPr>
      </w:pPr>
      <w:r w:rsidRPr="00050F33">
        <w:rPr>
          <w:rFonts w:ascii="Arial" w:hAnsi="Arial" w:cs="Arial"/>
        </w:rPr>
        <w:t xml:space="preserve">Jai, T. C., &amp; King, N. J. (2016). Privacy versus reward: Do loyalty programs increase consumers' willingness to share personal information with third-party advertisers and data brokers? </w:t>
      </w:r>
      <w:r w:rsidRPr="00050F33">
        <w:rPr>
          <w:rFonts w:ascii="Arial" w:hAnsi="Arial" w:cs="Arial"/>
          <w:i/>
          <w:iCs/>
        </w:rPr>
        <w:t>Journal of Retailing and Consumer Services, 28</w:t>
      </w:r>
      <w:r w:rsidRPr="00050F33">
        <w:rPr>
          <w:rFonts w:ascii="Arial" w:hAnsi="Arial" w:cs="Arial"/>
        </w:rPr>
        <w:t xml:space="preserve">, 296–303. </w:t>
      </w:r>
      <w:hyperlink r:id="rId22" w:history="1">
        <w:r w:rsidRPr="00050F33">
          <w:rPr>
            <w:rStyle w:val="Hyperlink"/>
            <w:rFonts w:ascii="Arial" w:hAnsi="Arial" w:cs="Arial"/>
          </w:rPr>
          <w:t>https://doi.org/10.1016/j.jretconser.2015.01.005</w:t>
        </w:r>
      </w:hyperlink>
    </w:p>
    <w:p w14:paraId="0CBEAAE8" w14:textId="77777777" w:rsidR="00B841B8" w:rsidRDefault="00B841B8" w:rsidP="00050F33">
      <w:pPr>
        <w:jc w:val="both"/>
        <w:rPr>
          <w:rFonts w:ascii="Arial" w:hAnsi="Arial" w:cs="Arial"/>
        </w:rPr>
      </w:pPr>
    </w:p>
    <w:p w14:paraId="451416D0" w14:textId="12CAE4F8" w:rsidR="00050F33" w:rsidRPr="00050F33" w:rsidRDefault="00050F33" w:rsidP="00050F33">
      <w:pPr>
        <w:jc w:val="both"/>
        <w:rPr>
          <w:rFonts w:ascii="Arial" w:hAnsi="Arial" w:cs="Arial"/>
        </w:rPr>
      </w:pPr>
      <w:r w:rsidRPr="00050F33">
        <w:rPr>
          <w:rFonts w:ascii="Arial" w:hAnsi="Arial" w:cs="Arial"/>
        </w:rPr>
        <w:t xml:space="preserve">Madden, M., Lenhart, A., Cortesi, S., Gasser, U., Duggan, M., Smith, A., &amp; Beaton, M. (2013). Teens, social media, and privacy. </w:t>
      </w:r>
      <w:r w:rsidRPr="00050F33">
        <w:rPr>
          <w:rFonts w:ascii="Arial" w:hAnsi="Arial" w:cs="Arial"/>
          <w:i/>
          <w:iCs/>
        </w:rPr>
        <w:t>Pew Research Center, 21</w:t>
      </w:r>
      <w:r w:rsidRPr="00050F33">
        <w:rPr>
          <w:rFonts w:ascii="Arial" w:hAnsi="Arial" w:cs="Arial"/>
        </w:rPr>
        <w:t>(1055), 2–86.</w:t>
      </w:r>
    </w:p>
    <w:p w14:paraId="44A3FE1C" w14:textId="77777777" w:rsidR="00050F33" w:rsidRDefault="00050F33" w:rsidP="00050F33">
      <w:pPr>
        <w:rPr>
          <w:rFonts w:ascii="Arial" w:hAnsi="Arial" w:cs="Arial"/>
        </w:rPr>
      </w:pPr>
    </w:p>
    <w:p w14:paraId="2E9F4C5B" w14:textId="5A73C25C" w:rsidR="00050F33" w:rsidRPr="00050F33" w:rsidRDefault="00050F33" w:rsidP="00050F33">
      <w:pPr>
        <w:rPr>
          <w:rFonts w:ascii="Arial" w:hAnsi="Arial" w:cs="Arial"/>
        </w:rPr>
      </w:pPr>
      <w:r w:rsidRPr="00050F33">
        <w:rPr>
          <w:rFonts w:ascii="Arial" w:hAnsi="Arial" w:cs="Arial"/>
        </w:rPr>
        <w:t>McDonald, A. M., and Cranor, L. F. (2008)</w:t>
      </w:r>
      <w:r w:rsidR="00B13215">
        <w:rPr>
          <w:rFonts w:ascii="Arial" w:hAnsi="Arial" w:cs="Arial"/>
        </w:rPr>
        <w:t xml:space="preserve">. </w:t>
      </w:r>
      <w:r w:rsidRPr="00050F33">
        <w:rPr>
          <w:rFonts w:ascii="Arial" w:hAnsi="Arial" w:cs="Arial"/>
        </w:rPr>
        <w:t xml:space="preserve">The cost of reading privacy policies. I/S: A’, </w:t>
      </w:r>
      <w:r w:rsidRPr="00050F33">
        <w:rPr>
          <w:rFonts w:ascii="Arial" w:hAnsi="Arial" w:cs="Arial"/>
          <w:i/>
          <w:iCs/>
        </w:rPr>
        <w:t>Journal of Law and Policy for the Information Society</w:t>
      </w:r>
      <w:r w:rsidRPr="00050F33">
        <w:rPr>
          <w:rFonts w:ascii="Arial" w:hAnsi="Arial" w:cs="Arial"/>
        </w:rPr>
        <w:t xml:space="preserve">, 4(3), pp. 543-568. </w:t>
      </w:r>
    </w:p>
    <w:p w14:paraId="65015341" w14:textId="77777777" w:rsidR="00B841B8" w:rsidRDefault="00B841B8" w:rsidP="00043BAB">
      <w:pPr>
        <w:jc w:val="both"/>
        <w:rPr>
          <w:rFonts w:ascii="Arial" w:hAnsi="Arial" w:cs="Arial"/>
        </w:rPr>
      </w:pPr>
    </w:p>
    <w:p w14:paraId="057CBAB2" w14:textId="193F5AEB" w:rsidR="00043BAB" w:rsidRDefault="00050F33" w:rsidP="00043BAB">
      <w:pPr>
        <w:jc w:val="both"/>
        <w:rPr>
          <w:rFonts w:ascii="Arial" w:hAnsi="Arial" w:cs="Arial"/>
        </w:rPr>
      </w:pPr>
      <w:r w:rsidRPr="00050F33">
        <w:rPr>
          <w:rFonts w:ascii="Arial" w:hAnsi="Arial" w:cs="Arial"/>
        </w:rPr>
        <w:t xml:space="preserve">Meier, Y., </w:t>
      </w:r>
      <w:proofErr w:type="spellStart"/>
      <w:r w:rsidRPr="00050F33">
        <w:rPr>
          <w:rFonts w:ascii="Arial" w:hAnsi="Arial" w:cs="Arial"/>
        </w:rPr>
        <w:t>Schäwel</w:t>
      </w:r>
      <w:proofErr w:type="spellEnd"/>
      <w:r w:rsidRPr="00050F33">
        <w:rPr>
          <w:rFonts w:ascii="Arial" w:hAnsi="Arial" w:cs="Arial"/>
        </w:rPr>
        <w:t>, J.</w:t>
      </w:r>
      <w:r w:rsidR="0092515D">
        <w:rPr>
          <w:rFonts w:ascii="Arial" w:hAnsi="Arial" w:cs="Arial"/>
        </w:rPr>
        <w:t xml:space="preserve"> und</w:t>
      </w:r>
      <w:r w:rsidRPr="00050F33">
        <w:rPr>
          <w:rFonts w:ascii="Arial" w:hAnsi="Arial" w:cs="Arial"/>
        </w:rPr>
        <w:t xml:space="preserve"> Krämer, N. C. (2020)</w:t>
      </w:r>
      <w:r w:rsidR="00B13215">
        <w:rPr>
          <w:rFonts w:ascii="Arial" w:hAnsi="Arial" w:cs="Arial"/>
        </w:rPr>
        <w:t xml:space="preserve">. </w:t>
      </w:r>
      <w:r w:rsidRPr="00050F33">
        <w:rPr>
          <w:rFonts w:ascii="Arial" w:hAnsi="Arial" w:cs="Arial"/>
        </w:rPr>
        <w:t xml:space="preserve">The shorter the better? Effects of privacy policy length on online privacy decision-making, </w:t>
      </w:r>
      <w:r w:rsidRPr="00050F33">
        <w:rPr>
          <w:rStyle w:val="Emphasis"/>
          <w:rFonts w:ascii="Arial" w:hAnsi="Arial" w:cs="Arial"/>
        </w:rPr>
        <w:t>Media and Communication</w:t>
      </w:r>
      <w:r w:rsidRPr="00050F33">
        <w:rPr>
          <w:rFonts w:ascii="Arial" w:hAnsi="Arial" w:cs="Arial"/>
        </w:rPr>
        <w:t xml:space="preserve">, 8(2), pp. 291-301. </w:t>
      </w:r>
      <w:hyperlink r:id="rId23" w:tgtFrame="_new" w:history="1">
        <w:r w:rsidRPr="00050F33">
          <w:rPr>
            <w:rStyle w:val="Hyperlink"/>
            <w:rFonts w:ascii="Arial" w:hAnsi="Arial" w:cs="Arial"/>
          </w:rPr>
          <w:t>https://doi.org/10.17645/mac.v8i2.2846</w:t>
        </w:r>
      </w:hyperlink>
    </w:p>
    <w:p w14:paraId="13C8FD93" w14:textId="77777777" w:rsidR="00B841B8" w:rsidRDefault="00B841B8" w:rsidP="00043BAB">
      <w:pPr>
        <w:jc w:val="both"/>
        <w:rPr>
          <w:rFonts w:ascii="Arial" w:hAnsi="Arial" w:cs="Arial"/>
          <w:color w:val="222222"/>
          <w:shd w:val="clear" w:color="auto" w:fill="FFFFFF"/>
        </w:rPr>
      </w:pPr>
    </w:p>
    <w:p w14:paraId="4B624CDE" w14:textId="18DF17FD" w:rsidR="00050F33" w:rsidRPr="00043BAB" w:rsidRDefault="00050F33" w:rsidP="00043BAB">
      <w:pPr>
        <w:jc w:val="both"/>
        <w:rPr>
          <w:rFonts w:ascii="Arial" w:hAnsi="Arial" w:cs="Arial"/>
        </w:rPr>
      </w:pPr>
      <w:r w:rsidRPr="00050F33">
        <w:rPr>
          <w:rFonts w:ascii="Arial" w:hAnsi="Arial" w:cs="Arial"/>
          <w:color w:val="222222"/>
          <w:shd w:val="clear" w:color="auto" w:fill="FFFFFF"/>
        </w:rPr>
        <w:t>Milne, G.R., Culnan, M.J. and Greene, H. (2006) ‘A longitudinal assessment of online privacy notice readability’, </w:t>
      </w:r>
      <w:r w:rsidRPr="00050F33">
        <w:rPr>
          <w:rFonts w:ascii="Arial" w:hAnsi="Arial" w:cs="Arial"/>
          <w:i/>
          <w:iCs/>
          <w:color w:val="222222"/>
          <w:shd w:val="clear" w:color="auto" w:fill="FFFFFF"/>
        </w:rPr>
        <w:t>Journal of Public Policy and Marketing</w:t>
      </w:r>
      <w:r w:rsidRPr="00050F33">
        <w:rPr>
          <w:rFonts w:ascii="Arial" w:hAnsi="Arial" w:cs="Arial"/>
          <w:color w:val="222222"/>
          <w:shd w:val="clear" w:color="auto" w:fill="FFFFFF"/>
        </w:rPr>
        <w:t>, </w:t>
      </w:r>
      <w:r w:rsidRPr="00050F33">
        <w:rPr>
          <w:rFonts w:ascii="Arial" w:hAnsi="Arial" w:cs="Arial"/>
          <w:i/>
          <w:iCs/>
          <w:color w:val="222222"/>
          <w:shd w:val="clear" w:color="auto" w:fill="FFFFFF"/>
        </w:rPr>
        <w:t>25</w:t>
      </w:r>
      <w:r w:rsidRPr="00050F33">
        <w:rPr>
          <w:rFonts w:ascii="Arial" w:hAnsi="Arial" w:cs="Arial"/>
          <w:color w:val="222222"/>
          <w:shd w:val="clear" w:color="auto" w:fill="FFFFFF"/>
        </w:rPr>
        <w:t xml:space="preserve">(2), pp.238-249. </w:t>
      </w:r>
      <w:r w:rsidRPr="00050F33">
        <w:rPr>
          <w:rFonts w:ascii="Arial" w:hAnsi="Arial" w:cs="Arial"/>
          <w:lang w:eastAsia="en-GB"/>
        </w:rPr>
        <w:t>DOI:</w:t>
      </w:r>
      <w:r w:rsidRPr="00050F33">
        <w:rPr>
          <w:rFonts w:ascii="Arial" w:hAnsi="Arial" w:cs="Arial"/>
          <w:color w:val="525254"/>
          <w:lang w:eastAsia="en-GB"/>
        </w:rPr>
        <w:t> </w:t>
      </w:r>
      <w:hyperlink r:id="rId24" w:tgtFrame="_blank" w:history="1">
        <w:r w:rsidR="00B13215">
          <w:rPr>
            <w:rFonts w:ascii="Arial" w:hAnsi="Arial" w:cs="Arial"/>
            <w:color w:val="0000FF"/>
            <w:u w:val="single"/>
            <w:bdr w:val="none" w:sz="0" w:space="0" w:color="auto" w:frame="1"/>
            <w:lang w:eastAsia="en-GB"/>
          </w:rPr>
          <w:t>10.1509/</w:t>
        </w:r>
        <w:proofErr w:type="spellStart"/>
        <w:r w:rsidR="00B13215">
          <w:rPr>
            <w:rFonts w:ascii="Arial" w:hAnsi="Arial" w:cs="Arial"/>
            <w:color w:val="0000FF"/>
            <w:u w:val="single"/>
            <w:bdr w:val="none" w:sz="0" w:space="0" w:color="auto" w:frame="1"/>
            <w:lang w:eastAsia="en-GB"/>
          </w:rPr>
          <w:t>jppm</w:t>
        </w:r>
        <w:proofErr w:type="spellEnd"/>
        <w:r w:rsidR="00B13215">
          <w:rPr>
            <w:rFonts w:ascii="Arial" w:hAnsi="Arial" w:cs="Arial"/>
            <w:color w:val="0000FF"/>
            <w:u w:val="single"/>
            <w:bdr w:val="none" w:sz="0" w:space="0" w:color="auto" w:frame="1"/>
            <w:lang w:eastAsia="en-GB"/>
          </w:rPr>
          <w:t xml:space="preserve"> 25.2.238</w:t>
        </w:r>
      </w:hyperlink>
    </w:p>
    <w:p w14:paraId="227211D5" w14:textId="77777777" w:rsidR="00B841B8" w:rsidRDefault="00B841B8" w:rsidP="00050F33">
      <w:pPr>
        <w:jc w:val="both"/>
        <w:rPr>
          <w:rFonts w:ascii="Arial" w:hAnsi="Arial" w:cs="Arial"/>
          <w:color w:val="222222"/>
          <w:shd w:val="clear" w:color="auto" w:fill="FFFFFF"/>
        </w:rPr>
      </w:pPr>
    </w:p>
    <w:p w14:paraId="152BAD4E" w14:textId="4EF1846C"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Milne, G. R., Rohm, A. J., and Bahl, S. (2004) ‘Consumers' Protection of Online Privacy and Identity’, </w:t>
      </w:r>
      <w:r w:rsidRPr="00050F33">
        <w:rPr>
          <w:rFonts w:ascii="Arial" w:hAnsi="Arial" w:cs="Arial"/>
          <w:i/>
          <w:iCs/>
          <w:color w:val="222222"/>
          <w:shd w:val="clear" w:color="auto" w:fill="FFFFFF"/>
        </w:rPr>
        <w:t>Journal of Consumer Affairs, 38</w:t>
      </w:r>
      <w:r w:rsidRPr="00050F33">
        <w:rPr>
          <w:rFonts w:ascii="Arial" w:hAnsi="Arial" w:cs="Arial"/>
          <w:color w:val="222222"/>
          <w:shd w:val="clear" w:color="auto" w:fill="FFFFFF"/>
        </w:rPr>
        <w:t>(2), pp. 217–232. </w:t>
      </w:r>
      <w:hyperlink r:id="rId25" w:tgtFrame="_blank" w:history="1">
        <w:r w:rsidRPr="00050F33">
          <w:rPr>
            <w:rStyle w:val="Hyperlink"/>
            <w:rFonts w:ascii="Arial" w:hAnsi="Arial" w:cs="Arial"/>
            <w:shd w:val="clear" w:color="auto" w:fill="FFFFFF"/>
          </w:rPr>
          <w:t>https://doi.org/10.1111/j.1745-6606.2004.tb00865.x</w:t>
        </w:r>
      </w:hyperlink>
    </w:p>
    <w:p w14:paraId="00D559BA" w14:textId="77777777" w:rsidR="00B841B8" w:rsidRDefault="00B841B8" w:rsidP="00050F33">
      <w:pPr>
        <w:jc w:val="both"/>
        <w:rPr>
          <w:rFonts w:ascii="Arial" w:hAnsi="Arial" w:cs="Arial"/>
          <w:color w:val="222222"/>
          <w:shd w:val="clear" w:color="auto" w:fill="FFFFFF"/>
        </w:rPr>
      </w:pPr>
    </w:p>
    <w:p w14:paraId="47A435D8" w14:textId="6DB5BBD7"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 xml:space="preserve">Miltgen, C.L. and Peyrat-Guillard, D. (2014) ‘Cultural and generational influences on privacy concerns: a qualitative study in seven European countries’, </w:t>
      </w:r>
      <w:r w:rsidRPr="00050F33">
        <w:rPr>
          <w:rFonts w:ascii="Arial" w:hAnsi="Arial" w:cs="Arial"/>
          <w:i/>
          <w:iCs/>
          <w:color w:val="222222"/>
          <w:shd w:val="clear" w:color="auto" w:fill="FFFFFF"/>
        </w:rPr>
        <w:t xml:space="preserve">European Journal of </w:t>
      </w:r>
      <w:r w:rsidR="00B13215">
        <w:rPr>
          <w:rFonts w:ascii="Arial" w:hAnsi="Arial" w:cs="Arial"/>
          <w:i/>
          <w:iCs/>
          <w:color w:val="222222"/>
          <w:shd w:val="clear" w:color="auto" w:fill="FFFFFF"/>
        </w:rPr>
        <w:t>Information Systems</w:t>
      </w:r>
      <w:r w:rsidRPr="00050F33">
        <w:rPr>
          <w:rFonts w:ascii="Arial" w:hAnsi="Arial" w:cs="Arial"/>
          <w:color w:val="222222"/>
          <w:shd w:val="clear" w:color="auto" w:fill="FFFFFF"/>
        </w:rPr>
        <w:t>, </w:t>
      </w:r>
      <w:r w:rsidRPr="00050F33">
        <w:rPr>
          <w:rFonts w:ascii="Arial" w:hAnsi="Arial" w:cs="Arial"/>
          <w:i/>
          <w:iCs/>
          <w:color w:val="222222"/>
          <w:shd w:val="clear" w:color="auto" w:fill="FFFFFF"/>
        </w:rPr>
        <w:t>23</w:t>
      </w:r>
      <w:r w:rsidRPr="00050F33">
        <w:rPr>
          <w:rFonts w:ascii="Arial" w:hAnsi="Arial" w:cs="Arial"/>
          <w:color w:val="222222"/>
          <w:shd w:val="clear" w:color="auto" w:fill="FFFFFF"/>
        </w:rPr>
        <w:t>(2), pp.103-125.</w:t>
      </w:r>
    </w:p>
    <w:p w14:paraId="18E81433" w14:textId="77777777" w:rsidR="00B841B8" w:rsidRDefault="00B841B8" w:rsidP="00043BAB">
      <w:pPr>
        <w:jc w:val="both"/>
        <w:rPr>
          <w:rFonts w:ascii="Arial" w:hAnsi="Arial" w:cs="Arial"/>
        </w:rPr>
      </w:pPr>
      <w:bookmarkStart w:id="1" w:name="_Hlk212546612"/>
    </w:p>
    <w:p w14:paraId="67B6E8D3" w14:textId="61551A8A" w:rsidR="00043BAB" w:rsidRPr="00050F33" w:rsidRDefault="00043BAB" w:rsidP="00043BAB">
      <w:pPr>
        <w:jc w:val="both"/>
        <w:rPr>
          <w:rFonts w:ascii="Arial" w:hAnsi="Arial" w:cs="Arial"/>
        </w:rPr>
      </w:pPr>
      <w:r w:rsidRPr="00050F33">
        <w:rPr>
          <w:rFonts w:ascii="Arial" w:hAnsi="Arial" w:cs="Arial"/>
        </w:rPr>
        <w:t>Osei, F. (2023). Teachers’ Standpoint in Managing Noise Pollution in Basic Schools. </w:t>
      </w:r>
      <w:r w:rsidRPr="00050F33">
        <w:rPr>
          <w:rFonts w:ascii="Arial" w:hAnsi="Arial" w:cs="Arial"/>
          <w:i/>
          <w:iCs/>
        </w:rPr>
        <w:t>Asian Journal of Advanced Research and Reports</w:t>
      </w:r>
      <w:r w:rsidRPr="00050F33">
        <w:rPr>
          <w:rFonts w:ascii="Arial" w:hAnsi="Arial" w:cs="Arial"/>
        </w:rPr>
        <w:t>, </w:t>
      </w:r>
      <w:r w:rsidRPr="00050F33">
        <w:rPr>
          <w:rFonts w:ascii="Arial" w:hAnsi="Arial" w:cs="Arial"/>
          <w:i/>
          <w:iCs/>
        </w:rPr>
        <w:t>17</w:t>
      </w:r>
      <w:r w:rsidRPr="00050F33">
        <w:rPr>
          <w:rFonts w:ascii="Arial" w:hAnsi="Arial" w:cs="Arial"/>
        </w:rPr>
        <w:t>(9), 135-142.</w:t>
      </w:r>
    </w:p>
    <w:bookmarkEnd w:id="1"/>
    <w:p w14:paraId="1DA0D52C" w14:textId="77777777" w:rsidR="00B841B8" w:rsidRDefault="00B841B8" w:rsidP="00043BAB">
      <w:pPr>
        <w:jc w:val="both"/>
        <w:rPr>
          <w:rFonts w:ascii="Arial" w:hAnsi="Arial" w:cs="Arial"/>
        </w:rPr>
      </w:pPr>
    </w:p>
    <w:p w14:paraId="6F0ECC41" w14:textId="08256503" w:rsidR="00043BAB" w:rsidRPr="00050F33" w:rsidRDefault="00043BAB" w:rsidP="00043BAB">
      <w:pPr>
        <w:jc w:val="both"/>
        <w:rPr>
          <w:rFonts w:ascii="Arial" w:hAnsi="Arial" w:cs="Arial"/>
        </w:rPr>
      </w:pPr>
      <w:r w:rsidRPr="00050F33">
        <w:rPr>
          <w:rFonts w:ascii="Arial" w:hAnsi="Arial" w:cs="Arial"/>
        </w:rPr>
        <w:t>Osei, F. A., Sulemana, A., Sackey, A., &amp; Effah, E. A. (2024). Knowledge, attitude, and practice regarding basic school noise exposure and hearing loss among teachers: A cross-sectional study. </w:t>
      </w:r>
      <w:r w:rsidRPr="00050F33">
        <w:rPr>
          <w:rFonts w:ascii="Arial" w:hAnsi="Arial" w:cs="Arial"/>
          <w:i/>
          <w:iCs/>
        </w:rPr>
        <w:t>AAPPS Bulletin</w:t>
      </w:r>
      <w:r w:rsidRPr="00050F33">
        <w:rPr>
          <w:rFonts w:ascii="Arial" w:hAnsi="Arial" w:cs="Arial"/>
        </w:rPr>
        <w:t>.</w:t>
      </w:r>
    </w:p>
    <w:p w14:paraId="683F8B90" w14:textId="77777777" w:rsidR="00B841B8" w:rsidRDefault="00B841B8" w:rsidP="00043BAB">
      <w:pPr>
        <w:jc w:val="both"/>
        <w:rPr>
          <w:rFonts w:ascii="Arial" w:hAnsi="Arial" w:cs="Arial"/>
          <w:color w:val="222222"/>
          <w:shd w:val="clear" w:color="auto" w:fill="FFFFFF"/>
        </w:rPr>
      </w:pPr>
    </w:p>
    <w:p w14:paraId="7255B0EE" w14:textId="64C51681" w:rsidR="00043BAB" w:rsidRDefault="00050F33" w:rsidP="00043BAB">
      <w:pPr>
        <w:jc w:val="both"/>
        <w:rPr>
          <w:rFonts w:ascii="Arial" w:hAnsi="Arial" w:cs="Arial"/>
          <w:color w:val="222222"/>
          <w:shd w:val="clear" w:color="auto" w:fill="FFFFFF"/>
        </w:rPr>
      </w:pPr>
      <w:r w:rsidRPr="00050F33">
        <w:rPr>
          <w:rFonts w:ascii="Arial" w:hAnsi="Arial" w:cs="Arial"/>
          <w:color w:val="222222"/>
          <w:shd w:val="clear" w:color="auto" w:fill="FFFFFF"/>
        </w:rPr>
        <w:t>Patton, M.Q. (2014)</w:t>
      </w:r>
      <w:r w:rsidR="00B13215">
        <w:rPr>
          <w:rFonts w:ascii="Arial" w:hAnsi="Arial" w:cs="Arial"/>
          <w:color w:val="222222"/>
          <w:shd w:val="clear" w:color="auto" w:fill="FFFFFF"/>
        </w:rPr>
        <w:t xml:space="preserve">. </w:t>
      </w:r>
      <w:r w:rsidRPr="00050F33">
        <w:rPr>
          <w:rFonts w:ascii="Arial" w:hAnsi="Arial" w:cs="Arial"/>
          <w:i/>
          <w:iCs/>
          <w:color w:val="222222"/>
          <w:shd w:val="clear" w:color="auto" w:fill="FFFFFF"/>
        </w:rPr>
        <w:t>Qualitative research and evaluation methods: Integrating theory and practice,</w:t>
      </w:r>
      <w:r w:rsidRPr="00050F33">
        <w:rPr>
          <w:rFonts w:ascii="Arial" w:hAnsi="Arial" w:cs="Arial"/>
          <w:color w:val="222222"/>
          <w:shd w:val="clear" w:color="auto" w:fill="FFFFFF"/>
        </w:rPr>
        <w:t xml:space="preserve"> Sage publications.</w:t>
      </w:r>
    </w:p>
    <w:p w14:paraId="5EF55DCE" w14:textId="77777777" w:rsidR="00B841B8" w:rsidRDefault="00B841B8" w:rsidP="00043BAB">
      <w:pPr>
        <w:jc w:val="both"/>
        <w:rPr>
          <w:rFonts w:ascii="Arial" w:hAnsi="Arial" w:cs="Arial"/>
          <w:color w:val="222222"/>
          <w:shd w:val="clear" w:color="auto" w:fill="FFFFFF"/>
        </w:rPr>
      </w:pPr>
    </w:p>
    <w:p w14:paraId="3649645B" w14:textId="38097C61" w:rsidR="00050F33" w:rsidRPr="00050F33" w:rsidRDefault="00050F33" w:rsidP="00043BAB">
      <w:pPr>
        <w:jc w:val="both"/>
        <w:rPr>
          <w:rFonts w:ascii="Arial" w:hAnsi="Arial" w:cs="Arial"/>
          <w:color w:val="222222"/>
          <w:shd w:val="clear" w:color="auto" w:fill="FFFFFF"/>
        </w:rPr>
      </w:pPr>
      <w:r w:rsidRPr="00050F33">
        <w:rPr>
          <w:rFonts w:ascii="Arial" w:hAnsi="Arial" w:cs="Arial"/>
          <w:color w:val="222222"/>
          <w:shd w:val="clear" w:color="auto" w:fill="FFFFFF"/>
        </w:rPr>
        <w:t xml:space="preserve">Pavlou, P.A. (2011) ‘State of the information privacy literature: Where are we now and where should we go?’ </w:t>
      </w:r>
      <w:r w:rsidRPr="00050F33">
        <w:rPr>
          <w:rFonts w:ascii="Arial" w:hAnsi="Arial" w:cs="Arial"/>
          <w:i/>
          <w:iCs/>
          <w:color w:val="222222"/>
          <w:shd w:val="clear" w:color="auto" w:fill="FFFFFF"/>
        </w:rPr>
        <w:t>MIS Quarterly</w:t>
      </w:r>
      <w:r w:rsidRPr="00050F33">
        <w:rPr>
          <w:rFonts w:ascii="Arial" w:hAnsi="Arial" w:cs="Arial"/>
          <w:color w:val="222222"/>
          <w:shd w:val="clear" w:color="auto" w:fill="FFFFFF"/>
        </w:rPr>
        <w:t xml:space="preserve">, pp.977-988. </w:t>
      </w:r>
      <w:hyperlink r:id="rId26" w:history="1">
        <w:r w:rsidRPr="00050F33">
          <w:rPr>
            <w:rStyle w:val="Hyperlink"/>
            <w:rFonts w:ascii="Arial" w:hAnsi="Arial" w:cs="Arial"/>
            <w:shd w:val="clear" w:color="auto" w:fill="FFFFFF"/>
          </w:rPr>
          <w:t>https://doi.org/10.2307/41409969</w:t>
        </w:r>
      </w:hyperlink>
    </w:p>
    <w:p w14:paraId="1F8FE5F8" w14:textId="77777777" w:rsidR="00B841B8" w:rsidRDefault="00B841B8" w:rsidP="00050F33">
      <w:pPr>
        <w:jc w:val="both"/>
        <w:rPr>
          <w:rFonts w:ascii="Arial" w:hAnsi="Arial" w:cs="Arial"/>
          <w:color w:val="222222"/>
          <w:shd w:val="clear" w:color="auto" w:fill="FFFFFF"/>
        </w:rPr>
      </w:pPr>
    </w:p>
    <w:p w14:paraId="389BC8CF" w14:textId="233ABDCB"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Pötzsch, S. (2009) ‘Privacy awareness: A means to solve the privacy paradox?’ In </w:t>
      </w:r>
      <w:r w:rsidRPr="00050F33">
        <w:rPr>
          <w:rFonts w:ascii="Arial" w:hAnsi="Arial" w:cs="Arial"/>
          <w:i/>
          <w:iCs/>
          <w:color w:val="222222"/>
          <w:shd w:val="clear" w:color="auto" w:fill="FFFFFF"/>
        </w:rPr>
        <w:t>The Future of Identity in the Information Society: 4th IFIP WG 9.2, 9.6/11.6, 11.7/FIDIS International Summer School, Brno, Czech Republic, Revised Selected Papers 4,</w:t>
      </w:r>
      <w:r w:rsidRPr="00050F33">
        <w:rPr>
          <w:rFonts w:ascii="Arial" w:hAnsi="Arial" w:cs="Arial"/>
          <w:color w:val="222222"/>
          <w:shd w:val="clear" w:color="auto" w:fill="FFFFFF"/>
        </w:rPr>
        <w:t xml:space="preserve"> (pp. 226-236), Springer Berlin Heidelberg. </w:t>
      </w:r>
      <w:r w:rsidRPr="00050F33">
        <w:rPr>
          <w:rFonts w:ascii="Arial" w:hAnsi="Arial" w:cs="Arial"/>
          <w:shd w:val="clear" w:color="auto" w:fill="FFFFFF"/>
        </w:rPr>
        <w:t>DOI:</w:t>
      </w:r>
      <w:hyperlink r:id="rId27" w:history="1">
        <w:r w:rsidRPr="00050F33">
          <w:rPr>
            <w:rStyle w:val="Hyperlink"/>
            <w:rFonts w:ascii="Arial" w:hAnsi="Arial" w:cs="Arial"/>
            <w:shd w:val="clear" w:color="auto" w:fill="FFFFFF"/>
          </w:rPr>
          <w:t>10.1007/978-3-642-03315-5_17</w:t>
        </w:r>
      </w:hyperlink>
    </w:p>
    <w:p w14:paraId="5C092D7B" w14:textId="77777777" w:rsidR="00B841B8" w:rsidRDefault="00B841B8" w:rsidP="00043BAB">
      <w:pPr>
        <w:jc w:val="both"/>
        <w:rPr>
          <w:rFonts w:ascii="Arial" w:hAnsi="Arial" w:cs="Arial"/>
          <w:color w:val="222222"/>
          <w:shd w:val="clear" w:color="auto" w:fill="FFFFFF"/>
        </w:rPr>
      </w:pPr>
    </w:p>
    <w:p w14:paraId="600B13EB" w14:textId="1889081E" w:rsidR="00043BAB" w:rsidRDefault="00050F33" w:rsidP="00043BAB">
      <w:pPr>
        <w:jc w:val="both"/>
        <w:rPr>
          <w:rFonts w:ascii="Arial" w:hAnsi="Arial" w:cs="Arial"/>
        </w:rPr>
      </w:pPr>
      <w:r w:rsidRPr="00050F33">
        <w:rPr>
          <w:rFonts w:ascii="Arial" w:hAnsi="Arial" w:cs="Arial"/>
          <w:color w:val="222222"/>
          <w:shd w:val="clear" w:color="auto" w:fill="FFFFFF"/>
        </w:rPr>
        <w:t xml:space="preserve">Pousttchi, K., Gleiss, A., Buzzi, B. and Kohlhagen, M. (2019) ‘Technology impact types for digital transformation’, </w:t>
      </w:r>
      <w:r w:rsidRPr="00050F33">
        <w:rPr>
          <w:rFonts w:ascii="Arial" w:hAnsi="Arial" w:cs="Arial"/>
          <w:i/>
          <w:iCs/>
          <w:color w:val="222222"/>
          <w:shd w:val="clear" w:color="auto" w:fill="FFFFFF"/>
        </w:rPr>
        <w:t>In 2019 IEEE 21st Conference on Business Informatics (CBI),</w:t>
      </w:r>
      <w:r w:rsidRPr="00050F33">
        <w:rPr>
          <w:rFonts w:ascii="Arial" w:hAnsi="Arial" w:cs="Arial"/>
          <w:color w:val="222222"/>
          <w:shd w:val="clear" w:color="auto" w:fill="FFFFFF"/>
        </w:rPr>
        <w:t> (1, pp. 487-494). IEEE.  D</w:t>
      </w:r>
      <w:r w:rsidRPr="00050F33">
        <w:rPr>
          <w:rFonts w:ascii="Arial" w:hAnsi="Arial" w:cs="Arial"/>
          <w:bCs/>
          <w:color w:val="222222"/>
          <w:shd w:val="clear" w:color="auto" w:fill="FFFFFF"/>
        </w:rPr>
        <w:t>OI:</w:t>
      </w:r>
      <w:r w:rsidRPr="00050F33">
        <w:rPr>
          <w:rFonts w:ascii="Arial" w:hAnsi="Arial" w:cs="Arial"/>
          <w:b/>
          <w:bCs/>
          <w:color w:val="222222"/>
          <w:shd w:val="clear" w:color="auto" w:fill="FFFFFF"/>
        </w:rPr>
        <w:t> </w:t>
      </w:r>
      <w:hyperlink r:id="rId28" w:tgtFrame="_blank" w:history="1">
        <w:r w:rsidRPr="00050F33">
          <w:rPr>
            <w:rStyle w:val="Hyperlink"/>
            <w:rFonts w:ascii="Arial" w:hAnsi="Arial" w:cs="Arial"/>
            <w:shd w:val="clear" w:color="auto" w:fill="FFFFFF"/>
          </w:rPr>
          <w:t>10.1109/CBI.2019.00063</w:t>
        </w:r>
      </w:hyperlink>
    </w:p>
    <w:p w14:paraId="658C1A63" w14:textId="77777777" w:rsidR="00B841B8" w:rsidRDefault="00B841B8" w:rsidP="00043BAB">
      <w:pPr>
        <w:jc w:val="both"/>
        <w:rPr>
          <w:rFonts w:ascii="Arial" w:hAnsi="Arial" w:cs="Arial"/>
          <w:color w:val="222222"/>
          <w:shd w:val="clear" w:color="auto" w:fill="FFFFFF"/>
        </w:rPr>
      </w:pPr>
    </w:p>
    <w:p w14:paraId="28BD2B91" w14:textId="43EC9139" w:rsidR="00050F33" w:rsidRPr="00050F33" w:rsidRDefault="00050F33" w:rsidP="00043BAB">
      <w:pPr>
        <w:jc w:val="both"/>
        <w:rPr>
          <w:rFonts w:ascii="Arial" w:hAnsi="Arial" w:cs="Arial"/>
        </w:rPr>
      </w:pPr>
      <w:r w:rsidRPr="00050F33">
        <w:rPr>
          <w:rFonts w:ascii="Arial" w:hAnsi="Arial" w:cs="Arial"/>
          <w:color w:val="222222"/>
          <w:shd w:val="clear" w:color="auto" w:fill="FFFFFF"/>
        </w:rPr>
        <w:t xml:space="preserve">Prince, C., Omrani, N. and Schiavone, F. (2024) ‘Online privacy literacy and users' information privacy empowerment: the case of GDPR in Europe’, </w:t>
      </w:r>
      <w:r w:rsidRPr="00050F33">
        <w:rPr>
          <w:rFonts w:ascii="Arial" w:hAnsi="Arial" w:cs="Arial"/>
          <w:i/>
          <w:iCs/>
          <w:color w:val="222222"/>
          <w:shd w:val="clear" w:color="auto" w:fill="FFFFFF"/>
        </w:rPr>
        <w:t>Information Technology and People</w:t>
      </w:r>
      <w:r w:rsidRPr="00050F33">
        <w:rPr>
          <w:rFonts w:ascii="Arial" w:hAnsi="Arial" w:cs="Arial"/>
          <w:color w:val="222222"/>
          <w:shd w:val="clear" w:color="auto" w:fill="FFFFFF"/>
        </w:rPr>
        <w:t>, </w:t>
      </w:r>
      <w:r w:rsidRPr="00050F33">
        <w:rPr>
          <w:rFonts w:ascii="Arial" w:hAnsi="Arial" w:cs="Arial"/>
          <w:i/>
          <w:iCs/>
          <w:color w:val="222222"/>
          <w:shd w:val="clear" w:color="auto" w:fill="FFFFFF"/>
        </w:rPr>
        <w:t>37</w:t>
      </w:r>
      <w:r w:rsidRPr="00050F33">
        <w:rPr>
          <w:rFonts w:ascii="Arial" w:hAnsi="Arial" w:cs="Arial"/>
          <w:color w:val="222222"/>
          <w:shd w:val="clear" w:color="auto" w:fill="FFFFFF"/>
        </w:rPr>
        <w:t xml:space="preserve">(8), pp.1-24. </w:t>
      </w:r>
      <w:hyperlink r:id="rId29" w:tooltip="DOI: https://doi.org/10.1108/ITP-05-2023-0467" w:history="1">
        <w:r w:rsidRPr="00050F33">
          <w:rPr>
            <w:rStyle w:val="Hyperlink"/>
            <w:rFonts w:ascii="Arial" w:hAnsi="Arial" w:cs="Arial"/>
            <w:shd w:val="clear" w:color="auto" w:fill="FFFFFF"/>
          </w:rPr>
          <w:t>https://doi.org/10.1108/ITP-05-2023-0467</w:t>
        </w:r>
      </w:hyperlink>
    </w:p>
    <w:p w14:paraId="7C3D26A0" w14:textId="77777777"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Quarshie, H.O. and Ami-Narh, J. (2012) ‘The growth and usage of Internet in Ghana’, </w:t>
      </w:r>
      <w:r w:rsidRPr="00050F33">
        <w:rPr>
          <w:rFonts w:ascii="Arial" w:hAnsi="Arial" w:cs="Arial"/>
          <w:i/>
          <w:iCs/>
          <w:color w:val="222222"/>
          <w:shd w:val="clear" w:color="auto" w:fill="FFFFFF"/>
        </w:rPr>
        <w:t>Journal of Emerging trends in computing and information sciences</w:t>
      </w:r>
      <w:r w:rsidRPr="00050F33">
        <w:rPr>
          <w:rFonts w:ascii="Arial" w:hAnsi="Arial" w:cs="Arial"/>
          <w:color w:val="222222"/>
          <w:shd w:val="clear" w:color="auto" w:fill="FFFFFF"/>
        </w:rPr>
        <w:t>, </w:t>
      </w:r>
      <w:r w:rsidRPr="00050F33">
        <w:rPr>
          <w:rFonts w:ascii="Arial" w:hAnsi="Arial" w:cs="Arial"/>
          <w:i/>
          <w:iCs/>
          <w:color w:val="222222"/>
          <w:shd w:val="clear" w:color="auto" w:fill="FFFFFF"/>
        </w:rPr>
        <w:t>3</w:t>
      </w:r>
      <w:r w:rsidRPr="00050F33">
        <w:rPr>
          <w:rFonts w:ascii="Arial" w:hAnsi="Arial" w:cs="Arial"/>
          <w:color w:val="222222"/>
          <w:shd w:val="clear" w:color="auto" w:fill="FFFFFF"/>
        </w:rPr>
        <w:t>(9), pp. 1-3.</w:t>
      </w:r>
    </w:p>
    <w:p w14:paraId="2CB7267E" w14:textId="77777777" w:rsidR="00B841B8" w:rsidRDefault="00B841B8" w:rsidP="00050F33">
      <w:pPr>
        <w:rPr>
          <w:rFonts w:ascii="Arial" w:hAnsi="Arial" w:cs="Arial"/>
        </w:rPr>
      </w:pPr>
    </w:p>
    <w:p w14:paraId="50FFB6DE" w14:textId="0A990DE8" w:rsidR="00050F33" w:rsidRPr="00050F33" w:rsidRDefault="00050F33" w:rsidP="00050F33">
      <w:pPr>
        <w:rPr>
          <w:rFonts w:ascii="Arial" w:hAnsi="Arial" w:cs="Arial"/>
        </w:rPr>
      </w:pPr>
      <w:r w:rsidRPr="00050F33">
        <w:rPr>
          <w:rFonts w:ascii="Arial" w:hAnsi="Arial" w:cs="Arial"/>
        </w:rPr>
        <w:t xml:space="preserve">Rainie, L., Kiesler, S., and Madden, M. (2014). </w:t>
      </w:r>
      <w:r w:rsidRPr="00050F33">
        <w:rPr>
          <w:rFonts w:ascii="Arial" w:hAnsi="Arial" w:cs="Arial"/>
          <w:i/>
          <w:iCs/>
        </w:rPr>
        <w:t>Anonymity, Privacy, and Security Online.</w:t>
      </w:r>
      <w:r w:rsidRPr="00050F33">
        <w:rPr>
          <w:rFonts w:ascii="Arial" w:hAnsi="Arial" w:cs="Arial"/>
        </w:rPr>
        <w:t xml:space="preserve"> Pew Research Center Internet and Technology. </w:t>
      </w:r>
      <w:hyperlink r:id="rId30" w:history="1">
        <w:r w:rsidRPr="00050F33">
          <w:rPr>
            <w:rStyle w:val="Hyperlink"/>
            <w:rFonts w:ascii="Arial" w:hAnsi="Arial" w:cs="Arial"/>
          </w:rPr>
          <w:t>http://pewinternet.org/Reports/2013/Anonymity-online.aspx</w:t>
        </w:r>
      </w:hyperlink>
    </w:p>
    <w:p w14:paraId="3D0ED205" w14:textId="77777777" w:rsidR="00B841B8" w:rsidRDefault="00B841B8" w:rsidP="00050F33">
      <w:pPr>
        <w:jc w:val="both"/>
        <w:rPr>
          <w:rFonts w:ascii="Arial" w:hAnsi="Arial" w:cs="Arial"/>
          <w:color w:val="222222"/>
          <w:shd w:val="clear" w:color="auto" w:fill="FFFFFF"/>
        </w:rPr>
      </w:pPr>
    </w:p>
    <w:p w14:paraId="7D174E78" w14:textId="73C73A27"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Romansky, R.P. and Noninska, I.S. (2020) ‘Challenges of the digital age for privacy and personal data protection’, </w:t>
      </w:r>
      <w:r w:rsidRPr="00050F33">
        <w:rPr>
          <w:rFonts w:ascii="Arial" w:hAnsi="Arial" w:cs="Arial"/>
          <w:i/>
          <w:iCs/>
          <w:color w:val="222222"/>
          <w:shd w:val="clear" w:color="auto" w:fill="FFFFFF"/>
        </w:rPr>
        <w:t>Mathematical Biosciences and Engineering</w:t>
      </w:r>
      <w:r w:rsidRPr="00050F33">
        <w:rPr>
          <w:rFonts w:ascii="Arial" w:hAnsi="Arial" w:cs="Arial"/>
          <w:color w:val="222222"/>
          <w:shd w:val="clear" w:color="auto" w:fill="FFFFFF"/>
        </w:rPr>
        <w:t>, </w:t>
      </w:r>
      <w:r w:rsidRPr="00050F33">
        <w:rPr>
          <w:rFonts w:ascii="Arial" w:hAnsi="Arial" w:cs="Arial"/>
          <w:i/>
          <w:iCs/>
          <w:color w:val="222222"/>
          <w:shd w:val="clear" w:color="auto" w:fill="FFFFFF"/>
        </w:rPr>
        <w:t>17</w:t>
      </w:r>
      <w:r w:rsidRPr="00050F33">
        <w:rPr>
          <w:rFonts w:ascii="Arial" w:hAnsi="Arial" w:cs="Arial"/>
          <w:color w:val="222222"/>
          <w:shd w:val="clear" w:color="auto" w:fill="FFFFFF"/>
        </w:rPr>
        <w:t xml:space="preserve">(5), pp.5288-5303. </w:t>
      </w:r>
      <w:proofErr w:type="spellStart"/>
      <w:r w:rsidRPr="00050F33">
        <w:rPr>
          <w:rFonts w:ascii="Arial" w:hAnsi="Arial" w:cs="Arial"/>
          <w:color w:val="222222"/>
          <w:shd w:val="clear" w:color="auto" w:fill="FFFFFF"/>
        </w:rPr>
        <w:t>doi</w:t>
      </w:r>
      <w:proofErr w:type="spellEnd"/>
      <w:r w:rsidRPr="00050F33">
        <w:rPr>
          <w:rFonts w:ascii="Arial" w:hAnsi="Arial" w:cs="Arial"/>
          <w:color w:val="222222"/>
          <w:shd w:val="clear" w:color="auto" w:fill="FFFFFF"/>
        </w:rPr>
        <w:t>: </w:t>
      </w:r>
      <w:hyperlink r:id="rId31" w:tgtFrame="_blank" w:history="1">
        <w:r w:rsidRPr="00050F33">
          <w:rPr>
            <w:rStyle w:val="Hyperlink"/>
            <w:rFonts w:ascii="Arial" w:hAnsi="Arial" w:cs="Arial"/>
            <w:shd w:val="clear" w:color="auto" w:fill="FFFFFF"/>
          </w:rPr>
          <w:t>10.3934/mbe.2020286</w:t>
        </w:r>
      </w:hyperlink>
    </w:p>
    <w:p w14:paraId="3A5B73A6" w14:textId="77777777" w:rsidR="00B841B8" w:rsidRDefault="00B841B8" w:rsidP="00043BAB">
      <w:pPr>
        <w:jc w:val="both"/>
        <w:rPr>
          <w:rFonts w:ascii="Arial" w:hAnsi="Arial" w:cs="Arial"/>
          <w:color w:val="222222"/>
          <w:shd w:val="clear" w:color="auto" w:fill="FFFFFF"/>
        </w:rPr>
      </w:pPr>
    </w:p>
    <w:p w14:paraId="3EB2F7ED" w14:textId="778A8E01" w:rsidR="00043BAB" w:rsidRDefault="00050F33" w:rsidP="00043BAB">
      <w:pPr>
        <w:jc w:val="both"/>
        <w:rPr>
          <w:rFonts w:ascii="Arial" w:hAnsi="Arial" w:cs="Arial"/>
          <w:color w:val="222222"/>
          <w:shd w:val="clear" w:color="auto" w:fill="FFFFFF"/>
        </w:rPr>
      </w:pPr>
      <w:r w:rsidRPr="00050F33">
        <w:rPr>
          <w:rFonts w:ascii="Arial" w:hAnsi="Arial" w:cs="Arial"/>
          <w:color w:val="222222"/>
          <w:shd w:val="clear" w:color="auto" w:fill="FFFFFF"/>
        </w:rPr>
        <w:t>Singh, A.S. and Masuku, M.B. (2014) ‘Sampling techniques and determination of sample size in applied statistics research: An overview’, </w:t>
      </w:r>
      <w:r w:rsidRPr="00050F33">
        <w:rPr>
          <w:rFonts w:ascii="Arial" w:hAnsi="Arial" w:cs="Arial"/>
          <w:i/>
          <w:iCs/>
          <w:color w:val="222222"/>
          <w:shd w:val="clear" w:color="auto" w:fill="FFFFFF"/>
        </w:rPr>
        <w:t xml:space="preserve">International Journal of Economics, </w:t>
      </w:r>
      <w:r w:rsidR="00B13215">
        <w:rPr>
          <w:rFonts w:ascii="Arial" w:hAnsi="Arial" w:cs="Arial"/>
          <w:i/>
          <w:iCs/>
          <w:color w:val="222222"/>
          <w:shd w:val="clear" w:color="auto" w:fill="FFFFFF"/>
        </w:rPr>
        <w:t>Commerce</w:t>
      </w:r>
      <w:r w:rsidRPr="00050F33">
        <w:rPr>
          <w:rFonts w:ascii="Arial" w:hAnsi="Arial" w:cs="Arial"/>
          <w:i/>
          <w:iCs/>
          <w:color w:val="222222"/>
          <w:shd w:val="clear" w:color="auto" w:fill="FFFFFF"/>
        </w:rPr>
        <w:t xml:space="preserve"> and Management</w:t>
      </w:r>
      <w:r w:rsidRPr="00050F33">
        <w:rPr>
          <w:rFonts w:ascii="Arial" w:hAnsi="Arial" w:cs="Arial"/>
          <w:color w:val="222222"/>
          <w:shd w:val="clear" w:color="auto" w:fill="FFFFFF"/>
        </w:rPr>
        <w:t>, </w:t>
      </w:r>
      <w:r w:rsidRPr="00050F33">
        <w:rPr>
          <w:rFonts w:ascii="Arial" w:hAnsi="Arial" w:cs="Arial"/>
          <w:i/>
          <w:iCs/>
          <w:color w:val="222222"/>
          <w:shd w:val="clear" w:color="auto" w:fill="FFFFFF"/>
        </w:rPr>
        <w:t>2</w:t>
      </w:r>
      <w:r w:rsidRPr="00050F33">
        <w:rPr>
          <w:rFonts w:ascii="Arial" w:hAnsi="Arial" w:cs="Arial"/>
          <w:color w:val="222222"/>
          <w:shd w:val="clear" w:color="auto" w:fill="FFFFFF"/>
        </w:rPr>
        <w:t>(11), pp.1-22.</w:t>
      </w:r>
    </w:p>
    <w:p w14:paraId="6E738D38" w14:textId="77777777" w:rsidR="00B841B8" w:rsidRDefault="00B841B8" w:rsidP="00043BAB">
      <w:pPr>
        <w:jc w:val="both"/>
        <w:rPr>
          <w:rFonts w:ascii="Arial" w:hAnsi="Arial" w:cs="Arial"/>
        </w:rPr>
      </w:pPr>
    </w:p>
    <w:p w14:paraId="290199EE" w14:textId="3E83DBA6" w:rsidR="00050F33" w:rsidRPr="00043BAB" w:rsidRDefault="00050F33" w:rsidP="00043BAB">
      <w:pPr>
        <w:jc w:val="both"/>
        <w:rPr>
          <w:rFonts w:ascii="Arial" w:hAnsi="Arial" w:cs="Arial"/>
          <w:color w:val="222222"/>
          <w:shd w:val="clear" w:color="auto" w:fill="FFFFFF"/>
        </w:rPr>
      </w:pPr>
      <w:r w:rsidRPr="00050F33">
        <w:rPr>
          <w:rFonts w:ascii="Arial" w:hAnsi="Arial" w:cs="Arial"/>
        </w:rPr>
        <w:t>Tchao, E. T., Diawuo, K., Aggor, C.</w:t>
      </w:r>
      <w:r w:rsidR="00B13215">
        <w:rPr>
          <w:rFonts w:ascii="Arial" w:hAnsi="Arial" w:cs="Arial"/>
        </w:rPr>
        <w:t>,</w:t>
      </w:r>
      <w:r w:rsidRPr="00050F33">
        <w:rPr>
          <w:rFonts w:ascii="Arial" w:hAnsi="Arial" w:cs="Arial"/>
        </w:rPr>
        <w:t xml:space="preserve"> and Kotey, S. (2017) ‘Ghanaian Consumers' Online Privacy Concerns: Causes and </w:t>
      </w:r>
      <w:r w:rsidR="00B13215">
        <w:rPr>
          <w:rFonts w:ascii="Arial" w:hAnsi="Arial" w:cs="Arial"/>
        </w:rPr>
        <w:t>their</w:t>
      </w:r>
      <w:r w:rsidRPr="00050F33">
        <w:rPr>
          <w:rFonts w:ascii="Arial" w:hAnsi="Arial" w:cs="Arial"/>
        </w:rPr>
        <w:t xml:space="preserve"> Effects on E-Commerce Adoption’, </w:t>
      </w:r>
      <w:r w:rsidRPr="00050F33">
        <w:rPr>
          <w:rFonts w:ascii="Arial" w:hAnsi="Arial" w:cs="Arial"/>
          <w:i/>
          <w:iCs/>
        </w:rPr>
        <w:t>International Journal of Advanced Computer Science and Applications, p.</w:t>
      </w:r>
      <w:r w:rsidRPr="00050F33">
        <w:rPr>
          <w:rFonts w:ascii="Arial" w:hAnsi="Arial" w:cs="Arial"/>
        </w:rPr>
        <w:t xml:space="preserve"> 8. </w:t>
      </w:r>
      <w:r w:rsidRPr="00050F33">
        <w:rPr>
          <w:rFonts w:ascii="Arial" w:hAnsi="Arial" w:cs="Arial"/>
          <w:lang w:eastAsia="en-GB"/>
        </w:rPr>
        <w:t>DOI:</w:t>
      </w:r>
      <w:r w:rsidRPr="00050F33">
        <w:rPr>
          <w:rFonts w:ascii="Arial" w:hAnsi="Arial" w:cs="Arial"/>
          <w:color w:val="525254"/>
          <w:lang w:eastAsia="en-GB"/>
        </w:rPr>
        <w:t> </w:t>
      </w:r>
      <w:hyperlink r:id="rId32" w:tgtFrame="_blank" w:history="1">
        <w:r w:rsidRPr="00050F33">
          <w:rPr>
            <w:rFonts w:ascii="Arial" w:hAnsi="Arial" w:cs="Arial"/>
            <w:color w:val="0000FF"/>
            <w:u w:val="single"/>
            <w:bdr w:val="none" w:sz="0" w:space="0" w:color="auto" w:frame="1"/>
            <w:lang w:eastAsia="en-GB"/>
          </w:rPr>
          <w:t>10.14569/IJACSA.2017.081120</w:t>
        </w:r>
      </w:hyperlink>
    </w:p>
    <w:p w14:paraId="2209156E" w14:textId="77777777" w:rsidR="00B841B8" w:rsidRDefault="00B841B8" w:rsidP="00050F33">
      <w:pPr>
        <w:jc w:val="both"/>
        <w:rPr>
          <w:rFonts w:ascii="Arial" w:hAnsi="Arial" w:cs="Arial"/>
        </w:rPr>
      </w:pPr>
    </w:p>
    <w:p w14:paraId="3D7B0273" w14:textId="37606491" w:rsidR="00050F33" w:rsidRPr="00050F33" w:rsidRDefault="00050F33" w:rsidP="00050F33">
      <w:pPr>
        <w:jc w:val="both"/>
        <w:rPr>
          <w:rFonts w:ascii="Arial" w:hAnsi="Arial" w:cs="Arial"/>
        </w:rPr>
      </w:pPr>
      <w:r w:rsidRPr="00050F33">
        <w:rPr>
          <w:rFonts w:ascii="Arial" w:hAnsi="Arial" w:cs="Arial"/>
        </w:rPr>
        <w:t>Toby M., Andrew P., Ben W., Dixie H.</w:t>
      </w:r>
      <w:r w:rsidR="00B13215">
        <w:rPr>
          <w:rFonts w:ascii="Arial" w:hAnsi="Arial" w:cs="Arial"/>
        </w:rPr>
        <w:t>,</w:t>
      </w:r>
      <w:r w:rsidRPr="00050F33">
        <w:rPr>
          <w:rFonts w:ascii="Arial" w:hAnsi="Arial" w:cs="Arial"/>
        </w:rPr>
        <w:t xml:space="preserve"> and Natalia T. (2012)</w:t>
      </w:r>
      <w:r w:rsidR="00B13215">
        <w:rPr>
          <w:rFonts w:ascii="Arial" w:hAnsi="Arial" w:cs="Arial"/>
        </w:rPr>
        <w:t>.</w:t>
      </w:r>
      <w:r w:rsidRPr="00050F33">
        <w:rPr>
          <w:rFonts w:ascii="Arial" w:hAnsi="Arial" w:cs="Arial"/>
        </w:rPr>
        <w:t xml:space="preserve"> </w:t>
      </w:r>
      <w:r w:rsidRPr="00050F33">
        <w:rPr>
          <w:rFonts w:ascii="Arial" w:hAnsi="Arial" w:cs="Arial"/>
          <w:i/>
          <w:iCs/>
        </w:rPr>
        <w:t>Global Survey on Internet Privacy and Freedom of Expression</w:t>
      </w:r>
      <w:r w:rsidRPr="00050F33">
        <w:rPr>
          <w:rFonts w:ascii="Arial" w:hAnsi="Arial" w:cs="Arial"/>
        </w:rPr>
        <w:t>, UNESCO Series on Internet Freedom.</w:t>
      </w:r>
    </w:p>
    <w:p w14:paraId="6E89F37B" w14:textId="77777777" w:rsidR="00B841B8" w:rsidRDefault="00B841B8" w:rsidP="00050F33">
      <w:pPr>
        <w:jc w:val="both"/>
        <w:rPr>
          <w:rFonts w:ascii="Arial" w:hAnsi="Arial" w:cs="Arial"/>
          <w:color w:val="222222"/>
          <w:shd w:val="clear" w:color="auto" w:fill="FFFFFF"/>
        </w:rPr>
      </w:pPr>
    </w:p>
    <w:p w14:paraId="3319CF18" w14:textId="6269B405"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 xml:space="preserve">Ullah, S., Khan, M.S., Lee, C. and Hanif, M. (2022) ‘Understanding users’ </w:t>
      </w:r>
      <w:r w:rsidR="009F7904">
        <w:rPr>
          <w:rFonts w:ascii="Arial" w:hAnsi="Arial" w:cs="Arial"/>
          <w:color w:val="222222"/>
          <w:shd w:val="clear" w:color="auto" w:fill="FFFFFF"/>
        </w:rPr>
        <w:t>behaviour</w:t>
      </w:r>
      <w:r w:rsidRPr="00050F33">
        <w:rPr>
          <w:rFonts w:ascii="Arial" w:hAnsi="Arial" w:cs="Arial"/>
          <w:color w:val="222222"/>
          <w:shd w:val="clear" w:color="auto" w:fill="FFFFFF"/>
        </w:rPr>
        <w:t xml:space="preserve"> towards applications privacy policies’, </w:t>
      </w:r>
      <w:r w:rsidRPr="00050F33">
        <w:rPr>
          <w:rFonts w:ascii="Arial" w:hAnsi="Arial" w:cs="Arial"/>
          <w:i/>
          <w:iCs/>
          <w:color w:val="222222"/>
          <w:shd w:val="clear" w:color="auto" w:fill="FFFFFF"/>
        </w:rPr>
        <w:t>Electronics</w:t>
      </w:r>
      <w:r w:rsidRPr="00050F33">
        <w:rPr>
          <w:rFonts w:ascii="Arial" w:hAnsi="Arial" w:cs="Arial"/>
          <w:color w:val="222222"/>
          <w:shd w:val="clear" w:color="auto" w:fill="FFFFFF"/>
        </w:rPr>
        <w:t>, </w:t>
      </w:r>
      <w:r w:rsidRPr="00050F33">
        <w:rPr>
          <w:rFonts w:ascii="Arial" w:hAnsi="Arial" w:cs="Arial"/>
          <w:i/>
          <w:iCs/>
          <w:color w:val="222222"/>
          <w:shd w:val="clear" w:color="auto" w:fill="FFFFFF"/>
        </w:rPr>
        <w:t>11</w:t>
      </w:r>
      <w:r w:rsidRPr="00050F33">
        <w:rPr>
          <w:rFonts w:ascii="Arial" w:hAnsi="Arial" w:cs="Arial"/>
          <w:color w:val="222222"/>
          <w:shd w:val="clear" w:color="auto" w:fill="FFFFFF"/>
        </w:rPr>
        <w:t>(2), p.246. DOI: </w:t>
      </w:r>
      <w:hyperlink r:id="rId33" w:tgtFrame="_blank" w:history="1">
        <w:r w:rsidRPr="00050F33">
          <w:rPr>
            <w:rStyle w:val="Hyperlink"/>
            <w:rFonts w:ascii="Arial" w:hAnsi="Arial" w:cs="Arial"/>
            <w:shd w:val="clear" w:color="auto" w:fill="FFFFFF"/>
          </w:rPr>
          <w:t>10.3390/electronics11020246</w:t>
        </w:r>
      </w:hyperlink>
    </w:p>
    <w:p w14:paraId="5CE94577" w14:textId="77777777" w:rsidR="00B841B8" w:rsidRDefault="00B841B8" w:rsidP="00043BAB">
      <w:pPr>
        <w:jc w:val="both"/>
        <w:rPr>
          <w:rFonts w:ascii="Arial" w:hAnsi="Arial" w:cs="Arial"/>
          <w:color w:val="222222"/>
          <w:shd w:val="clear" w:color="auto" w:fill="FFFFFF"/>
        </w:rPr>
      </w:pPr>
    </w:p>
    <w:p w14:paraId="3106BFE7" w14:textId="5C69AB9B" w:rsidR="00043BAB" w:rsidRDefault="00050F33" w:rsidP="00043BAB">
      <w:pPr>
        <w:jc w:val="both"/>
        <w:rPr>
          <w:rFonts w:ascii="Arial" w:hAnsi="Arial" w:cs="Arial"/>
          <w:color w:val="222222"/>
          <w:shd w:val="clear" w:color="auto" w:fill="FFFFFF"/>
        </w:rPr>
      </w:pPr>
      <w:r w:rsidRPr="00050F33">
        <w:rPr>
          <w:rFonts w:ascii="Arial" w:hAnsi="Arial" w:cs="Arial"/>
          <w:color w:val="222222"/>
          <w:shd w:val="clear" w:color="auto" w:fill="FFFFFF"/>
        </w:rPr>
        <w:t>Wright, K.B. (2005) ‘Researching Internet-based populations: Advantages and disadvantages of online survey research, online questionnaire authoring software packages, and web survey services’, </w:t>
      </w:r>
      <w:r w:rsidRPr="00050F33">
        <w:rPr>
          <w:rFonts w:ascii="Arial" w:hAnsi="Arial" w:cs="Arial"/>
          <w:i/>
          <w:iCs/>
          <w:color w:val="222222"/>
          <w:shd w:val="clear" w:color="auto" w:fill="FFFFFF"/>
        </w:rPr>
        <w:t>Journal of computer-mediated communication</w:t>
      </w:r>
      <w:r w:rsidRPr="00050F33">
        <w:rPr>
          <w:rFonts w:ascii="Arial" w:hAnsi="Arial" w:cs="Arial"/>
          <w:color w:val="222222"/>
          <w:shd w:val="clear" w:color="auto" w:fill="FFFFFF"/>
        </w:rPr>
        <w:t>, </w:t>
      </w:r>
      <w:r w:rsidRPr="00050F33">
        <w:rPr>
          <w:rFonts w:ascii="Arial" w:hAnsi="Arial" w:cs="Arial"/>
          <w:i/>
          <w:iCs/>
          <w:color w:val="222222"/>
          <w:shd w:val="clear" w:color="auto" w:fill="FFFFFF"/>
        </w:rPr>
        <w:t>10</w:t>
      </w:r>
      <w:r w:rsidRPr="00050F33">
        <w:rPr>
          <w:rFonts w:ascii="Arial" w:hAnsi="Arial" w:cs="Arial"/>
          <w:color w:val="222222"/>
          <w:shd w:val="clear" w:color="auto" w:fill="FFFFFF"/>
        </w:rPr>
        <w:t xml:space="preserve">(3), p. 1034. </w:t>
      </w:r>
      <w:r w:rsidRPr="00050F33">
        <w:rPr>
          <w:rFonts w:ascii="Arial" w:hAnsi="Arial" w:cs="Arial"/>
          <w:shd w:val="clear" w:color="auto" w:fill="FFFFFF"/>
        </w:rPr>
        <w:t>DOI:</w:t>
      </w:r>
      <w:r w:rsidRPr="00050F33">
        <w:rPr>
          <w:rFonts w:ascii="Arial" w:hAnsi="Arial" w:cs="Arial"/>
          <w:color w:val="222222"/>
          <w:shd w:val="clear" w:color="auto" w:fill="FFFFFF"/>
        </w:rPr>
        <w:t> </w:t>
      </w:r>
      <w:hyperlink r:id="rId34" w:tgtFrame="_blank" w:history="1">
        <w:r w:rsidRPr="00050F33">
          <w:rPr>
            <w:rStyle w:val="Hyperlink"/>
            <w:rFonts w:ascii="Arial" w:hAnsi="Arial" w:cs="Arial"/>
            <w:shd w:val="clear" w:color="auto" w:fill="FFFFFF"/>
          </w:rPr>
          <w:t>10.1111/j.1083-6101.2005.tb00259.x</w:t>
        </w:r>
      </w:hyperlink>
    </w:p>
    <w:p w14:paraId="0EA68720" w14:textId="77777777" w:rsidR="00B841B8" w:rsidRDefault="00B841B8" w:rsidP="00043BAB">
      <w:pPr>
        <w:jc w:val="both"/>
        <w:rPr>
          <w:rFonts w:ascii="Arial" w:hAnsi="Arial" w:cs="Arial"/>
          <w:color w:val="222222"/>
          <w:shd w:val="clear" w:color="auto" w:fill="FFFFFF"/>
        </w:rPr>
      </w:pPr>
    </w:p>
    <w:p w14:paraId="7C5550B1" w14:textId="0BD635B7" w:rsidR="00050F33" w:rsidRPr="00050F33" w:rsidRDefault="00050F33" w:rsidP="00043BAB">
      <w:pPr>
        <w:jc w:val="both"/>
        <w:rPr>
          <w:rFonts w:ascii="Arial" w:hAnsi="Arial" w:cs="Arial"/>
          <w:color w:val="222222"/>
          <w:shd w:val="clear" w:color="auto" w:fill="FFFFFF"/>
        </w:rPr>
      </w:pPr>
      <w:r w:rsidRPr="00050F33">
        <w:rPr>
          <w:rFonts w:ascii="Arial" w:hAnsi="Arial" w:cs="Arial"/>
          <w:color w:val="222222"/>
          <w:shd w:val="clear" w:color="auto" w:fill="FFFFFF"/>
        </w:rPr>
        <w:t>Xu, H., Dinev, T., Smith, J. and Hart, P. (2011) ‘Information privacy concerns: Linking individual perceptions with institutional privacy assurances’,</w:t>
      </w:r>
      <w:r w:rsidR="00B13215">
        <w:rPr>
          <w:rFonts w:ascii="Arial" w:hAnsi="Arial" w:cs="Arial"/>
          <w:color w:val="222222"/>
          <w:shd w:val="clear" w:color="auto" w:fill="FFFFFF"/>
        </w:rPr>
        <w:t xml:space="preserve"> </w:t>
      </w:r>
      <w:r w:rsidRPr="00050F33">
        <w:rPr>
          <w:rFonts w:ascii="Arial" w:hAnsi="Arial" w:cs="Arial"/>
          <w:i/>
          <w:iCs/>
          <w:color w:val="222222"/>
          <w:shd w:val="clear" w:color="auto" w:fill="FFFFFF"/>
        </w:rPr>
        <w:t>Journal of the Association for Information Systems</w:t>
      </w:r>
      <w:r w:rsidRPr="00050F33">
        <w:rPr>
          <w:rFonts w:ascii="Arial" w:hAnsi="Arial" w:cs="Arial"/>
          <w:color w:val="222222"/>
          <w:shd w:val="clear" w:color="auto" w:fill="FFFFFF"/>
        </w:rPr>
        <w:t>, </w:t>
      </w:r>
      <w:r w:rsidRPr="00050F33">
        <w:rPr>
          <w:rFonts w:ascii="Arial" w:hAnsi="Arial" w:cs="Arial"/>
          <w:i/>
          <w:iCs/>
          <w:color w:val="222222"/>
          <w:shd w:val="clear" w:color="auto" w:fill="FFFFFF"/>
        </w:rPr>
        <w:t>12</w:t>
      </w:r>
      <w:r w:rsidRPr="00050F33">
        <w:rPr>
          <w:rFonts w:ascii="Arial" w:hAnsi="Arial" w:cs="Arial"/>
          <w:color w:val="222222"/>
          <w:shd w:val="clear" w:color="auto" w:fill="FFFFFF"/>
        </w:rPr>
        <w:t>(12), p.1. DOI: 10.17705/1jais.00281</w:t>
      </w:r>
    </w:p>
    <w:p w14:paraId="0141510B" w14:textId="77777777" w:rsidR="00B841B8" w:rsidRDefault="00B841B8" w:rsidP="00050F33">
      <w:pPr>
        <w:jc w:val="both"/>
        <w:rPr>
          <w:rFonts w:ascii="Arial" w:hAnsi="Arial" w:cs="Arial"/>
          <w:color w:val="222222"/>
          <w:shd w:val="clear" w:color="auto" w:fill="FFFFFF"/>
        </w:rPr>
      </w:pPr>
    </w:p>
    <w:p w14:paraId="70058844" w14:textId="0F4460FB" w:rsidR="00050F33" w:rsidRPr="00050F33" w:rsidRDefault="00050F33" w:rsidP="00050F33">
      <w:pPr>
        <w:jc w:val="both"/>
        <w:rPr>
          <w:rFonts w:ascii="Arial" w:hAnsi="Arial" w:cs="Arial"/>
          <w:color w:val="222222"/>
          <w:shd w:val="clear" w:color="auto" w:fill="FFFFFF"/>
        </w:rPr>
      </w:pPr>
      <w:r w:rsidRPr="00050F33">
        <w:rPr>
          <w:rFonts w:ascii="Arial" w:hAnsi="Arial" w:cs="Arial"/>
          <w:color w:val="222222"/>
          <w:shd w:val="clear" w:color="auto" w:fill="FFFFFF"/>
        </w:rPr>
        <w:t xml:space="preserve">Youn, S. (2009) ‘Determinants of online privacy concern and its influence on privacy protection </w:t>
      </w:r>
      <w:r w:rsidR="009F7904">
        <w:rPr>
          <w:rFonts w:ascii="Arial" w:hAnsi="Arial" w:cs="Arial"/>
          <w:color w:val="222222"/>
          <w:shd w:val="clear" w:color="auto" w:fill="FFFFFF"/>
        </w:rPr>
        <w:t>behaviour</w:t>
      </w:r>
      <w:r w:rsidRPr="00050F33">
        <w:rPr>
          <w:rFonts w:ascii="Arial" w:hAnsi="Arial" w:cs="Arial"/>
          <w:color w:val="222222"/>
          <w:shd w:val="clear" w:color="auto" w:fill="FFFFFF"/>
        </w:rPr>
        <w:t>s among young adolescents’, </w:t>
      </w:r>
      <w:r w:rsidRPr="00050F33">
        <w:rPr>
          <w:rFonts w:ascii="Arial" w:hAnsi="Arial" w:cs="Arial"/>
          <w:i/>
          <w:iCs/>
          <w:color w:val="222222"/>
          <w:shd w:val="clear" w:color="auto" w:fill="FFFFFF"/>
        </w:rPr>
        <w:t>Journal of Consumer Affairs</w:t>
      </w:r>
      <w:r w:rsidRPr="00050F33">
        <w:rPr>
          <w:rFonts w:ascii="Arial" w:hAnsi="Arial" w:cs="Arial"/>
          <w:color w:val="222222"/>
          <w:shd w:val="clear" w:color="auto" w:fill="FFFFFF"/>
        </w:rPr>
        <w:t>, </w:t>
      </w:r>
      <w:r w:rsidRPr="00050F33">
        <w:rPr>
          <w:rFonts w:ascii="Arial" w:hAnsi="Arial" w:cs="Arial"/>
          <w:i/>
          <w:iCs/>
          <w:color w:val="222222"/>
          <w:shd w:val="clear" w:color="auto" w:fill="FFFFFF"/>
        </w:rPr>
        <w:t>43</w:t>
      </w:r>
      <w:r w:rsidRPr="00050F33">
        <w:rPr>
          <w:rFonts w:ascii="Arial" w:hAnsi="Arial" w:cs="Arial"/>
          <w:color w:val="222222"/>
          <w:shd w:val="clear" w:color="auto" w:fill="FFFFFF"/>
        </w:rPr>
        <w:t>(3), pp.389-418.  </w:t>
      </w:r>
      <w:hyperlink r:id="rId35" w:history="1">
        <w:r w:rsidRPr="00050F33">
          <w:rPr>
            <w:rStyle w:val="Hyperlink"/>
            <w:rFonts w:ascii="Arial" w:hAnsi="Arial" w:cs="Arial"/>
            <w:bCs/>
            <w:shd w:val="clear" w:color="auto" w:fill="FFFFFF"/>
          </w:rPr>
          <w:t>https://doi.org/10.1111/j.1745-6606.2009.01146.x</w:t>
        </w:r>
      </w:hyperlink>
    </w:p>
    <w:p w14:paraId="1F498B92" w14:textId="77777777" w:rsidR="00050F33" w:rsidRPr="00050F33" w:rsidRDefault="00050F33" w:rsidP="00050F33">
      <w:pPr>
        <w:pStyle w:val="Appendix"/>
        <w:spacing w:after="0"/>
        <w:jc w:val="both"/>
        <w:rPr>
          <w:rFonts w:ascii="Arial" w:hAnsi="Arial" w:cs="Arial"/>
          <w:b w:val="0"/>
          <w:sz w:val="20"/>
        </w:rPr>
      </w:pPr>
    </w:p>
    <w:p w14:paraId="456AEC59" w14:textId="77777777" w:rsidR="00050F33" w:rsidRPr="00050F33" w:rsidRDefault="00050F33" w:rsidP="00050F33">
      <w:pPr>
        <w:rPr>
          <w:rFonts w:ascii="Arial" w:hAnsi="Arial" w:cs="Arial"/>
        </w:rPr>
      </w:pPr>
    </w:p>
    <w:sectPr w:rsidR="00050F33" w:rsidRPr="00050F33" w:rsidSect="00AA4C84">
      <w:headerReference w:type="even" r:id="rId36"/>
      <w:headerReference w:type="default" r:id="rId37"/>
      <w:footerReference w:type="even" r:id="rId38"/>
      <w:footerReference w:type="default" r:id="rId39"/>
      <w:headerReference w:type="first" r:id="rId40"/>
      <w:footerReference w:type="first" r:id="rId41"/>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F1BD" w14:textId="77777777" w:rsidR="000D66E9" w:rsidRDefault="000D66E9" w:rsidP="00C37E61">
      <w:r>
        <w:separator/>
      </w:r>
    </w:p>
  </w:endnote>
  <w:endnote w:type="continuationSeparator" w:id="0">
    <w:p w14:paraId="08DCE863" w14:textId="77777777" w:rsidR="000D66E9" w:rsidRDefault="000D66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D06E" w14:textId="77777777" w:rsidR="00C37CE5" w:rsidRDefault="00C3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EDE5" w14:textId="77777777" w:rsidR="00C37CE5" w:rsidRDefault="00C37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1474" w14:textId="77777777" w:rsidR="00C37CE5" w:rsidRDefault="00C3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FF4B" w14:textId="77777777" w:rsidR="000D66E9" w:rsidRDefault="000D66E9" w:rsidP="00C37E61">
      <w:r>
        <w:separator/>
      </w:r>
    </w:p>
  </w:footnote>
  <w:footnote w:type="continuationSeparator" w:id="0">
    <w:p w14:paraId="76D5AEAF" w14:textId="77777777" w:rsidR="000D66E9" w:rsidRDefault="000D66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0F6E" w14:textId="2FA2A839" w:rsidR="00C37CE5" w:rsidRDefault="00000000">
    <w:pPr>
      <w:pStyle w:val="Header"/>
    </w:pPr>
    <w:r>
      <w:rPr>
        <w:noProof/>
      </w:rPr>
      <w:pict w14:anchorId="6EDD0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50751"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7ADD" w14:textId="332AD3F1" w:rsidR="00C37CE5" w:rsidRDefault="00000000">
    <w:pPr>
      <w:pStyle w:val="Header"/>
    </w:pPr>
    <w:r>
      <w:rPr>
        <w:noProof/>
      </w:rPr>
      <w:pict w14:anchorId="076E7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50752"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5326" w14:textId="0F6AA0B9" w:rsidR="00C37CE5" w:rsidRDefault="00000000">
    <w:pPr>
      <w:pStyle w:val="Header"/>
    </w:pPr>
    <w:r>
      <w:rPr>
        <w:noProof/>
      </w:rPr>
      <w:pict w14:anchorId="0DEE7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50750" o:spid="_x0000_s1025"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924706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5269830">
    <w:abstractNumId w:val="15"/>
  </w:num>
  <w:num w:numId="3" w16cid:durableId="1801999762">
    <w:abstractNumId w:val="23"/>
  </w:num>
  <w:num w:numId="4" w16cid:durableId="5516199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62461055">
    <w:abstractNumId w:val="7"/>
  </w:num>
  <w:num w:numId="6" w16cid:durableId="1704093526">
    <w:abstractNumId w:val="6"/>
  </w:num>
  <w:num w:numId="7" w16cid:durableId="1813134304">
    <w:abstractNumId w:val="1"/>
  </w:num>
  <w:num w:numId="8" w16cid:durableId="1391225924">
    <w:abstractNumId w:val="12"/>
  </w:num>
  <w:num w:numId="9" w16cid:durableId="894466808">
    <w:abstractNumId w:val="25"/>
  </w:num>
  <w:num w:numId="10" w16cid:durableId="313800277">
    <w:abstractNumId w:val="2"/>
  </w:num>
  <w:num w:numId="11" w16cid:durableId="1381441302">
    <w:abstractNumId w:val="18"/>
  </w:num>
  <w:num w:numId="12" w16cid:durableId="1902864521">
    <w:abstractNumId w:val="3"/>
  </w:num>
  <w:num w:numId="13" w16cid:durableId="385420621">
    <w:abstractNumId w:val="17"/>
  </w:num>
  <w:num w:numId="14" w16cid:durableId="798844787">
    <w:abstractNumId w:val="8"/>
  </w:num>
  <w:num w:numId="15" w16cid:durableId="1295521381">
    <w:abstractNumId w:val="21"/>
  </w:num>
  <w:num w:numId="16" w16cid:durableId="723602955">
    <w:abstractNumId w:val="5"/>
  </w:num>
  <w:num w:numId="17" w16cid:durableId="2141343768">
    <w:abstractNumId w:val="22"/>
  </w:num>
  <w:num w:numId="18" w16cid:durableId="930044724">
    <w:abstractNumId w:val="14"/>
  </w:num>
  <w:num w:numId="19" w16cid:durableId="7222209">
    <w:abstractNumId w:val="28"/>
  </w:num>
  <w:num w:numId="20" w16cid:durableId="337004043">
    <w:abstractNumId w:val="11"/>
  </w:num>
  <w:num w:numId="21" w16cid:durableId="1736321804">
    <w:abstractNumId w:val="9"/>
  </w:num>
  <w:num w:numId="22" w16cid:durableId="84692447">
    <w:abstractNumId w:val="13"/>
  </w:num>
  <w:num w:numId="23" w16cid:durableId="1676807803">
    <w:abstractNumId w:val="19"/>
  </w:num>
  <w:num w:numId="24" w16cid:durableId="2134401730">
    <w:abstractNumId w:val="26"/>
  </w:num>
  <w:num w:numId="25" w16cid:durableId="747387280">
    <w:abstractNumId w:val="4"/>
  </w:num>
  <w:num w:numId="26" w16cid:durableId="1180855818">
    <w:abstractNumId w:val="16"/>
  </w:num>
  <w:num w:numId="27" w16cid:durableId="806514494">
    <w:abstractNumId w:val="20"/>
  </w:num>
  <w:num w:numId="28" w16cid:durableId="436142169">
    <w:abstractNumId w:val="27"/>
  </w:num>
  <w:num w:numId="29" w16cid:durableId="1464348466">
    <w:abstractNumId w:val="24"/>
  </w:num>
  <w:num w:numId="30" w16cid:durableId="1490637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3BAB"/>
    <w:rsid w:val="0004579C"/>
    <w:rsid w:val="00046ADC"/>
    <w:rsid w:val="00050F33"/>
    <w:rsid w:val="00054732"/>
    <w:rsid w:val="000843C3"/>
    <w:rsid w:val="00096823"/>
    <w:rsid w:val="000A47FA"/>
    <w:rsid w:val="000A65D3"/>
    <w:rsid w:val="000B1E33"/>
    <w:rsid w:val="000D66E9"/>
    <w:rsid w:val="000D689F"/>
    <w:rsid w:val="000E12A5"/>
    <w:rsid w:val="000E7B7B"/>
    <w:rsid w:val="000E7D62"/>
    <w:rsid w:val="00103357"/>
    <w:rsid w:val="001204EB"/>
    <w:rsid w:val="00123C9F"/>
    <w:rsid w:val="00126190"/>
    <w:rsid w:val="00130F17"/>
    <w:rsid w:val="001320BF"/>
    <w:rsid w:val="001615A1"/>
    <w:rsid w:val="00163BC4"/>
    <w:rsid w:val="00170270"/>
    <w:rsid w:val="001772E3"/>
    <w:rsid w:val="00191062"/>
    <w:rsid w:val="00192B72"/>
    <w:rsid w:val="001A29D8"/>
    <w:rsid w:val="001A5CAA"/>
    <w:rsid w:val="001B0427"/>
    <w:rsid w:val="001C0D3E"/>
    <w:rsid w:val="001D3A51"/>
    <w:rsid w:val="001E10D2"/>
    <w:rsid w:val="001E25B4"/>
    <w:rsid w:val="001E44FE"/>
    <w:rsid w:val="001E5A87"/>
    <w:rsid w:val="00200595"/>
    <w:rsid w:val="00203DC5"/>
    <w:rsid w:val="002040BD"/>
    <w:rsid w:val="00204835"/>
    <w:rsid w:val="00214D4A"/>
    <w:rsid w:val="00216A01"/>
    <w:rsid w:val="00231920"/>
    <w:rsid w:val="0023195C"/>
    <w:rsid w:val="002400CE"/>
    <w:rsid w:val="0024282C"/>
    <w:rsid w:val="00244328"/>
    <w:rsid w:val="002460DC"/>
    <w:rsid w:val="002508B5"/>
    <w:rsid w:val="00250985"/>
    <w:rsid w:val="00251489"/>
    <w:rsid w:val="002556F6"/>
    <w:rsid w:val="00270EF1"/>
    <w:rsid w:val="00283105"/>
    <w:rsid w:val="00284C4C"/>
    <w:rsid w:val="00287E68"/>
    <w:rsid w:val="00290C91"/>
    <w:rsid w:val="00296529"/>
    <w:rsid w:val="002B27FB"/>
    <w:rsid w:val="002B3F65"/>
    <w:rsid w:val="002B685A"/>
    <w:rsid w:val="002C57D2"/>
    <w:rsid w:val="002C591E"/>
    <w:rsid w:val="002D19CF"/>
    <w:rsid w:val="002D7C9E"/>
    <w:rsid w:val="002E0D56"/>
    <w:rsid w:val="002F2835"/>
    <w:rsid w:val="00315186"/>
    <w:rsid w:val="0033343E"/>
    <w:rsid w:val="003512C2"/>
    <w:rsid w:val="00371FB6"/>
    <w:rsid w:val="00374DEE"/>
    <w:rsid w:val="003763C1"/>
    <w:rsid w:val="00376BBE"/>
    <w:rsid w:val="003811CF"/>
    <w:rsid w:val="0039224F"/>
    <w:rsid w:val="0039383F"/>
    <w:rsid w:val="0039698C"/>
    <w:rsid w:val="003A43A4"/>
    <w:rsid w:val="003A7E18"/>
    <w:rsid w:val="003C00D4"/>
    <w:rsid w:val="003C4C86"/>
    <w:rsid w:val="003C6258"/>
    <w:rsid w:val="003E2904"/>
    <w:rsid w:val="003F2E5C"/>
    <w:rsid w:val="00401927"/>
    <w:rsid w:val="00407FAB"/>
    <w:rsid w:val="0041027F"/>
    <w:rsid w:val="00410FE8"/>
    <w:rsid w:val="0041197B"/>
    <w:rsid w:val="00412475"/>
    <w:rsid w:val="00423789"/>
    <w:rsid w:val="00440F43"/>
    <w:rsid w:val="00441B6F"/>
    <w:rsid w:val="00446221"/>
    <w:rsid w:val="00450E62"/>
    <w:rsid w:val="004539DB"/>
    <w:rsid w:val="00454B7B"/>
    <w:rsid w:val="00471A80"/>
    <w:rsid w:val="00476DFE"/>
    <w:rsid w:val="00494736"/>
    <w:rsid w:val="004D305E"/>
    <w:rsid w:val="004D4277"/>
    <w:rsid w:val="004E5C24"/>
    <w:rsid w:val="004F29A4"/>
    <w:rsid w:val="00502516"/>
    <w:rsid w:val="00505F06"/>
    <w:rsid w:val="00506828"/>
    <w:rsid w:val="00506EE8"/>
    <w:rsid w:val="00514ED5"/>
    <w:rsid w:val="005174C9"/>
    <w:rsid w:val="0053056E"/>
    <w:rsid w:val="00532D31"/>
    <w:rsid w:val="00554FDA"/>
    <w:rsid w:val="00556357"/>
    <w:rsid w:val="0058793E"/>
    <w:rsid w:val="00592C12"/>
    <w:rsid w:val="005C784C"/>
    <w:rsid w:val="005D17F6"/>
    <w:rsid w:val="005D683F"/>
    <w:rsid w:val="005D6A1A"/>
    <w:rsid w:val="005E5539"/>
    <w:rsid w:val="00600B52"/>
    <w:rsid w:val="00602BF5"/>
    <w:rsid w:val="00617FDD"/>
    <w:rsid w:val="00622FFC"/>
    <w:rsid w:val="00633614"/>
    <w:rsid w:val="00633F68"/>
    <w:rsid w:val="00636EB2"/>
    <w:rsid w:val="006375B8"/>
    <w:rsid w:val="0064005C"/>
    <w:rsid w:val="0066510A"/>
    <w:rsid w:val="00673F9F"/>
    <w:rsid w:val="006771D3"/>
    <w:rsid w:val="00686953"/>
    <w:rsid w:val="00686A42"/>
    <w:rsid w:val="00687DEA"/>
    <w:rsid w:val="00687E67"/>
    <w:rsid w:val="006967F7"/>
    <w:rsid w:val="006A250C"/>
    <w:rsid w:val="006B21D3"/>
    <w:rsid w:val="006B57D0"/>
    <w:rsid w:val="006D30FF"/>
    <w:rsid w:val="006D6940"/>
    <w:rsid w:val="006E3D26"/>
    <w:rsid w:val="006F11EC"/>
    <w:rsid w:val="0070082C"/>
    <w:rsid w:val="00706528"/>
    <w:rsid w:val="00717A93"/>
    <w:rsid w:val="007369E6"/>
    <w:rsid w:val="00746E59"/>
    <w:rsid w:val="00754C9A"/>
    <w:rsid w:val="0075599A"/>
    <w:rsid w:val="00761D52"/>
    <w:rsid w:val="0077749E"/>
    <w:rsid w:val="007858B5"/>
    <w:rsid w:val="00790AAF"/>
    <w:rsid w:val="00790ADA"/>
    <w:rsid w:val="007A6F77"/>
    <w:rsid w:val="007C0017"/>
    <w:rsid w:val="007C4A33"/>
    <w:rsid w:val="007D2288"/>
    <w:rsid w:val="007E088F"/>
    <w:rsid w:val="007F7B32"/>
    <w:rsid w:val="00804BC2"/>
    <w:rsid w:val="00807DA0"/>
    <w:rsid w:val="0081431A"/>
    <w:rsid w:val="00821A20"/>
    <w:rsid w:val="0083216F"/>
    <w:rsid w:val="00835A7D"/>
    <w:rsid w:val="0084528F"/>
    <w:rsid w:val="00860000"/>
    <w:rsid w:val="00863BD3"/>
    <w:rsid w:val="008641ED"/>
    <w:rsid w:val="00866D66"/>
    <w:rsid w:val="008671C6"/>
    <w:rsid w:val="00875803"/>
    <w:rsid w:val="008B459E"/>
    <w:rsid w:val="008E13AE"/>
    <w:rsid w:val="008E1506"/>
    <w:rsid w:val="008E710C"/>
    <w:rsid w:val="008F69D6"/>
    <w:rsid w:val="00902823"/>
    <w:rsid w:val="00912BD2"/>
    <w:rsid w:val="00915CA6"/>
    <w:rsid w:val="0091605C"/>
    <w:rsid w:val="0092515D"/>
    <w:rsid w:val="00927834"/>
    <w:rsid w:val="009500A6"/>
    <w:rsid w:val="00957C18"/>
    <w:rsid w:val="009659BA"/>
    <w:rsid w:val="00982679"/>
    <w:rsid w:val="009827C8"/>
    <w:rsid w:val="00983040"/>
    <w:rsid w:val="009A0585"/>
    <w:rsid w:val="009A7A8E"/>
    <w:rsid w:val="009B337F"/>
    <w:rsid w:val="009B338E"/>
    <w:rsid w:val="009B3FB9"/>
    <w:rsid w:val="009B58AD"/>
    <w:rsid w:val="009C1F00"/>
    <w:rsid w:val="009C2465"/>
    <w:rsid w:val="009D35A0"/>
    <w:rsid w:val="009D57E8"/>
    <w:rsid w:val="009D7EB7"/>
    <w:rsid w:val="009E048A"/>
    <w:rsid w:val="009E08E9"/>
    <w:rsid w:val="009E3DB9"/>
    <w:rsid w:val="009E6E35"/>
    <w:rsid w:val="009F0EDA"/>
    <w:rsid w:val="009F7904"/>
    <w:rsid w:val="00A03B96"/>
    <w:rsid w:val="00A05B19"/>
    <w:rsid w:val="00A1134E"/>
    <w:rsid w:val="00A24E7E"/>
    <w:rsid w:val="00A258C3"/>
    <w:rsid w:val="00A347C0"/>
    <w:rsid w:val="00A441AE"/>
    <w:rsid w:val="00A51431"/>
    <w:rsid w:val="00A539AD"/>
    <w:rsid w:val="00A704AB"/>
    <w:rsid w:val="00A94063"/>
    <w:rsid w:val="00A9443A"/>
    <w:rsid w:val="00AA142D"/>
    <w:rsid w:val="00AA34CC"/>
    <w:rsid w:val="00AA3B03"/>
    <w:rsid w:val="00AA4C84"/>
    <w:rsid w:val="00AA6219"/>
    <w:rsid w:val="00AA74E0"/>
    <w:rsid w:val="00AB703F"/>
    <w:rsid w:val="00AC6BB8"/>
    <w:rsid w:val="00AD69AF"/>
    <w:rsid w:val="00AE008F"/>
    <w:rsid w:val="00B01FCD"/>
    <w:rsid w:val="00B13215"/>
    <w:rsid w:val="00B1776C"/>
    <w:rsid w:val="00B21BB7"/>
    <w:rsid w:val="00B320FA"/>
    <w:rsid w:val="00B52583"/>
    <w:rsid w:val="00B52896"/>
    <w:rsid w:val="00B5444B"/>
    <w:rsid w:val="00B55103"/>
    <w:rsid w:val="00B6518B"/>
    <w:rsid w:val="00B65C17"/>
    <w:rsid w:val="00B841B8"/>
    <w:rsid w:val="00B95236"/>
    <w:rsid w:val="00B96BD9"/>
    <w:rsid w:val="00BA1B01"/>
    <w:rsid w:val="00BA2641"/>
    <w:rsid w:val="00BB37AA"/>
    <w:rsid w:val="00BC1230"/>
    <w:rsid w:val="00BC53A0"/>
    <w:rsid w:val="00BE62AD"/>
    <w:rsid w:val="00BF121F"/>
    <w:rsid w:val="00BF1F80"/>
    <w:rsid w:val="00C146BC"/>
    <w:rsid w:val="00C166EF"/>
    <w:rsid w:val="00C172FA"/>
    <w:rsid w:val="00C17EB0"/>
    <w:rsid w:val="00C27F5F"/>
    <w:rsid w:val="00C30A0F"/>
    <w:rsid w:val="00C37CE5"/>
    <w:rsid w:val="00C37E61"/>
    <w:rsid w:val="00C70F1B"/>
    <w:rsid w:val="00C71A47"/>
    <w:rsid w:val="00C7464C"/>
    <w:rsid w:val="00C85588"/>
    <w:rsid w:val="00CA2506"/>
    <w:rsid w:val="00CD6755"/>
    <w:rsid w:val="00CD6856"/>
    <w:rsid w:val="00CE0089"/>
    <w:rsid w:val="00CE2485"/>
    <w:rsid w:val="00CE70A6"/>
    <w:rsid w:val="00CE793C"/>
    <w:rsid w:val="00CF193C"/>
    <w:rsid w:val="00CF7D2C"/>
    <w:rsid w:val="00D173F1"/>
    <w:rsid w:val="00D266D5"/>
    <w:rsid w:val="00D4264A"/>
    <w:rsid w:val="00D56FA5"/>
    <w:rsid w:val="00D6002D"/>
    <w:rsid w:val="00D74CB0"/>
    <w:rsid w:val="00D81FC0"/>
    <w:rsid w:val="00D8295D"/>
    <w:rsid w:val="00D8472C"/>
    <w:rsid w:val="00D9156C"/>
    <w:rsid w:val="00DA3C97"/>
    <w:rsid w:val="00DB45C2"/>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1BE7"/>
    <w:rsid w:val="00EA012C"/>
    <w:rsid w:val="00EA2022"/>
    <w:rsid w:val="00EC6A55"/>
    <w:rsid w:val="00ED0288"/>
    <w:rsid w:val="00EE52CB"/>
    <w:rsid w:val="00EF581D"/>
    <w:rsid w:val="00EF7FD8"/>
    <w:rsid w:val="00F00E3A"/>
    <w:rsid w:val="00F06F59"/>
    <w:rsid w:val="00F1730C"/>
    <w:rsid w:val="00F17988"/>
    <w:rsid w:val="00F25400"/>
    <w:rsid w:val="00F325B1"/>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6959CF7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autoRedefine/>
    <w:uiPriority w:val="99"/>
    <w:unhideWhenUsed/>
    <w:qFormat/>
    <w:rsid w:val="00686A42"/>
    <w:pPr>
      <w:spacing w:before="100" w:beforeAutospacing="1" w:after="100" w:afterAutospacing="1" w:line="360" w:lineRule="auto"/>
      <w:jc w:val="right"/>
    </w:pPr>
    <w:rPr>
      <w:rFonts w:ascii="Arial" w:hAnsi="Arial" w:cs="Arial"/>
      <w:vertAlign w:val="superscript"/>
      <w:lang w:val="en-GB" w:eastAsia="en-GB"/>
    </w:rPr>
  </w:style>
  <w:style w:type="table" w:styleId="LightShading">
    <w:name w:val="Light Shading"/>
    <w:basedOn w:val="TableNormal"/>
    <w:uiPriority w:val="60"/>
    <w:rsid w:val="007A6F77"/>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01">
    <w:name w:val="fontstyle01"/>
    <w:basedOn w:val="DefaultParagraphFont"/>
    <w:rsid w:val="007A6F7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6/science.aaa1465" TargetMode="External"/><Relationship Id="rId13" Type="http://schemas.openxmlformats.org/officeDocument/2006/relationships/hyperlink" Target="https://doi.org/10.1145/1753326.1753689" TargetMode="External"/><Relationship Id="rId18" Type="http://schemas.openxmlformats.org/officeDocument/2006/relationships/hyperlink" Target="https://doi.org/10.1007/978-981-16-4884-7_6" TargetMode="External"/><Relationship Id="rId26" Type="http://schemas.openxmlformats.org/officeDocument/2006/relationships/hyperlink" Target="https://doi.org/10.2307/41409969"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4018/978-1-7998-4117-3.ch009" TargetMode="External"/><Relationship Id="rId34" Type="http://schemas.openxmlformats.org/officeDocument/2006/relationships/hyperlink" Target="http://dx.doi.org/10.1111/j.1083-6101.2005.tb00259.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chb.2010.03.013" TargetMode="External"/><Relationship Id="rId17" Type="http://schemas.openxmlformats.org/officeDocument/2006/relationships/hyperlink" Target="http://www.dataprotection.org.gh/" TargetMode="External"/><Relationship Id="rId25" Type="http://schemas.openxmlformats.org/officeDocument/2006/relationships/hyperlink" Target="https://psycnet.apa.org/doi/10.1111/j.1745-6606.2004.tb00865.x" TargetMode="External"/><Relationship Id="rId33" Type="http://schemas.openxmlformats.org/officeDocument/2006/relationships/hyperlink" Target="http://dx.doi.org/10.3390/electronics11020246"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141/2215-07" TargetMode="External"/><Relationship Id="rId20" Type="http://schemas.openxmlformats.org/officeDocument/2006/relationships/hyperlink" Target="https://doi.org/10.1145/3167996.3167999" TargetMode="External"/><Relationship Id="rId29" Type="http://schemas.openxmlformats.org/officeDocument/2006/relationships/hyperlink" Target="https://doi.org/10.1108/ITP-05-2023-0467"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41409971" TargetMode="External"/><Relationship Id="rId24" Type="http://schemas.openxmlformats.org/officeDocument/2006/relationships/hyperlink" Target="http://dx.doi.org/10.1509/jppm.25.2.238" TargetMode="External"/><Relationship Id="rId32" Type="http://schemas.openxmlformats.org/officeDocument/2006/relationships/hyperlink" Target="http://dx.doi.org/10.14569/IJACSA.2017.08112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978-3-642-27576-0_2" TargetMode="External"/><Relationship Id="rId23" Type="http://schemas.openxmlformats.org/officeDocument/2006/relationships/hyperlink" Target="https://doi.org/10.17645/mac.v8i2.2846" TargetMode="External"/><Relationship Id="rId28" Type="http://schemas.openxmlformats.org/officeDocument/2006/relationships/hyperlink" Target="https://doi.org/10.1109/CBI.2019.00063" TargetMode="External"/><Relationship Id="rId36" Type="http://schemas.openxmlformats.org/officeDocument/2006/relationships/header" Target="header1.xml"/><Relationship Id="rId10" Type="http://schemas.openxmlformats.org/officeDocument/2006/relationships/hyperlink" Target="https://doi.org/10.1111/jcom.12276" TargetMode="External"/><Relationship Id="rId19" Type="http://schemas.openxmlformats.org/officeDocument/2006/relationships/hyperlink" Target="https://doi.org/10.1016/j.cose.2018.04.002" TargetMode="External"/><Relationship Id="rId31" Type="http://schemas.openxmlformats.org/officeDocument/2006/relationships/hyperlink" Target="https://doi.org/10.3934/mbe.2020286" TargetMode="External"/><Relationship Id="rId4" Type="http://schemas.openxmlformats.org/officeDocument/2006/relationships/settings" Target="settings.xml"/><Relationship Id="rId9" Type="http://schemas.openxmlformats.org/officeDocument/2006/relationships/hyperlink" Target="https://doi.org/10.1016/j.tele.2017.04.013" TargetMode="External"/><Relationship Id="rId14" Type="http://schemas.openxmlformats.org/officeDocument/2006/relationships/hyperlink" Target="https://doi.org/10.1145/3529320.3529327" TargetMode="External"/><Relationship Id="rId22" Type="http://schemas.openxmlformats.org/officeDocument/2006/relationships/hyperlink" Target="https://doi.org/10.1016/j.jretconser.2015.01.005" TargetMode="External"/><Relationship Id="rId27" Type="http://schemas.openxmlformats.org/officeDocument/2006/relationships/hyperlink" Target="https://doi.org/10.1007/978-3-642-03315-5_17" TargetMode="External"/><Relationship Id="rId30" Type="http://schemas.openxmlformats.org/officeDocument/2006/relationships/hyperlink" Target="http://pewinternet.org/Reports/2013/Anonymity-online.aspx" TargetMode="External"/><Relationship Id="rId35" Type="http://schemas.openxmlformats.org/officeDocument/2006/relationships/hyperlink" Target="https://doi.org/10.1111/j.1745-6606.2009.01146.x"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62FDD-B067-480C-A116-9CCE8A99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272</TotalTime>
  <Pages>13</Pages>
  <Words>8037</Words>
  <Characters>45812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53742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100</cp:revision>
  <cp:lastPrinted>2025-10-28T14:14:00Z</cp:lastPrinted>
  <dcterms:created xsi:type="dcterms:W3CDTF">2014-10-25T14:34:00Z</dcterms:created>
  <dcterms:modified xsi:type="dcterms:W3CDTF">2025-11-04T09:49:00Z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ad00d802-2934-4902-85da-0d0663c6986b</vt:lpwstr>
  </property>
</Properties>
</file>