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E3A53" w14:textId="77777777" w:rsidR="00840294" w:rsidRPr="00ED0A45" w:rsidRDefault="00840294" w:rsidP="00B153BE">
      <w:pPr>
        <w:pStyle w:val="Author"/>
        <w:spacing w:line="240" w:lineRule="auto"/>
        <w:rPr>
          <w:rFonts w:asciiTheme="minorBidi" w:hAnsiTheme="minorBidi" w:cstheme="minorBidi"/>
          <w:bCs/>
          <w:iCs/>
          <w:kern w:val="28"/>
          <w:sz w:val="36"/>
        </w:rPr>
      </w:pPr>
      <w:r w:rsidRPr="00ED0A45">
        <w:rPr>
          <w:rFonts w:asciiTheme="minorBidi" w:hAnsiTheme="minorBidi" w:cstheme="minorBidi"/>
          <w:bCs/>
          <w:iCs/>
          <w:kern w:val="28"/>
          <w:sz w:val="36"/>
        </w:rPr>
        <w:t xml:space="preserve">Case report               </w:t>
      </w:r>
    </w:p>
    <w:p w14:paraId="7B2AE673" w14:textId="77777777" w:rsidR="00840294" w:rsidRPr="00ED0A45" w:rsidRDefault="00840294" w:rsidP="00B153BE">
      <w:pPr>
        <w:pStyle w:val="Author"/>
        <w:spacing w:line="240" w:lineRule="auto"/>
        <w:rPr>
          <w:rFonts w:asciiTheme="minorBidi" w:hAnsiTheme="minorBidi" w:cstheme="minorBidi"/>
          <w:bCs/>
          <w:iCs/>
          <w:kern w:val="28"/>
          <w:sz w:val="36"/>
        </w:rPr>
      </w:pPr>
    </w:p>
    <w:p w14:paraId="4B8E01D5" w14:textId="3CC5A5BC" w:rsidR="00AE4014" w:rsidRPr="00ED0A45" w:rsidRDefault="00ED0A45" w:rsidP="00E6032F">
      <w:pPr>
        <w:pStyle w:val="Affiliation"/>
        <w:spacing w:after="0" w:line="240" w:lineRule="auto"/>
        <w:rPr>
          <w:rFonts w:asciiTheme="minorBidi" w:hAnsiTheme="minorBidi" w:cstheme="minorBidi"/>
          <w:i/>
        </w:rPr>
      </w:pPr>
      <w:r w:rsidRPr="00ED0A45">
        <w:rPr>
          <w:rFonts w:asciiTheme="minorBidi" w:hAnsiTheme="minorBidi" w:cstheme="minorBidi"/>
          <w:b/>
          <w:bCs/>
          <w:iCs/>
          <w:kern w:val="28"/>
          <w:sz w:val="36"/>
        </w:rPr>
        <w:t>Budd Chiari Syndrome secondary to Pernicious anemia: an acquired thrombophilia</w:t>
      </w:r>
    </w:p>
    <w:p w14:paraId="668186AC" w14:textId="71C26AF1" w:rsidR="00FA3BA5" w:rsidRPr="00ED0A45" w:rsidRDefault="00ED0A45" w:rsidP="00E6032F">
      <w:pPr>
        <w:pStyle w:val="Affiliation"/>
        <w:spacing w:after="0" w:line="240" w:lineRule="auto"/>
        <w:rPr>
          <w:rFonts w:asciiTheme="minorBidi" w:hAnsiTheme="minorBidi" w:cstheme="minorBidi"/>
          <w:i/>
        </w:rPr>
      </w:pPr>
      <w:r w:rsidRPr="00ED0A45">
        <w:rPr>
          <w:rFonts w:asciiTheme="minorBidi" w:hAnsiTheme="minorBidi" w:cstheme="minorBidi"/>
          <w:noProof/>
        </w:rPr>
        <mc:AlternateContent>
          <mc:Choice Requires="wps">
            <w:drawing>
              <wp:inline distT="0" distB="0" distL="0" distR="0" wp14:anchorId="4A8D9C88" wp14:editId="35BAE659">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A04F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" strokeweight="1.5pt">
                <o:lock v:ext="edit" shapetype="f"/>
                <w10:anchorlock/>
              </v:shape>
            </w:pict>
          </mc:Fallback>
        </mc:AlternateContent>
      </w:r>
    </w:p>
    <w:p w14:paraId="500559F0" w14:textId="77777777" w:rsidR="00790ADA" w:rsidRPr="00ED0A45" w:rsidRDefault="00790ADA" w:rsidP="00B153BE">
      <w:pPr>
        <w:pStyle w:val="Affiliation"/>
        <w:spacing w:after="0" w:line="240" w:lineRule="auto"/>
        <w:jc w:val="both"/>
        <w:rPr>
          <w:rFonts w:asciiTheme="minorBidi" w:hAnsiTheme="minorBidi" w:cstheme="minorBidi"/>
        </w:rPr>
      </w:pPr>
    </w:p>
    <w:p w14:paraId="7858244D" w14:textId="30084294" w:rsidR="002C57D2" w:rsidRPr="00ED0A45" w:rsidRDefault="002C57D2" w:rsidP="00B153BE">
      <w:pPr>
        <w:pStyle w:val="Affiliation"/>
        <w:spacing w:after="0" w:line="240" w:lineRule="auto"/>
        <w:jc w:val="both"/>
        <w:rPr>
          <w:rFonts w:asciiTheme="minorBidi" w:hAnsiTheme="minorBidi" w:cstheme="minorBidi"/>
        </w:rPr>
      </w:pPr>
    </w:p>
    <w:p w14:paraId="68758F30" w14:textId="77777777" w:rsidR="00B01FCD" w:rsidRPr="00ED0A45" w:rsidRDefault="00FB3A86" w:rsidP="00B153BE">
      <w:pPr>
        <w:pStyle w:val="Copyright"/>
        <w:spacing w:after="0" w:line="240" w:lineRule="auto"/>
        <w:jc w:val="both"/>
        <w:rPr>
          <w:rFonts w:asciiTheme="minorBidi" w:hAnsiTheme="minorBidi" w:cstheme="minorBidi"/>
        </w:rPr>
        <w:sectPr w:rsidR="00B01FCD" w:rsidRPr="00ED0A45" w:rsidSect="00FA3BA5">
          <w:headerReference w:type="even" r:id="rId8"/>
          <w:headerReference w:type="default" r:id="rId9"/>
          <w:footerReference w:type="even" r:id="rId10"/>
          <w:footerReference w:type="default" r:id="rId11"/>
          <w:headerReference w:type="first" r:id="rId12"/>
          <w:footerReference w:type="first" r:id="rId13"/>
          <w:pgSz w:w="12240" w:h="15840" w:code="1"/>
          <w:pgMar w:top="1417" w:right="1417" w:bottom="1417" w:left="1417" w:header="720" w:footer="1296" w:gutter="0"/>
          <w:cols w:space="720"/>
          <w:docGrid w:linePitch="272"/>
        </w:sectPr>
      </w:pPr>
      <w:r w:rsidRPr="00ED0A45">
        <w:rPr>
          <w:rFonts w:asciiTheme="minorBidi" w:hAnsiTheme="minorBidi" w:cstheme="minorBidi"/>
        </w:rPr>
        <w:t>.</w:t>
      </w:r>
    </w:p>
    <w:p w14:paraId="01030FF7" w14:textId="77777777" w:rsidR="00B153BE" w:rsidRPr="00ED0A45" w:rsidRDefault="00B01FCD" w:rsidP="00B153BE">
      <w:pPr>
        <w:pStyle w:val="AbstHead"/>
        <w:spacing w:after="0"/>
        <w:jc w:val="right"/>
        <w:rPr>
          <w:rFonts w:asciiTheme="minorBidi" w:hAnsiTheme="minorBidi" w:cstheme="minorBidi"/>
        </w:rPr>
      </w:pPr>
      <w:r w:rsidRPr="00ED0A45">
        <w:rPr>
          <w:rFonts w:asciiTheme="minorBidi" w:hAnsiTheme="minorBidi" w:cstheme="minorBidi"/>
        </w:rPr>
        <w:t>ABSTRACT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410"/>
      </w:tblGrid>
      <w:tr w:rsidR="00296529" w:rsidRPr="00ED0A45" w14:paraId="58F0410F" w14:textId="77777777" w:rsidTr="00B153BE">
        <w:trPr>
          <w:jc w:val="right"/>
        </w:trPr>
        <w:tc>
          <w:tcPr>
            <w:tcW w:w="9576" w:type="dxa"/>
            <w:shd w:val="clear" w:color="auto" w:fill="F2F2F2"/>
          </w:tcPr>
          <w:p w14:paraId="6D881CF1" w14:textId="77777777" w:rsidR="00B153BE" w:rsidRPr="00ED0A45" w:rsidRDefault="00B153BE" w:rsidP="00B153BE">
            <w:pPr>
              <w:pStyle w:val="Body"/>
              <w:rPr>
                <w:rFonts w:asciiTheme="minorBidi" w:eastAsia="Calibri" w:hAnsiTheme="minorBidi" w:cstheme="minorBidi"/>
                <w:sz w:val="22"/>
                <w:szCs w:val="22"/>
              </w:rPr>
            </w:pPr>
            <w:r w:rsidRPr="00ED0A45">
              <w:rPr>
                <w:rFonts w:asciiTheme="minorBidi" w:eastAsia="Calibri" w:hAnsiTheme="minorBidi" w:cstheme="minorBidi"/>
                <w:sz w:val="22"/>
                <w:szCs w:val="22"/>
              </w:rPr>
              <w:t xml:space="preserve">Budd-Chiari Syndrome (BCS) results from obstruction of hepatic venous outflow and is frequently linked to prothrombotic conditions. Acquired causes such as vitamin B12 deficiency anemia due to pernicious anemia remain underrecognized. </w:t>
            </w:r>
          </w:p>
          <w:p w14:paraId="19CB3BD2" w14:textId="77777777" w:rsidR="00B153BE" w:rsidRPr="00ED0A45" w:rsidRDefault="00B153BE" w:rsidP="00B153BE">
            <w:pPr>
              <w:pStyle w:val="Body"/>
              <w:rPr>
                <w:rFonts w:asciiTheme="minorBidi" w:eastAsia="Calibri" w:hAnsiTheme="minorBidi" w:cstheme="minorBidi"/>
                <w:sz w:val="22"/>
                <w:szCs w:val="22"/>
              </w:rPr>
            </w:pPr>
            <w:r w:rsidRPr="00ED0A45">
              <w:rPr>
                <w:rFonts w:asciiTheme="minorBidi" w:eastAsia="Calibri" w:hAnsiTheme="minorBidi" w:cstheme="minorBidi"/>
                <w:sz w:val="22"/>
                <w:szCs w:val="22"/>
              </w:rPr>
              <w:t>We describe a 61-year-old patient admitted with progressive abdominal distension, diffuse abdominal pain, and lower limb edema. Clinical examination revealed ascites, collateral venous circulation, and hepatosplenomegaly. Laboratory evaluation showed severe macrocytic anemia, low serum cobalamin levels, elevated homocysteine, and positive intrinsic factor antibodies, confirming pernicious anemia. Liver function tests indicated cholestasis and mild cytolysis. abdominal CT demonstrated hepatic vein thrombosis with caudate lobe hypertrophy and signs of portal hypertension. Extensive thrombophilia screening excluded myeloproliferative neoplasms and antiphospholipid syndrome. The patient was managed with low-molecular-weight heparin followed by oral anticoagulation, in association with parenteral vitamin B12 supplementation and diuretic therapy. Clinical follow-up showed improvement of ascites, regression of collateral circulation, and stabilization of liver function after several months.</w:t>
            </w:r>
          </w:p>
          <w:p w14:paraId="24C2A675" w14:textId="77777777" w:rsidR="00B153BE" w:rsidRPr="00ED0A45" w:rsidRDefault="00B153BE" w:rsidP="00B153BE">
            <w:pPr>
              <w:pStyle w:val="Body"/>
              <w:rPr>
                <w:rFonts w:asciiTheme="minorBidi" w:eastAsia="Calibri" w:hAnsiTheme="minorBidi" w:cstheme="minorBidi"/>
                <w:sz w:val="22"/>
                <w:szCs w:val="22"/>
              </w:rPr>
            </w:pPr>
            <w:r w:rsidRPr="00ED0A45">
              <w:rPr>
                <w:rFonts w:asciiTheme="minorBidi" w:eastAsia="Calibri" w:hAnsiTheme="minorBidi" w:cstheme="minorBidi"/>
                <w:sz w:val="22"/>
                <w:szCs w:val="22"/>
              </w:rPr>
              <w:t>This case underlines the role of pernicious anemia as a reversible acquired thrombophilia. Cobalamin deficiency induces hyperhomocysteinemia, which is prothrombotic and may trigger hepatic venous obstruction. Identifying this mechanism is clinically relevant, since targeted correction with vitamin B12 can reduce thrombotic risk in addition to anticoagulation. Portal hypertension in this patient was therefore not only a consequence of venous outflow obstruction but also a marker of delayed diagnosis.</w:t>
            </w:r>
          </w:p>
          <w:p w14:paraId="5A788EB3" w14:textId="66E9A56C" w:rsidR="00B153BE" w:rsidRPr="00ED0A45" w:rsidRDefault="00B153BE" w:rsidP="00B153BE">
            <w:pPr>
              <w:pStyle w:val="Body"/>
              <w:rPr>
                <w:rFonts w:asciiTheme="minorBidi" w:eastAsia="Calibri" w:hAnsiTheme="minorBidi" w:cstheme="minorBidi"/>
                <w:sz w:val="22"/>
                <w:szCs w:val="22"/>
              </w:rPr>
            </w:pPr>
            <w:r w:rsidRPr="00ED0A45">
              <w:rPr>
                <w:rFonts w:asciiTheme="minorBidi" w:eastAsia="Calibri" w:hAnsiTheme="minorBidi" w:cstheme="minorBidi"/>
                <w:sz w:val="22"/>
                <w:szCs w:val="22"/>
              </w:rPr>
              <w:t>Early diagnosis and cobalamin replacement, in combination with anticoagulation, can improve clinical outcomes and prevent recurrence by correcting a reversible prothrombotic state.</w:t>
            </w:r>
          </w:p>
          <w:p w14:paraId="5E074BB5" w14:textId="77777777" w:rsidR="00505F06" w:rsidRPr="00ED0A45" w:rsidRDefault="00505F06" w:rsidP="00B153BE">
            <w:pPr>
              <w:pStyle w:val="Body"/>
              <w:spacing w:after="0"/>
              <w:rPr>
                <w:rFonts w:asciiTheme="minorBidi" w:eastAsia="Calibri" w:hAnsiTheme="minorBidi" w:cstheme="minorBidi"/>
                <w:szCs w:val="22"/>
              </w:rPr>
            </w:pPr>
          </w:p>
        </w:tc>
      </w:tr>
    </w:tbl>
    <w:p w14:paraId="13FCC248" w14:textId="77777777" w:rsidR="00636EB2" w:rsidRPr="00ED0A45" w:rsidRDefault="00636EB2" w:rsidP="00B153BE">
      <w:pPr>
        <w:pStyle w:val="Body"/>
        <w:spacing w:after="0"/>
        <w:rPr>
          <w:rFonts w:asciiTheme="minorBidi" w:hAnsiTheme="minorBidi" w:cstheme="minorBidi"/>
          <w:i/>
        </w:rPr>
      </w:pPr>
    </w:p>
    <w:p w14:paraId="62B5F1DC" w14:textId="77777777" w:rsidR="00790ADA" w:rsidRPr="00ED0A45" w:rsidRDefault="00A24E7E" w:rsidP="00B153BE">
      <w:pPr>
        <w:pStyle w:val="Body"/>
        <w:spacing w:after="0"/>
        <w:rPr>
          <w:rFonts w:asciiTheme="minorBidi" w:hAnsiTheme="minorBidi" w:cstheme="minorBidi"/>
          <w:i/>
          <w:sz w:val="22"/>
          <w:szCs w:val="22"/>
        </w:rPr>
      </w:pPr>
      <w:r w:rsidRPr="00ED0A45">
        <w:rPr>
          <w:rFonts w:asciiTheme="minorBidi" w:hAnsiTheme="minorBidi" w:cstheme="minorBidi"/>
          <w:i/>
          <w:sz w:val="22"/>
          <w:szCs w:val="22"/>
        </w:rPr>
        <w:t xml:space="preserve">Keywords: </w:t>
      </w:r>
      <w:r w:rsidR="00B153BE" w:rsidRPr="00ED0A45">
        <w:rPr>
          <w:rFonts w:asciiTheme="minorBidi" w:hAnsiTheme="minorBidi" w:cstheme="minorBidi"/>
          <w:i/>
          <w:sz w:val="22"/>
          <w:szCs w:val="22"/>
        </w:rPr>
        <w:t>Budd–Chiari syndrome; pernicious anemia; portal hypertension; acquired thrombophilia; hepatic vein thrombosis; vitamin B12 deficiency</w:t>
      </w:r>
    </w:p>
    <w:p w14:paraId="790C7D7A" w14:textId="77777777" w:rsidR="00B153BE" w:rsidRPr="00ED0A45" w:rsidRDefault="00B153BE" w:rsidP="00B153BE">
      <w:pPr>
        <w:pStyle w:val="Body"/>
        <w:spacing w:after="0"/>
        <w:rPr>
          <w:rFonts w:asciiTheme="minorBidi" w:hAnsiTheme="minorBidi" w:cstheme="minorBidi"/>
          <w:i/>
        </w:rPr>
      </w:pPr>
    </w:p>
    <w:p w14:paraId="6F36BB7C" w14:textId="77777777" w:rsidR="00505F06" w:rsidRPr="00ED0A45" w:rsidRDefault="00505F06" w:rsidP="00B153BE">
      <w:pPr>
        <w:pStyle w:val="Body"/>
        <w:spacing w:after="0"/>
        <w:rPr>
          <w:rFonts w:asciiTheme="minorBidi" w:hAnsiTheme="minorBidi" w:cstheme="minorBidi"/>
          <w:i/>
        </w:rPr>
      </w:pPr>
    </w:p>
    <w:p w14:paraId="21C38227" w14:textId="77777777" w:rsidR="007F7B32" w:rsidRPr="00ED0A45" w:rsidRDefault="00902823" w:rsidP="00B153BE">
      <w:pPr>
        <w:pStyle w:val="AbstHead"/>
        <w:spacing w:after="0"/>
        <w:jc w:val="both"/>
        <w:rPr>
          <w:rFonts w:asciiTheme="minorBidi" w:hAnsiTheme="minorBidi" w:cstheme="minorBidi"/>
        </w:rPr>
      </w:pPr>
      <w:r w:rsidRPr="00ED0A45">
        <w:rPr>
          <w:rFonts w:asciiTheme="minorBidi" w:hAnsiTheme="minorBidi" w:cstheme="minorBidi"/>
        </w:rPr>
        <w:lastRenderedPageBreak/>
        <w:t xml:space="preserve">1. </w:t>
      </w:r>
      <w:r w:rsidR="00B01FCD" w:rsidRPr="00ED0A45">
        <w:rPr>
          <w:rFonts w:asciiTheme="minorBidi" w:hAnsiTheme="minorBidi" w:cstheme="minorBidi"/>
        </w:rPr>
        <w:t>INTRODUCTION</w:t>
      </w:r>
      <w:r w:rsidR="007F7B32" w:rsidRPr="00ED0A45">
        <w:rPr>
          <w:rFonts w:asciiTheme="minorBidi" w:hAnsiTheme="minorBidi" w:cstheme="minorBidi"/>
        </w:rPr>
        <w:t xml:space="preserve"> </w:t>
      </w:r>
    </w:p>
    <w:p w14:paraId="6464E09E" w14:textId="77777777" w:rsidR="00790ADA" w:rsidRPr="00ED0A45" w:rsidRDefault="00790ADA" w:rsidP="00B153BE">
      <w:pPr>
        <w:pStyle w:val="AbstHead"/>
        <w:spacing w:after="0"/>
        <w:jc w:val="both"/>
        <w:rPr>
          <w:rFonts w:asciiTheme="minorBidi" w:hAnsiTheme="minorBidi" w:cstheme="minorBidi"/>
        </w:rPr>
      </w:pPr>
    </w:p>
    <w:p w14:paraId="3F679598" w14:textId="0DCEB8BA" w:rsidR="00ED0A45" w:rsidRDefault="00ED0A45" w:rsidP="00ED0A45">
      <w:pPr>
        <w:pStyle w:val="AbstHead"/>
        <w:spacing w:after="0"/>
        <w:jc w:val="both"/>
        <w:rPr>
          <w:rFonts w:asciiTheme="minorBidi" w:hAnsiTheme="minorBidi" w:cstheme="minorBidi"/>
          <w:b w:val="0"/>
          <w:caps w:val="0"/>
          <w:szCs w:val="22"/>
          <w:lang w:val="en-US"/>
        </w:rPr>
      </w:pPr>
      <w:r w:rsidRPr="00ED0A45">
        <w:rPr>
          <w:rFonts w:asciiTheme="minorBidi" w:hAnsiTheme="minorBidi" w:cstheme="minorBidi"/>
          <w:b w:val="0"/>
          <w:caps w:val="0"/>
          <w:szCs w:val="22"/>
          <w:lang w:val="en-US"/>
        </w:rPr>
        <w:t>Budd–</w:t>
      </w:r>
      <w:r>
        <w:rPr>
          <w:rFonts w:asciiTheme="minorBidi" w:hAnsiTheme="minorBidi" w:cstheme="minorBidi"/>
          <w:b w:val="0"/>
          <w:caps w:val="0"/>
          <w:szCs w:val="22"/>
          <w:lang w:val="en-US"/>
        </w:rPr>
        <w:t>C</w:t>
      </w:r>
      <w:r w:rsidRPr="00ED0A45">
        <w:rPr>
          <w:rFonts w:asciiTheme="minorBidi" w:hAnsiTheme="minorBidi" w:cstheme="minorBidi"/>
          <w:b w:val="0"/>
          <w:caps w:val="0"/>
          <w:szCs w:val="22"/>
          <w:lang w:val="en-US"/>
        </w:rPr>
        <w:t xml:space="preserve">hiari syndrome </w:t>
      </w:r>
      <w:r>
        <w:rPr>
          <w:rFonts w:asciiTheme="minorBidi" w:hAnsiTheme="minorBidi" w:cstheme="minorBidi"/>
          <w:b w:val="0"/>
          <w:caps w:val="0"/>
          <w:szCs w:val="22"/>
          <w:lang w:val="en-US"/>
        </w:rPr>
        <w:t xml:space="preserve">(BCS) </w:t>
      </w:r>
      <w:r w:rsidRPr="00ED0A45">
        <w:rPr>
          <w:rFonts w:asciiTheme="minorBidi" w:hAnsiTheme="minorBidi" w:cstheme="minorBidi"/>
          <w:b w:val="0"/>
          <w:caps w:val="0"/>
          <w:szCs w:val="22"/>
          <w:lang w:val="en-US"/>
        </w:rPr>
        <w:t xml:space="preserve">is an uncommon but severe hepatic vascular disorder resulting from partial or complete obstruction of hepatic venous outflow, extending from the small hepatic venules to the terminal portion of the inferior vena cava. This obstruction leads to hepatic congestion, portal hypertension, hepatocellular injury, and, if untreated, progressive fibrosis or cirrhosis. </w:t>
      </w:r>
    </w:p>
    <w:p w14:paraId="2EFED6D1" w14:textId="77777777" w:rsidR="00ED0A45" w:rsidRDefault="00ED0A45" w:rsidP="00ED0A45">
      <w:pPr>
        <w:pStyle w:val="AbstHead"/>
        <w:spacing w:after="0"/>
        <w:jc w:val="both"/>
        <w:rPr>
          <w:rFonts w:asciiTheme="minorBidi" w:hAnsiTheme="minorBidi" w:cstheme="minorBidi"/>
          <w:b w:val="0"/>
          <w:caps w:val="0"/>
          <w:szCs w:val="22"/>
          <w:lang w:val="en-US"/>
        </w:rPr>
      </w:pPr>
    </w:p>
    <w:p w14:paraId="6E06525C" w14:textId="4F22555D" w:rsidR="00ED0A45" w:rsidRPr="00ED0A45" w:rsidRDefault="00ED0A45" w:rsidP="00ED0A45">
      <w:pPr>
        <w:pStyle w:val="AbstHead"/>
        <w:spacing w:after="0"/>
        <w:jc w:val="both"/>
        <w:rPr>
          <w:rFonts w:asciiTheme="minorBidi" w:hAnsiTheme="minorBidi" w:cstheme="minorBidi"/>
          <w:b w:val="0"/>
          <w:caps w:val="0"/>
          <w:szCs w:val="22"/>
          <w:lang w:val="en-US"/>
        </w:rPr>
      </w:pPr>
      <w:r w:rsidRPr="00ED0A45">
        <w:rPr>
          <w:rFonts w:asciiTheme="minorBidi" w:hAnsiTheme="minorBidi" w:cstheme="minorBidi"/>
          <w:b w:val="0"/>
          <w:caps w:val="0"/>
          <w:szCs w:val="22"/>
          <w:lang w:val="en-US"/>
        </w:rPr>
        <w:t xml:space="preserve">The clinical spectrum of </w:t>
      </w:r>
      <w:r>
        <w:rPr>
          <w:rFonts w:asciiTheme="minorBidi" w:hAnsiTheme="minorBidi" w:cstheme="minorBidi"/>
          <w:b w:val="0"/>
          <w:caps w:val="0"/>
          <w:szCs w:val="22"/>
          <w:lang w:val="en-US"/>
        </w:rPr>
        <w:t>BCS</w:t>
      </w:r>
      <w:r w:rsidRPr="00ED0A45">
        <w:rPr>
          <w:rFonts w:asciiTheme="minorBidi" w:hAnsiTheme="minorBidi" w:cstheme="minorBidi"/>
          <w:b w:val="0"/>
          <w:caps w:val="0"/>
          <w:szCs w:val="22"/>
          <w:lang w:val="en-US"/>
        </w:rPr>
        <w:t xml:space="preserve"> is highly variable, ranging from asymptomatic or subclinical forms to acute liver failure.</w:t>
      </w:r>
    </w:p>
    <w:p w14:paraId="1DB0811E" w14:textId="4A8CDAE1" w:rsidR="00ED0A45" w:rsidRDefault="00ED0A45" w:rsidP="00ED0A45">
      <w:pPr>
        <w:pStyle w:val="AbstHead"/>
        <w:spacing w:after="0"/>
        <w:rPr>
          <w:rFonts w:asciiTheme="minorBidi" w:hAnsiTheme="minorBidi" w:cstheme="minorBidi"/>
          <w:b w:val="0"/>
          <w:caps w:val="0"/>
          <w:szCs w:val="22"/>
          <w:lang w:val="en-US"/>
        </w:rPr>
      </w:pPr>
      <w:r w:rsidRPr="00ED0A45">
        <w:rPr>
          <w:rFonts w:asciiTheme="minorBidi" w:hAnsiTheme="minorBidi" w:cstheme="minorBidi"/>
          <w:b w:val="0"/>
          <w:caps w:val="0"/>
          <w:szCs w:val="22"/>
          <w:lang w:val="en-US"/>
        </w:rPr>
        <w:t xml:space="preserve">In most cases, </w:t>
      </w:r>
      <w:r>
        <w:rPr>
          <w:rFonts w:asciiTheme="minorBidi" w:hAnsiTheme="minorBidi" w:cstheme="minorBidi"/>
          <w:b w:val="0"/>
          <w:caps w:val="0"/>
          <w:szCs w:val="22"/>
          <w:lang w:val="en-US"/>
        </w:rPr>
        <w:t>BCS</w:t>
      </w:r>
      <w:r w:rsidRPr="00ED0A45">
        <w:rPr>
          <w:rFonts w:asciiTheme="minorBidi" w:hAnsiTheme="minorBidi" w:cstheme="minorBidi"/>
          <w:b w:val="0"/>
          <w:caps w:val="0"/>
          <w:szCs w:val="22"/>
          <w:lang w:val="en-US"/>
        </w:rPr>
        <w:t xml:space="preserve"> is secondary to prothrombotic conditions, either inherited or acquired, including myeloproliferative neoplasms</w:t>
      </w:r>
      <w:r>
        <w:rPr>
          <w:rFonts w:asciiTheme="minorBidi" w:hAnsiTheme="minorBidi" w:cstheme="minorBidi"/>
          <w:b w:val="0"/>
          <w:caps w:val="0"/>
          <w:szCs w:val="22"/>
          <w:lang w:val="en-US"/>
        </w:rPr>
        <w:t xml:space="preserve">; </w:t>
      </w:r>
      <w:r w:rsidRPr="00ED0A45">
        <w:rPr>
          <w:rFonts w:asciiTheme="minorBidi" w:hAnsiTheme="minorBidi" w:cstheme="minorBidi"/>
          <w:b w:val="0"/>
          <w:caps w:val="0"/>
          <w:szCs w:val="22"/>
          <w:lang w:val="en-US"/>
        </w:rPr>
        <w:t xml:space="preserve">antiphospholipid syndrome, paroxysmal nocturnal hemoglobinuria, and protein C or S deficiencies (2). </w:t>
      </w:r>
    </w:p>
    <w:p w14:paraId="5C8A1CAF" w14:textId="77777777" w:rsidR="00ED0A45" w:rsidRDefault="00ED0A45" w:rsidP="00ED0A45">
      <w:pPr>
        <w:pStyle w:val="AbstHead"/>
        <w:spacing w:after="0"/>
        <w:rPr>
          <w:rFonts w:asciiTheme="minorBidi" w:hAnsiTheme="minorBidi" w:cstheme="minorBidi"/>
          <w:b w:val="0"/>
          <w:caps w:val="0"/>
          <w:szCs w:val="22"/>
          <w:lang w:val="en-US"/>
        </w:rPr>
      </w:pPr>
    </w:p>
    <w:p w14:paraId="03927EE0" w14:textId="3C2308BF" w:rsidR="00ED0A45" w:rsidRDefault="00ED0A45" w:rsidP="00ED0A45">
      <w:pPr>
        <w:pStyle w:val="AbstHead"/>
        <w:spacing w:after="0"/>
        <w:rPr>
          <w:rFonts w:asciiTheme="minorBidi" w:hAnsiTheme="minorBidi" w:cstheme="minorBidi"/>
          <w:b w:val="0"/>
          <w:caps w:val="0"/>
          <w:szCs w:val="22"/>
          <w:lang w:val="en-US"/>
        </w:rPr>
      </w:pPr>
      <w:r w:rsidRPr="00ED0A45">
        <w:rPr>
          <w:rFonts w:asciiTheme="minorBidi" w:hAnsiTheme="minorBidi" w:cstheme="minorBidi"/>
          <w:b w:val="0"/>
          <w:caps w:val="0"/>
          <w:szCs w:val="22"/>
          <w:lang w:val="en-US"/>
        </w:rPr>
        <w:t>However, reversible metabolic and nutritional causes of thrombophilia,</w:t>
      </w:r>
      <w:r>
        <w:rPr>
          <w:rFonts w:asciiTheme="minorBidi" w:hAnsiTheme="minorBidi" w:cstheme="minorBidi"/>
          <w:b w:val="0"/>
          <w:caps w:val="0"/>
          <w:szCs w:val="22"/>
          <w:lang w:val="en-US"/>
        </w:rPr>
        <w:t xml:space="preserve"> </w:t>
      </w:r>
      <w:r w:rsidRPr="00ED0A45">
        <w:rPr>
          <w:rFonts w:asciiTheme="minorBidi" w:hAnsiTheme="minorBidi" w:cstheme="minorBidi"/>
          <w:b w:val="0"/>
          <w:caps w:val="0"/>
          <w:szCs w:val="22"/>
          <w:lang w:val="en-US"/>
        </w:rPr>
        <w:t>such</w:t>
      </w:r>
      <w:r>
        <w:rPr>
          <w:rFonts w:asciiTheme="minorBidi" w:hAnsiTheme="minorBidi" w:cstheme="minorBidi"/>
          <w:b w:val="0"/>
          <w:caps w:val="0"/>
          <w:szCs w:val="22"/>
          <w:lang w:val="en-US"/>
        </w:rPr>
        <w:t xml:space="preserve"> </w:t>
      </w:r>
      <w:r w:rsidRPr="00ED0A45">
        <w:rPr>
          <w:rFonts w:asciiTheme="minorBidi" w:hAnsiTheme="minorBidi" w:cstheme="minorBidi"/>
          <w:b w:val="0"/>
          <w:caps w:val="0"/>
          <w:szCs w:val="22"/>
          <w:lang w:val="en-US"/>
        </w:rPr>
        <w:t>as vitamin b12 deficiency–related hyperhomocysteinemia, remain underrecognized and may represent a potentially preventable etiology of hepatic venous thrombosis</w:t>
      </w:r>
      <w:r>
        <w:rPr>
          <w:rFonts w:asciiTheme="minorBidi" w:hAnsiTheme="minorBidi" w:cstheme="minorBidi"/>
          <w:b w:val="0"/>
          <w:caps w:val="0"/>
          <w:szCs w:val="22"/>
          <w:lang w:val="en-US"/>
        </w:rPr>
        <w:t xml:space="preserve">. </w:t>
      </w:r>
    </w:p>
    <w:p w14:paraId="3A41BE37" w14:textId="77777777" w:rsidR="00ED0A45" w:rsidRPr="00ED0A45" w:rsidRDefault="00ED0A45" w:rsidP="00ED0A45">
      <w:pPr>
        <w:pStyle w:val="AbstHead"/>
        <w:spacing w:after="0"/>
        <w:rPr>
          <w:rFonts w:asciiTheme="minorBidi" w:hAnsiTheme="minorBidi" w:cstheme="minorBidi"/>
          <w:b w:val="0"/>
          <w:szCs w:val="22"/>
          <w:lang w:val="en-US"/>
        </w:rPr>
      </w:pPr>
    </w:p>
    <w:p w14:paraId="50FE7510" w14:textId="6001DB08" w:rsidR="00B153BE" w:rsidRPr="00ED0A45" w:rsidRDefault="00ED0A45" w:rsidP="00ED0A45">
      <w:pPr>
        <w:pStyle w:val="AbstHead"/>
        <w:spacing w:after="0"/>
        <w:jc w:val="both"/>
        <w:rPr>
          <w:rFonts w:asciiTheme="minorBidi" w:hAnsiTheme="minorBidi" w:cstheme="minorBidi"/>
          <w:b w:val="0"/>
          <w:caps w:val="0"/>
          <w:szCs w:val="22"/>
          <w:lang w:val="en-US"/>
        </w:rPr>
      </w:pPr>
      <w:r w:rsidRPr="00ED0A45">
        <w:rPr>
          <w:rFonts w:asciiTheme="minorBidi" w:hAnsiTheme="minorBidi" w:cstheme="minorBidi"/>
          <w:b w:val="0"/>
          <w:caps w:val="0"/>
          <w:szCs w:val="22"/>
          <w:lang w:val="en-US"/>
        </w:rPr>
        <w:t xml:space="preserve">We report </w:t>
      </w:r>
      <w:r w:rsidRPr="00ED0A45">
        <w:rPr>
          <w:rFonts w:asciiTheme="minorBidi" w:hAnsiTheme="minorBidi" w:cstheme="minorBidi"/>
          <w:b w:val="0"/>
          <w:caps w:val="0"/>
          <w:szCs w:val="22"/>
          <w:lang w:val="en-US"/>
        </w:rPr>
        <w:t xml:space="preserve">a </w:t>
      </w:r>
      <w:r w:rsidRPr="00ED0A45">
        <w:rPr>
          <w:rFonts w:asciiTheme="minorBidi" w:hAnsiTheme="minorBidi" w:cstheme="minorBidi"/>
          <w:b w:val="0"/>
          <w:caps w:val="0"/>
          <w:szCs w:val="22"/>
          <w:lang w:val="en-US"/>
        </w:rPr>
        <w:t>case of BCS secondary to vitamin B12 deficiency–induced</w:t>
      </w:r>
      <w:r w:rsidRPr="00ED0A45">
        <w:rPr>
          <w:rFonts w:asciiTheme="minorBidi" w:hAnsiTheme="minorBidi" w:cstheme="minorBidi"/>
          <w:b w:val="0"/>
          <w:caps w:val="0"/>
          <w:szCs w:val="22"/>
          <w:lang w:val="en-US"/>
        </w:rPr>
        <w:t xml:space="preserve">. </w:t>
      </w:r>
    </w:p>
    <w:p w14:paraId="423CAA48" w14:textId="77777777" w:rsidR="00ED0A45" w:rsidRPr="00ED0A45" w:rsidRDefault="00ED0A45" w:rsidP="00ED0A45">
      <w:pPr>
        <w:pStyle w:val="AbstHead"/>
        <w:spacing w:after="0"/>
        <w:jc w:val="both"/>
        <w:rPr>
          <w:rFonts w:asciiTheme="minorBidi" w:hAnsiTheme="minorBidi" w:cstheme="minorBidi"/>
          <w:sz w:val="28"/>
          <w:szCs w:val="32"/>
          <w:lang w:val="en-US"/>
        </w:rPr>
      </w:pPr>
    </w:p>
    <w:p w14:paraId="4CDDC8D1" w14:textId="77777777" w:rsidR="007F7B32" w:rsidRPr="00ED0A45" w:rsidRDefault="00902823" w:rsidP="00B153BE">
      <w:pPr>
        <w:pStyle w:val="AbstHead"/>
        <w:spacing w:after="0"/>
        <w:jc w:val="both"/>
        <w:rPr>
          <w:rFonts w:asciiTheme="minorBidi" w:hAnsiTheme="minorBidi" w:cstheme="minorBidi"/>
        </w:rPr>
      </w:pPr>
      <w:r w:rsidRPr="00ED0A45">
        <w:rPr>
          <w:rFonts w:asciiTheme="minorBidi" w:hAnsiTheme="minorBidi" w:cstheme="minorBidi"/>
        </w:rPr>
        <w:t xml:space="preserve">2. </w:t>
      </w:r>
      <w:r w:rsidR="00B153BE" w:rsidRPr="00ED0A45">
        <w:rPr>
          <w:rFonts w:asciiTheme="minorBidi" w:hAnsiTheme="minorBidi" w:cstheme="minorBidi"/>
        </w:rPr>
        <w:t xml:space="preserve">Case presentation </w:t>
      </w:r>
    </w:p>
    <w:p w14:paraId="736DEA3E" w14:textId="77777777" w:rsidR="00790ADA" w:rsidRPr="00ED0A45" w:rsidRDefault="00790ADA" w:rsidP="00B153BE">
      <w:pPr>
        <w:pStyle w:val="AbstHead"/>
        <w:spacing w:after="0"/>
        <w:jc w:val="both"/>
        <w:rPr>
          <w:rFonts w:asciiTheme="minorBidi" w:hAnsiTheme="minorBidi" w:cstheme="minorBidi"/>
        </w:rPr>
      </w:pPr>
    </w:p>
    <w:p w14:paraId="5AC03113" w14:textId="77777777" w:rsidR="00B153BE" w:rsidRPr="00ED0A45" w:rsidRDefault="00B153BE" w:rsidP="00B153BE">
      <w:pPr>
        <w:pStyle w:val="Body"/>
        <w:rPr>
          <w:rFonts w:asciiTheme="minorBidi" w:hAnsiTheme="minorBidi" w:cstheme="minorBidi"/>
          <w:sz w:val="22"/>
          <w:szCs w:val="22"/>
        </w:rPr>
      </w:pPr>
      <w:r w:rsidRPr="00ED0A45">
        <w:rPr>
          <w:rFonts w:asciiTheme="minorBidi" w:hAnsiTheme="minorBidi" w:cstheme="minorBidi"/>
          <w:sz w:val="22"/>
          <w:szCs w:val="22"/>
        </w:rPr>
        <w:t>Mr. T.H., a 61-year-old man, presented with progressive abdominal distension associated with an anemic syndrome consisting of dyspnea, palpitations, and asthenia. On admission, abdominal examination did not reveal collateral venous circulation but identified grade II ascites and a cirrhotic-appearing liver with a hepatic span of 11 cm, a sharp anterior edge, and an irregular surface.</w:t>
      </w:r>
    </w:p>
    <w:p w14:paraId="1A279D1E" w14:textId="6E6F3F9E" w:rsidR="00B153BE" w:rsidRDefault="00B153BE" w:rsidP="00B153BE">
      <w:pPr>
        <w:pStyle w:val="Body"/>
        <w:rPr>
          <w:rFonts w:asciiTheme="minorBidi" w:hAnsiTheme="minorBidi" w:cstheme="minorBidi"/>
          <w:sz w:val="22"/>
          <w:szCs w:val="22"/>
        </w:rPr>
      </w:pPr>
      <w:r w:rsidRPr="00ED0A45">
        <w:rPr>
          <w:rFonts w:asciiTheme="minorBidi" w:hAnsiTheme="minorBidi" w:cstheme="minorBidi"/>
          <w:sz w:val="22"/>
          <w:szCs w:val="22"/>
        </w:rPr>
        <w:t xml:space="preserve">Initial laboratory investigations revealed pancytopenia: normochromic normocytic anemia (Hb 10.8 g/dl), leukopenia (WBC 3410/mm³), and thrombocytopenia (138,000/mm³). Liver function tests showed moderate cytolysis (AST 2× ULN), cholestasis (GGT 5× ULN, ALP 1.9× ULN), conjugated hyperbilirubinemia, prothrombin time at 69% (INR 1.21), and normal albumin (35 g/l). (Table 1) </w:t>
      </w:r>
    </w:p>
    <w:p w14:paraId="3CE878A0" w14:textId="3D685F14" w:rsidR="00ED0A45" w:rsidRDefault="00ED0A45" w:rsidP="00B153BE">
      <w:pPr>
        <w:pStyle w:val="Body"/>
        <w:rPr>
          <w:rFonts w:asciiTheme="minorBidi" w:hAnsiTheme="minorBidi" w:cstheme="minorBidi"/>
          <w:sz w:val="22"/>
          <w:szCs w:val="22"/>
        </w:rPr>
      </w:pPr>
    </w:p>
    <w:p w14:paraId="68144AA5" w14:textId="77777777" w:rsidR="00ED0A45" w:rsidRPr="00ED0A45" w:rsidRDefault="00ED0A45" w:rsidP="00B153BE">
      <w:pPr>
        <w:pStyle w:val="Body"/>
        <w:rPr>
          <w:rFonts w:asciiTheme="minorBidi" w:hAnsiTheme="minorBidi" w:cstheme="minorBidi"/>
          <w:sz w:val="22"/>
          <w:szCs w:val="22"/>
        </w:rPr>
      </w:pPr>
    </w:p>
    <w:tbl>
      <w:tblPr>
        <w:tblStyle w:val="TableauListe6Couleur"/>
        <w:tblW w:w="7621" w:type="dxa"/>
        <w:tblLook w:val="04A0" w:firstRow="1" w:lastRow="0" w:firstColumn="1" w:lastColumn="0" w:noHBand="0" w:noVBand="1"/>
      </w:tblPr>
      <w:tblGrid>
        <w:gridCol w:w="3094"/>
        <w:gridCol w:w="2117"/>
        <w:gridCol w:w="2410"/>
      </w:tblGrid>
      <w:tr w:rsidR="00B153BE" w:rsidRPr="00ED0A45" w14:paraId="2C05B355" w14:textId="77777777" w:rsidTr="00B15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7CC33AFF" w14:textId="77777777" w:rsidR="00B153BE" w:rsidRPr="00ED0A45" w:rsidRDefault="00B153BE" w:rsidP="00B153BE">
            <w:pPr>
              <w:jc w:val="both"/>
              <w:rPr>
                <w:rFonts w:asciiTheme="minorBidi" w:hAnsiTheme="minorBidi" w:cstheme="minorBidi"/>
                <w:color w:val="222222"/>
                <w:sz w:val="21"/>
                <w:szCs w:val="21"/>
              </w:rPr>
            </w:pPr>
            <w:r w:rsidRPr="00ED0A45">
              <w:rPr>
                <w:rFonts w:asciiTheme="minorBidi" w:hAnsiTheme="minorBidi" w:cstheme="minorBidi"/>
                <w:color w:val="222222"/>
                <w:sz w:val="21"/>
                <w:szCs w:val="21"/>
              </w:rPr>
              <w:lastRenderedPageBreak/>
              <w:t>Parameter</w:t>
            </w:r>
          </w:p>
        </w:tc>
        <w:tc>
          <w:tcPr>
            <w:tcW w:w="2117" w:type="dxa"/>
            <w:hideMark/>
          </w:tcPr>
          <w:p w14:paraId="68BB4431" w14:textId="77777777" w:rsidR="00B153BE" w:rsidRPr="00ED0A45" w:rsidRDefault="00B153BE" w:rsidP="00B153BE">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Result</w:t>
            </w:r>
          </w:p>
        </w:tc>
        <w:tc>
          <w:tcPr>
            <w:tcW w:w="2410" w:type="dxa"/>
            <w:hideMark/>
          </w:tcPr>
          <w:p w14:paraId="7333F9DE" w14:textId="77777777" w:rsidR="00B153BE" w:rsidRPr="00ED0A45" w:rsidRDefault="00B153BE" w:rsidP="00B153BE">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Reference Range</w:t>
            </w:r>
          </w:p>
        </w:tc>
      </w:tr>
      <w:tr w:rsidR="00B153BE" w:rsidRPr="00ED0A45" w14:paraId="36644E50"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71BD9D1E" w14:textId="77777777" w:rsidR="00B153BE" w:rsidRPr="00ED0A45" w:rsidRDefault="00B153BE" w:rsidP="00B153BE">
            <w:pPr>
              <w:jc w:val="both"/>
              <w:rPr>
                <w:rFonts w:asciiTheme="minorBidi" w:hAnsiTheme="minorBidi" w:cstheme="minorBidi"/>
                <w:b w:val="0"/>
                <w:bCs w:val="0"/>
                <w:color w:val="222222"/>
                <w:sz w:val="21"/>
                <w:szCs w:val="21"/>
              </w:rPr>
            </w:pPr>
            <w:proofErr w:type="spellStart"/>
            <w:r w:rsidRPr="00ED0A45">
              <w:rPr>
                <w:rFonts w:asciiTheme="minorBidi" w:hAnsiTheme="minorBidi" w:cstheme="minorBidi"/>
                <w:b w:val="0"/>
                <w:bCs w:val="0"/>
                <w:color w:val="222222"/>
                <w:sz w:val="21"/>
                <w:szCs w:val="21"/>
              </w:rPr>
              <w:t>Hemoglobin</w:t>
            </w:r>
            <w:proofErr w:type="spellEnd"/>
          </w:p>
        </w:tc>
        <w:tc>
          <w:tcPr>
            <w:tcW w:w="2117" w:type="dxa"/>
            <w:hideMark/>
          </w:tcPr>
          <w:p w14:paraId="12416E8E"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10.8 g/dl</w:t>
            </w:r>
          </w:p>
        </w:tc>
        <w:tc>
          <w:tcPr>
            <w:tcW w:w="2410" w:type="dxa"/>
            <w:hideMark/>
          </w:tcPr>
          <w:p w14:paraId="733AEB5D"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13–17 g/dl</w:t>
            </w:r>
          </w:p>
        </w:tc>
      </w:tr>
      <w:tr w:rsidR="00B153BE" w:rsidRPr="00ED0A45" w14:paraId="4511A455"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411D32E5" w14:textId="77777777" w:rsidR="00B153BE" w:rsidRPr="00ED0A45" w:rsidRDefault="00B153BE" w:rsidP="00B153BE">
            <w:pPr>
              <w:jc w:val="both"/>
              <w:rPr>
                <w:rFonts w:asciiTheme="minorBidi" w:hAnsiTheme="minorBidi" w:cstheme="minorBidi"/>
                <w:b w:val="0"/>
                <w:bCs w:val="0"/>
                <w:color w:val="222222"/>
                <w:sz w:val="21"/>
                <w:szCs w:val="21"/>
              </w:rPr>
            </w:pPr>
            <w:r w:rsidRPr="00ED0A45">
              <w:rPr>
                <w:rFonts w:asciiTheme="minorBidi" w:hAnsiTheme="minorBidi" w:cstheme="minorBidi"/>
                <w:b w:val="0"/>
                <w:bCs w:val="0"/>
                <w:color w:val="222222"/>
                <w:sz w:val="21"/>
                <w:szCs w:val="21"/>
              </w:rPr>
              <w:t>WBC</w:t>
            </w:r>
          </w:p>
        </w:tc>
        <w:tc>
          <w:tcPr>
            <w:tcW w:w="2117" w:type="dxa"/>
            <w:hideMark/>
          </w:tcPr>
          <w:p w14:paraId="1836613F"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3410/mm³</w:t>
            </w:r>
          </w:p>
        </w:tc>
        <w:tc>
          <w:tcPr>
            <w:tcW w:w="2410" w:type="dxa"/>
            <w:hideMark/>
          </w:tcPr>
          <w:p w14:paraId="793D707F"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4000–10,000/mm³</w:t>
            </w:r>
          </w:p>
        </w:tc>
      </w:tr>
      <w:tr w:rsidR="00B153BE" w:rsidRPr="00ED0A45" w14:paraId="19962F35"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50DA35CE" w14:textId="77777777" w:rsidR="00B153BE" w:rsidRPr="00ED0A45" w:rsidRDefault="00B153BE" w:rsidP="00B153BE">
            <w:pPr>
              <w:jc w:val="both"/>
              <w:rPr>
                <w:rFonts w:asciiTheme="minorBidi" w:hAnsiTheme="minorBidi" w:cstheme="minorBidi"/>
                <w:b w:val="0"/>
                <w:bCs w:val="0"/>
                <w:color w:val="222222"/>
                <w:sz w:val="21"/>
                <w:szCs w:val="21"/>
              </w:rPr>
            </w:pPr>
            <w:proofErr w:type="spellStart"/>
            <w:r w:rsidRPr="00ED0A45">
              <w:rPr>
                <w:rFonts w:asciiTheme="minorBidi" w:hAnsiTheme="minorBidi" w:cstheme="minorBidi"/>
                <w:b w:val="0"/>
                <w:bCs w:val="0"/>
                <w:color w:val="222222"/>
                <w:sz w:val="21"/>
                <w:szCs w:val="21"/>
              </w:rPr>
              <w:t>Platelets</w:t>
            </w:r>
            <w:proofErr w:type="spellEnd"/>
          </w:p>
        </w:tc>
        <w:tc>
          <w:tcPr>
            <w:tcW w:w="2117" w:type="dxa"/>
            <w:hideMark/>
          </w:tcPr>
          <w:p w14:paraId="5E4F1360"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138,000/mm³</w:t>
            </w:r>
          </w:p>
        </w:tc>
        <w:tc>
          <w:tcPr>
            <w:tcW w:w="2410" w:type="dxa"/>
            <w:hideMark/>
          </w:tcPr>
          <w:p w14:paraId="1AA7272A"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150,000–400,000/mm³</w:t>
            </w:r>
          </w:p>
        </w:tc>
      </w:tr>
      <w:tr w:rsidR="00B153BE" w:rsidRPr="00ED0A45" w14:paraId="08146F1F"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319DB987" w14:textId="77777777" w:rsidR="00B153BE" w:rsidRPr="00ED0A45" w:rsidRDefault="00B153BE" w:rsidP="00B153BE">
            <w:pPr>
              <w:jc w:val="both"/>
              <w:rPr>
                <w:rFonts w:asciiTheme="minorBidi" w:hAnsiTheme="minorBidi" w:cstheme="minorBidi"/>
                <w:b w:val="0"/>
                <w:bCs w:val="0"/>
                <w:color w:val="222222"/>
                <w:sz w:val="21"/>
                <w:szCs w:val="21"/>
              </w:rPr>
            </w:pPr>
            <w:r w:rsidRPr="00ED0A45">
              <w:rPr>
                <w:rFonts w:asciiTheme="minorBidi" w:hAnsiTheme="minorBidi" w:cstheme="minorBidi"/>
                <w:b w:val="0"/>
                <w:bCs w:val="0"/>
                <w:color w:val="222222"/>
                <w:sz w:val="21"/>
                <w:szCs w:val="21"/>
              </w:rPr>
              <w:t>AST</w:t>
            </w:r>
          </w:p>
        </w:tc>
        <w:tc>
          <w:tcPr>
            <w:tcW w:w="2117" w:type="dxa"/>
            <w:hideMark/>
          </w:tcPr>
          <w:p w14:paraId="0AE34F81"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 xml:space="preserve">73.4 U/l </w:t>
            </w:r>
          </w:p>
        </w:tc>
        <w:tc>
          <w:tcPr>
            <w:tcW w:w="2410" w:type="dxa"/>
            <w:hideMark/>
          </w:tcPr>
          <w:p w14:paraId="4D6DCB13"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&lt;40 U/l</w:t>
            </w:r>
          </w:p>
        </w:tc>
      </w:tr>
      <w:tr w:rsidR="00B153BE" w:rsidRPr="00ED0A45" w14:paraId="718B2AE6"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12F7BC3A" w14:textId="77777777" w:rsidR="00B153BE" w:rsidRPr="00ED0A45" w:rsidRDefault="00B153BE" w:rsidP="00B153BE">
            <w:pPr>
              <w:jc w:val="both"/>
              <w:rPr>
                <w:rFonts w:asciiTheme="minorBidi" w:hAnsiTheme="minorBidi" w:cstheme="minorBidi"/>
                <w:b w:val="0"/>
                <w:bCs w:val="0"/>
                <w:color w:val="222222"/>
                <w:sz w:val="21"/>
                <w:szCs w:val="21"/>
              </w:rPr>
            </w:pPr>
            <w:r w:rsidRPr="00ED0A45">
              <w:rPr>
                <w:rFonts w:asciiTheme="minorBidi" w:hAnsiTheme="minorBidi" w:cstheme="minorBidi"/>
                <w:b w:val="0"/>
                <w:bCs w:val="0"/>
                <w:color w:val="222222"/>
                <w:sz w:val="21"/>
                <w:szCs w:val="21"/>
              </w:rPr>
              <w:t>ALT</w:t>
            </w:r>
          </w:p>
        </w:tc>
        <w:tc>
          <w:tcPr>
            <w:tcW w:w="2117" w:type="dxa"/>
            <w:hideMark/>
          </w:tcPr>
          <w:p w14:paraId="44FCA6E1"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 xml:space="preserve">34.4 U/l </w:t>
            </w:r>
          </w:p>
        </w:tc>
        <w:tc>
          <w:tcPr>
            <w:tcW w:w="2410" w:type="dxa"/>
            <w:hideMark/>
          </w:tcPr>
          <w:p w14:paraId="2B9AED37"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&lt;40 U/l</w:t>
            </w:r>
          </w:p>
        </w:tc>
      </w:tr>
      <w:tr w:rsidR="00B153BE" w:rsidRPr="00ED0A45" w14:paraId="697FB2E2"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02F9A42F" w14:textId="77777777" w:rsidR="00B153BE" w:rsidRPr="00ED0A45" w:rsidRDefault="00B153BE" w:rsidP="00B153BE">
            <w:pPr>
              <w:jc w:val="both"/>
              <w:rPr>
                <w:rFonts w:asciiTheme="minorBidi" w:hAnsiTheme="minorBidi" w:cstheme="minorBidi"/>
                <w:b w:val="0"/>
                <w:bCs w:val="0"/>
                <w:color w:val="222222"/>
                <w:sz w:val="21"/>
                <w:szCs w:val="21"/>
              </w:rPr>
            </w:pPr>
            <w:r w:rsidRPr="00ED0A45">
              <w:rPr>
                <w:rFonts w:asciiTheme="minorBidi" w:hAnsiTheme="minorBidi" w:cstheme="minorBidi"/>
                <w:b w:val="0"/>
                <w:bCs w:val="0"/>
                <w:color w:val="222222"/>
                <w:sz w:val="21"/>
                <w:szCs w:val="21"/>
              </w:rPr>
              <w:t>GGT</w:t>
            </w:r>
          </w:p>
        </w:tc>
        <w:tc>
          <w:tcPr>
            <w:tcW w:w="2117" w:type="dxa"/>
            <w:hideMark/>
          </w:tcPr>
          <w:p w14:paraId="3E1C3E78"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340 U/l (</w:t>
            </w:r>
          </w:p>
        </w:tc>
        <w:tc>
          <w:tcPr>
            <w:tcW w:w="2410" w:type="dxa"/>
            <w:hideMark/>
          </w:tcPr>
          <w:p w14:paraId="5C955F8E"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&lt;55 U/l</w:t>
            </w:r>
          </w:p>
        </w:tc>
      </w:tr>
      <w:tr w:rsidR="00B153BE" w:rsidRPr="00ED0A45" w14:paraId="1813C4E8"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62FE824F" w14:textId="77777777" w:rsidR="00B153BE" w:rsidRPr="00ED0A45" w:rsidRDefault="00B153BE" w:rsidP="00B153BE">
            <w:pPr>
              <w:jc w:val="both"/>
              <w:rPr>
                <w:rFonts w:asciiTheme="minorBidi" w:hAnsiTheme="minorBidi" w:cstheme="minorBidi"/>
                <w:b w:val="0"/>
                <w:bCs w:val="0"/>
                <w:color w:val="222222"/>
                <w:sz w:val="21"/>
                <w:szCs w:val="21"/>
              </w:rPr>
            </w:pPr>
            <w:r w:rsidRPr="00ED0A45">
              <w:rPr>
                <w:rFonts w:asciiTheme="minorBidi" w:hAnsiTheme="minorBidi" w:cstheme="minorBidi"/>
                <w:b w:val="0"/>
                <w:bCs w:val="0"/>
                <w:color w:val="222222"/>
                <w:sz w:val="21"/>
                <w:szCs w:val="21"/>
              </w:rPr>
              <w:t>ALP</w:t>
            </w:r>
          </w:p>
        </w:tc>
        <w:tc>
          <w:tcPr>
            <w:tcW w:w="2117" w:type="dxa"/>
            <w:hideMark/>
          </w:tcPr>
          <w:p w14:paraId="58D9F45A"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 xml:space="preserve">282 U/l </w:t>
            </w:r>
          </w:p>
        </w:tc>
        <w:tc>
          <w:tcPr>
            <w:tcW w:w="2410" w:type="dxa"/>
            <w:hideMark/>
          </w:tcPr>
          <w:p w14:paraId="3C8010DD"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40–150 U/l</w:t>
            </w:r>
          </w:p>
        </w:tc>
      </w:tr>
      <w:tr w:rsidR="00B153BE" w:rsidRPr="00ED0A45" w14:paraId="34FB63F5"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4975AADC" w14:textId="77777777" w:rsidR="00B153BE" w:rsidRPr="00ED0A45" w:rsidRDefault="00B153BE" w:rsidP="00B153BE">
            <w:pPr>
              <w:jc w:val="both"/>
              <w:rPr>
                <w:rFonts w:asciiTheme="minorBidi" w:hAnsiTheme="minorBidi" w:cstheme="minorBidi"/>
                <w:b w:val="0"/>
                <w:bCs w:val="0"/>
                <w:color w:val="222222"/>
                <w:sz w:val="21"/>
                <w:szCs w:val="21"/>
              </w:rPr>
            </w:pPr>
            <w:r w:rsidRPr="00ED0A45">
              <w:rPr>
                <w:rFonts w:asciiTheme="minorBidi" w:hAnsiTheme="minorBidi" w:cstheme="minorBidi"/>
                <w:b w:val="0"/>
                <w:bCs w:val="0"/>
                <w:color w:val="222222"/>
                <w:sz w:val="21"/>
                <w:szCs w:val="21"/>
              </w:rPr>
              <w:t xml:space="preserve">Total </w:t>
            </w:r>
            <w:proofErr w:type="spellStart"/>
            <w:r w:rsidRPr="00ED0A45">
              <w:rPr>
                <w:rFonts w:asciiTheme="minorBidi" w:hAnsiTheme="minorBidi" w:cstheme="minorBidi"/>
                <w:b w:val="0"/>
                <w:bCs w:val="0"/>
                <w:color w:val="222222"/>
                <w:sz w:val="21"/>
                <w:szCs w:val="21"/>
              </w:rPr>
              <w:t>bilirubin</w:t>
            </w:r>
            <w:proofErr w:type="spellEnd"/>
          </w:p>
        </w:tc>
        <w:tc>
          <w:tcPr>
            <w:tcW w:w="2117" w:type="dxa"/>
            <w:hideMark/>
          </w:tcPr>
          <w:p w14:paraId="422884B3"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25 mg/l</w:t>
            </w:r>
          </w:p>
        </w:tc>
        <w:tc>
          <w:tcPr>
            <w:tcW w:w="2410" w:type="dxa"/>
            <w:hideMark/>
          </w:tcPr>
          <w:p w14:paraId="2777AB82"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&lt;12 mg/l</w:t>
            </w:r>
          </w:p>
        </w:tc>
      </w:tr>
      <w:tr w:rsidR="00B153BE" w:rsidRPr="00ED0A45" w14:paraId="1EDC073F"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2B367DA7" w14:textId="77777777" w:rsidR="00B153BE" w:rsidRPr="00ED0A45" w:rsidRDefault="00B153BE" w:rsidP="00B153BE">
            <w:pPr>
              <w:jc w:val="both"/>
              <w:rPr>
                <w:rFonts w:asciiTheme="minorBidi" w:hAnsiTheme="minorBidi" w:cstheme="minorBidi"/>
                <w:b w:val="0"/>
                <w:bCs w:val="0"/>
                <w:color w:val="222222"/>
                <w:sz w:val="21"/>
                <w:szCs w:val="21"/>
              </w:rPr>
            </w:pPr>
            <w:proofErr w:type="spellStart"/>
            <w:r w:rsidRPr="00ED0A45">
              <w:rPr>
                <w:rFonts w:asciiTheme="minorBidi" w:hAnsiTheme="minorBidi" w:cstheme="minorBidi"/>
                <w:b w:val="0"/>
                <w:bCs w:val="0"/>
                <w:color w:val="222222"/>
                <w:sz w:val="21"/>
                <w:szCs w:val="21"/>
              </w:rPr>
              <w:t>Conjugated</w:t>
            </w:r>
            <w:proofErr w:type="spellEnd"/>
            <w:r w:rsidRPr="00ED0A45">
              <w:rPr>
                <w:rFonts w:asciiTheme="minorBidi" w:hAnsiTheme="minorBidi" w:cstheme="minorBidi"/>
                <w:b w:val="0"/>
                <w:bCs w:val="0"/>
                <w:color w:val="222222"/>
                <w:sz w:val="21"/>
                <w:szCs w:val="21"/>
              </w:rPr>
              <w:t xml:space="preserve"> </w:t>
            </w:r>
            <w:proofErr w:type="spellStart"/>
            <w:r w:rsidRPr="00ED0A45">
              <w:rPr>
                <w:rFonts w:asciiTheme="minorBidi" w:hAnsiTheme="minorBidi" w:cstheme="minorBidi"/>
                <w:b w:val="0"/>
                <w:bCs w:val="0"/>
                <w:color w:val="222222"/>
                <w:sz w:val="21"/>
                <w:szCs w:val="21"/>
              </w:rPr>
              <w:t>bilirubin</w:t>
            </w:r>
            <w:proofErr w:type="spellEnd"/>
          </w:p>
        </w:tc>
        <w:tc>
          <w:tcPr>
            <w:tcW w:w="2117" w:type="dxa"/>
            <w:hideMark/>
          </w:tcPr>
          <w:p w14:paraId="647F4CBA"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15 mg/l</w:t>
            </w:r>
          </w:p>
        </w:tc>
        <w:tc>
          <w:tcPr>
            <w:tcW w:w="2410" w:type="dxa"/>
            <w:hideMark/>
          </w:tcPr>
          <w:p w14:paraId="02AF6C57"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&lt;3 mg/l</w:t>
            </w:r>
          </w:p>
        </w:tc>
      </w:tr>
      <w:tr w:rsidR="00B153BE" w:rsidRPr="00ED0A45" w14:paraId="1B74F8E4"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7A0EB3DB" w14:textId="77777777" w:rsidR="00B153BE" w:rsidRPr="00ED0A45" w:rsidRDefault="00B153BE" w:rsidP="00B153BE">
            <w:pPr>
              <w:jc w:val="both"/>
              <w:rPr>
                <w:rFonts w:asciiTheme="minorBidi" w:hAnsiTheme="minorBidi" w:cstheme="minorBidi"/>
                <w:b w:val="0"/>
                <w:bCs w:val="0"/>
                <w:color w:val="222222"/>
                <w:sz w:val="21"/>
                <w:szCs w:val="21"/>
              </w:rPr>
            </w:pPr>
            <w:proofErr w:type="spellStart"/>
            <w:r w:rsidRPr="00ED0A45">
              <w:rPr>
                <w:rFonts w:asciiTheme="minorBidi" w:hAnsiTheme="minorBidi" w:cstheme="minorBidi"/>
                <w:b w:val="0"/>
                <w:bCs w:val="0"/>
                <w:color w:val="222222"/>
                <w:sz w:val="21"/>
                <w:szCs w:val="21"/>
              </w:rPr>
              <w:t>Prothrombin</w:t>
            </w:r>
            <w:proofErr w:type="spellEnd"/>
            <w:r w:rsidRPr="00ED0A45">
              <w:rPr>
                <w:rFonts w:asciiTheme="minorBidi" w:hAnsiTheme="minorBidi" w:cstheme="minorBidi"/>
                <w:b w:val="0"/>
                <w:bCs w:val="0"/>
                <w:color w:val="222222"/>
                <w:sz w:val="21"/>
                <w:szCs w:val="21"/>
              </w:rPr>
              <w:t xml:space="preserve"> time</w:t>
            </w:r>
          </w:p>
        </w:tc>
        <w:tc>
          <w:tcPr>
            <w:tcW w:w="2117" w:type="dxa"/>
            <w:hideMark/>
          </w:tcPr>
          <w:p w14:paraId="2116E3B4"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68.6%</w:t>
            </w:r>
          </w:p>
        </w:tc>
        <w:tc>
          <w:tcPr>
            <w:tcW w:w="2410" w:type="dxa"/>
            <w:hideMark/>
          </w:tcPr>
          <w:p w14:paraId="062A2FB5" w14:textId="77777777" w:rsidR="00B153BE" w:rsidRPr="00ED0A45"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≥70%</w:t>
            </w:r>
          </w:p>
        </w:tc>
      </w:tr>
      <w:tr w:rsidR="00B153BE" w:rsidRPr="00ED0A45" w14:paraId="72BD3C7C"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717CF6E7" w14:textId="77777777" w:rsidR="00B153BE" w:rsidRPr="00ED0A45" w:rsidRDefault="00B153BE" w:rsidP="00B153BE">
            <w:pPr>
              <w:jc w:val="both"/>
              <w:rPr>
                <w:rFonts w:asciiTheme="minorBidi" w:hAnsiTheme="minorBidi" w:cstheme="minorBidi"/>
                <w:b w:val="0"/>
                <w:bCs w:val="0"/>
                <w:color w:val="222222"/>
                <w:sz w:val="21"/>
                <w:szCs w:val="21"/>
              </w:rPr>
            </w:pPr>
            <w:proofErr w:type="spellStart"/>
            <w:r w:rsidRPr="00ED0A45">
              <w:rPr>
                <w:rFonts w:asciiTheme="minorBidi" w:hAnsiTheme="minorBidi" w:cstheme="minorBidi"/>
                <w:b w:val="0"/>
                <w:bCs w:val="0"/>
                <w:color w:val="222222"/>
                <w:sz w:val="21"/>
                <w:szCs w:val="21"/>
              </w:rPr>
              <w:t>Albumin</w:t>
            </w:r>
            <w:proofErr w:type="spellEnd"/>
          </w:p>
        </w:tc>
        <w:tc>
          <w:tcPr>
            <w:tcW w:w="2117" w:type="dxa"/>
            <w:hideMark/>
          </w:tcPr>
          <w:p w14:paraId="6218DEF9" w14:textId="77777777" w:rsidR="00B153BE" w:rsidRPr="00ED0A45"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35 g/l</w:t>
            </w:r>
          </w:p>
        </w:tc>
        <w:tc>
          <w:tcPr>
            <w:tcW w:w="2410" w:type="dxa"/>
            <w:hideMark/>
          </w:tcPr>
          <w:p w14:paraId="6F2ED563" w14:textId="77777777" w:rsidR="00B153BE" w:rsidRPr="00ED0A45" w:rsidRDefault="00B153BE" w:rsidP="00B153BE">
            <w:pPr>
              <w:keepNext/>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222222"/>
                <w:sz w:val="21"/>
                <w:szCs w:val="21"/>
              </w:rPr>
            </w:pPr>
            <w:r w:rsidRPr="00ED0A45">
              <w:rPr>
                <w:rFonts w:asciiTheme="minorBidi" w:hAnsiTheme="minorBidi" w:cstheme="minorBidi"/>
                <w:color w:val="222222"/>
                <w:sz w:val="21"/>
                <w:szCs w:val="21"/>
              </w:rPr>
              <w:t>35–50 g/l</w:t>
            </w:r>
          </w:p>
        </w:tc>
      </w:tr>
    </w:tbl>
    <w:p w14:paraId="60C65542" w14:textId="77777777" w:rsidR="00B153BE" w:rsidRPr="00ED0A45" w:rsidRDefault="00B153BE" w:rsidP="00B153BE">
      <w:pPr>
        <w:pStyle w:val="Lgende"/>
        <w:jc w:val="both"/>
        <w:rPr>
          <w:rFonts w:asciiTheme="minorBidi" w:hAnsiTheme="minorBidi" w:cstheme="minorBidi"/>
          <w:color w:val="000000" w:themeColor="text1"/>
        </w:rPr>
      </w:pPr>
      <w:r w:rsidRPr="00ED0A45">
        <w:rPr>
          <w:rFonts w:asciiTheme="minorBidi" w:hAnsiTheme="minorBidi" w:cstheme="minorBidi"/>
          <w:color w:val="000000" w:themeColor="text1"/>
        </w:rPr>
        <w:t xml:space="preserve">Table </w:t>
      </w:r>
      <w:r w:rsidRPr="00ED0A45">
        <w:rPr>
          <w:rFonts w:asciiTheme="minorBidi" w:hAnsiTheme="minorBidi" w:cstheme="minorBidi"/>
          <w:color w:val="000000" w:themeColor="text1"/>
        </w:rPr>
        <w:fldChar w:fldCharType="begin"/>
      </w:r>
      <w:r w:rsidRPr="00ED0A45">
        <w:rPr>
          <w:rFonts w:asciiTheme="minorBidi" w:hAnsiTheme="minorBidi" w:cstheme="minorBidi"/>
          <w:color w:val="000000" w:themeColor="text1"/>
        </w:rPr>
        <w:instrText xml:space="preserve"> SEQ Tableau \* ARABIC </w:instrText>
      </w:r>
      <w:r w:rsidRPr="00ED0A45">
        <w:rPr>
          <w:rFonts w:asciiTheme="minorBidi" w:hAnsiTheme="minorBidi" w:cstheme="minorBidi"/>
          <w:color w:val="000000" w:themeColor="text1"/>
        </w:rPr>
        <w:fldChar w:fldCharType="separate"/>
      </w:r>
      <w:r w:rsidRPr="00ED0A45">
        <w:rPr>
          <w:rFonts w:asciiTheme="minorBidi" w:hAnsiTheme="minorBidi" w:cstheme="minorBidi"/>
          <w:noProof/>
          <w:color w:val="000000" w:themeColor="text1"/>
        </w:rPr>
        <w:t>1</w:t>
      </w:r>
      <w:r w:rsidRPr="00ED0A45">
        <w:rPr>
          <w:rFonts w:asciiTheme="minorBidi" w:hAnsiTheme="minorBidi" w:cstheme="minorBidi"/>
          <w:color w:val="000000" w:themeColor="text1"/>
        </w:rPr>
        <w:fldChar w:fldCharType="end"/>
      </w:r>
      <w:r w:rsidRPr="00ED0A45">
        <w:rPr>
          <w:rFonts w:asciiTheme="minorBidi" w:hAnsiTheme="minorBidi" w:cstheme="minorBidi"/>
          <w:color w:val="000000" w:themeColor="text1"/>
        </w:rPr>
        <w:t xml:space="preserve"> : Laboratory findings</w:t>
      </w:r>
    </w:p>
    <w:p w14:paraId="33C1BAB1" w14:textId="77777777" w:rsidR="00B153BE" w:rsidRPr="00ED0A45" w:rsidRDefault="00B153BE" w:rsidP="00B153BE">
      <w:pPr>
        <w:rPr>
          <w:rFonts w:asciiTheme="minorBidi" w:hAnsiTheme="minorBidi" w:cstheme="minorBidi"/>
        </w:rPr>
      </w:pPr>
    </w:p>
    <w:p w14:paraId="2A23D97D" w14:textId="77777777" w:rsidR="00A03B96" w:rsidRPr="00ED0A45" w:rsidRDefault="00B153BE" w:rsidP="00B153BE">
      <w:pPr>
        <w:pStyle w:val="Body"/>
        <w:spacing w:after="0"/>
        <w:rPr>
          <w:rFonts w:asciiTheme="minorBidi" w:hAnsiTheme="minorBidi" w:cstheme="minorBidi"/>
          <w:sz w:val="22"/>
          <w:szCs w:val="22"/>
        </w:rPr>
      </w:pPr>
      <w:r w:rsidRPr="00ED0A45">
        <w:rPr>
          <w:rFonts w:asciiTheme="minorBidi" w:hAnsiTheme="minorBidi" w:cstheme="minorBidi"/>
          <w:sz w:val="22"/>
          <w:szCs w:val="22"/>
        </w:rPr>
        <w:t>Alcoholic liver disease was excluded. Serologies for hepatitis B and C were negative, with evidence of immunity against hepatitis B. Autoimmune testing was negative for ANA, anti-LKM1, anti-LC1, anti-SLA, and anti-mitochondrial (M2) antibodies. Iron overload studies (serum ferritin, ceruloplasmin) were normal. Serum protein electrophoresis showed polyclonal hypergammaglobulinemia with a beta-gamma block, supporting chronic advanced liver disease.</w:t>
      </w:r>
    </w:p>
    <w:p w14:paraId="3C5B6B4C" w14:textId="77777777" w:rsidR="00B153BE" w:rsidRPr="00ED0A45" w:rsidRDefault="00B153BE" w:rsidP="00B153BE">
      <w:pPr>
        <w:pStyle w:val="Body"/>
        <w:spacing w:after="0"/>
        <w:rPr>
          <w:rFonts w:asciiTheme="minorBidi" w:hAnsiTheme="minorBidi" w:cstheme="minorBidi"/>
          <w:sz w:val="22"/>
          <w:szCs w:val="22"/>
        </w:rPr>
      </w:pPr>
    </w:p>
    <w:p w14:paraId="1A30291D" w14:textId="77777777" w:rsidR="00B153BE" w:rsidRPr="00ED0A45" w:rsidRDefault="00B153BE" w:rsidP="00B153BE">
      <w:pPr>
        <w:pStyle w:val="Body"/>
        <w:spacing w:after="0"/>
        <w:rPr>
          <w:rFonts w:asciiTheme="minorBidi" w:hAnsiTheme="minorBidi" w:cstheme="minorBidi"/>
          <w:sz w:val="22"/>
          <w:szCs w:val="22"/>
        </w:rPr>
      </w:pPr>
      <w:r w:rsidRPr="00ED0A45">
        <w:rPr>
          <w:rFonts w:asciiTheme="minorBidi" w:hAnsiTheme="minorBidi" w:cstheme="minorBidi"/>
          <w:sz w:val="22"/>
          <w:szCs w:val="22"/>
        </w:rPr>
        <w:t xml:space="preserve">Hepatic CT angiography demonstrated stenosis of the right and left hepatic veins and a reduced caliber of the </w:t>
      </w:r>
      <w:proofErr w:type="spellStart"/>
      <w:r w:rsidRPr="00ED0A45">
        <w:rPr>
          <w:rFonts w:asciiTheme="minorBidi" w:hAnsiTheme="minorBidi" w:cstheme="minorBidi"/>
          <w:sz w:val="22"/>
          <w:szCs w:val="22"/>
        </w:rPr>
        <w:t>retrohepatic</w:t>
      </w:r>
      <w:proofErr w:type="spellEnd"/>
      <w:r w:rsidRPr="00ED0A45">
        <w:rPr>
          <w:rFonts w:asciiTheme="minorBidi" w:hAnsiTheme="minorBidi" w:cstheme="minorBidi"/>
          <w:sz w:val="22"/>
          <w:szCs w:val="22"/>
        </w:rPr>
        <w:t xml:space="preserve"> inferior vena cava, consistent with Budd-Chiari syndrome without associated portal vein thrombosis</w:t>
      </w:r>
    </w:p>
    <w:p w14:paraId="44A60398" w14:textId="77777777" w:rsidR="00B153BE" w:rsidRPr="00ED0A45" w:rsidRDefault="00B153BE" w:rsidP="00B153BE">
      <w:pPr>
        <w:pStyle w:val="Body"/>
        <w:spacing w:after="0"/>
        <w:rPr>
          <w:rFonts w:asciiTheme="minorBidi" w:hAnsiTheme="minorBidi" w:cstheme="minorBidi"/>
          <w:sz w:val="22"/>
          <w:szCs w:val="22"/>
        </w:rPr>
      </w:pPr>
    </w:p>
    <w:p w14:paraId="2FE4B1B1" w14:textId="77777777" w:rsidR="00B153BE" w:rsidRPr="00ED0A45" w:rsidRDefault="00B153BE" w:rsidP="00B153BE">
      <w:pPr>
        <w:pStyle w:val="Body"/>
        <w:spacing w:after="0"/>
        <w:rPr>
          <w:rFonts w:asciiTheme="minorBidi" w:hAnsiTheme="minorBidi" w:cstheme="minorBidi"/>
        </w:rPr>
      </w:pPr>
    </w:p>
    <w:p w14:paraId="7381941C" w14:textId="77777777" w:rsidR="00B153BE" w:rsidRPr="00ED0A45" w:rsidRDefault="00B153BE" w:rsidP="00ED0A45">
      <w:pPr>
        <w:pStyle w:val="Body"/>
        <w:keepNext/>
        <w:spacing w:after="0"/>
        <w:jc w:val="center"/>
        <w:rPr>
          <w:rFonts w:asciiTheme="minorBidi" w:hAnsiTheme="minorBidi" w:cstheme="minorBidi"/>
        </w:rPr>
      </w:pPr>
      <w:r w:rsidRPr="00ED0A45">
        <w:rPr>
          <w:rFonts w:asciiTheme="minorBidi" w:hAnsiTheme="minorBidi" w:cstheme="minorBidi"/>
          <w:noProof/>
        </w:rPr>
        <w:drawing>
          <wp:inline distT="0" distB="0" distL="0" distR="0" wp14:anchorId="3B07CF77" wp14:editId="35AED6AE">
            <wp:extent cx="3372928" cy="198934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jpg"/>
                    <pic:cNvPicPr/>
                  </pic:nvPicPr>
                  <pic:blipFill rotWithShape="1">
                    <a:blip r:embed="rId14" cstate="print">
                      <a:extLst>
                        <a:ext uri="{28A0092B-C50C-407E-A947-70E740481C1C}">
                          <a14:useLocalDpi xmlns:a14="http://schemas.microsoft.com/office/drawing/2010/main" val="0"/>
                        </a:ext>
                      </a:extLst>
                    </a:blip>
                    <a:srcRect l="27934" t="23393" r="25422" b="15857"/>
                    <a:stretch/>
                  </pic:blipFill>
                  <pic:spPr bwMode="auto">
                    <a:xfrm>
                      <a:off x="0" y="0"/>
                      <a:ext cx="3477775" cy="2051185"/>
                    </a:xfrm>
                    <a:prstGeom prst="rect">
                      <a:avLst/>
                    </a:prstGeom>
                    <a:ln>
                      <a:noFill/>
                    </a:ln>
                    <a:extLst>
                      <a:ext uri="{53640926-AAD7-44D8-BBD7-CCE9431645EC}">
                        <a14:shadowObscured xmlns:a14="http://schemas.microsoft.com/office/drawing/2010/main"/>
                      </a:ext>
                    </a:extLst>
                  </pic:spPr>
                </pic:pic>
              </a:graphicData>
            </a:graphic>
          </wp:inline>
        </w:drawing>
      </w:r>
    </w:p>
    <w:p w14:paraId="4D1BFAF2" w14:textId="77777777" w:rsidR="00B153BE" w:rsidRPr="00ED0A45" w:rsidRDefault="00B153BE" w:rsidP="00B153BE">
      <w:pPr>
        <w:pStyle w:val="Lgende"/>
        <w:jc w:val="both"/>
        <w:rPr>
          <w:rFonts w:asciiTheme="minorBidi" w:hAnsiTheme="minorBidi" w:cstheme="minorBidi"/>
        </w:rPr>
      </w:pPr>
      <w:r w:rsidRPr="00ED0A45">
        <w:rPr>
          <w:rFonts w:asciiTheme="minorBidi" w:hAnsiTheme="minorBidi" w:cstheme="minorBidi"/>
        </w:rPr>
        <w:t xml:space="preserve">Figure </w:t>
      </w:r>
      <w:r w:rsidR="00753DE4" w:rsidRPr="00ED0A45">
        <w:rPr>
          <w:rFonts w:asciiTheme="minorBidi" w:hAnsiTheme="minorBidi" w:cstheme="minorBidi"/>
          <w:noProof/>
        </w:rPr>
        <w:fldChar w:fldCharType="begin"/>
      </w:r>
      <w:r w:rsidR="00753DE4" w:rsidRPr="00ED0A45">
        <w:rPr>
          <w:rFonts w:asciiTheme="minorBidi" w:hAnsiTheme="minorBidi" w:cstheme="minorBidi"/>
          <w:noProof/>
        </w:rPr>
        <w:instrText xml:space="preserve"> SEQ Figure \* ARABIC </w:instrText>
      </w:r>
      <w:r w:rsidR="00753DE4" w:rsidRPr="00ED0A45">
        <w:rPr>
          <w:rFonts w:asciiTheme="minorBidi" w:hAnsiTheme="minorBidi" w:cstheme="minorBidi"/>
          <w:noProof/>
        </w:rPr>
        <w:fldChar w:fldCharType="separate"/>
      </w:r>
      <w:r w:rsidRPr="00ED0A45">
        <w:rPr>
          <w:rFonts w:asciiTheme="minorBidi" w:hAnsiTheme="minorBidi" w:cstheme="minorBidi"/>
          <w:noProof/>
        </w:rPr>
        <w:t>1</w:t>
      </w:r>
      <w:r w:rsidR="00753DE4" w:rsidRPr="00ED0A45">
        <w:rPr>
          <w:rFonts w:asciiTheme="minorBidi" w:hAnsiTheme="minorBidi" w:cstheme="minorBidi"/>
          <w:noProof/>
        </w:rPr>
        <w:fldChar w:fldCharType="end"/>
      </w:r>
      <w:r w:rsidRPr="00ED0A45">
        <w:rPr>
          <w:rFonts w:asciiTheme="minorBidi" w:hAnsiTheme="minorBidi" w:cstheme="minorBidi"/>
        </w:rPr>
        <w:t xml:space="preserve"> : </w:t>
      </w:r>
      <w:r w:rsidRPr="00ED0A45">
        <w:rPr>
          <w:rFonts w:asciiTheme="minorBidi" w:hAnsiTheme="minorBidi" w:cstheme="minorBidi"/>
          <w:color w:val="000000" w:themeColor="text1"/>
        </w:rPr>
        <w:t xml:space="preserve">CT image showing perihepatic effusion, </w:t>
      </w:r>
      <w:proofErr w:type="spellStart"/>
      <w:r w:rsidRPr="00ED0A45">
        <w:rPr>
          <w:rFonts w:asciiTheme="minorBidi" w:hAnsiTheme="minorBidi" w:cstheme="minorBidi"/>
          <w:color w:val="000000" w:themeColor="text1"/>
        </w:rPr>
        <w:t>perisplenic</w:t>
      </w:r>
      <w:proofErr w:type="spellEnd"/>
      <w:r w:rsidRPr="00ED0A45">
        <w:rPr>
          <w:rFonts w:asciiTheme="minorBidi" w:hAnsiTheme="minorBidi" w:cstheme="minorBidi"/>
          <w:color w:val="000000" w:themeColor="text1"/>
        </w:rPr>
        <w:t xml:space="preserve"> collaterals, and irregular hepatic contours.</w:t>
      </w:r>
    </w:p>
    <w:p w14:paraId="4576EAA8" w14:textId="77777777" w:rsidR="00B153BE" w:rsidRPr="00ED0A45" w:rsidRDefault="00B153BE" w:rsidP="00B153BE">
      <w:pPr>
        <w:pStyle w:val="Body"/>
        <w:spacing w:after="0"/>
        <w:rPr>
          <w:rFonts w:asciiTheme="minorBidi" w:hAnsiTheme="minorBidi" w:cstheme="minorBidi"/>
        </w:rPr>
      </w:pPr>
    </w:p>
    <w:p w14:paraId="7E151993" w14:textId="77777777" w:rsidR="00B153BE" w:rsidRPr="00ED0A45" w:rsidRDefault="00B153BE" w:rsidP="00ED0A45">
      <w:pPr>
        <w:pStyle w:val="Body"/>
        <w:keepNext/>
        <w:spacing w:after="0"/>
        <w:jc w:val="center"/>
        <w:rPr>
          <w:rFonts w:asciiTheme="minorBidi" w:hAnsiTheme="minorBidi" w:cstheme="minorBidi"/>
        </w:rPr>
      </w:pPr>
      <w:r w:rsidRPr="00ED0A45">
        <w:rPr>
          <w:rFonts w:asciiTheme="minorBidi" w:hAnsiTheme="minorBidi" w:cstheme="minorBidi"/>
          <w:noProof/>
        </w:rPr>
        <w:lastRenderedPageBreak/>
        <w:drawing>
          <wp:inline distT="0" distB="0" distL="0" distR="0" wp14:anchorId="0F6EB1DF" wp14:editId="24AA77A1">
            <wp:extent cx="3423714" cy="2019300"/>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jpg"/>
                    <pic:cNvPicPr/>
                  </pic:nvPicPr>
                  <pic:blipFill rotWithShape="1">
                    <a:blip r:embed="rId14" cstate="print">
                      <a:extLst>
                        <a:ext uri="{28A0092B-C50C-407E-A947-70E740481C1C}">
                          <a14:useLocalDpi xmlns:a14="http://schemas.microsoft.com/office/drawing/2010/main" val="0"/>
                        </a:ext>
                      </a:extLst>
                    </a:blip>
                    <a:srcRect l="27934" t="23393" r="25422" b="15857"/>
                    <a:stretch/>
                  </pic:blipFill>
                  <pic:spPr bwMode="auto">
                    <a:xfrm>
                      <a:off x="0" y="0"/>
                      <a:ext cx="3508670" cy="2069407"/>
                    </a:xfrm>
                    <a:prstGeom prst="rect">
                      <a:avLst/>
                    </a:prstGeom>
                    <a:ln>
                      <a:noFill/>
                    </a:ln>
                    <a:extLst>
                      <a:ext uri="{53640926-AAD7-44D8-BBD7-CCE9431645EC}">
                        <a14:shadowObscured xmlns:a14="http://schemas.microsoft.com/office/drawing/2010/main"/>
                      </a:ext>
                    </a:extLst>
                  </pic:spPr>
                </pic:pic>
              </a:graphicData>
            </a:graphic>
          </wp:inline>
        </w:drawing>
      </w:r>
    </w:p>
    <w:p w14:paraId="0A8327D9" w14:textId="77777777" w:rsidR="00B153BE" w:rsidRPr="00ED0A45" w:rsidRDefault="00B153BE" w:rsidP="00B153BE">
      <w:pPr>
        <w:pStyle w:val="Lgende"/>
        <w:jc w:val="both"/>
        <w:rPr>
          <w:rFonts w:asciiTheme="minorBidi" w:hAnsiTheme="minorBidi" w:cstheme="minorBidi"/>
          <w:color w:val="000000" w:themeColor="text1"/>
        </w:rPr>
      </w:pPr>
      <w:r w:rsidRPr="00ED0A45">
        <w:rPr>
          <w:rFonts w:asciiTheme="minorBidi" w:hAnsiTheme="minorBidi" w:cstheme="minorBidi"/>
          <w:color w:val="000000" w:themeColor="text1"/>
        </w:rPr>
        <w:t xml:space="preserve">Figure </w:t>
      </w:r>
      <w:r w:rsidRPr="00ED0A45">
        <w:rPr>
          <w:rFonts w:asciiTheme="minorBidi" w:hAnsiTheme="minorBidi" w:cstheme="minorBidi"/>
          <w:color w:val="000000" w:themeColor="text1"/>
        </w:rPr>
        <w:fldChar w:fldCharType="begin"/>
      </w:r>
      <w:r w:rsidRPr="00ED0A45">
        <w:rPr>
          <w:rFonts w:asciiTheme="minorBidi" w:hAnsiTheme="minorBidi" w:cstheme="minorBidi"/>
          <w:color w:val="000000" w:themeColor="text1"/>
        </w:rPr>
        <w:instrText xml:space="preserve"> SEQ Figure \* ARABIC </w:instrText>
      </w:r>
      <w:r w:rsidRPr="00ED0A45">
        <w:rPr>
          <w:rFonts w:asciiTheme="minorBidi" w:hAnsiTheme="minorBidi" w:cstheme="minorBidi"/>
          <w:color w:val="000000" w:themeColor="text1"/>
        </w:rPr>
        <w:fldChar w:fldCharType="separate"/>
      </w:r>
      <w:r w:rsidRPr="00ED0A45">
        <w:rPr>
          <w:rFonts w:asciiTheme="minorBidi" w:hAnsiTheme="minorBidi" w:cstheme="minorBidi"/>
          <w:noProof/>
          <w:color w:val="000000" w:themeColor="text1"/>
        </w:rPr>
        <w:t>2</w:t>
      </w:r>
      <w:r w:rsidRPr="00ED0A45">
        <w:rPr>
          <w:rFonts w:asciiTheme="minorBidi" w:hAnsiTheme="minorBidi" w:cstheme="minorBidi"/>
          <w:color w:val="000000" w:themeColor="text1"/>
        </w:rPr>
        <w:fldChar w:fldCharType="end"/>
      </w:r>
      <w:r w:rsidRPr="00ED0A45">
        <w:rPr>
          <w:rFonts w:asciiTheme="minorBidi" w:hAnsiTheme="minorBidi" w:cstheme="minorBidi"/>
          <w:color w:val="000000" w:themeColor="text1"/>
        </w:rPr>
        <w:t xml:space="preserve"> : CT image showing periesophageal collaterals, an atrophic liver with irregular contours</w:t>
      </w:r>
    </w:p>
    <w:p w14:paraId="649C64A8" w14:textId="77777777" w:rsidR="00B153BE" w:rsidRPr="00ED0A45" w:rsidRDefault="00B153BE" w:rsidP="00B153BE">
      <w:pPr>
        <w:rPr>
          <w:rFonts w:asciiTheme="minorBidi" w:hAnsiTheme="minorBidi" w:cstheme="minorBidi"/>
        </w:rPr>
      </w:pPr>
    </w:p>
    <w:p w14:paraId="5ECE5D0B" w14:textId="77777777" w:rsidR="00B153BE" w:rsidRPr="00ED0A45" w:rsidRDefault="00B153BE" w:rsidP="00B153BE">
      <w:pPr>
        <w:pStyle w:val="Body"/>
        <w:rPr>
          <w:rFonts w:asciiTheme="minorBidi" w:hAnsiTheme="minorBidi" w:cstheme="minorBidi"/>
          <w:sz w:val="22"/>
          <w:szCs w:val="22"/>
        </w:rPr>
      </w:pPr>
      <w:r w:rsidRPr="00ED0A45">
        <w:rPr>
          <w:rFonts w:asciiTheme="minorBidi" w:hAnsiTheme="minorBidi" w:cstheme="minorBidi"/>
          <w:sz w:val="22"/>
          <w:szCs w:val="22"/>
        </w:rPr>
        <w:t xml:space="preserve">Given the suspicion of BCS, etiological investigations included bone marrow biopsy and JAK2 mutation testing, both of which were negative. Thrombophilia screening revealed decreased protein C and antithrombin III levels. Hyperhomocysteinemia (25 µmol/l) was identified, with vitamin assays showing vitamin B12 deficiency (177 </w:t>
      </w:r>
      <w:proofErr w:type="spellStart"/>
      <w:r w:rsidRPr="00ED0A45">
        <w:rPr>
          <w:rFonts w:asciiTheme="minorBidi" w:hAnsiTheme="minorBidi" w:cstheme="minorBidi"/>
          <w:sz w:val="22"/>
          <w:szCs w:val="22"/>
        </w:rPr>
        <w:t>pg</w:t>
      </w:r>
      <w:proofErr w:type="spellEnd"/>
      <w:r w:rsidRPr="00ED0A45">
        <w:rPr>
          <w:rFonts w:asciiTheme="minorBidi" w:hAnsiTheme="minorBidi" w:cstheme="minorBidi"/>
          <w:sz w:val="22"/>
          <w:szCs w:val="22"/>
        </w:rPr>
        <w:t>/ml) and positive anti-parietal cell antibodies.</w:t>
      </w:r>
    </w:p>
    <w:p w14:paraId="2DD44AEF" w14:textId="77777777" w:rsidR="00B153BE" w:rsidRPr="00ED0A45" w:rsidRDefault="00B153BE" w:rsidP="00B153BE">
      <w:pPr>
        <w:pStyle w:val="Body"/>
        <w:rPr>
          <w:rFonts w:asciiTheme="minorBidi" w:hAnsiTheme="minorBidi" w:cstheme="minorBidi"/>
          <w:sz w:val="22"/>
          <w:szCs w:val="22"/>
        </w:rPr>
      </w:pPr>
      <w:r w:rsidRPr="00ED0A45">
        <w:rPr>
          <w:rFonts w:asciiTheme="minorBidi" w:hAnsiTheme="minorBidi" w:cstheme="minorBidi"/>
          <w:sz w:val="22"/>
          <w:szCs w:val="22"/>
        </w:rPr>
        <w:t>Upper endoscopy revealed rarefaction of fundic folds, grade III esophageal varices with red signs (treated by band ligation), and biopsies showing chronic atrophic gastritis with enterochromaffin-like cell hyperplasia.</w:t>
      </w:r>
    </w:p>
    <w:p w14:paraId="444B87CB" w14:textId="77777777" w:rsidR="00B153BE" w:rsidRPr="00ED0A45" w:rsidRDefault="00B153BE" w:rsidP="00B153BE">
      <w:pPr>
        <w:pStyle w:val="Body"/>
        <w:rPr>
          <w:rFonts w:asciiTheme="minorBidi" w:hAnsiTheme="minorBidi" w:cstheme="minorBidi"/>
          <w:sz w:val="22"/>
          <w:szCs w:val="22"/>
        </w:rPr>
      </w:pPr>
      <w:r w:rsidRPr="00ED0A45">
        <w:rPr>
          <w:rFonts w:asciiTheme="minorBidi" w:hAnsiTheme="minorBidi" w:cstheme="minorBidi"/>
          <w:sz w:val="22"/>
          <w:szCs w:val="22"/>
        </w:rPr>
        <w:t>Overall, clinical, radiological, and histological findings concluded to intrahepatic portal hypertension due to cirrhosis complicated by Budd-Chiari syndrome. Cirrhosis was confirmed (fibrosis stage F4, dysmorphic liver, beta-gamma block, Child-Pugh A5, MELD 12), after excluding alcohol, viral, autoimmune, metabolic, and iron overload causes. BCS was attributed to a prothrombotic state combining acquired protein C deficiency and hyperhomocysteinemia secondary to vitamin B12 deficiency from pernicious anemia.</w:t>
      </w:r>
    </w:p>
    <w:p w14:paraId="0A42FD6C" w14:textId="6D158A80" w:rsidR="00ED0A45" w:rsidRPr="00ED0A45" w:rsidRDefault="00B153BE" w:rsidP="00ED0A45">
      <w:pPr>
        <w:pStyle w:val="Body"/>
        <w:rPr>
          <w:rFonts w:asciiTheme="minorBidi" w:hAnsiTheme="minorBidi" w:cstheme="minorBidi"/>
          <w:sz w:val="22"/>
          <w:szCs w:val="22"/>
        </w:rPr>
      </w:pPr>
      <w:r w:rsidRPr="00ED0A45">
        <w:rPr>
          <w:rFonts w:asciiTheme="minorBidi" w:hAnsiTheme="minorBidi" w:cstheme="minorBidi"/>
          <w:sz w:val="22"/>
          <w:szCs w:val="22"/>
          <w:lang w:val="en-US"/>
        </w:rPr>
        <w:t xml:space="preserve">Therapeutic management included an endoscopic variceal eradication protocol with secondary prevention using non-selective beta-blockers, diuretic therapy for ascites, and lifelong vitamin B12 supplementation. </w:t>
      </w:r>
      <w:r w:rsidR="00ED0A45" w:rsidRPr="00ED0A45">
        <w:rPr>
          <w:rFonts w:asciiTheme="minorBidi" w:hAnsiTheme="minorBidi" w:cstheme="minorBidi"/>
          <w:sz w:val="22"/>
          <w:szCs w:val="22"/>
          <w:lang w:val="en-US"/>
        </w:rPr>
        <w:t xml:space="preserve">Anticoagulation with low molecular weight heparin was </w:t>
      </w:r>
      <w:r w:rsidR="00ED0A45" w:rsidRPr="00ED0A45">
        <w:rPr>
          <w:rFonts w:asciiTheme="minorBidi" w:hAnsiTheme="minorBidi" w:cstheme="minorBidi"/>
          <w:sz w:val="22"/>
          <w:szCs w:val="22"/>
          <w:lang w:val="en-US"/>
        </w:rPr>
        <w:t xml:space="preserve">initiated, </w:t>
      </w:r>
      <w:r w:rsidR="00ED0A45" w:rsidRPr="00ED0A45">
        <w:rPr>
          <w:rFonts w:asciiTheme="minorBidi" w:hAnsiTheme="minorBidi" w:cstheme="minorBidi"/>
          <w:sz w:val="22"/>
          <w:szCs w:val="22"/>
          <w:lang w:val="en-US"/>
        </w:rPr>
        <w:t>followed by transition to warfarin with an INR target between 2 and 3.</w:t>
      </w:r>
    </w:p>
    <w:p w14:paraId="4EE75F03" w14:textId="77777777" w:rsidR="00ED0A45" w:rsidRPr="00ED0A45" w:rsidRDefault="00ED0A45" w:rsidP="00B153BE">
      <w:pPr>
        <w:pStyle w:val="Body"/>
        <w:spacing w:after="0"/>
        <w:rPr>
          <w:rFonts w:asciiTheme="minorBidi" w:hAnsiTheme="minorBidi" w:cstheme="minorBidi"/>
          <w:sz w:val="22"/>
          <w:szCs w:val="22"/>
        </w:rPr>
      </w:pPr>
    </w:p>
    <w:p w14:paraId="115E2981" w14:textId="77777777" w:rsidR="00ED0A45" w:rsidRPr="00ED0A45" w:rsidRDefault="00ED0A45" w:rsidP="00B153BE">
      <w:pPr>
        <w:pStyle w:val="Body"/>
        <w:spacing w:after="0"/>
        <w:rPr>
          <w:rFonts w:asciiTheme="minorBidi" w:hAnsiTheme="minorBidi" w:cstheme="minorBidi"/>
          <w:sz w:val="22"/>
          <w:szCs w:val="22"/>
        </w:rPr>
      </w:pPr>
    </w:p>
    <w:p w14:paraId="20A54FD7" w14:textId="1D34E5BC" w:rsidR="00B153BE" w:rsidRPr="00ED0A45" w:rsidRDefault="00B153BE" w:rsidP="00B153BE">
      <w:pPr>
        <w:pStyle w:val="Body"/>
        <w:spacing w:after="0"/>
        <w:rPr>
          <w:rFonts w:asciiTheme="minorBidi" w:hAnsiTheme="minorBidi" w:cstheme="minorBidi"/>
          <w:sz w:val="22"/>
          <w:szCs w:val="22"/>
          <w:lang w:val="en-US"/>
        </w:rPr>
      </w:pPr>
      <w:r w:rsidRPr="00ED0A45">
        <w:rPr>
          <w:rFonts w:asciiTheme="minorBidi" w:hAnsiTheme="minorBidi" w:cstheme="minorBidi"/>
          <w:sz w:val="22"/>
          <w:szCs w:val="22"/>
          <w:lang w:val="en-US"/>
        </w:rPr>
        <w:t>The patient’s clinical course was marked by stability, with normalization of homocysteine levels and correction of vitamin B12 deficiency.</w:t>
      </w:r>
    </w:p>
    <w:p w14:paraId="4EB288A2" w14:textId="1D9C0A89" w:rsidR="00ED0A45" w:rsidRPr="00ED0A45" w:rsidRDefault="00ED0A45" w:rsidP="00ED0A45">
      <w:pPr>
        <w:pStyle w:val="Body"/>
        <w:rPr>
          <w:rFonts w:asciiTheme="minorBidi" w:hAnsiTheme="minorBidi" w:cstheme="minorBidi"/>
          <w:sz w:val="22"/>
          <w:szCs w:val="22"/>
          <w:lang w:val="en-US"/>
        </w:rPr>
      </w:pPr>
      <w:r w:rsidRPr="00ED0A45">
        <w:rPr>
          <w:rFonts w:asciiTheme="minorBidi" w:hAnsiTheme="minorBidi" w:cstheme="minorBidi"/>
          <w:sz w:val="22"/>
          <w:szCs w:val="22"/>
          <w:lang w:val="en-US"/>
        </w:rPr>
        <w:t>The patient was followed up clinically and radiologically. Follow-up Doppler ultrasound and contrast-enhanced CT performed at 6 months showed persistent chronic hepatic vein thrombosis without recanalization, but with stable liver morphology and no progression of portal hypertension.</w:t>
      </w:r>
    </w:p>
    <w:p w14:paraId="4648B856" w14:textId="77777777" w:rsidR="00ED0A45" w:rsidRPr="00ED0A45" w:rsidRDefault="00ED0A45" w:rsidP="00B153BE">
      <w:pPr>
        <w:pStyle w:val="Body"/>
        <w:spacing w:after="0"/>
        <w:rPr>
          <w:rFonts w:asciiTheme="minorBidi" w:hAnsiTheme="minorBidi" w:cstheme="minorBidi"/>
          <w:lang w:val="en-US"/>
        </w:rPr>
      </w:pPr>
    </w:p>
    <w:p w14:paraId="00F49D76" w14:textId="77777777" w:rsidR="00B153BE" w:rsidRPr="00ED0A45" w:rsidRDefault="00B153BE" w:rsidP="00B153BE">
      <w:pPr>
        <w:pStyle w:val="Body"/>
        <w:spacing w:after="0"/>
        <w:rPr>
          <w:rFonts w:asciiTheme="minorBidi" w:hAnsiTheme="minorBidi" w:cstheme="minorBidi"/>
          <w:lang w:val="en-US"/>
        </w:rPr>
      </w:pPr>
    </w:p>
    <w:p w14:paraId="43496DBE" w14:textId="77777777" w:rsidR="00790ADA" w:rsidRPr="00ED0A45" w:rsidRDefault="00790ADA" w:rsidP="00B153BE">
      <w:pPr>
        <w:pStyle w:val="Body"/>
        <w:spacing w:after="0"/>
        <w:rPr>
          <w:rFonts w:asciiTheme="minorBidi" w:hAnsiTheme="minorBidi" w:cstheme="minorBidi"/>
          <w:lang w:val="en-US"/>
        </w:rPr>
      </w:pPr>
    </w:p>
    <w:p w14:paraId="7303DC80" w14:textId="77777777" w:rsidR="00902823" w:rsidRPr="00ED0A45" w:rsidRDefault="00000F8F" w:rsidP="00B153BE">
      <w:pPr>
        <w:pStyle w:val="Head1"/>
        <w:spacing w:after="0"/>
        <w:jc w:val="both"/>
        <w:rPr>
          <w:rFonts w:asciiTheme="minorBidi" w:hAnsiTheme="minorBidi" w:cstheme="minorBidi"/>
        </w:rPr>
      </w:pPr>
      <w:r w:rsidRPr="00ED0A45">
        <w:rPr>
          <w:rFonts w:asciiTheme="minorBidi" w:hAnsiTheme="minorBidi" w:cstheme="minorBidi"/>
        </w:rPr>
        <w:t>3</w:t>
      </w:r>
      <w:r w:rsidR="00902823" w:rsidRPr="00ED0A45">
        <w:rPr>
          <w:rFonts w:asciiTheme="minorBidi" w:hAnsiTheme="minorBidi" w:cstheme="minorBidi"/>
        </w:rPr>
        <w:t xml:space="preserve">. </w:t>
      </w:r>
      <w:r w:rsidRPr="00ED0A45">
        <w:rPr>
          <w:rFonts w:asciiTheme="minorBidi" w:hAnsiTheme="minorBidi" w:cstheme="minorBidi"/>
        </w:rPr>
        <w:t>discussion</w:t>
      </w:r>
    </w:p>
    <w:p w14:paraId="762F14EE" w14:textId="77777777" w:rsidR="00790ADA" w:rsidRPr="00ED0A45" w:rsidRDefault="00790ADA" w:rsidP="00B153BE">
      <w:pPr>
        <w:pStyle w:val="Head1"/>
        <w:spacing w:after="0"/>
        <w:jc w:val="both"/>
        <w:rPr>
          <w:rFonts w:asciiTheme="minorBidi" w:hAnsiTheme="minorBidi" w:cstheme="minorBidi"/>
        </w:rPr>
      </w:pPr>
    </w:p>
    <w:p w14:paraId="4D1E573D" w14:textId="233E02F7" w:rsidR="00ED0A45" w:rsidRPr="00ED0A45" w:rsidRDefault="00ED0A45" w:rsidP="00ED0A45">
      <w:pPr>
        <w:pStyle w:val="Body"/>
        <w:spacing w:after="0"/>
        <w:rPr>
          <w:rFonts w:asciiTheme="minorBidi" w:hAnsiTheme="minorBidi" w:cstheme="minorBidi"/>
          <w:sz w:val="22"/>
          <w:szCs w:val="22"/>
          <w:lang w:val="en-US"/>
        </w:rPr>
      </w:pPr>
      <w:r w:rsidRPr="00ED0A45">
        <w:rPr>
          <w:rFonts w:asciiTheme="minorBidi" w:hAnsiTheme="minorBidi" w:cstheme="minorBidi"/>
          <w:sz w:val="22"/>
          <w:szCs w:val="22"/>
          <w:lang w:val="en-US"/>
        </w:rPr>
        <w:t xml:space="preserve">Budd–Chiari Syndrome (BCS) results from obstruction of hepatic venous outflow, involving at least one hepatic vein and/or the </w:t>
      </w:r>
      <w:proofErr w:type="spellStart"/>
      <w:r w:rsidRPr="00ED0A45">
        <w:rPr>
          <w:rFonts w:asciiTheme="minorBidi" w:hAnsiTheme="minorBidi" w:cstheme="minorBidi"/>
          <w:sz w:val="22"/>
          <w:szCs w:val="22"/>
          <w:lang w:val="en-US"/>
        </w:rPr>
        <w:t>retrohepatic</w:t>
      </w:r>
      <w:proofErr w:type="spellEnd"/>
      <w:r w:rsidRPr="00ED0A45">
        <w:rPr>
          <w:rFonts w:asciiTheme="minorBidi" w:hAnsiTheme="minorBidi" w:cstheme="minorBidi"/>
          <w:sz w:val="22"/>
          <w:szCs w:val="22"/>
          <w:lang w:val="en-US"/>
        </w:rPr>
        <w:t xml:space="preserve"> segment of the inferior vena cava (IVC). Epidemiologically, BCS is more prevalent in Asia and Africa than in Western countries, and it primarily affects young adults without a clear sex predominance (1). Thrombotic forms dominate, most often associated with myeloproliferative neoplasms or acquired thrombophilic states, whereas secondary forms due to extrinsic compression are less frequent. Multiple etiologies can coexist in a single patient, underscoring the importance of a comprehensive diagnostic work-up (4, 8).</w:t>
      </w:r>
    </w:p>
    <w:p w14:paraId="20059BEC" w14:textId="320B951E" w:rsidR="00ED0A45" w:rsidRPr="00ED0A45" w:rsidRDefault="00ED0A45" w:rsidP="00ED0A45">
      <w:pPr>
        <w:pStyle w:val="Body"/>
        <w:spacing w:after="0"/>
        <w:rPr>
          <w:rFonts w:asciiTheme="minorBidi" w:hAnsiTheme="minorBidi" w:cstheme="minorBidi"/>
          <w:sz w:val="22"/>
          <w:szCs w:val="22"/>
          <w:lang w:val="en-US"/>
        </w:rPr>
      </w:pPr>
      <w:r w:rsidRPr="00ED0A45">
        <w:rPr>
          <w:rFonts w:asciiTheme="minorBidi" w:hAnsiTheme="minorBidi" w:cstheme="minorBidi"/>
          <w:sz w:val="22"/>
          <w:szCs w:val="22"/>
          <w:lang w:val="en-US"/>
        </w:rPr>
        <w:t>Pernicious anemia is an autoimmune megaloblastic anemia resulting from the destruction of gastric parietal cells, which impairs intrinsic factor production and consequently leads to malabsorption of vitamin B12 (</w:t>
      </w:r>
      <w:r>
        <w:rPr>
          <w:rFonts w:asciiTheme="minorBidi" w:hAnsiTheme="minorBidi" w:cstheme="minorBidi"/>
          <w:sz w:val="22"/>
          <w:szCs w:val="22"/>
          <w:lang w:val="en-US"/>
        </w:rPr>
        <w:t>4</w:t>
      </w:r>
      <w:r w:rsidRPr="00ED0A45">
        <w:rPr>
          <w:rFonts w:asciiTheme="minorBidi" w:hAnsiTheme="minorBidi" w:cstheme="minorBidi"/>
          <w:sz w:val="22"/>
          <w:szCs w:val="22"/>
          <w:lang w:val="en-US"/>
        </w:rPr>
        <w:t>). Vitamin B12 deficiency</w:t>
      </w:r>
      <w:r>
        <w:rPr>
          <w:rFonts w:asciiTheme="minorBidi" w:hAnsiTheme="minorBidi" w:cstheme="minorBidi"/>
          <w:sz w:val="22"/>
          <w:szCs w:val="22"/>
          <w:lang w:val="en-US"/>
        </w:rPr>
        <w:t xml:space="preserve"> </w:t>
      </w:r>
      <w:r w:rsidRPr="00ED0A45">
        <w:rPr>
          <w:rFonts w:asciiTheme="minorBidi" w:hAnsiTheme="minorBidi" w:cstheme="minorBidi"/>
          <w:sz w:val="22"/>
          <w:szCs w:val="22"/>
          <w:lang w:val="en-US"/>
        </w:rPr>
        <w:t>disrupts homocysteine metabolism because methionine synthase, a B12-dependent enzyme, cannot remethylate homocysteine into methionine, leading to hyperhomocysteinemia (3, 5). Elevated homocysteine induces endothelial dysfunction, oxidative stress, platelet activation, and </w:t>
      </w:r>
      <w:proofErr w:type="spellStart"/>
      <w:r w:rsidRPr="00ED0A45">
        <w:rPr>
          <w:rFonts w:asciiTheme="minorBidi" w:hAnsiTheme="minorBidi" w:cstheme="minorBidi"/>
          <w:sz w:val="22"/>
          <w:szCs w:val="22"/>
          <w:lang w:val="en-US"/>
        </w:rPr>
        <w:t>homocysteinylation</w:t>
      </w:r>
      <w:proofErr w:type="spellEnd"/>
      <w:r w:rsidRPr="00ED0A45">
        <w:rPr>
          <w:rFonts w:asciiTheme="minorBidi" w:hAnsiTheme="minorBidi" w:cstheme="minorBidi"/>
          <w:sz w:val="22"/>
          <w:szCs w:val="22"/>
          <w:lang w:val="en-US"/>
        </w:rPr>
        <w:t xml:space="preserve"> of plasma proteins, including natural anticoagulants such as protein C and protein S (5, 6). This chemical modification reduces their anticoagulant activity, impairing the inhibition of factors </w:t>
      </w:r>
      <w:proofErr w:type="spellStart"/>
      <w:r w:rsidRPr="00ED0A45">
        <w:rPr>
          <w:rFonts w:asciiTheme="minorBidi" w:hAnsiTheme="minorBidi" w:cstheme="minorBidi"/>
          <w:sz w:val="22"/>
          <w:szCs w:val="22"/>
          <w:lang w:val="en-US"/>
        </w:rPr>
        <w:t>Va</w:t>
      </w:r>
      <w:proofErr w:type="spellEnd"/>
      <w:r w:rsidRPr="00ED0A45">
        <w:rPr>
          <w:rFonts w:asciiTheme="minorBidi" w:hAnsiTheme="minorBidi" w:cstheme="minorBidi"/>
          <w:sz w:val="22"/>
          <w:szCs w:val="22"/>
          <w:lang w:val="en-US"/>
        </w:rPr>
        <w:t xml:space="preserve"> and </w:t>
      </w:r>
      <w:proofErr w:type="spellStart"/>
      <w:r w:rsidRPr="00ED0A45">
        <w:rPr>
          <w:rFonts w:asciiTheme="minorBidi" w:hAnsiTheme="minorBidi" w:cstheme="minorBidi"/>
          <w:sz w:val="22"/>
          <w:szCs w:val="22"/>
          <w:lang w:val="en-US"/>
        </w:rPr>
        <w:t>VIIIa</w:t>
      </w:r>
      <w:proofErr w:type="spellEnd"/>
      <w:r w:rsidRPr="00ED0A45">
        <w:rPr>
          <w:rFonts w:asciiTheme="minorBidi" w:hAnsiTheme="minorBidi" w:cstheme="minorBidi"/>
          <w:sz w:val="22"/>
          <w:szCs w:val="22"/>
          <w:lang w:val="en-US"/>
        </w:rPr>
        <w:t xml:space="preserve"> and promoting a hypercoagulable state (5).</w:t>
      </w:r>
    </w:p>
    <w:p w14:paraId="123B81A2" w14:textId="07192622" w:rsidR="00ED0A45" w:rsidRPr="00ED0A45" w:rsidRDefault="00ED0A45" w:rsidP="00ED0A45">
      <w:pPr>
        <w:pStyle w:val="Body"/>
        <w:spacing w:after="0"/>
        <w:rPr>
          <w:rFonts w:asciiTheme="minorBidi" w:hAnsiTheme="minorBidi" w:cstheme="minorBidi"/>
          <w:sz w:val="22"/>
          <w:szCs w:val="22"/>
          <w:lang w:val="en-US"/>
        </w:rPr>
      </w:pPr>
      <w:r w:rsidRPr="00ED0A45">
        <w:rPr>
          <w:rFonts w:asciiTheme="minorBidi" w:hAnsiTheme="minorBidi" w:cstheme="minorBidi"/>
          <w:sz w:val="22"/>
          <w:szCs w:val="22"/>
          <w:lang w:val="en-US"/>
        </w:rPr>
        <w:t xml:space="preserve">Protein C, a vitamin K-dependent glycoprotein synthesized by hepatocytes, is activated by the thrombin–thrombomodulin complex and, together with protein S, inhibits factors </w:t>
      </w:r>
      <w:proofErr w:type="spellStart"/>
      <w:r w:rsidRPr="00ED0A45">
        <w:rPr>
          <w:rFonts w:asciiTheme="minorBidi" w:hAnsiTheme="minorBidi" w:cstheme="minorBidi"/>
          <w:sz w:val="22"/>
          <w:szCs w:val="22"/>
          <w:lang w:val="en-US"/>
        </w:rPr>
        <w:t>Va</w:t>
      </w:r>
      <w:proofErr w:type="spellEnd"/>
      <w:r w:rsidRPr="00ED0A45">
        <w:rPr>
          <w:rFonts w:asciiTheme="minorBidi" w:hAnsiTheme="minorBidi" w:cstheme="minorBidi"/>
          <w:sz w:val="22"/>
          <w:szCs w:val="22"/>
          <w:lang w:val="en-US"/>
        </w:rPr>
        <w:t xml:space="preserve"> and </w:t>
      </w:r>
      <w:proofErr w:type="spellStart"/>
      <w:r w:rsidRPr="00ED0A45">
        <w:rPr>
          <w:rFonts w:asciiTheme="minorBidi" w:hAnsiTheme="minorBidi" w:cstheme="minorBidi"/>
          <w:sz w:val="22"/>
          <w:szCs w:val="22"/>
          <w:lang w:val="en-US"/>
        </w:rPr>
        <w:t>VIIIa</w:t>
      </w:r>
      <w:proofErr w:type="spellEnd"/>
      <w:r w:rsidRPr="00ED0A45">
        <w:rPr>
          <w:rFonts w:asciiTheme="minorBidi" w:hAnsiTheme="minorBidi" w:cstheme="minorBidi"/>
          <w:sz w:val="22"/>
          <w:szCs w:val="22"/>
          <w:lang w:val="en-US"/>
        </w:rPr>
        <w:t>, providing negative feedback to the coagulation cascade (5). Deficiency of protein C, whether congenital or acquired, disrupts this regulatory pathway and contributes to a chronic prothrombotic state, particularly in low-flow venous systems such as the hepatic veins</w:t>
      </w:r>
      <w:r>
        <w:rPr>
          <w:rFonts w:asciiTheme="minorBidi" w:hAnsiTheme="minorBidi" w:cstheme="minorBidi"/>
          <w:sz w:val="22"/>
          <w:szCs w:val="22"/>
          <w:lang w:val="en-US"/>
        </w:rPr>
        <w:t>.</w:t>
      </w:r>
    </w:p>
    <w:p w14:paraId="0FE8CF9D" w14:textId="04594BA7" w:rsidR="00ED0A45" w:rsidRPr="00ED0A45" w:rsidRDefault="00ED0A45" w:rsidP="00ED0A45">
      <w:pPr>
        <w:pStyle w:val="Body"/>
        <w:spacing w:after="0"/>
        <w:rPr>
          <w:rFonts w:asciiTheme="minorBidi" w:hAnsiTheme="minorBidi" w:cstheme="minorBidi"/>
          <w:sz w:val="22"/>
          <w:szCs w:val="22"/>
          <w:lang w:val="en-US"/>
        </w:rPr>
      </w:pPr>
      <w:r w:rsidRPr="00ED0A45">
        <w:rPr>
          <w:rFonts w:asciiTheme="minorBidi" w:hAnsiTheme="minorBidi" w:cstheme="minorBidi"/>
          <w:sz w:val="22"/>
          <w:szCs w:val="22"/>
          <w:lang w:val="en-US"/>
        </w:rPr>
        <w:t xml:space="preserve">In the case presented, pernicious anemia led to vitamin B12 deficiency, which caused hyperhomocysteinemia and an acquired functional protein C </w:t>
      </w:r>
      <w:r w:rsidRPr="00ED0A45">
        <w:rPr>
          <w:rFonts w:asciiTheme="minorBidi" w:hAnsiTheme="minorBidi" w:cstheme="minorBidi"/>
          <w:sz w:val="22"/>
          <w:szCs w:val="22"/>
          <w:lang w:val="en-US"/>
        </w:rPr>
        <w:lastRenderedPageBreak/>
        <w:t>deficie</w:t>
      </w:r>
      <w:bookmarkStart w:id="0" w:name="_GoBack"/>
      <w:bookmarkEnd w:id="0"/>
      <w:r w:rsidRPr="00ED0A45">
        <w:rPr>
          <w:rFonts w:asciiTheme="minorBidi" w:hAnsiTheme="minorBidi" w:cstheme="minorBidi"/>
          <w:sz w:val="22"/>
          <w:szCs w:val="22"/>
          <w:lang w:val="en-US"/>
        </w:rPr>
        <w:t>ncy, establishing a highly thrombogenic milieu. This ultimately resulted in hepatic vein thrombosis and the development of BCS, complicated by portal hypertension.</w:t>
      </w:r>
      <w:r w:rsidRPr="00ED0A45">
        <w:rPr>
          <w:rFonts w:asciiTheme="minorBidi" w:hAnsiTheme="minorBidi" w:cstheme="minorBidi"/>
          <w:sz w:val="22"/>
          <w:szCs w:val="22"/>
          <w:lang w:val="en-US"/>
        </w:rPr>
        <w:t xml:space="preserve"> </w:t>
      </w:r>
      <w:r>
        <w:rPr>
          <w:rFonts w:asciiTheme="minorBidi" w:hAnsiTheme="minorBidi" w:cstheme="minorBidi"/>
          <w:sz w:val="22"/>
          <w:szCs w:val="22"/>
          <w:lang w:val="en-US"/>
        </w:rPr>
        <w:t>(6)</w:t>
      </w:r>
      <w:r w:rsidRPr="00ED0A45">
        <w:rPr>
          <w:rFonts w:asciiTheme="minorBidi" w:hAnsiTheme="minorBidi" w:cstheme="minorBidi"/>
          <w:sz w:val="22"/>
          <w:szCs w:val="22"/>
          <w:lang w:val="en-US"/>
        </w:rPr>
        <w:t>.</w:t>
      </w:r>
    </w:p>
    <w:p w14:paraId="71717081" w14:textId="1840C5CD" w:rsidR="00ED0A45" w:rsidRPr="00ED0A45" w:rsidRDefault="00ED0A45" w:rsidP="00ED0A45">
      <w:pPr>
        <w:pStyle w:val="Body"/>
        <w:spacing w:after="0"/>
        <w:rPr>
          <w:rFonts w:asciiTheme="minorBidi" w:hAnsiTheme="minorBidi" w:cstheme="minorBidi"/>
          <w:sz w:val="22"/>
          <w:szCs w:val="22"/>
          <w:lang w:val="en-US"/>
        </w:rPr>
      </w:pPr>
      <w:r w:rsidRPr="00ED0A45">
        <w:rPr>
          <w:rFonts w:asciiTheme="minorBidi" w:hAnsiTheme="minorBidi" w:cstheme="minorBidi"/>
          <w:sz w:val="22"/>
          <w:szCs w:val="22"/>
          <w:lang w:val="en-US"/>
        </w:rPr>
        <w:t>This case highlights the critical importance of systematic etiological evaluation in BCS. Acquired thrombophilia due to vitamin B12 deficiency secondary to pernicious anemia is a reversible condition, and early recognition allows for targeted therapeutic interventions (2, 6). Screening for vitamin deficiencies and disorders of the methionine–homocysteine pathway should be integrated into the evaluation of patients with unusual thrombotic events, particularly when conventional thrombophilic factors are absent (5</w:t>
      </w:r>
      <w:r w:rsidR="005D482F">
        <w:rPr>
          <w:rFonts w:asciiTheme="minorBidi" w:hAnsiTheme="minorBidi" w:cstheme="minorBidi"/>
          <w:sz w:val="22"/>
          <w:szCs w:val="22"/>
          <w:lang w:val="en-US"/>
        </w:rPr>
        <w:t>;7</w:t>
      </w:r>
      <w:r w:rsidRPr="00ED0A45">
        <w:rPr>
          <w:rFonts w:asciiTheme="minorBidi" w:hAnsiTheme="minorBidi" w:cstheme="minorBidi"/>
          <w:sz w:val="22"/>
          <w:szCs w:val="22"/>
          <w:lang w:val="en-US"/>
        </w:rPr>
        <w:t>).</w:t>
      </w:r>
    </w:p>
    <w:p w14:paraId="27F60717" w14:textId="77777777" w:rsidR="00ED0A45" w:rsidRPr="00ED0A45" w:rsidRDefault="00ED0A45" w:rsidP="00ED0A45">
      <w:pPr>
        <w:pStyle w:val="Body"/>
        <w:spacing w:after="0"/>
        <w:rPr>
          <w:rFonts w:asciiTheme="minorBidi" w:hAnsiTheme="minorBidi" w:cstheme="minorBidi"/>
          <w:lang w:val="en-US"/>
        </w:rPr>
      </w:pPr>
      <w:r w:rsidRPr="00ED0A45">
        <w:rPr>
          <w:rFonts w:asciiTheme="minorBidi" w:hAnsiTheme="minorBidi" w:cstheme="minorBidi"/>
          <w:sz w:val="22"/>
          <w:szCs w:val="22"/>
          <w:lang w:val="en-US"/>
        </w:rPr>
        <w:t>Management requires correction of vitamin B12 deficiency, anticoagulation to prevent further thrombosis, treatment of portal hypertension complications, and long-term surveillance for hepatocellular carcinoma in cirrhotic patients. Timely diagnosis and treatment of reversible acquired thrombophilia can prevent progression to cirrhosis and reduce morbidity and mortality associated with BCS (7, 8).</w:t>
      </w:r>
    </w:p>
    <w:p w14:paraId="6DE3AA4F" w14:textId="77777777" w:rsidR="00790ADA" w:rsidRPr="00ED0A45" w:rsidRDefault="00790ADA" w:rsidP="00B153BE">
      <w:pPr>
        <w:pStyle w:val="Body"/>
        <w:spacing w:after="0"/>
        <w:rPr>
          <w:rFonts w:asciiTheme="minorBidi" w:hAnsiTheme="minorBidi" w:cstheme="minorBidi"/>
          <w:lang w:val="en-US"/>
        </w:rPr>
      </w:pPr>
    </w:p>
    <w:p w14:paraId="52098233" w14:textId="77777777" w:rsidR="00B01FCD" w:rsidRPr="00ED0A45" w:rsidRDefault="00000F8F" w:rsidP="00B153BE">
      <w:pPr>
        <w:pStyle w:val="ConcHead"/>
        <w:spacing w:after="0"/>
        <w:jc w:val="both"/>
        <w:rPr>
          <w:rFonts w:asciiTheme="minorBidi" w:hAnsiTheme="minorBidi" w:cstheme="minorBidi"/>
        </w:rPr>
      </w:pPr>
      <w:r w:rsidRPr="00ED0A45">
        <w:rPr>
          <w:rFonts w:asciiTheme="minorBidi" w:hAnsiTheme="minorBidi" w:cstheme="minorBidi"/>
        </w:rPr>
        <w:t xml:space="preserve">4. </w:t>
      </w:r>
      <w:r w:rsidR="00B01FCD" w:rsidRPr="00ED0A45">
        <w:rPr>
          <w:rFonts w:asciiTheme="minorBidi" w:hAnsiTheme="minorBidi" w:cstheme="minorBidi"/>
        </w:rPr>
        <w:t>Conclusion</w:t>
      </w:r>
    </w:p>
    <w:p w14:paraId="51D4AEC6" w14:textId="77777777" w:rsidR="00790ADA" w:rsidRPr="00ED0A45" w:rsidRDefault="00790ADA" w:rsidP="00B153BE">
      <w:pPr>
        <w:pStyle w:val="ConcHead"/>
        <w:spacing w:after="0"/>
        <w:jc w:val="both"/>
        <w:rPr>
          <w:rFonts w:asciiTheme="minorBidi" w:hAnsiTheme="minorBidi" w:cstheme="minorBidi"/>
        </w:rPr>
      </w:pPr>
    </w:p>
    <w:p w14:paraId="6741D05F" w14:textId="77777777" w:rsidR="00B153BE" w:rsidRPr="00ED0A45" w:rsidRDefault="00B153BE" w:rsidP="00B153BE">
      <w:pPr>
        <w:pStyle w:val="Body"/>
        <w:rPr>
          <w:rFonts w:asciiTheme="minorBidi" w:hAnsiTheme="minorBidi" w:cstheme="minorBidi"/>
          <w:sz w:val="22"/>
          <w:szCs w:val="22"/>
        </w:rPr>
      </w:pPr>
      <w:r w:rsidRPr="00ED0A45">
        <w:rPr>
          <w:rFonts w:asciiTheme="minorBidi" w:hAnsiTheme="minorBidi" w:cstheme="minorBidi"/>
          <w:sz w:val="22"/>
          <w:szCs w:val="22"/>
        </w:rPr>
        <w:t xml:space="preserve">This case emphasizes the importance of systematically investigating acquired </w:t>
      </w:r>
      <w:proofErr w:type="spellStart"/>
      <w:r w:rsidRPr="00ED0A45">
        <w:rPr>
          <w:rFonts w:asciiTheme="minorBidi" w:hAnsiTheme="minorBidi" w:cstheme="minorBidi"/>
          <w:sz w:val="22"/>
          <w:szCs w:val="22"/>
        </w:rPr>
        <w:t>thrombophilic</w:t>
      </w:r>
      <w:proofErr w:type="spellEnd"/>
      <w:r w:rsidRPr="00ED0A45">
        <w:rPr>
          <w:rFonts w:asciiTheme="minorBidi" w:hAnsiTheme="minorBidi" w:cstheme="minorBidi"/>
          <w:sz w:val="22"/>
          <w:szCs w:val="22"/>
        </w:rPr>
        <w:t xml:space="preserve"> causes in the etiological work-up of Budd-Chiari Syndrome. The combination of protein C deficiency and hyperhomocysteinemia secondary to pernicious anemia creates a potent prothrombotic state, justifying prompt and targeted management. Early correction of vitamin B12 deficiency, appropriate anticoagulation, and consideration of revascularization strategies can improve outcomes and prevent progression to cirrhosis and its complications.</w:t>
      </w:r>
    </w:p>
    <w:p w14:paraId="1B117E4A" w14:textId="77777777" w:rsidR="002B685A" w:rsidRPr="00ED0A45" w:rsidRDefault="002B685A" w:rsidP="00B153BE">
      <w:pPr>
        <w:pStyle w:val="ReferHead"/>
        <w:spacing w:after="0"/>
        <w:jc w:val="both"/>
        <w:rPr>
          <w:rFonts w:asciiTheme="minorBidi" w:hAnsiTheme="minorBidi" w:cstheme="minorBidi"/>
          <w:b w:val="0"/>
          <w:caps w:val="0"/>
          <w:sz w:val="20"/>
        </w:rPr>
      </w:pPr>
    </w:p>
    <w:p w14:paraId="09269802" w14:textId="77777777" w:rsidR="002B685A" w:rsidRPr="00ED0A45" w:rsidRDefault="002B685A" w:rsidP="00B153BE">
      <w:pPr>
        <w:pStyle w:val="ReferHead"/>
        <w:spacing w:after="0"/>
        <w:jc w:val="both"/>
        <w:rPr>
          <w:rFonts w:asciiTheme="minorBidi" w:hAnsiTheme="minorBidi" w:cstheme="minorBidi"/>
          <w:bCs/>
        </w:rPr>
      </w:pPr>
      <w:r w:rsidRPr="00ED0A45">
        <w:rPr>
          <w:rFonts w:asciiTheme="minorBidi" w:hAnsiTheme="minorBidi" w:cstheme="minorBidi"/>
          <w:bCs/>
        </w:rPr>
        <w:t xml:space="preserve">Consent </w:t>
      </w:r>
    </w:p>
    <w:p w14:paraId="28A22C4A" w14:textId="77777777" w:rsidR="002B685A" w:rsidRPr="00ED0A45" w:rsidRDefault="002B685A" w:rsidP="00B153BE">
      <w:pPr>
        <w:pStyle w:val="ReferHead"/>
        <w:spacing w:after="0"/>
        <w:jc w:val="both"/>
        <w:rPr>
          <w:rFonts w:asciiTheme="minorBidi" w:hAnsiTheme="minorBidi" w:cstheme="minorBidi"/>
          <w:bCs/>
        </w:rPr>
      </w:pPr>
    </w:p>
    <w:p w14:paraId="7089E91F" w14:textId="77777777" w:rsidR="001A29D8" w:rsidRPr="00ED0A45" w:rsidRDefault="001A29D8" w:rsidP="00B153BE">
      <w:pPr>
        <w:pStyle w:val="ReferHead"/>
        <w:spacing w:after="0"/>
        <w:jc w:val="both"/>
        <w:rPr>
          <w:rFonts w:asciiTheme="minorBidi" w:hAnsiTheme="minorBidi" w:cstheme="minorBidi"/>
          <w:b w:val="0"/>
          <w:caps w:val="0"/>
          <w:sz w:val="20"/>
        </w:rPr>
      </w:pPr>
      <w:r w:rsidRPr="00ED0A45">
        <w:rPr>
          <w:rFonts w:asciiTheme="minorBidi" w:hAnsiTheme="minorBidi" w:cstheme="minorBidi"/>
          <w:b w:val="0"/>
          <w:caps w:val="0"/>
          <w:sz w:val="20"/>
        </w:rPr>
        <w:t>All authors declare that ‘written informed consent was obtained from the patient for publication of this case report and accompanying images. A copy of the written consent is available for review by the Editorial office/Chief Editor/Editorial Board members of this journal.</w:t>
      </w:r>
    </w:p>
    <w:p w14:paraId="75C14D15" w14:textId="77777777" w:rsidR="001A29D8" w:rsidRPr="00ED0A45" w:rsidRDefault="001A29D8" w:rsidP="00B153BE">
      <w:pPr>
        <w:pStyle w:val="ReferHead"/>
        <w:spacing w:after="0"/>
        <w:jc w:val="both"/>
        <w:rPr>
          <w:rFonts w:asciiTheme="minorBidi" w:hAnsiTheme="minorBidi" w:cstheme="minorBidi"/>
          <w:b w:val="0"/>
          <w:caps w:val="0"/>
          <w:sz w:val="20"/>
        </w:rPr>
      </w:pPr>
    </w:p>
    <w:p w14:paraId="4FCCC49A" w14:textId="77777777" w:rsidR="00ED0A45" w:rsidRPr="00F1786B" w:rsidRDefault="00ED0A45" w:rsidP="00ED0A45">
      <w:pPr>
        <w:rPr>
          <w:rFonts w:asciiTheme="minorBidi" w:hAnsiTheme="minorBidi" w:cstheme="minorBidi"/>
          <w:sz w:val="21"/>
          <w:szCs w:val="21"/>
          <w:highlight w:val="yellow"/>
        </w:rPr>
      </w:pPr>
      <w:r w:rsidRPr="00F1786B">
        <w:rPr>
          <w:rFonts w:asciiTheme="minorBidi" w:hAnsiTheme="minorBidi" w:cstheme="minorBidi"/>
          <w:sz w:val="21"/>
          <w:szCs w:val="21"/>
          <w:highlight w:val="yellow"/>
        </w:rPr>
        <w:t>Disclaimer (Artificial intelligence)</w:t>
      </w:r>
    </w:p>
    <w:p w14:paraId="0B9072EA" w14:textId="77777777" w:rsidR="00ED0A45" w:rsidRPr="00F1786B" w:rsidRDefault="00ED0A45" w:rsidP="00ED0A45">
      <w:pPr>
        <w:rPr>
          <w:rFonts w:asciiTheme="minorBidi" w:hAnsiTheme="minorBidi" w:cstheme="minorBidi"/>
          <w:sz w:val="21"/>
          <w:szCs w:val="21"/>
        </w:rPr>
      </w:pPr>
      <w:r w:rsidRPr="00F1786B">
        <w:rPr>
          <w:rFonts w:asciiTheme="minorBidi" w:hAnsiTheme="minorBidi" w:cstheme="minorBidi"/>
          <w:sz w:val="21"/>
          <w:szCs w:val="21"/>
        </w:rPr>
        <w:t xml:space="preserve">Option 2: </w:t>
      </w:r>
    </w:p>
    <w:p w14:paraId="3F9539CC" w14:textId="77777777" w:rsidR="00ED0A45" w:rsidRPr="00F1786B" w:rsidRDefault="00ED0A45" w:rsidP="00ED0A45">
      <w:pPr>
        <w:rPr>
          <w:rFonts w:asciiTheme="minorBidi" w:hAnsiTheme="minorBidi" w:cstheme="minorBidi"/>
          <w:sz w:val="21"/>
          <w:szCs w:val="21"/>
        </w:rPr>
      </w:pPr>
      <w:r w:rsidRPr="00F1786B">
        <w:rPr>
          <w:rFonts w:asciiTheme="minorBidi" w:hAnsiTheme="minorBidi" w:cstheme="minorBidi"/>
          <w:sz w:val="21"/>
          <w:szCs w:val="21"/>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D72930" w14:textId="77777777" w:rsidR="00ED0A45" w:rsidRPr="00F1786B" w:rsidRDefault="00ED0A45" w:rsidP="00ED0A45">
      <w:pPr>
        <w:rPr>
          <w:rFonts w:asciiTheme="minorBidi" w:hAnsiTheme="minorBidi" w:cstheme="minorBidi"/>
          <w:sz w:val="21"/>
          <w:szCs w:val="21"/>
        </w:rPr>
      </w:pPr>
      <w:r w:rsidRPr="00F1786B">
        <w:rPr>
          <w:rFonts w:asciiTheme="minorBidi" w:hAnsiTheme="minorBidi" w:cstheme="minorBidi"/>
          <w:sz w:val="21"/>
          <w:szCs w:val="21"/>
        </w:rPr>
        <w:t>Details of the AI usage are given below:</w:t>
      </w:r>
    </w:p>
    <w:p w14:paraId="638F039D" w14:textId="0E8DA72D" w:rsidR="00ED0A45" w:rsidRPr="00F1786B" w:rsidRDefault="00ED0A45" w:rsidP="00096A7E">
      <w:pPr>
        <w:pStyle w:val="Paragraphedeliste"/>
        <w:numPr>
          <w:ilvl w:val="0"/>
          <w:numId w:val="33"/>
        </w:numPr>
        <w:rPr>
          <w:rFonts w:asciiTheme="minorBidi" w:hAnsiTheme="minorBidi" w:cstheme="minorBidi"/>
          <w:sz w:val="21"/>
          <w:szCs w:val="21"/>
          <w:lang w:val="en-US"/>
        </w:rPr>
      </w:pPr>
      <w:r w:rsidRPr="00F1786B">
        <w:rPr>
          <w:rFonts w:asciiTheme="minorBidi" w:hAnsiTheme="minorBidi" w:cstheme="minorBidi"/>
          <w:sz w:val="21"/>
          <w:szCs w:val="21"/>
          <w:lang w:val="en-US"/>
        </w:rPr>
        <w:lastRenderedPageBreak/>
        <w:t>AI was used to find recent references</w:t>
      </w:r>
    </w:p>
    <w:p w14:paraId="6B532F54" w14:textId="1442DFE3" w:rsidR="00ED0A45" w:rsidRPr="00F1786B" w:rsidRDefault="00ED0A45" w:rsidP="00ED0A45">
      <w:pPr>
        <w:pStyle w:val="Paragraphedeliste"/>
        <w:numPr>
          <w:ilvl w:val="0"/>
          <w:numId w:val="33"/>
        </w:numPr>
        <w:rPr>
          <w:rFonts w:asciiTheme="minorBidi" w:hAnsiTheme="minorBidi" w:cstheme="minorBidi"/>
          <w:sz w:val="21"/>
          <w:szCs w:val="21"/>
          <w:lang w:val="en-US"/>
        </w:rPr>
      </w:pPr>
      <w:r w:rsidRPr="00F1786B">
        <w:rPr>
          <w:rFonts w:asciiTheme="minorBidi" w:hAnsiTheme="minorBidi" w:cstheme="minorBidi"/>
          <w:sz w:val="21"/>
          <w:szCs w:val="21"/>
          <w:lang w:val="en-US"/>
        </w:rPr>
        <w:t>to rephrase</w:t>
      </w:r>
      <w:r w:rsidRPr="00F1786B">
        <w:rPr>
          <w:rFonts w:asciiTheme="minorBidi" w:hAnsiTheme="minorBidi" w:cstheme="minorBidi"/>
          <w:sz w:val="21"/>
          <w:szCs w:val="21"/>
          <w:lang w:val="en-US"/>
        </w:rPr>
        <w:t xml:space="preserve"> some of the sentences</w:t>
      </w:r>
    </w:p>
    <w:p w14:paraId="0B540DBA" w14:textId="666284C4" w:rsidR="00ED0A45" w:rsidRDefault="00ED0A45" w:rsidP="00ED0A45">
      <w:pPr>
        <w:pStyle w:val="Paragraphedeliste"/>
        <w:numPr>
          <w:ilvl w:val="0"/>
          <w:numId w:val="33"/>
        </w:numPr>
        <w:rPr>
          <w:rFonts w:asciiTheme="minorBidi" w:hAnsiTheme="minorBidi" w:cstheme="minorBidi"/>
          <w:sz w:val="21"/>
          <w:szCs w:val="21"/>
          <w:lang w:val="en-US"/>
        </w:rPr>
      </w:pPr>
      <w:r w:rsidRPr="00F1786B">
        <w:rPr>
          <w:rFonts w:asciiTheme="minorBidi" w:hAnsiTheme="minorBidi" w:cstheme="minorBidi"/>
          <w:sz w:val="21"/>
          <w:szCs w:val="21"/>
          <w:lang w:val="en-US"/>
        </w:rPr>
        <w:t xml:space="preserve">And to help remove unnecessary sentences </w:t>
      </w:r>
    </w:p>
    <w:p w14:paraId="6C8C4637" w14:textId="77777777" w:rsidR="00F1786B" w:rsidRPr="00F1786B" w:rsidRDefault="00F1786B" w:rsidP="00F1786B">
      <w:pPr>
        <w:pStyle w:val="Paragraphedeliste"/>
        <w:rPr>
          <w:rFonts w:asciiTheme="minorBidi" w:hAnsiTheme="minorBidi" w:cstheme="minorBidi"/>
          <w:sz w:val="21"/>
          <w:szCs w:val="21"/>
          <w:lang w:val="en-US"/>
        </w:rPr>
      </w:pPr>
    </w:p>
    <w:p w14:paraId="1E6E2D95" w14:textId="479057B3" w:rsidR="008B459E" w:rsidRPr="00F1786B" w:rsidRDefault="00B01FCD" w:rsidP="00ED0A45">
      <w:pPr>
        <w:pStyle w:val="ReferHead"/>
        <w:spacing w:after="0"/>
        <w:jc w:val="both"/>
        <w:rPr>
          <w:rFonts w:asciiTheme="minorBidi" w:hAnsiTheme="minorBidi" w:cstheme="minorBidi"/>
          <w:sz w:val="18"/>
          <w:szCs w:val="20"/>
        </w:rPr>
      </w:pPr>
      <w:r w:rsidRPr="00F1786B">
        <w:rPr>
          <w:rFonts w:asciiTheme="minorBidi" w:hAnsiTheme="minorBidi" w:cstheme="minorBidi"/>
          <w:sz w:val="18"/>
          <w:szCs w:val="20"/>
        </w:rPr>
        <w:t>References</w:t>
      </w:r>
    </w:p>
    <w:p w14:paraId="30F8737A" w14:textId="18B5B4AB" w:rsidR="00ED0A45" w:rsidRPr="00ED0A45" w:rsidRDefault="00ED0A45" w:rsidP="00ED0A45">
      <w:pPr>
        <w:numPr>
          <w:ilvl w:val="0"/>
          <w:numId w:val="32"/>
        </w:numPr>
        <w:spacing w:before="100" w:beforeAutospacing="1" w:after="100" w:afterAutospacing="1" w:line="360" w:lineRule="auto"/>
        <w:rPr>
          <w:rFonts w:asciiTheme="minorBidi" w:hAnsiTheme="minorBidi" w:cstheme="minorBidi"/>
          <w:color w:val="000000"/>
          <w:sz w:val="22"/>
          <w:szCs w:val="22"/>
        </w:rPr>
      </w:pPr>
      <w:r w:rsidRPr="00ED0A45">
        <w:rPr>
          <w:rFonts w:asciiTheme="minorBidi" w:hAnsiTheme="minorBidi" w:cstheme="minorBidi"/>
          <w:color w:val="000000"/>
          <w:sz w:val="22"/>
          <w:szCs w:val="22"/>
        </w:rPr>
        <w:t xml:space="preserve"> Y., De Stefano V., Li H., et al. </w:t>
      </w:r>
      <w:r w:rsidRPr="00ED0A45">
        <w:rPr>
          <w:rFonts w:asciiTheme="minorBidi" w:hAnsiTheme="minorBidi" w:cstheme="minorBidi"/>
          <w:i/>
          <w:iCs/>
          <w:color w:val="000000"/>
          <w:sz w:val="22"/>
          <w:szCs w:val="22"/>
          <w:lang w:val="en-US"/>
        </w:rPr>
        <w:t>Epidemiology of Budd–Chiari syndrome: a systematic review and meta-</w:t>
      </w:r>
      <w:proofErr w:type="spellStart"/>
      <w:proofErr w:type="gramStart"/>
      <w:r w:rsidRPr="00ED0A45">
        <w:rPr>
          <w:rFonts w:asciiTheme="minorBidi" w:hAnsiTheme="minorBidi" w:cstheme="minorBidi"/>
          <w:i/>
          <w:iCs/>
          <w:color w:val="000000"/>
          <w:sz w:val="22"/>
          <w:szCs w:val="22"/>
          <w:lang w:val="en-US"/>
        </w:rPr>
        <w:t>analysis.</w:t>
      </w:r>
      <w:r w:rsidRPr="00ED0A45">
        <w:rPr>
          <w:rFonts w:asciiTheme="minorBidi" w:hAnsiTheme="minorBidi" w:cstheme="minorBidi"/>
          <w:color w:val="000000"/>
          <w:sz w:val="22"/>
          <w:szCs w:val="22"/>
          <w:lang w:val="en-US"/>
        </w:rPr>
        <w:t>Clin</w:t>
      </w:r>
      <w:proofErr w:type="spellEnd"/>
      <w:proofErr w:type="gramEnd"/>
      <w:r w:rsidRPr="00ED0A45">
        <w:rPr>
          <w:rFonts w:asciiTheme="minorBidi" w:hAnsiTheme="minorBidi" w:cstheme="minorBidi"/>
          <w:color w:val="000000"/>
          <w:sz w:val="22"/>
          <w:szCs w:val="22"/>
          <w:lang w:val="en-US"/>
        </w:rPr>
        <w:t xml:space="preserve"> Res </w:t>
      </w:r>
      <w:proofErr w:type="spellStart"/>
      <w:r w:rsidRPr="00ED0A45">
        <w:rPr>
          <w:rFonts w:asciiTheme="minorBidi" w:hAnsiTheme="minorBidi" w:cstheme="minorBidi"/>
          <w:color w:val="000000"/>
          <w:sz w:val="22"/>
          <w:szCs w:val="22"/>
          <w:lang w:val="en-US"/>
        </w:rPr>
        <w:t>Hepatol</w:t>
      </w:r>
      <w:proofErr w:type="spellEnd"/>
      <w:r w:rsidRPr="00ED0A45">
        <w:rPr>
          <w:rFonts w:asciiTheme="minorBidi" w:hAnsiTheme="minorBidi" w:cstheme="minorBidi"/>
          <w:color w:val="000000"/>
          <w:sz w:val="22"/>
          <w:szCs w:val="22"/>
          <w:lang w:val="en-US"/>
        </w:rPr>
        <w:t xml:space="preserve"> Gastroenterol. </w:t>
      </w:r>
      <w:r w:rsidRPr="00ED0A45">
        <w:rPr>
          <w:rFonts w:asciiTheme="minorBidi" w:hAnsiTheme="minorBidi" w:cstheme="minorBidi"/>
          <w:color w:val="000000"/>
          <w:sz w:val="22"/>
          <w:szCs w:val="22"/>
        </w:rPr>
        <w:t>2019;43(4):468-474. doi:10.1016/j.clinre.2018.11.005</w:t>
      </w:r>
    </w:p>
    <w:p w14:paraId="4672D946" w14:textId="77777777" w:rsidR="00ED0A45" w:rsidRPr="00ED0A45" w:rsidRDefault="00ED0A45" w:rsidP="00ED0A45">
      <w:pPr>
        <w:numPr>
          <w:ilvl w:val="0"/>
          <w:numId w:val="32"/>
        </w:numPr>
        <w:spacing w:before="100" w:beforeAutospacing="1" w:after="100" w:afterAutospacing="1" w:line="360" w:lineRule="auto"/>
        <w:rPr>
          <w:rFonts w:asciiTheme="minorBidi" w:hAnsiTheme="minorBidi" w:cstheme="minorBidi"/>
          <w:color w:val="000000"/>
          <w:sz w:val="22"/>
          <w:szCs w:val="22"/>
        </w:rPr>
      </w:pPr>
      <w:proofErr w:type="spellStart"/>
      <w:r w:rsidRPr="00ED0A45">
        <w:rPr>
          <w:rFonts w:asciiTheme="minorBidi" w:hAnsiTheme="minorBidi" w:cstheme="minorBidi"/>
          <w:color w:val="000000"/>
          <w:sz w:val="22"/>
          <w:szCs w:val="22"/>
        </w:rPr>
        <w:t>Khaliq</w:t>
      </w:r>
      <w:proofErr w:type="spellEnd"/>
      <w:r w:rsidRPr="00ED0A45">
        <w:rPr>
          <w:rFonts w:asciiTheme="minorBidi" w:hAnsiTheme="minorBidi" w:cstheme="minorBidi"/>
          <w:color w:val="000000"/>
          <w:sz w:val="22"/>
          <w:szCs w:val="22"/>
        </w:rPr>
        <w:t xml:space="preserve"> L., </w:t>
      </w:r>
      <w:proofErr w:type="spellStart"/>
      <w:r w:rsidRPr="00ED0A45">
        <w:rPr>
          <w:rFonts w:asciiTheme="minorBidi" w:hAnsiTheme="minorBidi" w:cstheme="minorBidi"/>
          <w:color w:val="000000"/>
          <w:sz w:val="22"/>
          <w:szCs w:val="22"/>
        </w:rPr>
        <w:t>Kabir</w:t>
      </w:r>
      <w:proofErr w:type="spellEnd"/>
      <w:r w:rsidRPr="00ED0A45">
        <w:rPr>
          <w:rFonts w:asciiTheme="minorBidi" w:hAnsiTheme="minorBidi" w:cstheme="minorBidi"/>
          <w:color w:val="000000"/>
          <w:sz w:val="22"/>
          <w:szCs w:val="22"/>
        </w:rPr>
        <w:t xml:space="preserve"> K.F., </w:t>
      </w:r>
      <w:proofErr w:type="spellStart"/>
      <w:r w:rsidRPr="00ED0A45">
        <w:rPr>
          <w:rFonts w:asciiTheme="minorBidi" w:hAnsiTheme="minorBidi" w:cstheme="minorBidi"/>
          <w:color w:val="000000"/>
          <w:sz w:val="22"/>
          <w:szCs w:val="22"/>
        </w:rPr>
        <w:t>Pyai</w:t>
      </w:r>
      <w:proofErr w:type="spellEnd"/>
      <w:r w:rsidRPr="00ED0A45">
        <w:rPr>
          <w:rFonts w:asciiTheme="minorBidi" w:hAnsiTheme="minorBidi" w:cstheme="minorBidi"/>
          <w:color w:val="000000"/>
          <w:sz w:val="22"/>
          <w:szCs w:val="22"/>
        </w:rPr>
        <w:t xml:space="preserve"> K., et al. </w:t>
      </w:r>
      <w:r w:rsidRPr="00ED0A45">
        <w:rPr>
          <w:rFonts w:asciiTheme="minorBidi" w:hAnsiTheme="minorBidi" w:cstheme="minorBidi"/>
          <w:i/>
          <w:iCs/>
          <w:color w:val="000000"/>
          <w:sz w:val="22"/>
          <w:szCs w:val="22"/>
          <w:lang w:val="en-US"/>
        </w:rPr>
        <w:t xml:space="preserve">A Simple Vitamin Deficiency </w:t>
      </w:r>
      <w:proofErr w:type="gramStart"/>
      <w:r w:rsidRPr="00ED0A45">
        <w:rPr>
          <w:rFonts w:asciiTheme="minorBidi" w:hAnsiTheme="minorBidi" w:cstheme="minorBidi"/>
          <w:i/>
          <w:iCs/>
          <w:color w:val="000000"/>
          <w:sz w:val="22"/>
          <w:szCs w:val="22"/>
          <w:lang w:val="en-US"/>
        </w:rPr>
        <w:t>With</w:t>
      </w:r>
      <w:proofErr w:type="gramEnd"/>
      <w:r w:rsidRPr="00ED0A45">
        <w:rPr>
          <w:rFonts w:asciiTheme="minorBidi" w:hAnsiTheme="minorBidi" w:cstheme="minorBidi"/>
          <w:i/>
          <w:iCs/>
          <w:color w:val="000000"/>
          <w:sz w:val="22"/>
          <w:szCs w:val="22"/>
          <w:lang w:val="en-US"/>
        </w:rPr>
        <w:t xml:space="preserve"> Life-Threatening Complications: A Case of B12 Deficiency With Hyperhomocysteinemia-Induced Thrombosis.</w:t>
      </w:r>
      <w:r w:rsidRPr="00ED0A45">
        <w:rPr>
          <w:rFonts w:asciiTheme="minorBidi" w:hAnsiTheme="minorBidi" w:cstheme="minorBidi"/>
          <w:color w:val="000000"/>
          <w:sz w:val="22"/>
          <w:szCs w:val="22"/>
          <w:lang w:val="en-US"/>
        </w:rPr>
        <w:t> </w:t>
      </w:r>
      <w:proofErr w:type="spellStart"/>
      <w:r w:rsidRPr="00ED0A45">
        <w:rPr>
          <w:rFonts w:asciiTheme="minorBidi" w:hAnsiTheme="minorBidi" w:cstheme="minorBidi"/>
          <w:color w:val="000000"/>
          <w:sz w:val="22"/>
          <w:szCs w:val="22"/>
        </w:rPr>
        <w:t>Cureus</w:t>
      </w:r>
      <w:proofErr w:type="spellEnd"/>
      <w:r w:rsidRPr="00ED0A45">
        <w:rPr>
          <w:rFonts w:asciiTheme="minorBidi" w:hAnsiTheme="minorBidi" w:cstheme="minorBidi"/>
          <w:color w:val="000000"/>
          <w:sz w:val="22"/>
          <w:szCs w:val="22"/>
        </w:rPr>
        <w:t>. 2023;15(8):e42908. doi:10.7759/cureus.42908</w:t>
      </w:r>
    </w:p>
    <w:p w14:paraId="3F0636FC" w14:textId="77777777" w:rsidR="00ED0A45" w:rsidRPr="00ED0A45" w:rsidRDefault="00ED0A45" w:rsidP="00ED0A45">
      <w:pPr>
        <w:numPr>
          <w:ilvl w:val="0"/>
          <w:numId w:val="32"/>
        </w:numPr>
        <w:spacing w:before="100" w:beforeAutospacing="1" w:after="100" w:afterAutospacing="1" w:line="360" w:lineRule="auto"/>
        <w:rPr>
          <w:rFonts w:asciiTheme="minorBidi" w:hAnsiTheme="minorBidi" w:cstheme="minorBidi"/>
          <w:color w:val="000000"/>
          <w:sz w:val="22"/>
          <w:szCs w:val="22"/>
        </w:rPr>
      </w:pPr>
      <w:r w:rsidRPr="00ED0A45">
        <w:rPr>
          <w:rFonts w:asciiTheme="minorBidi" w:hAnsiTheme="minorBidi" w:cstheme="minorBidi"/>
          <w:color w:val="000000"/>
          <w:sz w:val="22"/>
          <w:szCs w:val="22"/>
          <w:lang w:val="en-US"/>
        </w:rPr>
        <w:t xml:space="preserve">Mehta R., </w:t>
      </w:r>
      <w:proofErr w:type="spellStart"/>
      <w:r w:rsidRPr="00ED0A45">
        <w:rPr>
          <w:rFonts w:asciiTheme="minorBidi" w:hAnsiTheme="minorBidi" w:cstheme="minorBidi"/>
          <w:color w:val="000000"/>
          <w:sz w:val="22"/>
          <w:szCs w:val="22"/>
          <w:lang w:val="en-US"/>
        </w:rPr>
        <w:t>Daude</w:t>
      </w:r>
      <w:proofErr w:type="spellEnd"/>
      <w:r w:rsidRPr="00ED0A45">
        <w:rPr>
          <w:rFonts w:asciiTheme="minorBidi" w:hAnsiTheme="minorBidi" w:cstheme="minorBidi"/>
          <w:color w:val="000000"/>
          <w:sz w:val="22"/>
          <w:szCs w:val="22"/>
          <w:lang w:val="en-US"/>
        </w:rPr>
        <w:t xml:space="preserve"> A., </w:t>
      </w:r>
      <w:proofErr w:type="spellStart"/>
      <w:r w:rsidRPr="00ED0A45">
        <w:rPr>
          <w:rFonts w:asciiTheme="minorBidi" w:hAnsiTheme="minorBidi" w:cstheme="minorBidi"/>
          <w:color w:val="000000"/>
          <w:sz w:val="22"/>
          <w:szCs w:val="22"/>
          <w:lang w:val="en-US"/>
        </w:rPr>
        <w:t>Variava</w:t>
      </w:r>
      <w:proofErr w:type="spellEnd"/>
      <w:r w:rsidRPr="00ED0A45">
        <w:rPr>
          <w:rFonts w:asciiTheme="minorBidi" w:hAnsiTheme="minorBidi" w:cstheme="minorBidi"/>
          <w:color w:val="000000"/>
          <w:sz w:val="22"/>
          <w:szCs w:val="22"/>
          <w:lang w:val="en-US"/>
        </w:rPr>
        <w:t xml:space="preserve"> E. </w:t>
      </w:r>
      <w:r w:rsidRPr="00ED0A45">
        <w:rPr>
          <w:rFonts w:asciiTheme="minorBidi" w:hAnsiTheme="minorBidi" w:cstheme="minorBidi"/>
          <w:i/>
          <w:iCs/>
          <w:color w:val="000000"/>
          <w:sz w:val="22"/>
          <w:szCs w:val="22"/>
          <w:lang w:val="en-US"/>
        </w:rPr>
        <w:t>Vitamin B12 deficiency and hyperhomocysteinemia: description of two cases with thrombosis.</w:t>
      </w:r>
      <w:r w:rsidRPr="00ED0A45">
        <w:rPr>
          <w:rFonts w:asciiTheme="minorBidi" w:hAnsiTheme="minorBidi" w:cstheme="minorBidi"/>
          <w:color w:val="000000"/>
          <w:sz w:val="22"/>
          <w:szCs w:val="22"/>
          <w:lang w:val="en-US"/>
        </w:rPr>
        <w:t> </w:t>
      </w:r>
      <w:proofErr w:type="spellStart"/>
      <w:r w:rsidRPr="00ED0A45">
        <w:rPr>
          <w:rFonts w:asciiTheme="minorBidi" w:hAnsiTheme="minorBidi" w:cstheme="minorBidi"/>
          <w:color w:val="000000"/>
          <w:sz w:val="22"/>
          <w:szCs w:val="22"/>
        </w:rPr>
        <w:t>Wits</w:t>
      </w:r>
      <w:proofErr w:type="spellEnd"/>
      <w:r w:rsidRPr="00ED0A45">
        <w:rPr>
          <w:rFonts w:asciiTheme="minorBidi" w:hAnsiTheme="minorBidi" w:cstheme="minorBidi"/>
          <w:color w:val="000000"/>
          <w:sz w:val="22"/>
          <w:szCs w:val="22"/>
        </w:rPr>
        <w:t xml:space="preserve"> J Clin Med. 2022;4(2):103-106. doi:10.18772/26180197.2022.v4n2a6</w:t>
      </w:r>
    </w:p>
    <w:p w14:paraId="6C78323E" w14:textId="77777777" w:rsidR="00ED0A45" w:rsidRPr="00ED0A45" w:rsidRDefault="00ED0A45" w:rsidP="00ED0A45">
      <w:pPr>
        <w:numPr>
          <w:ilvl w:val="0"/>
          <w:numId w:val="32"/>
        </w:numPr>
        <w:spacing w:before="100" w:beforeAutospacing="1" w:after="100" w:afterAutospacing="1" w:line="360" w:lineRule="auto"/>
        <w:rPr>
          <w:rFonts w:asciiTheme="minorBidi" w:hAnsiTheme="minorBidi" w:cstheme="minorBidi"/>
          <w:color w:val="000000"/>
          <w:sz w:val="22"/>
          <w:szCs w:val="22"/>
        </w:rPr>
      </w:pPr>
      <w:proofErr w:type="spellStart"/>
      <w:r w:rsidRPr="00ED0A45">
        <w:rPr>
          <w:rFonts w:asciiTheme="minorBidi" w:hAnsiTheme="minorBidi" w:cstheme="minorBidi"/>
          <w:color w:val="000000"/>
          <w:sz w:val="22"/>
          <w:szCs w:val="22"/>
        </w:rPr>
        <w:t>Găman</w:t>
      </w:r>
      <w:proofErr w:type="spellEnd"/>
      <w:r w:rsidRPr="00ED0A45">
        <w:rPr>
          <w:rFonts w:asciiTheme="minorBidi" w:hAnsiTheme="minorBidi" w:cstheme="minorBidi"/>
          <w:color w:val="000000"/>
          <w:sz w:val="22"/>
          <w:szCs w:val="22"/>
        </w:rPr>
        <w:t xml:space="preserve"> M.A., </w:t>
      </w:r>
      <w:proofErr w:type="spellStart"/>
      <w:r w:rsidRPr="00ED0A45">
        <w:rPr>
          <w:rFonts w:asciiTheme="minorBidi" w:hAnsiTheme="minorBidi" w:cstheme="minorBidi"/>
          <w:color w:val="000000"/>
          <w:sz w:val="22"/>
          <w:szCs w:val="22"/>
        </w:rPr>
        <w:t>Cozma</w:t>
      </w:r>
      <w:proofErr w:type="spellEnd"/>
      <w:r w:rsidRPr="00ED0A45">
        <w:rPr>
          <w:rFonts w:asciiTheme="minorBidi" w:hAnsiTheme="minorBidi" w:cstheme="minorBidi"/>
          <w:color w:val="000000"/>
          <w:sz w:val="22"/>
          <w:szCs w:val="22"/>
        </w:rPr>
        <w:t xml:space="preserve"> M.A., </w:t>
      </w:r>
      <w:proofErr w:type="spellStart"/>
      <w:r w:rsidRPr="00ED0A45">
        <w:rPr>
          <w:rFonts w:asciiTheme="minorBidi" w:hAnsiTheme="minorBidi" w:cstheme="minorBidi"/>
          <w:color w:val="000000"/>
          <w:sz w:val="22"/>
          <w:szCs w:val="22"/>
        </w:rPr>
        <w:t>Manan</w:t>
      </w:r>
      <w:proofErr w:type="spellEnd"/>
      <w:r w:rsidRPr="00ED0A45">
        <w:rPr>
          <w:rFonts w:asciiTheme="minorBidi" w:hAnsiTheme="minorBidi" w:cstheme="minorBidi"/>
          <w:color w:val="000000"/>
          <w:sz w:val="22"/>
          <w:szCs w:val="22"/>
        </w:rPr>
        <w:t xml:space="preserve"> M.R., et al. </w:t>
      </w:r>
      <w:r w:rsidRPr="00ED0A45">
        <w:rPr>
          <w:rFonts w:asciiTheme="minorBidi" w:hAnsiTheme="minorBidi" w:cstheme="minorBidi"/>
          <w:i/>
          <w:iCs/>
          <w:color w:val="000000"/>
          <w:sz w:val="22"/>
          <w:szCs w:val="22"/>
          <w:lang w:val="en-US"/>
        </w:rPr>
        <w:t>Budd–Chiari syndrome in myeloproliferative neoplasms: a review of literature.</w:t>
      </w:r>
      <w:r w:rsidRPr="00ED0A45">
        <w:rPr>
          <w:rFonts w:asciiTheme="minorBidi" w:hAnsiTheme="minorBidi" w:cstheme="minorBidi"/>
          <w:color w:val="000000"/>
          <w:sz w:val="22"/>
          <w:szCs w:val="22"/>
          <w:lang w:val="en-US"/>
        </w:rPr>
        <w:t> </w:t>
      </w:r>
      <w:r w:rsidRPr="00ED0A45">
        <w:rPr>
          <w:rFonts w:asciiTheme="minorBidi" w:hAnsiTheme="minorBidi" w:cstheme="minorBidi"/>
          <w:color w:val="000000"/>
          <w:sz w:val="22"/>
          <w:szCs w:val="22"/>
        </w:rPr>
        <w:t xml:space="preserve">World J Clin </w:t>
      </w:r>
      <w:proofErr w:type="spellStart"/>
      <w:r w:rsidRPr="00ED0A45">
        <w:rPr>
          <w:rFonts w:asciiTheme="minorBidi" w:hAnsiTheme="minorBidi" w:cstheme="minorBidi"/>
          <w:color w:val="000000"/>
          <w:sz w:val="22"/>
          <w:szCs w:val="22"/>
        </w:rPr>
        <w:t>Oncol</w:t>
      </w:r>
      <w:proofErr w:type="spellEnd"/>
      <w:r w:rsidRPr="00ED0A45">
        <w:rPr>
          <w:rFonts w:asciiTheme="minorBidi" w:hAnsiTheme="minorBidi" w:cstheme="minorBidi"/>
          <w:color w:val="000000"/>
          <w:sz w:val="22"/>
          <w:szCs w:val="22"/>
        </w:rPr>
        <w:t>. 2023;14(3):99-116. doi:10.5306/wjco.v14.i3.99</w:t>
      </w:r>
    </w:p>
    <w:p w14:paraId="5A2C666A" w14:textId="77777777" w:rsidR="00ED0A45" w:rsidRPr="00ED0A45" w:rsidRDefault="00ED0A45" w:rsidP="00ED0A45">
      <w:pPr>
        <w:numPr>
          <w:ilvl w:val="0"/>
          <w:numId w:val="32"/>
        </w:numPr>
        <w:spacing w:before="100" w:beforeAutospacing="1" w:after="100" w:afterAutospacing="1" w:line="360" w:lineRule="auto"/>
        <w:rPr>
          <w:rFonts w:asciiTheme="minorBidi" w:hAnsiTheme="minorBidi" w:cstheme="minorBidi"/>
          <w:color w:val="000000"/>
          <w:sz w:val="22"/>
          <w:szCs w:val="22"/>
        </w:rPr>
      </w:pPr>
      <w:r w:rsidRPr="00ED0A45">
        <w:rPr>
          <w:rFonts w:asciiTheme="minorBidi" w:hAnsiTheme="minorBidi" w:cstheme="minorBidi"/>
          <w:color w:val="000000"/>
          <w:sz w:val="22"/>
          <w:szCs w:val="22"/>
          <w:lang w:val="en-US"/>
        </w:rPr>
        <w:t>Omar S., et al. </w:t>
      </w:r>
      <w:r w:rsidRPr="00ED0A45">
        <w:rPr>
          <w:rFonts w:asciiTheme="minorBidi" w:hAnsiTheme="minorBidi" w:cstheme="minorBidi"/>
          <w:i/>
          <w:iCs/>
          <w:color w:val="000000"/>
          <w:sz w:val="22"/>
          <w:szCs w:val="22"/>
          <w:lang w:val="en-US"/>
        </w:rPr>
        <w:t>Hyperhomocysteinemia is associated with deep venous thrombosis in patients.</w:t>
      </w:r>
      <w:r w:rsidRPr="00ED0A45">
        <w:rPr>
          <w:rFonts w:asciiTheme="minorBidi" w:hAnsiTheme="minorBidi" w:cstheme="minorBidi"/>
          <w:color w:val="000000"/>
          <w:sz w:val="22"/>
          <w:szCs w:val="22"/>
          <w:lang w:val="en-US"/>
        </w:rPr>
        <w:t> </w:t>
      </w:r>
      <w:r w:rsidRPr="00ED0A45">
        <w:rPr>
          <w:rFonts w:asciiTheme="minorBidi" w:hAnsiTheme="minorBidi" w:cstheme="minorBidi"/>
          <w:color w:val="000000"/>
          <w:sz w:val="22"/>
          <w:szCs w:val="22"/>
        </w:rPr>
        <w:t xml:space="preserve">Blood </w:t>
      </w:r>
      <w:proofErr w:type="spellStart"/>
      <w:r w:rsidRPr="00ED0A45">
        <w:rPr>
          <w:rFonts w:asciiTheme="minorBidi" w:hAnsiTheme="minorBidi" w:cstheme="minorBidi"/>
          <w:color w:val="000000"/>
          <w:sz w:val="22"/>
          <w:szCs w:val="22"/>
        </w:rPr>
        <w:t>Cells</w:t>
      </w:r>
      <w:proofErr w:type="spellEnd"/>
      <w:r w:rsidRPr="00ED0A45">
        <w:rPr>
          <w:rFonts w:asciiTheme="minorBidi" w:hAnsiTheme="minorBidi" w:cstheme="minorBidi"/>
          <w:color w:val="000000"/>
          <w:sz w:val="22"/>
          <w:szCs w:val="22"/>
        </w:rPr>
        <w:t xml:space="preserve"> Mol Dis. 2007;38(1):21-24. doi:10.1016/j.bcmd.2006.05.004</w:t>
      </w:r>
    </w:p>
    <w:p w14:paraId="7461CDF1" w14:textId="0416B3B0" w:rsidR="00ED0A45" w:rsidRPr="00ED0A45" w:rsidRDefault="00ED0A45" w:rsidP="00ED0A45">
      <w:pPr>
        <w:numPr>
          <w:ilvl w:val="0"/>
          <w:numId w:val="32"/>
        </w:numPr>
        <w:spacing w:before="100" w:beforeAutospacing="1" w:after="100" w:afterAutospacing="1" w:line="360" w:lineRule="auto"/>
        <w:rPr>
          <w:rFonts w:asciiTheme="minorBidi" w:hAnsiTheme="minorBidi" w:cstheme="minorBidi"/>
          <w:color w:val="000000"/>
          <w:sz w:val="22"/>
          <w:szCs w:val="22"/>
        </w:rPr>
      </w:pPr>
      <w:proofErr w:type="spellStart"/>
      <w:r w:rsidRPr="00ED0A45">
        <w:rPr>
          <w:rFonts w:asciiTheme="minorBidi" w:hAnsiTheme="minorBidi" w:cstheme="minorBidi"/>
          <w:color w:val="000000"/>
          <w:sz w:val="22"/>
          <w:szCs w:val="22"/>
        </w:rPr>
        <w:t>Htut</w:t>
      </w:r>
      <w:proofErr w:type="spellEnd"/>
      <w:r w:rsidRPr="00ED0A45">
        <w:rPr>
          <w:rFonts w:asciiTheme="minorBidi" w:hAnsiTheme="minorBidi" w:cstheme="minorBidi"/>
          <w:color w:val="000000"/>
          <w:sz w:val="22"/>
          <w:szCs w:val="22"/>
        </w:rPr>
        <w:t xml:space="preserve"> T.W., et al. </w:t>
      </w:r>
      <w:r w:rsidRPr="00ED0A45">
        <w:rPr>
          <w:rFonts w:asciiTheme="minorBidi" w:hAnsiTheme="minorBidi" w:cstheme="minorBidi"/>
          <w:i/>
          <w:iCs/>
          <w:color w:val="000000"/>
          <w:sz w:val="22"/>
          <w:szCs w:val="22"/>
          <w:lang w:val="en-US"/>
        </w:rPr>
        <w:t>Hyperhomocysteinemia-associated thrombosis in patients: a retrospective review.</w:t>
      </w:r>
      <w:r w:rsidRPr="00ED0A45">
        <w:rPr>
          <w:rFonts w:asciiTheme="minorBidi" w:hAnsiTheme="minorBidi" w:cstheme="minorBidi"/>
          <w:color w:val="000000"/>
          <w:sz w:val="22"/>
          <w:szCs w:val="22"/>
          <w:lang w:val="en-US"/>
        </w:rPr>
        <w:t> </w:t>
      </w:r>
      <w:r w:rsidRPr="00ED0A45">
        <w:rPr>
          <w:rFonts w:asciiTheme="minorBidi" w:hAnsiTheme="minorBidi" w:cstheme="minorBidi"/>
          <w:color w:val="000000"/>
          <w:sz w:val="22"/>
          <w:szCs w:val="22"/>
        </w:rPr>
        <w:t xml:space="preserve">J </w:t>
      </w:r>
      <w:proofErr w:type="spellStart"/>
      <w:r w:rsidRPr="00ED0A45">
        <w:rPr>
          <w:rFonts w:asciiTheme="minorBidi" w:hAnsiTheme="minorBidi" w:cstheme="minorBidi"/>
          <w:color w:val="000000"/>
          <w:sz w:val="22"/>
          <w:szCs w:val="22"/>
        </w:rPr>
        <w:t>Community</w:t>
      </w:r>
      <w:proofErr w:type="spellEnd"/>
      <w:r w:rsidRPr="00ED0A45">
        <w:rPr>
          <w:rFonts w:asciiTheme="minorBidi" w:hAnsiTheme="minorBidi" w:cstheme="minorBidi"/>
          <w:color w:val="000000"/>
          <w:sz w:val="22"/>
          <w:szCs w:val="22"/>
        </w:rPr>
        <w:t xml:space="preserve"> </w:t>
      </w:r>
      <w:proofErr w:type="spellStart"/>
      <w:r w:rsidRPr="00ED0A45">
        <w:rPr>
          <w:rFonts w:asciiTheme="minorBidi" w:hAnsiTheme="minorBidi" w:cstheme="minorBidi"/>
          <w:color w:val="000000"/>
          <w:sz w:val="22"/>
          <w:szCs w:val="22"/>
        </w:rPr>
        <w:t>Hosp</w:t>
      </w:r>
      <w:proofErr w:type="spellEnd"/>
      <w:r w:rsidRPr="00ED0A45">
        <w:rPr>
          <w:rFonts w:asciiTheme="minorBidi" w:hAnsiTheme="minorBidi" w:cstheme="minorBidi"/>
          <w:color w:val="000000"/>
          <w:sz w:val="22"/>
          <w:szCs w:val="22"/>
        </w:rPr>
        <w:t xml:space="preserve"> </w:t>
      </w:r>
      <w:proofErr w:type="spellStart"/>
      <w:r w:rsidRPr="00ED0A45">
        <w:rPr>
          <w:rFonts w:asciiTheme="minorBidi" w:hAnsiTheme="minorBidi" w:cstheme="minorBidi"/>
          <w:color w:val="000000"/>
          <w:sz w:val="22"/>
          <w:szCs w:val="22"/>
        </w:rPr>
        <w:t>Intern</w:t>
      </w:r>
      <w:proofErr w:type="spellEnd"/>
      <w:r w:rsidRPr="00ED0A45">
        <w:rPr>
          <w:rFonts w:asciiTheme="minorBidi" w:hAnsiTheme="minorBidi" w:cstheme="minorBidi"/>
          <w:color w:val="000000"/>
          <w:sz w:val="22"/>
          <w:szCs w:val="22"/>
        </w:rPr>
        <w:t xml:space="preserve"> Med </w:t>
      </w:r>
      <w:proofErr w:type="spellStart"/>
      <w:r w:rsidRPr="00ED0A45">
        <w:rPr>
          <w:rFonts w:asciiTheme="minorBidi" w:hAnsiTheme="minorBidi" w:cstheme="minorBidi"/>
          <w:color w:val="000000"/>
          <w:sz w:val="22"/>
          <w:szCs w:val="22"/>
        </w:rPr>
        <w:t>Perspect</w:t>
      </w:r>
      <w:proofErr w:type="spellEnd"/>
      <w:r w:rsidRPr="00ED0A45">
        <w:rPr>
          <w:rFonts w:asciiTheme="minorBidi" w:hAnsiTheme="minorBidi" w:cstheme="minorBidi"/>
          <w:color w:val="000000"/>
          <w:sz w:val="22"/>
          <w:szCs w:val="22"/>
        </w:rPr>
        <w:t xml:space="preserve">. 2025;15(1). </w:t>
      </w:r>
    </w:p>
    <w:p w14:paraId="3C43CF45" w14:textId="77777777" w:rsidR="005D482F" w:rsidRPr="005D482F" w:rsidRDefault="005D482F" w:rsidP="005D482F">
      <w:pPr>
        <w:pStyle w:val="Paragraphedeliste"/>
        <w:numPr>
          <w:ilvl w:val="0"/>
          <w:numId w:val="32"/>
        </w:numPr>
        <w:rPr>
          <w:rFonts w:asciiTheme="minorBidi" w:hAnsiTheme="minorBidi" w:cstheme="minorBidi"/>
          <w:sz w:val="22"/>
          <w:szCs w:val="22"/>
          <w:lang w:val="en-GB"/>
        </w:rPr>
      </w:pPr>
      <w:r w:rsidRPr="005D482F">
        <w:rPr>
          <w:rFonts w:asciiTheme="minorBidi" w:hAnsiTheme="minorBidi" w:cstheme="minorBidi"/>
          <w:sz w:val="22"/>
          <w:szCs w:val="22"/>
          <w:lang w:val="en-GB"/>
        </w:rPr>
        <w:t xml:space="preserve">Valla, D. C. (2009). Primary </w:t>
      </w:r>
      <w:proofErr w:type="spellStart"/>
      <w:r w:rsidRPr="005D482F">
        <w:rPr>
          <w:rFonts w:asciiTheme="minorBidi" w:hAnsiTheme="minorBidi" w:cstheme="minorBidi"/>
          <w:sz w:val="22"/>
          <w:szCs w:val="22"/>
          <w:lang w:val="en-GB"/>
        </w:rPr>
        <w:t>budd-chiari</w:t>
      </w:r>
      <w:proofErr w:type="spellEnd"/>
      <w:r w:rsidRPr="005D482F">
        <w:rPr>
          <w:rFonts w:asciiTheme="minorBidi" w:hAnsiTheme="minorBidi" w:cstheme="minorBidi"/>
          <w:sz w:val="22"/>
          <w:szCs w:val="22"/>
          <w:lang w:val="en-GB"/>
        </w:rPr>
        <w:t xml:space="preserve"> syndrome. Journal of hepatology, 50(1), 195-203.</w:t>
      </w:r>
    </w:p>
    <w:p w14:paraId="48D73BCF" w14:textId="79C2A5F8" w:rsidR="00B01FCD" w:rsidRPr="005D482F" w:rsidRDefault="00ED0A45" w:rsidP="005D482F">
      <w:pPr>
        <w:numPr>
          <w:ilvl w:val="0"/>
          <w:numId w:val="32"/>
        </w:numPr>
        <w:spacing w:before="100" w:beforeAutospacing="1" w:after="100" w:afterAutospacing="1" w:line="360" w:lineRule="auto"/>
        <w:rPr>
          <w:rFonts w:asciiTheme="minorBidi" w:hAnsiTheme="minorBidi" w:cstheme="minorBidi"/>
          <w:color w:val="000000"/>
          <w:sz w:val="22"/>
          <w:szCs w:val="22"/>
          <w:lang w:val="en-US"/>
        </w:rPr>
      </w:pPr>
      <w:r w:rsidRPr="00ED0A45">
        <w:rPr>
          <w:rFonts w:asciiTheme="minorBidi" w:hAnsiTheme="minorBidi" w:cstheme="minorBidi"/>
          <w:i/>
          <w:iCs/>
          <w:color w:val="000000"/>
          <w:sz w:val="22"/>
          <w:szCs w:val="22"/>
          <w:lang w:val="en-US"/>
        </w:rPr>
        <w:t>Budd–Chiari Syndrome: Imaging Diagnosis — State of the Art and Future Directions.</w:t>
      </w:r>
      <w:r w:rsidRPr="00ED0A45">
        <w:rPr>
          <w:rFonts w:asciiTheme="minorBidi" w:hAnsiTheme="minorBidi" w:cstheme="minorBidi"/>
          <w:color w:val="000000"/>
          <w:sz w:val="22"/>
          <w:szCs w:val="22"/>
          <w:lang w:val="en-US"/>
        </w:rPr>
        <w:t> </w:t>
      </w:r>
      <w:proofErr w:type="spellStart"/>
      <w:r w:rsidRPr="00ED0A45">
        <w:rPr>
          <w:rFonts w:asciiTheme="minorBidi" w:hAnsiTheme="minorBidi" w:cstheme="minorBidi"/>
          <w:color w:val="000000"/>
          <w:sz w:val="22"/>
          <w:szCs w:val="22"/>
          <w:lang w:val="en-US"/>
        </w:rPr>
        <w:t>Abdom</w:t>
      </w:r>
      <w:proofErr w:type="spellEnd"/>
      <w:r w:rsidRPr="00ED0A45">
        <w:rPr>
          <w:rFonts w:asciiTheme="minorBidi" w:hAnsiTheme="minorBidi" w:cstheme="minorBidi"/>
          <w:color w:val="000000"/>
          <w:sz w:val="22"/>
          <w:szCs w:val="22"/>
          <w:lang w:val="en-US"/>
        </w:rPr>
        <w:t xml:space="preserve"> </w:t>
      </w:r>
      <w:proofErr w:type="spellStart"/>
      <w:r w:rsidRPr="00ED0A45">
        <w:rPr>
          <w:rFonts w:asciiTheme="minorBidi" w:hAnsiTheme="minorBidi" w:cstheme="minorBidi"/>
          <w:color w:val="000000"/>
          <w:sz w:val="22"/>
          <w:szCs w:val="22"/>
          <w:lang w:val="en-US"/>
        </w:rPr>
        <w:t>Radiol</w:t>
      </w:r>
      <w:proofErr w:type="spellEnd"/>
      <w:r w:rsidRPr="00ED0A45">
        <w:rPr>
          <w:rFonts w:asciiTheme="minorBidi" w:hAnsiTheme="minorBidi" w:cstheme="minorBidi"/>
          <w:color w:val="000000"/>
          <w:sz w:val="22"/>
          <w:szCs w:val="22"/>
          <w:lang w:val="en-US"/>
        </w:rPr>
        <w:t xml:space="preserve"> (NY). 2023;48(9). doi:10.1007/s00261-022-03783-3</w:t>
      </w:r>
    </w:p>
    <w:sectPr w:rsidR="00B01FCD" w:rsidRPr="005D482F" w:rsidSect="00FA3BA5">
      <w:headerReference w:type="even" r:id="rId15"/>
      <w:headerReference w:type="default" r:id="rId16"/>
      <w:footerReference w:type="default" r:id="rId17"/>
      <w:headerReference w:type="first" r:id="rId18"/>
      <w:type w:val="continuous"/>
      <w:pgSz w:w="12240" w:h="15840"/>
      <w:pgMar w:top="2835" w:right="1985" w:bottom="1985" w:left="28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C29AD" w14:textId="77777777" w:rsidR="00A96848" w:rsidRDefault="00A96848" w:rsidP="00C37E61">
      <w:r>
        <w:separator/>
      </w:r>
    </w:p>
  </w:endnote>
  <w:endnote w:type="continuationSeparator" w:id="0">
    <w:p w14:paraId="43FC3BBF" w14:textId="77777777" w:rsidR="00A96848" w:rsidRDefault="00A968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AF66" w14:textId="77777777" w:rsidR="00FA3BA5" w:rsidRDefault="00FA3B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3BDD" w14:textId="77777777" w:rsidR="00FA3BA5" w:rsidRDefault="00FA3B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B39EE" w14:textId="586A2DD9" w:rsidR="00754C9A" w:rsidRPr="00E71769" w:rsidRDefault="00754C9A" w:rsidP="00E7176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D093" w14:textId="77777777" w:rsidR="00C37E61" w:rsidRPr="005C17BF"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823E4" w14:textId="77777777" w:rsidR="00A96848" w:rsidRDefault="00A96848" w:rsidP="00C37E61">
      <w:r>
        <w:separator/>
      </w:r>
    </w:p>
  </w:footnote>
  <w:footnote w:type="continuationSeparator" w:id="0">
    <w:p w14:paraId="140EB225" w14:textId="77777777" w:rsidR="00A96848" w:rsidRDefault="00A968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89EF" w14:textId="589208EF" w:rsidR="00FA3BA5" w:rsidRDefault="00A96848">
    <w:pPr>
      <w:pStyle w:val="En-tte"/>
    </w:pPr>
    <w:r>
      <w:rPr>
        <w:noProof/>
      </w:rPr>
      <w:pict w14:anchorId="31B06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57" o:spid="_x0000_s2054" type="#_x0000_t136" alt="" style="position:absolute;margin-left:0;margin-top:0;width:470.05pt;height:5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3AF0" w14:textId="1CF70003" w:rsidR="00FA3BA5" w:rsidRDefault="00A96848">
    <w:pPr>
      <w:pStyle w:val="En-tte"/>
    </w:pPr>
    <w:r>
      <w:rPr>
        <w:noProof/>
      </w:rPr>
      <w:pict w14:anchorId="13902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58" o:spid="_x0000_s2053" type="#_x0000_t136" alt="" style="position:absolute;margin-left:0;margin-top:0;width:470.05pt;height:53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372C" w14:textId="7614F260" w:rsidR="00296529" w:rsidRPr="00296529" w:rsidRDefault="00A96848" w:rsidP="00296529">
    <w:pPr>
      <w:ind w:left="2160"/>
      <w:jc w:val="center"/>
      <w:rPr>
        <w:rFonts w:eastAsia="Calibri"/>
        <w:i/>
        <w:sz w:val="18"/>
        <w:szCs w:val="22"/>
      </w:rPr>
    </w:pPr>
    <w:r>
      <w:rPr>
        <w:rFonts w:ascii="Helvetica" w:hAnsi="Helvetica"/>
        <w:noProof/>
        <w:sz w:val="20"/>
        <w:szCs w:val="20"/>
      </w:rPr>
      <w:pict w14:anchorId="6E1D5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56" o:spid="_x0000_s2052" type="#_x0000_t136" alt="" style="position:absolute;left:0;text-align:left;margin-left:0;margin-top:0;width:470.05pt;height:5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D386C39"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289CAD5C" w14:textId="77777777" w:rsidR="00296529" w:rsidRPr="00296529" w:rsidRDefault="00754C9A" w:rsidP="00296529">
    <w:pPr>
      <w:jc w:val="center"/>
      <w:rPr>
        <w:rFonts w:eastAsia="Calibri"/>
        <w:i/>
        <w:sz w:val="18"/>
        <w:szCs w:val="22"/>
      </w:rPr>
    </w:pPr>
    <w:r>
      <w:rPr>
        <w:rFonts w:eastAsia="Calibri"/>
        <w:i/>
        <w:sz w:val="18"/>
        <w:szCs w:val="22"/>
      </w:rPr>
      <w:t>.</w:t>
    </w:r>
  </w:p>
  <w:p w14:paraId="1DB37692"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8D871D8"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729424C9"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8543180"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64C4" w14:textId="6FF8D89F" w:rsidR="00FA3BA5" w:rsidRDefault="00A96848">
    <w:pPr>
      <w:pStyle w:val="En-tte"/>
    </w:pPr>
    <w:r>
      <w:rPr>
        <w:noProof/>
      </w:rPr>
      <w:pict w14:anchorId="6694A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60" o:spid="_x0000_s2051" type="#_x0000_t136" alt="" style="position:absolute;margin-left:0;margin-top:0;width:470.05pt;height:53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96EF" w14:textId="25121441" w:rsidR="00FA3BA5" w:rsidRDefault="00A96848">
    <w:pPr>
      <w:pStyle w:val="En-tte"/>
    </w:pPr>
    <w:r>
      <w:rPr>
        <w:noProof/>
      </w:rPr>
      <w:pict w14:anchorId="7F6A1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61" o:spid="_x0000_s2050" type="#_x0000_t136" alt="" style="position:absolute;margin-left:0;margin-top:0;width:470.05pt;height:53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6D06" w14:textId="54298698" w:rsidR="00FA3BA5" w:rsidRDefault="00A96848">
    <w:pPr>
      <w:pStyle w:val="En-tte"/>
    </w:pPr>
    <w:r>
      <w:rPr>
        <w:noProof/>
      </w:rPr>
      <w:pict w14:anchorId="1B3ED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59" o:spid="_x0000_s2049" type="#_x0000_t136" alt="" style="position:absolute;margin-left:0;margin-top:0;width:470.05pt;height:53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F55F7A"/>
    <w:multiLevelType w:val="hybridMultilevel"/>
    <w:tmpl w:val="A78AE5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524F02"/>
    <w:multiLevelType w:val="hybridMultilevel"/>
    <w:tmpl w:val="45C865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0596D"/>
    <w:multiLevelType w:val="multilevel"/>
    <w:tmpl w:val="069CC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2"/>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48B"/>
    <w:rsid w:val="004D305E"/>
    <w:rsid w:val="004D4277"/>
    <w:rsid w:val="004F3A62"/>
    <w:rsid w:val="00502516"/>
    <w:rsid w:val="00505F06"/>
    <w:rsid w:val="00506828"/>
    <w:rsid w:val="0053056E"/>
    <w:rsid w:val="00554FDA"/>
    <w:rsid w:val="005A1983"/>
    <w:rsid w:val="005C17BF"/>
    <w:rsid w:val="005C784C"/>
    <w:rsid w:val="005D17F6"/>
    <w:rsid w:val="005D482F"/>
    <w:rsid w:val="005E5539"/>
    <w:rsid w:val="005F5895"/>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3DE4"/>
    <w:rsid w:val="00754C9A"/>
    <w:rsid w:val="0075599A"/>
    <w:rsid w:val="00761D52"/>
    <w:rsid w:val="0077749E"/>
    <w:rsid w:val="00790ADA"/>
    <w:rsid w:val="007D2288"/>
    <w:rsid w:val="007E088F"/>
    <w:rsid w:val="007F7B32"/>
    <w:rsid w:val="00804BC2"/>
    <w:rsid w:val="0081431A"/>
    <w:rsid w:val="0083216F"/>
    <w:rsid w:val="00840294"/>
    <w:rsid w:val="008527A2"/>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17C3"/>
    <w:rsid w:val="009B3FB9"/>
    <w:rsid w:val="009C2465"/>
    <w:rsid w:val="009D35A0"/>
    <w:rsid w:val="009D7EB7"/>
    <w:rsid w:val="009E048A"/>
    <w:rsid w:val="009E08E9"/>
    <w:rsid w:val="009E3DB9"/>
    <w:rsid w:val="009E6E35"/>
    <w:rsid w:val="009F0EDA"/>
    <w:rsid w:val="00A03B96"/>
    <w:rsid w:val="00A05B19"/>
    <w:rsid w:val="00A1134E"/>
    <w:rsid w:val="00A168A3"/>
    <w:rsid w:val="00A24E7E"/>
    <w:rsid w:val="00A258C3"/>
    <w:rsid w:val="00A347C0"/>
    <w:rsid w:val="00A51431"/>
    <w:rsid w:val="00A539AD"/>
    <w:rsid w:val="00A94063"/>
    <w:rsid w:val="00A96848"/>
    <w:rsid w:val="00AA6219"/>
    <w:rsid w:val="00AA74E0"/>
    <w:rsid w:val="00AB703F"/>
    <w:rsid w:val="00AC6BB8"/>
    <w:rsid w:val="00AE008F"/>
    <w:rsid w:val="00AE4014"/>
    <w:rsid w:val="00B01FCD"/>
    <w:rsid w:val="00B153BE"/>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0260"/>
    <w:rsid w:val="00E6032F"/>
    <w:rsid w:val="00E66496"/>
    <w:rsid w:val="00E66B35"/>
    <w:rsid w:val="00E66E10"/>
    <w:rsid w:val="00E71769"/>
    <w:rsid w:val="00E769F6"/>
    <w:rsid w:val="00E8407C"/>
    <w:rsid w:val="00E84F3C"/>
    <w:rsid w:val="00E86F80"/>
    <w:rsid w:val="00EA012C"/>
    <w:rsid w:val="00EC6A55"/>
    <w:rsid w:val="00ED0288"/>
    <w:rsid w:val="00ED0A45"/>
    <w:rsid w:val="00EE52CB"/>
    <w:rsid w:val="00EF581D"/>
    <w:rsid w:val="00EF7FD8"/>
    <w:rsid w:val="00F06F59"/>
    <w:rsid w:val="00F1786B"/>
    <w:rsid w:val="00F17988"/>
    <w:rsid w:val="00F469F0"/>
    <w:rsid w:val="00F53273"/>
    <w:rsid w:val="00F755E4"/>
    <w:rsid w:val="00F77D02"/>
    <w:rsid w:val="00FA3BA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AE0B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0A45"/>
    <w:rPr>
      <w:sz w:val="24"/>
      <w:szCs w:val="24"/>
      <w:lang w:val="fr-MA" w:eastAsia="fr-FR"/>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B153BE"/>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table" w:styleId="Tableausimple1">
    <w:name w:val="Plain Table 1"/>
    <w:basedOn w:val="TableauNormal"/>
    <w:uiPriority w:val="41"/>
    <w:rsid w:val="00B153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B153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4">
    <w:name w:val="Plain Table 4"/>
    <w:basedOn w:val="TableauNormal"/>
    <w:uiPriority w:val="44"/>
    <w:rsid w:val="00B153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B153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Liste6Couleur">
    <w:name w:val="List Table 6 Colorful"/>
    <w:basedOn w:val="TableauNormal"/>
    <w:uiPriority w:val="51"/>
    <w:rsid w:val="00B153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gende">
    <w:name w:val="caption"/>
    <w:basedOn w:val="Normal"/>
    <w:next w:val="Normal"/>
    <w:unhideWhenUsed/>
    <w:qFormat/>
    <w:rsid w:val="00B153BE"/>
    <w:pPr>
      <w:spacing w:after="200"/>
    </w:pPr>
    <w:rPr>
      <w:i/>
      <w:iCs/>
      <w:color w:val="1F497D" w:themeColor="text2"/>
      <w:sz w:val="18"/>
      <w:szCs w:val="18"/>
    </w:rPr>
  </w:style>
  <w:style w:type="character" w:customStyle="1" w:styleId="Titre3Car">
    <w:name w:val="Titre 3 Car"/>
    <w:basedOn w:val="Policepardfaut"/>
    <w:link w:val="Titre3"/>
    <w:semiHidden/>
    <w:rsid w:val="00B153BE"/>
    <w:rPr>
      <w:rFonts w:asciiTheme="majorHAnsi" w:eastAsiaTheme="majorEastAsia" w:hAnsiTheme="majorHAnsi" w:cstheme="majorBidi"/>
      <w:color w:val="243F60" w:themeColor="accent1" w:themeShade="7F"/>
      <w:sz w:val="24"/>
      <w:szCs w:val="24"/>
    </w:rPr>
  </w:style>
  <w:style w:type="character" w:customStyle="1" w:styleId="PieddepageCar">
    <w:name w:val="Pied de page Car"/>
    <w:basedOn w:val="Policepardfaut"/>
    <w:link w:val="Pieddepage"/>
    <w:rsid w:val="005C17BF"/>
    <w:rPr>
      <w:rFonts w:ascii="Helvetica" w:hAnsi="Helvetica"/>
    </w:rPr>
  </w:style>
  <w:style w:type="paragraph" w:styleId="NormalWeb">
    <w:name w:val="Normal (Web)"/>
    <w:basedOn w:val="Normal"/>
    <w:uiPriority w:val="99"/>
    <w:semiHidden/>
    <w:unhideWhenUsed/>
    <w:rsid w:val="00ED0A45"/>
    <w:pPr>
      <w:spacing w:before="100" w:beforeAutospacing="1" w:after="100" w:afterAutospacing="1"/>
    </w:pPr>
    <w:rPr>
      <w:rFonts w:eastAsiaTheme="minorEastAsia"/>
    </w:rPr>
  </w:style>
  <w:style w:type="paragraph" w:styleId="Paragraphedeliste">
    <w:name w:val="List Paragraph"/>
    <w:basedOn w:val="Normal"/>
    <w:uiPriority w:val="34"/>
    <w:qFormat/>
    <w:rsid w:val="00ED0A45"/>
    <w:pPr>
      <w:ind w:left="720"/>
      <w:contextualSpacing/>
    </w:pPr>
  </w:style>
  <w:style w:type="character" w:customStyle="1" w:styleId="apple-converted-space">
    <w:name w:val="apple-converted-space"/>
    <w:basedOn w:val="Policepardfaut"/>
    <w:rsid w:val="00ED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483702">
      <w:bodyDiv w:val="1"/>
      <w:marLeft w:val="0"/>
      <w:marRight w:val="0"/>
      <w:marTop w:val="0"/>
      <w:marBottom w:val="0"/>
      <w:divBdr>
        <w:top w:val="none" w:sz="0" w:space="0" w:color="auto"/>
        <w:left w:val="none" w:sz="0" w:space="0" w:color="auto"/>
        <w:bottom w:val="none" w:sz="0" w:space="0" w:color="auto"/>
        <w:right w:val="none" w:sz="0" w:space="0" w:color="auto"/>
      </w:divBdr>
    </w:div>
    <w:div w:id="95370741">
      <w:bodyDiv w:val="1"/>
      <w:marLeft w:val="0"/>
      <w:marRight w:val="0"/>
      <w:marTop w:val="0"/>
      <w:marBottom w:val="0"/>
      <w:divBdr>
        <w:top w:val="none" w:sz="0" w:space="0" w:color="auto"/>
        <w:left w:val="none" w:sz="0" w:space="0" w:color="auto"/>
        <w:bottom w:val="none" w:sz="0" w:space="0" w:color="auto"/>
        <w:right w:val="none" w:sz="0" w:space="0" w:color="auto"/>
      </w:divBdr>
    </w:div>
    <w:div w:id="12944715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9085920">
      <w:bodyDiv w:val="1"/>
      <w:marLeft w:val="0"/>
      <w:marRight w:val="0"/>
      <w:marTop w:val="0"/>
      <w:marBottom w:val="0"/>
      <w:divBdr>
        <w:top w:val="none" w:sz="0" w:space="0" w:color="auto"/>
        <w:left w:val="none" w:sz="0" w:space="0" w:color="auto"/>
        <w:bottom w:val="none" w:sz="0" w:space="0" w:color="auto"/>
        <w:right w:val="none" w:sz="0" w:space="0" w:color="auto"/>
      </w:divBdr>
    </w:div>
    <w:div w:id="576282482">
      <w:bodyDiv w:val="1"/>
      <w:marLeft w:val="0"/>
      <w:marRight w:val="0"/>
      <w:marTop w:val="0"/>
      <w:marBottom w:val="0"/>
      <w:divBdr>
        <w:top w:val="none" w:sz="0" w:space="0" w:color="auto"/>
        <w:left w:val="none" w:sz="0" w:space="0" w:color="auto"/>
        <w:bottom w:val="none" w:sz="0" w:space="0" w:color="auto"/>
        <w:right w:val="none" w:sz="0" w:space="0" w:color="auto"/>
      </w:divBdr>
    </w:div>
    <w:div w:id="606348207">
      <w:bodyDiv w:val="1"/>
      <w:marLeft w:val="0"/>
      <w:marRight w:val="0"/>
      <w:marTop w:val="0"/>
      <w:marBottom w:val="0"/>
      <w:divBdr>
        <w:top w:val="none" w:sz="0" w:space="0" w:color="auto"/>
        <w:left w:val="none" w:sz="0" w:space="0" w:color="auto"/>
        <w:bottom w:val="none" w:sz="0" w:space="0" w:color="auto"/>
        <w:right w:val="none" w:sz="0" w:space="0" w:color="auto"/>
      </w:divBdr>
      <w:divsChild>
        <w:div w:id="23094200">
          <w:marLeft w:val="0"/>
          <w:marRight w:val="0"/>
          <w:marTop w:val="0"/>
          <w:marBottom w:val="150"/>
          <w:divBdr>
            <w:top w:val="none" w:sz="0" w:space="0" w:color="auto"/>
            <w:left w:val="none" w:sz="0" w:space="0" w:color="auto"/>
            <w:bottom w:val="none" w:sz="0" w:space="0" w:color="auto"/>
            <w:right w:val="none" w:sz="0" w:space="0" w:color="auto"/>
          </w:divBdr>
        </w:div>
        <w:div w:id="598677546">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9162854">
      <w:bodyDiv w:val="1"/>
      <w:marLeft w:val="0"/>
      <w:marRight w:val="0"/>
      <w:marTop w:val="0"/>
      <w:marBottom w:val="0"/>
      <w:divBdr>
        <w:top w:val="none" w:sz="0" w:space="0" w:color="auto"/>
        <w:left w:val="none" w:sz="0" w:space="0" w:color="auto"/>
        <w:bottom w:val="none" w:sz="0" w:space="0" w:color="auto"/>
        <w:right w:val="none" w:sz="0" w:space="0" w:color="auto"/>
      </w:divBdr>
    </w:div>
    <w:div w:id="827017324">
      <w:bodyDiv w:val="1"/>
      <w:marLeft w:val="0"/>
      <w:marRight w:val="0"/>
      <w:marTop w:val="0"/>
      <w:marBottom w:val="0"/>
      <w:divBdr>
        <w:top w:val="none" w:sz="0" w:space="0" w:color="auto"/>
        <w:left w:val="none" w:sz="0" w:space="0" w:color="auto"/>
        <w:bottom w:val="none" w:sz="0" w:space="0" w:color="auto"/>
        <w:right w:val="none" w:sz="0" w:space="0" w:color="auto"/>
      </w:divBdr>
    </w:div>
    <w:div w:id="938148703">
      <w:bodyDiv w:val="1"/>
      <w:marLeft w:val="0"/>
      <w:marRight w:val="0"/>
      <w:marTop w:val="0"/>
      <w:marBottom w:val="0"/>
      <w:divBdr>
        <w:top w:val="none" w:sz="0" w:space="0" w:color="auto"/>
        <w:left w:val="none" w:sz="0" w:space="0" w:color="auto"/>
        <w:bottom w:val="none" w:sz="0" w:space="0" w:color="auto"/>
        <w:right w:val="none" w:sz="0" w:space="0" w:color="auto"/>
      </w:divBdr>
    </w:div>
    <w:div w:id="9420311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4601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3519896">
      <w:bodyDiv w:val="1"/>
      <w:marLeft w:val="0"/>
      <w:marRight w:val="0"/>
      <w:marTop w:val="0"/>
      <w:marBottom w:val="0"/>
      <w:divBdr>
        <w:top w:val="none" w:sz="0" w:space="0" w:color="auto"/>
        <w:left w:val="none" w:sz="0" w:space="0" w:color="auto"/>
        <w:bottom w:val="none" w:sz="0" w:space="0" w:color="auto"/>
        <w:right w:val="none" w:sz="0" w:space="0" w:color="auto"/>
      </w:divBdr>
      <w:divsChild>
        <w:div w:id="138768047">
          <w:marLeft w:val="0"/>
          <w:marRight w:val="0"/>
          <w:marTop w:val="0"/>
          <w:marBottom w:val="0"/>
          <w:divBdr>
            <w:top w:val="none" w:sz="0" w:space="0" w:color="auto"/>
            <w:left w:val="none" w:sz="0" w:space="0" w:color="auto"/>
            <w:bottom w:val="none" w:sz="0" w:space="0" w:color="auto"/>
            <w:right w:val="none" w:sz="0" w:space="0" w:color="auto"/>
          </w:divBdr>
          <w:divsChild>
            <w:div w:id="2001034655">
              <w:marLeft w:val="0"/>
              <w:marRight w:val="0"/>
              <w:marTop w:val="0"/>
              <w:marBottom w:val="0"/>
              <w:divBdr>
                <w:top w:val="none" w:sz="0" w:space="0" w:color="auto"/>
                <w:left w:val="none" w:sz="0" w:space="0" w:color="auto"/>
                <w:bottom w:val="none" w:sz="0" w:space="0" w:color="auto"/>
                <w:right w:val="none" w:sz="0" w:space="0" w:color="auto"/>
              </w:divBdr>
            </w:div>
            <w:div w:id="965739774">
              <w:marLeft w:val="0"/>
              <w:marRight w:val="0"/>
              <w:marTop w:val="0"/>
              <w:marBottom w:val="0"/>
              <w:divBdr>
                <w:top w:val="none" w:sz="0" w:space="0" w:color="auto"/>
                <w:left w:val="none" w:sz="0" w:space="0" w:color="auto"/>
                <w:bottom w:val="none" w:sz="0" w:space="0" w:color="auto"/>
                <w:right w:val="none" w:sz="0" w:space="0" w:color="auto"/>
              </w:divBdr>
            </w:div>
          </w:divsChild>
        </w:div>
        <w:div w:id="1742219742">
          <w:marLeft w:val="0"/>
          <w:marRight w:val="0"/>
          <w:marTop w:val="0"/>
          <w:marBottom w:val="0"/>
          <w:divBdr>
            <w:top w:val="none" w:sz="0" w:space="0" w:color="auto"/>
            <w:left w:val="none" w:sz="0" w:space="0" w:color="auto"/>
            <w:bottom w:val="none" w:sz="0" w:space="0" w:color="auto"/>
            <w:right w:val="none" w:sz="0" w:space="0" w:color="auto"/>
          </w:divBdr>
        </w:div>
      </w:divsChild>
    </w:div>
    <w:div w:id="1228956809">
      <w:bodyDiv w:val="1"/>
      <w:marLeft w:val="0"/>
      <w:marRight w:val="0"/>
      <w:marTop w:val="0"/>
      <w:marBottom w:val="0"/>
      <w:divBdr>
        <w:top w:val="none" w:sz="0" w:space="0" w:color="auto"/>
        <w:left w:val="none" w:sz="0" w:space="0" w:color="auto"/>
        <w:bottom w:val="none" w:sz="0" w:space="0" w:color="auto"/>
        <w:right w:val="none" w:sz="0" w:space="0" w:color="auto"/>
      </w:divBdr>
    </w:div>
    <w:div w:id="1318148310">
      <w:bodyDiv w:val="1"/>
      <w:marLeft w:val="0"/>
      <w:marRight w:val="0"/>
      <w:marTop w:val="0"/>
      <w:marBottom w:val="0"/>
      <w:divBdr>
        <w:top w:val="none" w:sz="0" w:space="0" w:color="auto"/>
        <w:left w:val="none" w:sz="0" w:space="0" w:color="auto"/>
        <w:bottom w:val="none" w:sz="0" w:space="0" w:color="auto"/>
        <w:right w:val="none" w:sz="0" w:space="0" w:color="auto"/>
      </w:divBdr>
    </w:div>
    <w:div w:id="1558468011">
      <w:bodyDiv w:val="1"/>
      <w:marLeft w:val="0"/>
      <w:marRight w:val="0"/>
      <w:marTop w:val="0"/>
      <w:marBottom w:val="0"/>
      <w:divBdr>
        <w:top w:val="none" w:sz="0" w:space="0" w:color="auto"/>
        <w:left w:val="none" w:sz="0" w:space="0" w:color="auto"/>
        <w:bottom w:val="none" w:sz="0" w:space="0" w:color="auto"/>
        <w:right w:val="none" w:sz="0" w:space="0" w:color="auto"/>
      </w:divBdr>
    </w:div>
    <w:div w:id="1652060642">
      <w:bodyDiv w:val="1"/>
      <w:marLeft w:val="0"/>
      <w:marRight w:val="0"/>
      <w:marTop w:val="0"/>
      <w:marBottom w:val="0"/>
      <w:divBdr>
        <w:top w:val="none" w:sz="0" w:space="0" w:color="auto"/>
        <w:left w:val="none" w:sz="0" w:space="0" w:color="auto"/>
        <w:bottom w:val="none" w:sz="0" w:space="0" w:color="auto"/>
        <w:right w:val="none" w:sz="0" w:space="0" w:color="auto"/>
      </w:divBdr>
    </w:div>
    <w:div w:id="16674410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2288126">
      <w:bodyDiv w:val="1"/>
      <w:marLeft w:val="0"/>
      <w:marRight w:val="0"/>
      <w:marTop w:val="0"/>
      <w:marBottom w:val="0"/>
      <w:divBdr>
        <w:top w:val="none" w:sz="0" w:space="0" w:color="auto"/>
        <w:left w:val="none" w:sz="0" w:space="0" w:color="auto"/>
        <w:bottom w:val="none" w:sz="0" w:space="0" w:color="auto"/>
        <w:right w:val="none" w:sz="0" w:space="0" w:color="auto"/>
      </w:divBdr>
    </w:div>
    <w:div w:id="1801798654">
      <w:bodyDiv w:val="1"/>
      <w:marLeft w:val="0"/>
      <w:marRight w:val="0"/>
      <w:marTop w:val="0"/>
      <w:marBottom w:val="0"/>
      <w:divBdr>
        <w:top w:val="none" w:sz="0" w:space="0" w:color="auto"/>
        <w:left w:val="none" w:sz="0" w:space="0" w:color="auto"/>
        <w:bottom w:val="none" w:sz="0" w:space="0" w:color="auto"/>
        <w:right w:val="none" w:sz="0" w:space="0" w:color="auto"/>
      </w:divBdr>
    </w:div>
    <w:div w:id="1819607367">
      <w:bodyDiv w:val="1"/>
      <w:marLeft w:val="0"/>
      <w:marRight w:val="0"/>
      <w:marTop w:val="0"/>
      <w:marBottom w:val="0"/>
      <w:divBdr>
        <w:top w:val="none" w:sz="0" w:space="0" w:color="auto"/>
        <w:left w:val="none" w:sz="0" w:space="0" w:color="auto"/>
        <w:bottom w:val="none" w:sz="0" w:space="0" w:color="auto"/>
        <w:right w:val="none" w:sz="0" w:space="0" w:color="auto"/>
      </w:divBdr>
    </w:div>
    <w:div w:id="1866364932">
      <w:bodyDiv w:val="1"/>
      <w:marLeft w:val="0"/>
      <w:marRight w:val="0"/>
      <w:marTop w:val="0"/>
      <w:marBottom w:val="0"/>
      <w:divBdr>
        <w:top w:val="none" w:sz="0" w:space="0" w:color="auto"/>
        <w:left w:val="none" w:sz="0" w:space="0" w:color="auto"/>
        <w:bottom w:val="none" w:sz="0" w:space="0" w:color="auto"/>
        <w:right w:val="none" w:sz="0" w:space="0" w:color="auto"/>
      </w:divBdr>
    </w:div>
    <w:div w:id="195463303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8845881">
      <w:bodyDiv w:val="1"/>
      <w:marLeft w:val="0"/>
      <w:marRight w:val="0"/>
      <w:marTop w:val="0"/>
      <w:marBottom w:val="0"/>
      <w:divBdr>
        <w:top w:val="none" w:sz="0" w:space="0" w:color="auto"/>
        <w:left w:val="none" w:sz="0" w:space="0" w:color="auto"/>
        <w:bottom w:val="none" w:sz="0" w:space="0" w:color="auto"/>
        <w:right w:val="none" w:sz="0" w:space="0" w:color="auto"/>
      </w:divBdr>
    </w:div>
    <w:div w:id="2067754538">
      <w:bodyDiv w:val="1"/>
      <w:marLeft w:val="0"/>
      <w:marRight w:val="0"/>
      <w:marTop w:val="0"/>
      <w:marBottom w:val="0"/>
      <w:divBdr>
        <w:top w:val="none" w:sz="0" w:space="0" w:color="auto"/>
        <w:left w:val="none" w:sz="0" w:space="0" w:color="auto"/>
        <w:bottom w:val="none" w:sz="0" w:space="0" w:color="auto"/>
        <w:right w:val="none" w:sz="0" w:space="0" w:color="auto"/>
      </w:divBdr>
    </w:div>
    <w:div w:id="20885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4911-5171-1246-A75D-EF7437EB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0</TotalTime>
  <Pages>7</Pages>
  <Words>2024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13136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2</cp:revision>
  <cp:lastPrinted>1999-07-06T11:00:00Z</cp:lastPrinted>
  <dcterms:created xsi:type="dcterms:W3CDTF">2025-10-31T21:14:00Z</dcterms:created>
  <dcterms:modified xsi:type="dcterms:W3CDTF">2025-10-31T21:14:00Z</dcterms:modified>
</cp:coreProperties>
</file>