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7B41" w14:textId="7C4F306C" w:rsidR="00754C9A" w:rsidRPr="002015D7" w:rsidRDefault="002015D7" w:rsidP="00441B6F">
      <w:pPr>
        <w:pStyle w:val="Title"/>
        <w:spacing w:after="0"/>
        <w:jc w:val="both"/>
        <w:rPr>
          <w:rFonts w:ascii="Arial" w:hAnsi="Arial" w:cs="Arial"/>
          <w:u w:val="single"/>
        </w:rPr>
      </w:pPr>
      <w:r w:rsidRPr="002015D7">
        <w:rPr>
          <w:rFonts w:ascii="Arial" w:hAnsi="Arial" w:cs="Arial"/>
          <w:u w:val="single"/>
        </w:rPr>
        <w:t>Short Research Article</w:t>
      </w:r>
    </w:p>
    <w:p w14:paraId="38CD668F" w14:textId="77777777" w:rsidR="002015D7" w:rsidRDefault="002015D7" w:rsidP="00441B6F">
      <w:pPr>
        <w:pStyle w:val="Title"/>
        <w:spacing w:after="0"/>
        <w:jc w:val="both"/>
        <w:rPr>
          <w:rFonts w:ascii="Arial" w:hAnsi="Arial" w:cs="Arial"/>
        </w:rPr>
      </w:pPr>
    </w:p>
    <w:p w14:paraId="5D28EB70" w14:textId="3A957A80" w:rsidR="00A258C3" w:rsidRDefault="00CE763F" w:rsidP="00861806">
      <w:pPr>
        <w:pStyle w:val="Author"/>
        <w:spacing w:line="240" w:lineRule="auto"/>
        <w:rPr>
          <w:rFonts w:ascii="Arial" w:hAnsi="Arial" w:cs="Arial"/>
          <w:bCs/>
          <w:iCs/>
          <w:kern w:val="28"/>
          <w:sz w:val="36"/>
        </w:rPr>
      </w:pPr>
      <w:r w:rsidRPr="00CE763F">
        <w:rPr>
          <w:rFonts w:ascii="Arial" w:hAnsi="Arial" w:cs="Arial"/>
          <w:bCs/>
          <w:iCs/>
          <w:kern w:val="28"/>
          <w:sz w:val="36"/>
        </w:rPr>
        <w:t>Assessment of the Automotive Technology Program’s Compliance with Waste Management Procedures of Mariano Marcos State University</w:t>
      </w:r>
    </w:p>
    <w:p w14:paraId="3BEDDF86" w14:textId="77777777" w:rsidR="00790ADA" w:rsidRDefault="00790ADA" w:rsidP="00441B6F">
      <w:pPr>
        <w:pStyle w:val="Affiliation"/>
        <w:spacing w:after="0" w:line="240" w:lineRule="auto"/>
        <w:jc w:val="both"/>
        <w:rPr>
          <w:rFonts w:ascii="Arial" w:hAnsi="Arial" w:cs="Arial"/>
        </w:rPr>
      </w:pPr>
    </w:p>
    <w:p w14:paraId="2FA4FE8F" w14:textId="77777777" w:rsidR="002C57D2" w:rsidRPr="00FB3A86" w:rsidRDefault="002C57D2" w:rsidP="00441B6F">
      <w:pPr>
        <w:pStyle w:val="Affiliation"/>
        <w:spacing w:after="0" w:line="240" w:lineRule="auto"/>
        <w:jc w:val="both"/>
        <w:rPr>
          <w:rFonts w:ascii="Arial" w:hAnsi="Arial" w:cs="Arial"/>
        </w:rPr>
      </w:pPr>
    </w:p>
    <w:p w14:paraId="67C6767C" w14:textId="77777777" w:rsidR="00B01FCD" w:rsidRPr="00FB3A86" w:rsidRDefault="00000000" w:rsidP="00441B6F">
      <w:pPr>
        <w:pStyle w:val="Copyright"/>
        <w:spacing w:after="0" w:line="240" w:lineRule="auto"/>
        <w:jc w:val="both"/>
        <w:rPr>
          <w:rFonts w:ascii="Arial" w:hAnsi="Arial" w:cs="Arial"/>
        </w:rPr>
        <w:sectPr w:rsidR="00B01FCD" w:rsidRPr="00FB3A86" w:rsidSect="000470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D58F1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3BC5846" w14:textId="3BCD9BC8" w:rsidR="00B01FCD" w:rsidRDefault="00B01FCD" w:rsidP="00441B6F">
      <w:pPr>
        <w:pStyle w:val="AbstHead"/>
        <w:spacing w:after="0"/>
        <w:jc w:val="both"/>
        <w:rPr>
          <w:rFonts w:ascii="Arial" w:hAnsi="Arial" w:cs="Arial"/>
        </w:rPr>
      </w:pPr>
      <w:r w:rsidRPr="00FB3A86">
        <w:rPr>
          <w:rFonts w:ascii="Arial" w:hAnsi="Arial" w:cs="Arial"/>
        </w:rPr>
        <w:t>ABSTRACT</w:t>
      </w:r>
    </w:p>
    <w:p w14:paraId="2B935E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C8EA43" w14:textId="77777777" w:rsidTr="001E44FE">
        <w:tc>
          <w:tcPr>
            <w:tcW w:w="9576" w:type="dxa"/>
            <w:shd w:val="clear" w:color="auto" w:fill="F2F2F2"/>
          </w:tcPr>
          <w:p w14:paraId="062E9ED8" w14:textId="20DC5042"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This study assessed the level of compliance of the Automotive Technology Program of Mariano Marcos State University (MMSU-CIT) with established waste management procedures. The objective was to evaluate current practices and identify gaps to support the development of enhanced waste management guidelines aligned with Sustainable Development Goal (SDG) 12 on responsible consumption and production.</w:t>
            </w:r>
          </w:p>
          <w:p w14:paraId="536D240A" w14:textId="087D31F9"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Study Design: A descriptive-quantitative research design was employed to measure the degree of compliance across major components of waste management.</w:t>
            </w:r>
          </w:p>
          <w:p w14:paraId="1D0C8347" w14:textId="67BE3ED4"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The study was conducted at the College of Industrial Technology, Mariano Marcos State University, during the first semester of Academic Year 2024–2025.</w:t>
            </w:r>
          </w:p>
          <w:p w14:paraId="35BA3410" w14:textId="59083DB3"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Data was gathered through a validated survey questionnaire administered to 30 respondents composed of faculty, staff, and laboratory personnel. Weighted mean and composite mean were used to determine the level of compliance.</w:t>
            </w:r>
          </w:p>
          <w:p w14:paraId="23FA2DDD" w14:textId="0CD38EB1" w:rsidR="00861806" w:rsidRPr="00861806" w:rsidRDefault="00861806" w:rsidP="00861806">
            <w:pPr>
              <w:pStyle w:val="Body"/>
              <w:rPr>
                <w:rFonts w:ascii="Arial" w:eastAsia="Calibri" w:hAnsi="Arial" w:cs="Arial"/>
                <w:szCs w:val="22"/>
              </w:rPr>
            </w:pPr>
            <w:r w:rsidRPr="00861806">
              <w:rPr>
                <w:rFonts w:ascii="Arial" w:eastAsia="Calibri" w:hAnsi="Arial" w:cs="Arial"/>
                <w:szCs w:val="22"/>
              </w:rPr>
              <w:t>Findings revealed that the Automotive Technology Program achieved an overall weighted mean of 2.95, indicating partial compliance with institutional and environmental standards. Among the key indicators, compliance ranged from 2.63 to 3.20, reflecting inconsistencies in waste segregation, hazardous waste handling, and documentation. The mean score for waste segregation and disposal (2.97) suggested efforts toward proper waste management but also highlighted areas needing improvement, particularly in labeling, bin organization, and staff training.</w:t>
            </w:r>
          </w:p>
          <w:p w14:paraId="16E3ECB1" w14:textId="2B15DF5D" w:rsidR="00861806" w:rsidRDefault="00861806" w:rsidP="00861806">
            <w:pPr>
              <w:pStyle w:val="Body"/>
              <w:rPr>
                <w:rFonts w:ascii="Arial" w:eastAsia="Calibri" w:hAnsi="Arial" w:cs="Arial"/>
                <w:szCs w:val="22"/>
              </w:rPr>
            </w:pPr>
            <w:r w:rsidRPr="00861806">
              <w:rPr>
                <w:rFonts w:ascii="Arial" w:eastAsia="Calibri" w:hAnsi="Arial" w:cs="Arial"/>
                <w:szCs w:val="22"/>
              </w:rPr>
              <w:t>The study concludes that the current waste management practices of MMSU-CIT are moderately implemented but require systematic enhancement to achieve full compliance. The proposed Enhanced Waste Management Guidelines are recommended for adoption to strengthen institutional policies, curriculum integration, and environmental awareness. Looking forward, these guidelines may serve as a replicable model for other academic and technical institutions seeking to improve sustainability and environmental compliance.</w:t>
            </w:r>
          </w:p>
          <w:p w14:paraId="0B14F35D" w14:textId="020F0FF5" w:rsidR="00505F06" w:rsidRPr="00BA1B01" w:rsidRDefault="00BA5D45" w:rsidP="00861806">
            <w:pPr>
              <w:pStyle w:val="Body"/>
              <w:spacing w:after="0"/>
              <w:rPr>
                <w:rFonts w:ascii="Arial" w:eastAsia="Calibri" w:hAnsi="Arial" w:cs="Arial"/>
                <w:szCs w:val="22"/>
              </w:rPr>
            </w:pPr>
            <w:r w:rsidRPr="00BA5D45">
              <w:rPr>
                <w:rFonts w:ascii="Arial" w:eastAsia="Calibri" w:hAnsi="Arial" w:cs="Arial"/>
                <w:szCs w:val="22"/>
              </w:rPr>
              <w:t>The study recommends the development and institutionalization of enhanced waste management guidelines that are valid, implementable, and aligned with both academic and industrial standards. These guidelines should be integrated into the curriculum and operational policies to strengthen environmental education, promote responsible waste practices, and foster a culture of sustainability among faculty and students. By aligning institutional waste management systems with global best practices, the university can contribute to advancing responsible consumption and production, consistent with the objectives of the United Nations Sustainable Development Goal 12 (SDG 12).</w:t>
            </w:r>
          </w:p>
        </w:tc>
      </w:tr>
    </w:tbl>
    <w:p w14:paraId="5FCFDE03" w14:textId="77777777" w:rsidR="00636EB2" w:rsidRDefault="00636EB2" w:rsidP="00441B6F">
      <w:pPr>
        <w:pStyle w:val="Body"/>
        <w:spacing w:after="0"/>
        <w:rPr>
          <w:rFonts w:ascii="Arial" w:hAnsi="Arial" w:cs="Arial"/>
          <w:i/>
        </w:rPr>
      </w:pPr>
    </w:p>
    <w:p w14:paraId="4484F27B" w14:textId="1A80324A" w:rsidR="00A24E7E" w:rsidRDefault="00A24E7E" w:rsidP="00441B6F">
      <w:pPr>
        <w:pStyle w:val="Body"/>
        <w:spacing w:after="0"/>
        <w:rPr>
          <w:rFonts w:ascii="Arial" w:hAnsi="Arial" w:cs="Arial"/>
          <w:i/>
        </w:rPr>
      </w:pPr>
      <w:r>
        <w:rPr>
          <w:rFonts w:ascii="Arial" w:hAnsi="Arial" w:cs="Arial"/>
          <w:i/>
        </w:rPr>
        <w:t xml:space="preserve">Keywords: </w:t>
      </w:r>
      <w:r w:rsidR="00BA5D45" w:rsidRPr="00BA5D45">
        <w:rPr>
          <w:rFonts w:ascii="Arial" w:hAnsi="Arial" w:cs="Arial"/>
          <w:i/>
        </w:rPr>
        <w:t>Automotive Technology program, waste management procedures, automotive education, SDG 1</w:t>
      </w:r>
      <w:r w:rsidR="00BA5D45">
        <w:rPr>
          <w:rFonts w:ascii="Arial" w:hAnsi="Arial" w:cs="Arial"/>
          <w:i/>
        </w:rPr>
        <w:t>2</w:t>
      </w:r>
    </w:p>
    <w:p w14:paraId="3B5726E9" w14:textId="77777777" w:rsidR="00790ADA" w:rsidRDefault="00790ADA" w:rsidP="00441B6F">
      <w:pPr>
        <w:pStyle w:val="Body"/>
        <w:spacing w:after="0"/>
        <w:rPr>
          <w:rFonts w:ascii="Arial" w:hAnsi="Arial" w:cs="Arial"/>
          <w:i/>
        </w:rPr>
      </w:pPr>
    </w:p>
    <w:p w14:paraId="5D59A08F" w14:textId="77777777" w:rsidR="00505F06" w:rsidRPr="00A24E7E" w:rsidRDefault="00505F06" w:rsidP="00441B6F">
      <w:pPr>
        <w:pStyle w:val="Body"/>
        <w:spacing w:after="0"/>
        <w:rPr>
          <w:rFonts w:ascii="Arial" w:hAnsi="Arial" w:cs="Arial"/>
          <w:i/>
        </w:rPr>
      </w:pPr>
    </w:p>
    <w:p w14:paraId="52717F64" w14:textId="1BE504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30F951" w14:textId="77777777" w:rsidR="00790ADA" w:rsidRPr="00FB3A86" w:rsidRDefault="00790ADA" w:rsidP="00441B6F">
      <w:pPr>
        <w:pStyle w:val="AbstHead"/>
        <w:spacing w:after="0"/>
        <w:jc w:val="both"/>
        <w:rPr>
          <w:rFonts w:ascii="Arial" w:hAnsi="Arial" w:cs="Arial"/>
        </w:rPr>
      </w:pPr>
    </w:p>
    <w:p w14:paraId="52EAF687" w14:textId="54E3355C" w:rsidR="009B6B9B" w:rsidRPr="009B6B9B" w:rsidRDefault="009B6B9B" w:rsidP="009B6B9B">
      <w:pPr>
        <w:pStyle w:val="Body"/>
        <w:rPr>
          <w:rFonts w:ascii="Arial" w:hAnsi="Arial" w:cs="Arial"/>
        </w:rPr>
      </w:pPr>
      <w:r w:rsidRPr="009B6B9B">
        <w:rPr>
          <w:rFonts w:ascii="Arial" w:hAnsi="Arial" w:cs="Arial"/>
        </w:rPr>
        <w:t>In pursuit of a more sustainable and equitable global society by 2030, the United Nations established the Sustainable Development Goals (UNSDGs) as a comprehensive framework to address pressing challenges confronting humanity. Among these, Goal 12 emphasizes the promotion of responsible consumption and production, urging nations and institutions to adopt recycling and reuse strategies, minimize waste generation, and foster sustainable resource management practices. Waste management, as defined by international standards, refers to the systematic handling of waste materials through collection, transportation, processing, recycling, and disposal—an integrated process aimed at mitigating environmental impacts and protecting public health. Effective waste management is indispensable in achieving sustainability, as it ensures that human and industrial activities remain within ecological limits (Balaba et al., 2024; Molina &amp; Catan, 2021).</w:t>
      </w:r>
    </w:p>
    <w:p w14:paraId="7F408BDC" w14:textId="2B82FE56" w:rsidR="009B6B9B" w:rsidRPr="009B6B9B" w:rsidRDefault="009B6B9B" w:rsidP="009B6B9B">
      <w:pPr>
        <w:pStyle w:val="Body"/>
        <w:rPr>
          <w:rFonts w:ascii="Arial" w:hAnsi="Arial" w:cs="Arial"/>
        </w:rPr>
      </w:pPr>
      <w:r w:rsidRPr="009B6B9B">
        <w:rPr>
          <w:rFonts w:ascii="Arial" w:hAnsi="Arial" w:cs="Arial"/>
        </w:rPr>
        <w:t>Global standards such as ISO 14001:2015 provide a framework for organizations to manage their environmental responsibilities effectively. This standard promotes continuous improvement, pollution prevention, and waste reduction, enabling organizations to align their operations with sustainability objectives. In the automotive sector, the importance of waste management is particularly pronounced due to the nature of waste generated during manufacturing, maintenance, and disposal. Research underscores that employee training and awareness are vital for improving waste management performance (Morais, 2018). Tools such as Waste Flow Mapping (WFM) allow organizations to identify inefficiencies and optimize waste management systems (</w:t>
      </w:r>
      <w:proofErr w:type="spellStart"/>
      <w:r w:rsidRPr="009B6B9B">
        <w:rPr>
          <w:rFonts w:ascii="Arial" w:hAnsi="Arial" w:cs="Arial"/>
        </w:rPr>
        <w:t>Kurdve</w:t>
      </w:r>
      <w:proofErr w:type="spellEnd"/>
      <w:r w:rsidRPr="009B6B9B">
        <w:rPr>
          <w:rFonts w:ascii="Arial" w:hAnsi="Arial" w:cs="Arial"/>
        </w:rPr>
        <w:t xml:space="preserve"> et al., 2015), while transitioning from a “take, make, dispose” model to a “take, make, reuse” paradigm enhances resource efficiency and reduces environmental burden (</w:t>
      </w:r>
      <w:proofErr w:type="spellStart"/>
      <w:r w:rsidRPr="009B6B9B">
        <w:rPr>
          <w:rFonts w:ascii="Arial" w:hAnsi="Arial" w:cs="Arial"/>
        </w:rPr>
        <w:t>Ghisellini</w:t>
      </w:r>
      <w:proofErr w:type="spellEnd"/>
      <w:r w:rsidRPr="009B6B9B">
        <w:rPr>
          <w:rFonts w:ascii="Arial" w:hAnsi="Arial" w:cs="Arial"/>
        </w:rPr>
        <w:t xml:space="preserve"> et al., 2016).</w:t>
      </w:r>
    </w:p>
    <w:p w14:paraId="12094200" w14:textId="11036C44" w:rsidR="009B6B9B" w:rsidRPr="009B6B9B" w:rsidRDefault="009B6B9B" w:rsidP="009B6B9B">
      <w:pPr>
        <w:pStyle w:val="Body"/>
        <w:rPr>
          <w:rFonts w:ascii="Arial" w:hAnsi="Arial" w:cs="Arial"/>
        </w:rPr>
      </w:pPr>
      <w:r w:rsidRPr="009B6B9B">
        <w:rPr>
          <w:rFonts w:ascii="Arial" w:hAnsi="Arial" w:cs="Arial"/>
        </w:rPr>
        <w:t>The compliance of Automotive Technology Programs with effective waste management procedures has become increasingly significant as the industry grapples with complex waste streams, particularly automotive shredder residue (ASR), which consists of plastics, metals, and textiles (</w:t>
      </w:r>
      <w:r w:rsidR="00B62C0A" w:rsidRPr="00B62C0A">
        <w:rPr>
          <w:rFonts w:ascii="Arial" w:hAnsi="Arial" w:cs="Arial"/>
        </w:rPr>
        <w:t>Vijayan &amp; Bhattacharya, 2023</w:t>
      </w:r>
      <w:r w:rsidRPr="009B6B9B">
        <w:rPr>
          <w:rFonts w:ascii="Arial" w:hAnsi="Arial" w:cs="Arial"/>
        </w:rPr>
        <w:t>). Hazardous substances in ASR necessitate specialized technologies and strict compliance measures (</w:t>
      </w:r>
      <w:r w:rsidR="00CB75E4" w:rsidRPr="00CB75E4">
        <w:rPr>
          <w:rFonts w:ascii="Arial" w:hAnsi="Arial" w:cs="Arial"/>
        </w:rPr>
        <w:t>Numfor et al., 2021</w:t>
      </w:r>
      <w:r w:rsidRPr="009B6B9B">
        <w:rPr>
          <w:rFonts w:ascii="Arial" w:hAnsi="Arial" w:cs="Arial"/>
        </w:rPr>
        <w:t>). Moreover, the increasing use of lightweight materials and advanced composites is projected to further elevate ASR generation (</w:t>
      </w:r>
      <w:r w:rsidR="009519A7" w:rsidRPr="009519A7">
        <w:rPr>
          <w:rFonts w:ascii="Arial" w:hAnsi="Arial" w:cs="Arial"/>
        </w:rPr>
        <w:t>Vijayan et al., 2022</w:t>
      </w:r>
      <w:r w:rsidRPr="009B6B9B">
        <w:rPr>
          <w:rFonts w:ascii="Arial" w:hAnsi="Arial" w:cs="Arial"/>
        </w:rPr>
        <w:t>). Addressing these challenges requires strong stakeholder engagement, as collaboration among manufacturers, recyclers, policymakers, and academic institutions fosters circularity and regulatory compliance (</w:t>
      </w:r>
      <w:r w:rsidR="00EC43CB" w:rsidRPr="00EC43CB">
        <w:rPr>
          <w:rFonts w:ascii="Arial" w:hAnsi="Arial" w:cs="Arial"/>
        </w:rPr>
        <w:t>Akash et al., 2025</w:t>
      </w:r>
      <w:r w:rsidRPr="009B6B9B">
        <w:rPr>
          <w:rFonts w:ascii="Arial" w:hAnsi="Arial" w:cs="Arial"/>
        </w:rPr>
        <w:t xml:space="preserve">; </w:t>
      </w:r>
      <w:proofErr w:type="spellStart"/>
      <w:r w:rsidRPr="009B6B9B">
        <w:rPr>
          <w:rFonts w:ascii="Arial" w:hAnsi="Arial" w:cs="Arial"/>
        </w:rPr>
        <w:t>Zorpas</w:t>
      </w:r>
      <w:proofErr w:type="spellEnd"/>
      <w:r w:rsidRPr="009B6B9B">
        <w:rPr>
          <w:rFonts w:ascii="Arial" w:hAnsi="Arial" w:cs="Arial"/>
        </w:rPr>
        <w:t xml:space="preserve">, 2020). Innovative waste treatment technologies, such as pyrolysis and gasification, have demonstrated potential for resource recovery and compliance enhancement </w:t>
      </w:r>
      <w:r w:rsidR="00B62C0A" w:rsidRPr="00B62C0A">
        <w:rPr>
          <w:rFonts w:ascii="Arial" w:hAnsi="Arial" w:cs="Arial"/>
        </w:rPr>
        <w:t>Santini et al., 2011</w:t>
      </w:r>
      <w:r w:rsidRPr="009B6B9B">
        <w:rPr>
          <w:rFonts w:ascii="Arial" w:hAnsi="Arial" w:cs="Arial"/>
        </w:rPr>
        <w:t>).</w:t>
      </w:r>
    </w:p>
    <w:p w14:paraId="0E8F1005" w14:textId="34919856" w:rsidR="009B6B9B" w:rsidRPr="009B6B9B" w:rsidRDefault="009B6B9B" w:rsidP="009B6B9B">
      <w:pPr>
        <w:pStyle w:val="Body"/>
        <w:rPr>
          <w:rFonts w:ascii="Arial" w:hAnsi="Arial" w:cs="Arial"/>
        </w:rPr>
      </w:pPr>
      <w:r w:rsidRPr="009B6B9B">
        <w:rPr>
          <w:rFonts w:ascii="Arial" w:hAnsi="Arial" w:cs="Arial"/>
        </w:rPr>
        <w:t xml:space="preserve">At a local level, studies highlight that awareness and practices in waste management vary among academic institutions. For instance, Balaba et al. (2024) reported moderate compliance at </w:t>
      </w:r>
      <w:proofErr w:type="spellStart"/>
      <w:r w:rsidRPr="009B6B9B">
        <w:rPr>
          <w:rFonts w:ascii="Arial" w:hAnsi="Arial" w:cs="Arial"/>
        </w:rPr>
        <w:t>Initao</w:t>
      </w:r>
      <w:proofErr w:type="spellEnd"/>
      <w:r w:rsidRPr="009B6B9B">
        <w:rPr>
          <w:rFonts w:ascii="Arial" w:hAnsi="Arial" w:cs="Arial"/>
        </w:rPr>
        <w:t xml:space="preserve"> College, Misamis Oriental, while Molina and Catan (2021) noted gaps in solid waste practices among senior high school students in Zamboanga City, emphasizing the need for structured training and institutional support. Building upon frameworks that advocate intersectoral collaboration (</w:t>
      </w:r>
      <w:r w:rsidR="00EC43CB" w:rsidRPr="00EC43CB">
        <w:rPr>
          <w:rFonts w:ascii="Arial" w:hAnsi="Arial" w:cs="Arial"/>
        </w:rPr>
        <w:t>Rahmat et al., 2025</w:t>
      </w:r>
      <w:r w:rsidRPr="009B6B9B">
        <w:rPr>
          <w:rFonts w:ascii="Arial" w:hAnsi="Arial" w:cs="Arial"/>
        </w:rPr>
        <w:t>), universities in the Philippines—including Mariano Marcos State University through its College of Industrial Technology (CIT)—implement the Localized Integrated Pollution Control and Waste Management Program (CIT-LIPCWMP) in compliance with RA 9003, PD 1152, and RA 6969. These initiatives address hazardous and non-biodegradable waste while promoting recycling, composting, and source segregation, complemented by policies minimizing plastic use and banning Styrofoam (Provincial Ordinance No. 2019-05-074).</w:t>
      </w:r>
    </w:p>
    <w:p w14:paraId="28E2E4AE" w14:textId="6E2A23A5" w:rsidR="00D527B1" w:rsidRPr="00D527B1" w:rsidRDefault="00D527B1" w:rsidP="009B6B9B">
      <w:pPr>
        <w:pStyle w:val="Body"/>
        <w:rPr>
          <w:rFonts w:ascii="Arial" w:hAnsi="Arial" w:cs="Arial"/>
        </w:rPr>
      </w:pPr>
      <w:r w:rsidRPr="00D527B1">
        <w:rPr>
          <w:rFonts w:ascii="Arial" w:hAnsi="Arial" w:cs="Arial"/>
        </w:rPr>
        <w:t>Despite these initiatives, continuous evaluation remains essential to ensure compliance and alignment with evolving waste management standards. A systematic assessment of the program’s compliance level can identify areas for improvement and support the development of enhanced waste management guidelines that are contextually responsive and environmentally sound.</w:t>
      </w:r>
    </w:p>
    <w:p w14:paraId="71EA173D" w14:textId="58C85B8C" w:rsidR="00D527B1" w:rsidRDefault="00D527B1" w:rsidP="004A5293">
      <w:pPr>
        <w:pStyle w:val="Body"/>
        <w:rPr>
          <w:rFonts w:ascii="Arial" w:hAnsi="Arial" w:cs="Arial"/>
        </w:rPr>
      </w:pPr>
      <w:r w:rsidRPr="00D527B1">
        <w:rPr>
          <w:rFonts w:ascii="Arial" w:hAnsi="Arial" w:cs="Arial"/>
        </w:rPr>
        <w:t>Therefore, this study aim</w:t>
      </w:r>
      <w:r w:rsidR="00A043CB">
        <w:rPr>
          <w:rFonts w:ascii="Arial" w:hAnsi="Arial" w:cs="Arial"/>
        </w:rPr>
        <w:t>e</w:t>
      </w:r>
      <w:r w:rsidR="004A5293">
        <w:rPr>
          <w:rFonts w:ascii="Arial" w:hAnsi="Arial" w:cs="Arial"/>
        </w:rPr>
        <w:t>d</w:t>
      </w:r>
      <w:r w:rsidRPr="00D527B1">
        <w:rPr>
          <w:rFonts w:ascii="Arial" w:hAnsi="Arial" w:cs="Arial"/>
        </w:rPr>
        <w:t xml:space="preserve"> to assess the level of compliance of the Automotive Technology Program of the Mariano Marcos State University with waste management procedures.</w:t>
      </w:r>
    </w:p>
    <w:p w14:paraId="63B1B68A" w14:textId="77777777" w:rsidR="00790ADA" w:rsidRPr="00FB3A86" w:rsidRDefault="00790ADA" w:rsidP="00441B6F">
      <w:pPr>
        <w:pStyle w:val="Body"/>
        <w:spacing w:after="0"/>
        <w:rPr>
          <w:rFonts w:ascii="Arial" w:hAnsi="Arial" w:cs="Arial"/>
        </w:rPr>
      </w:pPr>
    </w:p>
    <w:p w14:paraId="33B4BBA1" w14:textId="34998BE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78ECDC1" w14:textId="77777777" w:rsidR="00790ADA" w:rsidRPr="00FB3A86" w:rsidRDefault="00790ADA" w:rsidP="00441B6F">
      <w:pPr>
        <w:pStyle w:val="AbstHead"/>
        <w:spacing w:after="0"/>
        <w:jc w:val="both"/>
        <w:rPr>
          <w:rFonts w:ascii="Arial" w:hAnsi="Arial" w:cs="Arial"/>
        </w:rPr>
      </w:pPr>
    </w:p>
    <w:p w14:paraId="1B4EF6FF" w14:textId="038157C6" w:rsidR="004A5293" w:rsidRPr="004A5293" w:rsidRDefault="004A5293" w:rsidP="004A5293">
      <w:pPr>
        <w:pStyle w:val="Body"/>
        <w:rPr>
          <w:rFonts w:ascii="Arial" w:hAnsi="Arial" w:cs="Arial"/>
        </w:rPr>
      </w:pPr>
      <w:r w:rsidRPr="004A5293">
        <w:rPr>
          <w:rFonts w:ascii="Arial" w:hAnsi="Arial" w:cs="Arial"/>
        </w:rPr>
        <w:t>This study employed a descriptive research design to systematically assess the level of compliance of the Automotive Technology Program of Mariano Marcos State University–College of Industrial Technology (MMSU-CIT) with established waste management procedures. The descriptive approach was deemed appropriate, as it enabled the researcher to obtain accurate and comprehensive data regarding current practices, policies, and levels of adherence to environmental standards. Data was collected using a researcher-made, structured survey questionnaire adapted from the key principles of ISO 14001:2015, which emphasizes environmental management and sustainable operations. The instrument consisted of two parts: the first gathered respondents’ demographic profiles, professional roles, and awareness of institutional waste management policies, while the second measured compliance across areas such as waste segregation, hazardous waste disposal, recycling initiatives, and adherence to relevant environmental laws and ordinances. Prior to data collection, the instrument underwent validation by a panel of experts in environmental management and educational research to ensure its content validity and reliability.</w:t>
      </w:r>
    </w:p>
    <w:p w14:paraId="5686BD0E" w14:textId="002D98D9" w:rsidR="004A5293" w:rsidRPr="004A5293" w:rsidRDefault="004A5293" w:rsidP="004A5293">
      <w:pPr>
        <w:pStyle w:val="Body"/>
        <w:rPr>
          <w:rFonts w:ascii="Arial" w:hAnsi="Arial" w:cs="Arial"/>
        </w:rPr>
      </w:pPr>
      <w:r w:rsidRPr="004A5293">
        <w:rPr>
          <w:rFonts w:ascii="Arial" w:hAnsi="Arial" w:cs="Arial"/>
        </w:rPr>
        <w:t>The study was conducted at the Mariano Marcos State University–College of Industrial Technology (MMSU-CIT), specifically within the Automotive Technology Program, where waste generation is inherent in instructional and laboratory activities. The participants consisted of twenty (20) purposively selected faculty members who were directly involved in waste handling, disposal, and compliance implementation. The use of purposive sampling ensured that only respondents with firsthand knowledge and active participation in the program’s waste management practices were included. Data collection was carried out through face-to-face administration of questionnaires over a two-month period. Throughout the data-gathering process, ethical considerations such as informed consent, confidentiality, and adherence to institutional health and safety protocols were strictly observed.</w:t>
      </w:r>
    </w:p>
    <w:p w14:paraId="5BF25604" w14:textId="77777777" w:rsidR="004A5293" w:rsidRDefault="004A5293" w:rsidP="004A5293">
      <w:pPr>
        <w:pStyle w:val="Body"/>
        <w:rPr>
          <w:rFonts w:ascii="Arial" w:hAnsi="Arial" w:cs="Arial"/>
        </w:rPr>
      </w:pPr>
      <w:r w:rsidRPr="004A5293">
        <w:rPr>
          <w:rFonts w:ascii="Arial" w:hAnsi="Arial" w:cs="Arial"/>
        </w:rPr>
        <w:t xml:space="preserve">The quantitative data obtained from the survey was tabulated, analyzed, and interpreted using descriptive statistics, particularly weighted mean, to determine the overall and categorical levels of compliance. The interpretation of weighted mean scores followed a four-point scale: </w:t>
      </w:r>
    </w:p>
    <w:p w14:paraId="794F2040" w14:textId="38C40226" w:rsidR="00A043CB" w:rsidRDefault="00A043CB" w:rsidP="00A043CB">
      <w:pPr>
        <w:pStyle w:val="Body"/>
        <w:spacing w:after="0" w:line="360" w:lineRule="auto"/>
        <w:rPr>
          <w:rFonts w:ascii="Arial" w:hAnsi="Arial" w:cs="Arial"/>
        </w:rPr>
      </w:pPr>
      <w:r w:rsidRPr="00A043CB">
        <w:rPr>
          <w:rFonts w:ascii="Arial" w:hAnsi="Arial" w:cs="Arial"/>
        </w:rPr>
        <w:t xml:space="preserve">List 1- </w:t>
      </w:r>
      <w:r>
        <w:rPr>
          <w:rFonts w:ascii="Arial" w:hAnsi="Arial" w:cs="Arial"/>
        </w:rPr>
        <w:t xml:space="preserve">Four-Point Scale </w:t>
      </w:r>
      <w:r w:rsidRPr="00A043CB">
        <w:rPr>
          <w:rFonts w:ascii="Arial" w:hAnsi="Arial" w:cs="Arial"/>
        </w:rPr>
        <w:t>Descriptive Interpretation for Compliance Ratings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A5293" w:rsidRPr="004A5293" w14:paraId="66CEB962" w14:textId="77777777" w:rsidTr="004A5293">
        <w:trPr>
          <w:trHeight w:val="263"/>
          <w:jc w:val="center"/>
        </w:trPr>
        <w:tc>
          <w:tcPr>
            <w:tcW w:w="2341" w:type="dxa"/>
            <w:tcBorders>
              <w:top w:val="single" w:sz="4" w:space="0" w:color="auto"/>
              <w:bottom w:val="single" w:sz="4" w:space="0" w:color="auto"/>
            </w:tcBorders>
          </w:tcPr>
          <w:p w14:paraId="7EB38D24" w14:textId="3812E8FF"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Range of Means</w:t>
            </w:r>
          </w:p>
        </w:tc>
        <w:tc>
          <w:tcPr>
            <w:tcW w:w="3169" w:type="dxa"/>
            <w:tcBorders>
              <w:top w:val="single" w:sz="4" w:space="0" w:color="auto"/>
              <w:bottom w:val="single" w:sz="4" w:space="0" w:color="auto"/>
            </w:tcBorders>
          </w:tcPr>
          <w:p w14:paraId="493A90B8" w14:textId="7632DCF5"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Descriptive Interpretation (DI)</w:t>
            </w:r>
          </w:p>
        </w:tc>
      </w:tr>
      <w:tr w:rsidR="004A5293" w:rsidRPr="004A5293" w14:paraId="02BEDA1A" w14:textId="77777777" w:rsidTr="004A5293">
        <w:trPr>
          <w:trHeight w:val="248"/>
          <w:jc w:val="center"/>
        </w:trPr>
        <w:tc>
          <w:tcPr>
            <w:tcW w:w="2341" w:type="dxa"/>
            <w:tcBorders>
              <w:top w:val="single" w:sz="4" w:space="0" w:color="auto"/>
            </w:tcBorders>
          </w:tcPr>
          <w:p w14:paraId="23AADCF0" w14:textId="631919E3"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3.50–4.00</w:t>
            </w:r>
          </w:p>
        </w:tc>
        <w:tc>
          <w:tcPr>
            <w:tcW w:w="3169" w:type="dxa"/>
            <w:tcBorders>
              <w:top w:val="single" w:sz="4" w:space="0" w:color="auto"/>
            </w:tcBorders>
          </w:tcPr>
          <w:p w14:paraId="6CEAB216" w14:textId="61E040F1"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Fully Compliant</w:t>
            </w:r>
            <w:r w:rsidR="00A043CB">
              <w:rPr>
                <w:rFonts w:ascii="Arial" w:hAnsi="Arial" w:cs="Arial"/>
                <w:sz w:val="20"/>
                <w:szCs w:val="20"/>
              </w:rPr>
              <w:t xml:space="preserve"> (FC)</w:t>
            </w:r>
          </w:p>
        </w:tc>
      </w:tr>
      <w:tr w:rsidR="004A5293" w:rsidRPr="004A5293" w14:paraId="02ABB59F" w14:textId="77777777" w:rsidTr="004A5293">
        <w:trPr>
          <w:trHeight w:val="263"/>
          <w:jc w:val="center"/>
        </w:trPr>
        <w:tc>
          <w:tcPr>
            <w:tcW w:w="2341" w:type="dxa"/>
          </w:tcPr>
          <w:p w14:paraId="6EC1BE55" w14:textId="5692E6E4"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2.50–3.49</w:t>
            </w:r>
          </w:p>
        </w:tc>
        <w:tc>
          <w:tcPr>
            <w:tcW w:w="3169" w:type="dxa"/>
          </w:tcPr>
          <w:p w14:paraId="19AFA723" w14:textId="6CCB62E3"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Partially Compliant</w:t>
            </w:r>
            <w:r w:rsidR="00A043CB">
              <w:rPr>
                <w:rFonts w:ascii="Arial" w:hAnsi="Arial" w:cs="Arial"/>
                <w:sz w:val="20"/>
                <w:szCs w:val="20"/>
              </w:rPr>
              <w:t xml:space="preserve"> (PC)</w:t>
            </w:r>
          </w:p>
        </w:tc>
      </w:tr>
      <w:tr w:rsidR="004A5293" w:rsidRPr="004A5293" w14:paraId="04E6CEAA" w14:textId="77777777" w:rsidTr="004A5293">
        <w:trPr>
          <w:trHeight w:val="248"/>
          <w:jc w:val="center"/>
        </w:trPr>
        <w:tc>
          <w:tcPr>
            <w:tcW w:w="2341" w:type="dxa"/>
          </w:tcPr>
          <w:p w14:paraId="10634851" w14:textId="520A9848"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1.50–2.49</w:t>
            </w:r>
          </w:p>
        </w:tc>
        <w:tc>
          <w:tcPr>
            <w:tcW w:w="3169" w:type="dxa"/>
          </w:tcPr>
          <w:p w14:paraId="4BD9FDB4" w14:textId="6725FD7B"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Minimally Compliant</w:t>
            </w:r>
            <w:r w:rsidR="00A043CB">
              <w:rPr>
                <w:rFonts w:ascii="Arial" w:hAnsi="Arial" w:cs="Arial"/>
                <w:sz w:val="20"/>
                <w:szCs w:val="20"/>
              </w:rPr>
              <w:t xml:space="preserve"> (MC)</w:t>
            </w:r>
          </w:p>
        </w:tc>
      </w:tr>
      <w:tr w:rsidR="004A5293" w:rsidRPr="004A5293" w14:paraId="45B312A2" w14:textId="77777777" w:rsidTr="004A5293">
        <w:trPr>
          <w:trHeight w:val="248"/>
          <w:jc w:val="center"/>
        </w:trPr>
        <w:tc>
          <w:tcPr>
            <w:tcW w:w="2341" w:type="dxa"/>
            <w:tcBorders>
              <w:bottom w:val="single" w:sz="4" w:space="0" w:color="auto"/>
            </w:tcBorders>
          </w:tcPr>
          <w:p w14:paraId="2593154B" w14:textId="71AF6805"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1.00–1.49</w:t>
            </w:r>
          </w:p>
        </w:tc>
        <w:tc>
          <w:tcPr>
            <w:tcW w:w="3169" w:type="dxa"/>
            <w:tcBorders>
              <w:bottom w:val="single" w:sz="4" w:space="0" w:color="auto"/>
            </w:tcBorders>
          </w:tcPr>
          <w:p w14:paraId="16A4A74E" w14:textId="7AA0DA37"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Not Compliant</w:t>
            </w:r>
            <w:r w:rsidR="00A043CB">
              <w:rPr>
                <w:rFonts w:ascii="Arial" w:hAnsi="Arial" w:cs="Arial"/>
                <w:sz w:val="20"/>
                <w:szCs w:val="20"/>
              </w:rPr>
              <w:t xml:space="preserve"> (NC)</w:t>
            </w:r>
          </w:p>
        </w:tc>
      </w:tr>
    </w:tbl>
    <w:p w14:paraId="32F049BC" w14:textId="77777777" w:rsidR="004A5293" w:rsidRDefault="004A5293" w:rsidP="004A5293">
      <w:pPr>
        <w:pStyle w:val="Body"/>
        <w:spacing w:after="0"/>
        <w:rPr>
          <w:rFonts w:ascii="Arial" w:hAnsi="Arial" w:cs="Arial"/>
        </w:rPr>
      </w:pPr>
    </w:p>
    <w:p w14:paraId="7C783CC7" w14:textId="78D232B5" w:rsidR="00B95236" w:rsidRDefault="004A5293" w:rsidP="004A5293">
      <w:pPr>
        <w:pStyle w:val="Body"/>
        <w:spacing w:after="0"/>
        <w:rPr>
          <w:rFonts w:ascii="Arial" w:hAnsi="Arial" w:cs="Arial"/>
        </w:rPr>
      </w:pPr>
      <w:r w:rsidRPr="004A5293">
        <w:rPr>
          <w:rFonts w:ascii="Arial" w:hAnsi="Arial" w:cs="Arial"/>
        </w:rPr>
        <w:t>These statistical results provided a quantitative basis for identifying gaps and formulating evidence-based recommendations for enhancing the waste management practices of the Automotive Technology Program.</w:t>
      </w:r>
    </w:p>
    <w:p w14:paraId="2BC08C11" w14:textId="77777777" w:rsidR="00790ADA" w:rsidRDefault="00790ADA" w:rsidP="00441B6F">
      <w:pPr>
        <w:pStyle w:val="Body"/>
        <w:spacing w:after="0"/>
        <w:rPr>
          <w:rFonts w:ascii="Arial" w:hAnsi="Arial" w:cs="Arial"/>
        </w:rPr>
      </w:pPr>
    </w:p>
    <w:p w14:paraId="0B9750EB" w14:textId="77777777" w:rsidR="00790ADA" w:rsidRPr="00FB3A86" w:rsidRDefault="00790ADA" w:rsidP="00441B6F">
      <w:pPr>
        <w:pStyle w:val="Body"/>
        <w:spacing w:after="0"/>
        <w:rPr>
          <w:rFonts w:ascii="Arial" w:hAnsi="Arial" w:cs="Arial"/>
        </w:rPr>
      </w:pPr>
    </w:p>
    <w:p w14:paraId="470807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0C530A" w14:textId="77777777" w:rsidR="00790ADA" w:rsidRPr="00FB3A86" w:rsidRDefault="00790ADA" w:rsidP="00441B6F">
      <w:pPr>
        <w:pStyle w:val="Head1"/>
        <w:spacing w:after="0"/>
        <w:jc w:val="both"/>
        <w:rPr>
          <w:rFonts w:ascii="Arial" w:hAnsi="Arial" w:cs="Arial"/>
        </w:rPr>
      </w:pPr>
    </w:p>
    <w:p w14:paraId="0B0F022A" w14:textId="67BF716C" w:rsidR="001267D2" w:rsidRPr="001267D2" w:rsidRDefault="001267D2" w:rsidP="001267D2">
      <w:pPr>
        <w:pStyle w:val="Body"/>
        <w:rPr>
          <w:rFonts w:ascii="Arial" w:hAnsi="Arial" w:cs="Arial"/>
        </w:rPr>
      </w:pPr>
      <w:r w:rsidRPr="001267D2">
        <w:rPr>
          <w:rFonts w:ascii="Arial" w:hAnsi="Arial" w:cs="Arial"/>
        </w:rPr>
        <w:t xml:space="preserve">As shown in Table 1, the level of compliance of the Mariano Marcos State University–College of Industrial Technology (MMSU-CIT) with established waste management procedures exhibits a generally consistent pattern of </w:t>
      </w:r>
      <w:r>
        <w:rPr>
          <w:rFonts w:ascii="Arial" w:hAnsi="Arial" w:cs="Arial"/>
          <w:i/>
          <w:iCs/>
        </w:rPr>
        <w:t>p</w:t>
      </w:r>
      <w:r w:rsidRPr="001267D2">
        <w:rPr>
          <w:rFonts w:ascii="Arial" w:hAnsi="Arial" w:cs="Arial"/>
          <w:i/>
          <w:iCs/>
        </w:rPr>
        <w:t>artial compliance</w:t>
      </w:r>
      <w:r w:rsidRPr="001267D2">
        <w:rPr>
          <w:rFonts w:ascii="Arial" w:hAnsi="Arial" w:cs="Arial"/>
        </w:rPr>
        <w:t xml:space="preserve"> across the evaluated dimensions. The overall weighted mean of 2.95 suggests that while the institution has implemented key waste management initiatives, full conformity with prescribed standards has not yet been achieved. This interpretation is further substantiated by the composite mean values for each criterion, which range from 2.63 to 3.20, indicating a moderate level of adherence to waste management protocols within the Automotive Technology Program.</w:t>
      </w:r>
    </w:p>
    <w:p w14:paraId="7B78AC0A" w14:textId="1417D7DF" w:rsidR="001267D2" w:rsidRDefault="001267D2" w:rsidP="001267D2">
      <w:pPr>
        <w:pStyle w:val="Body"/>
        <w:rPr>
          <w:rFonts w:ascii="Arial" w:hAnsi="Arial" w:cs="Arial"/>
        </w:rPr>
      </w:pPr>
      <w:r w:rsidRPr="001267D2">
        <w:rPr>
          <w:rFonts w:ascii="Arial" w:hAnsi="Arial" w:cs="Arial"/>
        </w:rPr>
        <w:t xml:space="preserve">Specifically, the criterion on proper waste segregation and disposal obtained a mean score of 2.97, corresponding to a </w:t>
      </w:r>
      <w:r w:rsidR="00A043CB">
        <w:rPr>
          <w:rFonts w:ascii="Arial" w:hAnsi="Arial" w:cs="Arial"/>
        </w:rPr>
        <w:t>PC</w:t>
      </w:r>
      <w:r w:rsidRPr="001267D2">
        <w:rPr>
          <w:rFonts w:ascii="Arial" w:hAnsi="Arial" w:cs="Arial"/>
        </w:rPr>
        <w:t xml:space="preserve"> rating. This result implies that, although systematic efforts to segregate waste are evident, certain inconsistencies persist in execution. Such gaps may include inadequate labeling of waste containers, incomplete segregation of hazardous and non-hazardous materials, and irregular monitoring of compliance. These deficiencies could be attributed to insufficient training, limited awareness, or inconsistent enforcement of established waste management policies among faculty members and students. Strengthening awareness programs and institutional monitoring mechanisms may therefore enhance compliance and support the program’s overall commitment to sustainable environmental practices.</w:t>
      </w:r>
    </w:p>
    <w:p w14:paraId="249775FF" w14:textId="7F6B8624" w:rsidR="004777B6" w:rsidRDefault="001267D2" w:rsidP="001267D2">
      <w:pPr>
        <w:pStyle w:val="Body"/>
        <w:rPr>
          <w:rFonts w:ascii="Arial" w:hAnsi="Arial" w:cs="Arial"/>
        </w:rPr>
      </w:pPr>
      <w:r w:rsidRPr="001267D2">
        <w:rPr>
          <w:rFonts w:ascii="Arial" w:hAnsi="Arial" w:cs="Arial"/>
        </w:rPr>
        <w:t xml:space="preserve">From a theoretical standpoint, these findings may also be interpreted through the lens of </w:t>
      </w:r>
      <w:proofErr w:type="spellStart"/>
      <w:r w:rsidRPr="001267D2">
        <w:rPr>
          <w:rFonts w:ascii="Arial" w:hAnsi="Arial" w:cs="Arial"/>
        </w:rPr>
        <w:t>Ghisellini</w:t>
      </w:r>
      <w:proofErr w:type="spellEnd"/>
      <w:r w:rsidRPr="001267D2">
        <w:rPr>
          <w:rFonts w:ascii="Arial" w:hAnsi="Arial" w:cs="Arial"/>
        </w:rPr>
        <w:t xml:space="preserve"> et al. (2016), who advocate for a transition from the linear “take–make–dispose” model toward a circular “take–make–reuse” framework. The partial compliance observed at MMSU-CIT suggests that the institution is currently situated in the transitional phase of this paradigm shift. Therefore, adopting a more holistic approach—integrating curriculum-based environmental education, incentivizing compliance behaviors, and reinforcing institutional accountability—could advance the program’s waste management performance. In this light, partial compliance should not be viewed as a shortcoming but rather as an opportunity for progressive improvement toward achieving full adherence to national laws and international environmental standards.</w:t>
      </w:r>
    </w:p>
    <w:p w14:paraId="48986E94" w14:textId="089CFB9C" w:rsidR="001267D2" w:rsidRPr="001267D2" w:rsidRDefault="001267D2" w:rsidP="001267D2">
      <w:pPr>
        <w:pStyle w:val="Body"/>
        <w:rPr>
          <w:rFonts w:ascii="Arial" w:hAnsi="Arial" w:cs="Arial"/>
          <w:b/>
          <w:bCs/>
        </w:rPr>
      </w:pPr>
      <w:r w:rsidRPr="001267D2">
        <w:rPr>
          <w:rFonts w:ascii="Arial" w:hAnsi="Arial" w:cs="Arial"/>
          <w:b/>
          <w:bCs/>
        </w:rPr>
        <w:t>Table 1. Level of compliance of the automotive technology program.</w:t>
      </w:r>
    </w:p>
    <w:tbl>
      <w:tblPr>
        <w:tblpPr w:leftFromText="180" w:rightFromText="180" w:vertAnchor="text" w:tblpXSpec="center"/>
        <w:tblW w:w="8183" w:type="dxa"/>
        <w:tblLayout w:type="fixed"/>
        <w:tblLook w:val="04A0" w:firstRow="1" w:lastRow="0" w:firstColumn="1" w:lastColumn="0" w:noHBand="0" w:noVBand="1"/>
      </w:tblPr>
      <w:tblGrid>
        <w:gridCol w:w="6354"/>
        <w:gridCol w:w="1080"/>
        <w:gridCol w:w="749"/>
      </w:tblGrid>
      <w:tr w:rsidR="001267D2" w:rsidRPr="001267D2" w14:paraId="71821416" w14:textId="77777777" w:rsidTr="001267D2">
        <w:trPr>
          <w:tblHeader/>
        </w:trPr>
        <w:tc>
          <w:tcPr>
            <w:tcW w:w="6354" w:type="dxa"/>
            <w:tcBorders>
              <w:top w:val="single" w:sz="4" w:space="0" w:color="auto"/>
              <w:bottom w:val="single" w:sz="4" w:space="0" w:color="auto"/>
            </w:tcBorders>
            <w:vAlign w:val="center"/>
          </w:tcPr>
          <w:p w14:paraId="0E23291E" w14:textId="77777777" w:rsidR="001267D2" w:rsidRPr="001267D2" w:rsidRDefault="001267D2" w:rsidP="001267D2">
            <w:pPr>
              <w:jc w:val="center"/>
              <w:rPr>
                <w:rFonts w:ascii="Arial" w:hAnsi="Arial" w:cs="Arial"/>
                <w:b/>
                <w:color w:val="000000"/>
              </w:rPr>
            </w:pPr>
            <w:r w:rsidRPr="001267D2">
              <w:rPr>
                <w:rFonts w:ascii="Arial" w:hAnsi="Arial" w:cs="Arial"/>
                <w:b/>
                <w:color w:val="000000"/>
              </w:rPr>
              <w:t>Statements</w:t>
            </w:r>
          </w:p>
        </w:tc>
        <w:tc>
          <w:tcPr>
            <w:tcW w:w="1080" w:type="dxa"/>
            <w:tcBorders>
              <w:top w:val="single" w:sz="4" w:space="0" w:color="auto"/>
              <w:bottom w:val="single" w:sz="4" w:space="0" w:color="auto"/>
            </w:tcBorders>
            <w:vAlign w:val="center"/>
          </w:tcPr>
          <w:p w14:paraId="75ED0BD5" w14:textId="77777777" w:rsidR="001267D2" w:rsidRPr="001267D2" w:rsidRDefault="001267D2" w:rsidP="001267D2">
            <w:pPr>
              <w:jc w:val="center"/>
              <w:rPr>
                <w:rFonts w:ascii="Arial" w:hAnsi="Arial" w:cs="Arial"/>
                <w:b/>
                <w:color w:val="000000"/>
              </w:rPr>
            </w:pPr>
            <w:r w:rsidRPr="001267D2">
              <w:rPr>
                <w:rFonts w:ascii="Arial" w:hAnsi="Arial" w:cs="Arial"/>
                <w:b/>
                <w:color w:val="000000"/>
              </w:rPr>
              <w:t xml:space="preserve">Mean </w:t>
            </w:r>
          </w:p>
        </w:tc>
        <w:tc>
          <w:tcPr>
            <w:tcW w:w="749" w:type="dxa"/>
            <w:tcBorders>
              <w:top w:val="single" w:sz="4" w:space="0" w:color="auto"/>
              <w:bottom w:val="single" w:sz="4" w:space="0" w:color="auto"/>
            </w:tcBorders>
            <w:vAlign w:val="center"/>
          </w:tcPr>
          <w:p w14:paraId="21EBE377" w14:textId="77777777" w:rsidR="001267D2" w:rsidRPr="001267D2" w:rsidRDefault="001267D2" w:rsidP="001267D2">
            <w:pPr>
              <w:jc w:val="center"/>
              <w:rPr>
                <w:rFonts w:ascii="Arial" w:hAnsi="Arial" w:cs="Arial"/>
                <w:b/>
                <w:color w:val="000000"/>
              </w:rPr>
            </w:pPr>
            <w:r w:rsidRPr="001267D2">
              <w:rPr>
                <w:rFonts w:ascii="Arial" w:hAnsi="Arial" w:cs="Arial"/>
                <w:b/>
                <w:color w:val="000000"/>
              </w:rPr>
              <w:t>DI</w:t>
            </w:r>
          </w:p>
        </w:tc>
      </w:tr>
      <w:tr w:rsidR="001267D2" w:rsidRPr="001267D2" w14:paraId="085FDCFA" w14:textId="77777777" w:rsidTr="004777B6">
        <w:trPr>
          <w:trHeight w:val="6200"/>
        </w:trPr>
        <w:tc>
          <w:tcPr>
            <w:tcW w:w="6354" w:type="dxa"/>
            <w:tcBorders>
              <w:top w:val="single" w:sz="4" w:space="0" w:color="auto"/>
            </w:tcBorders>
          </w:tcPr>
          <w:p w14:paraId="2649714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waste segregation and disposal system is implemented.</w:t>
            </w:r>
          </w:p>
          <w:p w14:paraId="6A8A7565"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 xml:space="preserve">Hazardous waste is stored, handled, and disposed of according to regulations. </w:t>
            </w:r>
          </w:p>
          <w:p w14:paraId="5CC69907"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Recycling and reuse of materials are promoted.</w:t>
            </w:r>
          </w:p>
          <w:p w14:paraId="49E98C9D"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Employees are trained on environmental management practices.</w:t>
            </w:r>
          </w:p>
          <w:p w14:paraId="1FC4528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Regular audits and monitoring of waste management practices are conducted.</w:t>
            </w:r>
          </w:p>
          <w:p w14:paraId="499EE9AC"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local and international environmental regulations is ensured.</w:t>
            </w:r>
          </w:p>
          <w:p w14:paraId="7077432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documentation and record-keeping of waste disposal activities.</w:t>
            </w:r>
          </w:p>
          <w:p w14:paraId="2A57F69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Use of eco-friendly and sustainable materials is encouraged.</w:t>
            </w:r>
          </w:p>
          <w:p w14:paraId="0B9B434B"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Pollution prevention measures are in place.</w:t>
            </w:r>
          </w:p>
          <w:p w14:paraId="5E71383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Emergency response plans for environmental hazards are established.</w:t>
            </w:r>
          </w:p>
          <w:p w14:paraId="388650A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reduction programs are actively implemented.</w:t>
            </w:r>
          </w:p>
          <w:p w14:paraId="13D0D2C3"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Safe handling and disposal of used oils and lubricants are ensured.</w:t>
            </w:r>
          </w:p>
          <w:p w14:paraId="4D32503E"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Disposal methods for automotive batteries comply with regulations.</w:t>
            </w:r>
          </w:p>
          <w:p w14:paraId="1E3D265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disposal and recycling of automotive fluids (coolants, brake fluids) are observed.</w:t>
            </w:r>
          </w:p>
          <w:p w14:paraId="2AF51DA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Environmental impact assessments are conducted before implementing new processes.</w:t>
            </w:r>
          </w:p>
          <w:p w14:paraId="187EF95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air and water pollution control measures is ensured.</w:t>
            </w:r>
          </w:p>
          <w:p w14:paraId="5A30537F"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bins and storage areas are properly labeled and maintained.</w:t>
            </w:r>
          </w:p>
          <w:p w14:paraId="0B0027A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Awareness programs on environmental protection are conducted for employees.</w:t>
            </w:r>
          </w:p>
          <w:p w14:paraId="1FFCDB9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Partnerships with environmental agencies for waste disposal are established.</w:t>
            </w:r>
          </w:p>
          <w:p w14:paraId="42815872"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Continuous improvement plans for waste management are implemented.</w:t>
            </w:r>
          </w:p>
        </w:tc>
        <w:tc>
          <w:tcPr>
            <w:tcW w:w="1080" w:type="dxa"/>
            <w:tcBorders>
              <w:top w:val="single" w:sz="4" w:space="0" w:color="auto"/>
            </w:tcBorders>
          </w:tcPr>
          <w:p w14:paraId="772ADB69" w14:textId="77777777" w:rsidR="001267D2" w:rsidRPr="001267D2" w:rsidRDefault="001267D2" w:rsidP="001267D2">
            <w:pPr>
              <w:jc w:val="right"/>
              <w:rPr>
                <w:rFonts w:ascii="Arial" w:hAnsi="Arial" w:cs="Arial"/>
                <w:color w:val="000000"/>
              </w:rPr>
            </w:pPr>
            <w:r w:rsidRPr="001267D2">
              <w:rPr>
                <w:rFonts w:ascii="Arial" w:hAnsi="Arial" w:cs="Arial"/>
                <w:color w:val="000000"/>
              </w:rPr>
              <w:t>2.97</w:t>
            </w:r>
          </w:p>
          <w:p w14:paraId="42304EB8" w14:textId="77777777" w:rsidR="001267D2" w:rsidRPr="001267D2" w:rsidRDefault="001267D2" w:rsidP="001267D2">
            <w:pPr>
              <w:jc w:val="right"/>
              <w:rPr>
                <w:rFonts w:ascii="Arial" w:hAnsi="Arial" w:cs="Arial"/>
                <w:color w:val="000000"/>
              </w:rPr>
            </w:pPr>
          </w:p>
          <w:p w14:paraId="5248C12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4C2807D5" w14:textId="77777777" w:rsidR="001267D2" w:rsidRPr="001267D2" w:rsidRDefault="001267D2" w:rsidP="001267D2">
            <w:pPr>
              <w:jc w:val="right"/>
              <w:rPr>
                <w:rFonts w:ascii="Arial" w:hAnsi="Arial" w:cs="Arial"/>
                <w:color w:val="000000"/>
              </w:rPr>
            </w:pPr>
            <w:r w:rsidRPr="001267D2">
              <w:rPr>
                <w:rFonts w:ascii="Arial" w:hAnsi="Arial" w:cs="Arial"/>
                <w:color w:val="000000"/>
              </w:rPr>
              <w:t>2.87</w:t>
            </w:r>
          </w:p>
          <w:p w14:paraId="36C1557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31F87CF7" w14:textId="77777777" w:rsidR="001267D2" w:rsidRPr="001267D2" w:rsidRDefault="001267D2" w:rsidP="001267D2">
            <w:pPr>
              <w:jc w:val="right"/>
              <w:rPr>
                <w:rFonts w:ascii="Arial" w:hAnsi="Arial" w:cs="Arial"/>
                <w:color w:val="000000"/>
              </w:rPr>
            </w:pPr>
          </w:p>
          <w:p w14:paraId="24DED53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13A57AE4" w14:textId="77777777" w:rsidR="001267D2" w:rsidRPr="001267D2" w:rsidRDefault="001267D2" w:rsidP="001267D2">
            <w:pPr>
              <w:jc w:val="right"/>
              <w:rPr>
                <w:rFonts w:ascii="Arial" w:hAnsi="Arial" w:cs="Arial"/>
                <w:color w:val="000000"/>
              </w:rPr>
            </w:pPr>
          </w:p>
          <w:p w14:paraId="4E68383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0F42A44D" w14:textId="77777777" w:rsidR="001267D2" w:rsidRPr="001267D2" w:rsidRDefault="001267D2" w:rsidP="001267D2">
            <w:pPr>
              <w:jc w:val="right"/>
              <w:rPr>
                <w:rFonts w:ascii="Arial" w:hAnsi="Arial" w:cs="Arial"/>
                <w:color w:val="000000"/>
              </w:rPr>
            </w:pPr>
          </w:p>
          <w:p w14:paraId="0AA5E888" w14:textId="77777777" w:rsidR="001267D2" w:rsidRPr="001267D2" w:rsidRDefault="001267D2" w:rsidP="001267D2">
            <w:pPr>
              <w:jc w:val="right"/>
              <w:rPr>
                <w:rFonts w:ascii="Arial" w:hAnsi="Arial" w:cs="Arial"/>
                <w:color w:val="000000"/>
              </w:rPr>
            </w:pPr>
            <w:r w:rsidRPr="001267D2">
              <w:rPr>
                <w:rFonts w:ascii="Arial" w:hAnsi="Arial" w:cs="Arial"/>
                <w:color w:val="000000"/>
              </w:rPr>
              <w:t>2.63</w:t>
            </w:r>
          </w:p>
          <w:p w14:paraId="19D6529F"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4E2C4D7E" w14:textId="77777777" w:rsidR="001267D2" w:rsidRPr="001267D2" w:rsidRDefault="001267D2" w:rsidP="001267D2">
            <w:pPr>
              <w:jc w:val="right"/>
              <w:rPr>
                <w:rFonts w:ascii="Arial" w:hAnsi="Arial" w:cs="Arial"/>
                <w:color w:val="000000"/>
              </w:rPr>
            </w:pPr>
            <w:r w:rsidRPr="001267D2">
              <w:rPr>
                <w:rFonts w:ascii="Arial" w:hAnsi="Arial" w:cs="Arial"/>
                <w:color w:val="000000"/>
              </w:rPr>
              <w:t>2.90</w:t>
            </w:r>
          </w:p>
          <w:p w14:paraId="14A5A94D" w14:textId="77777777" w:rsidR="001267D2" w:rsidRPr="001267D2" w:rsidRDefault="001267D2" w:rsidP="001267D2">
            <w:pPr>
              <w:jc w:val="right"/>
              <w:rPr>
                <w:rFonts w:ascii="Arial" w:hAnsi="Arial" w:cs="Arial"/>
                <w:color w:val="000000"/>
              </w:rPr>
            </w:pPr>
          </w:p>
          <w:p w14:paraId="325CB03D"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28E1CFA8" w14:textId="77777777" w:rsidR="001267D2" w:rsidRPr="001267D2" w:rsidRDefault="001267D2" w:rsidP="001267D2">
            <w:pPr>
              <w:jc w:val="right"/>
              <w:rPr>
                <w:rFonts w:ascii="Arial" w:hAnsi="Arial" w:cs="Arial"/>
                <w:color w:val="000000"/>
              </w:rPr>
            </w:pPr>
            <w:r w:rsidRPr="001267D2">
              <w:rPr>
                <w:rFonts w:ascii="Arial" w:hAnsi="Arial" w:cs="Arial"/>
                <w:color w:val="000000"/>
              </w:rPr>
              <w:t>3.17</w:t>
            </w:r>
          </w:p>
          <w:p w14:paraId="1328A3CD" w14:textId="77777777" w:rsidR="001267D2" w:rsidRDefault="001267D2" w:rsidP="001267D2">
            <w:pPr>
              <w:jc w:val="right"/>
              <w:rPr>
                <w:rFonts w:ascii="Arial" w:hAnsi="Arial" w:cs="Arial"/>
                <w:color w:val="000000"/>
              </w:rPr>
            </w:pPr>
          </w:p>
          <w:p w14:paraId="79E81C0C" w14:textId="009FF28C" w:rsidR="001267D2" w:rsidRPr="001267D2" w:rsidRDefault="001267D2" w:rsidP="001267D2">
            <w:pPr>
              <w:jc w:val="right"/>
              <w:rPr>
                <w:rFonts w:ascii="Arial" w:hAnsi="Arial" w:cs="Arial"/>
                <w:color w:val="000000"/>
              </w:rPr>
            </w:pPr>
            <w:r w:rsidRPr="001267D2">
              <w:rPr>
                <w:rFonts w:ascii="Arial" w:hAnsi="Arial" w:cs="Arial"/>
                <w:color w:val="000000"/>
              </w:rPr>
              <w:t>3.20</w:t>
            </w:r>
          </w:p>
          <w:p w14:paraId="74DC7C94" w14:textId="77777777" w:rsidR="001267D2" w:rsidRDefault="001267D2" w:rsidP="001267D2">
            <w:pPr>
              <w:jc w:val="right"/>
              <w:rPr>
                <w:rFonts w:ascii="Arial" w:hAnsi="Arial" w:cs="Arial"/>
                <w:color w:val="000000"/>
              </w:rPr>
            </w:pPr>
          </w:p>
          <w:p w14:paraId="5888E527" w14:textId="7E329073" w:rsidR="001267D2" w:rsidRPr="001267D2" w:rsidRDefault="001267D2" w:rsidP="001267D2">
            <w:pPr>
              <w:jc w:val="right"/>
              <w:rPr>
                <w:rFonts w:ascii="Arial" w:hAnsi="Arial" w:cs="Arial"/>
                <w:color w:val="000000"/>
              </w:rPr>
            </w:pPr>
            <w:r w:rsidRPr="001267D2">
              <w:rPr>
                <w:rFonts w:ascii="Arial" w:hAnsi="Arial" w:cs="Arial"/>
                <w:color w:val="000000"/>
              </w:rPr>
              <w:t>3.00</w:t>
            </w:r>
          </w:p>
          <w:p w14:paraId="16CBFF7C" w14:textId="77777777" w:rsidR="001267D2" w:rsidRPr="001267D2" w:rsidRDefault="001267D2" w:rsidP="001267D2">
            <w:pPr>
              <w:jc w:val="right"/>
              <w:rPr>
                <w:rFonts w:ascii="Arial" w:hAnsi="Arial" w:cs="Arial"/>
                <w:color w:val="000000"/>
              </w:rPr>
            </w:pPr>
          </w:p>
          <w:p w14:paraId="2B14E442"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5B8571E5" w14:textId="77777777" w:rsidR="001267D2" w:rsidRPr="001267D2" w:rsidRDefault="001267D2" w:rsidP="001267D2">
            <w:pPr>
              <w:jc w:val="right"/>
              <w:rPr>
                <w:rFonts w:ascii="Arial" w:hAnsi="Arial" w:cs="Arial"/>
                <w:color w:val="000000"/>
              </w:rPr>
            </w:pPr>
          </w:p>
          <w:p w14:paraId="296F47B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D1E218D" w14:textId="77777777" w:rsidR="001267D2" w:rsidRPr="001267D2" w:rsidRDefault="001267D2" w:rsidP="001267D2">
            <w:pPr>
              <w:jc w:val="right"/>
              <w:rPr>
                <w:rFonts w:ascii="Arial" w:hAnsi="Arial" w:cs="Arial"/>
                <w:color w:val="000000"/>
              </w:rPr>
            </w:pPr>
          </w:p>
          <w:p w14:paraId="77F9E64D"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7644348" w14:textId="77777777" w:rsidR="001267D2" w:rsidRDefault="001267D2" w:rsidP="001267D2">
            <w:pPr>
              <w:jc w:val="right"/>
              <w:rPr>
                <w:rFonts w:ascii="Arial" w:hAnsi="Arial" w:cs="Arial"/>
                <w:color w:val="000000"/>
              </w:rPr>
            </w:pPr>
          </w:p>
          <w:p w14:paraId="49050E22" w14:textId="611CC2A6" w:rsidR="001267D2" w:rsidRPr="001267D2" w:rsidRDefault="001267D2" w:rsidP="001267D2">
            <w:pPr>
              <w:jc w:val="right"/>
              <w:rPr>
                <w:rFonts w:ascii="Arial" w:hAnsi="Arial" w:cs="Arial"/>
                <w:color w:val="000000"/>
              </w:rPr>
            </w:pPr>
            <w:r w:rsidRPr="001267D2">
              <w:rPr>
                <w:rFonts w:ascii="Arial" w:hAnsi="Arial" w:cs="Arial"/>
                <w:color w:val="000000"/>
              </w:rPr>
              <w:t>2.80</w:t>
            </w:r>
          </w:p>
          <w:p w14:paraId="61FC196C" w14:textId="77777777" w:rsidR="001267D2" w:rsidRPr="001267D2" w:rsidRDefault="001267D2" w:rsidP="001267D2">
            <w:pPr>
              <w:jc w:val="right"/>
              <w:rPr>
                <w:rFonts w:ascii="Arial" w:hAnsi="Arial" w:cs="Arial"/>
                <w:color w:val="000000"/>
              </w:rPr>
            </w:pPr>
          </w:p>
          <w:p w14:paraId="1F6833BB" w14:textId="77777777" w:rsidR="001267D2" w:rsidRPr="001267D2" w:rsidRDefault="001267D2" w:rsidP="001267D2">
            <w:pPr>
              <w:jc w:val="right"/>
              <w:rPr>
                <w:rFonts w:ascii="Arial" w:hAnsi="Arial" w:cs="Arial"/>
                <w:color w:val="000000"/>
              </w:rPr>
            </w:pPr>
            <w:r w:rsidRPr="001267D2">
              <w:rPr>
                <w:rFonts w:ascii="Arial" w:hAnsi="Arial" w:cs="Arial"/>
                <w:color w:val="000000"/>
              </w:rPr>
              <w:t>3.10</w:t>
            </w:r>
          </w:p>
          <w:p w14:paraId="7B954B32" w14:textId="77777777" w:rsidR="001267D2" w:rsidRPr="001267D2" w:rsidRDefault="001267D2" w:rsidP="001267D2">
            <w:pPr>
              <w:jc w:val="right"/>
              <w:rPr>
                <w:rFonts w:ascii="Arial" w:hAnsi="Arial" w:cs="Arial"/>
                <w:color w:val="000000"/>
              </w:rPr>
            </w:pPr>
          </w:p>
          <w:p w14:paraId="2972BB32"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318434B9" w14:textId="77777777" w:rsidR="001267D2" w:rsidRPr="001267D2" w:rsidRDefault="001267D2" w:rsidP="001267D2">
            <w:pPr>
              <w:jc w:val="right"/>
              <w:rPr>
                <w:rFonts w:ascii="Arial" w:hAnsi="Arial" w:cs="Arial"/>
                <w:color w:val="000000"/>
              </w:rPr>
            </w:pPr>
          </w:p>
          <w:p w14:paraId="37E7629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tc>
        <w:tc>
          <w:tcPr>
            <w:tcW w:w="749" w:type="dxa"/>
            <w:tcBorders>
              <w:top w:val="single" w:sz="4" w:space="0" w:color="auto"/>
            </w:tcBorders>
          </w:tcPr>
          <w:p w14:paraId="42BE1C56" w14:textId="77777777" w:rsidR="001267D2" w:rsidRPr="001267D2" w:rsidRDefault="001267D2" w:rsidP="001267D2">
            <w:pPr>
              <w:jc w:val="right"/>
              <w:rPr>
                <w:rFonts w:ascii="Arial" w:hAnsi="Arial" w:cs="Arial"/>
                <w:bCs/>
                <w:color w:val="000000"/>
              </w:rPr>
            </w:pPr>
            <w:r w:rsidRPr="001267D2">
              <w:rPr>
                <w:rFonts w:ascii="Arial" w:hAnsi="Arial" w:cs="Arial"/>
                <w:bCs/>
                <w:color w:val="000000"/>
              </w:rPr>
              <w:t>PC</w:t>
            </w:r>
          </w:p>
          <w:p w14:paraId="1251F526" w14:textId="77777777" w:rsidR="001267D2" w:rsidRPr="001267D2" w:rsidRDefault="001267D2" w:rsidP="001267D2">
            <w:pPr>
              <w:jc w:val="right"/>
              <w:rPr>
                <w:rFonts w:ascii="Arial" w:hAnsi="Arial" w:cs="Arial"/>
                <w:bCs/>
                <w:color w:val="000000"/>
              </w:rPr>
            </w:pPr>
          </w:p>
          <w:p w14:paraId="6D36677A"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7C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1CE"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A483DFE" w14:textId="77777777" w:rsidR="001267D2" w:rsidRPr="001267D2" w:rsidRDefault="001267D2" w:rsidP="001267D2">
            <w:pPr>
              <w:jc w:val="right"/>
              <w:rPr>
                <w:rFonts w:ascii="Arial" w:hAnsi="Arial" w:cs="Arial"/>
                <w:color w:val="000000"/>
              </w:rPr>
            </w:pPr>
          </w:p>
          <w:p w14:paraId="207F112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C25492" w14:textId="77777777" w:rsidR="001267D2" w:rsidRPr="001267D2" w:rsidRDefault="001267D2" w:rsidP="001267D2">
            <w:pPr>
              <w:jc w:val="right"/>
              <w:rPr>
                <w:rFonts w:ascii="Arial" w:hAnsi="Arial" w:cs="Arial"/>
                <w:color w:val="000000"/>
              </w:rPr>
            </w:pPr>
          </w:p>
          <w:p w14:paraId="4B33367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6BE1DE6" w14:textId="77777777" w:rsidR="001267D2" w:rsidRPr="001267D2" w:rsidRDefault="001267D2" w:rsidP="001267D2">
            <w:pPr>
              <w:jc w:val="right"/>
              <w:rPr>
                <w:rFonts w:ascii="Arial" w:hAnsi="Arial" w:cs="Arial"/>
                <w:color w:val="000000"/>
              </w:rPr>
            </w:pPr>
          </w:p>
          <w:p w14:paraId="468DB4C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5D274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21B8F210"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F2B21C9" w14:textId="77777777" w:rsidR="001267D2" w:rsidRPr="001267D2" w:rsidRDefault="001267D2" w:rsidP="001267D2">
            <w:pPr>
              <w:jc w:val="right"/>
              <w:rPr>
                <w:rFonts w:ascii="Arial" w:hAnsi="Arial" w:cs="Arial"/>
                <w:color w:val="000000"/>
              </w:rPr>
            </w:pPr>
          </w:p>
          <w:p w14:paraId="44BBEAE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8301D7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176AFB2C" w14:textId="77777777" w:rsidR="001267D2" w:rsidRDefault="001267D2" w:rsidP="001267D2">
            <w:pPr>
              <w:jc w:val="right"/>
              <w:rPr>
                <w:rFonts w:ascii="Arial" w:hAnsi="Arial" w:cs="Arial"/>
                <w:color w:val="000000"/>
                <w:lang w:val="en-PH"/>
              </w:rPr>
            </w:pPr>
          </w:p>
          <w:p w14:paraId="68E79E92" w14:textId="1920B922" w:rsidR="001267D2" w:rsidRPr="001267D2" w:rsidRDefault="001267D2" w:rsidP="001267D2">
            <w:pPr>
              <w:jc w:val="right"/>
              <w:rPr>
                <w:rFonts w:ascii="Arial" w:hAnsi="Arial" w:cs="Arial"/>
                <w:color w:val="000000"/>
              </w:rPr>
            </w:pPr>
            <w:r w:rsidRPr="001267D2">
              <w:rPr>
                <w:rFonts w:ascii="Arial" w:hAnsi="Arial" w:cs="Arial"/>
                <w:color w:val="000000"/>
                <w:lang w:val="en-PH"/>
              </w:rPr>
              <w:t>PC</w:t>
            </w:r>
          </w:p>
          <w:p w14:paraId="3C17336D" w14:textId="77777777" w:rsidR="001267D2" w:rsidRDefault="001267D2" w:rsidP="001267D2">
            <w:pPr>
              <w:jc w:val="right"/>
              <w:rPr>
                <w:rFonts w:ascii="Arial" w:hAnsi="Arial" w:cs="Arial"/>
                <w:color w:val="000000"/>
              </w:rPr>
            </w:pPr>
          </w:p>
          <w:p w14:paraId="18BB2B5F" w14:textId="49A43878" w:rsidR="001267D2" w:rsidRPr="001267D2" w:rsidRDefault="001267D2" w:rsidP="001267D2">
            <w:pPr>
              <w:jc w:val="right"/>
              <w:rPr>
                <w:rFonts w:ascii="Arial" w:hAnsi="Arial" w:cs="Arial"/>
                <w:color w:val="000000"/>
              </w:rPr>
            </w:pPr>
            <w:r w:rsidRPr="001267D2">
              <w:rPr>
                <w:rFonts w:ascii="Arial" w:hAnsi="Arial" w:cs="Arial"/>
                <w:color w:val="000000"/>
              </w:rPr>
              <w:t>PC</w:t>
            </w:r>
          </w:p>
          <w:p w14:paraId="5F7B974E" w14:textId="77777777" w:rsidR="001267D2" w:rsidRPr="001267D2" w:rsidRDefault="001267D2" w:rsidP="001267D2">
            <w:pPr>
              <w:jc w:val="right"/>
              <w:rPr>
                <w:rFonts w:ascii="Arial" w:hAnsi="Arial" w:cs="Arial"/>
                <w:color w:val="000000"/>
              </w:rPr>
            </w:pPr>
          </w:p>
          <w:p w14:paraId="2368633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6B38461" w14:textId="77777777" w:rsidR="001267D2" w:rsidRPr="001267D2" w:rsidRDefault="001267D2" w:rsidP="001267D2">
            <w:pPr>
              <w:jc w:val="right"/>
              <w:rPr>
                <w:rFonts w:ascii="Arial" w:hAnsi="Arial" w:cs="Arial"/>
                <w:color w:val="000000"/>
              </w:rPr>
            </w:pPr>
          </w:p>
          <w:p w14:paraId="5FEA750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0993848" w14:textId="77777777" w:rsidR="001267D2" w:rsidRPr="001267D2" w:rsidRDefault="001267D2" w:rsidP="001267D2">
            <w:pPr>
              <w:jc w:val="right"/>
              <w:rPr>
                <w:rFonts w:ascii="Arial" w:hAnsi="Arial" w:cs="Arial"/>
                <w:color w:val="000000"/>
              </w:rPr>
            </w:pPr>
          </w:p>
          <w:p w14:paraId="511103B6"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622B5CD6" w14:textId="77777777" w:rsidR="001267D2" w:rsidRDefault="001267D2" w:rsidP="001267D2">
            <w:pPr>
              <w:jc w:val="right"/>
              <w:rPr>
                <w:rFonts w:ascii="Arial" w:hAnsi="Arial" w:cs="Arial"/>
                <w:color w:val="000000"/>
              </w:rPr>
            </w:pPr>
          </w:p>
          <w:p w14:paraId="14C849FE" w14:textId="4C75E6FD" w:rsidR="001267D2" w:rsidRPr="001267D2" w:rsidRDefault="001267D2" w:rsidP="001267D2">
            <w:pPr>
              <w:jc w:val="right"/>
              <w:rPr>
                <w:rFonts w:ascii="Arial" w:hAnsi="Arial" w:cs="Arial"/>
                <w:color w:val="000000"/>
              </w:rPr>
            </w:pPr>
            <w:r w:rsidRPr="001267D2">
              <w:rPr>
                <w:rFonts w:ascii="Arial" w:hAnsi="Arial" w:cs="Arial"/>
                <w:color w:val="000000"/>
              </w:rPr>
              <w:t>PC</w:t>
            </w:r>
          </w:p>
          <w:p w14:paraId="62CB45D3" w14:textId="77777777" w:rsidR="001267D2" w:rsidRPr="001267D2" w:rsidRDefault="001267D2" w:rsidP="001267D2">
            <w:pPr>
              <w:jc w:val="right"/>
              <w:rPr>
                <w:rFonts w:ascii="Arial" w:hAnsi="Arial" w:cs="Arial"/>
                <w:color w:val="000000"/>
              </w:rPr>
            </w:pPr>
          </w:p>
          <w:p w14:paraId="2B42A47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36AC49E4" w14:textId="77777777" w:rsidR="001267D2" w:rsidRPr="001267D2" w:rsidRDefault="001267D2" w:rsidP="001267D2">
            <w:pPr>
              <w:jc w:val="right"/>
              <w:rPr>
                <w:rFonts w:ascii="Arial" w:hAnsi="Arial" w:cs="Arial"/>
                <w:color w:val="000000"/>
              </w:rPr>
            </w:pPr>
          </w:p>
          <w:p w14:paraId="0A9B6F7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80F2410" w14:textId="77777777" w:rsidR="001267D2" w:rsidRPr="001267D2" w:rsidRDefault="001267D2" w:rsidP="001267D2">
            <w:pPr>
              <w:jc w:val="right"/>
              <w:rPr>
                <w:rFonts w:ascii="Arial" w:hAnsi="Arial" w:cs="Arial"/>
                <w:color w:val="000000"/>
              </w:rPr>
            </w:pPr>
          </w:p>
          <w:p w14:paraId="47E71D67"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tc>
      </w:tr>
      <w:tr w:rsidR="001267D2" w:rsidRPr="001267D2" w14:paraId="513FD259" w14:textId="77777777" w:rsidTr="004777B6">
        <w:trPr>
          <w:trHeight w:val="310"/>
        </w:trPr>
        <w:tc>
          <w:tcPr>
            <w:tcW w:w="6354" w:type="dxa"/>
            <w:tcBorders>
              <w:left w:val="single" w:sz="4" w:space="0" w:color="auto"/>
              <w:bottom w:val="single" w:sz="4" w:space="0" w:color="auto"/>
            </w:tcBorders>
            <w:vAlign w:val="bottom"/>
          </w:tcPr>
          <w:p w14:paraId="60AD0D27" w14:textId="77777777" w:rsidR="001267D2" w:rsidRPr="001267D2" w:rsidRDefault="001267D2" w:rsidP="001267D2">
            <w:pPr>
              <w:ind w:left="701"/>
              <w:jc w:val="right"/>
              <w:rPr>
                <w:rFonts w:ascii="Arial" w:hAnsi="Arial" w:cs="Arial"/>
                <w:b/>
                <w:color w:val="000000"/>
              </w:rPr>
            </w:pPr>
            <w:r w:rsidRPr="001267D2">
              <w:rPr>
                <w:rFonts w:ascii="Arial" w:hAnsi="Arial" w:cs="Arial"/>
                <w:b/>
                <w:color w:val="000000"/>
              </w:rPr>
              <w:t xml:space="preserve">Overall Mean  </w:t>
            </w:r>
          </w:p>
        </w:tc>
        <w:tc>
          <w:tcPr>
            <w:tcW w:w="1080" w:type="dxa"/>
            <w:tcBorders>
              <w:bottom w:val="single" w:sz="4" w:space="0" w:color="auto"/>
            </w:tcBorders>
            <w:vAlign w:val="bottom"/>
          </w:tcPr>
          <w:p w14:paraId="69DE830F" w14:textId="77777777" w:rsidR="001267D2" w:rsidRPr="001267D2" w:rsidRDefault="001267D2" w:rsidP="001267D2">
            <w:pPr>
              <w:jc w:val="right"/>
              <w:rPr>
                <w:rFonts w:ascii="Arial" w:hAnsi="Arial" w:cs="Arial"/>
                <w:b/>
                <w:color w:val="000000"/>
              </w:rPr>
            </w:pPr>
            <w:r w:rsidRPr="001267D2">
              <w:rPr>
                <w:rFonts w:ascii="Arial" w:hAnsi="Arial" w:cs="Arial"/>
                <w:b/>
                <w:color w:val="000000"/>
              </w:rPr>
              <w:t>2.95</w:t>
            </w:r>
          </w:p>
        </w:tc>
        <w:tc>
          <w:tcPr>
            <w:tcW w:w="749" w:type="dxa"/>
            <w:tcBorders>
              <w:bottom w:val="single" w:sz="4" w:space="0" w:color="auto"/>
            </w:tcBorders>
            <w:vAlign w:val="bottom"/>
          </w:tcPr>
          <w:p w14:paraId="1856B3E3" w14:textId="77777777" w:rsidR="001267D2" w:rsidRPr="001267D2" w:rsidRDefault="001267D2" w:rsidP="001267D2">
            <w:pPr>
              <w:jc w:val="right"/>
              <w:rPr>
                <w:rFonts w:ascii="Arial" w:hAnsi="Arial" w:cs="Arial"/>
                <w:b/>
                <w:color w:val="000000"/>
              </w:rPr>
            </w:pPr>
            <w:r w:rsidRPr="001267D2">
              <w:rPr>
                <w:rFonts w:ascii="Arial" w:hAnsi="Arial" w:cs="Arial"/>
                <w:b/>
                <w:color w:val="000000"/>
              </w:rPr>
              <w:t>PC</w:t>
            </w:r>
          </w:p>
        </w:tc>
      </w:tr>
    </w:tbl>
    <w:p w14:paraId="6054A06D" w14:textId="77777777" w:rsidR="001267D2" w:rsidRDefault="001267D2" w:rsidP="001267D2">
      <w:pPr>
        <w:pStyle w:val="Body"/>
        <w:spacing w:after="0"/>
        <w:rPr>
          <w:rFonts w:ascii="Arial" w:hAnsi="Arial" w:cs="Arial"/>
        </w:rPr>
      </w:pPr>
    </w:p>
    <w:p w14:paraId="2FABDC69" w14:textId="07484007" w:rsidR="001C4CA6" w:rsidRPr="001C4CA6" w:rsidRDefault="001C4CA6" w:rsidP="001C4CA6">
      <w:pPr>
        <w:pStyle w:val="Body"/>
        <w:rPr>
          <w:rFonts w:ascii="Arial" w:hAnsi="Arial" w:cs="Arial"/>
        </w:rPr>
      </w:pPr>
      <w:r w:rsidRPr="001C4CA6">
        <w:rPr>
          <w:rFonts w:ascii="Arial" w:hAnsi="Arial" w:cs="Arial"/>
          <w:b/>
          <w:bCs/>
        </w:rPr>
        <w:t>The handling and disposal of hazardous waste</w:t>
      </w:r>
      <w:r w:rsidRPr="001C4CA6">
        <w:rPr>
          <w:rFonts w:ascii="Arial" w:hAnsi="Arial" w:cs="Arial"/>
        </w:rPr>
        <w:t xml:space="preserve">, including used oils and automotive fluids, was rated as </w:t>
      </w:r>
      <w:r w:rsidR="00A043CB">
        <w:rPr>
          <w:rFonts w:ascii="Arial" w:hAnsi="Arial" w:cs="Arial"/>
        </w:rPr>
        <w:t>PC</w:t>
      </w:r>
      <w:r w:rsidRPr="001C4CA6">
        <w:rPr>
          <w:rFonts w:ascii="Arial" w:hAnsi="Arial" w:cs="Arial"/>
        </w:rPr>
        <w:t xml:space="preserve"> with a mean score of 2.93. This result indicates that although established procedures for managing hazardous materials exist, they may not be fully aligned with industry benchmarks or environmental regulations. The challenges identified may stem from the absence of standardized protocols or the insufficient monitoring of hazardous waste disposal processes. Therefore, reinforcing oversight mechanisms and establishing clearer operational guidelines are essential to ensuring adherence to regulatory standards.</w:t>
      </w:r>
    </w:p>
    <w:p w14:paraId="35496451" w14:textId="13016F44" w:rsidR="001C4CA6" w:rsidRPr="001C4CA6" w:rsidRDefault="001C4CA6" w:rsidP="001C4CA6">
      <w:pPr>
        <w:pStyle w:val="Body"/>
        <w:rPr>
          <w:rFonts w:ascii="Arial" w:hAnsi="Arial" w:cs="Arial"/>
        </w:rPr>
      </w:pPr>
      <w:r w:rsidRPr="001C4CA6">
        <w:rPr>
          <w:rFonts w:ascii="Arial" w:hAnsi="Arial" w:cs="Arial"/>
          <w:b/>
          <w:bCs/>
        </w:rPr>
        <w:t>The practice of promoting recycling and reuse of materials</w:t>
      </w:r>
      <w:r w:rsidRPr="001C4CA6">
        <w:rPr>
          <w:rFonts w:ascii="Arial" w:hAnsi="Arial" w:cs="Arial"/>
        </w:rPr>
        <w:t xml:space="preserve"> obtained a mean score of 2.87, likewise interpreted as </w:t>
      </w:r>
      <w:r w:rsidR="00A043CB">
        <w:rPr>
          <w:rFonts w:ascii="Arial" w:hAnsi="Arial" w:cs="Arial"/>
        </w:rPr>
        <w:t>PC</w:t>
      </w:r>
      <w:r w:rsidRPr="001C4CA6">
        <w:rPr>
          <w:rFonts w:ascii="Arial" w:hAnsi="Arial" w:cs="Arial"/>
        </w:rPr>
        <w:t>. Despite ongoing initiatives to recycle and repurpose materials such as vehicle parts and plastics, the data suggest that implementation remains fragmented and lacks systematic coordination. For example, while certain components, like discarded car seats, are repurposed into office furniture, other recyclable materials are not consistently recovered or managed efficiently. This highlights the need for a more structured and institutionalized recycling framework to enhance waste diversion and resource efficiency.</w:t>
      </w:r>
    </w:p>
    <w:p w14:paraId="48F31D79" w14:textId="623BF8B9" w:rsidR="001C4CA6" w:rsidRPr="001C4CA6" w:rsidRDefault="001C4CA6" w:rsidP="001C4CA6">
      <w:pPr>
        <w:pStyle w:val="Body"/>
        <w:rPr>
          <w:rFonts w:ascii="Arial" w:hAnsi="Arial" w:cs="Arial"/>
        </w:rPr>
      </w:pPr>
      <w:r w:rsidRPr="001C4CA6">
        <w:rPr>
          <w:rFonts w:ascii="Arial" w:hAnsi="Arial" w:cs="Arial"/>
          <w:b/>
          <w:bCs/>
        </w:rPr>
        <w:t>The</w:t>
      </w:r>
      <w:r w:rsidRPr="001C4CA6">
        <w:rPr>
          <w:rFonts w:ascii="Arial" w:hAnsi="Arial" w:cs="Arial"/>
        </w:rPr>
        <w:t xml:space="preserve"> </w:t>
      </w:r>
      <w:r w:rsidRPr="001C4CA6">
        <w:rPr>
          <w:rFonts w:ascii="Arial" w:hAnsi="Arial" w:cs="Arial"/>
          <w:b/>
          <w:bCs/>
        </w:rPr>
        <w:t>provision of employee training in environmental management practices</w:t>
      </w:r>
      <w:r w:rsidRPr="001C4CA6">
        <w:rPr>
          <w:rFonts w:ascii="Arial" w:hAnsi="Arial" w:cs="Arial"/>
        </w:rPr>
        <w:t xml:space="preserve"> achieved a slightly higher mean score of 3.00, signifying that training activities are being conducted but may lack depth or regularity. Consistent and comprehensive training is crucial in cultivating a culture of compliance and sustainability. Therefore, integrating enhanced environmental management modules into employee development programs and academic curricula can improve awareness, strengthen behavioral commitment, and promote long-term adherence to sustainable practices.</w:t>
      </w:r>
    </w:p>
    <w:p w14:paraId="733BCBD3" w14:textId="2AAAD4D5" w:rsidR="001C4CA6" w:rsidRPr="001C4CA6" w:rsidRDefault="001C4CA6" w:rsidP="001C4CA6">
      <w:pPr>
        <w:pStyle w:val="Body"/>
        <w:rPr>
          <w:rFonts w:ascii="Arial" w:hAnsi="Arial" w:cs="Arial"/>
        </w:rPr>
      </w:pPr>
      <w:r w:rsidRPr="001C4CA6">
        <w:rPr>
          <w:rFonts w:ascii="Arial" w:hAnsi="Arial" w:cs="Arial"/>
          <w:b/>
          <w:bCs/>
        </w:rPr>
        <w:t>The practice of conducting regular audits and monitoring waste management performance</w:t>
      </w:r>
      <w:r w:rsidRPr="001C4CA6">
        <w:rPr>
          <w:rFonts w:ascii="Arial" w:hAnsi="Arial" w:cs="Arial"/>
        </w:rPr>
        <w:t xml:space="preserve"> received a mean score of 2.83, reflecting partial compliance. This suggests that evaluations are conducted intermittently but may not be frequent or systematic enough to identify deficiencies and implement corrective actions. Moreover, documentation and record-keeping of waste disposal activities, with a mean score of 2.63, emerged as the lowest-rated indicator. This points to a significant gap in maintaining accurate and consistent records of waste generation, segregation, and recycling—a critical aspect of compliance verification and performance tracking. Enhancing documentation systems through digital monitoring tools and standardized reporting formats could substantially improve institutional accountability.</w:t>
      </w:r>
    </w:p>
    <w:p w14:paraId="2B94A44F" w14:textId="3912EE99" w:rsidR="001C4CA6" w:rsidRPr="001C4CA6" w:rsidRDefault="001C4CA6" w:rsidP="001C4CA6">
      <w:pPr>
        <w:pStyle w:val="Body"/>
        <w:rPr>
          <w:rFonts w:ascii="Arial" w:hAnsi="Arial" w:cs="Arial"/>
        </w:rPr>
      </w:pPr>
      <w:r w:rsidRPr="001C4CA6">
        <w:rPr>
          <w:rFonts w:ascii="Arial" w:hAnsi="Arial" w:cs="Arial"/>
          <w:b/>
          <w:bCs/>
        </w:rPr>
        <w:t xml:space="preserve">The promotion of eco-friendly and sustainable materials </w:t>
      </w:r>
      <w:r w:rsidRPr="001C4CA6">
        <w:rPr>
          <w:rFonts w:ascii="Arial" w:hAnsi="Arial" w:cs="Arial"/>
        </w:rPr>
        <w:t>was rated with a mean score of 3.07, indicating moderate progress toward sustainability goals. Similarly, pollution prevention measures, including emission control and containment of pollutants, obtained a mean score of 2.90, reflecting active but limited implementation. Strengthening the framework for sustainable material procurement and pollution reduction can further enhance the program’s environmental performance. These findings align with ISO 14001:2015, which emphasizes pollution prevention and life-cycle thinking as key principles of effective environmental management.</w:t>
      </w:r>
    </w:p>
    <w:p w14:paraId="698D0725" w14:textId="7286836D" w:rsidR="001C4CA6" w:rsidRPr="001C4CA6" w:rsidRDefault="001C4CA6" w:rsidP="001C4CA6">
      <w:pPr>
        <w:pStyle w:val="Body"/>
        <w:rPr>
          <w:rFonts w:ascii="Arial" w:hAnsi="Arial" w:cs="Arial"/>
        </w:rPr>
      </w:pPr>
      <w:r w:rsidRPr="001C4CA6">
        <w:rPr>
          <w:rFonts w:ascii="Arial" w:hAnsi="Arial" w:cs="Arial"/>
          <w:b/>
          <w:bCs/>
        </w:rPr>
        <w:t xml:space="preserve">The implementation of waste reduction programs </w:t>
      </w:r>
      <w:r w:rsidRPr="001C4CA6">
        <w:rPr>
          <w:rFonts w:ascii="Arial" w:hAnsi="Arial" w:cs="Arial"/>
        </w:rPr>
        <w:t>achieved the highest mean score of 3.17, suggesting that waste minimization measures are being actively pursued. However, continuous improvement plans for waste management, rated 3.00, indicate that while improvement strategies exist, they may not be regularly updated or comprehensively executed. Establishing a cyclical process of monitoring, review, and enhancement is necessary to maintain progress and sustain compliance.</w:t>
      </w:r>
    </w:p>
    <w:p w14:paraId="66500D42" w14:textId="403C1CDB" w:rsidR="001C4CA6" w:rsidRPr="001C4CA6" w:rsidRDefault="001C4CA6" w:rsidP="001C4CA6">
      <w:pPr>
        <w:pStyle w:val="Body"/>
        <w:rPr>
          <w:rFonts w:ascii="Arial" w:hAnsi="Arial" w:cs="Arial"/>
        </w:rPr>
      </w:pPr>
      <w:r w:rsidRPr="001C4CA6">
        <w:rPr>
          <w:rFonts w:ascii="Arial" w:hAnsi="Arial" w:cs="Arial"/>
          <w:b/>
          <w:bCs/>
        </w:rPr>
        <w:t>The criterion on emergency response plans for environmental hazards</w:t>
      </w:r>
      <w:r w:rsidRPr="001C4CA6">
        <w:rPr>
          <w:rFonts w:ascii="Arial" w:hAnsi="Arial" w:cs="Arial"/>
        </w:rPr>
        <w:t xml:space="preserve"> garnered a mean score of 3.00, implying that such plans are in place but may not be regularly reviewed or tested. Likewise, the practice of conducting environmental impact assessments prior to implementing new processes received a mean score of 2.83, reflecting partial adherence. Strengthening preparedness measures and institutionalizing proactive impact assessments are crucial to mitigating environmental risks effectively and ensuring safety compliance.</w:t>
      </w:r>
    </w:p>
    <w:p w14:paraId="78EC482C" w14:textId="248DEBFE" w:rsidR="001C4CA6" w:rsidRPr="001C4CA6" w:rsidRDefault="001C4CA6" w:rsidP="001C4CA6">
      <w:pPr>
        <w:pStyle w:val="Body"/>
        <w:rPr>
          <w:rFonts w:ascii="Arial" w:hAnsi="Arial" w:cs="Arial"/>
        </w:rPr>
      </w:pPr>
      <w:r w:rsidRPr="001C4CA6">
        <w:rPr>
          <w:rFonts w:ascii="Arial" w:hAnsi="Arial" w:cs="Arial"/>
          <w:b/>
          <w:bCs/>
        </w:rPr>
        <w:t>The establishment of partnerships with environmental agencies for waste disposal</w:t>
      </w:r>
      <w:r w:rsidRPr="001C4CA6">
        <w:rPr>
          <w:rFonts w:ascii="Arial" w:hAnsi="Arial" w:cs="Arial"/>
        </w:rPr>
        <w:t xml:space="preserve"> was also rated </w:t>
      </w:r>
      <w:r w:rsidR="00A043CB">
        <w:rPr>
          <w:rFonts w:ascii="Arial" w:hAnsi="Arial" w:cs="Arial"/>
        </w:rPr>
        <w:t>PC</w:t>
      </w:r>
      <w:r w:rsidRPr="001C4CA6">
        <w:rPr>
          <w:rFonts w:ascii="Arial" w:hAnsi="Arial" w:cs="Arial"/>
        </w:rPr>
        <w:t>, with a mean score of 2.83. This indicates that existing collaborations with government and non-government environmental agencies are limited in scope. Expanding inter-agency cooperation and community partnerships can strengthen the university’s waste management strategies and promote greater compliance with environmental laws and ordinances.</w:t>
      </w:r>
    </w:p>
    <w:p w14:paraId="761DEFC8" w14:textId="1CD7C0AF" w:rsidR="001C4CA6" w:rsidRPr="001C4CA6" w:rsidRDefault="001C4CA6" w:rsidP="001C4CA6">
      <w:pPr>
        <w:pStyle w:val="Body"/>
        <w:rPr>
          <w:rFonts w:ascii="Arial" w:hAnsi="Arial" w:cs="Arial"/>
        </w:rPr>
      </w:pPr>
      <w:r w:rsidRPr="001C4CA6">
        <w:rPr>
          <w:rFonts w:ascii="Arial" w:hAnsi="Arial" w:cs="Arial"/>
        </w:rPr>
        <w:t>The overall analysis reveals that the MMSU-CIT demonstrates a general pattern of partial compliance with waste management procedures, with most indicators averaging around a mean score of 3.00. This outcome signifies that foundational practices are in place but require systematic enhancement to meet both industry standards and sustainability objectives. Addressing the identified challenges—such as insufficient training, inconsistent documentation, limited recycling initiatives, and weak monitoring systems—will be instrumental in elevating the program’s compliance level.</w:t>
      </w:r>
    </w:p>
    <w:p w14:paraId="5EF02DDE" w14:textId="1855ABA6" w:rsidR="001267D2" w:rsidRDefault="001C4CA6" w:rsidP="001C4CA6">
      <w:pPr>
        <w:pStyle w:val="Body"/>
        <w:rPr>
          <w:rFonts w:ascii="Arial" w:hAnsi="Arial" w:cs="Arial"/>
        </w:rPr>
      </w:pPr>
      <w:r w:rsidRPr="001C4CA6">
        <w:rPr>
          <w:rFonts w:ascii="Arial" w:hAnsi="Arial" w:cs="Arial"/>
        </w:rPr>
        <w:t xml:space="preserve">Consistent with the findings of </w:t>
      </w:r>
      <w:proofErr w:type="spellStart"/>
      <w:r w:rsidR="005042D2" w:rsidRPr="005042D2">
        <w:rPr>
          <w:rFonts w:ascii="Arial" w:hAnsi="Arial" w:cs="Arial"/>
        </w:rPr>
        <w:t>Dolipas</w:t>
      </w:r>
      <w:proofErr w:type="spellEnd"/>
      <w:r w:rsidR="005042D2" w:rsidRPr="005042D2">
        <w:rPr>
          <w:rFonts w:ascii="Arial" w:hAnsi="Arial" w:cs="Arial"/>
        </w:rPr>
        <w:t xml:space="preserve"> et al., </w:t>
      </w:r>
      <w:r w:rsidR="005042D2">
        <w:rPr>
          <w:rFonts w:ascii="Arial" w:hAnsi="Arial" w:cs="Arial"/>
        </w:rPr>
        <w:t>(</w:t>
      </w:r>
      <w:r w:rsidR="005042D2" w:rsidRPr="005042D2">
        <w:rPr>
          <w:rFonts w:ascii="Arial" w:hAnsi="Arial" w:cs="Arial"/>
        </w:rPr>
        <w:t>2020</w:t>
      </w:r>
      <w:r w:rsidRPr="001C4CA6">
        <w:rPr>
          <w:rFonts w:ascii="Arial" w:hAnsi="Arial" w:cs="Arial"/>
        </w:rPr>
        <w:t xml:space="preserve">), who observed that environmental management practices in educational institutions are often implemented at a basic level due to inadequate enforcement mechanisms and limited infrastructure, MMSU-CIT exhibits similar tendencies. The overall mean score of 2.95 reaffirms this pattern of partial compliance. Specifically, the waste segregation and disposal system, with a mean of 2.97, indicates that while improvements have been made, inconsistencies in bin labeling and waste categorization persist. As </w:t>
      </w:r>
      <w:proofErr w:type="spellStart"/>
      <w:r w:rsidR="005042D2" w:rsidRPr="005042D2">
        <w:rPr>
          <w:rFonts w:ascii="Arial" w:hAnsi="Arial" w:cs="Arial"/>
        </w:rPr>
        <w:t>Dolipas</w:t>
      </w:r>
      <w:proofErr w:type="spellEnd"/>
      <w:r w:rsidR="005042D2" w:rsidRPr="005042D2">
        <w:rPr>
          <w:rFonts w:ascii="Arial" w:hAnsi="Arial" w:cs="Arial"/>
        </w:rPr>
        <w:t xml:space="preserve"> et al., </w:t>
      </w:r>
      <w:r w:rsidR="005042D2">
        <w:rPr>
          <w:rFonts w:ascii="Arial" w:hAnsi="Arial" w:cs="Arial"/>
        </w:rPr>
        <w:t>(</w:t>
      </w:r>
      <w:r w:rsidR="005042D2" w:rsidRPr="005042D2">
        <w:rPr>
          <w:rFonts w:ascii="Arial" w:hAnsi="Arial" w:cs="Arial"/>
        </w:rPr>
        <w:t>2020</w:t>
      </w:r>
      <w:r w:rsidR="005042D2">
        <w:rPr>
          <w:rFonts w:ascii="Arial" w:hAnsi="Arial" w:cs="Arial"/>
        </w:rPr>
        <w:t xml:space="preserve">) </w:t>
      </w:r>
      <w:r w:rsidRPr="001C4CA6">
        <w:rPr>
          <w:rFonts w:ascii="Arial" w:hAnsi="Arial" w:cs="Arial"/>
        </w:rPr>
        <w:t>further noted, such deficiencies are common in institutions with limited environmental training and monitoring. Therefore, reinforcing institutional capacity through targeted policy interventions and continuous education will be critical in advancing MMSU-CIT’s environmental compliance and sustainability performance.</w:t>
      </w:r>
    </w:p>
    <w:p w14:paraId="3E5F2906" w14:textId="614A39B9" w:rsidR="00861806" w:rsidRPr="00861806" w:rsidRDefault="00861806" w:rsidP="00861806">
      <w:pPr>
        <w:pStyle w:val="Body"/>
        <w:rPr>
          <w:rFonts w:ascii="Arial" w:hAnsi="Arial" w:cs="Arial"/>
        </w:rPr>
      </w:pPr>
      <w:r w:rsidRPr="00861806">
        <w:rPr>
          <w:rFonts w:ascii="Arial" w:hAnsi="Arial" w:cs="Arial"/>
        </w:rPr>
        <w:t xml:space="preserve">The </w:t>
      </w:r>
      <w:r w:rsidRPr="00861806">
        <w:rPr>
          <w:rFonts w:ascii="Arial" w:hAnsi="Arial" w:cs="Arial"/>
          <w:i/>
          <w:iCs/>
        </w:rPr>
        <w:t>handling and disposal of hazardous waste</w:t>
      </w:r>
      <w:r w:rsidRPr="00861806">
        <w:rPr>
          <w:rFonts w:ascii="Arial" w:hAnsi="Arial" w:cs="Arial"/>
        </w:rPr>
        <w:t>, including used oils and automotive fluids, obtained a mean score of 2.93, indicating partial compliance. Although containment and disposal systems exist, they fall short of full regulatory adherence. This supports prior findings that small-scale industries and academic institutions struggle with hazardous waste management due to limited expertise and monitoring capacity. Similarly</w:t>
      </w:r>
      <w:r w:rsidRPr="00861806">
        <w:rPr>
          <w:rFonts w:ascii="Arial" w:hAnsi="Arial" w:cs="Arial"/>
          <w:i/>
          <w:iCs/>
        </w:rPr>
        <w:t xml:space="preserve">, recycling and reuse practices </w:t>
      </w:r>
      <w:r w:rsidRPr="00861806">
        <w:rPr>
          <w:rFonts w:ascii="Arial" w:hAnsi="Arial" w:cs="Arial"/>
        </w:rPr>
        <w:t xml:space="preserve">scored 2.87, showing inconsistent implementation and highlighting the need for a structured, policy-based approach. As emphasized by </w:t>
      </w:r>
      <w:proofErr w:type="spellStart"/>
      <w:r w:rsidR="005042D2" w:rsidRPr="005042D2">
        <w:rPr>
          <w:rFonts w:ascii="Arial" w:hAnsi="Arial" w:cs="Arial"/>
        </w:rPr>
        <w:t>Dolipas</w:t>
      </w:r>
      <w:proofErr w:type="spellEnd"/>
      <w:r w:rsidR="005042D2" w:rsidRPr="005042D2">
        <w:rPr>
          <w:rFonts w:ascii="Arial" w:hAnsi="Arial" w:cs="Arial"/>
        </w:rPr>
        <w:t xml:space="preserve"> et al., </w:t>
      </w:r>
      <w:r w:rsidRPr="00861806">
        <w:rPr>
          <w:rFonts w:ascii="Arial" w:hAnsi="Arial" w:cs="Arial"/>
        </w:rPr>
        <w:t>(202</w:t>
      </w:r>
      <w:r w:rsidR="005042D2">
        <w:rPr>
          <w:rFonts w:ascii="Arial" w:hAnsi="Arial" w:cs="Arial"/>
        </w:rPr>
        <w:t>0</w:t>
      </w:r>
      <w:r w:rsidRPr="00861806">
        <w:rPr>
          <w:rFonts w:ascii="Arial" w:hAnsi="Arial" w:cs="Arial"/>
        </w:rPr>
        <w:t>), sustainable waste reduction requires not only facilities but also institutional commitment to organized collection and reuse programs.</w:t>
      </w:r>
    </w:p>
    <w:p w14:paraId="4874BA6A" w14:textId="6E453E1E" w:rsidR="00861806" w:rsidRPr="00861806" w:rsidRDefault="00861806" w:rsidP="00861806">
      <w:pPr>
        <w:pStyle w:val="Body"/>
        <w:rPr>
          <w:rFonts w:ascii="Arial" w:hAnsi="Arial" w:cs="Arial"/>
        </w:rPr>
      </w:pPr>
      <w:r w:rsidRPr="00861806">
        <w:rPr>
          <w:rFonts w:ascii="Arial" w:hAnsi="Arial" w:cs="Arial"/>
          <w:i/>
          <w:iCs/>
        </w:rPr>
        <w:t xml:space="preserve">Employee training </w:t>
      </w:r>
      <w:proofErr w:type="gramStart"/>
      <w:r w:rsidRPr="00861806">
        <w:rPr>
          <w:rFonts w:ascii="Arial" w:hAnsi="Arial" w:cs="Arial"/>
          <w:i/>
          <w:iCs/>
        </w:rPr>
        <w:t>on</w:t>
      </w:r>
      <w:proofErr w:type="gramEnd"/>
      <w:r w:rsidRPr="00861806">
        <w:rPr>
          <w:rFonts w:ascii="Arial" w:hAnsi="Arial" w:cs="Arial"/>
          <w:i/>
          <w:iCs/>
        </w:rPr>
        <w:t xml:space="preserve"> environmental management</w:t>
      </w:r>
      <w:r w:rsidRPr="00861806">
        <w:rPr>
          <w:rFonts w:ascii="Arial" w:hAnsi="Arial" w:cs="Arial"/>
        </w:rPr>
        <w:t xml:space="preserve"> earned a mean score of 3.00, suggesting that while training is provided, it lacks consistency and depth. Environmental literacy among faculty and students remains crucial, as continuous and integrated programs significantly enhance compliance. Meanwhile, </w:t>
      </w:r>
      <w:r w:rsidRPr="00861806">
        <w:rPr>
          <w:rFonts w:ascii="Arial" w:hAnsi="Arial" w:cs="Arial"/>
          <w:i/>
          <w:iCs/>
        </w:rPr>
        <w:t>audits and monitoring</w:t>
      </w:r>
      <w:r w:rsidRPr="00861806">
        <w:rPr>
          <w:rFonts w:ascii="Arial" w:hAnsi="Arial" w:cs="Arial"/>
        </w:rPr>
        <w:t xml:space="preserve"> scored 2.83, reflecting irregular and reactive evaluations rather than systematic oversight.</w:t>
      </w:r>
    </w:p>
    <w:p w14:paraId="0E9E6730" w14:textId="690D5DE6" w:rsidR="00861806" w:rsidRPr="00861806" w:rsidRDefault="00861806" w:rsidP="00861806">
      <w:pPr>
        <w:pStyle w:val="Body"/>
        <w:rPr>
          <w:rFonts w:ascii="Arial" w:hAnsi="Arial" w:cs="Arial"/>
        </w:rPr>
      </w:pPr>
      <w:r w:rsidRPr="00861806">
        <w:rPr>
          <w:rFonts w:ascii="Arial" w:hAnsi="Arial" w:cs="Arial"/>
          <w:i/>
          <w:iCs/>
        </w:rPr>
        <w:t>Documentation and record-keeping</w:t>
      </w:r>
      <w:r w:rsidRPr="00861806">
        <w:rPr>
          <w:rFonts w:ascii="Arial" w:hAnsi="Arial" w:cs="Arial"/>
        </w:rPr>
        <w:t xml:space="preserve"> showed the lowest compliance at 2.63, revealing a gap in tracking performance and ensuring accountability. This weakness mirrors </w:t>
      </w:r>
      <w:proofErr w:type="spellStart"/>
      <w:r w:rsidR="005042D2" w:rsidRPr="005042D2">
        <w:rPr>
          <w:rFonts w:ascii="Arial" w:hAnsi="Arial" w:cs="Arial"/>
        </w:rPr>
        <w:t>Dolipas</w:t>
      </w:r>
      <w:proofErr w:type="spellEnd"/>
      <w:r w:rsidR="005042D2" w:rsidRPr="005042D2">
        <w:rPr>
          <w:rFonts w:ascii="Arial" w:hAnsi="Arial" w:cs="Arial"/>
        </w:rPr>
        <w:t xml:space="preserve"> et al., 2020 </w:t>
      </w:r>
      <w:r w:rsidRPr="00861806">
        <w:rPr>
          <w:rFonts w:ascii="Arial" w:hAnsi="Arial" w:cs="Arial"/>
        </w:rPr>
        <w:t xml:space="preserve">observation that poor documentation undermines traceability and performance assessment. Positively, the </w:t>
      </w:r>
      <w:r w:rsidRPr="00861806">
        <w:rPr>
          <w:rFonts w:ascii="Arial" w:hAnsi="Arial" w:cs="Arial"/>
          <w:i/>
          <w:iCs/>
        </w:rPr>
        <w:t>use of eco-friendly materials</w:t>
      </w:r>
      <w:r w:rsidRPr="00861806">
        <w:rPr>
          <w:rFonts w:ascii="Arial" w:hAnsi="Arial" w:cs="Arial"/>
        </w:rPr>
        <w:t xml:space="preserve"> (mean = 3.07) and pollution prevention measures (mean = 2.90) demonstrate growing environmental awareness, though these initiatives remain fragmented.</w:t>
      </w:r>
    </w:p>
    <w:p w14:paraId="2E350CF2" w14:textId="7CF0F90E" w:rsidR="00861806" w:rsidRPr="00861806" w:rsidRDefault="00861806" w:rsidP="00861806">
      <w:pPr>
        <w:pStyle w:val="Body"/>
        <w:rPr>
          <w:rFonts w:ascii="Arial" w:hAnsi="Arial" w:cs="Arial"/>
        </w:rPr>
      </w:pPr>
      <w:r w:rsidRPr="00861806">
        <w:rPr>
          <w:rFonts w:ascii="Arial" w:hAnsi="Arial" w:cs="Arial"/>
          <w:i/>
          <w:iCs/>
        </w:rPr>
        <w:t>Waste reduction programs</w:t>
      </w:r>
      <w:r w:rsidRPr="00861806">
        <w:rPr>
          <w:rFonts w:ascii="Arial" w:hAnsi="Arial" w:cs="Arial"/>
        </w:rPr>
        <w:t xml:space="preserve"> recorded the highest compliance with a mean of 3.17, signifying active minimization efforts supported by institutional policy and awareness drives. However, </w:t>
      </w:r>
      <w:r w:rsidRPr="00861806">
        <w:rPr>
          <w:rFonts w:ascii="Arial" w:hAnsi="Arial" w:cs="Arial"/>
          <w:i/>
          <w:iCs/>
        </w:rPr>
        <w:t>emergency response plans</w:t>
      </w:r>
      <w:r w:rsidRPr="00861806">
        <w:rPr>
          <w:rFonts w:ascii="Arial" w:hAnsi="Arial" w:cs="Arial"/>
        </w:rPr>
        <w:t xml:space="preserve"> (mean = 3.00) and environmental impact assessments (mean = 2.83) need regular updating and integration into risk planning.</w:t>
      </w:r>
    </w:p>
    <w:p w14:paraId="713778B2" w14:textId="438F90B0" w:rsidR="00E053D0" w:rsidRDefault="00861806" w:rsidP="00861806">
      <w:pPr>
        <w:pStyle w:val="Body"/>
        <w:rPr>
          <w:rFonts w:ascii="Arial" w:hAnsi="Arial" w:cs="Arial"/>
        </w:rPr>
      </w:pPr>
      <w:r w:rsidRPr="00861806">
        <w:rPr>
          <w:rFonts w:ascii="Arial" w:hAnsi="Arial" w:cs="Arial"/>
        </w:rPr>
        <w:t xml:space="preserve">Lastly, </w:t>
      </w:r>
      <w:r w:rsidRPr="00861806">
        <w:rPr>
          <w:rFonts w:ascii="Arial" w:hAnsi="Arial" w:cs="Arial"/>
          <w:i/>
          <w:iCs/>
        </w:rPr>
        <w:t>partnerships with environmental agencies</w:t>
      </w:r>
      <w:r w:rsidRPr="00861806">
        <w:rPr>
          <w:rFonts w:ascii="Arial" w:hAnsi="Arial" w:cs="Arial"/>
        </w:rPr>
        <w:t xml:space="preserve"> (mean = 2.83) and continuous improvement plans (mean = 3.00) show limited collaboration and evaluation. Strengthening review cycles, aligning training with environmental goals, and engaging with external agencies are essential to reinforce accountability and advance sustainable waste management.</w:t>
      </w:r>
    </w:p>
    <w:p w14:paraId="1E587B9B" w14:textId="46F150E0" w:rsidR="004777B6" w:rsidRDefault="004777B6" w:rsidP="004777B6">
      <w:pPr>
        <w:pStyle w:val="Body"/>
        <w:rPr>
          <w:rFonts w:ascii="Arial" w:hAnsi="Arial" w:cs="Arial"/>
        </w:rPr>
      </w:pPr>
      <w:r>
        <w:rPr>
          <w:rFonts w:ascii="Arial" w:hAnsi="Arial" w:cs="Arial"/>
        </w:rPr>
        <w:t xml:space="preserve">Table 2 presents the </w:t>
      </w:r>
      <w:r w:rsidRPr="004777B6">
        <w:rPr>
          <w:rFonts w:ascii="Arial" w:hAnsi="Arial" w:cs="Arial"/>
        </w:rPr>
        <w:t>Summary of Recommendations on Solid Waste Management</w:t>
      </w:r>
      <w:r>
        <w:rPr>
          <w:rFonts w:ascii="Arial" w:hAnsi="Arial" w:cs="Ari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400"/>
      </w:tblGrid>
      <w:tr w:rsidR="004777B6" w:rsidRPr="004777B6" w14:paraId="168BCB16" w14:textId="77777777" w:rsidTr="00861806">
        <w:trPr>
          <w:trHeight w:val="332"/>
          <w:jc w:val="center"/>
        </w:trPr>
        <w:tc>
          <w:tcPr>
            <w:tcW w:w="2430" w:type="dxa"/>
            <w:tcBorders>
              <w:top w:val="single" w:sz="4" w:space="0" w:color="auto"/>
              <w:bottom w:val="single" w:sz="4" w:space="0" w:color="auto"/>
            </w:tcBorders>
            <w:vAlign w:val="center"/>
          </w:tcPr>
          <w:p w14:paraId="2264DB81" w14:textId="48E117DE" w:rsidR="004777B6" w:rsidRPr="004777B6" w:rsidRDefault="004777B6" w:rsidP="004777B6">
            <w:pPr>
              <w:pStyle w:val="Body"/>
              <w:spacing w:after="0"/>
              <w:jc w:val="center"/>
              <w:rPr>
                <w:rFonts w:ascii="Arial" w:hAnsi="Arial" w:cs="Arial"/>
                <w:b/>
                <w:bCs/>
                <w:sz w:val="20"/>
                <w:szCs w:val="20"/>
              </w:rPr>
            </w:pPr>
            <w:r w:rsidRPr="004777B6">
              <w:rPr>
                <w:rFonts w:ascii="Arial" w:hAnsi="Arial" w:cs="Arial"/>
                <w:b/>
                <w:bCs/>
                <w:sz w:val="20"/>
                <w:szCs w:val="20"/>
              </w:rPr>
              <w:t>Title of Recommendation</w:t>
            </w:r>
          </w:p>
        </w:tc>
        <w:tc>
          <w:tcPr>
            <w:tcW w:w="5400" w:type="dxa"/>
            <w:tcBorders>
              <w:top w:val="single" w:sz="4" w:space="0" w:color="auto"/>
              <w:bottom w:val="single" w:sz="4" w:space="0" w:color="auto"/>
            </w:tcBorders>
            <w:vAlign w:val="center"/>
          </w:tcPr>
          <w:p w14:paraId="1245B05E" w14:textId="7E5D7A29" w:rsidR="004777B6" w:rsidRPr="004777B6" w:rsidRDefault="004777B6" w:rsidP="004777B6">
            <w:pPr>
              <w:pStyle w:val="Body"/>
              <w:spacing w:after="0"/>
              <w:jc w:val="center"/>
              <w:rPr>
                <w:rFonts w:ascii="Arial" w:hAnsi="Arial" w:cs="Arial"/>
                <w:b/>
                <w:bCs/>
                <w:sz w:val="20"/>
                <w:szCs w:val="20"/>
              </w:rPr>
            </w:pPr>
            <w:r w:rsidRPr="004777B6">
              <w:rPr>
                <w:rFonts w:ascii="Arial" w:hAnsi="Arial" w:cs="Arial"/>
                <w:b/>
                <w:bCs/>
                <w:sz w:val="20"/>
                <w:szCs w:val="20"/>
              </w:rPr>
              <w:t>Short Definition</w:t>
            </w:r>
          </w:p>
        </w:tc>
      </w:tr>
      <w:tr w:rsidR="004777B6" w:rsidRPr="004777B6" w14:paraId="4C7A3F4C" w14:textId="77777777" w:rsidTr="00861806">
        <w:trPr>
          <w:jc w:val="center"/>
        </w:trPr>
        <w:tc>
          <w:tcPr>
            <w:tcW w:w="2430" w:type="dxa"/>
            <w:tcBorders>
              <w:top w:val="single" w:sz="4" w:space="0" w:color="auto"/>
            </w:tcBorders>
          </w:tcPr>
          <w:p w14:paraId="2E0ACC06" w14:textId="05A6F21D"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Curricular Integration of Waste Management Practices</w:t>
            </w:r>
          </w:p>
        </w:tc>
        <w:tc>
          <w:tcPr>
            <w:tcW w:w="5400" w:type="dxa"/>
            <w:tcBorders>
              <w:top w:val="single" w:sz="4" w:space="0" w:color="auto"/>
            </w:tcBorders>
          </w:tcPr>
          <w:p w14:paraId="6F41DAF8" w14:textId="2AFFCB2B"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The Enhanced Waste Management Guidelines should be formally adopted and embedded into the Automotive Technology curriculum to cultivate environmental responsibility among students through classroom and laboratory instruction.</w:t>
            </w:r>
          </w:p>
        </w:tc>
      </w:tr>
      <w:tr w:rsidR="004777B6" w:rsidRPr="004777B6" w14:paraId="15B6A8F2" w14:textId="77777777" w:rsidTr="00861806">
        <w:trPr>
          <w:jc w:val="center"/>
        </w:trPr>
        <w:tc>
          <w:tcPr>
            <w:tcW w:w="2430" w:type="dxa"/>
          </w:tcPr>
          <w:p w14:paraId="5C4D0CDC" w14:textId="5DF7E429"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Faculty and Staff Training and Capacity-Building</w:t>
            </w:r>
          </w:p>
        </w:tc>
        <w:tc>
          <w:tcPr>
            <w:tcW w:w="5400" w:type="dxa"/>
          </w:tcPr>
          <w:p w14:paraId="12F32A9E" w14:textId="5E4D1A3B"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Conduct regular training programs for faculty and staff to strengthen knowledge and skills in waste segregation, storage, and disposal to ensure consistent implementation of proper waste management practice. </w:t>
            </w:r>
          </w:p>
        </w:tc>
      </w:tr>
      <w:tr w:rsidR="004777B6" w:rsidRPr="004777B6" w14:paraId="3ADB8C77" w14:textId="77777777" w:rsidTr="00861806">
        <w:trPr>
          <w:jc w:val="center"/>
        </w:trPr>
        <w:tc>
          <w:tcPr>
            <w:tcW w:w="2430" w:type="dxa"/>
          </w:tcPr>
          <w:p w14:paraId="01E14FE6" w14:textId="7E6FC892"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Monitoring and Evaluation System</w:t>
            </w:r>
          </w:p>
        </w:tc>
        <w:tc>
          <w:tcPr>
            <w:tcW w:w="5400" w:type="dxa"/>
          </w:tcPr>
          <w:p w14:paraId="3BC2CA66" w14:textId="47B0953F"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Establish a systematic monitoring and evaluation framework to regularly assess the effectiveness of institutional waste management practices and maintain compliance with environmental standards. </w:t>
            </w:r>
          </w:p>
        </w:tc>
      </w:tr>
      <w:tr w:rsidR="004777B6" w:rsidRPr="004777B6" w14:paraId="191D172D" w14:textId="77777777" w:rsidTr="00861806">
        <w:trPr>
          <w:jc w:val="center"/>
        </w:trPr>
        <w:tc>
          <w:tcPr>
            <w:tcW w:w="2430" w:type="dxa"/>
          </w:tcPr>
          <w:p w14:paraId="426234EE" w14:textId="051161C7"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Adoption of Industry-Based Waste Management Framework</w:t>
            </w:r>
          </w:p>
        </w:tc>
        <w:tc>
          <w:tcPr>
            <w:tcW w:w="5400" w:type="dxa"/>
          </w:tcPr>
          <w:p w14:paraId="4C955CFC" w14:textId="138D5420"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Encourage automotive industries to implement structured waste management frameworks aligned with best practices, emphasizing standardized protocols for segregation, disposal, and recycling to promote sustainability and compliance. </w:t>
            </w:r>
          </w:p>
        </w:tc>
      </w:tr>
      <w:tr w:rsidR="004777B6" w:rsidRPr="004777B6" w14:paraId="394A996B" w14:textId="77777777" w:rsidTr="00861806">
        <w:trPr>
          <w:jc w:val="center"/>
        </w:trPr>
        <w:tc>
          <w:tcPr>
            <w:tcW w:w="2430" w:type="dxa"/>
            <w:tcBorders>
              <w:bottom w:val="single" w:sz="4" w:space="0" w:color="auto"/>
            </w:tcBorders>
          </w:tcPr>
          <w:p w14:paraId="30081E7D" w14:textId="6FC6683C" w:rsidR="004777B6" w:rsidRPr="004777B6" w:rsidRDefault="004777B6" w:rsidP="004777B6">
            <w:pPr>
              <w:pStyle w:val="Body"/>
              <w:spacing w:after="0"/>
              <w:jc w:val="left"/>
              <w:rPr>
                <w:rFonts w:ascii="Arial" w:hAnsi="Arial" w:cs="Arial"/>
                <w:sz w:val="20"/>
                <w:szCs w:val="20"/>
              </w:rPr>
            </w:pPr>
            <w:r w:rsidRPr="004777B6">
              <w:rPr>
                <w:rFonts w:ascii="Arial" w:hAnsi="Arial" w:cs="Arial"/>
                <w:sz w:val="20"/>
                <w:szCs w:val="20"/>
              </w:rPr>
              <w:t>Policy Review and Development</w:t>
            </w:r>
          </w:p>
        </w:tc>
        <w:tc>
          <w:tcPr>
            <w:tcW w:w="5400" w:type="dxa"/>
            <w:tcBorders>
              <w:bottom w:val="single" w:sz="4" w:space="0" w:color="auto"/>
            </w:tcBorders>
          </w:tcPr>
          <w:p w14:paraId="428667D8" w14:textId="67774026" w:rsidR="004777B6" w:rsidRPr="004777B6" w:rsidRDefault="004777B6" w:rsidP="004777B6">
            <w:pPr>
              <w:pStyle w:val="Body"/>
              <w:spacing w:after="0"/>
              <w:rPr>
                <w:rFonts w:ascii="Arial" w:hAnsi="Arial" w:cs="Arial"/>
                <w:sz w:val="20"/>
                <w:szCs w:val="20"/>
              </w:rPr>
            </w:pPr>
            <w:r w:rsidRPr="004777B6">
              <w:rPr>
                <w:rFonts w:ascii="Arial" w:hAnsi="Arial" w:cs="Arial"/>
                <w:sz w:val="20"/>
                <w:szCs w:val="20"/>
              </w:rPr>
              <w:t xml:space="preserve">Use the study’s findings as evidence for policymakers and environmental agencies to review and strengthen existing waste management policies, particularly those concerning hazardous waste handling and recycling initiatives. </w:t>
            </w:r>
          </w:p>
        </w:tc>
      </w:tr>
    </w:tbl>
    <w:p w14:paraId="781E3547" w14:textId="77777777" w:rsidR="00790ADA" w:rsidRPr="00FB3A86" w:rsidRDefault="00790ADA" w:rsidP="00441B6F">
      <w:pPr>
        <w:pStyle w:val="Body"/>
        <w:spacing w:after="0"/>
        <w:rPr>
          <w:rFonts w:ascii="Arial" w:hAnsi="Arial" w:cs="Arial"/>
        </w:rPr>
      </w:pPr>
    </w:p>
    <w:p w14:paraId="39EEE5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DF5BDE" w14:textId="77777777" w:rsidR="00790ADA" w:rsidRPr="00FB3A86" w:rsidRDefault="00790ADA" w:rsidP="00441B6F">
      <w:pPr>
        <w:pStyle w:val="ConcHead"/>
        <w:spacing w:after="0"/>
        <w:jc w:val="both"/>
        <w:rPr>
          <w:rFonts w:ascii="Arial" w:hAnsi="Arial" w:cs="Arial"/>
        </w:rPr>
      </w:pPr>
    </w:p>
    <w:p w14:paraId="5582ED84" w14:textId="2E913E24" w:rsidR="001C4CA6" w:rsidRPr="001C4CA6" w:rsidRDefault="001C4CA6" w:rsidP="001C4CA6">
      <w:pPr>
        <w:pStyle w:val="Body"/>
        <w:rPr>
          <w:rFonts w:ascii="Arial" w:hAnsi="Arial" w:cs="Arial"/>
        </w:rPr>
      </w:pPr>
      <w:r w:rsidRPr="001C4CA6">
        <w:rPr>
          <w:rFonts w:ascii="Arial" w:hAnsi="Arial" w:cs="Arial"/>
        </w:rPr>
        <w:t>This study evaluated the level of compliance of the Automotive Technology Program of Mariano Marcos State University with established waste management procedures. The results indicate a partial level of compliance, suggesting that while foundational environmental practices are in place, they are not yet fully aligned with institutional and regulatory standards. Notable deficiencies were observed in the segregation, disposal, and monitoring of hazardous materials such as used oil, solvents, and automotive parts. These findings underscore the need for a more systematic and integrated approach to environmental management within the program.</w:t>
      </w:r>
    </w:p>
    <w:p w14:paraId="3FD42386" w14:textId="0CC076AB" w:rsidR="00B01FCD" w:rsidRDefault="001C4CA6" w:rsidP="001C4CA6">
      <w:pPr>
        <w:pStyle w:val="Body"/>
        <w:rPr>
          <w:rFonts w:ascii="Arial" w:hAnsi="Arial" w:cs="Arial"/>
        </w:rPr>
      </w:pPr>
      <w:r w:rsidRPr="001C4CA6">
        <w:rPr>
          <w:rFonts w:ascii="Arial" w:hAnsi="Arial" w:cs="Arial"/>
        </w:rPr>
        <w:t>To enhance compliance, it is imperative to strengthen training and awareness initiatives, establish clear and enforceable waste management policies, and institutionalize regular audits and documentation mechanisms. Collaboration with environmental agencies and the adoption of sustainable technologies may further support the program’s transition toward full compliance. Overall, the study emphasizes the importance of embedding environmental stewardship in technical and vocational education, ensuring that future automotive professionals are not only skilled in their trade but also committed to sustainable and responsible practices.</w:t>
      </w:r>
    </w:p>
    <w:p w14:paraId="6177537D" w14:textId="30D1A767" w:rsidR="001C4CA6" w:rsidRPr="001C4CA6" w:rsidRDefault="001C4CA6" w:rsidP="001C4CA6">
      <w:pPr>
        <w:pStyle w:val="Body"/>
        <w:rPr>
          <w:rFonts w:ascii="Arial" w:hAnsi="Arial" w:cs="Arial"/>
        </w:rPr>
      </w:pPr>
      <w:r w:rsidRPr="001C4CA6">
        <w:rPr>
          <w:rFonts w:ascii="Arial" w:hAnsi="Arial" w:cs="Arial"/>
        </w:rPr>
        <w:t>Based on the findings and conclusions of this study, it is recommended that the Enhanced Waste Management Guidelines developed through this research be formally adopted and integrated into the curriculum of the Automotive Technology Program. Embedding these practices in instruction and laboratory work will promote environmental responsibility among students. Regular training and capacity-building for faculty and staff should be conducted to ensure consistent waste segregation, storage, and disposal. In addition, the institution should establish a monitoring and evaluation system to assess and sustain compliance with environmental standards.</w:t>
      </w:r>
    </w:p>
    <w:p w14:paraId="655F8C05" w14:textId="39CAC1A5" w:rsidR="001C4CA6" w:rsidRDefault="001C4CA6" w:rsidP="001C4CA6">
      <w:pPr>
        <w:pStyle w:val="Body"/>
        <w:spacing w:after="0"/>
        <w:rPr>
          <w:rFonts w:ascii="Arial" w:hAnsi="Arial" w:cs="Arial"/>
        </w:rPr>
      </w:pPr>
      <w:r w:rsidRPr="001C4CA6">
        <w:rPr>
          <w:rFonts w:ascii="Arial" w:hAnsi="Arial" w:cs="Arial"/>
        </w:rPr>
        <w:t>Policymakers and regulatory bodies may also use the study’s findings as a reference for improving existing waste management policies, particularly those related to hazardous waste handling and recycling. Lastly, future researchers are encouraged to build upon this study to further enhance sustainable waste management practices in educational and industrial contexts.</w:t>
      </w:r>
    </w:p>
    <w:p w14:paraId="655DCF35" w14:textId="77777777" w:rsidR="001C4CA6" w:rsidRDefault="001C4CA6" w:rsidP="001C4CA6">
      <w:pPr>
        <w:pStyle w:val="Body"/>
        <w:spacing w:after="0"/>
        <w:rPr>
          <w:rFonts w:ascii="Arial" w:hAnsi="Arial" w:cs="Arial"/>
        </w:rPr>
      </w:pPr>
    </w:p>
    <w:p w14:paraId="3DA3334A" w14:textId="77777777" w:rsidR="002B685A" w:rsidRDefault="002B685A" w:rsidP="00441B6F">
      <w:pPr>
        <w:pStyle w:val="ReferHead"/>
        <w:spacing w:after="0"/>
        <w:jc w:val="both"/>
        <w:rPr>
          <w:rFonts w:ascii="Arial" w:hAnsi="Arial" w:cs="Arial"/>
          <w:b w:val="0"/>
          <w:caps w:val="0"/>
          <w:sz w:val="20"/>
        </w:rPr>
      </w:pPr>
    </w:p>
    <w:p w14:paraId="38F3618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roofErr w:type="gramStart"/>
      <w:r>
        <w:rPr>
          <w:rFonts w:ascii="Arial" w:hAnsi="Arial" w:cs="Arial"/>
          <w:bCs/>
        </w:rPr>
        <w:t>where</w:t>
      </w:r>
      <w:r w:rsidR="007369E6">
        <w:rPr>
          <w:rFonts w:ascii="Arial" w:hAnsi="Arial" w:cs="Arial"/>
          <w:bCs/>
        </w:rPr>
        <w:t xml:space="preserve"> </w:t>
      </w:r>
      <w:r>
        <w:rPr>
          <w:rFonts w:ascii="Arial" w:hAnsi="Arial" w:cs="Arial"/>
          <w:bCs/>
        </w:rPr>
        <w:t>ever</w:t>
      </w:r>
      <w:proofErr w:type="gramEnd"/>
      <w:r>
        <w:rPr>
          <w:rFonts w:ascii="Arial" w:hAnsi="Arial" w:cs="Arial"/>
          <w:bCs/>
        </w:rPr>
        <w:t xml:space="preserve"> applicable)</w:t>
      </w:r>
    </w:p>
    <w:p w14:paraId="6BF1EC28" w14:textId="77777777" w:rsidR="002B685A" w:rsidRPr="002B685A" w:rsidRDefault="002B685A" w:rsidP="00441B6F">
      <w:pPr>
        <w:pStyle w:val="ReferHead"/>
        <w:spacing w:after="0"/>
        <w:jc w:val="both"/>
        <w:rPr>
          <w:rFonts w:ascii="Arial" w:hAnsi="Arial" w:cs="Arial"/>
          <w:bCs/>
        </w:rPr>
      </w:pPr>
    </w:p>
    <w:p w14:paraId="2645643A" w14:textId="10C90FC9" w:rsidR="001A29D8" w:rsidRDefault="001A29D8" w:rsidP="00441B6F">
      <w:pPr>
        <w:pStyle w:val="ReferHead"/>
        <w:spacing w:after="0"/>
        <w:jc w:val="both"/>
        <w:rPr>
          <w:rFonts w:ascii="Arial" w:hAnsi="Arial" w:cs="Arial"/>
          <w:b w:val="0"/>
          <w:caps w:val="0"/>
          <w:sz w:val="20"/>
        </w:rPr>
      </w:pPr>
      <w:r w:rsidRPr="00BA5D45">
        <w:rPr>
          <w:rFonts w:ascii="Arial" w:hAnsi="Arial" w:cs="Arial"/>
          <w:b w:val="0"/>
          <w:caps w:val="0"/>
          <w:sz w:val="20"/>
        </w:rPr>
        <w:t xml:space="preserve">All authors declare that ‘written informed consent was obtained from </w:t>
      </w:r>
      <w:r w:rsidR="00BA5D45" w:rsidRPr="00BA5D45">
        <w:rPr>
          <w:rFonts w:ascii="Arial" w:hAnsi="Arial" w:cs="Arial"/>
          <w:b w:val="0"/>
          <w:caps w:val="0"/>
          <w:sz w:val="20"/>
        </w:rPr>
        <w:t>all the respondents. Furthermore, the authors asked permission to the University where it was conducted.</w:t>
      </w:r>
    </w:p>
    <w:p w14:paraId="4F22DAB6" w14:textId="77777777" w:rsidR="005C784C" w:rsidRDefault="005C784C" w:rsidP="00441B6F">
      <w:pPr>
        <w:pStyle w:val="ReferHead"/>
        <w:spacing w:after="0"/>
        <w:jc w:val="both"/>
        <w:rPr>
          <w:rFonts w:ascii="Arial" w:hAnsi="Arial" w:cs="Arial"/>
          <w:b w:val="0"/>
          <w:caps w:val="0"/>
          <w:sz w:val="20"/>
        </w:rPr>
      </w:pPr>
    </w:p>
    <w:p w14:paraId="072D6990" w14:textId="77777777" w:rsidR="005C784C" w:rsidRDefault="005C784C" w:rsidP="00BA5D45">
      <w:pPr>
        <w:pStyle w:val="ReferHead"/>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96F2A36" w14:textId="6D27CEB7" w:rsidR="00860000" w:rsidRDefault="00BA5D45" w:rsidP="00BA5D45">
      <w:pPr>
        <w:pStyle w:val="NormalWeb"/>
        <w:spacing w:before="0" w:beforeAutospacing="0" w:after="240" w:afterAutospacing="0"/>
        <w:jc w:val="both"/>
        <w:rPr>
          <w:rFonts w:ascii="Arial" w:hAnsi="Arial" w:cs="Arial"/>
          <w:sz w:val="20"/>
          <w:szCs w:val="20"/>
        </w:rPr>
      </w:pPr>
      <w:r w:rsidRPr="00BA5D45">
        <w:rPr>
          <w:rFonts w:ascii="Arial" w:hAnsi="Arial" w:cs="Arial"/>
          <w:sz w:val="20"/>
          <w:szCs w:val="20"/>
        </w:rPr>
        <w:t>All authors affirm that the data-gathering procedures and informed consent process of this study were reviewed and approved by the Research Ethics Review Board of a recognized institution. Accordingly, the study was conducted in full compliance with the ethical principles outlined in the 1964 Declaration of Helsinki and its subsequent amendments.</w:t>
      </w:r>
    </w:p>
    <w:p w14:paraId="15F27808" w14:textId="16589DB8" w:rsidR="00B05043" w:rsidRPr="00B94345" w:rsidRDefault="00B94345" w:rsidP="00B94345">
      <w:pPr>
        <w:spacing w:after="240"/>
        <w:rPr>
          <w:rFonts w:ascii="Arial" w:hAnsi="Arial" w:cs="Arial"/>
          <w:b/>
          <w:bCs/>
          <w:sz w:val="22"/>
          <w:szCs w:val="22"/>
        </w:rPr>
      </w:pPr>
      <w:r w:rsidRPr="00B94345">
        <w:rPr>
          <w:rFonts w:ascii="Arial" w:hAnsi="Arial" w:cs="Arial"/>
          <w:b/>
          <w:bCs/>
          <w:sz w:val="22"/>
          <w:szCs w:val="22"/>
        </w:rPr>
        <w:t>DISCLAIMER (ARTIFICIAL INTELLIGENCE)</w:t>
      </w:r>
    </w:p>
    <w:p w14:paraId="1B880A06" w14:textId="77777777" w:rsidR="00B05043" w:rsidRPr="00B94345" w:rsidRDefault="00B05043" w:rsidP="00B94345">
      <w:pPr>
        <w:spacing w:after="240"/>
        <w:jc w:val="both"/>
        <w:rPr>
          <w:rFonts w:ascii="Arial" w:hAnsi="Arial" w:cs="Arial"/>
        </w:rPr>
      </w:pPr>
      <w:r w:rsidRPr="00B94345">
        <w:rPr>
          <w:rFonts w:ascii="Arial" w:hAnsi="Arial" w:cs="Arial"/>
        </w:rPr>
        <w:t xml:space="preserve">Author(s) hereby </w:t>
      </w:r>
      <w:proofErr w:type="gramStart"/>
      <w:r w:rsidRPr="00B94345">
        <w:rPr>
          <w:rFonts w:ascii="Arial" w:hAnsi="Arial" w:cs="Arial"/>
        </w:rPr>
        <w:t>declare</w:t>
      </w:r>
      <w:proofErr w:type="gramEnd"/>
      <w:r w:rsidRPr="00B94345">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F54CAA" w14:textId="77777777" w:rsidR="00B05043" w:rsidRPr="00B94345" w:rsidRDefault="00B05043" w:rsidP="00B05043">
      <w:pPr>
        <w:rPr>
          <w:rFonts w:ascii="Arial" w:hAnsi="Arial" w:cs="Arial"/>
        </w:rPr>
      </w:pPr>
      <w:r w:rsidRPr="00B94345">
        <w:rPr>
          <w:rFonts w:ascii="Arial" w:hAnsi="Arial" w:cs="Arial"/>
        </w:rPr>
        <w:t>Details of the AI usage are given below:</w:t>
      </w:r>
    </w:p>
    <w:p w14:paraId="3101DE3B" w14:textId="2FB739E7" w:rsidR="00B94345" w:rsidRPr="00B94345" w:rsidRDefault="00B94345" w:rsidP="00B94345">
      <w:pPr>
        <w:pStyle w:val="ListParagraph"/>
        <w:numPr>
          <w:ilvl w:val="3"/>
          <w:numId w:val="32"/>
        </w:numPr>
        <w:ind w:left="720"/>
        <w:rPr>
          <w:rFonts w:ascii="Arial" w:hAnsi="Arial" w:cs="Arial"/>
        </w:rPr>
      </w:pPr>
      <w:r w:rsidRPr="00B94345">
        <w:rPr>
          <w:rFonts w:ascii="Arial" w:hAnsi="Arial" w:cs="Arial"/>
        </w:rPr>
        <w:t>Model and Version Used: GPT-5</w:t>
      </w:r>
    </w:p>
    <w:p w14:paraId="505C73BC" w14:textId="77777777" w:rsidR="00B94345" w:rsidRDefault="00B94345" w:rsidP="00B94345">
      <w:pPr>
        <w:pStyle w:val="ListParagraph"/>
        <w:numPr>
          <w:ilvl w:val="3"/>
          <w:numId w:val="32"/>
        </w:numPr>
        <w:ind w:left="720"/>
        <w:jc w:val="both"/>
        <w:rPr>
          <w:rFonts w:ascii="Arial" w:hAnsi="Arial" w:cs="Arial"/>
        </w:rPr>
      </w:pPr>
      <w:r w:rsidRPr="00B94345">
        <w:rPr>
          <w:rFonts w:ascii="Arial" w:hAnsi="Arial" w:cs="Arial"/>
        </w:rPr>
        <w:t>The AI was utilized solely as an English language critic to enhance the clarity, coherence, and grammatical accuracy of the manuscript.</w:t>
      </w:r>
    </w:p>
    <w:p w14:paraId="276EB571" w14:textId="77777777" w:rsidR="00B94345" w:rsidRDefault="00B94345" w:rsidP="00B94345">
      <w:pPr>
        <w:pStyle w:val="ListParagraph"/>
        <w:numPr>
          <w:ilvl w:val="3"/>
          <w:numId w:val="32"/>
        </w:numPr>
        <w:ind w:left="720"/>
        <w:jc w:val="both"/>
        <w:rPr>
          <w:rFonts w:ascii="Arial" w:hAnsi="Arial" w:cs="Arial"/>
        </w:rPr>
      </w:pPr>
      <w:r w:rsidRPr="00B94345">
        <w:rPr>
          <w:rFonts w:ascii="Arial" w:hAnsi="Arial" w:cs="Arial"/>
        </w:rPr>
        <w:t xml:space="preserve">Prompt Used: “Act as an English Critic of a research paper in a respected university. Rephrase and synthesize the provided research article for publication and improve its structure in terms of grammar, spelling, and sentence formation. The output must follow the provided example for topics and </w:t>
      </w:r>
      <w:proofErr w:type="gramStart"/>
      <w:r w:rsidRPr="00B94345">
        <w:rPr>
          <w:rFonts w:ascii="Arial" w:hAnsi="Arial" w:cs="Arial"/>
        </w:rPr>
        <w:t>subtopics.”</w:t>
      </w:r>
      <w:proofErr w:type="gramEnd"/>
    </w:p>
    <w:p w14:paraId="798AF058" w14:textId="1C168811" w:rsidR="00B05043" w:rsidRPr="00B94345" w:rsidRDefault="00B94345" w:rsidP="00B94345">
      <w:pPr>
        <w:pStyle w:val="ListParagraph"/>
        <w:numPr>
          <w:ilvl w:val="3"/>
          <w:numId w:val="32"/>
        </w:numPr>
        <w:ind w:left="720"/>
        <w:jc w:val="both"/>
        <w:rPr>
          <w:rFonts w:ascii="Arial" w:hAnsi="Arial" w:cs="Arial"/>
        </w:rPr>
      </w:pPr>
      <w:r w:rsidRPr="00B94345">
        <w:rPr>
          <w:rFonts w:ascii="Arial" w:hAnsi="Arial" w:cs="Arial"/>
        </w:rPr>
        <w:t>The AI did not generate or alter the study’s data, findings, or analysis. All interpretations, conclusions, and recommendations were formulated by the authors.</w:t>
      </w:r>
    </w:p>
    <w:p w14:paraId="2B322756" w14:textId="128913D9" w:rsidR="00B05043" w:rsidRPr="00B94345" w:rsidRDefault="00B05043" w:rsidP="00B94345">
      <w:pPr>
        <w:rPr>
          <w:rFonts w:ascii="Arial" w:hAnsi="Arial" w:cs="Arial"/>
        </w:rPr>
      </w:pPr>
    </w:p>
    <w:p w14:paraId="68B33E6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6D8E4B" w14:textId="77777777" w:rsidR="00790ADA" w:rsidRPr="00BA5D45" w:rsidRDefault="00790ADA" w:rsidP="00441B6F">
      <w:pPr>
        <w:pStyle w:val="ReferHead"/>
        <w:spacing w:after="0"/>
        <w:jc w:val="both"/>
        <w:rPr>
          <w:rFonts w:ascii="Arial" w:hAnsi="Arial" w:cs="Arial"/>
          <w:sz w:val="20"/>
          <w:szCs w:val="18"/>
        </w:rPr>
      </w:pPr>
    </w:p>
    <w:p w14:paraId="6B1C92D7"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Akash, M. H., Aziz, R. A., </w:t>
      </w:r>
      <w:proofErr w:type="spellStart"/>
      <w:r w:rsidRPr="008A6DF9">
        <w:rPr>
          <w:rFonts w:ascii="Arial" w:hAnsi="Arial" w:cs="Arial"/>
          <w:sz w:val="20"/>
          <w:szCs w:val="20"/>
        </w:rPr>
        <w:t>Karmaker</w:t>
      </w:r>
      <w:proofErr w:type="spellEnd"/>
      <w:r w:rsidRPr="008A6DF9">
        <w:rPr>
          <w:rFonts w:ascii="Arial" w:hAnsi="Arial" w:cs="Arial"/>
          <w:sz w:val="20"/>
          <w:szCs w:val="20"/>
        </w:rPr>
        <w:t xml:space="preserve">, C. L., Bari, A., Kabir, K., &amp; Islam, A. R. M. (2025). Investigating the attributes for implementing circular economy in the textile manufacturing supply chain: Implications for the triple bottom line of sustainability. </w:t>
      </w:r>
      <w:r w:rsidRPr="008A6DF9">
        <w:rPr>
          <w:rFonts w:ascii="Arial" w:hAnsi="Arial" w:cs="Arial"/>
          <w:i/>
          <w:iCs/>
          <w:sz w:val="20"/>
          <w:szCs w:val="20"/>
        </w:rPr>
        <w:t>Sustainable Horizons</w:t>
      </w:r>
      <w:r w:rsidRPr="008A6DF9">
        <w:rPr>
          <w:rFonts w:ascii="Arial" w:hAnsi="Arial" w:cs="Arial"/>
          <w:sz w:val="20"/>
          <w:szCs w:val="20"/>
        </w:rPr>
        <w:t xml:space="preserve">, </w:t>
      </w:r>
      <w:r w:rsidRPr="008A6DF9">
        <w:rPr>
          <w:rFonts w:ascii="Arial" w:hAnsi="Arial" w:cs="Arial"/>
          <w:i/>
          <w:iCs/>
          <w:sz w:val="20"/>
          <w:szCs w:val="20"/>
        </w:rPr>
        <w:t>14</w:t>
      </w:r>
      <w:r w:rsidRPr="008A6DF9">
        <w:rPr>
          <w:rFonts w:ascii="Arial" w:hAnsi="Arial" w:cs="Arial"/>
          <w:sz w:val="20"/>
          <w:szCs w:val="20"/>
        </w:rPr>
        <w:t xml:space="preserve">, 100129. </w:t>
      </w:r>
      <w:r w:rsidRPr="008A6DF9">
        <w:rPr>
          <w:rStyle w:val="url"/>
          <w:rFonts w:ascii="Arial" w:hAnsi="Arial" w:cs="Arial"/>
          <w:sz w:val="20"/>
          <w:szCs w:val="20"/>
        </w:rPr>
        <w:t>https://doi.org/10.1016/j.horiz.2024.100129</w:t>
      </w:r>
    </w:p>
    <w:p w14:paraId="423A3F50"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Alao, M. A., Popoola, O. M., &amp; Ayodele, T. R. (2022). Waste</w:t>
      </w:r>
      <w:r w:rsidRPr="008A6DF9">
        <w:rPr>
          <w:rFonts w:ascii="Cambria Math" w:hAnsi="Cambria Math" w:cs="Cambria Math"/>
          <w:sz w:val="20"/>
          <w:szCs w:val="20"/>
        </w:rPr>
        <w:t>‐</w:t>
      </w:r>
      <w:r w:rsidRPr="008A6DF9">
        <w:rPr>
          <w:rFonts w:ascii="Arial" w:hAnsi="Arial" w:cs="Arial"/>
          <w:sz w:val="20"/>
          <w:szCs w:val="20"/>
        </w:rPr>
        <w:t>to</w:t>
      </w:r>
      <w:r w:rsidRPr="008A6DF9">
        <w:rPr>
          <w:rFonts w:ascii="Cambria Math" w:hAnsi="Cambria Math" w:cs="Cambria Math"/>
          <w:sz w:val="20"/>
          <w:szCs w:val="20"/>
        </w:rPr>
        <w:t>‐</w:t>
      </w:r>
      <w:r w:rsidRPr="008A6DF9">
        <w:rPr>
          <w:rFonts w:ascii="Arial" w:hAnsi="Arial" w:cs="Arial"/>
          <w:sz w:val="20"/>
          <w:szCs w:val="20"/>
        </w:rPr>
        <w:t xml:space="preserve">energy nexus: An overview of technologies and implementation for sustainable development. </w:t>
      </w:r>
      <w:r w:rsidRPr="008A6DF9">
        <w:rPr>
          <w:rFonts w:ascii="Arial" w:hAnsi="Arial" w:cs="Arial"/>
          <w:i/>
          <w:iCs/>
          <w:sz w:val="20"/>
          <w:szCs w:val="20"/>
        </w:rPr>
        <w:t>Cleaner Energy Systems</w:t>
      </w:r>
      <w:r w:rsidRPr="008A6DF9">
        <w:rPr>
          <w:rFonts w:ascii="Arial" w:hAnsi="Arial" w:cs="Arial"/>
          <w:sz w:val="20"/>
          <w:szCs w:val="20"/>
        </w:rPr>
        <w:t xml:space="preserve">, </w:t>
      </w:r>
      <w:r w:rsidRPr="008A6DF9">
        <w:rPr>
          <w:rFonts w:ascii="Arial" w:hAnsi="Arial" w:cs="Arial"/>
          <w:i/>
          <w:iCs/>
          <w:sz w:val="20"/>
          <w:szCs w:val="20"/>
        </w:rPr>
        <w:t>3</w:t>
      </w:r>
      <w:r w:rsidRPr="008A6DF9">
        <w:rPr>
          <w:rFonts w:ascii="Arial" w:hAnsi="Arial" w:cs="Arial"/>
          <w:sz w:val="20"/>
          <w:szCs w:val="20"/>
        </w:rPr>
        <w:t xml:space="preserve">, 100034. </w:t>
      </w:r>
      <w:r w:rsidRPr="008A6DF9">
        <w:rPr>
          <w:rStyle w:val="url"/>
          <w:rFonts w:ascii="Arial" w:hAnsi="Arial" w:cs="Arial"/>
          <w:sz w:val="20"/>
          <w:szCs w:val="20"/>
        </w:rPr>
        <w:t>https://doi.org/10.1016/j.cles.2022.100034</w:t>
      </w:r>
    </w:p>
    <w:p w14:paraId="4F9BA79E"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Balaba, S. J. G., Entia, A. C., Echavez, L. F. J., &amp; Vedra, S. A. (2024). Level of awareness and practices on solid waste Management at </w:t>
      </w:r>
      <w:proofErr w:type="spellStart"/>
      <w:r w:rsidRPr="008A6DF9">
        <w:rPr>
          <w:rFonts w:ascii="Arial" w:hAnsi="Arial" w:cs="Arial"/>
          <w:sz w:val="20"/>
          <w:szCs w:val="20"/>
        </w:rPr>
        <w:t>Initao</w:t>
      </w:r>
      <w:proofErr w:type="spellEnd"/>
      <w:r w:rsidRPr="008A6DF9">
        <w:rPr>
          <w:rFonts w:ascii="Arial" w:hAnsi="Arial" w:cs="Arial"/>
          <w:sz w:val="20"/>
          <w:szCs w:val="20"/>
        </w:rPr>
        <w:t xml:space="preserve"> College, Misamis Oriental, Philippines. </w:t>
      </w:r>
      <w:r w:rsidRPr="008A6DF9">
        <w:rPr>
          <w:rFonts w:ascii="Arial" w:hAnsi="Arial" w:cs="Arial"/>
          <w:i/>
          <w:iCs/>
          <w:sz w:val="20"/>
          <w:szCs w:val="20"/>
        </w:rPr>
        <w:t>International Journal of Science and Management Studies (IJSMS)</w:t>
      </w:r>
      <w:r w:rsidRPr="008A6DF9">
        <w:rPr>
          <w:rFonts w:ascii="Arial" w:hAnsi="Arial" w:cs="Arial"/>
          <w:sz w:val="20"/>
          <w:szCs w:val="20"/>
        </w:rPr>
        <w:t xml:space="preserve">, 208–215. </w:t>
      </w:r>
      <w:r w:rsidRPr="008A6DF9">
        <w:rPr>
          <w:rStyle w:val="url"/>
          <w:rFonts w:ascii="Arial" w:hAnsi="Arial" w:cs="Arial"/>
          <w:sz w:val="20"/>
          <w:szCs w:val="20"/>
        </w:rPr>
        <w:t>https://doi.org/10.51386/25815946/ijsms-v7i4p126</w:t>
      </w:r>
    </w:p>
    <w:p w14:paraId="217A4426"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proofErr w:type="spellStart"/>
      <w:r w:rsidRPr="008A6DF9">
        <w:rPr>
          <w:rFonts w:ascii="Arial" w:hAnsi="Arial" w:cs="Arial"/>
          <w:sz w:val="20"/>
          <w:szCs w:val="20"/>
        </w:rPr>
        <w:t>Coracero</w:t>
      </w:r>
      <w:proofErr w:type="spellEnd"/>
      <w:r w:rsidRPr="008A6DF9">
        <w:rPr>
          <w:rFonts w:ascii="Arial" w:hAnsi="Arial" w:cs="Arial"/>
          <w:sz w:val="20"/>
          <w:szCs w:val="20"/>
        </w:rPr>
        <w:t xml:space="preserve">, E. E., Gallego, R. J., Frago, K. J. M., &amp; Gonzales, R. J. R. (2021). A Long-Standing problem: A review on the solid waste management in the Philippines. </w:t>
      </w:r>
      <w:r w:rsidRPr="008A6DF9">
        <w:rPr>
          <w:rFonts w:ascii="Arial" w:hAnsi="Arial" w:cs="Arial"/>
          <w:i/>
          <w:iCs/>
          <w:sz w:val="20"/>
          <w:szCs w:val="20"/>
        </w:rPr>
        <w:t>Indonesian Journal of Social and Environmental Issues (IJSEI)</w:t>
      </w:r>
      <w:r w:rsidRPr="008A6DF9">
        <w:rPr>
          <w:rFonts w:ascii="Arial" w:hAnsi="Arial" w:cs="Arial"/>
          <w:sz w:val="20"/>
          <w:szCs w:val="20"/>
        </w:rPr>
        <w:t xml:space="preserve">, </w:t>
      </w:r>
      <w:r w:rsidRPr="008A6DF9">
        <w:rPr>
          <w:rFonts w:ascii="Arial" w:hAnsi="Arial" w:cs="Arial"/>
          <w:i/>
          <w:iCs/>
          <w:sz w:val="20"/>
          <w:szCs w:val="20"/>
        </w:rPr>
        <w:t>2</w:t>
      </w:r>
      <w:r w:rsidRPr="008A6DF9">
        <w:rPr>
          <w:rFonts w:ascii="Arial" w:hAnsi="Arial" w:cs="Arial"/>
          <w:sz w:val="20"/>
          <w:szCs w:val="20"/>
        </w:rPr>
        <w:t xml:space="preserve">(3), 213–220. </w:t>
      </w:r>
      <w:r w:rsidRPr="008A6DF9">
        <w:rPr>
          <w:rStyle w:val="url"/>
          <w:rFonts w:ascii="Arial" w:hAnsi="Arial" w:cs="Arial"/>
          <w:sz w:val="20"/>
          <w:szCs w:val="20"/>
        </w:rPr>
        <w:t>https://doi.org/10.47540/ijsei.v2i3.144</w:t>
      </w:r>
    </w:p>
    <w:p w14:paraId="6A9520EC"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proofErr w:type="spellStart"/>
      <w:r w:rsidRPr="008A6DF9">
        <w:rPr>
          <w:rFonts w:ascii="Arial" w:hAnsi="Arial" w:cs="Arial"/>
          <w:sz w:val="20"/>
          <w:szCs w:val="20"/>
        </w:rPr>
        <w:t>Dolipas</w:t>
      </w:r>
      <w:proofErr w:type="spellEnd"/>
      <w:r w:rsidRPr="008A6DF9">
        <w:rPr>
          <w:rFonts w:ascii="Arial" w:hAnsi="Arial" w:cs="Arial"/>
          <w:sz w:val="20"/>
          <w:szCs w:val="20"/>
        </w:rPr>
        <w:t xml:space="preserve">, B. B., Ramos, J. L. S., </w:t>
      </w:r>
      <w:proofErr w:type="spellStart"/>
      <w:r w:rsidRPr="008A6DF9">
        <w:rPr>
          <w:rFonts w:ascii="Arial" w:hAnsi="Arial" w:cs="Arial"/>
          <w:sz w:val="20"/>
          <w:szCs w:val="20"/>
        </w:rPr>
        <w:t>Alimondo</w:t>
      </w:r>
      <w:proofErr w:type="spellEnd"/>
      <w:r w:rsidRPr="008A6DF9">
        <w:rPr>
          <w:rFonts w:ascii="Arial" w:hAnsi="Arial" w:cs="Arial"/>
          <w:sz w:val="20"/>
          <w:szCs w:val="20"/>
        </w:rPr>
        <w:t xml:space="preserve">, M. S., Ocampo, P. S., &amp; </w:t>
      </w:r>
      <w:proofErr w:type="spellStart"/>
      <w:r w:rsidRPr="008A6DF9">
        <w:rPr>
          <w:rFonts w:ascii="Arial" w:hAnsi="Arial" w:cs="Arial"/>
          <w:sz w:val="20"/>
          <w:szCs w:val="20"/>
        </w:rPr>
        <w:t>Fulwani</w:t>
      </w:r>
      <w:proofErr w:type="spellEnd"/>
      <w:r w:rsidRPr="008A6DF9">
        <w:rPr>
          <w:rFonts w:ascii="Arial" w:hAnsi="Arial" w:cs="Arial"/>
          <w:sz w:val="20"/>
          <w:szCs w:val="20"/>
        </w:rPr>
        <w:t xml:space="preserve">, D. L. A. (2020). Awareness and Compliance on waste segregation: Implication to a waste management program in a university. </w:t>
      </w:r>
      <w:r w:rsidRPr="008A6DF9">
        <w:rPr>
          <w:rFonts w:ascii="Arial" w:hAnsi="Arial" w:cs="Arial"/>
          <w:i/>
          <w:iCs/>
          <w:sz w:val="20"/>
          <w:szCs w:val="20"/>
        </w:rPr>
        <w:t>Athens Journal of Sciences</w:t>
      </w:r>
      <w:r w:rsidRPr="008A6DF9">
        <w:rPr>
          <w:rFonts w:ascii="Arial" w:hAnsi="Arial" w:cs="Arial"/>
          <w:sz w:val="20"/>
          <w:szCs w:val="20"/>
        </w:rPr>
        <w:t xml:space="preserve">, </w:t>
      </w:r>
      <w:r w:rsidRPr="008A6DF9">
        <w:rPr>
          <w:rFonts w:ascii="Arial" w:hAnsi="Arial" w:cs="Arial"/>
          <w:i/>
          <w:iCs/>
          <w:sz w:val="20"/>
          <w:szCs w:val="20"/>
        </w:rPr>
        <w:t>7</w:t>
      </w:r>
      <w:r w:rsidRPr="008A6DF9">
        <w:rPr>
          <w:rFonts w:ascii="Arial" w:hAnsi="Arial" w:cs="Arial"/>
          <w:sz w:val="20"/>
          <w:szCs w:val="20"/>
        </w:rPr>
        <w:t xml:space="preserve">(2), 67–76. </w:t>
      </w:r>
      <w:r w:rsidRPr="008A6DF9">
        <w:rPr>
          <w:rStyle w:val="url"/>
          <w:rFonts w:ascii="Arial" w:hAnsi="Arial" w:cs="Arial"/>
          <w:sz w:val="20"/>
          <w:szCs w:val="20"/>
        </w:rPr>
        <w:t>https://doi.org/10.30958/ajs.7-2-1</w:t>
      </w:r>
    </w:p>
    <w:p w14:paraId="761CE3A2"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Ghisellini, P., Cialani, C., &amp; </w:t>
      </w:r>
      <w:proofErr w:type="spellStart"/>
      <w:r w:rsidRPr="008A6DF9">
        <w:rPr>
          <w:rFonts w:ascii="Arial" w:hAnsi="Arial" w:cs="Arial"/>
          <w:sz w:val="20"/>
          <w:szCs w:val="20"/>
        </w:rPr>
        <w:t>Ulgiati</w:t>
      </w:r>
      <w:proofErr w:type="spellEnd"/>
      <w:r w:rsidRPr="008A6DF9">
        <w:rPr>
          <w:rFonts w:ascii="Arial" w:hAnsi="Arial" w:cs="Arial"/>
          <w:sz w:val="20"/>
          <w:szCs w:val="20"/>
        </w:rPr>
        <w:t xml:space="preserve">, S. (2015). A review on circular economy: the expected transition to a balanced interplay of environmental and economic systems.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114</w:t>
      </w:r>
      <w:r w:rsidRPr="008A6DF9">
        <w:rPr>
          <w:rFonts w:ascii="Arial" w:hAnsi="Arial" w:cs="Arial"/>
          <w:sz w:val="20"/>
          <w:szCs w:val="20"/>
        </w:rPr>
        <w:t xml:space="preserve">, 11–32. </w:t>
      </w:r>
      <w:r w:rsidRPr="008A6DF9">
        <w:rPr>
          <w:rStyle w:val="url"/>
          <w:rFonts w:ascii="Arial" w:hAnsi="Arial" w:cs="Arial"/>
          <w:sz w:val="20"/>
          <w:szCs w:val="20"/>
        </w:rPr>
        <w:t>https://doi.org/10.1016/j.jclepro.2015.09.007</w:t>
      </w:r>
    </w:p>
    <w:p w14:paraId="4D55BF41"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i/>
          <w:iCs/>
          <w:sz w:val="20"/>
          <w:szCs w:val="20"/>
        </w:rPr>
        <w:t>ISO 14001:2015</w:t>
      </w:r>
      <w:r w:rsidRPr="008A6DF9">
        <w:rPr>
          <w:rFonts w:ascii="Arial" w:hAnsi="Arial" w:cs="Arial"/>
          <w:sz w:val="20"/>
          <w:szCs w:val="20"/>
        </w:rPr>
        <w:t xml:space="preserve">. (n.d.). ISO. </w:t>
      </w:r>
      <w:r w:rsidRPr="008A6DF9">
        <w:rPr>
          <w:rStyle w:val="url"/>
          <w:rFonts w:ascii="Arial" w:hAnsi="Arial" w:cs="Arial"/>
          <w:sz w:val="20"/>
          <w:szCs w:val="20"/>
        </w:rPr>
        <w:t>https://www.iso.org/standard/60857.html</w:t>
      </w:r>
    </w:p>
    <w:p w14:paraId="6D96EEC3"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Kaza, S., Yao, L. C., </w:t>
      </w:r>
      <w:proofErr w:type="spellStart"/>
      <w:r w:rsidRPr="008A6DF9">
        <w:rPr>
          <w:rFonts w:ascii="Arial" w:hAnsi="Arial" w:cs="Arial"/>
          <w:sz w:val="20"/>
          <w:szCs w:val="20"/>
        </w:rPr>
        <w:t>Bhada</w:t>
      </w:r>
      <w:proofErr w:type="spellEnd"/>
      <w:r w:rsidRPr="008A6DF9">
        <w:rPr>
          <w:rFonts w:ascii="Arial" w:hAnsi="Arial" w:cs="Arial"/>
          <w:sz w:val="20"/>
          <w:szCs w:val="20"/>
        </w:rPr>
        <w:t xml:space="preserve">-Tata, P., &amp; Van </w:t>
      </w:r>
      <w:proofErr w:type="spellStart"/>
      <w:r w:rsidRPr="008A6DF9">
        <w:rPr>
          <w:rFonts w:ascii="Arial" w:hAnsi="Arial" w:cs="Arial"/>
          <w:sz w:val="20"/>
          <w:szCs w:val="20"/>
        </w:rPr>
        <w:t>Woerden</w:t>
      </w:r>
      <w:proofErr w:type="spellEnd"/>
      <w:r w:rsidRPr="008A6DF9">
        <w:rPr>
          <w:rFonts w:ascii="Arial" w:hAnsi="Arial" w:cs="Arial"/>
          <w:sz w:val="20"/>
          <w:szCs w:val="20"/>
        </w:rPr>
        <w:t xml:space="preserve">, F. (2018). What a Waste 2.0: A Global Snapshot of Solid waste Management to 2050. In </w:t>
      </w:r>
      <w:r w:rsidRPr="008A6DF9">
        <w:rPr>
          <w:rFonts w:ascii="Arial" w:hAnsi="Arial" w:cs="Arial"/>
          <w:i/>
          <w:iCs/>
          <w:sz w:val="20"/>
          <w:szCs w:val="20"/>
        </w:rPr>
        <w:t>Washington, DC: World Bank eBooks</w:t>
      </w:r>
      <w:r w:rsidRPr="008A6DF9">
        <w:rPr>
          <w:rFonts w:ascii="Arial" w:hAnsi="Arial" w:cs="Arial"/>
          <w:sz w:val="20"/>
          <w:szCs w:val="20"/>
        </w:rPr>
        <w:t xml:space="preserve">. </w:t>
      </w:r>
      <w:r w:rsidRPr="008A6DF9">
        <w:rPr>
          <w:rStyle w:val="url"/>
          <w:rFonts w:ascii="Arial" w:hAnsi="Arial" w:cs="Arial"/>
          <w:sz w:val="20"/>
          <w:szCs w:val="20"/>
        </w:rPr>
        <w:t>https://doi.org/10.1596/978-1-4648-1329-0</w:t>
      </w:r>
    </w:p>
    <w:p w14:paraId="525299FD"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proofErr w:type="spellStart"/>
      <w:r w:rsidRPr="008A6DF9">
        <w:rPr>
          <w:rFonts w:ascii="Arial" w:hAnsi="Arial" w:cs="Arial"/>
          <w:sz w:val="20"/>
          <w:szCs w:val="20"/>
        </w:rPr>
        <w:t>Kurdve</w:t>
      </w:r>
      <w:proofErr w:type="spellEnd"/>
      <w:r w:rsidRPr="008A6DF9">
        <w:rPr>
          <w:rFonts w:ascii="Arial" w:hAnsi="Arial" w:cs="Arial"/>
          <w:sz w:val="20"/>
          <w:szCs w:val="20"/>
        </w:rPr>
        <w:t xml:space="preserve">, M., Shahbazi, S., </w:t>
      </w:r>
      <w:proofErr w:type="spellStart"/>
      <w:r w:rsidRPr="008A6DF9">
        <w:rPr>
          <w:rFonts w:ascii="Arial" w:hAnsi="Arial" w:cs="Arial"/>
          <w:sz w:val="20"/>
          <w:szCs w:val="20"/>
        </w:rPr>
        <w:t>Wendin</w:t>
      </w:r>
      <w:proofErr w:type="spellEnd"/>
      <w:r w:rsidRPr="008A6DF9">
        <w:rPr>
          <w:rFonts w:ascii="Arial" w:hAnsi="Arial" w:cs="Arial"/>
          <w:sz w:val="20"/>
          <w:szCs w:val="20"/>
        </w:rPr>
        <w:t xml:space="preserve">, M., Bengtsson, C., &amp; Wiktorsson, M. (2014). Waste flow mapping to improve sustainability of waste management: a case study approach.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98</w:t>
      </w:r>
      <w:r w:rsidRPr="008A6DF9">
        <w:rPr>
          <w:rFonts w:ascii="Arial" w:hAnsi="Arial" w:cs="Arial"/>
          <w:sz w:val="20"/>
          <w:szCs w:val="20"/>
        </w:rPr>
        <w:t xml:space="preserve">, 304–315. </w:t>
      </w:r>
      <w:r w:rsidRPr="008A6DF9">
        <w:rPr>
          <w:rStyle w:val="url"/>
          <w:rFonts w:ascii="Arial" w:hAnsi="Arial" w:cs="Arial"/>
          <w:sz w:val="20"/>
          <w:szCs w:val="20"/>
        </w:rPr>
        <w:t>https://doi.org/10.1016/j.jclepro.2014.06.076</w:t>
      </w:r>
    </w:p>
    <w:p w14:paraId="45EA4F29"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Numfor, S. A., </w:t>
      </w:r>
      <w:proofErr w:type="spellStart"/>
      <w:r w:rsidRPr="008A6DF9">
        <w:rPr>
          <w:rFonts w:ascii="Arial" w:hAnsi="Arial" w:cs="Arial"/>
          <w:sz w:val="20"/>
          <w:szCs w:val="20"/>
        </w:rPr>
        <w:t>Omosa</w:t>
      </w:r>
      <w:proofErr w:type="spellEnd"/>
      <w:r w:rsidRPr="008A6DF9">
        <w:rPr>
          <w:rFonts w:ascii="Arial" w:hAnsi="Arial" w:cs="Arial"/>
          <w:sz w:val="20"/>
          <w:szCs w:val="20"/>
        </w:rPr>
        <w:t xml:space="preserve">, G. B., Zhang, Z., &amp; </w:t>
      </w:r>
      <w:proofErr w:type="spellStart"/>
      <w:r w:rsidRPr="008A6DF9">
        <w:rPr>
          <w:rFonts w:ascii="Arial" w:hAnsi="Arial" w:cs="Arial"/>
          <w:sz w:val="20"/>
          <w:szCs w:val="20"/>
        </w:rPr>
        <w:t>Matsubae</w:t>
      </w:r>
      <w:proofErr w:type="spellEnd"/>
      <w:r w:rsidRPr="008A6DF9">
        <w:rPr>
          <w:rFonts w:ascii="Arial" w:hAnsi="Arial" w:cs="Arial"/>
          <w:sz w:val="20"/>
          <w:szCs w:val="20"/>
        </w:rPr>
        <w:t xml:space="preserve">, K. (2021). A review of Challenges and Opportunities for End-of-Life Vehicle Recycling in Developing Countries and Emerging Economies: A SWOT analysis. </w:t>
      </w:r>
      <w:r w:rsidRPr="008A6DF9">
        <w:rPr>
          <w:rFonts w:ascii="Arial" w:hAnsi="Arial" w:cs="Arial"/>
          <w:i/>
          <w:iCs/>
          <w:sz w:val="20"/>
          <w:szCs w:val="20"/>
        </w:rPr>
        <w:t>Sustainability</w:t>
      </w:r>
      <w:r w:rsidRPr="008A6DF9">
        <w:rPr>
          <w:rFonts w:ascii="Arial" w:hAnsi="Arial" w:cs="Arial"/>
          <w:sz w:val="20"/>
          <w:szCs w:val="20"/>
        </w:rPr>
        <w:t xml:space="preserve">, </w:t>
      </w:r>
      <w:r w:rsidRPr="008A6DF9">
        <w:rPr>
          <w:rFonts w:ascii="Arial" w:hAnsi="Arial" w:cs="Arial"/>
          <w:i/>
          <w:iCs/>
          <w:sz w:val="20"/>
          <w:szCs w:val="20"/>
        </w:rPr>
        <w:t>13</w:t>
      </w:r>
      <w:r w:rsidRPr="008A6DF9">
        <w:rPr>
          <w:rFonts w:ascii="Arial" w:hAnsi="Arial" w:cs="Arial"/>
          <w:sz w:val="20"/>
          <w:szCs w:val="20"/>
        </w:rPr>
        <w:t xml:space="preserve">(9), 4918. </w:t>
      </w:r>
      <w:r w:rsidRPr="008A6DF9">
        <w:rPr>
          <w:rStyle w:val="url"/>
          <w:rFonts w:ascii="Arial" w:hAnsi="Arial" w:cs="Arial"/>
          <w:sz w:val="20"/>
          <w:szCs w:val="20"/>
        </w:rPr>
        <w:t>https://doi.org/10.3390/su13094918</w:t>
      </w:r>
    </w:p>
    <w:p w14:paraId="48EB9FFA"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Rahmat, A. F., Bujdosó, Z., &amp; Dávid, L. D. (2025). Waste Management Policy in Four ASEAN Countries: Emerging Contemporary Issues from Research Works. </w:t>
      </w:r>
      <w:r w:rsidRPr="008A6DF9">
        <w:rPr>
          <w:rFonts w:ascii="Arial" w:hAnsi="Arial" w:cs="Arial"/>
          <w:i/>
          <w:iCs/>
          <w:sz w:val="20"/>
          <w:szCs w:val="20"/>
        </w:rPr>
        <w:t xml:space="preserve">Forum </w:t>
      </w:r>
      <w:proofErr w:type="spellStart"/>
      <w:r w:rsidRPr="008A6DF9">
        <w:rPr>
          <w:rFonts w:ascii="Arial" w:hAnsi="Arial" w:cs="Arial"/>
          <w:i/>
          <w:iCs/>
          <w:sz w:val="20"/>
          <w:szCs w:val="20"/>
        </w:rPr>
        <w:t>Geografi</w:t>
      </w:r>
      <w:proofErr w:type="spellEnd"/>
      <w:r w:rsidRPr="008A6DF9">
        <w:rPr>
          <w:rFonts w:ascii="Arial" w:hAnsi="Arial" w:cs="Arial"/>
          <w:sz w:val="20"/>
          <w:szCs w:val="20"/>
        </w:rPr>
        <w:t xml:space="preserve">, </w:t>
      </w:r>
      <w:r w:rsidRPr="008A6DF9">
        <w:rPr>
          <w:rFonts w:ascii="Arial" w:hAnsi="Arial" w:cs="Arial"/>
          <w:i/>
          <w:iCs/>
          <w:sz w:val="20"/>
          <w:szCs w:val="20"/>
        </w:rPr>
        <w:t>39</w:t>
      </w:r>
      <w:r w:rsidRPr="008A6DF9">
        <w:rPr>
          <w:rFonts w:ascii="Arial" w:hAnsi="Arial" w:cs="Arial"/>
          <w:sz w:val="20"/>
          <w:szCs w:val="20"/>
        </w:rPr>
        <w:t xml:space="preserve">(2), 250–267. </w:t>
      </w:r>
      <w:r w:rsidRPr="008A6DF9">
        <w:rPr>
          <w:rStyle w:val="url"/>
          <w:rFonts w:ascii="Arial" w:hAnsi="Arial" w:cs="Arial"/>
          <w:sz w:val="20"/>
          <w:szCs w:val="20"/>
        </w:rPr>
        <w:t>https://doi.org/10.23917/forgeo.v39i2.10086</w:t>
      </w:r>
    </w:p>
    <w:p w14:paraId="1265099F"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Ritu, V. W. F. L. C. L. N. S. T. P. S. a. S. T. M. R. F. M. R. a. K. R. B. G. (n.d.). </w:t>
      </w:r>
      <w:r w:rsidRPr="008A6DF9">
        <w:rPr>
          <w:rFonts w:ascii="Arial" w:hAnsi="Arial" w:cs="Arial"/>
          <w:i/>
          <w:iCs/>
          <w:sz w:val="20"/>
          <w:szCs w:val="20"/>
        </w:rPr>
        <w:t xml:space="preserve">What a Waste </w:t>
      </w:r>
      <w:proofErr w:type="gramStart"/>
      <w:r w:rsidRPr="008A6DF9">
        <w:rPr>
          <w:rFonts w:ascii="Arial" w:hAnsi="Arial" w:cs="Arial"/>
          <w:i/>
          <w:iCs/>
          <w:sz w:val="20"/>
          <w:szCs w:val="20"/>
        </w:rPr>
        <w:t>2.0 :</w:t>
      </w:r>
      <w:proofErr w:type="gramEnd"/>
      <w:r w:rsidRPr="008A6DF9">
        <w:rPr>
          <w:rFonts w:ascii="Arial" w:hAnsi="Arial" w:cs="Arial"/>
          <w:i/>
          <w:iCs/>
          <w:sz w:val="20"/>
          <w:szCs w:val="20"/>
        </w:rPr>
        <w:t xml:space="preserve"> A Global Snapshot of Solid waste Management to 2050</w:t>
      </w:r>
      <w:r w:rsidRPr="008A6DF9">
        <w:rPr>
          <w:rFonts w:ascii="Arial" w:hAnsi="Arial" w:cs="Arial"/>
          <w:sz w:val="20"/>
          <w:szCs w:val="20"/>
        </w:rPr>
        <w:t xml:space="preserve">. World Bank. </w:t>
      </w:r>
      <w:r w:rsidRPr="008A6DF9">
        <w:rPr>
          <w:rStyle w:val="url"/>
          <w:rFonts w:ascii="Arial" w:hAnsi="Arial" w:cs="Arial"/>
          <w:sz w:val="20"/>
          <w:szCs w:val="20"/>
        </w:rPr>
        <w:t>https://documents.worldbank.org/en/publication/documents-reports/documentdetail/697271544470229584/what-a-waste-2-0-a-global-snapshot-of-solid-waste-management-to-2050</w:t>
      </w:r>
    </w:p>
    <w:p w14:paraId="492EDD65"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Santini, A., </w:t>
      </w:r>
      <w:proofErr w:type="spellStart"/>
      <w:r w:rsidRPr="008A6DF9">
        <w:rPr>
          <w:rFonts w:ascii="Arial" w:hAnsi="Arial" w:cs="Arial"/>
          <w:sz w:val="20"/>
          <w:szCs w:val="20"/>
        </w:rPr>
        <w:t>Passarini</w:t>
      </w:r>
      <w:proofErr w:type="spellEnd"/>
      <w:r w:rsidRPr="008A6DF9">
        <w:rPr>
          <w:rFonts w:ascii="Arial" w:hAnsi="Arial" w:cs="Arial"/>
          <w:sz w:val="20"/>
          <w:szCs w:val="20"/>
        </w:rPr>
        <w:t xml:space="preserve">, F., </w:t>
      </w:r>
      <w:proofErr w:type="spellStart"/>
      <w:r w:rsidRPr="008A6DF9">
        <w:rPr>
          <w:rFonts w:ascii="Arial" w:hAnsi="Arial" w:cs="Arial"/>
          <w:sz w:val="20"/>
          <w:szCs w:val="20"/>
        </w:rPr>
        <w:t>Vassura</w:t>
      </w:r>
      <w:proofErr w:type="spellEnd"/>
      <w:r w:rsidRPr="008A6DF9">
        <w:rPr>
          <w:rFonts w:ascii="Arial" w:hAnsi="Arial" w:cs="Arial"/>
          <w:sz w:val="20"/>
          <w:szCs w:val="20"/>
        </w:rPr>
        <w:t xml:space="preserve">, I., Serrano, D., Dufour, J., &amp; </w:t>
      </w:r>
      <w:proofErr w:type="spellStart"/>
      <w:r w:rsidRPr="008A6DF9">
        <w:rPr>
          <w:rFonts w:ascii="Arial" w:hAnsi="Arial" w:cs="Arial"/>
          <w:sz w:val="20"/>
          <w:szCs w:val="20"/>
        </w:rPr>
        <w:t>Morselli</w:t>
      </w:r>
      <w:proofErr w:type="spellEnd"/>
      <w:r w:rsidRPr="008A6DF9">
        <w:rPr>
          <w:rFonts w:ascii="Arial" w:hAnsi="Arial" w:cs="Arial"/>
          <w:sz w:val="20"/>
          <w:szCs w:val="20"/>
        </w:rPr>
        <w:t xml:space="preserve">, L. (2011). Auto shredder residue recycling: Mechanical separation and pyrolysis. </w:t>
      </w:r>
      <w:r w:rsidRPr="008A6DF9">
        <w:rPr>
          <w:rFonts w:ascii="Arial" w:hAnsi="Arial" w:cs="Arial"/>
          <w:i/>
          <w:iCs/>
          <w:sz w:val="20"/>
          <w:szCs w:val="20"/>
        </w:rPr>
        <w:t>Waste Management</w:t>
      </w:r>
      <w:r w:rsidRPr="008A6DF9">
        <w:rPr>
          <w:rFonts w:ascii="Arial" w:hAnsi="Arial" w:cs="Arial"/>
          <w:sz w:val="20"/>
          <w:szCs w:val="20"/>
        </w:rPr>
        <w:t xml:space="preserve">, </w:t>
      </w:r>
      <w:r w:rsidRPr="008A6DF9">
        <w:rPr>
          <w:rFonts w:ascii="Arial" w:hAnsi="Arial" w:cs="Arial"/>
          <w:i/>
          <w:iCs/>
          <w:sz w:val="20"/>
          <w:szCs w:val="20"/>
        </w:rPr>
        <w:t>32</w:t>
      </w:r>
      <w:r w:rsidRPr="008A6DF9">
        <w:rPr>
          <w:rFonts w:ascii="Arial" w:hAnsi="Arial" w:cs="Arial"/>
          <w:sz w:val="20"/>
          <w:szCs w:val="20"/>
        </w:rPr>
        <w:t xml:space="preserve">(5), 852–858. </w:t>
      </w:r>
      <w:r w:rsidRPr="008A6DF9">
        <w:rPr>
          <w:rStyle w:val="url"/>
          <w:rFonts w:ascii="Arial" w:hAnsi="Arial" w:cs="Arial"/>
          <w:sz w:val="20"/>
          <w:szCs w:val="20"/>
        </w:rPr>
        <w:t>https://doi.org/10.1016/j.wasman.2011.10.030</w:t>
      </w:r>
    </w:p>
    <w:p w14:paraId="25F05438"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Shahab, S., Anjum, M., &amp; Umar, M. S. (2022). Deep Learning Applications in Solid Waste Management: A Deep Literature Review. </w:t>
      </w:r>
      <w:r w:rsidRPr="008A6DF9">
        <w:rPr>
          <w:rFonts w:ascii="Arial" w:hAnsi="Arial" w:cs="Arial"/>
          <w:i/>
          <w:iCs/>
          <w:sz w:val="20"/>
          <w:szCs w:val="20"/>
        </w:rPr>
        <w:t>International Journal of Advanced Computer Science and Applications</w:t>
      </w:r>
      <w:r w:rsidRPr="008A6DF9">
        <w:rPr>
          <w:rFonts w:ascii="Arial" w:hAnsi="Arial" w:cs="Arial"/>
          <w:sz w:val="20"/>
          <w:szCs w:val="20"/>
        </w:rPr>
        <w:t xml:space="preserve">, </w:t>
      </w:r>
      <w:r w:rsidRPr="008A6DF9">
        <w:rPr>
          <w:rFonts w:ascii="Arial" w:hAnsi="Arial" w:cs="Arial"/>
          <w:i/>
          <w:iCs/>
          <w:sz w:val="20"/>
          <w:szCs w:val="20"/>
        </w:rPr>
        <w:t>13</w:t>
      </w:r>
      <w:r w:rsidRPr="008A6DF9">
        <w:rPr>
          <w:rFonts w:ascii="Arial" w:hAnsi="Arial" w:cs="Arial"/>
          <w:sz w:val="20"/>
          <w:szCs w:val="20"/>
        </w:rPr>
        <w:t xml:space="preserve">(3). </w:t>
      </w:r>
      <w:r w:rsidRPr="008A6DF9">
        <w:rPr>
          <w:rStyle w:val="url"/>
          <w:rFonts w:ascii="Arial" w:hAnsi="Arial" w:cs="Arial"/>
          <w:sz w:val="20"/>
          <w:szCs w:val="20"/>
        </w:rPr>
        <w:t>https://doi.org/10.14569/ijacsa.2022.0130347</w:t>
      </w:r>
    </w:p>
    <w:p w14:paraId="0FDBAABC"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Vijayan, S. K., &amp; Bhattacharya, S. (2023). Processing of automotive shredder residues: Economic evaluation of a process for energy and high-value metals recovery. </w:t>
      </w:r>
      <w:r w:rsidRPr="008A6DF9">
        <w:rPr>
          <w:rFonts w:ascii="Arial" w:hAnsi="Arial" w:cs="Arial"/>
          <w:i/>
          <w:iCs/>
          <w:sz w:val="20"/>
          <w:szCs w:val="20"/>
        </w:rPr>
        <w:t>Cleaner Chemical Engineering</w:t>
      </w:r>
      <w:r w:rsidRPr="008A6DF9">
        <w:rPr>
          <w:rFonts w:ascii="Arial" w:hAnsi="Arial" w:cs="Arial"/>
          <w:sz w:val="20"/>
          <w:szCs w:val="20"/>
        </w:rPr>
        <w:t xml:space="preserve">, </w:t>
      </w:r>
      <w:r w:rsidRPr="008A6DF9">
        <w:rPr>
          <w:rFonts w:ascii="Arial" w:hAnsi="Arial" w:cs="Arial"/>
          <w:i/>
          <w:iCs/>
          <w:sz w:val="20"/>
          <w:szCs w:val="20"/>
        </w:rPr>
        <w:t>6</w:t>
      </w:r>
      <w:r w:rsidRPr="008A6DF9">
        <w:rPr>
          <w:rFonts w:ascii="Arial" w:hAnsi="Arial" w:cs="Arial"/>
          <w:sz w:val="20"/>
          <w:szCs w:val="20"/>
        </w:rPr>
        <w:t xml:space="preserve">, 100103. </w:t>
      </w:r>
      <w:r w:rsidRPr="008A6DF9">
        <w:rPr>
          <w:rStyle w:val="url"/>
          <w:rFonts w:ascii="Arial" w:hAnsi="Arial" w:cs="Arial"/>
          <w:sz w:val="20"/>
          <w:szCs w:val="20"/>
        </w:rPr>
        <w:t>https://doi.org/10.1016/j.clce.2023.100103</w:t>
      </w:r>
    </w:p>
    <w:p w14:paraId="79319F39"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Vijayan, S. K., </w:t>
      </w:r>
      <w:proofErr w:type="spellStart"/>
      <w:r w:rsidRPr="008A6DF9">
        <w:rPr>
          <w:rFonts w:ascii="Arial" w:hAnsi="Arial" w:cs="Arial"/>
          <w:sz w:val="20"/>
          <w:szCs w:val="20"/>
        </w:rPr>
        <w:t>Sahajwalla</w:t>
      </w:r>
      <w:proofErr w:type="spellEnd"/>
      <w:r w:rsidRPr="008A6DF9">
        <w:rPr>
          <w:rFonts w:ascii="Arial" w:hAnsi="Arial" w:cs="Arial"/>
          <w:sz w:val="20"/>
          <w:szCs w:val="20"/>
        </w:rPr>
        <w:t xml:space="preserve">, V., &amp; Bhattacharya, S. (2022). Insights into the options of energy and metal recovery from automotive shredder residue: A review. </w:t>
      </w:r>
      <w:r w:rsidRPr="008A6DF9">
        <w:rPr>
          <w:rFonts w:ascii="Arial" w:hAnsi="Arial" w:cs="Arial"/>
          <w:i/>
          <w:iCs/>
          <w:sz w:val="20"/>
          <w:szCs w:val="20"/>
        </w:rPr>
        <w:t>Resources Conservation &amp; Recycling Advances</w:t>
      </w:r>
      <w:r w:rsidRPr="008A6DF9">
        <w:rPr>
          <w:rFonts w:ascii="Arial" w:hAnsi="Arial" w:cs="Arial"/>
          <w:sz w:val="20"/>
          <w:szCs w:val="20"/>
        </w:rPr>
        <w:t xml:space="preserve">, </w:t>
      </w:r>
      <w:r w:rsidRPr="008A6DF9">
        <w:rPr>
          <w:rFonts w:ascii="Arial" w:hAnsi="Arial" w:cs="Arial"/>
          <w:i/>
          <w:iCs/>
          <w:sz w:val="20"/>
          <w:szCs w:val="20"/>
        </w:rPr>
        <w:t>15</w:t>
      </w:r>
      <w:r w:rsidRPr="008A6DF9">
        <w:rPr>
          <w:rFonts w:ascii="Arial" w:hAnsi="Arial" w:cs="Arial"/>
          <w:sz w:val="20"/>
          <w:szCs w:val="20"/>
        </w:rPr>
        <w:t xml:space="preserve">, 200097. </w:t>
      </w:r>
      <w:r w:rsidRPr="008A6DF9">
        <w:rPr>
          <w:rStyle w:val="url"/>
          <w:rFonts w:ascii="Arial" w:hAnsi="Arial" w:cs="Arial"/>
          <w:sz w:val="20"/>
          <w:szCs w:val="20"/>
        </w:rPr>
        <w:t>https://doi.org/10.1016/j.rcradv.2022.200097</w:t>
      </w:r>
    </w:p>
    <w:p w14:paraId="7FB63EFF"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r w:rsidRPr="008A6DF9">
        <w:rPr>
          <w:rFonts w:ascii="Arial" w:hAnsi="Arial" w:cs="Arial"/>
          <w:sz w:val="20"/>
          <w:szCs w:val="20"/>
        </w:rPr>
        <w:t xml:space="preserve">Zaman, A. U. (2014). A comprehensive review of the development of zero waste management: lessons learned and guidelines. </w:t>
      </w:r>
      <w:r w:rsidRPr="008A6DF9">
        <w:rPr>
          <w:rFonts w:ascii="Arial" w:hAnsi="Arial" w:cs="Arial"/>
          <w:i/>
          <w:iCs/>
          <w:sz w:val="20"/>
          <w:szCs w:val="20"/>
        </w:rPr>
        <w:t>Journal of Cleaner Production</w:t>
      </w:r>
      <w:r w:rsidRPr="008A6DF9">
        <w:rPr>
          <w:rFonts w:ascii="Arial" w:hAnsi="Arial" w:cs="Arial"/>
          <w:sz w:val="20"/>
          <w:szCs w:val="20"/>
        </w:rPr>
        <w:t xml:space="preserve">, </w:t>
      </w:r>
      <w:r w:rsidRPr="008A6DF9">
        <w:rPr>
          <w:rFonts w:ascii="Arial" w:hAnsi="Arial" w:cs="Arial"/>
          <w:i/>
          <w:iCs/>
          <w:sz w:val="20"/>
          <w:szCs w:val="20"/>
        </w:rPr>
        <w:t>91</w:t>
      </w:r>
      <w:r w:rsidRPr="008A6DF9">
        <w:rPr>
          <w:rFonts w:ascii="Arial" w:hAnsi="Arial" w:cs="Arial"/>
          <w:sz w:val="20"/>
          <w:szCs w:val="20"/>
        </w:rPr>
        <w:t xml:space="preserve">, 12–25. </w:t>
      </w:r>
      <w:r w:rsidRPr="008A6DF9">
        <w:rPr>
          <w:rStyle w:val="url"/>
          <w:rFonts w:ascii="Arial" w:hAnsi="Arial" w:cs="Arial"/>
          <w:sz w:val="20"/>
          <w:szCs w:val="20"/>
        </w:rPr>
        <w:t>https://doi.org/10.1016/j.jclepro.2014.12.013</w:t>
      </w:r>
    </w:p>
    <w:p w14:paraId="0D9BAF0E" w14:textId="77777777" w:rsidR="008A6DF9" w:rsidRPr="008A6DF9" w:rsidRDefault="008A6DF9" w:rsidP="008A6DF9">
      <w:pPr>
        <w:pStyle w:val="NormalWeb"/>
        <w:spacing w:before="0" w:beforeAutospacing="0" w:after="240" w:afterAutospacing="0"/>
        <w:ind w:left="720" w:hanging="720"/>
        <w:jc w:val="both"/>
        <w:rPr>
          <w:rFonts w:ascii="Arial" w:hAnsi="Arial" w:cs="Arial"/>
          <w:sz w:val="20"/>
          <w:szCs w:val="20"/>
        </w:rPr>
      </w:pPr>
      <w:proofErr w:type="spellStart"/>
      <w:r w:rsidRPr="008A6DF9">
        <w:rPr>
          <w:rFonts w:ascii="Arial" w:hAnsi="Arial" w:cs="Arial"/>
          <w:sz w:val="20"/>
          <w:szCs w:val="20"/>
        </w:rPr>
        <w:t>Zorpas</w:t>
      </w:r>
      <w:proofErr w:type="spellEnd"/>
      <w:r w:rsidRPr="008A6DF9">
        <w:rPr>
          <w:rFonts w:ascii="Arial" w:hAnsi="Arial" w:cs="Arial"/>
          <w:sz w:val="20"/>
          <w:szCs w:val="20"/>
        </w:rPr>
        <w:t xml:space="preserve">, A. A. (2020). Strategy development in the framework of waste management. </w:t>
      </w:r>
      <w:r w:rsidRPr="008A6DF9">
        <w:rPr>
          <w:rFonts w:ascii="Arial" w:hAnsi="Arial" w:cs="Arial"/>
          <w:i/>
          <w:iCs/>
          <w:sz w:val="20"/>
          <w:szCs w:val="20"/>
        </w:rPr>
        <w:t>The Science of the Total Environment</w:t>
      </w:r>
      <w:r w:rsidRPr="008A6DF9">
        <w:rPr>
          <w:rFonts w:ascii="Arial" w:hAnsi="Arial" w:cs="Arial"/>
          <w:sz w:val="20"/>
          <w:szCs w:val="20"/>
        </w:rPr>
        <w:t xml:space="preserve">, </w:t>
      </w:r>
      <w:r w:rsidRPr="008A6DF9">
        <w:rPr>
          <w:rFonts w:ascii="Arial" w:hAnsi="Arial" w:cs="Arial"/>
          <w:i/>
          <w:iCs/>
          <w:sz w:val="20"/>
          <w:szCs w:val="20"/>
        </w:rPr>
        <w:t>716</w:t>
      </w:r>
      <w:r w:rsidRPr="008A6DF9">
        <w:rPr>
          <w:rFonts w:ascii="Arial" w:hAnsi="Arial" w:cs="Arial"/>
          <w:sz w:val="20"/>
          <w:szCs w:val="20"/>
        </w:rPr>
        <w:t xml:space="preserve">, 137088. </w:t>
      </w:r>
      <w:r w:rsidRPr="008A6DF9">
        <w:rPr>
          <w:rStyle w:val="url"/>
          <w:rFonts w:ascii="Arial" w:hAnsi="Arial" w:cs="Arial"/>
          <w:sz w:val="20"/>
          <w:szCs w:val="20"/>
        </w:rPr>
        <w:t>https://doi.org/10.1016/j.scitotenv.2020.137088</w:t>
      </w:r>
    </w:p>
    <w:p w14:paraId="1EB5ECD5" w14:textId="75C6EA6F"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rPr>
        <w:t>.</w:t>
      </w:r>
    </w:p>
    <w:p w14:paraId="04A83AE2" w14:textId="46143D1D" w:rsidR="004D4277" w:rsidRPr="00A043CB" w:rsidRDefault="00A043CB" w:rsidP="00BA5D45">
      <w:pPr>
        <w:pStyle w:val="NormalWeb"/>
        <w:rPr>
          <w:rFonts w:ascii="Arial" w:hAnsi="Arial" w:cs="Arial"/>
          <w:b/>
          <w:bCs/>
          <w:sz w:val="22"/>
          <w:szCs w:val="22"/>
        </w:rPr>
      </w:pPr>
      <w:r w:rsidRPr="00A043CB">
        <w:rPr>
          <w:rFonts w:ascii="Arial" w:hAnsi="Arial" w:cs="Arial"/>
          <w:b/>
          <w:bCs/>
          <w:sz w:val="22"/>
          <w:szCs w:val="22"/>
        </w:rPr>
        <w:t>DEFINITIONS</w:t>
      </w:r>
      <w:r w:rsidR="004777B6">
        <w:rPr>
          <w:rFonts w:ascii="Arial" w:hAnsi="Arial" w:cs="Arial"/>
          <w:b/>
          <w:bCs/>
          <w:sz w:val="22"/>
          <w:szCs w:val="22"/>
        </w:rPr>
        <w:t xml:space="preserve"> OF TERMS:</w:t>
      </w:r>
    </w:p>
    <w:p w14:paraId="7614F54A" w14:textId="77777777" w:rsidR="004777B6" w:rsidRPr="004777B6" w:rsidRDefault="004777B6" w:rsidP="004777B6">
      <w:pPr>
        <w:pStyle w:val="NormalWeb"/>
        <w:jc w:val="both"/>
        <w:rPr>
          <w:rFonts w:ascii="Arial" w:hAnsi="Arial" w:cs="Arial"/>
          <w:sz w:val="20"/>
          <w:szCs w:val="20"/>
        </w:rPr>
      </w:pPr>
      <w:r w:rsidRPr="004777B6">
        <w:rPr>
          <w:rFonts w:ascii="Arial" w:hAnsi="Arial" w:cs="Arial"/>
          <w:b/>
          <w:bCs/>
          <w:sz w:val="20"/>
          <w:szCs w:val="20"/>
        </w:rPr>
        <w:t>Automotive Industries.</w:t>
      </w:r>
      <w:r w:rsidRPr="004777B6">
        <w:rPr>
          <w:rFonts w:ascii="Arial" w:hAnsi="Arial" w:cs="Arial"/>
          <w:sz w:val="20"/>
          <w:szCs w:val="20"/>
        </w:rPr>
        <w:t xml:space="preserve"> It </w:t>
      </w:r>
      <w:proofErr w:type="gramStart"/>
      <w:r w:rsidRPr="004777B6">
        <w:rPr>
          <w:rFonts w:ascii="Arial" w:hAnsi="Arial" w:cs="Arial"/>
          <w:sz w:val="20"/>
          <w:szCs w:val="20"/>
        </w:rPr>
        <w:t>refer</w:t>
      </w:r>
      <w:proofErr w:type="gramEnd"/>
      <w:r w:rsidRPr="004777B6">
        <w:rPr>
          <w:rFonts w:ascii="Arial" w:hAnsi="Arial" w:cs="Arial"/>
          <w:sz w:val="20"/>
          <w:szCs w:val="20"/>
        </w:rPr>
        <w:t xml:space="preserve"> to selected companies engaged in the design, manufacture, and sale of motor vehicles and their components, including Honda, Toyota, Hyundai, Suzuki, Ford, and Chevrolet. These industries are recognized for implementing sustainable practices such as fuel efficiency initiatives, recycling programs, and proper hazardous waste management in compliance with environmental regulations (e.g., ISO 14001:2015 and RA 9003). Their waste management systems were used as benchmarks in developing enhanced waste management guidelines for the MMSU Automotive Technology Program.</w:t>
      </w:r>
    </w:p>
    <w:p w14:paraId="7BB119A2" w14:textId="77777777" w:rsidR="004777B6" w:rsidRPr="004777B6" w:rsidRDefault="004777B6" w:rsidP="004777B6">
      <w:pPr>
        <w:pStyle w:val="NormalWeb"/>
        <w:jc w:val="both"/>
        <w:rPr>
          <w:rFonts w:ascii="Arial" w:hAnsi="Arial" w:cs="Arial"/>
          <w:sz w:val="18"/>
          <w:szCs w:val="18"/>
        </w:rPr>
      </w:pPr>
      <w:r w:rsidRPr="004777B6">
        <w:rPr>
          <w:rFonts w:ascii="Arial" w:hAnsi="Arial" w:cs="Arial"/>
          <w:b/>
          <w:bCs/>
          <w:sz w:val="20"/>
          <w:szCs w:val="20"/>
        </w:rPr>
        <w:t>Automotive Technology Program.</w:t>
      </w:r>
      <w:r w:rsidRPr="004777B6">
        <w:rPr>
          <w:rFonts w:ascii="Arial" w:hAnsi="Arial" w:cs="Arial"/>
          <w:sz w:val="18"/>
          <w:szCs w:val="18"/>
        </w:rPr>
        <w:t xml:space="preserve"> </w:t>
      </w:r>
      <w:r w:rsidRPr="004777B6">
        <w:rPr>
          <w:rFonts w:ascii="Arial" w:hAnsi="Arial" w:cs="Arial"/>
          <w:sz w:val="20"/>
          <w:szCs w:val="20"/>
        </w:rPr>
        <w:t>The Automotive Technology Program refers to the curricular program of the Mariano Marcos State University–College of Industrial Technology (MMSU–CIT) that provides theoretical and practical training on vehicle systems, maintenance, diagnostics, and repair. In this study, it specifically pertains to the department’s implementation of waste management practices related to instructional and laboratory activities, with emphasis on proper waste segregation, disposal, and compliance with environmental standards.</w:t>
      </w:r>
    </w:p>
    <w:p w14:paraId="2748D02E" w14:textId="05D04963" w:rsidR="00BA5D45" w:rsidRPr="004777B6" w:rsidRDefault="004777B6" w:rsidP="004777B6">
      <w:pPr>
        <w:pStyle w:val="NormalWeb"/>
        <w:jc w:val="both"/>
        <w:rPr>
          <w:rFonts w:ascii="Arial" w:hAnsi="Arial" w:cs="Arial"/>
          <w:sz w:val="16"/>
          <w:szCs w:val="16"/>
        </w:rPr>
      </w:pPr>
      <w:r w:rsidRPr="004777B6">
        <w:rPr>
          <w:rFonts w:ascii="Arial" w:hAnsi="Arial" w:cs="Arial"/>
          <w:b/>
          <w:bCs/>
          <w:sz w:val="20"/>
          <w:szCs w:val="20"/>
        </w:rPr>
        <w:t>Level of Compliance.</w:t>
      </w:r>
      <w:r w:rsidRPr="004777B6">
        <w:rPr>
          <w:rFonts w:ascii="Arial" w:hAnsi="Arial" w:cs="Arial"/>
          <w:sz w:val="16"/>
          <w:szCs w:val="16"/>
        </w:rPr>
        <w:t xml:space="preserve"> </w:t>
      </w:r>
      <w:r w:rsidRPr="004777B6">
        <w:rPr>
          <w:rFonts w:ascii="Arial" w:hAnsi="Arial" w:cs="Arial"/>
          <w:sz w:val="20"/>
          <w:szCs w:val="20"/>
        </w:rPr>
        <w:t>The level of compliance refers to the degree to which the MMSU–CIT Automotive Technology Program adheres to national laws (such as RA 9003), institutional waste management policies, and environmental standards. In this study, it was measured through indicators such as waste segregation practices, hazardous waste handling, documentation, monitoring, and adherence to sustainability guidelines.</w:t>
      </w:r>
    </w:p>
    <w:p w14:paraId="28433426" w14:textId="77777777" w:rsidR="00A043CB" w:rsidRDefault="00A043CB" w:rsidP="00BA5D45">
      <w:pPr>
        <w:pStyle w:val="NormalWeb"/>
        <w:rPr>
          <w:rFonts w:ascii="Arial" w:hAnsi="Arial" w:cs="Arial"/>
        </w:rPr>
      </w:pPr>
    </w:p>
    <w:p w14:paraId="470C8A7F" w14:textId="52508D29" w:rsidR="00A043CB" w:rsidRPr="00BA5D45" w:rsidRDefault="00A043CB" w:rsidP="00BA5D45">
      <w:pPr>
        <w:pStyle w:val="NormalWeb"/>
        <w:rPr>
          <w:rFonts w:ascii="Arial" w:hAnsi="Arial" w:cs="Arial"/>
        </w:rPr>
        <w:sectPr w:rsidR="00A043CB" w:rsidRPr="00BA5D45" w:rsidSect="000470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729F30B" w14:textId="77777777" w:rsidR="00B01FCD" w:rsidRPr="00FB3A86" w:rsidRDefault="00B01FCD" w:rsidP="00441B6F">
      <w:pPr>
        <w:pStyle w:val="Appendix"/>
        <w:spacing w:after="0"/>
        <w:jc w:val="both"/>
        <w:rPr>
          <w:rFonts w:ascii="Arial" w:hAnsi="Arial" w:cs="Arial"/>
          <w:b w:val="0"/>
        </w:rPr>
      </w:pPr>
    </w:p>
    <w:sectPr w:rsidR="00B01FCD" w:rsidRPr="00FB3A86" w:rsidSect="000470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602F" w14:textId="77777777" w:rsidR="008B59FF" w:rsidRDefault="008B59FF" w:rsidP="00C37E61">
      <w:r>
        <w:separator/>
      </w:r>
    </w:p>
  </w:endnote>
  <w:endnote w:type="continuationSeparator" w:id="0">
    <w:p w14:paraId="40610C47" w14:textId="77777777" w:rsidR="008B59FF" w:rsidRDefault="008B59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080C" w14:textId="77777777" w:rsidR="0004703D" w:rsidRDefault="0004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ED1C" w14:textId="77777777" w:rsidR="0004703D" w:rsidRDefault="00047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8A6" w14:textId="77777777" w:rsidR="009E048A" w:rsidRDefault="009E048A">
    <w:pPr>
      <w:pStyle w:val="Footer"/>
      <w:rPr>
        <w:rFonts w:ascii="Arial" w:hAnsi="Arial" w:cs="Arial"/>
        <w:sz w:val="16"/>
      </w:rPr>
    </w:pPr>
  </w:p>
  <w:p w14:paraId="794D9C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81B4E1" w14:textId="77777777" w:rsidR="009E048A" w:rsidRDefault="009E048A">
    <w:pPr>
      <w:pStyle w:val="Footer"/>
      <w:rPr>
        <w:rFonts w:ascii="Arial" w:hAnsi="Arial" w:cs="Arial"/>
        <w:sz w:val="16"/>
      </w:rPr>
    </w:pPr>
  </w:p>
  <w:p w14:paraId="5804EF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8AD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B296" w14:textId="77777777" w:rsidR="008B59FF" w:rsidRDefault="008B59FF" w:rsidP="00C37E61">
      <w:r>
        <w:separator/>
      </w:r>
    </w:p>
  </w:footnote>
  <w:footnote w:type="continuationSeparator" w:id="0">
    <w:p w14:paraId="317312CC" w14:textId="77777777" w:rsidR="008B59FF" w:rsidRDefault="008B59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EB09" w14:textId="5B848266" w:rsidR="0004703D" w:rsidRDefault="00000000">
    <w:pPr>
      <w:pStyle w:val="Header"/>
    </w:pPr>
    <w:r>
      <w:rPr>
        <w:noProof/>
      </w:rPr>
      <w:pict w14:anchorId="1C614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19D" w14:textId="3AC94B1B" w:rsidR="0004703D" w:rsidRDefault="00000000">
    <w:pPr>
      <w:pStyle w:val="Header"/>
    </w:pPr>
    <w:r>
      <w:rPr>
        <w:noProof/>
      </w:rPr>
      <w:pict w14:anchorId="7488A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8691" w14:textId="50F38297" w:rsidR="00296529" w:rsidRPr="00296529" w:rsidRDefault="00000000" w:rsidP="00296529">
    <w:pPr>
      <w:ind w:left="2160"/>
      <w:jc w:val="center"/>
      <w:rPr>
        <w:rFonts w:ascii="Times New Roman" w:eastAsia="Calibri" w:hAnsi="Times New Roman"/>
        <w:i/>
        <w:sz w:val="18"/>
        <w:szCs w:val="22"/>
      </w:rPr>
    </w:pPr>
    <w:r>
      <w:rPr>
        <w:noProof/>
      </w:rPr>
      <w:pict w14:anchorId="18FA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CA5A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FB8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82D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FB98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417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99D8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490E" w14:textId="267E56D8" w:rsidR="0004703D" w:rsidRDefault="00000000">
    <w:pPr>
      <w:pStyle w:val="Header"/>
    </w:pPr>
    <w:r>
      <w:rPr>
        <w:noProof/>
      </w:rPr>
      <w:pict w14:anchorId="693E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C598" w14:textId="26E0CC1B" w:rsidR="0004703D" w:rsidRDefault="00000000">
    <w:pPr>
      <w:pStyle w:val="Header"/>
    </w:pPr>
    <w:r>
      <w:rPr>
        <w:noProof/>
      </w:rPr>
      <w:pict w14:anchorId="64623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83A6" w14:textId="3A902A4A" w:rsidR="0004703D" w:rsidRDefault="00000000">
    <w:pPr>
      <w:pStyle w:val="Header"/>
    </w:pPr>
    <w:r>
      <w:rPr>
        <w:noProof/>
      </w:rPr>
      <w:pict w14:anchorId="0E7F0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02C38"/>
    <w:multiLevelType w:val="multilevel"/>
    <w:tmpl w:val="AEFEE136"/>
    <w:lvl w:ilvl="0">
      <w:start w:val="1"/>
      <w:numFmt w:val="decimal"/>
      <w:lvlText w:val="%1."/>
      <w:lvlJc w:val="left"/>
      <w:pPr>
        <w:ind w:left="72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786BB5"/>
    <w:multiLevelType w:val="multilevel"/>
    <w:tmpl w:val="62786BB5"/>
    <w:lvl w:ilvl="0">
      <w:start w:val="1"/>
      <w:numFmt w:val="decimal"/>
      <w:lvlText w:val="%1."/>
      <w:lvlJc w:val="left"/>
      <w:pPr>
        <w:ind w:left="1421" w:hanging="360"/>
      </w:pPr>
    </w:lvl>
    <w:lvl w:ilvl="1">
      <w:start w:val="1"/>
      <w:numFmt w:val="lowerLetter"/>
      <w:lvlText w:val="%2."/>
      <w:lvlJc w:val="left"/>
      <w:pPr>
        <w:ind w:left="2141" w:hanging="360"/>
      </w:pPr>
    </w:lvl>
    <w:lvl w:ilvl="2">
      <w:start w:val="1"/>
      <w:numFmt w:val="lowerRoman"/>
      <w:lvlText w:val="%3."/>
      <w:lvlJc w:val="right"/>
      <w:pPr>
        <w:ind w:left="2861" w:hanging="180"/>
      </w:pPr>
    </w:lvl>
    <w:lvl w:ilvl="3">
      <w:start w:val="1"/>
      <w:numFmt w:val="decimal"/>
      <w:lvlText w:val="%4."/>
      <w:lvlJc w:val="left"/>
      <w:pPr>
        <w:ind w:left="3581" w:hanging="360"/>
      </w:pPr>
    </w:lvl>
    <w:lvl w:ilvl="4">
      <w:start w:val="1"/>
      <w:numFmt w:val="lowerLetter"/>
      <w:lvlText w:val="%5."/>
      <w:lvlJc w:val="left"/>
      <w:pPr>
        <w:ind w:left="4301" w:hanging="360"/>
      </w:pPr>
    </w:lvl>
    <w:lvl w:ilvl="5">
      <w:start w:val="1"/>
      <w:numFmt w:val="lowerRoman"/>
      <w:lvlText w:val="%6."/>
      <w:lvlJc w:val="right"/>
      <w:pPr>
        <w:ind w:left="5021" w:hanging="180"/>
      </w:pPr>
    </w:lvl>
    <w:lvl w:ilvl="6">
      <w:start w:val="1"/>
      <w:numFmt w:val="decimal"/>
      <w:lvlText w:val="%7."/>
      <w:lvlJc w:val="left"/>
      <w:pPr>
        <w:ind w:left="5741" w:hanging="360"/>
      </w:pPr>
    </w:lvl>
    <w:lvl w:ilvl="7">
      <w:start w:val="1"/>
      <w:numFmt w:val="lowerLetter"/>
      <w:lvlText w:val="%8."/>
      <w:lvlJc w:val="left"/>
      <w:pPr>
        <w:ind w:left="6461" w:hanging="360"/>
      </w:pPr>
    </w:lvl>
    <w:lvl w:ilvl="8">
      <w:start w:val="1"/>
      <w:numFmt w:val="lowerRoman"/>
      <w:lvlText w:val="%9."/>
      <w:lvlJc w:val="right"/>
      <w:pPr>
        <w:ind w:left="7181"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92617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5972009">
    <w:abstractNumId w:val="16"/>
  </w:num>
  <w:num w:numId="3" w16cid:durableId="1490750712">
    <w:abstractNumId w:val="25"/>
  </w:num>
  <w:num w:numId="4" w16cid:durableId="11003755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263768">
    <w:abstractNumId w:val="7"/>
  </w:num>
  <w:num w:numId="6" w16cid:durableId="108821103">
    <w:abstractNumId w:val="6"/>
  </w:num>
  <w:num w:numId="7" w16cid:durableId="446582646">
    <w:abstractNumId w:val="1"/>
  </w:num>
  <w:num w:numId="8" w16cid:durableId="575558090">
    <w:abstractNumId w:val="13"/>
  </w:num>
  <w:num w:numId="9" w16cid:durableId="1875923262">
    <w:abstractNumId w:val="27"/>
  </w:num>
  <w:num w:numId="10" w16cid:durableId="111481359">
    <w:abstractNumId w:val="2"/>
  </w:num>
  <w:num w:numId="11" w16cid:durableId="1569609565">
    <w:abstractNumId w:val="20"/>
  </w:num>
  <w:num w:numId="12" w16cid:durableId="1184593519">
    <w:abstractNumId w:val="3"/>
  </w:num>
  <w:num w:numId="13" w16cid:durableId="1048409967">
    <w:abstractNumId w:val="18"/>
  </w:num>
  <w:num w:numId="14" w16cid:durableId="1203787901">
    <w:abstractNumId w:val="9"/>
  </w:num>
  <w:num w:numId="15" w16cid:durableId="257716242">
    <w:abstractNumId w:val="23"/>
  </w:num>
  <w:num w:numId="16" w16cid:durableId="29845212">
    <w:abstractNumId w:val="5"/>
  </w:num>
  <w:num w:numId="17" w16cid:durableId="2067336165">
    <w:abstractNumId w:val="24"/>
  </w:num>
  <w:num w:numId="18" w16cid:durableId="1668172438">
    <w:abstractNumId w:val="15"/>
  </w:num>
  <w:num w:numId="19" w16cid:durableId="1081148075">
    <w:abstractNumId w:val="30"/>
  </w:num>
  <w:num w:numId="20" w16cid:durableId="1677809719">
    <w:abstractNumId w:val="12"/>
  </w:num>
  <w:num w:numId="21" w16cid:durableId="1166897002">
    <w:abstractNumId w:val="10"/>
  </w:num>
  <w:num w:numId="22" w16cid:durableId="717095829">
    <w:abstractNumId w:val="14"/>
  </w:num>
  <w:num w:numId="23" w16cid:durableId="1060321831">
    <w:abstractNumId w:val="21"/>
  </w:num>
  <w:num w:numId="24" w16cid:durableId="178541897">
    <w:abstractNumId w:val="28"/>
  </w:num>
  <w:num w:numId="25" w16cid:durableId="178131132">
    <w:abstractNumId w:val="4"/>
  </w:num>
  <w:num w:numId="26" w16cid:durableId="1099451982">
    <w:abstractNumId w:val="17"/>
  </w:num>
  <w:num w:numId="27" w16cid:durableId="1508859853">
    <w:abstractNumId w:val="22"/>
  </w:num>
  <w:num w:numId="28" w16cid:durableId="638263253">
    <w:abstractNumId w:val="29"/>
  </w:num>
  <w:num w:numId="29" w16cid:durableId="312298714">
    <w:abstractNumId w:val="26"/>
  </w:num>
  <w:num w:numId="30" w16cid:durableId="612782393">
    <w:abstractNumId w:val="11"/>
  </w:num>
  <w:num w:numId="31" w16cid:durableId="661200187">
    <w:abstractNumId w:val="8"/>
  </w:num>
  <w:num w:numId="32" w16cid:durableId="1265724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03D"/>
    <w:rsid w:val="000644FA"/>
    <w:rsid w:val="000A47FA"/>
    <w:rsid w:val="000A65D3"/>
    <w:rsid w:val="000B1E33"/>
    <w:rsid w:val="000D689F"/>
    <w:rsid w:val="000E7B7B"/>
    <w:rsid w:val="000E7D62"/>
    <w:rsid w:val="00103357"/>
    <w:rsid w:val="00123C9F"/>
    <w:rsid w:val="00126190"/>
    <w:rsid w:val="001267D2"/>
    <w:rsid w:val="00130F17"/>
    <w:rsid w:val="001320BF"/>
    <w:rsid w:val="00163BC4"/>
    <w:rsid w:val="00191062"/>
    <w:rsid w:val="00192B72"/>
    <w:rsid w:val="001A29D8"/>
    <w:rsid w:val="001A5CAA"/>
    <w:rsid w:val="001B0427"/>
    <w:rsid w:val="001C4CA6"/>
    <w:rsid w:val="001D3A51"/>
    <w:rsid w:val="001E10D2"/>
    <w:rsid w:val="001E25B4"/>
    <w:rsid w:val="001E44FE"/>
    <w:rsid w:val="00200595"/>
    <w:rsid w:val="002015D7"/>
    <w:rsid w:val="00204835"/>
    <w:rsid w:val="002127EA"/>
    <w:rsid w:val="00231920"/>
    <w:rsid w:val="0023195C"/>
    <w:rsid w:val="0024282C"/>
    <w:rsid w:val="002460DC"/>
    <w:rsid w:val="00250985"/>
    <w:rsid w:val="002556F6"/>
    <w:rsid w:val="00283105"/>
    <w:rsid w:val="00284C4C"/>
    <w:rsid w:val="00287E68"/>
    <w:rsid w:val="00296529"/>
    <w:rsid w:val="002B27FB"/>
    <w:rsid w:val="002B685A"/>
    <w:rsid w:val="002C57D2"/>
    <w:rsid w:val="002D285E"/>
    <w:rsid w:val="002D37E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7B6"/>
    <w:rsid w:val="004A5293"/>
    <w:rsid w:val="004D305E"/>
    <w:rsid w:val="004D4277"/>
    <w:rsid w:val="004E5D39"/>
    <w:rsid w:val="00502516"/>
    <w:rsid w:val="005042D2"/>
    <w:rsid w:val="00505F06"/>
    <w:rsid w:val="00506828"/>
    <w:rsid w:val="005258AC"/>
    <w:rsid w:val="0053056E"/>
    <w:rsid w:val="00554FDA"/>
    <w:rsid w:val="005C784C"/>
    <w:rsid w:val="005D17F6"/>
    <w:rsid w:val="005E5539"/>
    <w:rsid w:val="00602BF5"/>
    <w:rsid w:val="00615F6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37FD"/>
    <w:rsid w:val="007D2288"/>
    <w:rsid w:val="007E088F"/>
    <w:rsid w:val="007F7B32"/>
    <w:rsid w:val="00804BC2"/>
    <w:rsid w:val="0081431A"/>
    <w:rsid w:val="0083216F"/>
    <w:rsid w:val="00860000"/>
    <w:rsid w:val="00861806"/>
    <w:rsid w:val="00863BD3"/>
    <w:rsid w:val="008641ED"/>
    <w:rsid w:val="00866D66"/>
    <w:rsid w:val="008671C6"/>
    <w:rsid w:val="00875803"/>
    <w:rsid w:val="008A6DF9"/>
    <w:rsid w:val="008B459E"/>
    <w:rsid w:val="008B59FF"/>
    <w:rsid w:val="008E13AE"/>
    <w:rsid w:val="008E1506"/>
    <w:rsid w:val="008E710C"/>
    <w:rsid w:val="008F69D6"/>
    <w:rsid w:val="00902823"/>
    <w:rsid w:val="00915CA6"/>
    <w:rsid w:val="00927834"/>
    <w:rsid w:val="009500A6"/>
    <w:rsid w:val="009519A7"/>
    <w:rsid w:val="00957C18"/>
    <w:rsid w:val="009659BA"/>
    <w:rsid w:val="00980476"/>
    <w:rsid w:val="00983040"/>
    <w:rsid w:val="009B3FB9"/>
    <w:rsid w:val="009B6B9B"/>
    <w:rsid w:val="009C2465"/>
    <w:rsid w:val="009D35A0"/>
    <w:rsid w:val="009D7EB7"/>
    <w:rsid w:val="009E048A"/>
    <w:rsid w:val="009E08E9"/>
    <w:rsid w:val="009E3DB9"/>
    <w:rsid w:val="009E6E35"/>
    <w:rsid w:val="009F0EDA"/>
    <w:rsid w:val="00A03B96"/>
    <w:rsid w:val="00A043CB"/>
    <w:rsid w:val="00A05B19"/>
    <w:rsid w:val="00A1134E"/>
    <w:rsid w:val="00A24E7E"/>
    <w:rsid w:val="00A258C3"/>
    <w:rsid w:val="00A347C0"/>
    <w:rsid w:val="00A51431"/>
    <w:rsid w:val="00A539AD"/>
    <w:rsid w:val="00A94063"/>
    <w:rsid w:val="00AA6219"/>
    <w:rsid w:val="00AA74E0"/>
    <w:rsid w:val="00AB703F"/>
    <w:rsid w:val="00AB7596"/>
    <w:rsid w:val="00AC6BB8"/>
    <w:rsid w:val="00AE008F"/>
    <w:rsid w:val="00B01FCD"/>
    <w:rsid w:val="00B05043"/>
    <w:rsid w:val="00B1776C"/>
    <w:rsid w:val="00B33FAD"/>
    <w:rsid w:val="00B52583"/>
    <w:rsid w:val="00B52896"/>
    <w:rsid w:val="00B62C0A"/>
    <w:rsid w:val="00B94345"/>
    <w:rsid w:val="00B95236"/>
    <w:rsid w:val="00B96BD9"/>
    <w:rsid w:val="00BA1B01"/>
    <w:rsid w:val="00BA2641"/>
    <w:rsid w:val="00BA5D45"/>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75E4"/>
    <w:rsid w:val="00CD6755"/>
    <w:rsid w:val="00CD6856"/>
    <w:rsid w:val="00CE0089"/>
    <w:rsid w:val="00CE763F"/>
    <w:rsid w:val="00CE793C"/>
    <w:rsid w:val="00CF193C"/>
    <w:rsid w:val="00D173F1"/>
    <w:rsid w:val="00D527B1"/>
    <w:rsid w:val="00D74CB0"/>
    <w:rsid w:val="00D8295D"/>
    <w:rsid w:val="00DC2A65"/>
    <w:rsid w:val="00DE15F0"/>
    <w:rsid w:val="00DE5663"/>
    <w:rsid w:val="00DE78AA"/>
    <w:rsid w:val="00E053D0"/>
    <w:rsid w:val="00E1428F"/>
    <w:rsid w:val="00E15994"/>
    <w:rsid w:val="00E3114E"/>
    <w:rsid w:val="00E31A70"/>
    <w:rsid w:val="00E35B02"/>
    <w:rsid w:val="00E66496"/>
    <w:rsid w:val="00E66B35"/>
    <w:rsid w:val="00E66E10"/>
    <w:rsid w:val="00E769F6"/>
    <w:rsid w:val="00E82297"/>
    <w:rsid w:val="00E8407C"/>
    <w:rsid w:val="00E84F3C"/>
    <w:rsid w:val="00E908A5"/>
    <w:rsid w:val="00EA012C"/>
    <w:rsid w:val="00EB63A0"/>
    <w:rsid w:val="00EC43CB"/>
    <w:rsid w:val="00EC6A55"/>
    <w:rsid w:val="00ED0288"/>
    <w:rsid w:val="00EE52CB"/>
    <w:rsid w:val="00EF581D"/>
    <w:rsid w:val="00EF7FD8"/>
    <w:rsid w:val="00F06F59"/>
    <w:rsid w:val="00F17988"/>
    <w:rsid w:val="00F469F0"/>
    <w:rsid w:val="00F53273"/>
    <w:rsid w:val="00F6333E"/>
    <w:rsid w:val="00F755E4"/>
    <w:rsid w:val="00F77D02"/>
    <w:rsid w:val="00FB3A86"/>
    <w:rsid w:val="00FC3CF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B3F37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5D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A5D45"/>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BA5D45"/>
    <w:rPr>
      <w:b/>
      <w:bCs/>
    </w:rPr>
  </w:style>
  <w:style w:type="character" w:customStyle="1" w:styleId="Heading3Char">
    <w:name w:val="Heading 3 Char"/>
    <w:basedOn w:val="DefaultParagraphFont"/>
    <w:link w:val="Heading3"/>
    <w:semiHidden/>
    <w:rsid w:val="004E5D3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94345"/>
    <w:pPr>
      <w:ind w:left="720"/>
      <w:contextualSpacing/>
    </w:pPr>
  </w:style>
  <w:style w:type="character" w:customStyle="1" w:styleId="url">
    <w:name w:val="url"/>
    <w:basedOn w:val="DefaultParagraphFont"/>
    <w:rsid w:val="008A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B265-3C1D-4605-AE37-556251E5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145</TotalTime>
  <Pages>11</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15</cp:revision>
  <cp:lastPrinted>1999-07-06T11:00:00Z</cp:lastPrinted>
  <dcterms:created xsi:type="dcterms:W3CDTF">2014-10-25T14:34:00Z</dcterms:created>
  <dcterms:modified xsi:type="dcterms:W3CDTF">2025-10-15T01:11:00Z</dcterms:modified>
</cp:coreProperties>
</file>