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107B2" w14:textId="77777777" w:rsidR="00294F66" w:rsidRDefault="00294F66" w:rsidP="00741DE2">
      <w:pPr>
        <w:spacing w:after="0" w:line="240" w:lineRule="auto"/>
        <w:ind w:right="-29"/>
        <w:jc w:val="both"/>
        <w:rPr>
          <w:rFonts w:ascii="Times New Roman" w:eastAsia="Times New Roman" w:hAnsi="Times New Roman" w:cs="Times New Roman"/>
          <w:b/>
          <w:bCs/>
          <w:kern w:val="0"/>
          <w:sz w:val="24"/>
          <w:szCs w:val="24"/>
          <w14:ligatures w14:val="none"/>
        </w:rPr>
      </w:pPr>
      <w:r w:rsidRPr="00294F66">
        <w:rPr>
          <w:rFonts w:ascii="Times New Roman" w:eastAsia="Times New Roman" w:hAnsi="Times New Roman" w:cs="Times New Roman"/>
          <w:b/>
          <w:bCs/>
          <w:kern w:val="0"/>
          <w:sz w:val="24"/>
          <w:szCs w:val="24"/>
          <w14:ligatures w14:val="none"/>
        </w:rPr>
        <w:t xml:space="preserve">Original Research Article </w:t>
      </w:r>
    </w:p>
    <w:p w14:paraId="7F097F0B" w14:textId="77777777" w:rsidR="00294F66" w:rsidRDefault="00294F66" w:rsidP="00741DE2">
      <w:pPr>
        <w:spacing w:after="0" w:line="240" w:lineRule="auto"/>
        <w:ind w:right="-29"/>
        <w:jc w:val="both"/>
        <w:rPr>
          <w:rFonts w:ascii="Times New Roman" w:eastAsia="Times New Roman" w:hAnsi="Times New Roman" w:cs="Times New Roman"/>
          <w:b/>
          <w:bCs/>
          <w:kern w:val="0"/>
          <w:sz w:val="24"/>
          <w:szCs w:val="24"/>
          <w14:ligatures w14:val="none"/>
        </w:rPr>
      </w:pPr>
    </w:p>
    <w:p w14:paraId="1BAD5906" w14:textId="77777777" w:rsidR="00294F66" w:rsidRDefault="00294F66" w:rsidP="00741DE2">
      <w:pPr>
        <w:spacing w:after="0" w:line="240" w:lineRule="auto"/>
        <w:ind w:right="-29"/>
        <w:jc w:val="both"/>
        <w:rPr>
          <w:rFonts w:ascii="Times New Roman" w:eastAsia="Times New Roman" w:hAnsi="Times New Roman" w:cs="Times New Roman"/>
          <w:b/>
          <w:bCs/>
          <w:kern w:val="0"/>
          <w:sz w:val="24"/>
          <w:szCs w:val="24"/>
          <w14:ligatures w14:val="none"/>
        </w:rPr>
      </w:pPr>
    </w:p>
    <w:p w14:paraId="32C12B8C" w14:textId="2A5BB7F7" w:rsidR="00B16DDE" w:rsidRDefault="00741DE2" w:rsidP="00741DE2">
      <w:pPr>
        <w:spacing w:after="0" w:line="240" w:lineRule="auto"/>
        <w:ind w:right="-29"/>
        <w:jc w:val="both"/>
        <w:rPr>
          <w:rFonts w:ascii="Times New Roman" w:eastAsia="Times New Roman" w:hAnsi="Times New Roman" w:cs="Times New Roman"/>
          <w:b/>
          <w:bCs/>
          <w:kern w:val="0"/>
          <w:sz w:val="24"/>
          <w:szCs w:val="24"/>
          <w14:ligatures w14:val="none"/>
        </w:rPr>
      </w:pPr>
      <w:r w:rsidRPr="00741DE2">
        <w:rPr>
          <w:rFonts w:ascii="Times New Roman" w:eastAsia="Times New Roman" w:hAnsi="Times New Roman" w:cs="Times New Roman"/>
          <w:b/>
          <w:bCs/>
          <w:kern w:val="0"/>
          <w:sz w:val="24"/>
          <w:szCs w:val="24"/>
          <w14:ligatures w14:val="none"/>
        </w:rPr>
        <w:t>Optimizing Seed Rate and Integrated Weed Management for Enhanced Fibre Yield in Tossa Jute (</w:t>
      </w:r>
      <w:r w:rsidRPr="00741DE2">
        <w:rPr>
          <w:rFonts w:ascii="Times New Roman" w:eastAsia="Times New Roman" w:hAnsi="Times New Roman" w:cs="Times New Roman"/>
          <w:b/>
          <w:bCs/>
          <w:i/>
          <w:iCs/>
          <w:kern w:val="0"/>
          <w:sz w:val="24"/>
          <w:szCs w:val="24"/>
          <w14:ligatures w14:val="none"/>
        </w:rPr>
        <w:t xml:space="preserve">Corchorus olitorius </w:t>
      </w:r>
      <w:r w:rsidRPr="00741DE2">
        <w:rPr>
          <w:rFonts w:ascii="Times New Roman" w:eastAsia="Times New Roman" w:hAnsi="Times New Roman" w:cs="Times New Roman"/>
          <w:b/>
          <w:bCs/>
          <w:kern w:val="0"/>
          <w:sz w:val="24"/>
          <w:szCs w:val="24"/>
          <w14:ligatures w14:val="none"/>
        </w:rPr>
        <w:t>L.) under Diverse Agro-Climatic Conditions of Bangladesh</w:t>
      </w:r>
    </w:p>
    <w:p w14:paraId="41B2BC59" w14:textId="77777777" w:rsidR="00741DE2" w:rsidRDefault="00741DE2" w:rsidP="00741DE2">
      <w:pPr>
        <w:spacing w:after="0" w:line="240" w:lineRule="auto"/>
        <w:ind w:right="-29"/>
        <w:rPr>
          <w:rFonts w:ascii="Times New Roman" w:hAnsi="Times New Roman" w:cs="Times New Roman"/>
          <w:b/>
          <w:bCs/>
          <w:color w:val="000000" w:themeColor="text1"/>
          <w:sz w:val="24"/>
          <w:szCs w:val="24"/>
        </w:rPr>
      </w:pPr>
    </w:p>
    <w:p w14:paraId="75DE2432" w14:textId="77777777" w:rsidR="004154B8" w:rsidRPr="004154B8" w:rsidRDefault="004154B8" w:rsidP="004154B8">
      <w:pPr>
        <w:autoSpaceDE w:val="0"/>
        <w:autoSpaceDN w:val="0"/>
        <w:adjustRightInd w:val="0"/>
        <w:spacing w:before="120" w:after="0" w:line="276" w:lineRule="auto"/>
        <w:ind w:left="540" w:right="11"/>
        <w:jc w:val="center"/>
        <w:rPr>
          <w:rFonts w:ascii="Times New Roman" w:eastAsia="Times New Roman" w:hAnsi="Times New Roman" w:cs="Times New Roman"/>
          <w:b/>
          <w:kern w:val="0"/>
          <w:sz w:val="24"/>
          <w:szCs w:val="24"/>
          <w:lang w:bidi="bn-BD"/>
          <w14:ligatures w14:val="none"/>
        </w:rPr>
      </w:pPr>
    </w:p>
    <w:p w14:paraId="54458AA4" w14:textId="77777777" w:rsidR="00E370CB" w:rsidRDefault="00E370CB" w:rsidP="006A156A">
      <w:pPr>
        <w:suppressLineNumbers/>
        <w:spacing w:after="0" w:line="240" w:lineRule="auto"/>
        <w:jc w:val="center"/>
        <w:rPr>
          <w:rFonts w:ascii="Times New Roman" w:eastAsia="Times New Roman" w:hAnsi="Times New Roman" w:cs="Times New Roman"/>
          <w:kern w:val="0"/>
          <w:sz w:val="24"/>
          <w:szCs w:val="24"/>
          <w:lang w:bidi="bn-BD"/>
          <w14:ligatures w14:val="none"/>
        </w:rPr>
      </w:pPr>
    </w:p>
    <w:p w14:paraId="6AAC734D" w14:textId="77777777" w:rsidR="00E370CB" w:rsidRDefault="00E370CB" w:rsidP="006A156A">
      <w:pPr>
        <w:suppressLineNumbers/>
        <w:spacing w:after="0" w:line="240" w:lineRule="auto"/>
        <w:jc w:val="center"/>
        <w:rPr>
          <w:rFonts w:ascii="Times New Roman" w:eastAsia="Times New Roman" w:hAnsi="Times New Roman" w:cs="Times New Roman"/>
          <w:kern w:val="0"/>
          <w:sz w:val="24"/>
          <w:szCs w:val="24"/>
          <w:lang w:bidi="bn-BD"/>
          <w14:ligatures w14:val="none"/>
        </w:rPr>
      </w:pPr>
    </w:p>
    <w:p w14:paraId="5631E095" w14:textId="77777777" w:rsidR="00E370CB" w:rsidRPr="006A156A" w:rsidRDefault="00E370CB" w:rsidP="006A156A">
      <w:pPr>
        <w:suppressLineNumbers/>
        <w:spacing w:after="0" w:line="240" w:lineRule="auto"/>
        <w:jc w:val="center"/>
        <w:rPr>
          <w:rFonts w:ascii="Times New Roman" w:eastAsia="Times New Roman" w:hAnsi="Times New Roman" w:cs="Times New Roman"/>
          <w:kern w:val="0"/>
          <w:sz w:val="24"/>
          <w:szCs w:val="24"/>
          <w:lang w:bidi="bn-BD"/>
          <w14:ligatures w14:val="none"/>
        </w:rPr>
      </w:pPr>
    </w:p>
    <w:p w14:paraId="362242EE" w14:textId="77777777" w:rsidR="006A156A" w:rsidRPr="006A156A" w:rsidRDefault="006A156A" w:rsidP="006A156A">
      <w:pPr>
        <w:autoSpaceDE w:val="0"/>
        <w:autoSpaceDN w:val="0"/>
        <w:adjustRightInd w:val="0"/>
        <w:spacing w:before="120" w:after="0" w:line="276" w:lineRule="auto"/>
        <w:ind w:left="540" w:right="11"/>
        <w:jc w:val="center"/>
        <w:rPr>
          <w:rFonts w:ascii="Times New Roman" w:eastAsia="Times New Roman" w:hAnsi="Times New Roman" w:cs="Times New Roman"/>
          <w:b/>
          <w:kern w:val="0"/>
          <w:sz w:val="24"/>
          <w:szCs w:val="24"/>
          <w:lang w:bidi="bn-BD"/>
          <w14:ligatures w14:val="none"/>
        </w:rPr>
      </w:pPr>
    </w:p>
    <w:p w14:paraId="0605FAB4" w14:textId="77777777" w:rsidR="00B16DDE" w:rsidRDefault="00B16DDE" w:rsidP="00B16DDE">
      <w:pPr>
        <w:spacing w:after="0" w:line="240" w:lineRule="auto"/>
        <w:ind w:right="-29"/>
        <w:jc w:val="center"/>
        <w:rPr>
          <w:rFonts w:ascii="Times New Roman" w:hAnsi="Times New Roman" w:cs="Times New Roman"/>
          <w:b/>
          <w:bCs/>
          <w:color w:val="000000" w:themeColor="text1"/>
          <w:sz w:val="24"/>
          <w:szCs w:val="24"/>
        </w:rPr>
      </w:pPr>
    </w:p>
    <w:p w14:paraId="2E6F901A" w14:textId="77777777" w:rsidR="00B16DDE" w:rsidRDefault="00B16DDE" w:rsidP="00B16DDE">
      <w:pPr>
        <w:spacing w:after="0" w:line="240" w:lineRule="auto"/>
        <w:ind w:right="-29"/>
        <w:jc w:val="center"/>
        <w:rPr>
          <w:rFonts w:ascii="Times New Roman" w:hAnsi="Times New Roman" w:cs="Times New Roman"/>
          <w:b/>
          <w:bCs/>
          <w:color w:val="000000" w:themeColor="text1"/>
          <w:sz w:val="24"/>
          <w:szCs w:val="24"/>
        </w:rPr>
      </w:pPr>
      <w:r w:rsidRPr="00722FDA">
        <w:rPr>
          <w:rFonts w:ascii="Times New Roman" w:hAnsi="Times New Roman" w:cs="Times New Roman"/>
          <w:b/>
          <w:bCs/>
          <w:color w:val="000000" w:themeColor="text1"/>
          <w:sz w:val="24"/>
          <w:szCs w:val="24"/>
        </w:rPr>
        <w:t>Abstract</w:t>
      </w:r>
    </w:p>
    <w:p w14:paraId="43215409" w14:textId="2E48AFDE" w:rsidR="00741DE2" w:rsidRDefault="00EB2569" w:rsidP="00741DE2">
      <w:pPr>
        <w:spacing w:after="0"/>
        <w:ind w:left="720" w:right="720"/>
        <w:jc w:val="both"/>
        <w:rPr>
          <w:rFonts w:ascii="Times New Roman" w:hAnsi="Times New Roman"/>
          <w:sz w:val="24"/>
          <w:szCs w:val="28"/>
        </w:rPr>
      </w:pPr>
      <w:r w:rsidRPr="00EB2569">
        <w:rPr>
          <w:rFonts w:ascii="Times New Roman" w:hAnsi="Times New Roman"/>
          <w:sz w:val="24"/>
          <w:szCs w:val="28"/>
        </w:rPr>
        <w:t>The experiment was carried out at two locations during the kharif cropping season of 2023</w:t>
      </w:r>
      <w:r>
        <w:rPr>
          <w:rFonts w:ascii="Times New Roman" w:hAnsi="Times New Roman"/>
          <w:sz w:val="24"/>
          <w:szCs w:val="28"/>
        </w:rPr>
        <w:t xml:space="preserve">, </w:t>
      </w:r>
      <w:r w:rsidR="00741DE2" w:rsidRPr="00741DE2">
        <w:rPr>
          <w:rFonts w:ascii="Times New Roman" w:hAnsi="Times New Roman"/>
          <w:sz w:val="24"/>
          <w:szCs w:val="28"/>
        </w:rPr>
        <w:t>Jute Research Regional Station (JRRS), Kishoreganj, and Jute Research Sub-Station (JRSS), Jashore</w:t>
      </w:r>
      <w:r>
        <w:rPr>
          <w:rFonts w:ascii="Times New Roman" w:hAnsi="Times New Roman"/>
          <w:sz w:val="24"/>
          <w:szCs w:val="28"/>
        </w:rPr>
        <w:t xml:space="preserve">, </w:t>
      </w:r>
      <w:r w:rsidR="00741DE2" w:rsidRPr="00741DE2">
        <w:rPr>
          <w:rFonts w:ascii="Times New Roman" w:hAnsi="Times New Roman"/>
          <w:sz w:val="24"/>
          <w:szCs w:val="28"/>
        </w:rPr>
        <w:t xml:space="preserve">to identify the optimum seed rate and suitable weed management practices for Tossa jute (Corchorus olitorius L.). The experiment followed a </w:t>
      </w:r>
      <w:r w:rsidRPr="00741DE2">
        <w:rPr>
          <w:rFonts w:ascii="Times New Roman" w:hAnsi="Times New Roman"/>
          <w:sz w:val="24"/>
          <w:szCs w:val="28"/>
        </w:rPr>
        <w:t xml:space="preserve">Randomized Complete Block Design </w:t>
      </w:r>
      <w:r w:rsidR="00741DE2" w:rsidRPr="00741DE2">
        <w:rPr>
          <w:rFonts w:ascii="Times New Roman" w:hAnsi="Times New Roman"/>
          <w:sz w:val="24"/>
          <w:szCs w:val="28"/>
        </w:rPr>
        <w:t>(RCBD) with three replications and six treatment combinations involving variable seed rates (3.0–5.5 kg ha⁻¹) with or without filler materials and herbicidal integrations. Results revealed significant variation among treatments for plant population, growth parameters, and yield components. The combination of 4.5 kg ha⁻¹ live seed + 1.5 kg ha⁻¹ filler (ash) + Pendimethalin 33% EC + one hand weeding at 25 DAS produced the highest fibre and stick yields (3.50–3.60 t ha⁻¹ and 6.64–6.72 t ha⁻¹, respectively) across both locations. The lowest yields were recorded under the lowest seed rate (3.0 kg ha⁻¹) due to inadequate stand establishment. Moderate seed density, coupled with integrated weed management, effectively balanced plant competition, enhanced morphological traits, and increased overall productivity. These findings suggest that using 4.5 kg ha⁻¹ seed along with Pendimethalin and one hand weeding is the most efficient and sustainable practice for achieving higher jute yield under varying agro-ecological conditions of Bangladesh.</w:t>
      </w:r>
    </w:p>
    <w:p w14:paraId="50AD05A2" w14:textId="77777777" w:rsidR="00335609" w:rsidRDefault="00335609" w:rsidP="00741DE2">
      <w:pPr>
        <w:spacing w:after="0"/>
        <w:ind w:left="720" w:right="720"/>
        <w:jc w:val="both"/>
        <w:rPr>
          <w:rFonts w:ascii="Times New Roman" w:hAnsi="Times New Roman"/>
          <w:sz w:val="24"/>
          <w:szCs w:val="28"/>
        </w:rPr>
      </w:pPr>
    </w:p>
    <w:p w14:paraId="087BAD85" w14:textId="21179B62" w:rsidR="00741DE2" w:rsidRDefault="00335609" w:rsidP="00335609">
      <w:pPr>
        <w:spacing w:after="0"/>
        <w:ind w:left="720" w:right="720"/>
        <w:jc w:val="both"/>
        <w:rPr>
          <w:rFonts w:ascii="Times New Roman" w:hAnsi="Times New Roman"/>
          <w:b/>
          <w:bCs/>
          <w:sz w:val="24"/>
          <w:szCs w:val="28"/>
        </w:rPr>
      </w:pPr>
      <w:r w:rsidRPr="00335609">
        <w:rPr>
          <w:rFonts w:ascii="Times New Roman" w:hAnsi="Times New Roman"/>
          <w:b/>
          <w:bCs/>
          <w:sz w:val="24"/>
          <w:szCs w:val="28"/>
        </w:rPr>
        <w:t>Keywords</w:t>
      </w:r>
      <w:r>
        <w:rPr>
          <w:rFonts w:ascii="Times New Roman" w:hAnsi="Times New Roman"/>
          <w:b/>
          <w:bCs/>
          <w:sz w:val="24"/>
          <w:szCs w:val="28"/>
        </w:rPr>
        <w:t xml:space="preserve">: </w:t>
      </w:r>
      <w:r w:rsidRPr="00335609">
        <w:rPr>
          <w:rFonts w:ascii="Times New Roman" w:hAnsi="Times New Roman"/>
          <w:b/>
          <w:bCs/>
          <w:sz w:val="24"/>
          <w:szCs w:val="28"/>
        </w:rPr>
        <w:t>Weed Management, Fibre, Yield, Corchorus olitorius</w:t>
      </w:r>
      <w:r w:rsidR="00B23328">
        <w:rPr>
          <w:rFonts w:ascii="Times New Roman" w:hAnsi="Times New Roman"/>
          <w:b/>
          <w:bCs/>
          <w:sz w:val="24"/>
          <w:szCs w:val="28"/>
        </w:rPr>
        <w:t xml:space="preserve">, </w:t>
      </w:r>
      <w:r w:rsidR="00B23328" w:rsidRPr="00B23328">
        <w:rPr>
          <w:rFonts w:ascii="Times New Roman" w:hAnsi="Times New Roman"/>
          <w:b/>
          <w:bCs/>
          <w:sz w:val="24"/>
          <w:szCs w:val="28"/>
        </w:rPr>
        <w:t>Jute</w:t>
      </w:r>
    </w:p>
    <w:p w14:paraId="44DE5DFF" w14:textId="77777777" w:rsidR="00335609" w:rsidRPr="00335609" w:rsidRDefault="00335609" w:rsidP="00335609">
      <w:pPr>
        <w:spacing w:after="0"/>
        <w:ind w:left="720" w:right="720"/>
        <w:jc w:val="both"/>
        <w:rPr>
          <w:rFonts w:ascii="Times New Roman" w:hAnsi="Times New Roman"/>
          <w:b/>
          <w:bCs/>
          <w:sz w:val="24"/>
          <w:szCs w:val="28"/>
        </w:rPr>
      </w:pPr>
    </w:p>
    <w:p w14:paraId="2CEE3208" w14:textId="70A1C125" w:rsidR="00B16DDE" w:rsidRPr="00363FFF" w:rsidRDefault="00363FFF" w:rsidP="009A07D4">
      <w:pPr>
        <w:spacing w:after="0"/>
        <w:ind w:right="-29"/>
        <w:rPr>
          <w:rFonts w:ascii="Times New Roman" w:hAnsi="Times New Roman" w:cs="Times New Roman"/>
          <w:b/>
          <w:bCs/>
          <w:color w:val="000000" w:themeColor="text1"/>
        </w:rPr>
      </w:pPr>
      <w:r w:rsidRPr="00363FFF">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rPr>
        <w:t xml:space="preserve"> </w:t>
      </w:r>
      <w:r w:rsidR="00B16DDE" w:rsidRPr="00363FFF">
        <w:rPr>
          <w:rFonts w:ascii="Times New Roman" w:hAnsi="Times New Roman" w:cs="Times New Roman"/>
          <w:b/>
          <w:bCs/>
          <w:color w:val="000000" w:themeColor="text1"/>
        </w:rPr>
        <w:t>Introduction</w:t>
      </w:r>
    </w:p>
    <w:p w14:paraId="1A310F5F" w14:textId="4A2F67EE" w:rsidR="003B6C76" w:rsidRPr="003B6C76" w:rsidRDefault="003B6C76" w:rsidP="009A07D4">
      <w:pPr>
        <w:spacing w:after="0"/>
        <w:jc w:val="both"/>
        <w:rPr>
          <w:rFonts w:ascii="Times New Roman" w:hAnsi="Times New Roman" w:cs="Times New Roman"/>
          <w:sz w:val="24"/>
          <w:szCs w:val="24"/>
        </w:rPr>
      </w:pPr>
      <w:r w:rsidRPr="003B6C76">
        <w:rPr>
          <w:rFonts w:ascii="Times New Roman" w:hAnsi="Times New Roman" w:cs="Times New Roman"/>
          <w:sz w:val="24"/>
          <w:szCs w:val="24"/>
        </w:rPr>
        <w:t>Jute (</w:t>
      </w:r>
      <w:r w:rsidRPr="00C0642C">
        <w:rPr>
          <w:rFonts w:ascii="Times New Roman" w:hAnsi="Times New Roman" w:cs="Times New Roman"/>
          <w:i/>
          <w:iCs/>
          <w:sz w:val="24"/>
          <w:szCs w:val="24"/>
        </w:rPr>
        <w:t>Corchorus olitorius</w:t>
      </w:r>
      <w:r w:rsidRPr="003B6C76">
        <w:rPr>
          <w:rFonts w:ascii="Times New Roman" w:hAnsi="Times New Roman" w:cs="Times New Roman"/>
          <w:sz w:val="24"/>
          <w:szCs w:val="24"/>
        </w:rPr>
        <w:t xml:space="preserve"> L.) is one of the most important natural bast fibre crops cultivated extensively in Bangladesh, India, and parts of Southeast Asia. It serves as a cash crop for millions of </w:t>
      </w:r>
      <w:r w:rsidR="00C37378">
        <w:rPr>
          <w:rFonts w:ascii="Times New Roman" w:hAnsi="Times New Roman" w:cs="Times New Roman"/>
          <w:sz w:val="24"/>
          <w:szCs w:val="24"/>
        </w:rPr>
        <w:t>smallholder</w:t>
      </w:r>
      <w:r>
        <w:rPr>
          <w:rFonts w:ascii="Times New Roman" w:hAnsi="Times New Roman" w:cs="Times New Roman"/>
          <w:sz w:val="24"/>
          <w:szCs w:val="24"/>
        </w:rPr>
        <w:t xml:space="preserve"> </w:t>
      </w:r>
      <w:r w:rsidRPr="003B6C76">
        <w:rPr>
          <w:rFonts w:ascii="Times New Roman" w:hAnsi="Times New Roman" w:cs="Times New Roman"/>
          <w:sz w:val="24"/>
          <w:szCs w:val="24"/>
        </w:rPr>
        <w:t xml:space="preserve">and marginal farmers who depend on its cultivation for both income and employment (Kumar </w:t>
      </w:r>
      <w:r w:rsidRPr="00C0642C">
        <w:rPr>
          <w:rFonts w:ascii="Times New Roman" w:hAnsi="Times New Roman" w:cs="Times New Roman"/>
          <w:i/>
          <w:iCs/>
          <w:sz w:val="24"/>
          <w:szCs w:val="24"/>
        </w:rPr>
        <w:t>et al.,</w:t>
      </w:r>
      <w:r w:rsidRPr="003B6C76">
        <w:rPr>
          <w:rFonts w:ascii="Times New Roman" w:hAnsi="Times New Roman" w:cs="Times New Roman"/>
          <w:sz w:val="24"/>
          <w:szCs w:val="24"/>
        </w:rPr>
        <w:t xml:space="preserve"> 201</w:t>
      </w:r>
      <w:r w:rsidR="00C37378">
        <w:rPr>
          <w:rFonts w:ascii="Times New Roman" w:hAnsi="Times New Roman" w:cs="Times New Roman"/>
          <w:sz w:val="24"/>
          <w:szCs w:val="24"/>
        </w:rPr>
        <w:t>5</w:t>
      </w:r>
      <w:r w:rsidRPr="003B6C76">
        <w:rPr>
          <w:rFonts w:ascii="Times New Roman" w:hAnsi="Times New Roman" w:cs="Times New Roman"/>
          <w:sz w:val="24"/>
          <w:szCs w:val="24"/>
        </w:rPr>
        <w:t xml:space="preserve">; Akter </w:t>
      </w:r>
      <w:r w:rsidRPr="00C0642C">
        <w:rPr>
          <w:rFonts w:ascii="Times New Roman" w:hAnsi="Times New Roman" w:cs="Times New Roman"/>
          <w:i/>
          <w:iCs/>
          <w:sz w:val="24"/>
          <w:szCs w:val="24"/>
        </w:rPr>
        <w:t>et al.,</w:t>
      </w:r>
      <w:r w:rsidRPr="003B6C76">
        <w:rPr>
          <w:rFonts w:ascii="Times New Roman" w:hAnsi="Times New Roman" w:cs="Times New Roman"/>
          <w:sz w:val="24"/>
          <w:szCs w:val="24"/>
        </w:rPr>
        <w:t xml:space="preserve"> 2020). As an eco-friendly and biodegradable fibre, jute is highly valued for its use in producing textiles, composites, paper, packaging, ropes, mats, and geotextiles, contributing significantly to the country’s export economy (Majumder </w:t>
      </w:r>
      <w:r w:rsidRPr="00C0642C">
        <w:rPr>
          <w:rFonts w:ascii="Times New Roman" w:hAnsi="Times New Roman" w:cs="Times New Roman"/>
          <w:i/>
          <w:iCs/>
          <w:sz w:val="24"/>
          <w:szCs w:val="24"/>
        </w:rPr>
        <w:t>et al.,</w:t>
      </w:r>
      <w:r w:rsidRPr="003B6C76">
        <w:rPr>
          <w:rFonts w:ascii="Times New Roman" w:hAnsi="Times New Roman" w:cs="Times New Roman"/>
          <w:sz w:val="24"/>
          <w:szCs w:val="24"/>
        </w:rPr>
        <w:t xml:space="preserve"> 2020; Mukul </w:t>
      </w:r>
      <w:r w:rsidRPr="00C0642C">
        <w:rPr>
          <w:rFonts w:ascii="Times New Roman" w:hAnsi="Times New Roman" w:cs="Times New Roman"/>
          <w:i/>
          <w:iCs/>
          <w:sz w:val="24"/>
          <w:szCs w:val="24"/>
        </w:rPr>
        <w:t>et al.,</w:t>
      </w:r>
      <w:r w:rsidRPr="003B6C76">
        <w:rPr>
          <w:rFonts w:ascii="Times New Roman" w:hAnsi="Times New Roman" w:cs="Times New Roman"/>
          <w:sz w:val="24"/>
          <w:szCs w:val="24"/>
        </w:rPr>
        <w:t xml:space="preserve"> 2021). The crop also plays a crucial environmental role in improving soil organic </w:t>
      </w:r>
      <w:r w:rsidRPr="003B6C76">
        <w:rPr>
          <w:rFonts w:ascii="Times New Roman" w:hAnsi="Times New Roman" w:cs="Times New Roman"/>
          <w:sz w:val="24"/>
          <w:szCs w:val="24"/>
        </w:rPr>
        <w:lastRenderedPageBreak/>
        <w:t xml:space="preserve">matter, sequestering atmospheric carbon, and reducing dependency on synthetic materials (Islam </w:t>
      </w:r>
      <w:r w:rsidR="00B1088F">
        <w:rPr>
          <w:rFonts w:ascii="Times New Roman" w:hAnsi="Times New Roman" w:cs="Times New Roman"/>
          <w:sz w:val="24"/>
          <w:szCs w:val="24"/>
        </w:rPr>
        <w:t>and</w:t>
      </w:r>
      <w:r w:rsidRPr="003B6C76">
        <w:rPr>
          <w:rFonts w:ascii="Times New Roman" w:hAnsi="Times New Roman" w:cs="Times New Roman"/>
          <w:sz w:val="24"/>
          <w:szCs w:val="24"/>
        </w:rPr>
        <w:t xml:space="preserve"> Ali, 2017; Anonymous, 2022</w:t>
      </w:r>
      <w:r w:rsidR="003D17F6">
        <w:rPr>
          <w:rFonts w:ascii="Times New Roman" w:hAnsi="Times New Roman" w:cs="Times New Roman"/>
          <w:sz w:val="24"/>
          <w:szCs w:val="24"/>
        </w:rPr>
        <w:t xml:space="preserve">; and </w:t>
      </w:r>
      <w:r w:rsidR="003D17F6" w:rsidRPr="003D17F6">
        <w:rPr>
          <w:rFonts w:ascii="Times New Roman" w:hAnsi="Times New Roman" w:cs="Times New Roman"/>
          <w:sz w:val="24"/>
          <w:szCs w:val="24"/>
        </w:rPr>
        <w:t>Dutta</w:t>
      </w:r>
      <w:r w:rsidR="003D17F6">
        <w:rPr>
          <w:rFonts w:ascii="Times New Roman" w:hAnsi="Times New Roman" w:cs="Times New Roman"/>
          <w:sz w:val="24"/>
          <w:szCs w:val="24"/>
        </w:rPr>
        <w:t xml:space="preserve"> </w:t>
      </w:r>
      <w:r w:rsidR="003D17F6" w:rsidRPr="003D17F6">
        <w:rPr>
          <w:rFonts w:ascii="Times New Roman" w:hAnsi="Times New Roman" w:cs="Times New Roman"/>
          <w:i/>
          <w:iCs/>
          <w:sz w:val="24"/>
          <w:szCs w:val="24"/>
        </w:rPr>
        <w:t>et al.,</w:t>
      </w:r>
      <w:r w:rsidR="003D17F6">
        <w:rPr>
          <w:rFonts w:ascii="Times New Roman" w:hAnsi="Times New Roman" w:cs="Times New Roman"/>
          <w:sz w:val="24"/>
          <w:szCs w:val="24"/>
        </w:rPr>
        <w:t xml:space="preserve"> 2020</w:t>
      </w:r>
      <w:r w:rsidRPr="003B6C76">
        <w:rPr>
          <w:rFonts w:ascii="Times New Roman" w:hAnsi="Times New Roman" w:cs="Times New Roman"/>
          <w:sz w:val="24"/>
          <w:szCs w:val="24"/>
        </w:rPr>
        <w:t>).</w:t>
      </w:r>
    </w:p>
    <w:p w14:paraId="67276349" w14:textId="77777777" w:rsidR="003B6C76" w:rsidRPr="003B6C76" w:rsidRDefault="003B6C76" w:rsidP="003B6C76">
      <w:pPr>
        <w:spacing w:after="0" w:line="240" w:lineRule="auto"/>
        <w:jc w:val="both"/>
        <w:rPr>
          <w:rFonts w:ascii="Times New Roman" w:hAnsi="Times New Roman" w:cs="Times New Roman"/>
          <w:sz w:val="24"/>
          <w:szCs w:val="24"/>
        </w:rPr>
      </w:pPr>
    </w:p>
    <w:p w14:paraId="6D18D510" w14:textId="2345BAFB" w:rsidR="003B6C76" w:rsidRPr="003B6C76" w:rsidRDefault="003B6C76" w:rsidP="003B6C76">
      <w:pPr>
        <w:spacing w:after="0" w:line="240" w:lineRule="auto"/>
        <w:jc w:val="both"/>
        <w:rPr>
          <w:rFonts w:ascii="Times New Roman" w:hAnsi="Times New Roman" w:cs="Times New Roman"/>
          <w:sz w:val="24"/>
          <w:szCs w:val="24"/>
        </w:rPr>
      </w:pPr>
      <w:r w:rsidRPr="003B6C76">
        <w:rPr>
          <w:rFonts w:ascii="Times New Roman" w:hAnsi="Times New Roman" w:cs="Times New Roman"/>
          <w:sz w:val="24"/>
          <w:szCs w:val="24"/>
        </w:rPr>
        <w:t xml:space="preserve">Despite its potential, the productivity of jute in Bangladesh has not increased substantially over the years due to the continued use of traditional production systems. Broadcasting is still the dominant sowing method used by most farmers, resulting in uneven plant stands, high plant density, and severe intra-specific competition (Mandal </w:t>
      </w:r>
      <w:r w:rsidR="00B1088F">
        <w:rPr>
          <w:rFonts w:ascii="Times New Roman" w:hAnsi="Times New Roman" w:cs="Times New Roman"/>
          <w:sz w:val="24"/>
          <w:szCs w:val="24"/>
        </w:rPr>
        <w:t>and</w:t>
      </w:r>
      <w:r w:rsidRPr="003B6C76">
        <w:rPr>
          <w:rFonts w:ascii="Times New Roman" w:hAnsi="Times New Roman" w:cs="Times New Roman"/>
          <w:sz w:val="24"/>
          <w:szCs w:val="24"/>
        </w:rPr>
        <w:t xml:space="preserve"> Mukherjee, 2018; Ghorai, 2015). High-density sowing (HDS) not only limits nutrient uptake but also increases weeding and thinning requirements, thus raising labour costs and reducing economic efficiency (Singh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2015; Bhuiyan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2018). Conversely, low-density sowing (LDS) using line sowing promotes uniform plant growth, better resource utilization, and improved air and light penetration, which can significantly enhance fibre yield and quality (Kumar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2015; Karimi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2021</w:t>
      </w:r>
      <w:r w:rsidR="005D3AFB">
        <w:rPr>
          <w:rFonts w:ascii="Times New Roman" w:hAnsi="Times New Roman" w:cs="Times New Roman"/>
          <w:sz w:val="24"/>
          <w:szCs w:val="24"/>
        </w:rPr>
        <w:t xml:space="preserve">; and </w:t>
      </w:r>
      <w:r w:rsidR="005D3AFB" w:rsidRPr="00A46D71">
        <w:rPr>
          <w:rFonts w:ascii="Times New Roman" w:hAnsi="Times New Roman" w:cs="Times New Roman"/>
          <w:sz w:val="24"/>
          <w:szCs w:val="24"/>
        </w:rPr>
        <w:t>Nabiha</w:t>
      </w:r>
      <w:r w:rsidR="005D3AFB">
        <w:rPr>
          <w:rFonts w:ascii="Times New Roman" w:hAnsi="Times New Roman" w:cs="Times New Roman"/>
          <w:sz w:val="24"/>
          <w:szCs w:val="24"/>
        </w:rPr>
        <w:t xml:space="preserve"> </w:t>
      </w:r>
      <w:r w:rsidR="005D3AFB" w:rsidRPr="005D3AFB">
        <w:rPr>
          <w:rFonts w:ascii="Times New Roman" w:hAnsi="Times New Roman" w:cs="Times New Roman"/>
          <w:i/>
          <w:iCs/>
          <w:sz w:val="24"/>
          <w:szCs w:val="24"/>
        </w:rPr>
        <w:t>et al.,</w:t>
      </w:r>
      <w:r w:rsidR="005D3AFB">
        <w:rPr>
          <w:rFonts w:ascii="Times New Roman" w:hAnsi="Times New Roman" w:cs="Times New Roman"/>
          <w:sz w:val="24"/>
          <w:szCs w:val="24"/>
        </w:rPr>
        <w:t xml:space="preserve"> 2014</w:t>
      </w:r>
      <w:r w:rsidRPr="003B6C76">
        <w:rPr>
          <w:rFonts w:ascii="Times New Roman" w:hAnsi="Times New Roman" w:cs="Times New Roman"/>
          <w:sz w:val="24"/>
          <w:szCs w:val="24"/>
        </w:rPr>
        <w:t>).</w:t>
      </w:r>
    </w:p>
    <w:p w14:paraId="6CB2B614" w14:textId="77777777" w:rsidR="003B6C76" w:rsidRPr="003B6C76" w:rsidRDefault="003B6C76" w:rsidP="003B6C76">
      <w:pPr>
        <w:spacing w:after="0" w:line="240" w:lineRule="auto"/>
        <w:jc w:val="both"/>
        <w:rPr>
          <w:rFonts w:ascii="Times New Roman" w:hAnsi="Times New Roman" w:cs="Times New Roman"/>
          <w:sz w:val="24"/>
          <w:szCs w:val="24"/>
        </w:rPr>
      </w:pPr>
    </w:p>
    <w:p w14:paraId="1F00136E" w14:textId="778AE9C1" w:rsidR="003B6C76" w:rsidRPr="003B6C76" w:rsidRDefault="003B6C76" w:rsidP="003B6C76">
      <w:pPr>
        <w:spacing w:after="0" w:line="240" w:lineRule="auto"/>
        <w:jc w:val="both"/>
        <w:rPr>
          <w:rFonts w:ascii="Times New Roman" w:hAnsi="Times New Roman" w:cs="Times New Roman"/>
          <w:sz w:val="24"/>
          <w:szCs w:val="24"/>
        </w:rPr>
      </w:pPr>
      <w:r w:rsidRPr="003B6C76">
        <w:rPr>
          <w:rFonts w:ascii="Times New Roman" w:hAnsi="Times New Roman" w:cs="Times New Roman"/>
          <w:sz w:val="24"/>
          <w:szCs w:val="24"/>
        </w:rPr>
        <w:t xml:space="preserve">Weed competition is one of the major biotic constraints in jute production, causing heavy yield losses when not managed effectively (Hossain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2023; Singh, Bhagwan </w:t>
      </w:r>
      <w:r w:rsidR="00B1088F">
        <w:rPr>
          <w:rFonts w:ascii="Times New Roman" w:hAnsi="Times New Roman" w:cs="Times New Roman"/>
          <w:sz w:val="24"/>
          <w:szCs w:val="24"/>
        </w:rPr>
        <w:t>and</w:t>
      </w:r>
      <w:r w:rsidRPr="003B6C76">
        <w:rPr>
          <w:rFonts w:ascii="Times New Roman" w:hAnsi="Times New Roman" w:cs="Times New Roman"/>
          <w:sz w:val="24"/>
          <w:szCs w:val="24"/>
        </w:rPr>
        <w:t xml:space="preserve"> Prakash, 2015). Manual weeding is effective but labour-intensive and time-consuming, particularly under current conditions of rural labour shortages (Swanton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2015; Chakraborty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2020). Chemical weed management using selective herbicides like Pretilachlor and Pendimethalin has shown efficiency in controlling early-season weeds in jute and other fibre crops when used judiciously (Mahajan </w:t>
      </w:r>
      <w:r w:rsidR="00B1088F">
        <w:rPr>
          <w:rFonts w:ascii="Times New Roman" w:hAnsi="Times New Roman" w:cs="Times New Roman"/>
          <w:sz w:val="24"/>
          <w:szCs w:val="24"/>
        </w:rPr>
        <w:t>and</w:t>
      </w:r>
      <w:r w:rsidRPr="003B6C76">
        <w:rPr>
          <w:rFonts w:ascii="Times New Roman" w:hAnsi="Times New Roman" w:cs="Times New Roman"/>
          <w:sz w:val="24"/>
          <w:szCs w:val="24"/>
        </w:rPr>
        <w:t xml:space="preserve"> Chauhan, 2013; Hossain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2024; Mahbub </w:t>
      </w:r>
      <w:r w:rsidR="00B1088F">
        <w:rPr>
          <w:rFonts w:ascii="Times New Roman" w:hAnsi="Times New Roman" w:cs="Times New Roman"/>
          <w:sz w:val="24"/>
          <w:szCs w:val="24"/>
        </w:rPr>
        <w:t>and</w:t>
      </w:r>
      <w:r w:rsidRPr="003B6C76">
        <w:rPr>
          <w:rFonts w:ascii="Times New Roman" w:hAnsi="Times New Roman" w:cs="Times New Roman"/>
          <w:sz w:val="24"/>
          <w:szCs w:val="24"/>
        </w:rPr>
        <w:t xml:space="preserve"> Bhuiyan, 2021). Integrating herbicidal application with manual weeding and optimized sowing density forms a sustainable weed control approach, improving yield stability and profitability (Abbas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2018; Jena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2017; Mandal </w:t>
      </w:r>
      <w:r w:rsidR="00B1088F">
        <w:rPr>
          <w:rFonts w:ascii="Times New Roman" w:hAnsi="Times New Roman" w:cs="Times New Roman"/>
          <w:sz w:val="24"/>
          <w:szCs w:val="24"/>
        </w:rPr>
        <w:t>and</w:t>
      </w:r>
      <w:r w:rsidRPr="003B6C76">
        <w:rPr>
          <w:rFonts w:ascii="Times New Roman" w:hAnsi="Times New Roman" w:cs="Times New Roman"/>
          <w:sz w:val="24"/>
          <w:szCs w:val="24"/>
        </w:rPr>
        <w:t xml:space="preserve"> Mukherjee, 2018).</w:t>
      </w:r>
    </w:p>
    <w:p w14:paraId="60F627AB" w14:textId="77777777" w:rsidR="003B6C76" w:rsidRPr="003B6C76" w:rsidRDefault="003B6C76" w:rsidP="003B6C76">
      <w:pPr>
        <w:spacing w:after="0" w:line="240" w:lineRule="auto"/>
        <w:jc w:val="both"/>
        <w:rPr>
          <w:rFonts w:ascii="Times New Roman" w:hAnsi="Times New Roman" w:cs="Times New Roman"/>
          <w:sz w:val="24"/>
          <w:szCs w:val="24"/>
        </w:rPr>
      </w:pPr>
    </w:p>
    <w:p w14:paraId="31633A6D" w14:textId="7B93AFAF" w:rsidR="003B6C76" w:rsidRDefault="003B6C76" w:rsidP="003B6C76">
      <w:pPr>
        <w:spacing w:after="0" w:line="240" w:lineRule="auto"/>
        <w:jc w:val="both"/>
        <w:rPr>
          <w:rFonts w:ascii="Times New Roman" w:hAnsi="Times New Roman" w:cs="Times New Roman"/>
          <w:sz w:val="24"/>
          <w:szCs w:val="24"/>
        </w:rPr>
      </w:pPr>
      <w:r w:rsidRPr="003B6C76">
        <w:rPr>
          <w:rFonts w:ascii="Times New Roman" w:hAnsi="Times New Roman" w:cs="Times New Roman"/>
          <w:sz w:val="24"/>
          <w:szCs w:val="24"/>
        </w:rPr>
        <w:t xml:space="preserve">Previous studies have mainly emphasized weed management or varietal improvement, whereas limited attention has been given to the synergistic effects of seed rate optimization and integrated weed management under different agro-ecological conditions (Korres </w:t>
      </w:r>
      <w:r w:rsidR="00B1088F">
        <w:rPr>
          <w:rFonts w:ascii="Times New Roman" w:hAnsi="Times New Roman" w:cs="Times New Roman"/>
          <w:sz w:val="24"/>
          <w:szCs w:val="24"/>
        </w:rPr>
        <w:t>and</w:t>
      </w:r>
      <w:r w:rsidRPr="003B6C76">
        <w:rPr>
          <w:rFonts w:ascii="Times New Roman" w:hAnsi="Times New Roman" w:cs="Times New Roman"/>
          <w:sz w:val="24"/>
          <w:szCs w:val="24"/>
        </w:rPr>
        <w:t xml:space="preserve"> Norsworthy, 2015; Susha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2018; Zimdahl </w:t>
      </w:r>
      <w:r w:rsidR="00B1088F">
        <w:rPr>
          <w:rFonts w:ascii="Times New Roman" w:hAnsi="Times New Roman" w:cs="Times New Roman"/>
          <w:sz w:val="24"/>
          <w:szCs w:val="24"/>
        </w:rPr>
        <w:t>and</w:t>
      </w:r>
      <w:r w:rsidRPr="003B6C76">
        <w:rPr>
          <w:rFonts w:ascii="Times New Roman" w:hAnsi="Times New Roman" w:cs="Times New Roman"/>
          <w:sz w:val="24"/>
          <w:szCs w:val="24"/>
        </w:rPr>
        <w:t xml:space="preserve"> Basinger, 2024). Regional variations in soil type, rainfall, and temperature may alter the crop’s response to different sowing densities and herbicide combinations (Ngomuo </w:t>
      </w:r>
      <w:r w:rsidRPr="00363FFF">
        <w:rPr>
          <w:rFonts w:ascii="Times New Roman" w:hAnsi="Times New Roman" w:cs="Times New Roman"/>
          <w:i/>
          <w:iCs/>
          <w:sz w:val="24"/>
          <w:szCs w:val="24"/>
        </w:rPr>
        <w:t>et al.,</w:t>
      </w:r>
      <w:r w:rsidRPr="003B6C76">
        <w:rPr>
          <w:rFonts w:ascii="Times New Roman" w:hAnsi="Times New Roman" w:cs="Times New Roman"/>
          <w:sz w:val="24"/>
          <w:szCs w:val="24"/>
        </w:rPr>
        <w:t xml:space="preserve"> 2017; Sarkar </w:t>
      </w:r>
      <w:r w:rsidR="00B1088F">
        <w:rPr>
          <w:rFonts w:ascii="Times New Roman" w:hAnsi="Times New Roman" w:cs="Times New Roman"/>
          <w:sz w:val="24"/>
          <w:szCs w:val="24"/>
        </w:rPr>
        <w:t>and</w:t>
      </w:r>
      <w:r w:rsidRPr="003B6C76">
        <w:rPr>
          <w:rFonts w:ascii="Times New Roman" w:hAnsi="Times New Roman" w:cs="Times New Roman"/>
          <w:sz w:val="24"/>
          <w:szCs w:val="24"/>
        </w:rPr>
        <w:t xml:space="preserve"> Gawande, 2016; Mukherjee, 2013). Therefore, the present study was undertaken at two contrasting agro-climatic regions—Kishoreganj and Jashore—to determine the optimum seed rate and integrated weed management practices for maximizing fibre yield and yield attributes of Corchorus olitorius L. under field conditions. The results are expected to provide region-specific recommendations for sustainable jute cultivation in Bangladesh.</w:t>
      </w:r>
    </w:p>
    <w:p w14:paraId="6778A5EE" w14:textId="77777777" w:rsidR="009A07D4" w:rsidRDefault="009A07D4" w:rsidP="009A07D4">
      <w:pPr>
        <w:spacing w:after="0" w:line="262" w:lineRule="auto"/>
        <w:jc w:val="both"/>
        <w:rPr>
          <w:rFonts w:ascii="Times New Roman" w:hAnsi="Times New Roman" w:cs="Times New Roman"/>
          <w:b/>
          <w:bCs/>
          <w:sz w:val="24"/>
          <w:szCs w:val="24"/>
        </w:rPr>
      </w:pPr>
    </w:p>
    <w:p w14:paraId="74A7B2CE" w14:textId="5FE175FF" w:rsidR="00B16DDE" w:rsidRDefault="00363FFF" w:rsidP="009A07D4">
      <w:pPr>
        <w:spacing w:after="0" w:line="262"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3B6C76">
        <w:rPr>
          <w:rFonts w:ascii="Times New Roman" w:hAnsi="Times New Roman" w:cs="Times New Roman"/>
          <w:b/>
          <w:bCs/>
          <w:sz w:val="24"/>
          <w:szCs w:val="24"/>
        </w:rPr>
        <w:t>Materials and Methods</w:t>
      </w:r>
    </w:p>
    <w:p w14:paraId="122E41DA" w14:textId="324B915B" w:rsidR="003B6C76" w:rsidRPr="003B6C76" w:rsidRDefault="00363FFF" w:rsidP="009A07D4">
      <w:pPr>
        <w:spacing w:after="0" w:line="262" w:lineRule="auto"/>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2.1 </w:t>
      </w:r>
      <w:r w:rsidR="003B6C76" w:rsidRPr="003B6C76">
        <w:rPr>
          <w:rFonts w:ascii="Times New Roman" w:hAnsi="Times New Roman" w:cs="Times New Roman"/>
          <w:b/>
          <w:bCs/>
          <w:sz w:val="24"/>
          <w:szCs w:val="24"/>
          <w:lang w:val="x-none"/>
        </w:rPr>
        <w:t>Experimental Sites and Design</w:t>
      </w:r>
    </w:p>
    <w:p w14:paraId="25C09AAC" w14:textId="1C055E80" w:rsidR="003B6C76" w:rsidRPr="003B6C76" w:rsidRDefault="003B6C76" w:rsidP="009A07D4">
      <w:pPr>
        <w:spacing w:after="0"/>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The field experiments were conducted during 2023</w:t>
      </w:r>
      <w:r w:rsidR="00386D81">
        <w:rPr>
          <w:rFonts w:ascii="Times New Roman" w:hAnsi="Times New Roman" w:cs="Times New Roman"/>
          <w:sz w:val="24"/>
          <w:szCs w:val="24"/>
          <w:lang w:val="x-none"/>
        </w:rPr>
        <w:t>,</w:t>
      </w:r>
      <w:r w:rsidR="00CC78E4">
        <w:rPr>
          <w:rFonts w:ascii="Times New Roman" w:hAnsi="Times New Roman" w:cs="Times New Roman"/>
          <w:sz w:val="24"/>
          <w:szCs w:val="24"/>
          <w:lang w:val="x-none"/>
        </w:rPr>
        <w:t xml:space="preserve"> the kharif</w:t>
      </w:r>
      <w:r w:rsidRPr="003B6C76">
        <w:rPr>
          <w:rFonts w:ascii="Times New Roman" w:hAnsi="Times New Roman" w:cs="Times New Roman"/>
          <w:sz w:val="24"/>
          <w:szCs w:val="24"/>
          <w:lang w:val="x-none"/>
        </w:rPr>
        <w:t xml:space="preserve"> season at two locations: the Jute Research Regional Station (JRRS), Kishoreganj, and the Jute Research Sub-Station (JRSS), Jashore. Both sites represent distinct agro-ecological conditions of Bangladesh—Kishoreganj</w:t>
      </w:r>
      <w:r w:rsidR="00363FFF">
        <w:rPr>
          <w:rFonts w:ascii="Times New Roman" w:hAnsi="Times New Roman" w:cs="Times New Roman"/>
          <w:sz w:val="24"/>
          <w:szCs w:val="24"/>
          <w:lang w:val="x-none"/>
        </w:rPr>
        <w:t>,</w:t>
      </w:r>
      <w:r w:rsidRPr="003B6C76">
        <w:rPr>
          <w:rFonts w:ascii="Times New Roman" w:hAnsi="Times New Roman" w:cs="Times New Roman"/>
          <w:sz w:val="24"/>
          <w:szCs w:val="24"/>
          <w:lang w:val="x-none"/>
        </w:rPr>
        <w:t xml:space="preserve"> characterized by a humid subtropical climate with heavier alluvial soils, while Jashore experiences moderately dry conditions with loamy soils and slightly higher temperature regimes (Anonymous, 2022; Islam </w:t>
      </w:r>
      <w:r w:rsidR="00B1088F">
        <w:rPr>
          <w:rFonts w:ascii="Times New Roman" w:hAnsi="Times New Roman" w:cs="Times New Roman"/>
          <w:sz w:val="24"/>
          <w:szCs w:val="24"/>
          <w:lang w:val="x-none"/>
        </w:rPr>
        <w:t>and</w:t>
      </w:r>
      <w:r w:rsidRPr="003B6C76">
        <w:rPr>
          <w:rFonts w:ascii="Times New Roman" w:hAnsi="Times New Roman" w:cs="Times New Roman"/>
          <w:sz w:val="24"/>
          <w:szCs w:val="24"/>
          <w:lang w:val="x-none"/>
        </w:rPr>
        <w:t xml:space="preserve"> Ali, 2017). These contrasting environments were selected to evaluate the stability and adaptability of treatments under varied climatic and edaphic conditions.</w:t>
      </w:r>
    </w:p>
    <w:p w14:paraId="68FA6D4F"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A404BB5" w14:textId="5CA8A419"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 xml:space="preserve">At both sites, the experiments were laid out in a Randomized Complete Block Design (RCBD) with three replications (Gomez </w:t>
      </w:r>
      <w:r w:rsidR="00B1088F">
        <w:rPr>
          <w:rFonts w:ascii="Times New Roman" w:hAnsi="Times New Roman" w:cs="Times New Roman"/>
          <w:sz w:val="24"/>
          <w:szCs w:val="24"/>
          <w:lang w:val="x-none"/>
        </w:rPr>
        <w:t>and</w:t>
      </w:r>
      <w:r w:rsidRPr="003B6C76">
        <w:rPr>
          <w:rFonts w:ascii="Times New Roman" w:hAnsi="Times New Roman" w:cs="Times New Roman"/>
          <w:sz w:val="24"/>
          <w:szCs w:val="24"/>
          <w:lang w:val="x-none"/>
        </w:rPr>
        <w:t xml:space="preserve"> Gomez, 1984). The test variety was BJRI Tossa Pat-8 (Robi-1), a widely cultivated high-yielding tossa jute variety (Mukul </w:t>
      </w:r>
      <w:r w:rsidRPr="00386D81">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2021; Mandal </w:t>
      </w:r>
      <w:r w:rsidR="00B1088F">
        <w:rPr>
          <w:rFonts w:ascii="Times New Roman" w:hAnsi="Times New Roman" w:cs="Times New Roman"/>
          <w:sz w:val="24"/>
          <w:szCs w:val="24"/>
          <w:lang w:val="x-none"/>
        </w:rPr>
        <w:t>and</w:t>
      </w:r>
      <w:r w:rsidRPr="003B6C76">
        <w:rPr>
          <w:rFonts w:ascii="Times New Roman" w:hAnsi="Times New Roman" w:cs="Times New Roman"/>
          <w:sz w:val="24"/>
          <w:szCs w:val="24"/>
          <w:lang w:val="x-none"/>
        </w:rPr>
        <w:t xml:space="preserve"> Mukherjee, 2018). Each experimental plot measured 4.0 m × 2.5 m, with 1.0 m spacing between plots and 1.5 m between replications to ensure proper isolation and uniform growth (Kumar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Ghorai, 2015).</w:t>
      </w:r>
    </w:p>
    <w:p w14:paraId="3FA5610E"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46892B0E" w14:textId="68843DE2" w:rsidR="003B6C76" w:rsidRPr="003B6C76" w:rsidRDefault="00363FFF"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2.2 </w:t>
      </w:r>
      <w:r w:rsidR="003B6C76" w:rsidRPr="003B6C76">
        <w:rPr>
          <w:rFonts w:ascii="Times New Roman" w:hAnsi="Times New Roman" w:cs="Times New Roman"/>
          <w:b/>
          <w:bCs/>
          <w:sz w:val="24"/>
          <w:szCs w:val="24"/>
          <w:lang w:val="x-none"/>
        </w:rPr>
        <w:t>Treatments and Crop Management</w:t>
      </w:r>
    </w:p>
    <w:p w14:paraId="62DF4410" w14:textId="77777777" w:rsidR="003B6C76" w:rsidRPr="003B6C76" w:rsidRDefault="003B6C76" w:rsidP="009A07D4">
      <w:pPr>
        <w:spacing w:after="0"/>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Six seed rate and weed management combinations were evaluated as treatments:</w:t>
      </w:r>
    </w:p>
    <w:p w14:paraId="2A42F60D"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5E61B33"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3.0 kg ha⁻¹ live seed + 3.0 kg ha⁻¹ filler (ash) + hand weeding at 25 DAS</w:t>
      </w:r>
    </w:p>
    <w:p w14:paraId="47AE627F"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08057C5B"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3.5 kg ha⁻¹ live seed + 2.5 kg ha⁻¹ filler + Pretilachlor 50 EC + one hand weeding at 25 DAS</w:t>
      </w:r>
    </w:p>
    <w:p w14:paraId="558056D8"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3790879E"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4.0 kg ha⁻¹ live seed + 2.0 kg ha⁻¹ filler + one hand weeding at 25 DAS</w:t>
      </w:r>
    </w:p>
    <w:p w14:paraId="3EAF887F"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F1450A4"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4.5 kg ha⁻¹ live seed + 1.5 kg ha⁻¹ filler + Pendimethalin 33% EC + one hand weeding at 25 DAS</w:t>
      </w:r>
    </w:p>
    <w:p w14:paraId="7966A1FB"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71610481"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5.0 kg ha⁻¹ live seed + 1.0 kg ha⁻¹ filler + one hand weeding at 25 DAS</w:t>
      </w:r>
    </w:p>
    <w:p w14:paraId="31F6BF7A"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21C7379" w14:textId="77777777"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5.5 kg ha⁻¹ live seed + no filler + one hand weeding at 25 DAS</w:t>
      </w:r>
    </w:p>
    <w:p w14:paraId="7886E616"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6A35C0DE" w14:textId="4B7F41E3" w:rsidR="003B6C76" w:rsidRPr="003B6C76" w:rsidRDefault="003B6C76" w:rsidP="003B6C76">
      <w:pPr>
        <w:spacing w:after="0" w:line="240" w:lineRule="auto"/>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 xml:space="preserve">The fillers used were ash to improve uniform seed distribution and reduce clumping during sowing. Herbicides Pretilachlor 50 EC @ 0.9 kg ha⁻¹ and Pendimethalin 33% EC @ 2.5 L ha⁻¹ were applied 48 hours after sowing for effective weed suppression following integrated weed management principles (Hossain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2024; Abbas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2018; Mahajan </w:t>
      </w:r>
      <w:r w:rsidR="00B1088F">
        <w:rPr>
          <w:rFonts w:ascii="Times New Roman" w:hAnsi="Times New Roman" w:cs="Times New Roman"/>
          <w:sz w:val="24"/>
          <w:szCs w:val="24"/>
          <w:lang w:val="x-none"/>
        </w:rPr>
        <w:t>and</w:t>
      </w:r>
      <w:r w:rsidRPr="003B6C76">
        <w:rPr>
          <w:rFonts w:ascii="Times New Roman" w:hAnsi="Times New Roman" w:cs="Times New Roman"/>
          <w:sz w:val="24"/>
          <w:szCs w:val="24"/>
          <w:lang w:val="x-none"/>
        </w:rPr>
        <w:t xml:space="preserve"> Chauhan, 2013). The recommended basal dose of fertilizers was Urea, TSP, and MOP at 65:50:30 kg ha⁻¹, respectively, and topdressing with urea was done at 25 and 45 DAS, followed by irrigation (Singh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Mandal </w:t>
      </w:r>
      <w:r w:rsidR="00B1088F">
        <w:rPr>
          <w:rFonts w:ascii="Times New Roman" w:hAnsi="Times New Roman" w:cs="Times New Roman"/>
          <w:sz w:val="24"/>
          <w:szCs w:val="24"/>
          <w:lang w:val="x-none"/>
        </w:rPr>
        <w:t>and</w:t>
      </w:r>
      <w:r w:rsidRPr="003B6C76">
        <w:rPr>
          <w:rFonts w:ascii="Times New Roman" w:hAnsi="Times New Roman" w:cs="Times New Roman"/>
          <w:sz w:val="24"/>
          <w:szCs w:val="24"/>
          <w:lang w:val="x-none"/>
        </w:rPr>
        <w:t xml:space="preserve"> Mukherjee, 2018). Standard agronomic practices including gap filling, pest management, and weed control were maintained as per BJRI guidelines (Kumar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Ghorai, 2015).</w:t>
      </w:r>
    </w:p>
    <w:p w14:paraId="2B34EDA0" w14:textId="77777777" w:rsidR="003B6C76" w:rsidRPr="003B6C76" w:rsidRDefault="003B6C76" w:rsidP="003B6C76">
      <w:pPr>
        <w:spacing w:after="0" w:line="240" w:lineRule="auto"/>
        <w:jc w:val="both"/>
        <w:rPr>
          <w:rFonts w:ascii="Times New Roman" w:hAnsi="Times New Roman" w:cs="Times New Roman"/>
          <w:sz w:val="24"/>
          <w:szCs w:val="24"/>
          <w:lang w:val="x-none"/>
        </w:rPr>
      </w:pPr>
    </w:p>
    <w:p w14:paraId="288CD8F6" w14:textId="57EDEE0A" w:rsidR="003B6C76" w:rsidRPr="003B6C76" w:rsidRDefault="00363FFF"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2.3 </w:t>
      </w:r>
      <w:r w:rsidR="003B6C76" w:rsidRPr="003B6C76">
        <w:rPr>
          <w:rFonts w:ascii="Times New Roman" w:hAnsi="Times New Roman" w:cs="Times New Roman"/>
          <w:b/>
          <w:bCs/>
          <w:sz w:val="24"/>
          <w:szCs w:val="24"/>
          <w:lang w:val="x-none"/>
        </w:rPr>
        <w:t>Data Recording and Statistical Analysis</w:t>
      </w:r>
    </w:p>
    <w:p w14:paraId="31C56F74" w14:textId="76A361A0" w:rsidR="00B16DDE" w:rsidRDefault="003B6C76" w:rsidP="009A07D4">
      <w:pPr>
        <w:spacing w:after="0"/>
        <w:jc w:val="both"/>
        <w:rPr>
          <w:rFonts w:ascii="Times New Roman" w:hAnsi="Times New Roman" w:cs="Times New Roman"/>
          <w:sz w:val="24"/>
          <w:szCs w:val="24"/>
          <w:lang w:val="x-none"/>
        </w:rPr>
      </w:pPr>
      <w:r w:rsidRPr="003B6C76">
        <w:rPr>
          <w:rFonts w:ascii="Times New Roman" w:hAnsi="Times New Roman" w:cs="Times New Roman"/>
          <w:sz w:val="24"/>
          <w:szCs w:val="24"/>
          <w:lang w:val="x-none"/>
        </w:rPr>
        <w:t xml:space="preserve">Observations were recorded at harvest for plant population, plant height, base diameter, fibre yield, and stick yield (Hossain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2023; Mukul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2021). Retting was performed using standard water-retting techniques, and dry fibre yield was expressed in tonnes per hectare. The collected data from both locations were subjected to combined analysis of variance (ANOVA) using the </w:t>
      </w:r>
      <w:r w:rsidR="00363FFF" w:rsidRPr="00363FFF">
        <w:rPr>
          <w:rFonts w:ascii="Times New Roman" w:hAnsi="Times New Roman" w:cs="Times New Roman"/>
          <w:sz w:val="24"/>
          <w:szCs w:val="24"/>
          <w:lang w:val="x-none"/>
        </w:rPr>
        <w:t>R software (version 4.3.2) employing the Analysis of Design of Experiments for Biological Research package</w:t>
      </w:r>
      <w:r w:rsidR="00363FFF">
        <w:rPr>
          <w:rFonts w:ascii="Times New Roman" w:hAnsi="Times New Roman" w:cs="Times New Roman"/>
          <w:sz w:val="24"/>
          <w:szCs w:val="24"/>
          <w:lang w:val="x-none"/>
        </w:rPr>
        <w:t xml:space="preserve"> </w:t>
      </w:r>
      <w:r w:rsidRPr="003B6C76">
        <w:rPr>
          <w:rFonts w:ascii="Times New Roman" w:hAnsi="Times New Roman" w:cs="Times New Roman"/>
          <w:sz w:val="24"/>
          <w:szCs w:val="24"/>
          <w:lang w:val="x-none"/>
        </w:rPr>
        <w:t xml:space="preserve">(Swanton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2015; Zimdahl </w:t>
      </w:r>
      <w:r w:rsidR="00B1088F">
        <w:rPr>
          <w:rFonts w:ascii="Times New Roman" w:hAnsi="Times New Roman" w:cs="Times New Roman"/>
          <w:sz w:val="24"/>
          <w:szCs w:val="24"/>
          <w:lang w:val="x-none"/>
        </w:rPr>
        <w:t>and</w:t>
      </w:r>
      <w:r w:rsidRPr="003B6C76">
        <w:rPr>
          <w:rFonts w:ascii="Times New Roman" w:hAnsi="Times New Roman" w:cs="Times New Roman"/>
          <w:sz w:val="24"/>
          <w:szCs w:val="24"/>
          <w:lang w:val="x-none"/>
        </w:rPr>
        <w:t xml:space="preserve"> Basinger, 2024). Mean differences among treatments were tested using the Least Significant Difference (LSD) method at the 5% level of significance (Gomez </w:t>
      </w:r>
      <w:r w:rsidR="00B1088F">
        <w:rPr>
          <w:rFonts w:ascii="Times New Roman" w:hAnsi="Times New Roman" w:cs="Times New Roman"/>
          <w:sz w:val="24"/>
          <w:szCs w:val="24"/>
          <w:lang w:val="x-none"/>
        </w:rPr>
        <w:t>and</w:t>
      </w:r>
      <w:r w:rsidRPr="003B6C76">
        <w:rPr>
          <w:rFonts w:ascii="Times New Roman" w:hAnsi="Times New Roman" w:cs="Times New Roman"/>
          <w:sz w:val="24"/>
          <w:szCs w:val="24"/>
          <w:lang w:val="x-none"/>
        </w:rPr>
        <w:t xml:space="preserve"> Gomez, 1984). Comparative interpretation between locations was made to assess the consistency and stability of treatment responses (Korres </w:t>
      </w:r>
      <w:r w:rsidR="00B1088F">
        <w:rPr>
          <w:rFonts w:ascii="Times New Roman" w:hAnsi="Times New Roman" w:cs="Times New Roman"/>
          <w:sz w:val="24"/>
          <w:szCs w:val="24"/>
          <w:lang w:val="x-none"/>
        </w:rPr>
        <w:t>and</w:t>
      </w:r>
      <w:r w:rsidRPr="003B6C76">
        <w:rPr>
          <w:rFonts w:ascii="Times New Roman" w:hAnsi="Times New Roman" w:cs="Times New Roman"/>
          <w:sz w:val="24"/>
          <w:szCs w:val="24"/>
          <w:lang w:val="x-none"/>
        </w:rPr>
        <w:t xml:space="preserve"> Norsworthy, 2015; Hossain </w:t>
      </w:r>
      <w:r w:rsidRPr="00363FFF">
        <w:rPr>
          <w:rFonts w:ascii="Times New Roman" w:hAnsi="Times New Roman" w:cs="Times New Roman"/>
          <w:i/>
          <w:iCs/>
          <w:sz w:val="24"/>
          <w:szCs w:val="24"/>
          <w:lang w:val="x-none"/>
        </w:rPr>
        <w:t>et al.,</w:t>
      </w:r>
      <w:r w:rsidRPr="003B6C76">
        <w:rPr>
          <w:rFonts w:ascii="Times New Roman" w:hAnsi="Times New Roman" w:cs="Times New Roman"/>
          <w:sz w:val="24"/>
          <w:szCs w:val="24"/>
          <w:lang w:val="x-none"/>
        </w:rPr>
        <w:t xml:space="preserve"> 2024).</w:t>
      </w:r>
    </w:p>
    <w:p w14:paraId="282754D9" w14:textId="77777777" w:rsidR="00A04E3D" w:rsidRDefault="00A04E3D" w:rsidP="00A04E3D">
      <w:pPr>
        <w:jc w:val="both"/>
        <w:rPr>
          <w:rFonts w:ascii="Times New Roman" w:hAnsi="Times New Roman" w:cs="Times New Roman"/>
          <w:b/>
          <w:bCs/>
          <w:sz w:val="24"/>
          <w:szCs w:val="24"/>
          <w:lang w:val="x-none"/>
        </w:rPr>
      </w:pPr>
    </w:p>
    <w:p w14:paraId="32D09AB6" w14:textId="3B1E302B" w:rsidR="00A04E3D" w:rsidRDefault="00363FFF" w:rsidP="00A04E3D">
      <w:pPr>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lastRenderedPageBreak/>
        <w:t xml:space="preserve">3. </w:t>
      </w:r>
      <w:r w:rsidR="00A04E3D" w:rsidRPr="00A04E3D">
        <w:rPr>
          <w:rFonts w:ascii="Times New Roman" w:hAnsi="Times New Roman" w:cs="Times New Roman"/>
          <w:b/>
          <w:bCs/>
          <w:sz w:val="24"/>
          <w:szCs w:val="24"/>
          <w:lang w:val="x-none"/>
        </w:rPr>
        <w:t>Results and Discussion</w:t>
      </w:r>
      <w:r w:rsidR="009A07D4">
        <w:rPr>
          <w:rFonts w:ascii="Times New Roman" w:hAnsi="Times New Roman" w:cs="Times New Roman"/>
          <w:b/>
          <w:bCs/>
          <w:sz w:val="24"/>
          <w:szCs w:val="24"/>
          <w:lang w:val="x-none"/>
        </w:rPr>
        <w:t xml:space="preserve"> </w:t>
      </w:r>
    </w:p>
    <w:p w14:paraId="5238719C" w14:textId="246943F8" w:rsidR="009A07D4" w:rsidRPr="00A04E3D" w:rsidRDefault="009A07D4" w:rsidP="00A04E3D">
      <w:pPr>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a) Jute Research Regional Station, Kishoreganj</w:t>
      </w:r>
    </w:p>
    <w:p w14:paraId="397493BB" w14:textId="77777777" w:rsidR="00FD6ACB" w:rsidRDefault="00FD6ACB"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3.1 </w:t>
      </w:r>
      <w:r w:rsidR="00A04E3D" w:rsidRPr="00A04E3D">
        <w:rPr>
          <w:rFonts w:ascii="Times New Roman" w:hAnsi="Times New Roman" w:cs="Times New Roman"/>
          <w:b/>
          <w:bCs/>
          <w:sz w:val="24"/>
          <w:szCs w:val="24"/>
          <w:lang w:val="x-none"/>
        </w:rPr>
        <w:t>Plant Population</w:t>
      </w:r>
    </w:p>
    <w:p w14:paraId="382FBA89" w14:textId="7A677134" w:rsidR="00A04E3D" w:rsidRPr="00FD6ACB" w:rsidRDefault="00A04E3D" w:rsidP="009A07D4">
      <w:pPr>
        <w:spacing w:after="0"/>
        <w:jc w:val="both"/>
        <w:rPr>
          <w:rFonts w:ascii="Times New Roman" w:hAnsi="Times New Roman" w:cs="Times New Roman"/>
          <w:b/>
          <w:bCs/>
          <w:sz w:val="24"/>
          <w:szCs w:val="24"/>
          <w:lang w:val="x-none"/>
        </w:rPr>
      </w:pPr>
      <w:r w:rsidRPr="00A04E3D">
        <w:rPr>
          <w:rFonts w:ascii="Times New Roman" w:hAnsi="Times New Roman" w:cs="Times New Roman"/>
          <w:sz w:val="24"/>
          <w:szCs w:val="24"/>
          <w:lang w:val="x-none"/>
        </w:rPr>
        <w:t xml:space="preserve">Significant variation (P &lt; 0.05) was observed among the treatments for plant population per square meter (Table 1). The highest plant population (42.00 m⁻²) was recorded from T₆ (5.5 kg ha⁻¹ live seed + one hand weeding), while the lowest (19.00 m⁻²) occurred in T₁ (3.0 kg ha⁻¹ live seed + 3.0 kg ha⁻¹ filler + hand weeding). The progressive increase in plant population with higher seeding rates was expected since greater seed density enhanced initial plant stand establishment (Karimi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2021). However, extremely dense stands are often associated with increased intra-specific competition and reduced plant vigor (Morsy </w:t>
      </w:r>
      <w:r w:rsidR="00B1088F">
        <w:rPr>
          <w:rFonts w:ascii="Times New Roman" w:hAnsi="Times New Roman" w:cs="Times New Roman"/>
          <w:sz w:val="24"/>
          <w:szCs w:val="24"/>
          <w:lang w:val="x-none"/>
        </w:rPr>
        <w:t>and</w:t>
      </w:r>
      <w:r w:rsidRPr="00A04E3D">
        <w:rPr>
          <w:rFonts w:ascii="Times New Roman" w:hAnsi="Times New Roman" w:cs="Times New Roman"/>
          <w:sz w:val="24"/>
          <w:szCs w:val="24"/>
          <w:lang w:val="x-none"/>
        </w:rPr>
        <w:t xml:space="preserve"> Tantawy, 2018</w:t>
      </w:r>
      <w:r w:rsidR="00DF74F2">
        <w:rPr>
          <w:rFonts w:ascii="Times New Roman" w:hAnsi="Times New Roman" w:cs="Times New Roman"/>
          <w:sz w:val="24"/>
          <w:szCs w:val="24"/>
          <w:lang w:val="x-none"/>
        </w:rPr>
        <w:t xml:space="preserve">; </w:t>
      </w:r>
      <w:r w:rsidR="00DF74F2" w:rsidRPr="00A46D71">
        <w:rPr>
          <w:rFonts w:ascii="Times New Roman" w:hAnsi="Times New Roman" w:cs="Times New Roman"/>
          <w:sz w:val="24"/>
          <w:szCs w:val="24"/>
        </w:rPr>
        <w:t>Schnelle</w:t>
      </w:r>
      <w:r w:rsidR="00DF74F2">
        <w:rPr>
          <w:rFonts w:ascii="Times New Roman" w:hAnsi="Times New Roman" w:cs="Times New Roman"/>
          <w:sz w:val="24"/>
          <w:szCs w:val="24"/>
        </w:rPr>
        <w:t xml:space="preserve"> and Cole, 2017</w:t>
      </w:r>
      <w:r w:rsidRPr="00A04E3D">
        <w:rPr>
          <w:rFonts w:ascii="Times New Roman" w:hAnsi="Times New Roman" w:cs="Times New Roman"/>
          <w:sz w:val="24"/>
          <w:szCs w:val="24"/>
          <w:lang w:val="x-none"/>
        </w:rPr>
        <w:t xml:space="preserve">). Similar findings were reported by Kumar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and Mandal </w:t>
      </w:r>
      <w:r w:rsidR="00B1088F">
        <w:rPr>
          <w:rFonts w:ascii="Times New Roman" w:hAnsi="Times New Roman" w:cs="Times New Roman"/>
          <w:sz w:val="24"/>
          <w:szCs w:val="24"/>
          <w:lang w:val="x-none"/>
        </w:rPr>
        <w:t>and</w:t>
      </w:r>
      <w:r w:rsidRPr="00A04E3D">
        <w:rPr>
          <w:rFonts w:ascii="Times New Roman" w:hAnsi="Times New Roman" w:cs="Times New Roman"/>
          <w:sz w:val="24"/>
          <w:szCs w:val="24"/>
          <w:lang w:val="x-none"/>
        </w:rPr>
        <w:t xml:space="preserve"> Mukherjee (2018), who demonstrated that excessive plant density in </w:t>
      </w:r>
      <w:r w:rsidRPr="00FD6ACB">
        <w:rPr>
          <w:rFonts w:ascii="Times New Roman" w:hAnsi="Times New Roman" w:cs="Times New Roman"/>
          <w:i/>
          <w:iCs/>
          <w:sz w:val="24"/>
          <w:szCs w:val="24"/>
          <w:lang w:val="x-none"/>
        </w:rPr>
        <w:t>C. olitorius</w:t>
      </w:r>
      <w:r w:rsidRPr="00A04E3D">
        <w:rPr>
          <w:rFonts w:ascii="Times New Roman" w:hAnsi="Times New Roman" w:cs="Times New Roman"/>
          <w:sz w:val="24"/>
          <w:szCs w:val="24"/>
          <w:lang w:val="x-none"/>
        </w:rPr>
        <w:t xml:space="preserve"> can restrict root expansion and resource uptake, ultimately lowering yield efficiency. This result confirms that moderate plant density (around 30 m⁻²) is optimal for jute under line sowing conditions, consistent with the recommendations of Islam </w:t>
      </w:r>
      <w:r w:rsidR="00B1088F">
        <w:rPr>
          <w:rFonts w:ascii="Times New Roman" w:hAnsi="Times New Roman" w:cs="Times New Roman"/>
          <w:sz w:val="24"/>
          <w:szCs w:val="24"/>
          <w:lang w:val="x-none"/>
        </w:rPr>
        <w:t>and</w:t>
      </w:r>
      <w:r w:rsidRPr="00A04E3D">
        <w:rPr>
          <w:rFonts w:ascii="Times New Roman" w:hAnsi="Times New Roman" w:cs="Times New Roman"/>
          <w:sz w:val="24"/>
          <w:szCs w:val="24"/>
          <w:lang w:val="x-none"/>
        </w:rPr>
        <w:t xml:space="preserve"> Ali (2017).</w:t>
      </w:r>
    </w:p>
    <w:p w14:paraId="1A13ED18" w14:textId="77777777" w:rsidR="00A04E3D" w:rsidRPr="00A04E3D" w:rsidRDefault="00A04E3D" w:rsidP="00A04E3D">
      <w:pPr>
        <w:jc w:val="both"/>
        <w:rPr>
          <w:rFonts w:ascii="Times New Roman" w:hAnsi="Times New Roman" w:cs="Times New Roman"/>
          <w:b/>
          <w:bCs/>
          <w:sz w:val="24"/>
          <w:szCs w:val="24"/>
          <w:lang w:val="x-none"/>
        </w:rPr>
      </w:pPr>
    </w:p>
    <w:p w14:paraId="097B6499" w14:textId="7D241E4F" w:rsidR="00A04E3D" w:rsidRPr="00A04E3D" w:rsidRDefault="00FD6ACB"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3.2 </w:t>
      </w:r>
      <w:r w:rsidR="00A04E3D" w:rsidRPr="00A04E3D">
        <w:rPr>
          <w:rFonts w:ascii="Times New Roman" w:hAnsi="Times New Roman" w:cs="Times New Roman"/>
          <w:b/>
          <w:bCs/>
          <w:sz w:val="24"/>
          <w:szCs w:val="24"/>
          <w:lang w:val="x-none"/>
        </w:rPr>
        <w:t>Plant Height and Base Diameter</w:t>
      </w:r>
    </w:p>
    <w:p w14:paraId="69879C01" w14:textId="60945795" w:rsidR="00A04E3D" w:rsidRPr="00A04E3D" w:rsidRDefault="00A04E3D" w:rsidP="009A07D4">
      <w:pPr>
        <w:spacing w:after="0"/>
        <w:jc w:val="both"/>
        <w:rPr>
          <w:rFonts w:ascii="Times New Roman" w:hAnsi="Times New Roman" w:cs="Times New Roman"/>
          <w:sz w:val="24"/>
          <w:szCs w:val="24"/>
          <w:lang w:val="x-none"/>
        </w:rPr>
      </w:pPr>
      <w:r w:rsidRPr="00A04E3D">
        <w:rPr>
          <w:rFonts w:ascii="Times New Roman" w:hAnsi="Times New Roman" w:cs="Times New Roman"/>
          <w:sz w:val="24"/>
          <w:szCs w:val="24"/>
          <w:lang w:val="x-none"/>
        </w:rPr>
        <w:t xml:space="preserve">Plant height (PH) and base diameter (BD) differed significantly across treatments. The tallest plants (3.51 m) and the largest stem diameter (20.30 mm) were obtained from T₁, while the shortest plants (3.10 m) and the smallest diameter (14.75 mm) were observed in T₆. The inverse relationship between density and individual plant growth indicates that competition for sunlight, nutrients, and moisture increases with higher plant populations (Susha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Charles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2019). Ghorai (2015) and Singh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also reported similar trends, where sparse sowing allowed better canopy development and thicker stems, improving fibre strength and retting efficiency. The reduction in diameter under dense sowing observed here supports the argument that balanced spacing ensures efficient utilization of growth resources, leading to superior plant morphology and higher fibre yield potential (Korres </w:t>
      </w:r>
      <w:r w:rsidR="00B1088F">
        <w:rPr>
          <w:rFonts w:ascii="Times New Roman" w:hAnsi="Times New Roman" w:cs="Times New Roman"/>
          <w:sz w:val="24"/>
          <w:szCs w:val="24"/>
          <w:lang w:val="x-none"/>
        </w:rPr>
        <w:t>and</w:t>
      </w:r>
      <w:r w:rsidRPr="00A04E3D">
        <w:rPr>
          <w:rFonts w:ascii="Times New Roman" w:hAnsi="Times New Roman" w:cs="Times New Roman"/>
          <w:sz w:val="24"/>
          <w:szCs w:val="24"/>
          <w:lang w:val="x-none"/>
        </w:rPr>
        <w:t xml:space="preserve"> Norsworthy, 2015).</w:t>
      </w:r>
    </w:p>
    <w:p w14:paraId="1278C3F5" w14:textId="77777777" w:rsidR="00A04E3D" w:rsidRPr="00A04E3D" w:rsidRDefault="00A04E3D" w:rsidP="00A04E3D">
      <w:pPr>
        <w:jc w:val="both"/>
        <w:rPr>
          <w:rFonts w:ascii="Times New Roman" w:hAnsi="Times New Roman" w:cs="Times New Roman"/>
          <w:b/>
          <w:bCs/>
          <w:sz w:val="24"/>
          <w:szCs w:val="24"/>
          <w:lang w:val="x-none"/>
        </w:rPr>
      </w:pPr>
    </w:p>
    <w:p w14:paraId="3E024F91" w14:textId="43825942" w:rsidR="00A04E3D" w:rsidRPr="00A04E3D"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3.3 </w:t>
      </w:r>
      <w:r w:rsidR="00A04E3D" w:rsidRPr="00A04E3D">
        <w:rPr>
          <w:rFonts w:ascii="Times New Roman" w:hAnsi="Times New Roman" w:cs="Times New Roman"/>
          <w:b/>
          <w:bCs/>
          <w:sz w:val="24"/>
          <w:szCs w:val="24"/>
          <w:lang w:val="x-none"/>
        </w:rPr>
        <w:t>Fibre Yield</w:t>
      </w:r>
    </w:p>
    <w:p w14:paraId="7B854A6E" w14:textId="7199E0EB" w:rsidR="00A04E3D" w:rsidRPr="00A04E3D" w:rsidRDefault="00A04E3D" w:rsidP="009A07D4">
      <w:pPr>
        <w:spacing w:after="0"/>
        <w:jc w:val="both"/>
        <w:rPr>
          <w:rFonts w:ascii="Times New Roman" w:hAnsi="Times New Roman" w:cs="Times New Roman"/>
          <w:sz w:val="24"/>
          <w:szCs w:val="24"/>
          <w:lang w:val="x-none"/>
        </w:rPr>
      </w:pPr>
      <w:r w:rsidRPr="00A04E3D">
        <w:rPr>
          <w:rFonts w:ascii="Times New Roman" w:hAnsi="Times New Roman" w:cs="Times New Roman"/>
          <w:sz w:val="24"/>
          <w:szCs w:val="24"/>
          <w:lang w:val="x-none"/>
        </w:rPr>
        <w:t xml:space="preserve">Fibre yield (FY) was significantly influenced by the combined effect of seed rate and weed management. The treatment T₄ (4.5 kg ha⁻¹ live seed + 1.5 kg ha⁻¹ filler + Pendimethalin 33% EC + one hand weeding) produced the highest fibre yield (3.50 t ha⁻¹), followed by T₆ (3.37 t ha⁻¹) and T₅ (3.31 t ha⁻¹), whereas the lowest yield (2.52 t ha⁻¹) was recorded from T₁. The superior performance of T₄ may be attributed to its balanced plant density (31 m⁻²) and effective weed suppression through the integrated use of herbicide and manual weeding (Hossain </w:t>
      </w:r>
      <w:r w:rsidRPr="00FD6ACB">
        <w:rPr>
          <w:rFonts w:ascii="Times New Roman" w:hAnsi="Times New Roman" w:cs="Times New Roman"/>
          <w:sz w:val="24"/>
          <w:szCs w:val="24"/>
          <w:lang w:val="x-none"/>
        </w:rPr>
        <w:t>et al.,</w:t>
      </w:r>
      <w:r w:rsidRPr="00A04E3D">
        <w:rPr>
          <w:rFonts w:ascii="Times New Roman" w:hAnsi="Times New Roman" w:cs="Times New Roman"/>
          <w:sz w:val="24"/>
          <w:szCs w:val="24"/>
          <w:lang w:val="x-none"/>
        </w:rPr>
        <w:t xml:space="preserve"> 2024; Abbas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Mandal </w:t>
      </w:r>
      <w:r w:rsidR="00B1088F">
        <w:rPr>
          <w:rFonts w:ascii="Times New Roman" w:hAnsi="Times New Roman" w:cs="Times New Roman"/>
          <w:sz w:val="24"/>
          <w:szCs w:val="24"/>
          <w:lang w:val="x-none"/>
        </w:rPr>
        <w:t>and</w:t>
      </w:r>
      <w:r w:rsidRPr="00A04E3D">
        <w:rPr>
          <w:rFonts w:ascii="Times New Roman" w:hAnsi="Times New Roman" w:cs="Times New Roman"/>
          <w:sz w:val="24"/>
          <w:szCs w:val="24"/>
          <w:lang w:val="x-none"/>
        </w:rPr>
        <w:t xml:space="preserve"> Mukherjee (2018) and Jena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(2017) also demonstrated that Pendimethalin combined with cultural weed control effectively reduces early weed competition and enhances fibre yield in jute.</w:t>
      </w:r>
      <w:r w:rsidR="00FC4A04">
        <w:rPr>
          <w:rFonts w:ascii="Times New Roman" w:hAnsi="Times New Roman" w:cs="Times New Roman"/>
          <w:sz w:val="24"/>
          <w:szCs w:val="24"/>
          <w:lang w:val="x-none"/>
        </w:rPr>
        <w:t xml:space="preserve"> </w:t>
      </w:r>
      <w:r w:rsidRPr="00A04E3D">
        <w:rPr>
          <w:rFonts w:ascii="Times New Roman" w:hAnsi="Times New Roman" w:cs="Times New Roman"/>
          <w:sz w:val="24"/>
          <w:szCs w:val="24"/>
          <w:lang w:val="x-none"/>
        </w:rPr>
        <w:t xml:space="preserve">The observed yield increase aligns with findings by Hossain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(2023), who emphasized that optimum sowing density coupled with efficient weed control extends the critical weed-free period, thereby increasing biomass accumulation and fibre production. </w:t>
      </w:r>
      <w:r w:rsidRPr="00A04E3D">
        <w:rPr>
          <w:rFonts w:ascii="Times New Roman" w:hAnsi="Times New Roman" w:cs="Times New Roman"/>
          <w:sz w:val="24"/>
          <w:szCs w:val="24"/>
          <w:lang w:val="x-none"/>
        </w:rPr>
        <w:lastRenderedPageBreak/>
        <w:t xml:space="preserve">Moreover, Swanton </w:t>
      </w:r>
      <w:r w:rsidRPr="00386D81">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highlighted that maintaining jute fields weed-free during the first 40 days after sowing significantly boosts yield, validating the results obtained in this study.</w:t>
      </w:r>
    </w:p>
    <w:p w14:paraId="53BEA9B2" w14:textId="77777777" w:rsidR="009A07D4" w:rsidRDefault="009A07D4" w:rsidP="009A07D4">
      <w:pPr>
        <w:spacing w:after="0"/>
        <w:jc w:val="both"/>
        <w:rPr>
          <w:rFonts w:ascii="Times New Roman" w:hAnsi="Times New Roman" w:cs="Times New Roman"/>
          <w:b/>
          <w:bCs/>
          <w:sz w:val="24"/>
          <w:szCs w:val="24"/>
          <w:lang w:val="x-none"/>
        </w:rPr>
      </w:pPr>
    </w:p>
    <w:p w14:paraId="6CF91455" w14:textId="48828F42" w:rsidR="00A04E3D" w:rsidRPr="00A04E3D"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3.4 </w:t>
      </w:r>
      <w:r w:rsidR="00A04E3D" w:rsidRPr="00A04E3D">
        <w:rPr>
          <w:rFonts w:ascii="Times New Roman" w:hAnsi="Times New Roman" w:cs="Times New Roman"/>
          <w:b/>
          <w:bCs/>
          <w:sz w:val="24"/>
          <w:szCs w:val="24"/>
          <w:lang w:val="x-none"/>
        </w:rPr>
        <w:t>Stick Yield</w:t>
      </w:r>
    </w:p>
    <w:p w14:paraId="224B5124" w14:textId="587C4C6E" w:rsidR="00A04E3D" w:rsidRPr="00A04E3D" w:rsidRDefault="00A04E3D" w:rsidP="009A07D4">
      <w:pPr>
        <w:spacing w:after="0"/>
        <w:jc w:val="both"/>
        <w:rPr>
          <w:rFonts w:ascii="Times New Roman" w:hAnsi="Times New Roman" w:cs="Times New Roman"/>
          <w:sz w:val="24"/>
          <w:szCs w:val="24"/>
          <w:lang w:val="x-none"/>
        </w:rPr>
      </w:pPr>
      <w:r w:rsidRPr="00A04E3D">
        <w:rPr>
          <w:rFonts w:ascii="Times New Roman" w:hAnsi="Times New Roman" w:cs="Times New Roman"/>
          <w:sz w:val="24"/>
          <w:szCs w:val="24"/>
          <w:lang w:val="x-none"/>
        </w:rPr>
        <w:t xml:space="preserve">Stick yield (SY) followed a trend similar to fibre yield, with the highest value (6.64 t ha⁻¹) recorded in T₄, followed by T₆ (6.34 t ha⁻¹) and T₅ (6.25 t ha⁻¹). The lowest stick yield (4.86 t ha⁻¹) was recorded in T₁. The increase in stick yield under moderate density conditions is mainly due to improved stem elongation and biomass partitioning efficiency (Mukul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2021; Mahbub </w:t>
      </w:r>
      <w:r w:rsidR="00B1088F">
        <w:rPr>
          <w:rFonts w:ascii="Times New Roman" w:hAnsi="Times New Roman" w:cs="Times New Roman"/>
          <w:sz w:val="24"/>
          <w:szCs w:val="24"/>
          <w:lang w:val="x-none"/>
        </w:rPr>
        <w:t>and</w:t>
      </w:r>
      <w:r w:rsidRPr="00A04E3D">
        <w:rPr>
          <w:rFonts w:ascii="Times New Roman" w:hAnsi="Times New Roman" w:cs="Times New Roman"/>
          <w:sz w:val="24"/>
          <w:szCs w:val="24"/>
          <w:lang w:val="x-none"/>
        </w:rPr>
        <w:t xml:space="preserve"> Bhuiyan, 2021). These findings are consistent with the results of Chakraborty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(2020), who reported that the integration of mechanical and herbicidal weed control enhances stem growth and fibre-stick ratios in </w:t>
      </w:r>
      <w:r w:rsidRPr="00FD6ACB">
        <w:rPr>
          <w:rFonts w:ascii="Times New Roman" w:hAnsi="Times New Roman" w:cs="Times New Roman"/>
          <w:i/>
          <w:iCs/>
          <w:sz w:val="24"/>
          <w:szCs w:val="24"/>
          <w:lang w:val="x-none"/>
        </w:rPr>
        <w:t>C. olitorius</w:t>
      </w:r>
      <w:r w:rsidRPr="00A04E3D">
        <w:rPr>
          <w:rFonts w:ascii="Times New Roman" w:hAnsi="Times New Roman" w:cs="Times New Roman"/>
          <w:sz w:val="24"/>
          <w:szCs w:val="24"/>
          <w:lang w:val="x-none"/>
        </w:rPr>
        <w:t xml:space="preserve">. The strong correlation between fibre and stick yield also suggests that treatments enhancing vegetative growth can simultaneously improve total biomass productivity (Islam </w:t>
      </w:r>
      <w:r w:rsidRPr="00FD6ACB">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2017; Zimdahl </w:t>
      </w:r>
      <w:r w:rsidR="00B1088F">
        <w:rPr>
          <w:rFonts w:ascii="Times New Roman" w:hAnsi="Times New Roman" w:cs="Times New Roman"/>
          <w:sz w:val="24"/>
          <w:szCs w:val="24"/>
          <w:lang w:val="x-none"/>
        </w:rPr>
        <w:t>and</w:t>
      </w:r>
      <w:r w:rsidRPr="00A04E3D">
        <w:rPr>
          <w:rFonts w:ascii="Times New Roman" w:hAnsi="Times New Roman" w:cs="Times New Roman"/>
          <w:sz w:val="24"/>
          <w:szCs w:val="24"/>
          <w:lang w:val="x-none"/>
        </w:rPr>
        <w:t xml:space="preserve"> Basinger, 2024).</w:t>
      </w:r>
    </w:p>
    <w:p w14:paraId="3A16ADF5" w14:textId="77777777" w:rsidR="00FD6ACB" w:rsidRDefault="00FD6ACB" w:rsidP="00A04E3D">
      <w:pPr>
        <w:jc w:val="both"/>
        <w:rPr>
          <w:rFonts w:ascii="Times New Roman" w:hAnsi="Times New Roman" w:cs="Times New Roman"/>
          <w:b/>
          <w:bCs/>
          <w:sz w:val="24"/>
          <w:szCs w:val="24"/>
          <w:lang w:val="x-none"/>
        </w:rPr>
      </w:pPr>
    </w:p>
    <w:p w14:paraId="7C9D2B29" w14:textId="0C509C1E" w:rsidR="00FD6ACB"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3.5 </w:t>
      </w:r>
      <w:r w:rsidR="00A04E3D" w:rsidRPr="00A04E3D">
        <w:rPr>
          <w:rFonts w:ascii="Times New Roman" w:hAnsi="Times New Roman" w:cs="Times New Roman"/>
          <w:b/>
          <w:bCs/>
          <w:sz w:val="24"/>
          <w:szCs w:val="24"/>
          <w:lang w:val="x-none"/>
        </w:rPr>
        <w:t>Effect of Integrated Weed Management</w:t>
      </w:r>
    </w:p>
    <w:p w14:paraId="2EC41D47" w14:textId="42B1C54C" w:rsidR="00A04E3D" w:rsidRPr="00FC4A04" w:rsidRDefault="00A04E3D" w:rsidP="009A07D4">
      <w:pPr>
        <w:spacing w:after="0"/>
        <w:jc w:val="both"/>
        <w:rPr>
          <w:rFonts w:ascii="Times New Roman" w:hAnsi="Times New Roman" w:cs="Times New Roman"/>
          <w:b/>
          <w:bCs/>
          <w:sz w:val="24"/>
          <w:szCs w:val="24"/>
          <w:lang w:val="x-none"/>
        </w:rPr>
      </w:pPr>
      <w:r w:rsidRPr="00A04E3D">
        <w:rPr>
          <w:rFonts w:ascii="Times New Roman" w:hAnsi="Times New Roman" w:cs="Times New Roman"/>
          <w:sz w:val="24"/>
          <w:szCs w:val="24"/>
          <w:lang w:val="x-none"/>
        </w:rPr>
        <w:t xml:space="preserve">The overall findings confirm that integrated weed management combining Pendimethalin 33% EC with hand weeding was superior to single control measures. This integrated approach ensured early weed suppression, minimized manual labour demand, and improved fibre quality. Such synergy between cultural and chemical control methods has been well-documented in earlier studies by Ghorai (2015), Singh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and Mahajan </w:t>
      </w:r>
      <w:r w:rsidR="00B1088F">
        <w:rPr>
          <w:rFonts w:ascii="Times New Roman" w:hAnsi="Times New Roman" w:cs="Times New Roman"/>
          <w:sz w:val="24"/>
          <w:szCs w:val="24"/>
          <w:lang w:val="x-none"/>
        </w:rPr>
        <w:t>and</w:t>
      </w:r>
      <w:r w:rsidRPr="00A04E3D">
        <w:rPr>
          <w:rFonts w:ascii="Times New Roman" w:hAnsi="Times New Roman" w:cs="Times New Roman"/>
          <w:sz w:val="24"/>
          <w:szCs w:val="24"/>
          <w:lang w:val="x-none"/>
        </w:rPr>
        <w:t xml:space="preserve"> Chauhan (2013). According to Bhuiyan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pre-emergence herbicides like Pendimethalin and Pretilachlor selectively control annual weeds without adversely affecting crop growth, provided they are applied at appropriate doses and timings.</w:t>
      </w:r>
      <w:r w:rsidR="00FC4A04">
        <w:rPr>
          <w:rFonts w:ascii="Times New Roman" w:hAnsi="Times New Roman" w:cs="Times New Roman"/>
          <w:b/>
          <w:bCs/>
          <w:sz w:val="24"/>
          <w:szCs w:val="24"/>
          <w:lang w:val="x-none"/>
        </w:rPr>
        <w:t xml:space="preserve"> </w:t>
      </w:r>
      <w:r w:rsidRPr="00A04E3D">
        <w:rPr>
          <w:rFonts w:ascii="Times New Roman" w:hAnsi="Times New Roman" w:cs="Times New Roman"/>
          <w:sz w:val="24"/>
          <w:szCs w:val="24"/>
          <w:lang w:val="x-none"/>
        </w:rPr>
        <w:t xml:space="preserve">The integration of herbicidal and manual weeding approaches represents a sustainable agronomic strategy for improving resource-use efficiency, especially under the labour constraints and rising production costs prevailing in Bangladesh (Akter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2020; Anonymous, 2022). Moreover, Abbas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and Hossain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(2024) emphasized that combining chemical and cultural methods reduces the risk of herbicide resistance while maintaining environmental safety, aligning with modern principles of sustainable jute production.</w:t>
      </w:r>
    </w:p>
    <w:p w14:paraId="299EBF21" w14:textId="77777777" w:rsidR="009A07D4" w:rsidRDefault="009A07D4" w:rsidP="00A04E3D">
      <w:pPr>
        <w:jc w:val="both"/>
        <w:rPr>
          <w:rFonts w:ascii="Times New Roman" w:hAnsi="Times New Roman" w:cs="Times New Roman"/>
          <w:b/>
          <w:bCs/>
          <w:sz w:val="24"/>
          <w:szCs w:val="24"/>
          <w:lang w:val="x-none"/>
        </w:rPr>
      </w:pPr>
    </w:p>
    <w:p w14:paraId="124935EB" w14:textId="6CDB06BF" w:rsidR="00A04E3D" w:rsidRPr="00A04E3D" w:rsidRDefault="00FC4A04" w:rsidP="009A07D4">
      <w:pPr>
        <w:spacing w:after="0"/>
        <w:jc w:val="both"/>
        <w:rPr>
          <w:rFonts w:ascii="Times New Roman" w:hAnsi="Times New Roman" w:cs="Times New Roman"/>
          <w:b/>
          <w:bCs/>
          <w:sz w:val="24"/>
          <w:szCs w:val="24"/>
          <w:lang w:val="x-none"/>
        </w:rPr>
      </w:pPr>
      <w:r>
        <w:rPr>
          <w:rFonts w:ascii="Times New Roman" w:hAnsi="Times New Roman" w:cs="Times New Roman"/>
          <w:b/>
          <w:bCs/>
          <w:sz w:val="24"/>
          <w:szCs w:val="24"/>
          <w:lang w:val="x-none"/>
        </w:rPr>
        <w:t xml:space="preserve">3.6 </w:t>
      </w:r>
      <w:r w:rsidR="00A04E3D" w:rsidRPr="00A04E3D">
        <w:rPr>
          <w:rFonts w:ascii="Times New Roman" w:hAnsi="Times New Roman" w:cs="Times New Roman"/>
          <w:b/>
          <w:bCs/>
          <w:sz w:val="24"/>
          <w:szCs w:val="24"/>
          <w:lang w:val="x-none"/>
        </w:rPr>
        <w:t>Overall Performance</w:t>
      </w:r>
    </w:p>
    <w:p w14:paraId="393BCE06" w14:textId="48C4A4DE" w:rsidR="003B6C76" w:rsidRPr="00FC4A04" w:rsidRDefault="00A04E3D" w:rsidP="009A07D4">
      <w:pPr>
        <w:spacing w:after="0"/>
        <w:jc w:val="both"/>
        <w:rPr>
          <w:rFonts w:ascii="Times New Roman" w:hAnsi="Times New Roman" w:cs="Times New Roman"/>
          <w:sz w:val="24"/>
          <w:szCs w:val="24"/>
          <w:lang w:val="x-none"/>
        </w:rPr>
      </w:pPr>
      <w:r w:rsidRPr="00A04E3D">
        <w:rPr>
          <w:rFonts w:ascii="Times New Roman" w:hAnsi="Times New Roman" w:cs="Times New Roman"/>
          <w:sz w:val="24"/>
          <w:szCs w:val="24"/>
          <w:lang w:val="x-none"/>
        </w:rPr>
        <w:t xml:space="preserve">The results clearly demonstrate that the intermediate seed rate of 4.5 kg ha⁻¹ live seed with integrated Pendimethalin 33% EC + one hand weeding (T₄) achieved the most favourable combination of plant density, morphology, and fibre yield. Treatments with very high or very low seed rates were suboptimal due to either excessive plant competition or inadequate plant stand establishment. Similar patterns have been documented in other fibre and field crops, where intermediate densities maximize yield by balancing intra-specific competition and canopy utilization (Susha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2018; Charles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2019).</w:t>
      </w:r>
      <w:r w:rsidR="00FC4A04">
        <w:rPr>
          <w:rFonts w:ascii="Times New Roman" w:hAnsi="Times New Roman" w:cs="Times New Roman"/>
          <w:sz w:val="24"/>
          <w:szCs w:val="24"/>
          <w:lang w:val="x-none"/>
        </w:rPr>
        <w:t xml:space="preserve"> </w:t>
      </w:r>
      <w:r w:rsidRPr="00A04E3D">
        <w:rPr>
          <w:rFonts w:ascii="Times New Roman" w:hAnsi="Times New Roman" w:cs="Times New Roman"/>
          <w:sz w:val="24"/>
          <w:szCs w:val="24"/>
          <w:lang w:val="x-none"/>
        </w:rPr>
        <w:t xml:space="preserve">Thus, moderate seed density with integrated weed control proved most effective for optimizing jute productivity under the agro-climatic conditions of Kishoreganj. These results align with previous findings by Hossain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(2023) and Kumar </w:t>
      </w:r>
      <w:r w:rsidRPr="00FC4A04">
        <w:rPr>
          <w:rFonts w:ascii="Times New Roman" w:hAnsi="Times New Roman" w:cs="Times New Roman"/>
          <w:i/>
          <w:iCs/>
          <w:sz w:val="24"/>
          <w:szCs w:val="24"/>
          <w:lang w:val="x-none"/>
        </w:rPr>
        <w:t>et al.</w:t>
      </w:r>
      <w:r w:rsidRPr="00A04E3D">
        <w:rPr>
          <w:rFonts w:ascii="Times New Roman" w:hAnsi="Times New Roman" w:cs="Times New Roman"/>
          <w:sz w:val="24"/>
          <w:szCs w:val="24"/>
          <w:lang w:val="x-none"/>
        </w:rPr>
        <w:t xml:space="preserve"> (2015), confirming that the adoption of balanced sowing density and integrated weed management is a key strategy for sustainable yield enhancement in </w:t>
      </w:r>
      <w:r w:rsidRPr="00FC4A04">
        <w:rPr>
          <w:rFonts w:ascii="Times New Roman" w:hAnsi="Times New Roman" w:cs="Times New Roman"/>
          <w:i/>
          <w:iCs/>
          <w:sz w:val="24"/>
          <w:szCs w:val="24"/>
          <w:lang w:val="x-none"/>
        </w:rPr>
        <w:t>Corchorus olitorius</w:t>
      </w:r>
      <w:r w:rsidRPr="00A04E3D">
        <w:rPr>
          <w:rFonts w:ascii="Times New Roman" w:hAnsi="Times New Roman" w:cs="Times New Roman"/>
          <w:sz w:val="24"/>
          <w:szCs w:val="24"/>
          <w:lang w:val="x-none"/>
        </w:rPr>
        <w:t xml:space="preserve"> L.</w:t>
      </w:r>
    </w:p>
    <w:p w14:paraId="1494FFA9" w14:textId="77777777" w:rsidR="009A07D4" w:rsidRDefault="009A07D4" w:rsidP="00B16DDE">
      <w:pPr>
        <w:jc w:val="both"/>
        <w:rPr>
          <w:rFonts w:ascii="Times New Roman" w:hAnsi="Times New Roman" w:cs="Times New Roman"/>
          <w:b/>
          <w:bCs/>
          <w:sz w:val="24"/>
          <w:szCs w:val="24"/>
        </w:rPr>
      </w:pPr>
    </w:p>
    <w:p w14:paraId="4D66CC7E" w14:textId="3B10F508" w:rsidR="00B16DDE" w:rsidRDefault="00B16DDE" w:rsidP="00B16DDE">
      <w:pPr>
        <w:jc w:val="both"/>
        <w:rPr>
          <w:rFonts w:ascii="Times New Roman" w:hAnsi="Times New Roman" w:cs="Times New Roman"/>
          <w:sz w:val="24"/>
          <w:szCs w:val="24"/>
        </w:rPr>
      </w:pPr>
      <w:r w:rsidRPr="00056DE9">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1</w:t>
      </w:r>
      <w:r w:rsidRPr="00056DE9">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Y</w:t>
      </w:r>
      <w:r w:rsidRPr="00056DE9">
        <w:rPr>
          <w:rFonts w:ascii="Times New Roman" w:hAnsi="Times New Roman" w:cs="Times New Roman"/>
          <w:sz w:val="24"/>
          <w:szCs w:val="24"/>
        </w:rPr>
        <w:t xml:space="preserve">ield and yield contributing characteristics of </w:t>
      </w:r>
      <w:r>
        <w:rPr>
          <w:rFonts w:ascii="Times New Roman" w:hAnsi="Times New Roman" w:cs="Times New Roman"/>
          <w:sz w:val="24"/>
          <w:szCs w:val="24"/>
        </w:rPr>
        <w:t>BJRI Tossa Pat 8 in Kishoreganj</w:t>
      </w:r>
    </w:p>
    <w:tbl>
      <w:tblPr>
        <w:tblStyle w:val="TableGrid"/>
        <w:tblpPr w:leftFromText="180" w:rightFromText="180" w:vertAnchor="text" w:horzAnchor="margin"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1461"/>
        <w:gridCol w:w="1236"/>
        <w:gridCol w:w="1461"/>
        <w:gridCol w:w="1461"/>
        <w:gridCol w:w="1149"/>
      </w:tblGrid>
      <w:tr w:rsidR="00B16DDE" w:rsidRPr="001E7C78" w14:paraId="717CAE9B" w14:textId="77777777" w:rsidTr="00663167">
        <w:trPr>
          <w:trHeight w:val="555"/>
        </w:trPr>
        <w:tc>
          <w:tcPr>
            <w:tcW w:w="1910" w:type="dxa"/>
            <w:tcBorders>
              <w:top w:val="single" w:sz="4" w:space="0" w:color="auto"/>
              <w:right w:val="single" w:sz="4" w:space="0" w:color="auto"/>
            </w:tcBorders>
          </w:tcPr>
          <w:p w14:paraId="7BBFE52C" w14:textId="77777777" w:rsidR="00B16DDE" w:rsidRPr="001E7C78" w:rsidRDefault="00B16DDE" w:rsidP="00663167">
            <w:pPr>
              <w:pStyle w:val="PlainText"/>
              <w:jc w:val="center"/>
              <w:rPr>
                <w:rFonts w:ascii="Times New Roman" w:hAnsi="Times New Roman" w:cs="Times New Roman"/>
                <w:sz w:val="24"/>
                <w:szCs w:val="24"/>
              </w:rPr>
            </w:pPr>
            <w:r w:rsidRPr="001E7C78">
              <w:rPr>
                <w:rFonts w:ascii="Times New Roman" w:hAnsi="Times New Roman" w:cs="Times New Roman"/>
                <w:sz w:val="24"/>
                <w:szCs w:val="24"/>
              </w:rPr>
              <w:t>Treatments</w:t>
            </w:r>
          </w:p>
        </w:tc>
        <w:tc>
          <w:tcPr>
            <w:tcW w:w="1461" w:type="dxa"/>
            <w:tcBorders>
              <w:top w:val="single" w:sz="4" w:space="0" w:color="auto"/>
              <w:left w:val="single" w:sz="4" w:space="0" w:color="auto"/>
            </w:tcBorders>
          </w:tcPr>
          <w:p w14:paraId="0BC7BC4D"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PP</w:t>
            </w:r>
          </w:p>
          <w:p w14:paraId="088F9E6F"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(m</w:t>
            </w:r>
            <w:r w:rsidRPr="001E7C78">
              <w:rPr>
                <w:rFonts w:ascii="Times New Roman" w:hAnsi="Times New Roman" w:cs="Times New Roman"/>
                <w:sz w:val="24"/>
                <w:szCs w:val="24"/>
                <w:vertAlign w:val="superscript"/>
              </w:rPr>
              <w:t>-2</w:t>
            </w:r>
            <w:r w:rsidRPr="001E7C78">
              <w:rPr>
                <w:rFonts w:ascii="Times New Roman" w:hAnsi="Times New Roman" w:cs="Times New Roman"/>
                <w:sz w:val="24"/>
                <w:szCs w:val="24"/>
              </w:rPr>
              <w:t>)</w:t>
            </w:r>
          </w:p>
        </w:tc>
        <w:tc>
          <w:tcPr>
            <w:tcW w:w="1236" w:type="dxa"/>
            <w:tcBorders>
              <w:top w:val="single" w:sz="4" w:space="0" w:color="auto"/>
            </w:tcBorders>
          </w:tcPr>
          <w:p w14:paraId="08BDAE3E" w14:textId="77777777" w:rsidR="00B16DDE"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 xml:space="preserve">PH </w:t>
            </w:r>
          </w:p>
          <w:p w14:paraId="6FD2308D"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(m)</w:t>
            </w:r>
          </w:p>
        </w:tc>
        <w:tc>
          <w:tcPr>
            <w:tcW w:w="1461" w:type="dxa"/>
            <w:tcBorders>
              <w:top w:val="single" w:sz="4" w:space="0" w:color="auto"/>
            </w:tcBorders>
          </w:tcPr>
          <w:p w14:paraId="6D9D7B9E" w14:textId="77777777" w:rsidR="00B16DDE" w:rsidRDefault="00B16DDE" w:rsidP="0066316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BD</w:t>
            </w:r>
          </w:p>
          <w:p w14:paraId="4D9C59E7"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 xml:space="preserve"> (mm)</w:t>
            </w:r>
          </w:p>
        </w:tc>
        <w:tc>
          <w:tcPr>
            <w:tcW w:w="1461" w:type="dxa"/>
            <w:tcBorders>
              <w:top w:val="single" w:sz="4" w:space="0" w:color="auto"/>
            </w:tcBorders>
          </w:tcPr>
          <w:p w14:paraId="0231D65A" w14:textId="77777777" w:rsidR="00B16DDE" w:rsidRDefault="00B16DDE" w:rsidP="0066316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FY </w:t>
            </w:r>
          </w:p>
          <w:p w14:paraId="4CF8EF98"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c>
          <w:tcPr>
            <w:tcW w:w="1149" w:type="dxa"/>
            <w:tcBorders>
              <w:top w:val="single" w:sz="4" w:space="0" w:color="auto"/>
            </w:tcBorders>
          </w:tcPr>
          <w:p w14:paraId="050C7D35" w14:textId="77777777" w:rsidR="00B16DDE" w:rsidRDefault="00B16DDE" w:rsidP="0066316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SY </w:t>
            </w:r>
          </w:p>
          <w:p w14:paraId="4B2BFC59" w14:textId="77777777" w:rsidR="00B16DDE" w:rsidRPr="001E7C78" w:rsidRDefault="00B16DDE" w:rsidP="00663167">
            <w:pPr>
              <w:pStyle w:val="PlainText"/>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r>
      <w:tr w:rsidR="00B16DDE" w:rsidRPr="001E7C78" w14:paraId="7F93F0A7" w14:textId="77777777" w:rsidTr="00663167">
        <w:trPr>
          <w:trHeight w:val="277"/>
        </w:trPr>
        <w:tc>
          <w:tcPr>
            <w:tcW w:w="1910" w:type="dxa"/>
            <w:tcBorders>
              <w:top w:val="single" w:sz="4" w:space="0" w:color="auto"/>
              <w:right w:val="single" w:sz="4" w:space="0" w:color="auto"/>
            </w:tcBorders>
          </w:tcPr>
          <w:p w14:paraId="57436D10"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1</w:t>
            </w:r>
          </w:p>
        </w:tc>
        <w:tc>
          <w:tcPr>
            <w:tcW w:w="1461" w:type="dxa"/>
            <w:tcBorders>
              <w:top w:val="single" w:sz="4" w:space="0" w:color="auto"/>
              <w:left w:val="single" w:sz="4" w:space="0" w:color="auto"/>
            </w:tcBorders>
          </w:tcPr>
          <w:p w14:paraId="50BBE949" w14:textId="6DABA9A4"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19</w:t>
            </w:r>
            <w:r w:rsidR="00FD6ACB">
              <w:rPr>
                <w:rFonts w:ascii="Times New Roman" w:hAnsi="Times New Roman" w:cs="Times New Roman"/>
                <w:sz w:val="24"/>
                <w:szCs w:val="24"/>
              </w:rPr>
              <w:t>.</w:t>
            </w:r>
            <w:r w:rsidRPr="00272205">
              <w:rPr>
                <w:rFonts w:ascii="Times New Roman" w:hAnsi="Times New Roman" w:cs="Times New Roman"/>
                <w:sz w:val="24"/>
                <w:szCs w:val="24"/>
              </w:rPr>
              <w:t>00f</w:t>
            </w:r>
          </w:p>
        </w:tc>
        <w:tc>
          <w:tcPr>
            <w:tcW w:w="1236" w:type="dxa"/>
            <w:tcBorders>
              <w:top w:val="single" w:sz="4" w:space="0" w:color="auto"/>
            </w:tcBorders>
          </w:tcPr>
          <w:p w14:paraId="53F173A1"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3.51a</w:t>
            </w:r>
          </w:p>
        </w:tc>
        <w:tc>
          <w:tcPr>
            <w:tcW w:w="1461" w:type="dxa"/>
            <w:tcBorders>
              <w:top w:val="single" w:sz="4" w:space="0" w:color="auto"/>
            </w:tcBorders>
          </w:tcPr>
          <w:p w14:paraId="70EDC6B8"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20.30a</w:t>
            </w:r>
          </w:p>
        </w:tc>
        <w:tc>
          <w:tcPr>
            <w:tcW w:w="1461" w:type="dxa"/>
            <w:tcBorders>
              <w:top w:val="single" w:sz="4" w:space="0" w:color="auto"/>
            </w:tcBorders>
          </w:tcPr>
          <w:p w14:paraId="6CED7BE0"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2.52e</w:t>
            </w:r>
          </w:p>
        </w:tc>
        <w:tc>
          <w:tcPr>
            <w:tcW w:w="1149" w:type="dxa"/>
            <w:tcBorders>
              <w:top w:val="single" w:sz="4" w:space="0" w:color="auto"/>
            </w:tcBorders>
          </w:tcPr>
          <w:p w14:paraId="6DB6241A"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4.86c</w:t>
            </w:r>
          </w:p>
        </w:tc>
      </w:tr>
      <w:tr w:rsidR="00B16DDE" w:rsidRPr="001E7C78" w14:paraId="783FD64F" w14:textId="77777777" w:rsidTr="00663167">
        <w:trPr>
          <w:trHeight w:val="277"/>
        </w:trPr>
        <w:tc>
          <w:tcPr>
            <w:tcW w:w="1910" w:type="dxa"/>
            <w:tcBorders>
              <w:right w:val="single" w:sz="4" w:space="0" w:color="auto"/>
            </w:tcBorders>
          </w:tcPr>
          <w:p w14:paraId="69843691"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2</w:t>
            </w:r>
          </w:p>
        </w:tc>
        <w:tc>
          <w:tcPr>
            <w:tcW w:w="1461" w:type="dxa"/>
            <w:tcBorders>
              <w:left w:val="single" w:sz="4" w:space="0" w:color="auto"/>
            </w:tcBorders>
          </w:tcPr>
          <w:p w14:paraId="102E5B47" w14:textId="77777777"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23.33e</w:t>
            </w:r>
          </w:p>
        </w:tc>
        <w:tc>
          <w:tcPr>
            <w:tcW w:w="1236" w:type="dxa"/>
          </w:tcPr>
          <w:p w14:paraId="5D707D45"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3.40b</w:t>
            </w:r>
          </w:p>
        </w:tc>
        <w:tc>
          <w:tcPr>
            <w:tcW w:w="1461" w:type="dxa"/>
          </w:tcPr>
          <w:p w14:paraId="3F82AF09"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18.13b</w:t>
            </w:r>
          </w:p>
        </w:tc>
        <w:tc>
          <w:tcPr>
            <w:tcW w:w="1461" w:type="dxa"/>
          </w:tcPr>
          <w:p w14:paraId="1381C67C"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2.80d</w:t>
            </w:r>
          </w:p>
        </w:tc>
        <w:tc>
          <w:tcPr>
            <w:tcW w:w="1149" w:type="dxa"/>
          </w:tcPr>
          <w:p w14:paraId="74A85132"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5.27c</w:t>
            </w:r>
          </w:p>
        </w:tc>
      </w:tr>
      <w:tr w:rsidR="00B16DDE" w:rsidRPr="001E7C78" w14:paraId="082B71F2" w14:textId="77777777" w:rsidTr="00663167">
        <w:trPr>
          <w:trHeight w:val="277"/>
        </w:trPr>
        <w:tc>
          <w:tcPr>
            <w:tcW w:w="1910" w:type="dxa"/>
            <w:tcBorders>
              <w:right w:val="single" w:sz="4" w:space="0" w:color="auto"/>
            </w:tcBorders>
          </w:tcPr>
          <w:p w14:paraId="440D8B50"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3</w:t>
            </w:r>
          </w:p>
        </w:tc>
        <w:tc>
          <w:tcPr>
            <w:tcW w:w="1461" w:type="dxa"/>
            <w:tcBorders>
              <w:left w:val="single" w:sz="4" w:space="0" w:color="auto"/>
            </w:tcBorders>
          </w:tcPr>
          <w:p w14:paraId="56A64438" w14:textId="77777777"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27.33d</w:t>
            </w:r>
          </w:p>
        </w:tc>
        <w:tc>
          <w:tcPr>
            <w:tcW w:w="1236" w:type="dxa"/>
          </w:tcPr>
          <w:p w14:paraId="4393EF1C"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3.3</w:t>
            </w:r>
            <w:r w:rsidRPr="000B4DE6">
              <w:rPr>
                <w:rFonts w:ascii="Times New Roman" w:hAnsi="Times New Roman" w:cs="Times New Roman"/>
                <w:sz w:val="24"/>
                <w:szCs w:val="24"/>
              </w:rPr>
              <w:t>1</w:t>
            </w:r>
            <w:r w:rsidRPr="00221AA1">
              <w:rPr>
                <w:rFonts w:ascii="Times New Roman" w:hAnsi="Times New Roman" w:cs="Times New Roman"/>
                <w:sz w:val="24"/>
                <w:szCs w:val="24"/>
              </w:rPr>
              <w:t>c</w:t>
            </w:r>
          </w:p>
        </w:tc>
        <w:tc>
          <w:tcPr>
            <w:tcW w:w="1461" w:type="dxa"/>
          </w:tcPr>
          <w:p w14:paraId="1D48EC0D"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16.13c</w:t>
            </w:r>
          </w:p>
        </w:tc>
        <w:tc>
          <w:tcPr>
            <w:tcW w:w="1461" w:type="dxa"/>
          </w:tcPr>
          <w:p w14:paraId="11947143"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3.09c</w:t>
            </w:r>
          </w:p>
        </w:tc>
        <w:tc>
          <w:tcPr>
            <w:tcW w:w="1149" w:type="dxa"/>
          </w:tcPr>
          <w:p w14:paraId="06C9D635"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5.98b</w:t>
            </w:r>
          </w:p>
        </w:tc>
      </w:tr>
      <w:tr w:rsidR="00B16DDE" w:rsidRPr="001E7C78" w14:paraId="3EE51B23" w14:textId="77777777" w:rsidTr="00663167">
        <w:trPr>
          <w:trHeight w:val="277"/>
        </w:trPr>
        <w:tc>
          <w:tcPr>
            <w:tcW w:w="1910" w:type="dxa"/>
            <w:tcBorders>
              <w:right w:val="single" w:sz="4" w:space="0" w:color="auto"/>
            </w:tcBorders>
          </w:tcPr>
          <w:p w14:paraId="05BEF75B"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461" w:type="dxa"/>
            <w:tcBorders>
              <w:left w:val="single" w:sz="4" w:space="0" w:color="auto"/>
            </w:tcBorders>
          </w:tcPr>
          <w:p w14:paraId="0A241882" w14:textId="77777777"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31.00c</w:t>
            </w:r>
          </w:p>
        </w:tc>
        <w:tc>
          <w:tcPr>
            <w:tcW w:w="1236" w:type="dxa"/>
          </w:tcPr>
          <w:p w14:paraId="25CCDA6A"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3.4</w:t>
            </w:r>
            <w:r w:rsidRPr="000B4DE6">
              <w:rPr>
                <w:rFonts w:ascii="Times New Roman" w:hAnsi="Times New Roman" w:cs="Times New Roman"/>
                <w:sz w:val="24"/>
                <w:szCs w:val="24"/>
              </w:rPr>
              <w:t>2</w:t>
            </w:r>
            <w:r w:rsidRPr="00221AA1">
              <w:rPr>
                <w:rFonts w:ascii="Times New Roman" w:hAnsi="Times New Roman" w:cs="Times New Roman"/>
                <w:sz w:val="24"/>
                <w:szCs w:val="24"/>
              </w:rPr>
              <w:t>b</w:t>
            </w:r>
          </w:p>
        </w:tc>
        <w:tc>
          <w:tcPr>
            <w:tcW w:w="1461" w:type="dxa"/>
          </w:tcPr>
          <w:p w14:paraId="3EE3EE46"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16.20c</w:t>
            </w:r>
          </w:p>
        </w:tc>
        <w:tc>
          <w:tcPr>
            <w:tcW w:w="1461" w:type="dxa"/>
          </w:tcPr>
          <w:p w14:paraId="4938BE22"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3.50a</w:t>
            </w:r>
          </w:p>
        </w:tc>
        <w:tc>
          <w:tcPr>
            <w:tcW w:w="1149" w:type="dxa"/>
          </w:tcPr>
          <w:p w14:paraId="20E2FBDD"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6.64a</w:t>
            </w:r>
          </w:p>
        </w:tc>
      </w:tr>
      <w:tr w:rsidR="00B16DDE" w:rsidRPr="001E7C78" w14:paraId="06A6E694" w14:textId="77777777" w:rsidTr="00663167">
        <w:trPr>
          <w:trHeight w:val="277"/>
        </w:trPr>
        <w:tc>
          <w:tcPr>
            <w:tcW w:w="1910" w:type="dxa"/>
            <w:tcBorders>
              <w:right w:val="single" w:sz="4" w:space="0" w:color="auto"/>
            </w:tcBorders>
          </w:tcPr>
          <w:p w14:paraId="764EDCFC"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461" w:type="dxa"/>
            <w:tcBorders>
              <w:left w:val="single" w:sz="4" w:space="0" w:color="auto"/>
            </w:tcBorders>
          </w:tcPr>
          <w:p w14:paraId="4A80B67E" w14:textId="77777777"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36.00b</w:t>
            </w:r>
          </w:p>
        </w:tc>
        <w:tc>
          <w:tcPr>
            <w:tcW w:w="1236" w:type="dxa"/>
          </w:tcPr>
          <w:p w14:paraId="46E5DEDB"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3.20d</w:t>
            </w:r>
          </w:p>
        </w:tc>
        <w:tc>
          <w:tcPr>
            <w:tcW w:w="1461" w:type="dxa"/>
          </w:tcPr>
          <w:p w14:paraId="7BA364A7"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15.10d</w:t>
            </w:r>
          </w:p>
        </w:tc>
        <w:tc>
          <w:tcPr>
            <w:tcW w:w="1461" w:type="dxa"/>
          </w:tcPr>
          <w:p w14:paraId="4659467D"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3.31b</w:t>
            </w:r>
          </w:p>
        </w:tc>
        <w:tc>
          <w:tcPr>
            <w:tcW w:w="1149" w:type="dxa"/>
          </w:tcPr>
          <w:p w14:paraId="69F211EF"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6.2</w:t>
            </w:r>
            <w:r w:rsidRPr="00D26833">
              <w:rPr>
                <w:rFonts w:ascii="Times New Roman" w:hAnsi="Times New Roman" w:cs="Times New Roman"/>
                <w:sz w:val="24"/>
                <w:szCs w:val="24"/>
              </w:rPr>
              <w:t>5</w:t>
            </w:r>
            <w:r w:rsidRPr="00370D40">
              <w:rPr>
                <w:rFonts w:ascii="Times New Roman" w:hAnsi="Times New Roman" w:cs="Times New Roman"/>
                <w:sz w:val="24"/>
                <w:szCs w:val="24"/>
              </w:rPr>
              <w:t>ab</w:t>
            </w:r>
          </w:p>
        </w:tc>
      </w:tr>
      <w:tr w:rsidR="00B16DDE" w:rsidRPr="001E7C78" w14:paraId="4A5CC00C" w14:textId="77777777" w:rsidTr="00663167">
        <w:trPr>
          <w:trHeight w:val="277"/>
        </w:trPr>
        <w:tc>
          <w:tcPr>
            <w:tcW w:w="1910" w:type="dxa"/>
            <w:tcBorders>
              <w:bottom w:val="single" w:sz="4" w:space="0" w:color="auto"/>
              <w:right w:val="single" w:sz="4" w:space="0" w:color="auto"/>
            </w:tcBorders>
          </w:tcPr>
          <w:p w14:paraId="4BE86CB2" w14:textId="77777777" w:rsidR="00B16DDE" w:rsidRPr="001E7C78" w:rsidRDefault="00B16DDE" w:rsidP="00663167">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461" w:type="dxa"/>
            <w:tcBorders>
              <w:left w:val="single" w:sz="4" w:space="0" w:color="auto"/>
              <w:bottom w:val="single" w:sz="4" w:space="0" w:color="auto"/>
            </w:tcBorders>
          </w:tcPr>
          <w:p w14:paraId="2E9EB398" w14:textId="77777777" w:rsidR="00B16DDE" w:rsidRPr="001E7C78" w:rsidRDefault="00B16DDE" w:rsidP="00663167">
            <w:pPr>
              <w:pStyle w:val="PlainText"/>
              <w:rPr>
                <w:rFonts w:ascii="Times New Roman" w:hAnsi="Times New Roman" w:cs="Times New Roman"/>
                <w:sz w:val="24"/>
                <w:szCs w:val="24"/>
              </w:rPr>
            </w:pPr>
            <w:r w:rsidRPr="00272205">
              <w:rPr>
                <w:rFonts w:ascii="Times New Roman" w:hAnsi="Times New Roman" w:cs="Times New Roman"/>
                <w:sz w:val="24"/>
                <w:szCs w:val="24"/>
              </w:rPr>
              <w:t>42.00a</w:t>
            </w:r>
          </w:p>
        </w:tc>
        <w:tc>
          <w:tcPr>
            <w:tcW w:w="1236" w:type="dxa"/>
            <w:tcBorders>
              <w:bottom w:val="single" w:sz="4" w:space="0" w:color="auto"/>
            </w:tcBorders>
          </w:tcPr>
          <w:p w14:paraId="195C9A46" w14:textId="77777777" w:rsidR="00B16DDE" w:rsidRPr="001E7C78" w:rsidRDefault="00B16DDE" w:rsidP="00663167">
            <w:pPr>
              <w:pStyle w:val="PlainText"/>
              <w:rPr>
                <w:rFonts w:ascii="Times New Roman" w:hAnsi="Times New Roman" w:cs="Times New Roman"/>
                <w:sz w:val="24"/>
                <w:szCs w:val="24"/>
              </w:rPr>
            </w:pPr>
            <w:r w:rsidRPr="00221AA1">
              <w:rPr>
                <w:rFonts w:ascii="Times New Roman" w:hAnsi="Times New Roman" w:cs="Times New Roman"/>
                <w:sz w:val="24"/>
                <w:szCs w:val="24"/>
              </w:rPr>
              <w:t>3.10e</w:t>
            </w:r>
          </w:p>
        </w:tc>
        <w:tc>
          <w:tcPr>
            <w:tcW w:w="1461" w:type="dxa"/>
            <w:tcBorders>
              <w:bottom w:val="single" w:sz="4" w:space="0" w:color="auto"/>
            </w:tcBorders>
          </w:tcPr>
          <w:p w14:paraId="109730EC" w14:textId="77777777" w:rsidR="00B16DDE" w:rsidRPr="001E7C78" w:rsidRDefault="00B16DDE" w:rsidP="00663167">
            <w:pPr>
              <w:pStyle w:val="PlainText"/>
              <w:rPr>
                <w:rFonts w:ascii="Times New Roman" w:hAnsi="Times New Roman" w:cs="Times New Roman"/>
                <w:sz w:val="24"/>
                <w:szCs w:val="24"/>
              </w:rPr>
            </w:pPr>
            <w:r w:rsidRPr="00454590">
              <w:rPr>
                <w:rFonts w:ascii="Times New Roman" w:hAnsi="Times New Roman" w:cs="Times New Roman"/>
                <w:sz w:val="24"/>
                <w:szCs w:val="24"/>
              </w:rPr>
              <w:t>14.75d</w:t>
            </w:r>
          </w:p>
        </w:tc>
        <w:tc>
          <w:tcPr>
            <w:tcW w:w="1461" w:type="dxa"/>
            <w:tcBorders>
              <w:bottom w:val="single" w:sz="4" w:space="0" w:color="auto"/>
            </w:tcBorders>
          </w:tcPr>
          <w:p w14:paraId="133C77C6" w14:textId="77777777" w:rsidR="00B16DDE" w:rsidRPr="001E7C78" w:rsidRDefault="00B16DDE" w:rsidP="00663167">
            <w:pPr>
              <w:pStyle w:val="PlainText"/>
              <w:rPr>
                <w:rFonts w:ascii="Times New Roman" w:hAnsi="Times New Roman" w:cs="Times New Roman"/>
                <w:sz w:val="24"/>
                <w:szCs w:val="24"/>
              </w:rPr>
            </w:pPr>
            <w:r w:rsidRPr="003F1311">
              <w:rPr>
                <w:rFonts w:ascii="Times New Roman" w:hAnsi="Times New Roman" w:cs="Times New Roman"/>
                <w:sz w:val="24"/>
                <w:szCs w:val="24"/>
              </w:rPr>
              <w:t>3.37b</w:t>
            </w:r>
          </w:p>
        </w:tc>
        <w:tc>
          <w:tcPr>
            <w:tcW w:w="1149" w:type="dxa"/>
            <w:tcBorders>
              <w:bottom w:val="single" w:sz="4" w:space="0" w:color="auto"/>
            </w:tcBorders>
          </w:tcPr>
          <w:p w14:paraId="11CB9696" w14:textId="77777777" w:rsidR="00B16DDE" w:rsidRPr="001E7C78" w:rsidRDefault="00B16DDE" w:rsidP="00663167">
            <w:pPr>
              <w:pStyle w:val="PlainText"/>
              <w:rPr>
                <w:rFonts w:ascii="Times New Roman" w:hAnsi="Times New Roman" w:cs="Times New Roman"/>
                <w:sz w:val="24"/>
                <w:szCs w:val="24"/>
              </w:rPr>
            </w:pPr>
            <w:r w:rsidRPr="00370D40">
              <w:rPr>
                <w:rFonts w:ascii="Times New Roman" w:hAnsi="Times New Roman" w:cs="Times New Roman"/>
                <w:sz w:val="24"/>
                <w:szCs w:val="24"/>
              </w:rPr>
              <w:t>6.3</w:t>
            </w:r>
            <w:r w:rsidRPr="00D26833">
              <w:rPr>
                <w:rFonts w:ascii="Times New Roman" w:hAnsi="Times New Roman" w:cs="Times New Roman"/>
                <w:sz w:val="24"/>
                <w:szCs w:val="24"/>
              </w:rPr>
              <w:t>4</w:t>
            </w:r>
            <w:r w:rsidRPr="00370D40">
              <w:rPr>
                <w:rFonts w:ascii="Times New Roman" w:hAnsi="Times New Roman" w:cs="Times New Roman"/>
                <w:sz w:val="24"/>
                <w:szCs w:val="24"/>
              </w:rPr>
              <w:t>ab</w:t>
            </w:r>
          </w:p>
        </w:tc>
      </w:tr>
      <w:tr w:rsidR="00B16DDE" w:rsidRPr="001E7C78" w14:paraId="56BCA45A" w14:textId="77777777" w:rsidTr="00663167">
        <w:trPr>
          <w:trHeight w:val="275"/>
        </w:trPr>
        <w:tc>
          <w:tcPr>
            <w:tcW w:w="1910" w:type="dxa"/>
            <w:tcBorders>
              <w:top w:val="single" w:sz="4" w:space="0" w:color="auto"/>
              <w:bottom w:val="single" w:sz="4" w:space="0" w:color="auto"/>
              <w:right w:val="single" w:sz="4" w:space="0" w:color="auto"/>
            </w:tcBorders>
          </w:tcPr>
          <w:p w14:paraId="6340781B" w14:textId="77777777" w:rsidR="00B16DDE" w:rsidRPr="001E7C78" w:rsidRDefault="00B16DDE" w:rsidP="00663167">
            <w:pPr>
              <w:pStyle w:val="PlainText"/>
              <w:jc w:val="center"/>
              <w:rPr>
                <w:rFonts w:ascii="Times New Roman" w:hAnsi="Times New Roman" w:cs="Times New Roman"/>
                <w:b/>
                <w:bCs/>
                <w:sz w:val="24"/>
                <w:szCs w:val="24"/>
              </w:rPr>
            </w:pPr>
            <w:r w:rsidRPr="001E7C78">
              <w:rPr>
                <w:rFonts w:ascii="Times New Roman" w:hAnsi="Times New Roman" w:cs="Times New Roman"/>
                <w:b/>
                <w:bCs/>
                <w:sz w:val="24"/>
                <w:szCs w:val="24"/>
              </w:rPr>
              <w:t>LSD (0.05%)</w:t>
            </w:r>
          </w:p>
        </w:tc>
        <w:tc>
          <w:tcPr>
            <w:tcW w:w="1461" w:type="dxa"/>
            <w:tcBorders>
              <w:top w:val="single" w:sz="4" w:space="0" w:color="auto"/>
              <w:left w:val="single" w:sz="4" w:space="0" w:color="auto"/>
              <w:bottom w:val="single" w:sz="4" w:space="0" w:color="auto"/>
            </w:tcBorders>
          </w:tcPr>
          <w:p w14:paraId="3B4C854A"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2.43</w:t>
            </w:r>
          </w:p>
        </w:tc>
        <w:tc>
          <w:tcPr>
            <w:tcW w:w="1236" w:type="dxa"/>
            <w:tcBorders>
              <w:top w:val="single" w:sz="4" w:space="0" w:color="auto"/>
              <w:bottom w:val="single" w:sz="4" w:space="0" w:color="auto"/>
            </w:tcBorders>
          </w:tcPr>
          <w:p w14:paraId="01A24DCA"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0.07</w:t>
            </w:r>
          </w:p>
        </w:tc>
        <w:tc>
          <w:tcPr>
            <w:tcW w:w="1461" w:type="dxa"/>
            <w:tcBorders>
              <w:top w:val="single" w:sz="4" w:space="0" w:color="auto"/>
              <w:bottom w:val="single" w:sz="4" w:space="0" w:color="auto"/>
            </w:tcBorders>
          </w:tcPr>
          <w:p w14:paraId="4A8EF30F"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0.85</w:t>
            </w:r>
          </w:p>
        </w:tc>
        <w:tc>
          <w:tcPr>
            <w:tcW w:w="1461" w:type="dxa"/>
            <w:tcBorders>
              <w:top w:val="single" w:sz="4" w:space="0" w:color="auto"/>
              <w:bottom w:val="single" w:sz="4" w:space="0" w:color="auto"/>
            </w:tcBorders>
          </w:tcPr>
          <w:p w14:paraId="690F5486"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0.11</w:t>
            </w:r>
          </w:p>
        </w:tc>
        <w:tc>
          <w:tcPr>
            <w:tcW w:w="1149" w:type="dxa"/>
            <w:tcBorders>
              <w:top w:val="single" w:sz="4" w:space="0" w:color="auto"/>
              <w:bottom w:val="single" w:sz="4" w:space="0" w:color="auto"/>
            </w:tcBorders>
          </w:tcPr>
          <w:p w14:paraId="0C2A8854"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0.52</w:t>
            </w:r>
          </w:p>
        </w:tc>
      </w:tr>
      <w:tr w:rsidR="00B16DDE" w:rsidRPr="001E7C78" w14:paraId="0233393E" w14:textId="77777777" w:rsidTr="00663167">
        <w:trPr>
          <w:trHeight w:val="277"/>
        </w:trPr>
        <w:tc>
          <w:tcPr>
            <w:tcW w:w="1910" w:type="dxa"/>
            <w:tcBorders>
              <w:top w:val="single" w:sz="4" w:space="0" w:color="auto"/>
              <w:bottom w:val="single" w:sz="4" w:space="0" w:color="auto"/>
              <w:right w:val="single" w:sz="4" w:space="0" w:color="auto"/>
            </w:tcBorders>
          </w:tcPr>
          <w:p w14:paraId="1DFA067C" w14:textId="77777777" w:rsidR="00B16DDE" w:rsidRPr="001E7C78" w:rsidRDefault="00B16DDE" w:rsidP="00663167">
            <w:pPr>
              <w:pStyle w:val="PlainText"/>
              <w:jc w:val="center"/>
              <w:rPr>
                <w:rFonts w:ascii="Times New Roman" w:hAnsi="Times New Roman" w:cs="Times New Roman"/>
                <w:b/>
                <w:bCs/>
                <w:sz w:val="24"/>
                <w:szCs w:val="24"/>
              </w:rPr>
            </w:pPr>
            <w:r w:rsidRPr="001E7C78">
              <w:rPr>
                <w:rFonts w:ascii="Times New Roman" w:hAnsi="Times New Roman" w:cs="Times New Roman"/>
                <w:b/>
                <w:bCs/>
                <w:sz w:val="24"/>
                <w:szCs w:val="24"/>
              </w:rPr>
              <w:t>% CV</w:t>
            </w:r>
          </w:p>
        </w:tc>
        <w:tc>
          <w:tcPr>
            <w:tcW w:w="1461" w:type="dxa"/>
            <w:tcBorders>
              <w:top w:val="single" w:sz="4" w:space="0" w:color="auto"/>
              <w:left w:val="single" w:sz="4" w:space="0" w:color="auto"/>
              <w:bottom w:val="single" w:sz="4" w:space="0" w:color="auto"/>
            </w:tcBorders>
          </w:tcPr>
          <w:p w14:paraId="1BD78B35"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4.50</w:t>
            </w:r>
          </w:p>
        </w:tc>
        <w:tc>
          <w:tcPr>
            <w:tcW w:w="1236" w:type="dxa"/>
            <w:tcBorders>
              <w:top w:val="single" w:sz="4" w:space="0" w:color="auto"/>
              <w:bottom w:val="single" w:sz="4" w:space="0" w:color="auto"/>
            </w:tcBorders>
          </w:tcPr>
          <w:p w14:paraId="370420A9"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1.23</w:t>
            </w:r>
          </w:p>
        </w:tc>
        <w:tc>
          <w:tcPr>
            <w:tcW w:w="1461" w:type="dxa"/>
            <w:tcBorders>
              <w:top w:val="single" w:sz="4" w:space="0" w:color="auto"/>
              <w:bottom w:val="single" w:sz="4" w:space="0" w:color="auto"/>
            </w:tcBorders>
          </w:tcPr>
          <w:p w14:paraId="3465B3E9"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2.81</w:t>
            </w:r>
          </w:p>
        </w:tc>
        <w:tc>
          <w:tcPr>
            <w:tcW w:w="1461" w:type="dxa"/>
            <w:tcBorders>
              <w:top w:val="single" w:sz="4" w:space="0" w:color="auto"/>
              <w:bottom w:val="single" w:sz="4" w:space="0" w:color="auto"/>
            </w:tcBorders>
          </w:tcPr>
          <w:p w14:paraId="3CB3B42E"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2.07</w:t>
            </w:r>
          </w:p>
        </w:tc>
        <w:tc>
          <w:tcPr>
            <w:tcW w:w="1149" w:type="dxa"/>
            <w:tcBorders>
              <w:top w:val="single" w:sz="4" w:space="0" w:color="auto"/>
              <w:bottom w:val="single" w:sz="4" w:space="0" w:color="auto"/>
            </w:tcBorders>
          </w:tcPr>
          <w:p w14:paraId="55142DF0" w14:textId="77777777" w:rsidR="00B16DDE" w:rsidRPr="001E7C78" w:rsidRDefault="00B16DDE" w:rsidP="00663167">
            <w:pPr>
              <w:pStyle w:val="PlainText"/>
              <w:rPr>
                <w:rFonts w:ascii="Times New Roman" w:hAnsi="Times New Roman" w:cs="Times New Roman"/>
                <w:b/>
                <w:bCs/>
                <w:sz w:val="24"/>
                <w:szCs w:val="24"/>
              </w:rPr>
            </w:pPr>
            <w:r>
              <w:rPr>
                <w:rFonts w:ascii="Times New Roman" w:hAnsi="Times New Roman" w:cs="Times New Roman"/>
                <w:b/>
                <w:bCs/>
                <w:sz w:val="24"/>
                <w:szCs w:val="24"/>
              </w:rPr>
              <w:t>2.22</w:t>
            </w:r>
          </w:p>
        </w:tc>
      </w:tr>
    </w:tbl>
    <w:p w14:paraId="0227A5F7" w14:textId="77777777" w:rsidR="00B16DDE" w:rsidRDefault="00B16DDE" w:rsidP="00B16DDE">
      <w:pPr>
        <w:jc w:val="both"/>
        <w:rPr>
          <w:rFonts w:ascii="Times New Roman" w:hAnsi="Times New Roman" w:cs="Times New Roman"/>
        </w:rPr>
      </w:pPr>
    </w:p>
    <w:p w14:paraId="4616AF2D" w14:textId="77777777" w:rsidR="00B16DDE" w:rsidRDefault="00B16DDE" w:rsidP="00B16DDE">
      <w:pPr>
        <w:jc w:val="both"/>
        <w:rPr>
          <w:rFonts w:ascii="Times New Roman" w:hAnsi="Times New Roman" w:cs="Times New Roman"/>
        </w:rPr>
      </w:pPr>
    </w:p>
    <w:p w14:paraId="6F4B35E5" w14:textId="77777777" w:rsidR="00B16DDE" w:rsidRDefault="00B16DDE" w:rsidP="00B16DDE">
      <w:pPr>
        <w:jc w:val="both"/>
        <w:rPr>
          <w:rFonts w:ascii="Times New Roman" w:hAnsi="Times New Roman" w:cs="Times New Roman"/>
        </w:rPr>
      </w:pPr>
    </w:p>
    <w:p w14:paraId="335F819C" w14:textId="77777777" w:rsidR="00B16DDE" w:rsidRDefault="00B16DDE" w:rsidP="00B16DDE">
      <w:pPr>
        <w:jc w:val="both"/>
        <w:rPr>
          <w:rFonts w:ascii="Times New Roman" w:hAnsi="Times New Roman" w:cs="Times New Roman"/>
        </w:rPr>
      </w:pPr>
    </w:p>
    <w:p w14:paraId="71FC1B68" w14:textId="77777777" w:rsidR="00B16DDE" w:rsidRDefault="00B16DDE" w:rsidP="00B16DDE">
      <w:pPr>
        <w:jc w:val="both"/>
        <w:rPr>
          <w:rFonts w:ascii="Times New Roman" w:hAnsi="Times New Roman" w:cs="Times New Roman"/>
        </w:rPr>
      </w:pPr>
    </w:p>
    <w:p w14:paraId="6FB44789" w14:textId="77777777" w:rsidR="00B16DDE" w:rsidRDefault="00B16DDE" w:rsidP="00B16DDE">
      <w:pPr>
        <w:jc w:val="both"/>
        <w:rPr>
          <w:rFonts w:ascii="Times New Roman" w:hAnsi="Times New Roman" w:cs="Times New Roman"/>
        </w:rPr>
      </w:pPr>
      <w:r w:rsidRPr="00BB738B">
        <w:rPr>
          <w:rFonts w:ascii="Times New Roman" w:hAnsi="Times New Roman" w:cs="Times New Roman"/>
        </w:rPr>
        <w:t>Values with different letters are significantly different at P&lt;0.05</w:t>
      </w:r>
    </w:p>
    <w:p w14:paraId="72293C31" w14:textId="77777777" w:rsidR="00B16DDE" w:rsidRDefault="00B16DDE" w:rsidP="00B16DDE">
      <w:pPr>
        <w:jc w:val="both"/>
        <w:rPr>
          <w:rFonts w:ascii="Times New Roman" w:hAnsi="Times New Roman"/>
          <w:sz w:val="20"/>
          <w:szCs w:val="20"/>
        </w:rPr>
      </w:pPr>
      <w:r w:rsidRPr="00193B48">
        <w:rPr>
          <w:rFonts w:ascii="Times New Roman" w:hAnsi="Times New Roman" w:cs="Times New Roman"/>
          <w:b/>
          <w:bCs/>
          <w:sz w:val="20"/>
          <w:szCs w:val="20"/>
        </w:rPr>
        <w:t xml:space="preserve">Legends: </w:t>
      </w:r>
      <w:r w:rsidRPr="00193B48">
        <w:rPr>
          <w:rFonts w:ascii="Times New Roman" w:hAnsi="Times New Roman"/>
          <w:sz w:val="20"/>
          <w:szCs w:val="20"/>
        </w:rPr>
        <w:t>T</w:t>
      </w:r>
      <w:r w:rsidRPr="00193B48">
        <w:rPr>
          <w:rFonts w:ascii="Times New Roman" w:hAnsi="Times New Roman"/>
          <w:sz w:val="20"/>
          <w:szCs w:val="20"/>
          <w:vertAlign w:val="subscript"/>
        </w:rPr>
        <w:t xml:space="preserve">1 </w:t>
      </w:r>
      <w:r w:rsidRPr="00193B48">
        <w:rPr>
          <w:rFonts w:ascii="Times New Roman" w:hAnsi="Times New Roman"/>
          <w:sz w:val="20"/>
          <w:szCs w:val="20"/>
        </w:rPr>
        <w:t>= 3.0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+ 3.00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Hand Weeding at 25 DAS, T</w:t>
      </w:r>
      <w:r w:rsidRPr="00193B48">
        <w:rPr>
          <w:rFonts w:ascii="Times New Roman" w:hAnsi="Times New Roman"/>
          <w:sz w:val="20"/>
          <w:szCs w:val="20"/>
          <w:vertAlign w:val="subscript"/>
        </w:rPr>
        <w:t xml:space="preserve">2 </w:t>
      </w:r>
      <w:r w:rsidRPr="00193B48">
        <w:rPr>
          <w:rFonts w:ascii="Times New Roman" w:hAnsi="Times New Roman"/>
          <w:sz w:val="20"/>
          <w:szCs w:val="20"/>
        </w:rPr>
        <w:t>= 3.5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Pretilachlor 50 EC and One Hand Weeding at 25 DAS, T</w:t>
      </w:r>
      <w:r w:rsidRPr="00193B48">
        <w:rPr>
          <w:rFonts w:ascii="Times New Roman" w:hAnsi="Times New Roman"/>
          <w:sz w:val="20"/>
          <w:szCs w:val="20"/>
          <w:vertAlign w:val="subscript"/>
        </w:rPr>
        <w:t xml:space="preserve">3 </w:t>
      </w:r>
      <w:r w:rsidRPr="00193B48">
        <w:rPr>
          <w:rFonts w:ascii="Times New Roman" w:hAnsi="Times New Roman"/>
          <w:sz w:val="20"/>
          <w:szCs w:val="20"/>
        </w:rPr>
        <w:t>= 4.0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T</w:t>
      </w:r>
      <w:r w:rsidRPr="00193B48">
        <w:rPr>
          <w:rFonts w:ascii="Times New Roman" w:hAnsi="Times New Roman"/>
          <w:sz w:val="20"/>
          <w:szCs w:val="20"/>
          <w:vertAlign w:val="subscript"/>
        </w:rPr>
        <w:t xml:space="preserve">4 </w:t>
      </w:r>
      <w:r w:rsidRPr="00193B48">
        <w:rPr>
          <w:rFonts w:ascii="Times New Roman" w:hAnsi="Times New Roman"/>
          <w:sz w:val="20"/>
          <w:szCs w:val="20"/>
        </w:rPr>
        <w:t>= 4.5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Pendimethilin 33% EC + One Hand Weeding at 25 DAS, T</w:t>
      </w:r>
      <w:r w:rsidRPr="00193B48">
        <w:rPr>
          <w:rFonts w:ascii="Times New Roman" w:hAnsi="Times New Roman"/>
          <w:sz w:val="20"/>
          <w:szCs w:val="20"/>
          <w:vertAlign w:val="subscript"/>
        </w:rPr>
        <w:t xml:space="preserve">5 </w:t>
      </w:r>
      <w:r w:rsidRPr="00193B48">
        <w:rPr>
          <w:rFonts w:ascii="Times New Roman" w:hAnsi="Times New Roman"/>
          <w:sz w:val="20"/>
          <w:szCs w:val="20"/>
        </w:rPr>
        <w:t>= 5.0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and T</w:t>
      </w:r>
      <w:r w:rsidRPr="00193B48">
        <w:rPr>
          <w:rFonts w:ascii="Times New Roman" w:hAnsi="Times New Roman"/>
          <w:sz w:val="20"/>
          <w:szCs w:val="20"/>
          <w:vertAlign w:val="subscript"/>
        </w:rPr>
        <w:t xml:space="preserve">6 </w:t>
      </w:r>
      <w:r w:rsidRPr="00193B48">
        <w:rPr>
          <w:rFonts w:ascii="Times New Roman" w:hAnsi="Times New Roman"/>
          <w:sz w:val="20"/>
          <w:szCs w:val="20"/>
        </w:rPr>
        <w:t>= 5.5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One Hand Weeding at 25 DAS BJRI tossa pat-8 will be used as variety</w:t>
      </w:r>
    </w:p>
    <w:p w14:paraId="014AAA4D" w14:textId="4B2C46A6" w:rsidR="009A07D4" w:rsidRDefault="009A07D4" w:rsidP="00826F36">
      <w:pPr>
        <w:spacing w:before="100" w:beforeAutospacing="1" w:after="100" w:afterAutospacing="1" w:line="240" w:lineRule="auto"/>
        <w:jc w:val="both"/>
        <w:rPr>
          <w:rFonts w:ascii="Times New Roman" w:hAnsi="Times New Roman"/>
          <w:b/>
          <w:bCs/>
          <w:sz w:val="24"/>
          <w:szCs w:val="24"/>
        </w:rPr>
      </w:pPr>
      <w:r>
        <w:rPr>
          <w:rFonts w:ascii="Times New Roman" w:hAnsi="Times New Roman"/>
          <w:b/>
          <w:bCs/>
          <w:sz w:val="24"/>
          <w:szCs w:val="24"/>
        </w:rPr>
        <w:t>b</w:t>
      </w:r>
      <w:r w:rsidRPr="009A07D4">
        <w:rPr>
          <w:rFonts w:ascii="Times New Roman" w:hAnsi="Times New Roman"/>
          <w:b/>
          <w:bCs/>
          <w:sz w:val="24"/>
          <w:szCs w:val="24"/>
        </w:rPr>
        <w:t>)</w:t>
      </w:r>
      <w:r w:rsidR="009B7622">
        <w:rPr>
          <w:rFonts w:ascii="Times New Roman" w:hAnsi="Times New Roman"/>
          <w:b/>
          <w:bCs/>
          <w:sz w:val="24"/>
          <w:szCs w:val="24"/>
        </w:rPr>
        <w:t xml:space="preserve"> </w:t>
      </w:r>
      <w:r w:rsidRPr="009A07D4">
        <w:rPr>
          <w:rFonts w:ascii="Times New Roman" w:hAnsi="Times New Roman"/>
          <w:b/>
          <w:bCs/>
          <w:sz w:val="24"/>
          <w:szCs w:val="24"/>
        </w:rPr>
        <w:t xml:space="preserve">Jute Research </w:t>
      </w:r>
      <w:r>
        <w:rPr>
          <w:rFonts w:ascii="Times New Roman" w:hAnsi="Times New Roman"/>
          <w:b/>
          <w:bCs/>
          <w:sz w:val="24"/>
          <w:szCs w:val="24"/>
        </w:rPr>
        <w:t>substation</w:t>
      </w:r>
      <w:r w:rsidRPr="009A07D4">
        <w:rPr>
          <w:rFonts w:ascii="Times New Roman" w:hAnsi="Times New Roman"/>
          <w:b/>
          <w:bCs/>
          <w:sz w:val="24"/>
          <w:szCs w:val="24"/>
        </w:rPr>
        <w:t xml:space="preserve"> Station, </w:t>
      </w:r>
      <w:r>
        <w:rPr>
          <w:rFonts w:ascii="Times New Roman" w:hAnsi="Times New Roman"/>
          <w:b/>
          <w:bCs/>
          <w:sz w:val="24"/>
          <w:szCs w:val="24"/>
        </w:rPr>
        <w:t>Jashore</w:t>
      </w:r>
    </w:p>
    <w:p w14:paraId="0208A7F5" w14:textId="0A3A7FEF"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3.7 </w:t>
      </w:r>
      <w:r w:rsidR="00C0642C" w:rsidRPr="009A07D4">
        <w:rPr>
          <w:rFonts w:ascii="Times New Roman" w:eastAsia="Times New Roman" w:hAnsi="Times New Roman" w:cs="Times New Roman"/>
          <w:b/>
          <w:bCs/>
          <w:kern w:val="0"/>
          <w:sz w:val="24"/>
          <w:szCs w:val="24"/>
          <w14:ligatures w14:val="none"/>
        </w:rPr>
        <w:t>Plant Population</w:t>
      </w:r>
    </w:p>
    <w:p w14:paraId="72BC9063" w14:textId="4B12EAE4"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Plant population per square meter (PP) was significantly affected (</w:t>
      </w:r>
      <w:r w:rsidRPr="00826F36">
        <w:rPr>
          <w:rFonts w:ascii="Times New Roman" w:eastAsia="Times New Roman" w:hAnsi="Times New Roman" w:cs="Times New Roman"/>
          <w:i/>
          <w:iCs/>
          <w:kern w:val="0"/>
          <w:sz w:val="24"/>
          <w:szCs w:val="24"/>
          <w14:ligatures w14:val="none"/>
        </w:rPr>
        <w:t>P &lt; 0.05</w:t>
      </w:r>
      <w:r w:rsidRPr="00826F36">
        <w:rPr>
          <w:rFonts w:ascii="Times New Roman" w:eastAsia="Times New Roman" w:hAnsi="Times New Roman" w:cs="Times New Roman"/>
          <w:kern w:val="0"/>
          <w:sz w:val="24"/>
          <w:szCs w:val="24"/>
          <w14:ligatures w14:val="none"/>
        </w:rPr>
        <w:t xml:space="preserve">) by the seed rate and weed management treatments (Table 2). The maximum plant population (43.00 m⁻²) was observed in T₆ (5.5 kg ha⁻¹ live seed + one hand weeding), while the lowest (19.50 m⁻²) occurred in T₁ (3.0 kg ha⁻¹ live seed + 3.0 kg ha⁻¹ filler + hand weeding). The progressive increase in plant density with higher seed rates agrees with the expected trend of enhanced stand establishment under greater seed input (Karimi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2021; Kumar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However, excessively dense stands often lead to competition among plants for light, moisture, and nutrients, resulting in thinner stems and reduced individual plant performance (Morsy </w:t>
      </w:r>
      <w:r w:rsidR="00B1088F">
        <w:rPr>
          <w:rFonts w:ascii="Times New Roman" w:eastAsia="Times New Roman" w:hAnsi="Times New Roman" w:cs="Times New Roman"/>
          <w:kern w:val="0"/>
          <w:sz w:val="24"/>
          <w:szCs w:val="24"/>
          <w14:ligatures w14:val="none"/>
        </w:rPr>
        <w:t>and</w:t>
      </w:r>
      <w:r w:rsidRPr="00826F36">
        <w:rPr>
          <w:rFonts w:ascii="Times New Roman" w:eastAsia="Times New Roman" w:hAnsi="Times New Roman" w:cs="Times New Roman"/>
          <w:kern w:val="0"/>
          <w:sz w:val="24"/>
          <w:szCs w:val="24"/>
          <w14:ligatures w14:val="none"/>
        </w:rPr>
        <w:t xml:space="preserve"> Tantawy, 2018; Ghorai, 2015). Similar results were reported by Islam </w:t>
      </w:r>
      <w:r w:rsidR="00B1088F">
        <w:rPr>
          <w:rFonts w:ascii="Times New Roman" w:eastAsia="Times New Roman" w:hAnsi="Times New Roman" w:cs="Times New Roman"/>
          <w:kern w:val="0"/>
          <w:sz w:val="24"/>
          <w:szCs w:val="24"/>
          <w14:ligatures w14:val="none"/>
        </w:rPr>
        <w:t>and</w:t>
      </w:r>
      <w:r w:rsidRPr="00826F36">
        <w:rPr>
          <w:rFonts w:ascii="Times New Roman" w:eastAsia="Times New Roman" w:hAnsi="Times New Roman" w:cs="Times New Roman"/>
          <w:kern w:val="0"/>
          <w:sz w:val="24"/>
          <w:szCs w:val="24"/>
          <w14:ligatures w14:val="none"/>
        </w:rPr>
        <w:t xml:space="preserve"> Ali (2017)</w:t>
      </w:r>
      <w:r w:rsidR="002B7871">
        <w:rPr>
          <w:rFonts w:ascii="Times New Roman" w:eastAsia="Times New Roman" w:hAnsi="Times New Roman" w:cs="Times New Roman"/>
          <w:kern w:val="0"/>
          <w:sz w:val="24"/>
          <w:szCs w:val="24"/>
          <w14:ligatures w14:val="none"/>
        </w:rPr>
        <w:t>,</w:t>
      </w:r>
      <w:r w:rsidRPr="00826F36">
        <w:rPr>
          <w:rFonts w:ascii="Times New Roman" w:eastAsia="Times New Roman" w:hAnsi="Times New Roman" w:cs="Times New Roman"/>
          <w:kern w:val="0"/>
          <w:sz w:val="24"/>
          <w:szCs w:val="24"/>
          <w14:ligatures w14:val="none"/>
        </w:rPr>
        <w:t xml:space="preserve"> Ngomuo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(2017)</w:t>
      </w:r>
      <w:r w:rsidR="002B7871">
        <w:rPr>
          <w:rFonts w:ascii="Times New Roman" w:eastAsia="Times New Roman" w:hAnsi="Times New Roman" w:cs="Times New Roman"/>
          <w:kern w:val="0"/>
          <w:sz w:val="24"/>
          <w:szCs w:val="24"/>
          <w14:ligatures w14:val="none"/>
        </w:rPr>
        <w:t xml:space="preserve"> and </w:t>
      </w:r>
      <w:r w:rsidR="002B7871" w:rsidRPr="00826F36">
        <w:rPr>
          <w:rFonts w:ascii="Times New Roman" w:eastAsia="Times New Roman" w:hAnsi="Times New Roman" w:cs="Times New Roman"/>
          <w:kern w:val="0"/>
          <w:sz w:val="24"/>
          <w:szCs w:val="24"/>
          <w14:ligatures w14:val="none"/>
        </w:rPr>
        <w:t xml:space="preserve">Hossain </w:t>
      </w:r>
      <w:r w:rsidR="002B7871" w:rsidRPr="00FC4A04">
        <w:rPr>
          <w:rFonts w:ascii="Times New Roman" w:eastAsia="Times New Roman" w:hAnsi="Times New Roman" w:cs="Times New Roman"/>
          <w:i/>
          <w:iCs/>
          <w:kern w:val="0"/>
          <w:sz w:val="24"/>
          <w:szCs w:val="24"/>
          <w14:ligatures w14:val="none"/>
        </w:rPr>
        <w:t>et al.</w:t>
      </w:r>
      <w:r w:rsidR="002B7871" w:rsidRPr="00826F36">
        <w:rPr>
          <w:rFonts w:ascii="Times New Roman" w:eastAsia="Times New Roman" w:hAnsi="Times New Roman" w:cs="Times New Roman"/>
          <w:kern w:val="0"/>
          <w:sz w:val="24"/>
          <w:szCs w:val="24"/>
          <w14:ligatures w14:val="none"/>
        </w:rPr>
        <w:t xml:space="preserve"> (2023)</w:t>
      </w:r>
      <w:r w:rsidR="002B7871">
        <w:rPr>
          <w:rFonts w:ascii="Times New Roman" w:eastAsia="Times New Roman" w:hAnsi="Times New Roman" w:cs="Times New Roman"/>
          <w:kern w:val="0"/>
          <w:sz w:val="24"/>
          <w:szCs w:val="24"/>
          <w14:ligatures w14:val="none"/>
        </w:rPr>
        <w:t>,</w:t>
      </w:r>
      <w:r w:rsidRPr="00826F36">
        <w:rPr>
          <w:rFonts w:ascii="Times New Roman" w:eastAsia="Times New Roman" w:hAnsi="Times New Roman" w:cs="Times New Roman"/>
          <w:kern w:val="0"/>
          <w:sz w:val="24"/>
          <w:szCs w:val="24"/>
          <w14:ligatures w14:val="none"/>
        </w:rPr>
        <w:t xml:space="preserve"> who emphasized that a balanced seeding rate promotes uniform stand establishment, contributing to optimum plant density and overall productivity in jute.</w:t>
      </w:r>
    </w:p>
    <w:p w14:paraId="7573DEB8" w14:textId="77777777" w:rsidR="009A07D4" w:rsidRDefault="009A07D4" w:rsidP="009A07D4">
      <w:pPr>
        <w:spacing w:after="0"/>
        <w:jc w:val="both"/>
        <w:rPr>
          <w:rFonts w:ascii="Times New Roman" w:eastAsia="Times New Roman" w:hAnsi="Times New Roman" w:cs="Times New Roman"/>
          <w:b/>
          <w:bCs/>
          <w:kern w:val="0"/>
          <w:sz w:val="24"/>
          <w:szCs w:val="24"/>
          <w14:ligatures w14:val="none"/>
        </w:rPr>
      </w:pPr>
    </w:p>
    <w:p w14:paraId="586E162B" w14:textId="6C7C3E6D"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3.8 </w:t>
      </w:r>
      <w:r w:rsidR="00C0642C" w:rsidRPr="009A07D4">
        <w:rPr>
          <w:rFonts w:ascii="Times New Roman" w:eastAsia="Times New Roman" w:hAnsi="Times New Roman" w:cs="Times New Roman"/>
          <w:b/>
          <w:bCs/>
          <w:kern w:val="0"/>
          <w:sz w:val="24"/>
          <w:szCs w:val="24"/>
          <w14:ligatures w14:val="none"/>
        </w:rPr>
        <w:t>Plant Height and Base Diameter</w:t>
      </w:r>
    </w:p>
    <w:p w14:paraId="4E4BFFAA" w14:textId="408D5761"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Significant differences in plant height (PH) and base diameter (BD) were recorded among the treatments. The tallest plants (3.56 m) and the largest stem diameter (20.50 mm) were found in T₁, while the shortest plants (3.10 m) and the smallest stem diameter (14.90 mm) were recorded from T₆. These findings indicate that lower planting density allows better access to growth resources and light, enabling greater stem elongation and radial growth (Charles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2019; Susha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Similar results were reported by Singh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and Mandal </w:t>
      </w:r>
      <w:r w:rsidR="00B1088F">
        <w:rPr>
          <w:rFonts w:ascii="Times New Roman" w:eastAsia="Times New Roman" w:hAnsi="Times New Roman" w:cs="Times New Roman"/>
          <w:kern w:val="0"/>
          <w:sz w:val="24"/>
          <w:szCs w:val="24"/>
          <w14:ligatures w14:val="none"/>
        </w:rPr>
        <w:t>and</w:t>
      </w:r>
      <w:r w:rsidRPr="00826F36">
        <w:rPr>
          <w:rFonts w:ascii="Times New Roman" w:eastAsia="Times New Roman" w:hAnsi="Times New Roman" w:cs="Times New Roman"/>
          <w:kern w:val="0"/>
          <w:sz w:val="24"/>
          <w:szCs w:val="24"/>
          <w14:ligatures w14:val="none"/>
        </w:rPr>
        <w:t xml:space="preserve"> Mukherjee (2018), who observed that lower seeding rates produced taller and thicker jute plants due to reduced intra-plant competition. On the other hand, denser stands, while ensuring higher total plant populations, tended to reduce individual growth parameters, consistent with the observations of Korres </w:t>
      </w:r>
      <w:r w:rsidR="00B1088F">
        <w:rPr>
          <w:rFonts w:ascii="Times New Roman" w:eastAsia="Times New Roman" w:hAnsi="Times New Roman" w:cs="Times New Roman"/>
          <w:kern w:val="0"/>
          <w:sz w:val="24"/>
          <w:szCs w:val="24"/>
          <w14:ligatures w14:val="none"/>
        </w:rPr>
        <w:t>and</w:t>
      </w:r>
      <w:r w:rsidRPr="00826F36">
        <w:rPr>
          <w:rFonts w:ascii="Times New Roman" w:eastAsia="Times New Roman" w:hAnsi="Times New Roman" w:cs="Times New Roman"/>
          <w:kern w:val="0"/>
          <w:sz w:val="24"/>
          <w:szCs w:val="24"/>
          <w14:ligatures w14:val="none"/>
        </w:rPr>
        <w:t xml:space="preserve"> </w:t>
      </w:r>
      <w:r w:rsidRPr="00826F36">
        <w:rPr>
          <w:rFonts w:ascii="Times New Roman" w:eastAsia="Times New Roman" w:hAnsi="Times New Roman" w:cs="Times New Roman"/>
          <w:kern w:val="0"/>
          <w:sz w:val="24"/>
          <w:szCs w:val="24"/>
          <w14:ligatures w14:val="none"/>
        </w:rPr>
        <w:lastRenderedPageBreak/>
        <w:t xml:space="preserve">Norsworthy (2015) and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(2023). This trade-off between plant density and individual growth emphasizes the need for optimizing seed rates for maximizing both fibre quantity and quality.</w:t>
      </w:r>
    </w:p>
    <w:p w14:paraId="3C7E28A7" w14:textId="7078FAB4"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3.9 </w:t>
      </w:r>
      <w:r w:rsidR="00C0642C" w:rsidRPr="009A07D4">
        <w:rPr>
          <w:rFonts w:ascii="Times New Roman" w:eastAsia="Times New Roman" w:hAnsi="Times New Roman" w:cs="Times New Roman"/>
          <w:b/>
          <w:bCs/>
          <w:kern w:val="0"/>
          <w:sz w:val="24"/>
          <w:szCs w:val="24"/>
          <w14:ligatures w14:val="none"/>
        </w:rPr>
        <w:t>Fibre Yield</w:t>
      </w:r>
    </w:p>
    <w:p w14:paraId="28C9E6E8" w14:textId="77A982C2"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The fibre yield (FY) of </w:t>
      </w:r>
      <w:r w:rsidRPr="00826F36">
        <w:rPr>
          <w:rFonts w:ascii="Times New Roman" w:eastAsia="Times New Roman" w:hAnsi="Times New Roman" w:cs="Times New Roman"/>
          <w:i/>
          <w:iCs/>
          <w:kern w:val="0"/>
          <w:sz w:val="24"/>
          <w:szCs w:val="24"/>
          <w14:ligatures w14:val="none"/>
        </w:rPr>
        <w:t>C. olitorius</w:t>
      </w:r>
      <w:r w:rsidRPr="00826F36">
        <w:rPr>
          <w:rFonts w:ascii="Times New Roman" w:eastAsia="Times New Roman" w:hAnsi="Times New Roman" w:cs="Times New Roman"/>
          <w:kern w:val="0"/>
          <w:sz w:val="24"/>
          <w:szCs w:val="24"/>
          <w14:ligatures w14:val="none"/>
        </w:rPr>
        <w:t xml:space="preserve"> was significantly influenced by seed rate and weed management combinations. The highest fibre yield (3.60 t ha⁻¹) was recorded in T₄ (4.5 kg ha⁻¹ live seed + 1.5 kg ha⁻¹ filler + Pendimethalin 33% EC + one hand weeding), followed by T₆ (3.45 t ha⁻¹) and T₅ (3.38 t ha⁻¹), while the lowest yield (2.60 t ha⁻¹) was obtained from T₁. The superior performance of T₄ may be attributed to its moderate plant density (32.10 m⁻²), which provided a balanced canopy structure, efficient utilization of available resources, and effective weed suppression through the combined application of herbicide and manual weeding.</w:t>
      </w:r>
      <w:r w:rsidR="00FC4A04">
        <w:rPr>
          <w:rFonts w:ascii="Times New Roman" w:eastAsia="Times New Roman" w:hAnsi="Times New Roman" w:cs="Times New Roman"/>
          <w:kern w:val="0"/>
          <w:sz w:val="24"/>
          <w:szCs w:val="24"/>
          <w14:ligatures w14:val="none"/>
        </w:rPr>
        <w:t xml:space="preserve"> </w:t>
      </w:r>
      <w:r w:rsidRPr="00826F36">
        <w:rPr>
          <w:rFonts w:ascii="Times New Roman" w:eastAsia="Times New Roman" w:hAnsi="Times New Roman" w:cs="Times New Roman"/>
          <w:kern w:val="0"/>
          <w:sz w:val="24"/>
          <w:szCs w:val="24"/>
          <w14:ligatures w14:val="none"/>
        </w:rPr>
        <w:t xml:space="preserve">These findings are consistent with the reports of Mandal </w:t>
      </w:r>
      <w:r w:rsidR="00B1088F">
        <w:rPr>
          <w:rFonts w:ascii="Times New Roman" w:eastAsia="Times New Roman" w:hAnsi="Times New Roman" w:cs="Times New Roman"/>
          <w:kern w:val="0"/>
          <w:sz w:val="24"/>
          <w:szCs w:val="24"/>
          <w14:ligatures w14:val="none"/>
        </w:rPr>
        <w:t>and</w:t>
      </w:r>
      <w:r w:rsidRPr="00826F36">
        <w:rPr>
          <w:rFonts w:ascii="Times New Roman" w:eastAsia="Times New Roman" w:hAnsi="Times New Roman" w:cs="Times New Roman"/>
          <w:kern w:val="0"/>
          <w:sz w:val="24"/>
          <w:szCs w:val="24"/>
          <w14:ligatures w14:val="none"/>
        </w:rPr>
        <w:t xml:space="preserve"> Mukherjee (2018) and Jena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(2017), who noted that integrated weed management practices combining Pendimethalin with manual weeding significantly improved fibre yield in jute.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(2024) also demonstrated that judicious herbicide use reduces early weed competition, thereby extending the critical weed-free period and enhancing fibre yield. The results further corroborate the findings of Abbas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and Bhuiyan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who observed that combining herbicides with cultural practices can increase productivity by reducing crop–weed competition during early growth stages. The relatively higher yield at Jashore compared to Kishoreganj may be due to more favourable climatic conditions and soil fertility, promoting enhanced fibre accumulation under the same management regimes.</w:t>
      </w:r>
    </w:p>
    <w:p w14:paraId="6E5584E7" w14:textId="77777777" w:rsidR="009A07D4" w:rsidRDefault="009A07D4" w:rsidP="009A07D4">
      <w:pPr>
        <w:spacing w:after="0"/>
        <w:jc w:val="both"/>
        <w:rPr>
          <w:rFonts w:ascii="Times New Roman" w:eastAsia="Times New Roman" w:hAnsi="Times New Roman" w:cs="Times New Roman"/>
          <w:b/>
          <w:bCs/>
          <w:kern w:val="0"/>
          <w:sz w:val="24"/>
          <w:szCs w:val="24"/>
          <w14:ligatures w14:val="none"/>
        </w:rPr>
      </w:pPr>
    </w:p>
    <w:p w14:paraId="1FA97E45" w14:textId="380336AE"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3.10 </w:t>
      </w:r>
      <w:r w:rsidR="00C0642C" w:rsidRPr="009A07D4">
        <w:rPr>
          <w:rFonts w:ascii="Times New Roman" w:eastAsia="Times New Roman" w:hAnsi="Times New Roman" w:cs="Times New Roman"/>
          <w:b/>
          <w:bCs/>
          <w:kern w:val="0"/>
          <w:sz w:val="24"/>
          <w:szCs w:val="24"/>
          <w14:ligatures w14:val="none"/>
        </w:rPr>
        <w:t>Stick Yield</w:t>
      </w:r>
    </w:p>
    <w:p w14:paraId="3B2E550F" w14:textId="507FB1B2"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Stick yield (SY) exhibited a similar trend to fibre yield. The highest stick yield (6.72 t ha⁻¹) was recorded in T₄, followed by T₆ (6.40 t ha⁻¹) and T₅ (6.30 t ha⁻¹), while the lowest (4.95 t ha⁻¹) was obtained from T₁. The increase in stick yield under moderate density conditions was likely due to improved stem elongation and biomass accumulation resulting from optimal spacing and reduced competition (Mukul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2021; Mahbub </w:t>
      </w:r>
      <w:r w:rsidR="00B1088F">
        <w:rPr>
          <w:rFonts w:ascii="Times New Roman" w:eastAsia="Times New Roman" w:hAnsi="Times New Roman" w:cs="Times New Roman"/>
          <w:kern w:val="0"/>
          <w:sz w:val="24"/>
          <w:szCs w:val="24"/>
          <w14:ligatures w14:val="none"/>
        </w:rPr>
        <w:t>and</w:t>
      </w:r>
      <w:r w:rsidRPr="00826F36">
        <w:rPr>
          <w:rFonts w:ascii="Times New Roman" w:eastAsia="Times New Roman" w:hAnsi="Times New Roman" w:cs="Times New Roman"/>
          <w:kern w:val="0"/>
          <w:sz w:val="24"/>
          <w:szCs w:val="24"/>
          <w14:ligatures w14:val="none"/>
        </w:rPr>
        <w:t xml:space="preserve"> Bhuiyan, 2021). The results align with Chakraborty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(2020), who reported that integrated mechanical and chemical weed management enhanced total dry matter production and fibre-stick yield ratios in tossa jute. Furthermore,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(2023) indicated that maintaining weed-free conditions during early crop growth significantly increased total biomass yield, similar to the results observed in this study.</w:t>
      </w:r>
    </w:p>
    <w:p w14:paraId="7300ECBE" w14:textId="0A942F48" w:rsidR="00C0642C" w:rsidRPr="009A07D4" w:rsidRDefault="00FC4A04" w:rsidP="009A07D4">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3.11 </w:t>
      </w:r>
      <w:r w:rsidR="00C0642C" w:rsidRPr="009A07D4">
        <w:rPr>
          <w:rFonts w:ascii="Times New Roman" w:eastAsia="Times New Roman" w:hAnsi="Times New Roman" w:cs="Times New Roman"/>
          <w:b/>
          <w:bCs/>
          <w:kern w:val="0"/>
          <w:sz w:val="24"/>
          <w:szCs w:val="24"/>
          <w14:ligatures w14:val="none"/>
        </w:rPr>
        <w:t>Integrated Weed Management and Agronomic Efficiency</w:t>
      </w:r>
    </w:p>
    <w:p w14:paraId="4C80A199" w14:textId="3D8650A2" w:rsidR="00826F36" w:rsidRPr="00826F36" w:rsidRDefault="00826F36" w:rsidP="009A07D4">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The treatments combining herbicide application with manual weeding (T₂ and T₄) performed consistently better than single control methods, underscoring the benefits of integrated weed management (IWM). The application of Pendimethalin 33% EC effectively controlled annual weeds, while supplementary hand weeding ensured the removal of late-emerging species, enhancing overall crop performance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2024; Mahajan </w:t>
      </w:r>
      <w:r w:rsidR="00B1088F">
        <w:rPr>
          <w:rFonts w:ascii="Times New Roman" w:eastAsia="Times New Roman" w:hAnsi="Times New Roman" w:cs="Times New Roman"/>
          <w:kern w:val="0"/>
          <w:sz w:val="24"/>
          <w:szCs w:val="24"/>
          <w14:ligatures w14:val="none"/>
        </w:rPr>
        <w:t>and</w:t>
      </w:r>
      <w:r w:rsidRPr="00826F36">
        <w:rPr>
          <w:rFonts w:ascii="Times New Roman" w:eastAsia="Times New Roman" w:hAnsi="Times New Roman" w:cs="Times New Roman"/>
          <w:kern w:val="0"/>
          <w:sz w:val="24"/>
          <w:szCs w:val="24"/>
          <w14:ligatures w14:val="none"/>
        </w:rPr>
        <w:t xml:space="preserve"> Chauhan, 2013). Similar synergistic effects were reported by Ghorai (2015) and Singh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who found that integrating chemical and manual control methods improved jute yield and reduced weed biomass by over 60%.</w:t>
      </w:r>
      <w:r w:rsidR="009A07D4">
        <w:rPr>
          <w:rFonts w:ascii="Times New Roman" w:eastAsia="Times New Roman" w:hAnsi="Times New Roman" w:cs="Times New Roman"/>
          <w:kern w:val="0"/>
          <w:sz w:val="24"/>
          <w:szCs w:val="24"/>
          <w14:ligatures w14:val="none"/>
        </w:rPr>
        <w:t xml:space="preserve"> </w:t>
      </w:r>
      <w:r w:rsidRPr="00826F36">
        <w:rPr>
          <w:rFonts w:ascii="Times New Roman" w:eastAsia="Times New Roman" w:hAnsi="Times New Roman" w:cs="Times New Roman"/>
          <w:kern w:val="0"/>
          <w:sz w:val="24"/>
          <w:szCs w:val="24"/>
          <w14:ligatures w14:val="none"/>
        </w:rPr>
        <w:t xml:space="preserve">The superior results obtained under IWM align with Abbas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(2018), who emphasized the sustainability of integrated approaches to prevent herbicide resistance and reduce environmental impacts. Additionally, Swanton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w:t>
      </w:r>
      <w:r w:rsidR="003D17F6">
        <w:rPr>
          <w:rFonts w:ascii="Times New Roman" w:eastAsia="Times New Roman" w:hAnsi="Times New Roman" w:cs="Times New Roman"/>
          <w:kern w:val="0"/>
          <w:sz w:val="24"/>
          <w:szCs w:val="24"/>
          <w14:ligatures w14:val="none"/>
        </w:rPr>
        <w:t xml:space="preserve"> and Sarkar </w:t>
      </w:r>
      <w:r w:rsidR="003D17F6" w:rsidRPr="003D17F6">
        <w:rPr>
          <w:rFonts w:ascii="Times New Roman" w:eastAsia="Times New Roman" w:hAnsi="Times New Roman" w:cs="Times New Roman"/>
          <w:i/>
          <w:iCs/>
          <w:kern w:val="0"/>
          <w:sz w:val="24"/>
          <w:szCs w:val="24"/>
          <w14:ligatures w14:val="none"/>
        </w:rPr>
        <w:t>et al.</w:t>
      </w:r>
      <w:r w:rsidR="003D17F6">
        <w:rPr>
          <w:rFonts w:ascii="Times New Roman" w:eastAsia="Times New Roman" w:hAnsi="Times New Roman" w:cs="Times New Roman"/>
          <w:kern w:val="0"/>
          <w:sz w:val="24"/>
          <w:szCs w:val="24"/>
          <w14:ligatures w14:val="none"/>
        </w:rPr>
        <w:t xml:space="preserve"> (2022)</w:t>
      </w:r>
      <w:r w:rsidRPr="00826F36">
        <w:rPr>
          <w:rFonts w:ascii="Times New Roman" w:eastAsia="Times New Roman" w:hAnsi="Times New Roman" w:cs="Times New Roman"/>
          <w:kern w:val="0"/>
          <w:sz w:val="24"/>
          <w:szCs w:val="24"/>
          <w14:ligatures w14:val="none"/>
        </w:rPr>
        <w:t xml:space="preserve"> st</w:t>
      </w:r>
      <w:r w:rsidR="003D17F6">
        <w:rPr>
          <w:rFonts w:ascii="Times New Roman" w:eastAsia="Times New Roman" w:hAnsi="Times New Roman" w:cs="Times New Roman"/>
          <w:kern w:val="0"/>
          <w:sz w:val="24"/>
          <w:szCs w:val="24"/>
          <w14:ligatures w14:val="none"/>
        </w:rPr>
        <w:t>ated</w:t>
      </w:r>
      <w:r w:rsidRPr="00826F36">
        <w:rPr>
          <w:rFonts w:ascii="Times New Roman" w:eastAsia="Times New Roman" w:hAnsi="Times New Roman" w:cs="Times New Roman"/>
          <w:kern w:val="0"/>
          <w:sz w:val="24"/>
          <w:szCs w:val="24"/>
          <w14:ligatures w14:val="none"/>
        </w:rPr>
        <w:t xml:space="preserve"> that maintaining crops weed-free during their critical growth stages is vital for maximizing yield </w:t>
      </w:r>
      <w:r w:rsidRPr="00826F36">
        <w:rPr>
          <w:rFonts w:ascii="Times New Roman" w:eastAsia="Times New Roman" w:hAnsi="Times New Roman" w:cs="Times New Roman"/>
          <w:kern w:val="0"/>
          <w:sz w:val="24"/>
          <w:szCs w:val="24"/>
          <w14:ligatures w14:val="none"/>
        </w:rPr>
        <w:lastRenderedPageBreak/>
        <w:t>potential, supporting the outcomes of this experiment. Hence, the integration of Pendimethalin with limited manual weeding appears to be the most effective and labour-efficient strategy for achieving high yields in jute under Jashore conditions.</w:t>
      </w:r>
    </w:p>
    <w:p w14:paraId="5BCBCC2C" w14:textId="66B34935" w:rsidR="00C0642C" w:rsidRPr="009A07D4" w:rsidRDefault="00FC4A04" w:rsidP="00F17F99">
      <w:pPr>
        <w:spacing w:after="0"/>
        <w:jc w:val="both"/>
        <w:rPr>
          <w:rFonts w:ascii="Times New Roman" w:eastAsia="Times New Roman" w:hAnsi="Times New Roman" w:cs="Times New Roman"/>
          <w:b/>
          <w:bCs/>
          <w:kern w:val="0"/>
          <w:sz w:val="24"/>
          <w:szCs w:val="24"/>
          <w14:ligatures w14:val="none"/>
        </w:rPr>
      </w:pPr>
      <w:r w:rsidRPr="009A07D4">
        <w:rPr>
          <w:rFonts w:ascii="Times New Roman" w:eastAsia="Times New Roman" w:hAnsi="Times New Roman" w:cs="Times New Roman"/>
          <w:b/>
          <w:bCs/>
          <w:kern w:val="0"/>
          <w:sz w:val="24"/>
          <w:szCs w:val="24"/>
          <w14:ligatures w14:val="none"/>
        </w:rPr>
        <w:t xml:space="preserve">3.12 </w:t>
      </w:r>
      <w:r w:rsidR="00C0642C" w:rsidRPr="009A07D4">
        <w:rPr>
          <w:rFonts w:ascii="Times New Roman" w:eastAsia="Times New Roman" w:hAnsi="Times New Roman" w:cs="Times New Roman"/>
          <w:b/>
          <w:bCs/>
          <w:kern w:val="0"/>
          <w:sz w:val="24"/>
          <w:szCs w:val="24"/>
          <w14:ligatures w14:val="none"/>
        </w:rPr>
        <w:t>Overall Performance</w:t>
      </w:r>
    </w:p>
    <w:p w14:paraId="2A180542" w14:textId="2157BA9B" w:rsidR="00826F36" w:rsidRPr="00826F36" w:rsidRDefault="00826F36" w:rsidP="00F17F99">
      <w:pPr>
        <w:spacing w:after="0"/>
        <w:jc w:val="both"/>
        <w:rPr>
          <w:rFonts w:ascii="Times New Roman" w:eastAsia="Times New Roman" w:hAnsi="Times New Roman" w:cs="Times New Roman"/>
          <w:kern w:val="0"/>
          <w:sz w:val="24"/>
          <w:szCs w:val="24"/>
          <w14:ligatures w14:val="none"/>
        </w:rPr>
      </w:pPr>
      <w:r w:rsidRPr="00826F36">
        <w:rPr>
          <w:rFonts w:ascii="Times New Roman" w:eastAsia="Times New Roman" w:hAnsi="Times New Roman" w:cs="Times New Roman"/>
          <w:kern w:val="0"/>
          <w:sz w:val="24"/>
          <w:szCs w:val="24"/>
          <w14:ligatures w14:val="none"/>
        </w:rPr>
        <w:t xml:space="preserve">Overall, the moderate seed rate of 4.5 kg ha⁻¹ live seed + 1.5 kg ha⁻¹ filler combined with Pendimethalin 33% EC and one hand weeding (T₄) consistently produced the highest fibre and stick yields at Jashore. Treatments with higher or lower seeding rates were less efficient due to either excessive plant competition or inadequate stand establishment. These findings are consistent with previous reports by Kumar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(2015) and Hossain </w:t>
      </w:r>
      <w:r w:rsidRPr="00FC4A04">
        <w:rPr>
          <w:rFonts w:ascii="Times New Roman" w:eastAsia="Times New Roman" w:hAnsi="Times New Roman" w:cs="Times New Roman"/>
          <w:i/>
          <w:iCs/>
          <w:kern w:val="0"/>
          <w:sz w:val="24"/>
          <w:szCs w:val="24"/>
          <w14:ligatures w14:val="none"/>
        </w:rPr>
        <w:t>et al.</w:t>
      </w:r>
      <w:r w:rsidRPr="00826F36">
        <w:rPr>
          <w:rFonts w:ascii="Times New Roman" w:eastAsia="Times New Roman" w:hAnsi="Times New Roman" w:cs="Times New Roman"/>
          <w:kern w:val="0"/>
          <w:sz w:val="24"/>
          <w:szCs w:val="24"/>
          <w14:ligatures w14:val="none"/>
        </w:rPr>
        <w:t xml:space="preserve"> (2023), who concluded that intermediate seeding densities and integrated weed control enhance both the physiological and economic efficiency of jute cultivation.</w:t>
      </w:r>
      <w:r w:rsidR="00FC4A04">
        <w:rPr>
          <w:rFonts w:ascii="Times New Roman" w:eastAsia="Times New Roman" w:hAnsi="Times New Roman" w:cs="Times New Roman"/>
          <w:kern w:val="0"/>
          <w:sz w:val="24"/>
          <w:szCs w:val="24"/>
          <w14:ligatures w14:val="none"/>
        </w:rPr>
        <w:t xml:space="preserve"> </w:t>
      </w:r>
      <w:r w:rsidRPr="00826F36">
        <w:rPr>
          <w:rFonts w:ascii="Times New Roman" w:eastAsia="Times New Roman" w:hAnsi="Times New Roman" w:cs="Times New Roman"/>
          <w:kern w:val="0"/>
          <w:sz w:val="24"/>
          <w:szCs w:val="24"/>
          <w14:ligatures w14:val="none"/>
        </w:rPr>
        <w:t xml:space="preserve">The results also confirm that Jashore’s agro-ecological conditions favour higher biomass accumulation compared to Kishoreganj, as reflected in slightly increased yield levels under similar management. This may be attributed to better soil aeration, higher temperature, and more favourable light interception, all of which promote fibre deposition (Islam </w:t>
      </w:r>
      <w:r w:rsidR="00B1088F">
        <w:rPr>
          <w:rFonts w:ascii="Times New Roman" w:eastAsia="Times New Roman" w:hAnsi="Times New Roman" w:cs="Times New Roman"/>
          <w:kern w:val="0"/>
          <w:sz w:val="24"/>
          <w:szCs w:val="24"/>
          <w14:ligatures w14:val="none"/>
        </w:rPr>
        <w:t>and</w:t>
      </w:r>
      <w:r w:rsidRPr="00826F36">
        <w:rPr>
          <w:rFonts w:ascii="Times New Roman" w:eastAsia="Times New Roman" w:hAnsi="Times New Roman" w:cs="Times New Roman"/>
          <w:kern w:val="0"/>
          <w:sz w:val="24"/>
          <w:szCs w:val="24"/>
          <w14:ligatures w14:val="none"/>
        </w:rPr>
        <w:t xml:space="preserve"> Ali, 2017; </w:t>
      </w:r>
      <w:r w:rsidR="0059541F" w:rsidRPr="0059541F">
        <w:rPr>
          <w:rFonts w:ascii="Times New Roman" w:hAnsi="Times New Roman" w:cs="Times New Roman"/>
          <w:sz w:val="24"/>
          <w:szCs w:val="24"/>
        </w:rPr>
        <w:t>Kaur</w:t>
      </w:r>
      <w:r w:rsidR="0059541F">
        <w:rPr>
          <w:rFonts w:ascii="Times New Roman" w:hAnsi="Times New Roman" w:cs="Times New Roman"/>
          <w:sz w:val="24"/>
          <w:szCs w:val="24"/>
        </w:rPr>
        <w:t xml:space="preserve"> </w:t>
      </w:r>
      <w:r w:rsidR="0059541F" w:rsidRPr="0059541F">
        <w:rPr>
          <w:rFonts w:ascii="Times New Roman" w:hAnsi="Times New Roman" w:cs="Times New Roman"/>
          <w:i/>
          <w:iCs/>
          <w:sz w:val="24"/>
          <w:szCs w:val="24"/>
        </w:rPr>
        <w:t>et al.,</w:t>
      </w:r>
      <w:r w:rsidRPr="00826F36">
        <w:rPr>
          <w:rFonts w:ascii="Times New Roman" w:eastAsia="Times New Roman" w:hAnsi="Times New Roman" w:cs="Times New Roman"/>
          <w:kern w:val="0"/>
          <w:sz w:val="24"/>
          <w:szCs w:val="24"/>
          <w14:ligatures w14:val="none"/>
        </w:rPr>
        <w:t xml:space="preserve"> 202</w:t>
      </w:r>
      <w:r w:rsidR="0059541F">
        <w:rPr>
          <w:rFonts w:ascii="Times New Roman" w:eastAsia="Times New Roman" w:hAnsi="Times New Roman" w:cs="Times New Roman"/>
          <w:kern w:val="0"/>
          <w:sz w:val="24"/>
          <w:szCs w:val="24"/>
          <w14:ligatures w14:val="none"/>
        </w:rPr>
        <w:t>5</w:t>
      </w:r>
      <w:r w:rsidRPr="00826F36">
        <w:rPr>
          <w:rFonts w:ascii="Times New Roman" w:eastAsia="Times New Roman" w:hAnsi="Times New Roman" w:cs="Times New Roman"/>
          <w:kern w:val="0"/>
          <w:sz w:val="24"/>
          <w:szCs w:val="24"/>
          <w14:ligatures w14:val="none"/>
        </w:rPr>
        <w:t>). The findings reaffirm that the adoption of region-specific integrated management practices can significantly contribute to the sustainable intensification of jute production in Bangladesh.</w:t>
      </w:r>
    </w:p>
    <w:p w14:paraId="14F1A7EE" w14:textId="77777777" w:rsidR="00826F36" w:rsidRDefault="00826F36" w:rsidP="00B16DDE">
      <w:pPr>
        <w:jc w:val="both"/>
        <w:rPr>
          <w:rFonts w:ascii="Times New Roman" w:hAnsi="Times New Roman"/>
          <w:sz w:val="20"/>
          <w:szCs w:val="20"/>
        </w:rPr>
      </w:pPr>
    </w:p>
    <w:p w14:paraId="5C9B29C1" w14:textId="77777777" w:rsidR="003B6C76" w:rsidRPr="009D3FA3" w:rsidRDefault="003B6C76" w:rsidP="003B6C76">
      <w:pPr>
        <w:jc w:val="both"/>
        <w:rPr>
          <w:rFonts w:ascii="Times New Roman" w:hAnsi="Times New Roman"/>
          <w:sz w:val="24"/>
          <w:szCs w:val="24"/>
        </w:rPr>
      </w:pPr>
      <w:r w:rsidRPr="009D3FA3">
        <w:rPr>
          <w:rFonts w:ascii="Times New Roman" w:hAnsi="Times New Roman"/>
          <w:sz w:val="24"/>
          <w:szCs w:val="24"/>
        </w:rPr>
        <w:t>Table 2. Yield and yield contributing characteristics of BJRI Tossa Pat 8 in Jashore</w:t>
      </w:r>
    </w:p>
    <w:tbl>
      <w:tblPr>
        <w:tblStyle w:val="TableGrid"/>
        <w:tblpPr w:leftFromText="180" w:rightFromText="180" w:vertAnchor="text" w:horzAnchor="margin" w:tblpY="-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0"/>
        <w:gridCol w:w="1461"/>
        <w:gridCol w:w="1236"/>
        <w:gridCol w:w="1461"/>
        <w:gridCol w:w="1461"/>
        <w:gridCol w:w="1149"/>
      </w:tblGrid>
      <w:tr w:rsidR="003B6C76" w:rsidRPr="001E7C78" w14:paraId="5D06FD52" w14:textId="77777777" w:rsidTr="00E77D49">
        <w:trPr>
          <w:trHeight w:val="555"/>
        </w:trPr>
        <w:tc>
          <w:tcPr>
            <w:tcW w:w="1910" w:type="dxa"/>
            <w:tcBorders>
              <w:top w:val="single" w:sz="4" w:space="0" w:color="auto"/>
              <w:right w:val="single" w:sz="4" w:space="0" w:color="auto"/>
            </w:tcBorders>
          </w:tcPr>
          <w:p w14:paraId="479DC6C0" w14:textId="77777777" w:rsidR="003B6C76" w:rsidRPr="001E7C78" w:rsidRDefault="003B6C76" w:rsidP="00E77D49">
            <w:pPr>
              <w:pStyle w:val="PlainText"/>
              <w:jc w:val="center"/>
              <w:rPr>
                <w:rFonts w:ascii="Times New Roman" w:hAnsi="Times New Roman" w:cs="Times New Roman"/>
                <w:sz w:val="24"/>
                <w:szCs w:val="24"/>
              </w:rPr>
            </w:pPr>
            <w:r w:rsidRPr="001E7C78">
              <w:rPr>
                <w:rFonts w:ascii="Times New Roman" w:hAnsi="Times New Roman" w:cs="Times New Roman"/>
                <w:sz w:val="24"/>
                <w:szCs w:val="24"/>
              </w:rPr>
              <w:t>Treatments</w:t>
            </w:r>
          </w:p>
        </w:tc>
        <w:tc>
          <w:tcPr>
            <w:tcW w:w="1461" w:type="dxa"/>
            <w:tcBorders>
              <w:top w:val="single" w:sz="4" w:space="0" w:color="auto"/>
              <w:left w:val="single" w:sz="4" w:space="0" w:color="auto"/>
            </w:tcBorders>
          </w:tcPr>
          <w:p w14:paraId="0ADE9456"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PP</w:t>
            </w:r>
          </w:p>
          <w:p w14:paraId="17ED5FE4"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(m</w:t>
            </w:r>
            <w:r w:rsidRPr="001E7C78">
              <w:rPr>
                <w:rFonts w:ascii="Times New Roman" w:hAnsi="Times New Roman" w:cs="Times New Roman"/>
                <w:sz w:val="24"/>
                <w:szCs w:val="24"/>
                <w:vertAlign w:val="superscript"/>
              </w:rPr>
              <w:t>-2</w:t>
            </w:r>
            <w:r w:rsidRPr="001E7C78">
              <w:rPr>
                <w:rFonts w:ascii="Times New Roman" w:hAnsi="Times New Roman" w:cs="Times New Roman"/>
                <w:sz w:val="24"/>
                <w:szCs w:val="24"/>
              </w:rPr>
              <w:t>)</w:t>
            </w:r>
          </w:p>
        </w:tc>
        <w:tc>
          <w:tcPr>
            <w:tcW w:w="1236" w:type="dxa"/>
            <w:tcBorders>
              <w:top w:val="single" w:sz="4" w:space="0" w:color="auto"/>
            </w:tcBorders>
          </w:tcPr>
          <w:p w14:paraId="08846D99" w14:textId="77777777" w:rsidR="003B6C76"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 xml:space="preserve">PH </w:t>
            </w:r>
          </w:p>
          <w:p w14:paraId="5B6D29CC"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(m)</w:t>
            </w:r>
          </w:p>
        </w:tc>
        <w:tc>
          <w:tcPr>
            <w:tcW w:w="1461" w:type="dxa"/>
            <w:tcBorders>
              <w:top w:val="single" w:sz="4" w:space="0" w:color="auto"/>
            </w:tcBorders>
          </w:tcPr>
          <w:p w14:paraId="05E95F30" w14:textId="77777777" w:rsidR="003B6C76" w:rsidRDefault="003B6C76" w:rsidP="00E77D4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BD</w:t>
            </w:r>
          </w:p>
          <w:p w14:paraId="64F57360"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 xml:space="preserve"> (mm)</w:t>
            </w:r>
          </w:p>
        </w:tc>
        <w:tc>
          <w:tcPr>
            <w:tcW w:w="1461" w:type="dxa"/>
            <w:tcBorders>
              <w:top w:val="single" w:sz="4" w:space="0" w:color="auto"/>
            </w:tcBorders>
          </w:tcPr>
          <w:p w14:paraId="375819E5" w14:textId="77777777" w:rsidR="003B6C76" w:rsidRDefault="003B6C76" w:rsidP="00E77D4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FY </w:t>
            </w:r>
          </w:p>
          <w:p w14:paraId="49E62EDF"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c>
          <w:tcPr>
            <w:tcW w:w="1149" w:type="dxa"/>
            <w:tcBorders>
              <w:top w:val="single" w:sz="4" w:space="0" w:color="auto"/>
            </w:tcBorders>
          </w:tcPr>
          <w:p w14:paraId="1EA10232" w14:textId="77777777" w:rsidR="003B6C76" w:rsidRDefault="003B6C76" w:rsidP="00E77D4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1E7C78">
              <w:rPr>
                <w:rFonts w:ascii="Times New Roman" w:hAnsi="Times New Roman" w:cs="Times New Roman"/>
                <w:sz w:val="24"/>
                <w:szCs w:val="24"/>
              </w:rPr>
              <w:t xml:space="preserve">SY </w:t>
            </w:r>
          </w:p>
          <w:p w14:paraId="21DE0232" w14:textId="77777777" w:rsidR="003B6C76" w:rsidRPr="001E7C78" w:rsidRDefault="003B6C76" w:rsidP="00E77D49">
            <w:pPr>
              <w:pStyle w:val="PlainText"/>
              <w:rPr>
                <w:rFonts w:ascii="Times New Roman" w:hAnsi="Times New Roman" w:cs="Times New Roman"/>
                <w:sz w:val="24"/>
                <w:szCs w:val="24"/>
              </w:rPr>
            </w:pPr>
            <w:r w:rsidRPr="001E7C78">
              <w:rPr>
                <w:rFonts w:ascii="Times New Roman" w:hAnsi="Times New Roman" w:cs="Times New Roman"/>
                <w:sz w:val="24"/>
                <w:szCs w:val="24"/>
              </w:rPr>
              <w:t>(tha</w:t>
            </w:r>
            <w:r w:rsidRPr="001E7C78">
              <w:rPr>
                <w:rFonts w:ascii="Times New Roman" w:hAnsi="Times New Roman" w:cs="Times New Roman"/>
                <w:sz w:val="24"/>
                <w:szCs w:val="24"/>
                <w:vertAlign w:val="superscript"/>
              </w:rPr>
              <w:t>-1</w:t>
            </w:r>
            <w:r w:rsidRPr="001E7C78">
              <w:rPr>
                <w:rFonts w:ascii="Times New Roman" w:hAnsi="Times New Roman" w:cs="Times New Roman"/>
                <w:sz w:val="24"/>
                <w:szCs w:val="24"/>
              </w:rPr>
              <w:t>)</w:t>
            </w:r>
          </w:p>
        </w:tc>
      </w:tr>
      <w:tr w:rsidR="003B6C76" w:rsidRPr="001E7C78" w14:paraId="70BFD760" w14:textId="77777777" w:rsidTr="00E77D49">
        <w:trPr>
          <w:trHeight w:val="277"/>
        </w:trPr>
        <w:tc>
          <w:tcPr>
            <w:tcW w:w="1910" w:type="dxa"/>
            <w:tcBorders>
              <w:top w:val="single" w:sz="4" w:space="0" w:color="auto"/>
              <w:right w:val="single" w:sz="4" w:space="0" w:color="auto"/>
            </w:tcBorders>
          </w:tcPr>
          <w:p w14:paraId="703125BA"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1</w:t>
            </w:r>
          </w:p>
        </w:tc>
        <w:tc>
          <w:tcPr>
            <w:tcW w:w="1461" w:type="dxa"/>
            <w:tcBorders>
              <w:top w:val="single" w:sz="4" w:space="0" w:color="auto"/>
              <w:left w:val="single" w:sz="4" w:space="0" w:color="auto"/>
            </w:tcBorders>
          </w:tcPr>
          <w:p w14:paraId="288142D6"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1950f</w:t>
            </w:r>
          </w:p>
        </w:tc>
        <w:tc>
          <w:tcPr>
            <w:tcW w:w="1236" w:type="dxa"/>
            <w:tcBorders>
              <w:top w:val="single" w:sz="4" w:space="0" w:color="auto"/>
            </w:tcBorders>
          </w:tcPr>
          <w:p w14:paraId="01EDE5BC"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3.56a</w:t>
            </w:r>
          </w:p>
        </w:tc>
        <w:tc>
          <w:tcPr>
            <w:tcW w:w="1461" w:type="dxa"/>
            <w:tcBorders>
              <w:top w:val="single" w:sz="4" w:space="0" w:color="auto"/>
            </w:tcBorders>
          </w:tcPr>
          <w:p w14:paraId="1E93168B"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20.50a</w:t>
            </w:r>
          </w:p>
        </w:tc>
        <w:tc>
          <w:tcPr>
            <w:tcW w:w="1461" w:type="dxa"/>
            <w:tcBorders>
              <w:top w:val="single" w:sz="4" w:space="0" w:color="auto"/>
            </w:tcBorders>
          </w:tcPr>
          <w:p w14:paraId="0BD4A3A6"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2.60e</w:t>
            </w:r>
          </w:p>
        </w:tc>
        <w:tc>
          <w:tcPr>
            <w:tcW w:w="1149" w:type="dxa"/>
            <w:tcBorders>
              <w:top w:val="single" w:sz="4" w:space="0" w:color="auto"/>
            </w:tcBorders>
          </w:tcPr>
          <w:p w14:paraId="7796D6EA"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4.95c</w:t>
            </w:r>
          </w:p>
        </w:tc>
      </w:tr>
      <w:tr w:rsidR="003B6C76" w:rsidRPr="001E7C78" w14:paraId="49B0BA6F" w14:textId="77777777" w:rsidTr="00E77D49">
        <w:trPr>
          <w:trHeight w:val="277"/>
        </w:trPr>
        <w:tc>
          <w:tcPr>
            <w:tcW w:w="1910" w:type="dxa"/>
            <w:tcBorders>
              <w:right w:val="single" w:sz="4" w:space="0" w:color="auto"/>
            </w:tcBorders>
          </w:tcPr>
          <w:p w14:paraId="0AB66E32"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2</w:t>
            </w:r>
          </w:p>
        </w:tc>
        <w:tc>
          <w:tcPr>
            <w:tcW w:w="1461" w:type="dxa"/>
            <w:tcBorders>
              <w:left w:val="single" w:sz="4" w:space="0" w:color="auto"/>
            </w:tcBorders>
          </w:tcPr>
          <w:p w14:paraId="13AE326F"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24.00e</w:t>
            </w:r>
          </w:p>
        </w:tc>
        <w:tc>
          <w:tcPr>
            <w:tcW w:w="1236" w:type="dxa"/>
          </w:tcPr>
          <w:p w14:paraId="1CD17DA1"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3.36b</w:t>
            </w:r>
          </w:p>
        </w:tc>
        <w:tc>
          <w:tcPr>
            <w:tcW w:w="1461" w:type="dxa"/>
          </w:tcPr>
          <w:p w14:paraId="2BCD50E6"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17.80b</w:t>
            </w:r>
          </w:p>
        </w:tc>
        <w:tc>
          <w:tcPr>
            <w:tcW w:w="1461" w:type="dxa"/>
          </w:tcPr>
          <w:p w14:paraId="7EA53F00"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2.90d</w:t>
            </w:r>
          </w:p>
        </w:tc>
        <w:tc>
          <w:tcPr>
            <w:tcW w:w="1149" w:type="dxa"/>
          </w:tcPr>
          <w:p w14:paraId="246ECCBA"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5.35c</w:t>
            </w:r>
          </w:p>
        </w:tc>
      </w:tr>
      <w:tr w:rsidR="003B6C76" w:rsidRPr="001E7C78" w14:paraId="6EC1E9B3" w14:textId="77777777" w:rsidTr="00E77D49">
        <w:trPr>
          <w:trHeight w:val="277"/>
        </w:trPr>
        <w:tc>
          <w:tcPr>
            <w:tcW w:w="1910" w:type="dxa"/>
            <w:tcBorders>
              <w:right w:val="single" w:sz="4" w:space="0" w:color="auto"/>
            </w:tcBorders>
          </w:tcPr>
          <w:p w14:paraId="1BED1D60"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sidRPr="001E7C78">
              <w:rPr>
                <w:rFonts w:ascii="Times New Roman" w:hAnsi="Times New Roman" w:cs="Times New Roman"/>
                <w:sz w:val="24"/>
                <w:szCs w:val="24"/>
                <w:vertAlign w:val="subscript"/>
              </w:rPr>
              <w:t>3</w:t>
            </w:r>
          </w:p>
        </w:tc>
        <w:tc>
          <w:tcPr>
            <w:tcW w:w="1461" w:type="dxa"/>
            <w:tcBorders>
              <w:left w:val="single" w:sz="4" w:space="0" w:color="auto"/>
            </w:tcBorders>
          </w:tcPr>
          <w:p w14:paraId="728CB8AC"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28.20d</w:t>
            </w:r>
          </w:p>
        </w:tc>
        <w:tc>
          <w:tcPr>
            <w:tcW w:w="1236" w:type="dxa"/>
          </w:tcPr>
          <w:p w14:paraId="1B95A5A8"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3.28c</w:t>
            </w:r>
          </w:p>
        </w:tc>
        <w:tc>
          <w:tcPr>
            <w:tcW w:w="1461" w:type="dxa"/>
          </w:tcPr>
          <w:p w14:paraId="5700EB95"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16.40c</w:t>
            </w:r>
          </w:p>
        </w:tc>
        <w:tc>
          <w:tcPr>
            <w:tcW w:w="1461" w:type="dxa"/>
          </w:tcPr>
          <w:p w14:paraId="595A8CE4"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3.15c</w:t>
            </w:r>
          </w:p>
        </w:tc>
        <w:tc>
          <w:tcPr>
            <w:tcW w:w="1149" w:type="dxa"/>
          </w:tcPr>
          <w:p w14:paraId="01DBF7E6"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6.10b</w:t>
            </w:r>
          </w:p>
        </w:tc>
      </w:tr>
      <w:tr w:rsidR="003B6C76" w:rsidRPr="001E7C78" w14:paraId="4276D9A6" w14:textId="77777777" w:rsidTr="00E77D49">
        <w:trPr>
          <w:trHeight w:val="277"/>
        </w:trPr>
        <w:tc>
          <w:tcPr>
            <w:tcW w:w="1910" w:type="dxa"/>
            <w:tcBorders>
              <w:right w:val="single" w:sz="4" w:space="0" w:color="auto"/>
            </w:tcBorders>
          </w:tcPr>
          <w:p w14:paraId="202F6C3F"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4</w:t>
            </w:r>
          </w:p>
        </w:tc>
        <w:tc>
          <w:tcPr>
            <w:tcW w:w="1461" w:type="dxa"/>
            <w:tcBorders>
              <w:left w:val="single" w:sz="4" w:space="0" w:color="auto"/>
            </w:tcBorders>
          </w:tcPr>
          <w:p w14:paraId="56586CCD"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32.10c</w:t>
            </w:r>
          </w:p>
        </w:tc>
        <w:tc>
          <w:tcPr>
            <w:tcW w:w="1236" w:type="dxa"/>
          </w:tcPr>
          <w:p w14:paraId="1952CBFE"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3.46b</w:t>
            </w:r>
          </w:p>
        </w:tc>
        <w:tc>
          <w:tcPr>
            <w:tcW w:w="1461" w:type="dxa"/>
          </w:tcPr>
          <w:p w14:paraId="186888BF"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16.50c</w:t>
            </w:r>
          </w:p>
        </w:tc>
        <w:tc>
          <w:tcPr>
            <w:tcW w:w="1461" w:type="dxa"/>
          </w:tcPr>
          <w:p w14:paraId="7D52C713"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3.60a</w:t>
            </w:r>
          </w:p>
        </w:tc>
        <w:tc>
          <w:tcPr>
            <w:tcW w:w="1149" w:type="dxa"/>
          </w:tcPr>
          <w:p w14:paraId="6BAC0CE0"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6.72a</w:t>
            </w:r>
          </w:p>
        </w:tc>
      </w:tr>
      <w:tr w:rsidR="003B6C76" w:rsidRPr="001E7C78" w14:paraId="7BCD6927" w14:textId="77777777" w:rsidTr="00E77D49">
        <w:trPr>
          <w:trHeight w:val="277"/>
        </w:trPr>
        <w:tc>
          <w:tcPr>
            <w:tcW w:w="1910" w:type="dxa"/>
            <w:tcBorders>
              <w:right w:val="single" w:sz="4" w:space="0" w:color="auto"/>
            </w:tcBorders>
          </w:tcPr>
          <w:p w14:paraId="64887AE9"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5</w:t>
            </w:r>
          </w:p>
        </w:tc>
        <w:tc>
          <w:tcPr>
            <w:tcW w:w="1461" w:type="dxa"/>
            <w:tcBorders>
              <w:left w:val="single" w:sz="4" w:space="0" w:color="auto"/>
            </w:tcBorders>
          </w:tcPr>
          <w:p w14:paraId="62E03308"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37.00b</w:t>
            </w:r>
          </w:p>
        </w:tc>
        <w:tc>
          <w:tcPr>
            <w:tcW w:w="1236" w:type="dxa"/>
          </w:tcPr>
          <w:p w14:paraId="4E129372"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3.15d</w:t>
            </w:r>
          </w:p>
        </w:tc>
        <w:tc>
          <w:tcPr>
            <w:tcW w:w="1461" w:type="dxa"/>
          </w:tcPr>
          <w:p w14:paraId="39AF5894"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15.20d</w:t>
            </w:r>
          </w:p>
        </w:tc>
        <w:tc>
          <w:tcPr>
            <w:tcW w:w="1461" w:type="dxa"/>
          </w:tcPr>
          <w:p w14:paraId="16E5E947"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3.38b</w:t>
            </w:r>
          </w:p>
        </w:tc>
        <w:tc>
          <w:tcPr>
            <w:tcW w:w="1149" w:type="dxa"/>
          </w:tcPr>
          <w:p w14:paraId="0D331586"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6.30ab</w:t>
            </w:r>
          </w:p>
        </w:tc>
      </w:tr>
      <w:tr w:rsidR="003B6C76" w:rsidRPr="001E7C78" w14:paraId="78A24BFA" w14:textId="77777777" w:rsidTr="00E77D49">
        <w:trPr>
          <w:trHeight w:val="277"/>
        </w:trPr>
        <w:tc>
          <w:tcPr>
            <w:tcW w:w="1910" w:type="dxa"/>
            <w:tcBorders>
              <w:bottom w:val="single" w:sz="4" w:space="0" w:color="auto"/>
              <w:right w:val="single" w:sz="4" w:space="0" w:color="auto"/>
            </w:tcBorders>
          </w:tcPr>
          <w:p w14:paraId="1247F535" w14:textId="77777777" w:rsidR="003B6C76" w:rsidRPr="001E7C78" w:rsidRDefault="003B6C76" w:rsidP="00E77D49">
            <w:pPr>
              <w:pStyle w:val="PlainText"/>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6</w:t>
            </w:r>
          </w:p>
        </w:tc>
        <w:tc>
          <w:tcPr>
            <w:tcW w:w="1461" w:type="dxa"/>
            <w:tcBorders>
              <w:left w:val="single" w:sz="4" w:space="0" w:color="auto"/>
              <w:bottom w:val="single" w:sz="4" w:space="0" w:color="auto"/>
            </w:tcBorders>
          </w:tcPr>
          <w:p w14:paraId="6D96A56D"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43.00a</w:t>
            </w:r>
          </w:p>
        </w:tc>
        <w:tc>
          <w:tcPr>
            <w:tcW w:w="1236" w:type="dxa"/>
            <w:tcBorders>
              <w:bottom w:val="single" w:sz="4" w:space="0" w:color="auto"/>
            </w:tcBorders>
          </w:tcPr>
          <w:p w14:paraId="4755491F"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3.10e</w:t>
            </w:r>
          </w:p>
        </w:tc>
        <w:tc>
          <w:tcPr>
            <w:tcW w:w="1461" w:type="dxa"/>
            <w:tcBorders>
              <w:bottom w:val="single" w:sz="4" w:space="0" w:color="auto"/>
            </w:tcBorders>
          </w:tcPr>
          <w:p w14:paraId="2DE31449"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14.90d</w:t>
            </w:r>
          </w:p>
        </w:tc>
        <w:tc>
          <w:tcPr>
            <w:tcW w:w="1461" w:type="dxa"/>
            <w:tcBorders>
              <w:bottom w:val="single" w:sz="4" w:space="0" w:color="auto"/>
            </w:tcBorders>
          </w:tcPr>
          <w:p w14:paraId="7B8E0F2E"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3.45b</w:t>
            </w:r>
          </w:p>
        </w:tc>
        <w:tc>
          <w:tcPr>
            <w:tcW w:w="1149" w:type="dxa"/>
            <w:tcBorders>
              <w:bottom w:val="single" w:sz="4" w:space="0" w:color="auto"/>
            </w:tcBorders>
          </w:tcPr>
          <w:p w14:paraId="13E94FAD" w14:textId="77777777" w:rsidR="003B6C76" w:rsidRPr="009D3FA3" w:rsidRDefault="003B6C76" w:rsidP="00E77D49">
            <w:pPr>
              <w:pStyle w:val="PlainText"/>
              <w:rPr>
                <w:rFonts w:ascii="Times New Roman" w:hAnsi="Times New Roman" w:cs="Times New Roman"/>
                <w:sz w:val="24"/>
                <w:szCs w:val="24"/>
              </w:rPr>
            </w:pPr>
            <w:r w:rsidRPr="009D3FA3">
              <w:rPr>
                <w:rFonts w:ascii="Times New Roman" w:hAnsi="Times New Roman" w:cs="Times New Roman"/>
                <w:sz w:val="24"/>
                <w:szCs w:val="24"/>
              </w:rPr>
              <w:t>6.40ab</w:t>
            </w:r>
          </w:p>
        </w:tc>
      </w:tr>
      <w:tr w:rsidR="003B6C76" w:rsidRPr="001E7C78" w14:paraId="16100E29" w14:textId="77777777" w:rsidTr="00E77D49">
        <w:trPr>
          <w:trHeight w:val="275"/>
        </w:trPr>
        <w:tc>
          <w:tcPr>
            <w:tcW w:w="1910" w:type="dxa"/>
            <w:tcBorders>
              <w:top w:val="single" w:sz="4" w:space="0" w:color="auto"/>
              <w:bottom w:val="single" w:sz="4" w:space="0" w:color="auto"/>
              <w:right w:val="single" w:sz="4" w:space="0" w:color="auto"/>
            </w:tcBorders>
          </w:tcPr>
          <w:p w14:paraId="0549B581" w14:textId="77777777" w:rsidR="003B6C76" w:rsidRPr="001E7C78" w:rsidRDefault="003B6C76" w:rsidP="00E77D49">
            <w:pPr>
              <w:pStyle w:val="PlainText"/>
              <w:jc w:val="center"/>
              <w:rPr>
                <w:rFonts w:ascii="Times New Roman" w:hAnsi="Times New Roman" w:cs="Times New Roman"/>
                <w:b/>
                <w:bCs/>
                <w:sz w:val="24"/>
                <w:szCs w:val="24"/>
              </w:rPr>
            </w:pPr>
            <w:r w:rsidRPr="001E7C78">
              <w:rPr>
                <w:rFonts w:ascii="Times New Roman" w:hAnsi="Times New Roman" w:cs="Times New Roman"/>
                <w:b/>
                <w:bCs/>
                <w:sz w:val="24"/>
                <w:szCs w:val="24"/>
              </w:rPr>
              <w:t>LSD (0.05%)</w:t>
            </w:r>
          </w:p>
        </w:tc>
        <w:tc>
          <w:tcPr>
            <w:tcW w:w="1461" w:type="dxa"/>
            <w:tcBorders>
              <w:top w:val="single" w:sz="4" w:space="0" w:color="auto"/>
              <w:left w:val="single" w:sz="4" w:space="0" w:color="auto"/>
              <w:bottom w:val="single" w:sz="4" w:space="0" w:color="auto"/>
            </w:tcBorders>
          </w:tcPr>
          <w:p w14:paraId="77C4B6C1"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2.50</w:t>
            </w:r>
          </w:p>
        </w:tc>
        <w:tc>
          <w:tcPr>
            <w:tcW w:w="1236" w:type="dxa"/>
            <w:tcBorders>
              <w:top w:val="single" w:sz="4" w:space="0" w:color="auto"/>
              <w:bottom w:val="single" w:sz="4" w:space="0" w:color="auto"/>
            </w:tcBorders>
          </w:tcPr>
          <w:p w14:paraId="50A40059"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0.09</w:t>
            </w:r>
          </w:p>
        </w:tc>
        <w:tc>
          <w:tcPr>
            <w:tcW w:w="1461" w:type="dxa"/>
            <w:tcBorders>
              <w:top w:val="single" w:sz="4" w:space="0" w:color="auto"/>
              <w:bottom w:val="single" w:sz="4" w:space="0" w:color="auto"/>
            </w:tcBorders>
          </w:tcPr>
          <w:p w14:paraId="3EAE4873"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0.90</w:t>
            </w:r>
          </w:p>
        </w:tc>
        <w:tc>
          <w:tcPr>
            <w:tcW w:w="1461" w:type="dxa"/>
            <w:tcBorders>
              <w:top w:val="single" w:sz="4" w:space="0" w:color="auto"/>
              <w:bottom w:val="single" w:sz="4" w:space="0" w:color="auto"/>
            </w:tcBorders>
          </w:tcPr>
          <w:p w14:paraId="3F1E2FC1"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0.13</w:t>
            </w:r>
          </w:p>
        </w:tc>
        <w:tc>
          <w:tcPr>
            <w:tcW w:w="1149" w:type="dxa"/>
            <w:tcBorders>
              <w:top w:val="single" w:sz="4" w:space="0" w:color="auto"/>
              <w:bottom w:val="single" w:sz="4" w:space="0" w:color="auto"/>
            </w:tcBorders>
          </w:tcPr>
          <w:p w14:paraId="041AE000"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0.55</w:t>
            </w:r>
          </w:p>
        </w:tc>
      </w:tr>
      <w:tr w:rsidR="003B6C76" w:rsidRPr="001E7C78" w14:paraId="0D8765E6" w14:textId="77777777" w:rsidTr="00E77D49">
        <w:trPr>
          <w:trHeight w:val="277"/>
        </w:trPr>
        <w:tc>
          <w:tcPr>
            <w:tcW w:w="1910" w:type="dxa"/>
            <w:tcBorders>
              <w:top w:val="single" w:sz="4" w:space="0" w:color="auto"/>
              <w:bottom w:val="single" w:sz="4" w:space="0" w:color="auto"/>
              <w:right w:val="single" w:sz="4" w:space="0" w:color="auto"/>
            </w:tcBorders>
          </w:tcPr>
          <w:p w14:paraId="00FBEA2E" w14:textId="77777777" w:rsidR="003B6C76" w:rsidRPr="001E7C78" w:rsidRDefault="003B6C76" w:rsidP="00E77D49">
            <w:pPr>
              <w:pStyle w:val="PlainText"/>
              <w:jc w:val="center"/>
              <w:rPr>
                <w:rFonts w:ascii="Times New Roman" w:hAnsi="Times New Roman" w:cs="Times New Roman"/>
                <w:b/>
                <w:bCs/>
                <w:sz w:val="24"/>
                <w:szCs w:val="24"/>
              </w:rPr>
            </w:pPr>
            <w:r w:rsidRPr="001E7C78">
              <w:rPr>
                <w:rFonts w:ascii="Times New Roman" w:hAnsi="Times New Roman" w:cs="Times New Roman"/>
                <w:b/>
                <w:bCs/>
                <w:sz w:val="24"/>
                <w:szCs w:val="24"/>
              </w:rPr>
              <w:t>% CV</w:t>
            </w:r>
          </w:p>
        </w:tc>
        <w:tc>
          <w:tcPr>
            <w:tcW w:w="1461" w:type="dxa"/>
            <w:tcBorders>
              <w:top w:val="single" w:sz="4" w:space="0" w:color="auto"/>
              <w:left w:val="single" w:sz="4" w:space="0" w:color="auto"/>
              <w:bottom w:val="single" w:sz="4" w:space="0" w:color="auto"/>
            </w:tcBorders>
          </w:tcPr>
          <w:p w14:paraId="5B538B6D"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4.60</w:t>
            </w:r>
          </w:p>
        </w:tc>
        <w:tc>
          <w:tcPr>
            <w:tcW w:w="1236" w:type="dxa"/>
            <w:tcBorders>
              <w:top w:val="single" w:sz="4" w:space="0" w:color="auto"/>
              <w:bottom w:val="single" w:sz="4" w:space="0" w:color="auto"/>
            </w:tcBorders>
          </w:tcPr>
          <w:p w14:paraId="2F18AE97"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1.28</w:t>
            </w:r>
          </w:p>
        </w:tc>
        <w:tc>
          <w:tcPr>
            <w:tcW w:w="1461" w:type="dxa"/>
            <w:tcBorders>
              <w:top w:val="single" w:sz="4" w:space="0" w:color="auto"/>
              <w:bottom w:val="single" w:sz="4" w:space="0" w:color="auto"/>
            </w:tcBorders>
          </w:tcPr>
          <w:p w14:paraId="60EE9B90"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2.90</w:t>
            </w:r>
          </w:p>
        </w:tc>
        <w:tc>
          <w:tcPr>
            <w:tcW w:w="1461" w:type="dxa"/>
            <w:tcBorders>
              <w:top w:val="single" w:sz="4" w:space="0" w:color="auto"/>
              <w:bottom w:val="single" w:sz="4" w:space="0" w:color="auto"/>
            </w:tcBorders>
          </w:tcPr>
          <w:p w14:paraId="3CD2D2CE"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2.15</w:t>
            </w:r>
          </w:p>
        </w:tc>
        <w:tc>
          <w:tcPr>
            <w:tcW w:w="1149" w:type="dxa"/>
            <w:tcBorders>
              <w:top w:val="single" w:sz="4" w:space="0" w:color="auto"/>
              <w:bottom w:val="single" w:sz="4" w:space="0" w:color="auto"/>
            </w:tcBorders>
          </w:tcPr>
          <w:p w14:paraId="7EEE0D76" w14:textId="77777777" w:rsidR="003B6C76" w:rsidRPr="009D3FA3" w:rsidRDefault="003B6C76" w:rsidP="00E77D49">
            <w:pPr>
              <w:pStyle w:val="PlainText"/>
              <w:rPr>
                <w:rFonts w:ascii="Times New Roman" w:hAnsi="Times New Roman" w:cs="Times New Roman"/>
                <w:b/>
                <w:bCs/>
                <w:sz w:val="24"/>
                <w:szCs w:val="24"/>
              </w:rPr>
            </w:pPr>
            <w:r w:rsidRPr="009D3FA3">
              <w:rPr>
                <w:rFonts w:ascii="Times New Roman" w:hAnsi="Times New Roman" w:cs="Times New Roman"/>
                <w:sz w:val="24"/>
                <w:szCs w:val="24"/>
              </w:rPr>
              <w:t>2.30</w:t>
            </w:r>
          </w:p>
        </w:tc>
      </w:tr>
    </w:tbl>
    <w:p w14:paraId="1E5CF01D" w14:textId="77777777" w:rsidR="003B6C76" w:rsidRDefault="003B6C76" w:rsidP="003B6C76">
      <w:pPr>
        <w:jc w:val="both"/>
        <w:rPr>
          <w:rFonts w:ascii="Times New Roman" w:hAnsi="Times New Roman"/>
          <w:sz w:val="20"/>
          <w:szCs w:val="20"/>
        </w:rPr>
      </w:pPr>
    </w:p>
    <w:p w14:paraId="6E744DEB" w14:textId="77777777" w:rsidR="003B6C76" w:rsidRDefault="003B6C76" w:rsidP="003B6C76">
      <w:pPr>
        <w:jc w:val="both"/>
        <w:rPr>
          <w:rFonts w:ascii="Times New Roman" w:hAnsi="Times New Roman"/>
          <w:sz w:val="20"/>
          <w:szCs w:val="20"/>
        </w:rPr>
      </w:pPr>
    </w:p>
    <w:p w14:paraId="7EDE11D9" w14:textId="77777777" w:rsidR="003B6C76" w:rsidRDefault="003B6C76" w:rsidP="003B6C76">
      <w:pPr>
        <w:jc w:val="both"/>
        <w:rPr>
          <w:rFonts w:ascii="Times New Roman" w:hAnsi="Times New Roman"/>
          <w:sz w:val="20"/>
          <w:szCs w:val="20"/>
        </w:rPr>
      </w:pPr>
    </w:p>
    <w:p w14:paraId="285FBE2D" w14:textId="77777777" w:rsidR="003B6C76" w:rsidRDefault="003B6C76" w:rsidP="003B6C76">
      <w:pPr>
        <w:jc w:val="both"/>
        <w:rPr>
          <w:rFonts w:ascii="Times New Roman" w:hAnsi="Times New Roman"/>
          <w:sz w:val="20"/>
          <w:szCs w:val="20"/>
        </w:rPr>
      </w:pPr>
    </w:p>
    <w:p w14:paraId="7C0F8010" w14:textId="77777777" w:rsidR="003B6C76" w:rsidRDefault="003B6C76" w:rsidP="003B6C76">
      <w:pPr>
        <w:jc w:val="both"/>
        <w:rPr>
          <w:rFonts w:ascii="Times New Roman" w:hAnsi="Times New Roman"/>
          <w:sz w:val="20"/>
          <w:szCs w:val="20"/>
        </w:rPr>
      </w:pPr>
    </w:p>
    <w:p w14:paraId="79B0DD18" w14:textId="77777777" w:rsidR="003B6C76" w:rsidRDefault="003B6C76" w:rsidP="003B6C76">
      <w:pPr>
        <w:jc w:val="both"/>
        <w:rPr>
          <w:rFonts w:ascii="Times New Roman" w:hAnsi="Times New Roman"/>
          <w:sz w:val="20"/>
          <w:szCs w:val="20"/>
        </w:rPr>
      </w:pPr>
    </w:p>
    <w:p w14:paraId="111EE885" w14:textId="77777777" w:rsidR="003B6C76" w:rsidRDefault="003B6C76" w:rsidP="003B6C76">
      <w:pPr>
        <w:jc w:val="both"/>
        <w:rPr>
          <w:rFonts w:ascii="Times New Roman" w:hAnsi="Times New Roman"/>
          <w:sz w:val="20"/>
          <w:szCs w:val="20"/>
        </w:rPr>
      </w:pPr>
    </w:p>
    <w:p w14:paraId="69CAE119" w14:textId="77777777" w:rsidR="003B6C76" w:rsidRDefault="003B6C76" w:rsidP="003B6C76">
      <w:pPr>
        <w:jc w:val="both"/>
        <w:rPr>
          <w:rFonts w:ascii="Times New Roman" w:hAnsi="Times New Roman" w:cs="Times New Roman"/>
        </w:rPr>
      </w:pPr>
      <w:r w:rsidRPr="00BB738B">
        <w:rPr>
          <w:rFonts w:ascii="Times New Roman" w:hAnsi="Times New Roman" w:cs="Times New Roman"/>
        </w:rPr>
        <w:t>Values with different letters are significantly different at P&lt;0.05</w:t>
      </w:r>
    </w:p>
    <w:p w14:paraId="272A716C" w14:textId="77777777" w:rsidR="003B6C76" w:rsidRDefault="003B6C76" w:rsidP="003B6C76">
      <w:pPr>
        <w:jc w:val="both"/>
        <w:rPr>
          <w:rFonts w:ascii="Times New Roman" w:hAnsi="Times New Roman"/>
          <w:sz w:val="20"/>
          <w:szCs w:val="20"/>
        </w:rPr>
      </w:pPr>
      <w:r w:rsidRPr="00193B48">
        <w:rPr>
          <w:rFonts w:ascii="Times New Roman" w:hAnsi="Times New Roman" w:cs="Times New Roman"/>
          <w:b/>
          <w:bCs/>
          <w:sz w:val="20"/>
          <w:szCs w:val="20"/>
        </w:rPr>
        <w:t xml:space="preserve">Legends: </w:t>
      </w:r>
      <w:r w:rsidRPr="00193B48">
        <w:rPr>
          <w:rFonts w:ascii="Times New Roman" w:hAnsi="Times New Roman"/>
          <w:sz w:val="20"/>
          <w:szCs w:val="20"/>
        </w:rPr>
        <w:t>T</w:t>
      </w:r>
      <w:r w:rsidRPr="00193B48">
        <w:rPr>
          <w:rFonts w:ascii="Times New Roman" w:hAnsi="Times New Roman"/>
          <w:sz w:val="20"/>
          <w:szCs w:val="20"/>
          <w:vertAlign w:val="subscript"/>
        </w:rPr>
        <w:t xml:space="preserve">1 </w:t>
      </w:r>
      <w:r w:rsidRPr="00193B48">
        <w:rPr>
          <w:rFonts w:ascii="Times New Roman" w:hAnsi="Times New Roman"/>
          <w:sz w:val="20"/>
          <w:szCs w:val="20"/>
        </w:rPr>
        <w:t>= 3.0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+ 3.00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Hand Weeding at 25 DAS, T</w:t>
      </w:r>
      <w:r w:rsidRPr="00193B48">
        <w:rPr>
          <w:rFonts w:ascii="Times New Roman" w:hAnsi="Times New Roman"/>
          <w:sz w:val="20"/>
          <w:szCs w:val="20"/>
          <w:vertAlign w:val="subscript"/>
        </w:rPr>
        <w:t xml:space="preserve">2 </w:t>
      </w:r>
      <w:r w:rsidRPr="00193B48">
        <w:rPr>
          <w:rFonts w:ascii="Times New Roman" w:hAnsi="Times New Roman"/>
          <w:sz w:val="20"/>
          <w:szCs w:val="20"/>
        </w:rPr>
        <w:t>= 3.5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Pretilachlor 50 EC and One Hand Weeding at 25 DAS, T</w:t>
      </w:r>
      <w:r w:rsidRPr="00193B48">
        <w:rPr>
          <w:rFonts w:ascii="Times New Roman" w:hAnsi="Times New Roman"/>
          <w:sz w:val="20"/>
          <w:szCs w:val="20"/>
          <w:vertAlign w:val="subscript"/>
        </w:rPr>
        <w:t xml:space="preserve">3 </w:t>
      </w:r>
      <w:r w:rsidRPr="00193B48">
        <w:rPr>
          <w:rFonts w:ascii="Times New Roman" w:hAnsi="Times New Roman"/>
          <w:sz w:val="20"/>
          <w:szCs w:val="20"/>
        </w:rPr>
        <w:t>= 4.0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+ 2.00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T</w:t>
      </w:r>
      <w:r w:rsidRPr="00193B48">
        <w:rPr>
          <w:rFonts w:ascii="Times New Roman" w:hAnsi="Times New Roman"/>
          <w:sz w:val="20"/>
          <w:szCs w:val="20"/>
          <w:vertAlign w:val="subscript"/>
        </w:rPr>
        <w:t xml:space="preserve">4 </w:t>
      </w:r>
      <w:r w:rsidRPr="00193B48">
        <w:rPr>
          <w:rFonts w:ascii="Times New Roman" w:hAnsi="Times New Roman"/>
          <w:sz w:val="20"/>
          <w:szCs w:val="20"/>
        </w:rPr>
        <w:t>= 4.5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Pendimethilin 33% EC + One Hand Weeding at 25 DAS, T</w:t>
      </w:r>
      <w:r w:rsidRPr="00193B48">
        <w:rPr>
          <w:rFonts w:ascii="Times New Roman" w:hAnsi="Times New Roman"/>
          <w:sz w:val="20"/>
          <w:szCs w:val="20"/>
          <w:vertAlign w:val="subscript"/>
        </w:rPr>
        <w:t xml:space="preserve">5 </w:t>
      </w:r>
      <w:r w:rsidRPr="00193B48">
        <w:rPr>
          <w:rFonts w:ascii="Times New Roman" w:hAnsi="Times New Roman"/>
          <w:sz w:val="20"/>
          <w:szCs w:val="20"/>
        </w:rPr>
        <w:t>= 5.0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+ 1.00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filling materials + One Hand Weeding at 25 DAS and T</w:t>
      </w:r>
      <w:r w:rsidRPr="00193B48">
        <w:rPr>
          <w:rFonts w:ascii="Times New Roman" w:hAnsi="Times New Roman"/>
          <w:sz w:val="20"/>
          <w:szCs w:val="20"/>
          <w:vertAlign w:val="subscript"/>
        </w:rPr>
        <w:t xml:space="preserve">6 </w:t>
      </w:r>
      <w:r w:rsidRPr="00193B48">
        <w:rPr>
          <w:rFonts w:ascii="Times New Roman" w:hAnsi="Times New Roman"/>
          <w:sz w:val="20"/>
          <w:szCs w:val="20"/>
        </w:rPr>
        <w:t>= 5.5 kg ha</w:t>
      </w:r>
      <w:r w:rsidRPr="00193B48">
        <w:rPr>
          <w:rFonts w:ascii="Times New Roman" w:hAnsi="Times New Roman"/>
          <w:sz w:val="20"/>
          <w:szCs w:val="20"/>
          <w:vertAlign w:val="superscript"/>
        </w:rPr>
        <w:t>-1</w:t>
      </w:r>
      <w:r w:rsidRPr="00193B48">
        <w:rPr>
          <w:rFonts w:ascii="Times New Roman" w:hAnsi="Times New Roman"/>
          <w:sz w:val="20"/>
          <w:szCs w:val="20"/>
        </w:rPr>
        <w:t xml:space="preserve"> live seed + One Hand Weeding at 25 DAS BJRI tossa pat-8 will be used as variety</w:t>
      </w:r>
    </w:p>
    <w:p w14:paraId="3BFF4326" w14:textId="77777777" w:rsidR="003B6C76" w:rsidRDefault="003B6C76" w:rsidP="00B16DDE">
      <w:pPr>
        <w:spacing w:after="0" w:line="240" w:lineRule="auto"/>
        <w:jc w:val="both"/>
        <w:rPr>
          <w:rFonts w:ascii="Times New Roman" w:hAnsi="Times New Roman"/>
          <w:b/>
          <w:bCs/>
          <w:sz w:val="24"/>
          <w:szCs w:val="24"/>
        </w:rPr>
      </w:pPr>
    </w:p>
    <w:p w14:paraId="32F71385" w14:textId="270D4032" w:rsidR="00B16DDE" w:rsidRDefault="009A07D4" w:rsidP="00F17F99">
      <w:pPr>
        <w:spacing w:after="0"/>
        <w:jc w:val="both"/>
        <w:rPr>
          <w:rFonts w:ascii="Times New Roman" w:hAnsi="Times New Roman"/>
          <w:b/>
          <w:bCs/>
          <w:sz w:val="24"/>
          <w:szCs w:val="24"/>
        </w:rPr>
      </w:pPr>
      <w:r>
        <w:rPr>
          <w:rFonts w:ascii="Times New Roman" w:hAnsi="Times New Roman"/>
          <w:b/>
          <w:bCs/>
          <w:sz w:val="24"/>
          <w:szCs w:val="24"/>
        </w:rPr>
        <w:t xml:space="preserve">4. </w:t>
      </w:r>
      <w:r w:rsidR="00B16DDE" w:rsidRPr="00976E12">
        <w:rPr>
          <w:rFonts w:ascii="Times New Roman" w:hAnsi="Times New Roman"/>
          <w:b/>
          <w:bCs/>
          <w:sz w:val="24"/>
          <w:szCs w:val="24"/>
        </w:rPr>
        <w:t>Conclusion</w:t>
      </w:r>
    </w:p>
    <w:p w14:paraId="5ED48584" w14:textId="4CB56866" w:rsidR="006A156A" w:rsidRDefault="00741DE2" w:rsidP="006A156A">
      <w:pPr>
        <w:spacing w:after="0" w:line="240" w:lineRule="auto"/>
        <w:ind w:right="-29"/>
        <w:jc w:val="both"/>
        <w:rPr>
          <w:rFonts w:ascii="Times New Roman" w:hAnsi="Times New Roman"/>
          <w:b/>
          <w:bCs/>
          <w:sz w:val="24"/>
          <w:szCs w:val="24"/>
        </w:rPr>
      </w:pPr>
      <w:r w:rsidRPr="00741DE2">
        <w:rPr>
          <w:rFonts w:ascii="Times New Roman" w:hAnsi="Times New Roman" w:cs="Times New Roman"/>
          <w:color w:val="000000" w:themeColor="text1"/>
          <w:sz w:val="24"/>
          <w:szCs w:val="24"/>
        </w:rPr>
        <w:t xml:space="preserve">The findings of this study demonstrate that optimizing seed rate and integrating herbicidal weed management can significantly improve jute yield and quality. Among the six treatment combinations, the moderate seeding rate of 4.5 kg ha⁻¹ live seed with 1.5 kg ha⁻¹ filler material, supplemented with Pendimethalin 33% EC and one hand weeding at 25 DAS, consistently produced the highest fibre and stick yields across both Kishoreganj and Jashore regions. This </w:t>
      </w:r>
      <w:r w:rsidRPr="00741DE2">
        <w:rPr>
          <w:rFonts w:ascii="Times New Roman" w:hAnsi="Times New Roman" w:cs="Times New Roman"/>
          <w:color w:val="000000" w:themeColor="text1"/>
          <w:sz w:val="24"/>
          <w:szCs w:val="24"/>
        </w:rPr>
        <w:lastRenderedPageBreak/>
        <w:t>combination provided balanced plant density, efficient weed suppression, and improved resource utilization. Hence, this integrated approach offers a practical and sustainable strategy for enhancing fibre productivity and reducing labour dependency in Tossa jute cultivation across diverse agro-climatic zones of Bangladesh.</w:t>
      </w:r>
    </w:p>
    <w:p w14:paraId="24DBE6EC" w14:textId="77777777" w:rsidR="00741DE2" w:rsidRDefault="00741DE2" w:rsidP="006A156A">
      <w:pPr>
        <w:spacing w:after="0" w:line="240" w:lineRule="auto"/>
        <w:ind w:right="-29"/>
        <w:jc w:val="both"/>
        <w:rPr>
          <w:rFonts w:ascii="Times New Roman" w:hAnsi="Times New Roman"/>
          <w:b/>
          <w:bCs/>
          <w:sz w:val="24"/>
          <w:szCs w:val="24"/>
        </w:rPr>
      </w:pPr>
    </w:p>
    <w:p w14:paraId="13E9F7BB" w14:textId="3356D2A6" w:rsidR="006A156A" w:rsidRPr="006A156A" w:rsidRDefault="006A156A" w:rsidP="006A156A">
      <w:pPr>
        <w:spacing w:after="0" w:line="240" w:lineRule="auto"/>
        <w:ind w:right="-29"/>
        <w:jc w:val="both"/>
        <w:rPr>
          <w:rFonts w:ascii="Times New Roman" w:hAnsi="Times New Roman"/>
          <w:b/>
          <w:bCs/>
          <w:sz w:val="24"/>
          <w:szCs w:val="24"/>
        </w:rPr>
      </w:pPr>
      <w:r w:rsidRPr="006A156A">
        <w:rPr>
          <w:rFonts w:ascii="Times New Roman" w:hAnsi="Times New Roman"/>
          <w:b/>
          <w:bCs/>
          <w:sz w:val="24"/>
          <w:szCs w:val="24"/>
        </w:rPr>
        <w:t>5. Declarations</w:t>
      </w:r>
    </w:p>
    <w:p w14:paraId="11D17802" w14:textId="77777777" w:rsidR="006A156A" w:rsidRPr="006A156A" w:rsidRDefault="006A156A" w:rsidP="00F17F99">
      <w:pPr>
        <w:spacing w:after="0"/>
        <w:jc w:val="both"/>
        <w:rPr>
          <w:rFonts w:ascii="Times New Roman" w:hAnsi="Times New Roman"/>
          <w:b/>
          <w:bCs/>
          <w:sz w:val="24"/>
          <w:szCs w:val="24"/>
        </w:rPr>
      </w:pPr>
      <w:r w:rsidRPr="006A156A">
        <w:rPr>
          <w:rFonts w:ascii="Times New Roman" w:hAnsi="Times New Roman"/>
          <w:b/>
          <w:bCs/>
          <w:sz w:val="24"/>
          <w:szCs w:val="24"/>
        </w:rPr>
        <w:t>Data availability statement</w:t>
      </w:r>
    </w:p>
    <w:p w14:paraId="2BF5AB9C" w14:textId="77777777" w:rsidR="006A156A" w:rsidRPr="006A156A" w:rsidRDefault="006A156A" w:rsidP="00F17F99">
      <w:pPr>
        <w:spacing w:after="0"/>
        <w:jc w:val="both"/>
        <w:rPr>
          <w:rFonts w:ascii="Times New Roman" w:hAnsi="Times New Roman"/>
          <w:sz w:val="24"/>
          <w:szCs w:val="24"/>
        </w:rPr>
      </w:pPr>
      <w:r w:rsidRPr="006A156A">
        <w:rPr>
          <w:rFonts w:ascii="Times New Roman" w:hAnsi="Times New Roman"/>
          <w:sz w:val="24"/>
          <w:szCs w:val="24"/>
        </w:rPr>
        <w:t>The data supporting this study will be made available upon reasonable request.</w:t>
      </w:r>
    </w:p>
    <w:p w14:paraId="0AC55312" w14:textId="77777777" w:rsidR="006A156A" w:rsidRPr="006A156A" w:rsidRDefault="006A156A" w:rsidP="00F17F99">
      <w:pPr>
        <w:spacing w:after="0"/>
        <w:jc w:val="both"/>
        <w:rPr>
          <w:rFonts w:ascii="Times New Roman" w:hAnsi="Times New Roman"/>
          <w:b/>
          <w:bCs/>
          <w:sz w:val="24"/>
          <w:szCs w:val="24"/>
        </w:rPr>
      </w:pPr>
      <w:r w:rsidRPr="006A156A">
        <w:rPr>
          <w:rFonts w:ascii="Times New Roman" w:hAnsi="Times New Roman"/>
          <w:b/>
          <w:bCs/>
          <w:sz w:val="24"/>
          <w:szCs w:val="24"/>
        </w:rPr>
        <w:t>Declaration of Interest statement</w:t>
      </w:r>
    </w:p>
    <w:p w14:paraId="4F109362" w14:textId="77777777" w:rsidR="006A156A" w:rsidRPr="006A156A" w:rsidRDefault="006A156A" w:rsidP="00F17F99">
      <w:pPr>
        <w:spacing w:after="0"/>
        <w:jc w:val="both"/>
        <w:rPr>
          <w:rFonts w:ascii="Times New Roman" w:hAnsi="Times New Roman"/>
          <w:sz w:val="24"/>
          <w:szCs w:val="24"/>
        </w:rPr>
      </w:pPr>
      <w:r w:rsidRPr="006A156A">
        <w:rPr>
          <w:rFonts w:ascii="Times New Roman" w:hAnsi="Times New Roman"/>
          <w:sz w:val="24"/>
          <w:szCs w:val="24"/>
        </w:rPr>
        <w:t>The authors declare that there are no conflicts of interest regarding the publication of this paper.</w:t>
      </w:r>
    </w:p>
    <w:p w14:paraId="49F2F922" w14:textId="77777777" w:rsidR="006A156A" w:rsidRPr="006A156A" w:rsidRDefault="006A156A" w:rsidP="00F17F99">
      <w:pPr>
        <w:spacing w:after="0"/>
        <w:jc w:val="both"/>
        <w:rPr>
          <w:rFonts w:ascii="Times New Roman" w:hAnsi="Times New Roman"/>
          <w:b/>
          <w:bCs/>
          <w:sz w:val="24"/>
          <w:szCs w:val="24"/>
        </w:rPr>
      </w:pPr>
      <w:r w:rsidRPr="006A156A">
        <w:rPr>
          <w:rFonts w:ascii="Times New Roman" w:hAnsi="Times New Roman"/>
          <w:b/>
          <w:bCs/>
          <w:sz w:val="24"/>
          <w:szCs w:val="24"/>
        </w:rPr>
        <w:t>Additional information</w:t>
      </w:r>
    </w:p>
    <w:p w14:paraId="094C61B9" w14:textId="77777777" w:rsidR="006A156A" w:rsidRPr="006A156A" w:rsidRDefault="006A156A" w:rsidP="00F17F99">
      <w:pPr>
        <w:spacing w:after="0"/>
        <w:jc w:val="both"/>
        <w:rPr>
          <w:rFonts w:ascii="Times New Roman" w:hAnsi="Times New Roman"/>
          <w:sz w:val="24"/>
          <w:szCs w:val="24"/>
        </w:rPr>
      </w:pPr>
      <w:r w:rsidRPr="006A156A">
        <w:rPr>
          <w:rFonts w:ascii="Times New Roman" w:hAnsi="Times New Roman"/>
          <w:sz w:val="24"/>
          <w:szCs w:val="24"/>
        </w:rPr>
        <w:t>No additional information is available for this paper.</w:t>
      </w:r>
    </w:p>
    <w:p w14:paraId="524DBDEA" w14:textId="77777777" w:rsidR="006A156A" w:rsidRPr="006A156A" w:rsidRDefault="006A156A" w:rsidP="00F17F99">
      <w:pPr>
        <w:spacing w:after="0"/>
        <w:ind w:right="-29"/>
        <w:jc w:val="both"/>
        <w:rPr>
          <w:rFonts w:ascii="Times New Roman" w:hAnsi="Times New Roman"/>
          <w:b/>
          <w:bCs/>
          <w:sz w:val="24"/>
          <w:szCs w:val="24"/>
        </w:rPr>
      </w:pPr>
      <w:bookmarkStart w:id="0" w:name="_Hlk197682619"/>
      <w:bookmarkStart w:id="1" w:name="_Hlk180402183"/>
      <w:bookmarkStart w:id="2" w:name="_Hlk183680988"/>
      <w:r w:rsidRPr="006A156A">
        <w:rPr>
          <w:rFonts w:ascii="Times New Roman" w:hAnsi="Times New Roman"/>
          <w:b/>
          <w:bCs/>
          <w:sz w:val="24"/>
          <w:szCs w:val="24"/>
        </w:rPr>
        <w:t>Disclaimer (Artificial intelligence)</w:t>
      </w:r>
    </w:p>
    <w:p w14:paraId="0B7B8D55" w14:textId="30F8F21E" w:rsidR="006A156A" w:rsidRDefault="006A156A" w:rsidP="00F17F99">
      <w:pPr>
        <w:spacing w:after="0"/>
        <w:ind w:right="-29"/>
        <w:jc w:val="both"/>
        <w:rPr>
          <w:rFonts w:ascii="Times New Roman" w:hAnsi="Times New Roman"/>
          <w:sz w:val="24"/>
          <w:szCs w:val="24"/>
        </w:rPr>
      </w:pPr>
      <w:r w:rsidRPr="006A156A">
        <w:rPr>
          <w:rFonts w:ascii="Times New Roman" w:hAnsi="Times New Roman"/>
          <w:sz w:val="24"/>
          <w:szCs w:val="24"/>
        </w:rPr>
        <w:t xml:space="preserve">The author (s) hereby declare that NO generative AI technologies such as Large Language Models (ChatGPT, COPILOT, etc.) and text-to-image generators have been used during the writing or editing of this manuscript. </w:t>
      </w:r>
    </w:p>
    <w:p w14:paraId="3CD92A01" w14:textId="6D5737D1" w:rsidR="005F1588" w:rsidRPr="0059541F" w:rsidRDefault="005F1588" w:rsidP="0059541F">
      <w:pPr>
        <w:spacing w:after="0"/>
        <w:rPr>
          <w:rFonts w:ascii="Times New Roman" w:hAnsi="Times New Roman" w:cs="Times New Roman"/>
          <w:b/>
          <w:bCs/>
          <w:sz w:val="24"/>
          <w:szCs w:val="24"/>
        </w:rPr>
      </w:pPr>
      <w:bookmarkStart w:id="3" w:name="_Hlk190852809"/>
      <w:r w:rsidRPr="0059541F">
        <w:rPr>
          <w:rFonts w:ascii="Times New Roman" w:hAnsi="Times New Roman" w:cs="Times New Roman"/>
          <w:b/>
          <w:bCs/>
          <w:sz w:val="24"/>
          <w:szCs w:val="24"/>
        </w:rPr>
        <w:t>Artificial intelligence</w:t>
      </w:r>
    </w:p>
    <w:p w14:paraId="4E6B49E3" w14:textId="1C534D43" w:rsidR="005F1588" w:rsidRPr="0059541F" w:rsidRDefault="0059541F" w:rsidP="0059541F">
      <w:pPr>
        <w:spacing w:after="0"/>
        <w:rPr>
          <w:rFonts w:ascii="Times New Roman" w:hAnsi="Times New Roman" w:cs="Times New Roman"/>
          <w:sz w:val="24"/>
          <w:szCs w:val="24"/>
        </w:rPr>
      </w:pPr>
      <w:r>
        <w:rPr>
          <w:rFonts w:ascii="Times New Roman" w:hAnsi="Times New Roman" w:cs="Times New Roman"/>
          <w:sz w:val="24"/>
          <w:szCs w:val="24"/>
        </w:rPr>
        <w:t xml:space="preserve">The author </w:t>
      </w:r>
      <w:r w:rsidR="005F1588" w:rsidRPr="0059541F">
        <w:rPr>
          <w:rFonts w:ascii="Times New Roman" w:hAnsi="Times New Roman" w:cs="Times New Roman"/>
          <w:sz w:val="24"/>
          <w:szCs w:val="24"/>
        </w:rPr>
        <w:t xml:space="preserve">(s) hereby declare that NO generative AI technologies such as Large Language Models (ChatGPT, COPILOT, etc.) and text-to-image generators have been used during the writing or editing of this manuscript. </w:t>
      </w:r>
    </w:p>
    <w:bookmarkEnd w:id="3"/>
    <w:p w14:paraId="733A907A" w14:textId="77777777" w:rsidR="005F1588" w:rsidRDefault="005F1588" w:rsidP="00F17F99">
      <w:pPr>
        <w:spacing w:after="0"/>
        <w:ind w:right="-29"/>
        <w:jc w:val="both"/>
        <w:rPr>
          <w:rFonts w:ascii="Times New Roman" w:hAnsi="Times New Roman"/>
          <w:sz w:val="24"/>
          <w:szCs w:val="24"/>
        </w:rPr>
      </w:pPr>
    </w:p>
    <w:bookmarkEnd w:id="0"/>
    <w:bookmarkEnd w:id="1"/>
    <w:bookmarkEnd w:id="2"/>
    <w:p w14:paraId="18719359" w14:textId="6F8D71B0" w:rsidR="0091319E" w:rsidRDefault="0091319E" w:rsidP="00B16DDE">
      <w:pPr>
        <w:spacing w:after="0" w:line="240" w:lineRule="auto"/>
        <w:ind w:right="-29"/>
        <w:jc w:val="both"/>
        <w:rPr>
          <w:rFonts w:ascii="Times New Roman" w:hAnsi="Times New Roman"/>
          <w:sz w:val="24"/>
          <w:szCs w:val="24"/>
        </w:rPr>
      </w:pPr>
    </w:p>
    <w:p w14:paraId="2A0CCF60" w14:textId="5DB5DD8D" w:rsidR="00C86E29" w:rsidRDefault="00FE0053" w:rsidP="00310E2A">
      <w:pPr>
        <w:rPr>
          <w:rFonts w:ascii="Times New Roman" w:hAnsi="Times New Roman" w:cs="Times New Roman"/>
          <w:b/>
          <w:bCs/>
          <w:sz w:val="24"/>
          <w:szCs w:val="24"/>
        </w:rPr>
      </w:pPr>
      <w:r>
        <w:rPr>
          <w:rFonts w:ascii="Times New Roman" w:hAnsi="Times New Roman" w:cs="Times New Roman"/>
          <w:b/>
          <w:bCs/>
          <w:sz w:val="24"/>
          <w:szCs w:val="24"/>
        </w:rPr>
        <w:t>6</w:t>
      </w:r>
      <w:r w:rsidR="009A07D4">
        <w:rPr>
          <w:rFonts w:ascii="Times New Roman" w:hAnsi="Times New Roman" w:cs="Times New Roman"/>
          <w:b/>
          <w:bCs/>
          <w:sz w:val="24"/>
          <w:szCs w:val="24"/>
        </w:rPr>
        <w:t xml:space="preserve">. </w:t>
      </w:r>
      <w:r w:rsidR="00A46D71" w:rsidRPr="00A46D71">
        <w:rPr>
          <w:rFonts w:ascii="Times New Roman" w:hAnsi="Times New Roman" w:cs="Times New Roman"/>
          <w:b/>
          <w:bCs/>
          <w:sz w:val="24"/>
          <w:szCs w:val="24"/>
        </w:rPr>
        <w:t>References</w:t>
      </w:r>
    </w:p>
    <w:p w14:paraId="4714AD04" w14:textId="52C09EC2"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Abbas, T., Zahir, Z. A., Naveed, M.,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Kremer, R. J. (2018). Limitations of existing weed control practices necessitate development of alternative techniques based on biological approaches. </w:t>
      </w:r>
      <w:r w:rsidRPr="00A46D71">
        <w:rPr>
          <w:rFonts w:ascii="Times New Roman" w:hAnsi="Times New Roman" w:cs="Times New Roman"/>
          <w:i/>
          <w:iCs/>
          <w:sz w:val="24"/>
          <w:szCs w:val="24"/>
        </w:rPr>
        <w:t>Advances in Agronomy, 147</w:t>
      </w:r>
      <w:r w:rsidRPr="00A46D71">
        <w:rPr>
          <w:rFonts w:ascii="Times New Roman" w:hAnsi="Times New Roman" w:cs="Times New Roman"/>
          <w:sz w:val="24"/>
          <w:szCs w:val="24"/>
        </w:rPr>
        <w:t xml:space="preserve">, 239–280. </w:t>
      </w:r>
      <w:hyperlink r:id="rId7" w:tgtFrame="_new" w:history="1">
        <w:r w:rsidRPr="00A46D71">
          <w:rPr>
            <w:rStyle w:val="Hyperlink"/>
            <w:rFonts w:ascii="Times New Roman" w:hAnsi="Times New Roman" w:cs="Times New Roman"/>
            <w:sz w:val="24"/>
            <w:szCs w:val="24"/>
          </w:rPr>
          <w:t>https://doi.org/10.1016/bs.agron.2017.10.005</w:t>
        </w:r>
      </w:hyperlink>
    </w:p>
    <w:p w14:paraId="7F3E3B6E" w14:textId="45545289"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Akter, S., Sadekin, M. N.,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Islam, N. (2020). Jute and jute products of Bangladesh: Contributions and challenges. </w:t>
      </w:r>
      <w:r w:rsidRPr="00A46D71">
        <w:rPr>
          <w:rFonts w:ascii="Times New Roman" w:hAnsi="Times New Roman" w:cs="Times New Roman"/>
          <w:i/>
          <w:iCs/>
          <w:sz w:val="24"/>
          <w:szCs w:val="24"/>
        </w:rPr>
        <w:t>Asian Business Review, 10</w:t>
      </w:r>
      <w:r w:rsidRPr="00A46D71">
        <w:rPr>
          <w:rFonts w:ascii="Times New Roman" w:hAnsi="Times New Roman" w:cs="Times New Roman"/>
          <w:sz w:val="24"/>
          <w:szCs w:val="24"/>
        </w:rPr>
        <w:t xml:space="preserve">(3), 143–152. </w:t>
      </w:r>
      <w:hyperlink r:id="rId8" w:tgtFrame="_new" w:history="1">
        <w:r w:rsidRPr="00A46D71">
          <w:rPr>
            <w:rStyle w:val="Hyperlink"/>
            <w:rFonts w:ascii="Times New Roman" w:hAnsi="Times New Roman" w:cs="Times New Roman"/>
            <w:sz w:val="24"/>
            <w:szCs w:val="24"/>
          </w:rPr>
          <w:t>https://doi.org/10.18034/abr.v10i3.480</w:t>
        </w:r>
      </w:hyperlink>
    </w:p>
    <w:p w14:paraId="117AE805"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Anonymous. (2022). </w:t>
      </w:r>
      <w:r w:rsidRPr="00A46D71">
        <w:rPr>
          <w:rFonts w:ascii="Times New Roman" w:hAnsi="Times New Roman" w:cs="Times New Roman"/>
          <w:i/>
          <w:iCs/>
          <w:sz w:val="24"/>
          <w:szCs w:val="24"/>
        </w:rPr>
        <w:t>Yearbook of Agricultural Statistics of Bangladesh.</w:t>
      </w:r>
      <w:r w:rsidRPr="00A46D71">
        <w:rPr>
          <w:rFonts w:ascii="Times New Roman" w:hAnsi="Times New Roman" w:cs="Times New Roman"/>
          <w:sz w:val="24"/>
          <w:szCs w:val="24"/>
        </w:rPr>
        <w:t xml:space="preserve"> Bangladesh Bureau of Statistics, Ministry of Planning, Government of the People’s Republic of Bangladesh, Dhaka, Bangladesh. </w:t>
      </w:r>
      <w:hyperlink r:id="rId9" w:tgtFrame="_new" w:history="1">
        <w:r w:rsidRPr="00A46D71">
          <w:rPr>
            <w:rStyle w:val="Hyperlink"/>
            <w:rFonts w:ascii="Times New Roman" w:hAnsi="Times New Roman" w:cs="Times New Roman"/>
            <w:sz w:val="24"/>
            <w:szCs w:val="24"/>
          </w:rPr>
          <w:t>https://bbs.gov.bd/site/page/453af260-6aea-4331-b4a5-7b66fe63ba61/Agriculture</w:t>
        </w:r>
      </w:hyperlink>
    </w:p>
    <w:p w14:paraId="3323C170" w14:textId="499F4360"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Bhuiyan, M. K. A., Mahbub, M. M.,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Baki, M. Z. I. (2018). Sensitivity of annual weeds against metolachlor + bensulfuron-methyl herbicide in transplanted rice. </w:t>
      </w:r>
      <w:r w:rsidRPr="00A46D71">
        <w:rPr>
          <w:rFonts w:ascii="Times New Roman" w:hAnsi="Times New Roman" w:cs="Times New Roman"/>
          <w:i/>
          <w:iCs/>
          <w:sz w:val="24"/>
          <w:szCs w:val="24"/>
        </w:rPr>
        <w:t>Bangladesh Agronomy Journal, 21</w:t>
      </w:r>
      <w:r w:rsidRPr="00A46D71">
        <w:rPr>
          <w:rFonts w:ascii="Times New Roman" w:hAnsi="Times New Roman" w:cs="Times New Roman"/>
          <w:sz w:val="24"/>
          <w:szCs w:val="24"/>
        </w:rPr>
        <w:t xml:space="preserve">(1), 61–70. </w:t>
      </w:r>
      <w:hyperlink r:id="rId10" w:tgtFrame="_new" w:history="1">
        <w:r w:rsidRPr="00A46D71">
          <w:rPr>
            <w:rStyle w:val="Hyperlink"/>
            <w:rFonts w:ascii="Times New Roman" w:hAnsi="Times New Roman" w:cs="Times New Roman"/>
            <w:sz w:val="24"/>
            <w:szCs w:val="24"/>
          </w:rPr>
          <w:t>https://doi.org/10.3329/baj.v21i1.39361</w:t>
        </w:r>
      </w:hyperlink>
    </w:p>
    <w:p w14:paraId="7DC0B34F" w14:textId="60B0CB8B"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lastRenderedPageBreak/>
        <w:t xml:space="preserve">Chakraborty, A., Biswas, S., Banerjee, R., Maji, S.,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Bandopadhyay, P. (2020). Spinoffs in mechano-chemical approach of weed-management practices in tossa jute (</w:t>
      </w:r>
      <w:r w:rsidRPr="00A46D71">
        <w:rPr>
          <w:rFonts w:ascii="Times New Roman" w:hAnsi="Times New Roman" w:cs="Times New Roman"/>
          <w:i/>
          <w:iCs/>
          <w:sz w:val="24"/>
          <w:szCs w:val="24"/>
        </w:rPr>
        <w:t>Corchorus olitorius</w:t>
      </w:r>
      <w:r w:rsidRPr="00A46D71">
        <w:rPr>
          <w:rFonts w:ascii="Times New Roman" w:hAnsi="Times New Roman" w:cs="Times New Roman"/>
          <w:sz w:val="24"/>
          <w:szCs w:val="24"/>
        </w:rPr>
        <w:t xml:space="preserve">). </w:t>
      </w:r>
      <w:r w:rsidRPr="00A46D71">
        <w:rPr>
          <w:rFonts w:ascii="Times New Roman" w:hAnsi="Times New Roman" w:cs="Times New Roman"/>
          <w:i/>
          <w:iCs/>
          <w:sz w:val="24"/>
          <w:szCs w:val="24"/>
        </w:rPr>
        <w:t>Current Applied Science and Technology, 39</w:t>
      </w:r>
      <w:r w:rsidRPr="00A46D71">
        <w:rPr>
          <w:rFonts w:ascii="Times New Roman" w:hAnsi="Times New Roman" w:cs="Times New Roman"/>
          <w:sz w:val="24"/>
          <w:szCs w:val="24"/>
        </w:rPr>
        <w:t>, 62–72. https://doi.org/10.9734/cjast/2020/v39i430531</w:t>
      </w:r>
    </w:p>
    <w:p w14:paraId="64ABE4CB" w14:textId="5FFA1E52" w:rsidR="00A46D71" w:rsidRDefault="00A46D71" w:rsidP="00A46D71">
      <w:pPr>
        <w:spacing w:after="0" w:line="360" w:lineRule="auto"/>
        <w:ind w:left="720" w:hanging="720"/>
      </w:pPr>
      <w:r w:rsidRPr="00A46D71">
        <w:rPr>
          <w:rFonts w:ascii="Times New Roman" w:hAnsi="Times New Roman" w:cs="Times New Roman"/>
          <w:sz w:val="24"/>
          <w:szCs w:val="24"/>
        </w:rPr>
        <w:t xml:space="preserve">Charles, G. W., Sindel, B. M., Cowie, A. L.,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Knox, G. G. (2019). Determining the critical period for weed control in high-yielding cotton using common sunflower as a mimic weed. </w:t>
      </w:r>
      <w:r w:rsidRPr="00A46D71">
        <w:rPr>
          <w:rFonts w:ascii="Times New Roman" w:hAnsi="Times New Roman" w:cs="Times New Roman"/>
          <w:i/>
          <w:iCs/>
          <w:sz w:val="24"/>
          <w:szCs w:val="24"/>
        </w:rPr>
        <w:t>Weed Technology, 33</w:t>
      </w:r>
      <w:r w:rsidRPr="00A46D71">
        <w:rPr>
          <w:rFonts w:ascii="Times New Roman" w:hAnsi="Times New Roman" w:cs="Times New Roman"/>
          <w:sz w:val="24"/>
          <w:szCs w:val="24"/>
        </w:rPr>
        <w:t xml:space="preserve">, 800–807. </w:t>
      </w:r>
      <w:hyperlink r:id="rId11" w:tgtFrame="_new" w:history="1">
        <w:r w:rsidRPr="00A46D71">
          <w:rPr>
            <w:rStyle w:val="Hyperlink"/>
            <w:rFonts w:ascii="Times New Roman" w:hAnsi="Times New Roman" w:cs="Times New Roman"/>
            <w:sz w:val="24"/>
            <w:szCs w:val="24"/>
          </w:rPr>
          <w:t>https://doi.org/10.1017/wet.2019.68</w:t>
        </w:r>
      </w:hyperlink>
    </w:p>
    <w:p w14:paraId="69DF9FAE" w14:textId="5BB888CE" w:rsidR="003D17F6" w:rsidRPr="00A46D71" w:rsidRDefault="003D17F6" w:rsidP="00A46D71">
      <w:pPr>
        <w:spacing w:after="0" w:line="360" w:lineRule="auto"/>
        <w:ind w:left="720" w:hanging="720"/>
        <w:rPr>
          <w:rFonts w:ascii="Times New Roman" w:hAnsi="Times New Roman" w:cs="Times New Roman"/>
          <w:sz w:val="24"/>
          <w:szCs w:val="24"/>
        </w:rPr>
      </w:pPr>
      <w:r w:rsidRPr="003D17F6">
        <w:rPr>
          <w:rFonts w:ascii="Times New Roman" w:hAnsi="Times New Roman" w:cs="Times New Roman"/>
          <w:sz w:val="24"/>
          <w:szCs w:val="24"/>
        </w:rPr>
        <w:t>Dutta, S., &amp; Kheroar, S. (2020). Effect of integrated weed management on weeds, yield, and economics of tossa jute (</w:t>
      </w:r>
      <w:r w:rsidRPr="003D17F6">
        <w:rPr>
          <w:rFonts w:ascii="Times New Roman" w:hAnsi="Times New Roman" w:cs="Times New Roman"/>
          <w:i/>
          <w:iCs/>
          <w:sz w:val="24"/>
          <w:szCs w:val="24"/>
        </w:rPr>
        <w:t>Corchorus olitorius</w:t>
      </w:r>
      <w:r w:rsidRPr="003D17F6">
        <w:rPr>
          <w:rFonts w:ascii="Times New Roman" w:hAnsi="Times New Roman" w:cs="Times New Roman"/>
          <w:sz w:val="24"/>
          <w:szCs w:val="24"/>
        </w:rPr>
        <w:t xml:space="preserve">) production. </w:t>
      </w:r>
      <w:r w:rsidRPr="003D17F6">
        <w:rPr>
          <w:rFonts w:ascii="Times New Roman" w:hAnsi="Times New Roman" w:cs="Times New Roman"/>
          <w:i/>
          <w:iCs/>
          <w:sz w:val="24"/>
          <w:szCs w:val="24"/>
        </w:rPr>
        <w:t>Indian Journal of Agronomy, 65</w:t>
      </w:r>
      <w:r w:rsidRPr="003D17F6">
        <w:rPr>
          <w:rFonts w:ascii="Times New Roman" w:hAnsi="Times New Roman" w:cs="Times New Roman"/>
          <w:sz w:val="24"/>
          <w:szCs w:val="24"/>
        </w:rPr>
        <w:t xml:space="preserve">(4), 46–51. </w:t>
      </w:r>
      <w:hyperlink r:id="rId12" w:tgtFrame="_new" w:history="1">
        <w:r w:rsidRPr="003D17F6">
          <w:rPr>
            <w:rStyle w:val="Hyperlink"/>
            <w:rFonts w:ascii="Times New Roman" w:hAnsi="Times New Roman" w:cs="Times New Roman"/>
            <w:sz w:val="24"/>
            <w:szCs w:val="24"/>
          </w:rPr>
          <w:t>https://doi.org/10.59797/ija.v65i4.2996</w:t>
        </w:r>
      </w:hyperlink>
    </w:p>
    <w:p w14:paraId="31752CC5"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Ghorai, A. K. (2015). Integrated weed management in jute and allied fibre crops. In </w:t>
      </w:r>
      <w:r w:rsidRPr="00A46D71">
        <w:rPr>
          <w:rFonts w:ascii="Times New Roman" w:hAnsi="Times New Roman" w:cs="Times New Roman"/>
          <w:i/>
          <w:iCs/>
          <w:sz w:val="24"/>
          <w:szCs w:val="24"/>
        </w:rPr>
        <w:t>Training Manual: Technological Advances in Production of Jute and Allied Fibre Crops.</w:t>
      </w:r>
      <w:r w:rsidRPr="00A46D71">
        <w:rPr>
          <w:rFonts w:ascii="Times New Roman" w:hAnsi="Times New Roman" w:cs="Times New Roman"/>
          <w:sz w:val="24"/>
          <w:szCs w:val="24"/>
        </w:rPr>
        <w:t xml:space="preserve"> ICAR–Central Research Institute for Jute and Allied Fibres, Barrackpore, India. </w:t>
      </w:r>
      <w:hyperlink r:id="rId13" w:tgtFrame="_new" w:history="1">
        <w:r w:rsidRPr="00A46D71">
          <w:rPr>
            <w:rStyle w:val="Hyperlink"/>
            <w:rFonts w:ascii="Times New Roman" w:hAnsi="Times New Roman" w:cs="Times New Roman"/>
            <w:sz w:val="24"/>
            <w:szCs w:val="24"/>
          </w:rPr>
          <w:t>https://www.researchgate.net/publication/304704489_Integrated_weed_management_in_jute</w:t>
        </w:r>
      </w:hyperlink>
    </w:p>
    <w:p w14:paraId="05BBAE9C" w14:textId="16A698A4" w:rsidR="002F76F3" w:rsidRDefault="002F76F3" w:rsidP="002F76F3">
      <w:pPr>
        <w:spacing w:after="0" w:line="360" w:lineRule="auto"/>
        <w:ind w:left="720" w:hanging="720"/>
      </w:pPr>
      <w:r w:rsidRPr="002F76F3">
        <w:rPr>
          <w:rFonts w:ascii="Times New Roman" w:hAnsi="Times New Roman" w:cs="Times New Roman"/>
          <w:sz w:val="24"/>
          <w:szCs w:val="24"/>
        </w:rPr>
        <w:t xml:space="preserve">Gomez, K. A., </w:t>
      </w:r>
      <w:r w:rsidR="00B1088F">
        <w:rPr>
          <w:rFonts w:ascii="Times New Roman" w:hAnsi="Times New Roman" w:cs="Times New Roman"/>
          <w:sz w:val="24"/>
          <w:szCs w:val="24"/>
        </w:rPr>
        <w:t>and</w:t>
      </w:r>
      <w:r w:rsidRPr="002F76F3">
        <w:rPr>
          <w:rFonts w:ascii="Times New Roman" w:hAnsi="Times New Roman" w:cs="Times New Roman"/>
          <w:sz w:val="24"/>
          <w:szCs w:val="24"/>
        </w:rPr>
        <w:t xml:space="preserve"> Gomez, A. A. (1984). </w:t>
      </w:r>
      <w:r w:rsidRPr="002F76F3">
        <w:rPr>
          <w:rFonts w:ascii="Times New Roman" w:hAnsi="Times New Roman" w:cs="Times New Roman"/>
          <w:i/>
          <w:iCs/>
          <w:sz w:val="24"/>
          <w:szCs w:val="24"/>
        </w:rPr>
        <w:t>Statistical procedures for agricultural research</w:t>
      </w:r>
      <w:r w:rsidRPr="002F76F3">
        <w:rPr>
          <w:rFonts w:ascii="Times New Roman" w:hAnsi="Times New Roman" w:cs="Times New Roman"/>
          <w:sz w:val="24"/>
          <w:szCs w:val="24"/>
        </w:rPr>
        <w:t xml:space="preserve"> (2nd ed.). Wiley. </w:t>
      </w:r>
      <w:hyperlink r:id="rId14" w:tgtFrame="_new" w:history="1">
        <w:r w:rsidRPr="002F76F3">
          <w:rPr>
            <w:rStyle w:val="Hyperlink"/>
            <w:rFonts w:ascii="Times New Roman" w:hAnsi="Times New Roman" w:cs="Times New Roman"/>
            <w:sz w:val="24"/>
            <w:szCs w:val="24"/>
          </w:rPr>
          <w:t>https://www.wiley.com/en-us/Statistical+Procedures+for+Agricultural+Research%2C+2nd+Edition-p-9780471870920</w:t>
        </w:r>
      </w:hyperlink>
    </w:p>
    <w:p w14:paraId="490C4370" w14:textId="1D35DC4E" w:rsidR="00757A4F" w:rsidRDefault="00757A4F" w:rsidP="002F76F3">
      <w:pPr>
        <w:spacing w:after="0" w:line="360" w:lineRule="auto"/>
        <w:ind w:left="720" w:hanging="720"/>
        <w:rPr>
          <w:rFonts w:ascii="Times New Roman" w:hAnsi="Times New Roman" w:cs="Times New Roman"/>
          <w:sz w:val="24"/>
          <w:szCs w:val="24"/>
        </w:rPr>
      </w:pPr>
      <w:r w:rsidRPr="00757A4F">
        <w:rPr>
          <w:rFonts w:ascii="Times New Roman" w:hAnsi="Times New Roman" w:cs="Times New Roman"/>
          <w:sz w:val="24"/>
          <w:szCs w:val="24"/>
        </w:rPr>
        <w:t>Hossain, M. S., Al-Mamun, M., Ferdous, J., Kamrujjaman, M., Miah, A., Hasan, A. K., Anwar, M. P., Begum, M.</w:t>
      </w:r>
      <w:r w:rsidR="003D17F6">
        <w:rPr>
          <w:rFonts w:ascii="Times New Roman" w:hAnsi="Times New Roman" w:cs="Times New Roman"/>
          <w:sz w:val="24"/>
          <w:szCs w:val="24"/>
        </w:rPr>
        <w:t xml:space="preserve"> and</w:t>
      </w:r>
      <w:r w:rsidRPr="00757A4F">
        <w:rPr>
          <w:rFonts w:ascii="Times New Roman" w:hAnsi="Times New Roman" w:cs="Times New Roman"/>
          <w:sz w:val="24"/>
          <w:szCs w:val="24"/>
        </w:rPr>
        <w:t xml:space="preserve"> Uddin, M. R. (2025). Effective weed control and fiber yield improvement in jute through seeding and row spacing strategies. Journal of Soil, Plant and Environment, 4(1). </w:t>
      </w:r>
      <w:hyperlink r:id="rId15" w:history="1">
        <w:r w:rsidRPr="00EF24CF">
          <w:rPr>
            <w:rStyle w:val="Hyperlink"/>
            <w:rFonts w:ascii="Times New Roman" w:hAnsi="Times New Roman" w:cs="Times New Roman"/>
            <w:sz w:val="24"/>
            <w:szCs w:val="24"/>
          </w:rPr>
          <w:t>https://doi.org/10.56946/jspae.v4i1.694</w:t>
        </w:r>
      </w:hyperlink>
    </w:p>
    <w:p w14:paraId="57B381AD" w14:textId="7781D193" w:rsidR="00757A4F" w:rsidRDefault="00757A4F" w:rsidP="002F76F3">
      <w:pPr>
        <w:spacing w:after="0" w:line="360" w:lineRule="auto"/>
        <w:ind w:left="720" w:hanging="720"/>
        <w:rPr>
          <w:rFonts w:ascii="Times New Roman" w:hAnsi="Times New Roman" w:cs="Times New Roman"/>
          <w:sz w:val="24"/>
          <w:szCs w:val="24"/>
        </w:rPr>
      </w:pPr>
      <w:r w:rsidRPr="00757A4F">
        <w:rPr>
          <w:rFonts w:ascii="Times New Roman" w:hAnsi="Times New Roman" w:cs="Times New Roman"/>
          <w:sz w:val="24"/>
          <w:szCs w:val="24"/>
        </w:rPr>
        <w:t>Hossain, M. S., Sarker, U. K., Monira, S., Rashid, M. H., Hasan, A. K., Anwar, M. P., Begum, M., Hashem, A., Ibrahimova, U., Kumar, A., Abd_Allah, E. F., and Uddin, M. R. (2024). Evaluation of herbicides for weed control, phytotoxicity, and yield in dark jute (Corchorus olitorius L.) under subtropical conditions. Pakistan Journal of Botany, 56(4). http://dx.doi.org/10.30848/PJB2024-4(43)</w:t>
      </w:r>
    </w:p>
    <w:p w14:paraId="7743400E" w14:textId="32D22399"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Hossain, M. S., Sarker, U. K., Monira, S., Ali, M. I., Hasan, A. K., Kaysar, M. S., Anwar, M. P., Begum, M., Rashid, M. H., Hashem, A., Avila-Quezada, G. D., Abd_Allah, E. F.,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Uddin, M. R. (2023). Determination of critical period for sustainable weed management </w:t>
      </w:r>
      <w:r w:rsidRPr="00A46D71">
        <w:rPr>
          <w:rFonts w:ascii="Times New Roman" w:hAnsi="Times New Roman" w:cs="Times New Roman"/>
          <w:sz w:val="24"/>
          <w:szCs w:val="24"/>
        </w:rPr>
        <w:lastRenderedPageBreak/>
        <w:t>and yield of jute (</w:t>
      </w:r>
      <w:r w:rsidRPr="00A46D71">
        <w:rPr>
          <w:rFonts w:ascii="Times New Roman" w:hAnsi="Times New Roman" w:cs="Times New Roman"/>
          <w:i/>
          <w:iCs/>
          <w:sz w:val="24"/>
          <w:szCs w:val="24"/>
        </w:rPr>
        <w:t>Corchorus olitorius</w:t>
      </w:r>
      <w:r w:rsidRPr="00A46D71">
        <w:rPr>
          <w:rFonts w:ascii="Times New Roman" w:hAnsi="Times New Roman" w:cs="Times New Roman"/>
          <w:sz w:val="24"/>
          <w:szCs w:val="24"/>
        </w:rPr>
        <w:t xml:space="preserve"> L.) under sub-tropical condition. </w:t>
      </w:r>
      <w:r w:rsidRPr="00A46D71">
        <w:rPr>
          <w:rFonts w:ascii="Times New Roman" w:hAnsi="Times New Roman" w:cs="Times New Roman"/>
          <w:i/>
          <w:iCs/>
          <w:sz w:val="24"/>
          <w:szCs w:val="24"/>
        </w:rPr>
        <w:t>Sustainability, 15</w:t>
      </w:r>
      <w:r w:rsidRPr="00A46D71">
        <w:rPr>
          <w:rFonts w:ascii="Times New Roman" w:hAnsi="Times New Roman" w:cs="Times New Roman"/>
          <w:sz w:val="24"/>
          <w:szCs w:val="24"/>
        </w:rPr>
        <w:t xml:space="preserve">(12), 9282. </w:t>
      </w:r>
      <w:hyperlink r:id="rId16" w:tgtFrame="_new" w:history="1">
        <w:r w:rsidRPr="00A46D71">
          <w:rPr>
            <w:rStyle w:val="Hyperlink"/>
            <w:rFonts w:ascii="Times New Roman" w:hAnsi="Times New Roman" w:cs="Times New Roman"/>
            <w:sz w:val="24"/>
            <w:szCs w:val="24"/>
          </w:rPr>
          <w:t>https://doi.org/10.3390/su15129282</w:t>
        </w:r>
      </w:hyperlink>
    </w:p>
    <w:p w14:paraId="34661F84" w14:textId="748F108A"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Islam, A. K. M. M., Popy, F. S., Hasan, A. K.,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Anwar, M. P. (2017). Efficacy and economics of herbicidal weed management in monsoon rice of Bangladesh. </w:t>
      </w:r>
      <w:r w:rsidRPr="00A46D71">
        <w:rPr>
          <w:rFonts w:ascii="Times New Roman" w:hAnsi="Times New Roman" w:cs="Times New Roman"/>
          <w:i/>
          <w:iCs/>
          <w:sz w:val="24"/>
          <w:szCs w:val="24"/>
        </w:rPr>
        <w:t>Journal of Science in Agriculture, 1</w:t>
      </w:r>
      <w:r w:rsidRPr="00A46D71">
        <w:rPr>
          <w:rFonts w:ascii="Times New Roman" w:hAnsi="Times New Roman" w:cs="Times New Roman"/>
          <w:sz w:val="24"/>
          <w:szCs w:val="24"/>
        </w:rPr>
        <w:t xml:space="preserve">, 275. </w:t>
      </w:r>
      <w:hyperlink r:id="rId17" w:tgtFrame="_new" w:history="1">
        <w:r w:rsidRPr="00A46D71">
          <w:rPr>
            <w:rStyle w:val="Hyperlink"/>
            <w:rFonts w:ascii="Times New Roman" w:hAnsi="Times New Roman" w:cs="Times New Roman"/>
            <w:sz w:val="24"/>
            <w:szCs w:val="24"/>
          </w:rPr>
          <w:t>https://doi.org/10.25081/jsa.2017.v1.834</w:t>
        </w:r>
      </w:hyperlink>
    </w:p>
    <w:p w14:paraId="4CD3CA7E" w14:textId="052E8A61"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Islam, M. M.,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Ali, S. (2017). Agronomic research advances in jute crops of Bangladesh. </w:t>
      </w:r>
      <w:r w:rsidRPr="00A46D71">
        <w:rPr>
          <w:rFonts w:ascii="Times New Roman" w:hAnsi="Times New Roman" w:cs="Times New Roman"/>
          <w:i/>
          <w:iCs/>
          <w:sz w:val="24"/>
          <w:szCs w:val="24"/>
        </w:rPr>
        <w:t>AASCIT Journal of Biology, 3</w:t>
      </w:r>
      <w:r w:rsidRPr="00A46D71">
        <w:rPr>
          <w:rFonts w:ascii="Times New Roman" w:hAnsi="Times New Roman" w:cs="Times New Roman"/>
          <w:sz w:val="24"/>
          <w:szCs w:val="24"/>
        </w:rPr>
        <w:t xml:space="preserve">(6), 34–46. </w:t>
      </w:r>
      <w:hyperlink r:id="rId18" w:tgtFrame="_new" w:history="1">
        <w:r w:rsidRPr="00A46D71">
          <w:rPr>
            <w:rStyle w:val="Hyperlink"/>
            <w:rFonts w:ascii="Times New Roman" w:hAnsi="Times New Roman" w:cs="Times New Roman"/>
            <w:sz w:val="24"/>
            <w:szCs w:val="24"/>
          </w:rPr>
          <w:t>http://www.aascit.org/journal/biology</w:t>
        </w:r>
      </w:hyperlink>
    </w:p>
    <w:p w14:paraId="740C1ECF" w14:textId="7995F4E1" w:rsid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Jena, S., Kumar, M., Mitra, S., Paikray, R. K.,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Ghorai, A. K. (2017). Effect of weed management practices on productivity and profitability of jute fibre. </w:t>
      </w:r>
      <w:r w:rsidRPr="00A46D71">
        <w:rPr>
          <w:rFonts w:ascii="Times New Roman" w:hAnsi="Times New Roman" w:cs="Times New Roman"/>
          <w:i/>
          <w:iCs/>
          <w:sz w:val="24"/>
          <w:szCs w:val="24"/>
        </w:rPr>
        <w:t>Indian Journal of Weed Science, 49</w:t>
      </w:r>
      <w:r w:rsidRPr="00A46D71">
        <w:rPr>
          <w:rFonts w:ascii="Times New Roman" w:hAnsi="Times New Roman" w:cs="Times New Roman"/>
          <w:sz w:val="24"/>
          <w:szCs w:val="24"/>
        </w:rPr>
        <w:t xml:space="preserve">, 381–384. </w:t>
      </w:r>
      <w:hyperlink r:id="rId19" w:history="1">
        <w:r w:rsidR="0059541F" w:rsidRPr="00037608">
          <w:rPr>
            <w:rStyle w:val="Hyperlink"/>
            <w:rFonts w:ascii="Times New Roman" w:hAnsi="Times New Roman" w:cs="Times New Roman"/>
            <w:sz w:val="24"/>
            <w:szCs w:val="24"/>
          </w:rPr>
          <w:t>https://doi.org/10.5958/0974-8164.2017.00098.3</w:t>
        </w:r>
      </w:hyperlink>
    </w:p>
    <w:p w14:paraId="08EB4009" w14:textId="5B0AFFBA" w:rsidR="0059541F" w:rsidRPr="00A46D71" w:rsidRDefault="0059541F" w:rsidP="00A46D71">
      <w:pPr>
        <w:spacing w:after="0" w:line="360" w:lineRule="auto"/>
        <w:ind w:left="720" w:hanging="720"/>
        <w:rPr>
          <w:rFonts w:ascii="Times New Roman" w:hAnsi="Times New Roman" w:cs="Times New Roman"/>
          <w:sz w:val="24"/>
          <w:szCs w:val="24"/>
        </w:rPr>
      </w:pPr>
      <w:r w:rsidRPr="0059541F">
        <w:rPr>
          <w:rFonts w:ascii="Times New Roman" w:hAnsi="Times New Roman" w:cs="Times New Roman"/>
          <w:sz w:val="24"/>
          <w:szCs w:val="24"/>
        </w:rPr>
        <w:t xml:space="preserve">Kaur, N., Kumar, A., Malik, T., Girdhar, M., Singh, M., Singh, R., </w:t>
      </w:r>
      <w:r>
        <w:rPr>
          <w:rFonts w:ascii="Times New Roman" w:hAnsi="Times New Roman" w:cs="Times New Roman"/>
          <w:sz w:val="24"/>
          <w:szCs w:val="24"/>
        </w:rPr>
        <w:t>and</w:t>
      </w:r>
      <w:r w:rsidRPr="0059541F">
        <w:rPr>
          <w:rFonts w:ascii="Times New Roman" w:hAnsi="Times New Roman" w:cs="Times New Roman"/>
          <w:sz w:val="24"/>
          <w:szCs w:val="24"/>
        </w:rPr>
        <w:t xml:space="preserve"> Mohan, A. (2025). Herbicide use and weed management strategies in hemp cultivation. </w:t>
      </w:r>
      <w:r w:rsidRPr="0059541F">
        <w:rPr>
          <w:rFonts w:ascii="Times New Roman" w:hAnsi="Times New Roman" w:cs="Times New Roman"/>
          <w:i/>
          <w:iCs/>
          <w:sz w:val="24"/>
          <w:szCs w:val="24"/>
        </w:rPr>
        <w:t>Journal of Cannabis Research, 7</w:t>
      </w:r>
      <w:r w:rsidRPr="0059541F">
        <w:rPr>
          <w:rFonts w:ascii="Times New Roman" w:hAnsi="Times New Roman" w:cs="Times New Roman"/>
          <w:sz w:val="24"/>
          <w:szCs w:val="24"/>
        </w:rPr>
        <w:t>(1), 27. https://doi.org/10.1186/s42238-025-00227-7</w:t>
      </w:r>
    </w:p>
    <w:p w14:paraId="1006DFA4" w14:textId="306427F6"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Karimi, A., Alamdari, E. G., Avarseji, Z.,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Moghaddam, A. N. (2021). The effect of planting density and number of hand weeding times on weed control and relationship between morphological characteristics with content and yield of essential oil of </w:t>
      </w:r>
      <w:r w:rsidRPr="00A46D71">
        <w:rPr>
          <w:rFonts w:ascii="Times New Roman" w:hAnsi="Times New Roman" w:cs="Times New Roman"/>
          <w:i/>
          <w:iCs/>
          <w:sz w:val="24"/>
          <w:szCs w:val="24"/>
        </w:rPr>
        <w:t>Satureja hortensis</w:t>
      </w:r>
      <w:r w:rsidRPr="00A46D71">
        <w:rPr>
          <w:rFonts w:ascii="Times New Roman" w:hAnsi="Times New Roman" w:cs="Times New Roman"/>
          <w:sz w:val="24"/>
          <w:szCs w:val="24"/>
        </w:rPr>
        <w:t xml:space="preserve"> L. </w:t>
      </w:r>
      <w:r w:rsidRPr="00A46D71">
        <w:rPr>
          <w:rFonts w:ascii="Times New Roman" w:hAnsi="Times New Roman" w:cs="Times New Roman"/>
          <w:i/>
          <w:iCs/>
          <w:sz w:val="24"/>
          <w:szCs w:val="24"/>
        </w:rPr>
        <w:t>Acta Universitatis Agriculturae et Silviculturae Mendelianae Brunensis, 69</w:t>
      </w:r>
      <w:r w:rsidRPr="00A46D71">
        <w:rPr>
          <w:rFonts w:ascii="Times New Roman" w:hAnsi="Times New Roman" w:cs="Times New Roman"/>
          <w:sz w:val="24"/>
          <w:szCs w:val="24"/>
        </w:rPr>
        <w:t>, 417–426. https://doi.org/10.11118/actaun.2021.039</w:t>
      </w:r>
    </w:p>
    <w:p w14:paraId="72BE548B" w14:textId="61802DAE"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Korres, N. E.,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Norsworthy, J. K. (2015). Influence of a rye cover crop on the critical period for weed control in cotton. </w:t>
      </w:r>
      <w:r w:rsidRPr="00A46D71">
        <w:rPr>
          <w:rFonts w:ascii="Times New Roman" w:hAnsi="Times New Roman" w:cs="Times New Roman"/>
          <w:i/>
          <w:iCs/>
          <w:sz w:val="24"/>
          <w:szCs w:val="24"/>
        </w:rPr>
        <w:t>Weed Science, 63</w:t>
      </w:r>
      <w:r w:rsidRPr="00A46D71">
        <w:rPr>
          <w:rFonts w:ascii="Times New Roman" w:hAnsi="Times New Roman" w:cs="Times New Roman"/>
          <w:sz w:val="24"/>
          <w:szCs w:val="24"/>
        </w:rPr>
        <w:t xml:space="preserve">, 346–352. </w:t>
      </w:r>
      <w:hyperlink r:id="rId20" w:tgtFrame="_new" w:history="1">
        <w:r w:rsidRPr="00A46D71">
          <w:rPr>
            <w:rStyle w:val="Hyperlink"/>
            <w:rFonts w:ascii="Times New Roman" w:hAnsi="Times New Roman" w:cs="Times New Roman"/>
            <w:sz w:val="24"/>
            <w:szCs w:val="24"/>
          </w:rPr>
          <w:t>https://doi.org/10.1614/WS-D-13-00062.1</w:t>
        </w:r>
      </w:hyperlink>
    </w:p>
    <w:p w14:paraId="0ABE3AA8" w14:textId="0408F232"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Kumar, M., Ghorai, A. K., Singh, A.,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Kundu, K. (2015). The critical period for weed competition in relation to yield of jute (</w:t>
      </w:r>
      <w:r w:rsidRPr="00A46D71">
        <w:rPr>
          <w:rFonts w:ascii="Times New Roman" w:hAnsi="Times New Roman" w:cs="Times New Roman"/>
          <w:i/>
          <w:iCs/>
          <w:sz w:val="24"/>
          <w:szCs w:val="24"/>
        </w:rPr>
        <w:t>Corchorus olitorius</w:t>
      </w:r>
      <w:r w:rsidRPr="00A46D71">
        <w:rPr>
          <w:rFonts w:ascii="Times New Roman" w:hAnsi="Times New Roman" w:cs="Times New Roman"/>
          <w:sz w:val="24"/>
          <w:szCs w:val="24"/>
        </w:rPr>
        <w:t xml:space="preserve"> L.). </w:t>
      </w:r>
      <w:r w:rsidRPr="00A46D71">
        <w:rPr>
          <w:rFonts w:ascii="Times New Roman" w:hAnsi="Times New Roman" w:cs="Times New Roman"/>
          <w:i/>
          <w:iCs/>
          <w:sz w:val="24"/>
          <w:szCs w:val="24"/>
        </w:rPr>
        <w:t>Journal of AgriSearch, 2</w:t>
      </w:r>
      <w:r w:rsidRPr="00A46D71">
        <w:rPr>
          <w:rFonts w:ascii="Times New Roman" w:hAnsi="Times New Roman" w:cs="Times New Roman"/>
          <w:sz w:val="24"/>
          <w:szCs w:val="24"/>
        </w:rPr>
        <w:t xml:space="preserve">, 225–228. </w:t>
      </w:r>
      <w:hyperlink r:id="rId21" w:tgtFrame="_new" w:history="1">
        <w:r w:rsidRPr="00A46D71">
          <w:rPr>
            <w:rStyle w:val="Hyperlink"/>
            <w:rFonts w:ascii="Times New Roman" w:hAnsi="Times New Roman" w:cs="Times New Roman"/>
            <w:sz w:val="24"/>
            <w:szCs w:val="24"/>
          </w:rPr>
          <w:t>https://www.researchgate.net/publication/281616704</w:t>
        </w:r>
      </w:hyperlink>
    </w:p>
    <w:p w14:paraId="3EDCF0B6" w14:textId="45D2C458"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Mahajan, G.,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Chauhan, B. S. (2013). Herbicide options for weed control in dry-seeded aromatic rice in India. </w:t>
      </w:r>
      <w:r w:rsidRPr="00A46D71">
        <w:rPr>
          <w:rFonts w:ascii="Times New Roman" w:hAnsi="Times New Roman" w:cs="Times New Roman"/>
          <w:i/>
          <w:iCs/>
          <w:sz w:val="24"/>
          <w:szCs w:val="24"/>
        </w:rPr>
        <w:t>Weed Technology, 27</w:t>
      </w:r>
      <w:r w:rsidRPr="00A46D71">
        <w:rPr>
          <w:rFonts w:ascii="Times New Roman" w:hAnsi="Times New Roman" w:cs="Times New Roman"/>
          <w:sz w:val="24"/>
          <w:szCs w:val="24"/>
        </w:rPr>
        <w:t>(4), 682–689. https://doi.org/10.1614/WT-D-13-00016.1</w:t>
      </w:r>
    </w:p>
    <w:p w14:paraId="3D0B3A01" w14:textId="519C2179"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Mahbub, M. M.,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Bhuiyan, M. K. A. (2021). Effect of Fenoxyprop-P-Ethyl 10% + Ethoxysulfuron 10% WP on annual weeds suppression and yield of transplanted rice in Bangladesh. </w:t>
      </w:r>
      <w:r w:rsidRPr="00A46D71">
        <w:rPr>
          <w:rFonts w:ascii="Times New Roman" w:hAnsi="Times New Roman" w:cs="Times New Roman"/>
          <w:i/>
          <w:iCs/>
          <w:sz w:val="24"/>
          <w:szCs w:val="24"/>
        </w:rPr>
        <w:t xml:space="preserve">American-Eurasian Journal of Agricultural </w:t>
      </w:r>
      <w:r w:rsidR="00B1088F">
        <w:rPr>
          <w:rFonts w:ascii="Times New Roman" w:hAnsi="Times New Roman" w:cs="Times New Roman"/>
          <w:i/>
          <w:iCs/>
          <w:sz w:val="24"/>
          <w:szCs w:val="24"/>
        </w:rPr>
        <w:t>and</w:t>
      </w:r>
      <w:r w:rsidRPr="00A46D71">
        <w:rPr>
          <w:rFonts w:ascii="Times New Roman" w:hAnsi="Times New Roman" w:cs="Times New Roman"/>
          <w:i/>
          <w:iCs/>
          <w:sz w:val="24"/>
          <w:szCs w:val="24"/>
        </w:rPr>
        <w:t xml:space="preserve"> Environmental Sciences, 21</w:t>
      </w:r>
      <w:r w:rsidRPr="00A46D71">
        <w:rPr>
          <w:rFonts w:ascii="Times New Roman" w:hAnsi="Times New Roman" w:cs="Times New Roman"/>
          <w:sz w:val="24"/>
          <w:szCs w:val="24"/>
        </w:rPr>
        <w:t>(4), 217–225. https://doi.org/10.5829/idosi.aejaes.2021.217.225</w:t>
      </w:r>
    </w:p>
    <w:p w14:paraId="72BD0191" w14:textId="62C100D6"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lastRenderedPageBreak/>
        <w:t xml:space="preserve">Majumder, S., Saha, P., Datta, K.,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Datta, S. K. (2020). Fibre crop jute improvement by using genomics and genetic engineering. In N. Tuteja, R. Tuteja, N. Passricha,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S. K. Saifi (Eds.), </w:t>
      </w:r>
      <w:r w:rsidRPr="00A46D71">
        <w:rPr>
          <w:rFonts w:ascii="Times New Roman" w:hAnsi="Times New Roman" w:cs="Times New Roman"/>
          <w:i/>
          <w:iCs/>
          <w:sz w:val="24"/>
          <w:szCs w:val="24"/>
        </w:rPr>
        <w:t>Advancement in Crop Improvement Techniques</w:t>
      </w:r>
      <w:r w:rsidRPr="00A46D71">
        <w:rPr>
          <w:rFonts w:ascii="Times New Roman" w:hAnsi="Times New Roman" w:cs="Times New Roman"/>
          <w:sz w:val="24"/>
          <w:szCs w:val="24"/>
        </w:rPr>
        <w:t xml:space="preserve"> (pp. 363–383). Woodhead Publishing. </w:t>
      </w:r>
      <w:hyperlink r:id="rId22" w:tgtFrame="_new" w:history="1">
        <w:r w:rsidRPr="00A46D71">
          <w:rPr>
            <w:rStyle w:val="Hyperlink"/>
            <w:rFonts w:ascii="Times New Roman" w:hAnsi="Times New Roman" w:cs="Times New Roman"/>
            <w:sz w:val="24"/>
            <w:szCs w:val="24"/>
          </w:rPr>
          <w:t>https://doi.org/10.1016/B978-0-12-818581-0.00022-X</w:t>
        </w:r>
      </w:hyperlink>
    </w:p>
    <w:p w14:paraId="57F20346" w14:textId="2F04609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Mandal, B.,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Mukherjee, D. (2018). Influence of different weed management practices for higher productivity of jute (</w:t>
      </w:r>
      <w:r w:rsidRPr="00A46D71">
        <w:rPr>
          <w:rFonts w:ascii="Times New Roman" w:hAnsi="Times New Roman" w:cs="Times New Roman"/>
          <w:i/>
          <w:iCs/>
          <w:sz w:val="24"/>
          <w:szCs w:val="24"/>
        </w:rPr>
        <w:t>Corchorus olitorius</w:t>
      </w:r>
      <w:r w:rsidRPr="00A46D71">
        <w:rPr>
          <w:rFonts w:ascii="Times New Roman" w:hAnsi="Times New Roman" w:cs="Times New Roman"/>
          <w:sz w:val="24"/>
          <w:szCs w:val="24"/>
        </w:rPr>
        <w:t xml:space="preserve">) in West Bengal. </w:t>
      </w:r>
      <w:r w:rsidRPr="00A46D71">
        <w:rPr>
          <w:rFonts w:ascii="Times New Roman" w:hAnsi="Times New Roman" w:cs="Times New Roman"/>
          <w:i/>
          <w:iCs/>
          <w:sz w:val="24"/>
          <w:szCs w:val="24"/>
        </w:rPr>
        <w:t>International Journal of Bioresource Science, 5</w:t>
      </w:r>
      <w:r w:rsidRPr="00A46D71">
        <w:rPr>
          <w:rFonts w:ascii="Times New Roman" w:hAnsi="Times New Roman" w:cs="Times New Roman"/>
          <w:sz w:val="24"/>
          <w:szCs w:val="24"/>
        </w:rPr>
        <w:t>(1), 21–26.</w:t>
      </w:r>
    </w:p>
    <w:p w14:paraId="7A7467F9" w14:textId="7FF1F648"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Morsy, A.,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Tantawy, M. (2018). Impact of plant spacing and weed control treatments on yield, quality of soybean (</w:t>
      </w:r>
      <w:r w:rsidRPr="00A46D71">
        <w:rPr>
          <w:rFonts w:ascii="Times New Roman" w:hAnsi="Times New Roman" w:cs="Times New Roman"/>
          <w:i/>
          <w:iCs/>
          <w:sz w:val="24"/>
          <w:szCs w:val="24"/>
        </w:rPr>
        <w:t>Glycine max</w:t>
      </w:r>
      <w:r w:rsidRPr="00A46D71">
        <w:rPr>
          <w:rFonts w:ascii="Times New Roman" w:hAnsi="Times New Roman" w:cs="Times New Roman"/>
          <w:sz w:val="24"/>
          <w:szCs w:val="24"/>
        </w:rPr>
        <w:t xml:space="preserve"> L.) and associated weed characters under Middle Egypt conditions. </w:t>
      </w:r>
      <w:r w:rsidRPr="00A46D71">
        <w:rPr>
          <w:rFonts w:ascii="Times New Roman" w:hAnsi="Times New Roman" w:cs="Times New Roman"/>
          <w:i/>
          <w:iCs/>
          <w:sz w:val="24"/>
          <w:szCs w:val="24"/>
        </w:rPr>
        <w:t>Assiut Journal of Agricultural Sciences, 49</w:t>
      </w:r>
      <w:r w:rsidRPr="00A46D71">
        <w:rPr>
          <w:rFonts w:ascii="Times New Roman" w:hAnsi="Times New Roman" w:cs="Times New Roman"/>
          <w:sz w:val="24"/>
          <w:szCs w:val="24"/>
        </w:rPr>
        <w:t>, 27–46. https://doi.org/10.21608/ajas.2018.8086</w:t>
      </w:r>
    </w:p>
    <w:p w14:paraId="5EC5A99A" w14:textId="1BEBA7D4"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Mukul, M. M., Akter, N., Islam, M. M., Bhuiyan, M. S. H., Mostofa, M. G., Ghosh, R. K., Saha, C. K.,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Ali, M. A. (2021). Morpho-phenetical study of high-yielding tossa jute variety BJRI Tossa Pat 7 (MG-1) for bast fibre yield and qualities. </w:t>
      </w:r>
      <w:r w:rsidRPr="00A46D71">
        <w:rPr>
          <w:rFonts w:ascii="Times New Roman" w:hAnsi="Times New Roman" w:cs="Times New Roman"/>
          <w:i/>
          <w:iCs/>
          <w:sz w:val="24"/>
          <w:szCs w:val="24"/>
        </w:rPr>
        <w:t>Heliyon, 7</w:t>
      </w:r>
      <w:r w:rsidRPr="00A46D71">
        <w:rPr>
          <w:rFonts w:ascii="Times New Roman" w:hAnsi="Times New Roman" w:cs="Times New Roman"/>
          <w:sz w:val="24"/>
          <w:szCs w:val="24"/>
        </w:rPr>
        <w:t xml:space="preserve">(10), e08129. </w:t>
      </w:r>
      <w:hyperlink r:id="rId23" w:tgtFrame="_new" w:history="1">
        <w:r w:rsidRPr="00A46D71">
          <w:rPr>
            <w:rStyle w:val="Hyperlink"/>
            <w:rFonts w:ascii="Times New Roman" w:hAnsi="Times New Roman" w:cs="Times New Roman"/>
            <w:sz w:val="24"/>
            <w:szCs w:val="24"/>
          </w:rPr>
          <w:t>https://doi.org/10.1016/j.heliyon.2021.e08129</w:t>
        </w:r>
      </w:hyperlink>
    </w:p>
    <w:p w14:paraId="60085362" w14:textId="77777777"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Mukherjee, D. (2013). Studies on resource management for sustainable ecosystem in Eastern Himalaya. </w:t>
      </w:r>
      <w:r w:rsidRPr="00A46D71">
        <w:rPr>
          <w:rFonts w:ascii="Times New Roman" w:hAnsi="Times New Roman" w:cs="Times New Roman"/>
          <w:i/>
          <w:iCs/>
          <w:sz w:val="24"/>
          <w:szCs w:val="24"/>
        </w:rPr>
        <w:t>Asian Journal of Agriculture and Food Sciences, 1</w:t>
      </w:r>
      <w:r w:rsidRPr="00A46D71">
        <w:rPr>
          <w:rFonts w:ascii="Times New Roman" w:hAnsi="Times New Roman" w:cs="Times New Roman"/>
          <w:sz w:val="24"/>
          <w:szCs w:val="24"/>
        </w:rPr>
        <w:t>(5), 222–235.</w:t>
      </w:r>
    </w:p>
    <w:p w14:paraId="24863371" w14:textId="4B703391" w:rsidR="003D17F6" w:rsidRPr="003D17F6" w:rsidRDefault="00A46D71" w:rsidP="003D17F6">
      <w:pPr>
        <w:spacing w:after="0" w:line="360" w:lineRule="auto"/>
        <w:ind w:left="720" w:hanging="720"/>
      </w:pPr>
      <w:r w:rsidRPr="00A46D71">
        <w:rPr>
          <w:rFonts w:ascii="Times New Roman" w:hAnsi="Times New Roman" w:cs="Times New Roman"/>
          <w:sz w:val="24"/>
          <w:szCs w:val="24"/>
        </w:rPr>
        <w:t xml:space="preserve">Nabiha, B., Reda, D. M., Noureddine, Z.,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Houria, B. (2014). Differential response to treatment with herbicide Chevalier induced oxidative stress in leaves of wheat. </w:t>
      </w:r>
      <w:r w:rsidRPr="00A46D71">
        <w:rPr>
          <w:rFonts w:ascii="Times New Roman" w:hAnsi="Times New Roman" w:cs="Times New Roman"/>
          <w:i/>
          <w:iCs/>
          <w:sz w:val="24"/>
          <w:szCs w:val="24"/>
        </w:rPr>
        <w:t>Annals of Biological Research, 5</w:t>
      </w:r>
      <w:r w:rsidRPr="00A46D71">
        <w:rPr>
          <w:rFonts w:ascii="Times New Roman" w:hAnsi="Times New Roman" w:cs="Times New Roman"/>
          <w:sz w:val="24"/>
          <w:szCs w:val="24"/>
        </w:rPr>
        <w:t xml:space="preserve">, 1–7. </w:t>
      </w:r>
      <w:hyperlink r:id="rId24" w:tgtFrame="_new" w:history="1">
        <w:r w:rsidRPr="00A46D71">
          <w:rPr>
            <w:rStyle w:val="Hyperlink"/>
            <w:rFonts w:ascii="Times New Roman" w:hAnsi="Times New Roman" w:cs="Times New Roman"/>
            <w:sz w:val="24"/>
            <w:szCs w:val="24"/>
          </w:rPr>
          <w:t>http://scholarsresearchlibrary.com/ABR-vol5-iss3/ABR-2014-5-3-1-7.pdf</w:t>
        </w:r>
      </w:hyperlink>
    </w:p>
    <w:p w14:paraId="04A640D2" w14:textId="2D803F11"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Ngomuo, M., Stoilova, T., Feyissa, T., Kassim, N.,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Ndakidemi, P. A. (2017). The genetic diversity of leaf vegetable jute mallow (</w:t>
      </w:r>
      <w:r w:rsidRPr="00A46D71">
        <w:rPr>
          <w:rFonts w:ascii="Times New Roman" w:hAnsi="Times New Roman" w:cs="Times New Roman"/>
          <w:i/>
          <w:iCs/>
          <w:sz w:val="24"/>
          <w:szCs w:val="24"/>
        </w:rPr>
        <w:t>Corchorus</w:t>
      </w:r>
      <w:r w:rsidRPr="00A46D71">
        <w:rPr>
          <w:rFonts w:ascii="Times New Roman" w:hAnsi="Times New Roman" w:cs="Times New Roman"/>
          <w:sz w:val="24"/>
          <w:szCs w:val="24"/>
        </w:rPr>
        <w:t xml:space="preserve"> spp.): A review. </w:t>
      </w:r>
      <w:r w:rsidRPr="00A46D71">
        <w:rPr>
          <w:rFonts w:ascii="Times New Roman" w:hAnsi="Times New Roman" w:cs="Times New Roman"/>
          <w:i/>
          <w:iCs/>
          <w:sz w:val="24"/>
          <w:szCs w:val="24"/>
        </w:rPr>
        <w:t>Indian Journal of Agricultural Research, 51</w:t>
      </w:r>
      <w:r w:rsidRPr="00A46D71">
        <w:rPr>
          <w:rFonts w:ascii="Times New Roman" w:hAnsi="Times New Roman" w:cs="Times New Roman"/>
          <w:sz w:val="24"/>
          <w:szCs w:val="24"/>
        </w:rPr>
        <w:t>(5), 405–412. https://doi.org/10.18805/IJARe.A-240</w:t>
      </w:r>
    </w:p>
    <w:p w14:paraId="79116325" w14:textId="21099B1F" w:rsidR="00A46D71" w:rsidRDefault="00A46D71" w:rsidP="00A46D71">
      <w:pPr>
        <w:spacing w:after="0" w:line="360" w:lineRule="auto"/>
        <w:ind w:left="720" w:hanging="720"/>
      </w:pPr>
      <w:r w:rsidRPr="00A46D71">
        <w:rPr>
          <w:rFonts w:ascii="Times New Roman" w:hAnsi="Times New Roman" w:cs="Times New Roman"/>
          <w:sz w:val="24"/>
          <w:szCs w:val="24"/>
        </w:rPr>
        <w:t xml:space="preserve">Sarkar, S. K.,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Gawande, S. P. (2016). Diseases of jute and allied fibre crops and their management. </w:t>
      </w:r>
      <w:r w:rsidRPr="00A46D71">
        <w:rPr>
          <w:rFonts w:ascii="Times New Roman" w:hAnsi="Times New Roman" w:cs="Times New Roman"/>
          <w:i/>
          <w:iCs/>
          <w:sz w:val="24"/>
          <w:szCs w:val="24"/>
        </w:rPr>
        <w:t>Journal of Mycopathological Research, 54</w:t>
      </w:r>
      <w:r w:rsidRPr="00A46D71">
        <w:rPr>
          <w:rFonts w:ascii="Times New Roman" w:hAnsi="Times New Roman" w:cs="Times New Roman"/>
          <w:sz w:val="24"/>
          <w:szCs w:val="24"/>
        </w:rPr>
        <w:t xml:space="preserve">(3), 321–337. </w:t>
      </w:r>
      <w:hyperlink r:id="rId25" w:tgtFrame="_new" w:history="1">
        <w:r w:rsidRPr="00A46D71">
          <w:rPr>
            <w:rStyle w:val="Hyperlink"/>
            <w:rFonts w:ascii="Times New Roman" w:hAnsi="Times New Roman" w:cs="Times New Roman"/>
            <w:sz w:val="24"/>
            <w:szCs w:val="24"/>
          </w:rPr>
          <w:t>https://imskolkata.org/article1/002-10-16.pdf</w:t>
        </w:r>
      </w:hyperlink>
    </w:p>
    <w:p w14:paraId="37224038" w14:textId="09C1529F" w:rsidR="003D17F6" w:rsidRPr="00A46D71" w:rsidRDefault="003D17F6" w:rsidP="00A46D71">
      <w:pPr>
        <w:spacing w:after="0" w:line="360" w:lineRule="auto"/>
        <w:ind w:left="720" w:hanging="720"/>
        <w:rPr>
          <w:rFonts w:ascii="Times New Roman" w:hAnsi="Times New Roman" w:cs="Times New Roman"/>
          <w:sz w:val="24"/>
          <w:szCs w:val="24"/>
        </w:rPr>
      </w:pPr>
      <w:r w:rsidRPr="003D17F6">
        <w:rPr>
          <w:rFonts w:ascii="Times New Roman" w:hAnsi="Times New Roman" w:cs="Times New Roman"/>
          <w:sz w:val="24"/>
          <w:szCs w:val="24"/>
        </w:rPr>
        <w:t>Sarkar, S., Behera, M. S., Bera, A., &amp; Sarkar, S. K. (2022). Efficient nutrient management for profitable quality tossa jute (</w:t>
      </w:r>
      <w:r w:rsidRPr="003D17F6">
        <w:rPr>
          <w:rFonts w:ascii="Times New Roman" w:hAnsi="Times New Roman" w:cs="Times New Roman"/>
          <w:i/>
          <w:iCs/>
          <w:sz w:val="24"/>
          <w:szCs w:val="24"/>
        </w:rPr>
        <w:t>Corchorus olitorius</w:t>
      </w:r>
      <w:r w:rsidRPr="003D17F6">
        <w:rPr>
          <w:rFonts w:ascii="Times New Roman" w:hAnsi="Times New Roman" w:cs="Times New Roman"/>
          <w:sz w:val="24"/>
          <w:szCs w:val="24"/>
        </w:rPr>
        <w:t xml:space="preserve"> L.) seed production in the intensively jute fibre growing southern Bengal region. </w:t>
      </w:r>
      <w:r w:rsidRPr="003D17F6">
        <w:rPr>
          <w:rFonts w:ascii="Times New Roman" w:hAnsi="Times New Roman" w:cs="Times New Roman"/>
          <w:i/>
          <w:iCs/>
          <w:sz w:val="24"/>
          <w:szCs w:val="24"/>
        </w:rPr>
        <w:t>Journal of Crop and Weed, 18</w:t>
      </w:r>
      <w:r w:rsidRPr="003D17F6">
        <w:rPr>
          <w:rFonts w:ascii="Times New Roman" w:hAnsi="Times New Roman" w:cs="Times New Roman"/>
          <w:sz w:val="24"/>
          <w:szCs w:val="24"/>
        </w:rPr>
        <w:t>(3), 13–18.</w:t>
      </w:r>
    </w:p>
    <w:p w14:paraId="2B157EC0" w14:textId="312F2772"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lastRenderedPageBreak/>
        <w:t xml:space="preserve">Schnelle, M. A.,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Cole, J. C. (2017). </w:t>
      </w:r>
      <w:r w:rsidRPr="00A46D71">
        <w:rPr>
          <w:rFonts w:ascii="Times New Roman" w:hAnsi="Times New Roman" w:cs="Times New Roman"/>
          <w:i/>
          <w:iCs/>
          <w:sz w:val="24"/>
          <w:szCs w:val="24"/>
        </w:rPr>
        <w:t>Herbicide injury in the nursery and landscape</w:t>
      </w:r>
      <w:r w:rsidRPr="00A46D71">
        <w:rPr>
          <w:rFonts w:ascii="Times New Roman" w:hAnsi="Times New Roman" w:cs="Times New Roman"/>
          <w:sz w:val="24"/>
          <w:szCs w:val="24"/>
        </w:rPr>
        <w:t xml:space="preserve"> (HLA-6704). Oklahoma State University. </w:t>
      </w:r>
      <w:hyperlink r:id="rId26" w:tgtFrame="_new" w:history="1">
        <w:r w:rsidRPr="00A46D71">
          <w:rPr>
            <w:rStyle w:val="Hyperlink"/>
            <w:rFonts w:ascii="Times New Roman" w:hAnsi="Times New Roman" w:cs="Times New Roman"/>
            <w:sz w:val="24"/>
            <w:szCs w:val="24"/>
          </w:rPr>
          <w:t>https://openresearch.okstate.edu/server/api/core/bitstreams/93f0e9ae-c0c5-401f-b3ea-5bfaba53cd1f/content</w:t>
        </w:r>
      </w:hyperlink>
    </w:p>
    <w:p w14:paraId="72AC4C69" w14:textId="6A0246A8"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Singh, M. V., Bhagwan, S.,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Prakash, V. (2015). Integrated weed management in jute. </w:t>
      </w:r>
      <w:r w:rsidRPr="00A46D71">
        <w:rPr>
          <w:rFonts w:ascii="Times New Roman" w:hAnsi="Times New Roman" w:cs="Times New Roman"/>
          <w:i/>
          <w:iCs/>
          <w:sz w:val="24"/>
          <w:szCs w:val="24"/>
        </w:rPr>
        <w:t>Annals of Plant and Soil Research, 17</w:t>
      </w:r>
      <w:r w:rsidRPr="00A46D71">
        <w:rPr>
          <w:rFonts w:ascii="Times New Roman" w:hAnsi="Times New Roman" w:cs="Times New Roman"/>
          <w:sz w:val="24"/>
          <w:szCs w:val="24"/>
        </w:rPr>
        <w:t xml:space="preserve">(3), 277–279. </w:t>
      </w:r>
      <w:hyperlink r:id="rId27" w:tgtFrame="_new" w:history="1">
        <w:r w:rsidRPr="00A46D71">
          <w:rPr>
            <w:rStyle w:val="Hyperlink"/>
            <w:rFonts w:ascii="Times New Roman" w:hAnsi="Times New Roman" w:cs="Times New Roman"/>
            <w:sz w:val="24"/>
            <w:szCs w:val="24"/>
          </w:rPr>
          <w:t>https://gkvsociety.com/control/uploads/Integrated%20weed%20management%20in%20jute.pdf</w:t>
        </w:r>
      </w:hyperlink>
    </w:p>
    <w:p w14:paraId="56FC4EFB" w14:textId="464CDC24"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Singh, P., Singh, L., Singh, P., Lone, B. A., Qayoom, S., Ahmad, L., Ganai, M. A., Kanth, R. A.,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Fayaz, A. (2015). Response of lentil (</w:t>
      </w:r>
      <w:r w:rsidRPr="00A46D71">
        <w:rPr>
          <w:rFonts w:ascii="Times New Roman" w:hAnsi="Times New Roman" w:cs="Times New Roman"/>
          <w:i/>
          <w:iCs/>
          <w:sz w:val="24"/>
          <w:szCs w:val="24"/>
        </w:rPr>
        <w:t>Lens culinaris</w:t>
      </w:r>
      <w:r w:rsidRPr="00A46D71">
        <w:rPr>
          <w:rFonts w:ascii="Times New Roman" w:hAnsi="Times New Roman" w:cs="Times New Roman"/>
          <w:sz w:val="24"/>
          <w:szCs w:val="24"/>
        </w:rPr>
        <w:t xml:space="preserve"> Medik) and weeds to different weed management practices under temperate conditions. </w:t>
      </w:r>
      <w:r w:rsidRPr="00A46D71">
        <w:rPr>
          <w:rFonts w:ascii="Times New Roman" w:hAnsi="Times New Roman" w:cs="Times New Roman"/>
          <w:i/>
          <w:iCs/>
          <w:sz w:val="24"/>
          <w:szCs w:val="24"/>
        </w:rPr>
        <w:t>Journal of AgriSearch, 2</w:t>
      </w:r>
      <w:r w:rsidRPr="00A46D71">
        <w:rPr>
          <w:rFonts w:ascii="Times New Roman" w:hAnsi="Times New Roman" w:cs="Times New Roman"/>
          <w:sz w:val="24"/>
          <w:szCs w:val="24"/>
        </w:rPr>
        <w:t>, 72–74.</w:t>
      </w:r>
    </w:p>
    <w:p w14:paraId="286ED052" w14:textId="3B19C76C"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Susha, V. S., Das, T. K., Nath, C. P., Pandey, R., Paul, S.,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Ghosh, S. (2018). Impacts of tillage and herbicide mixture on weed interference, agronomic productivity and profitability of a maize–wheat system in the north-western Indo-Gangetic plains. </w:t>
      </w:r>
      <w:r w:rsidRPr="00A46D71">
        <w:rPr>
          <w:rFonts w:ascii="Times New Roman" w:hAnsi="Times New Roman" w:cs="Times New Roman"/>
          <w:i/>
          <w:iCs/>
          <w:sz w:val="24"/>
          <w:szCs w:val="24"/>
        </w:rPr>
        <w:t>Field Crops Research, 219</w:t>
      </w:r>
      <w:r w:rsidRPr="00A46D71">
        <w:rPr>
          <w:rFonts w:ascii="Times New Roman" w:hAnsi="Times New Roman" w:cs="Times New Roman"/>
          <w:sz w:val="24"/>
          <w:szCs w:val="24"/>
        </w:rPr>
        <w:t xml:space="preserve">, 180–191. </w:t>
      </w:r>
      <w:hyperlink r:id="rId28" w:tgtFrame="_new" w:history="1">
        <w:r w:rsidRPr="00A46D71">
          <w:rPr>
            <w:rStyle w:val="Hyperlink"/>
            <w:rFonts w:ascii="Times New Roman" w:hAnsi="Times New Roman" w:cs="Times New Roman"/>
            <w:sz w:val="24"/>
            <w:szCs w:val="24"/>
          </w:rPr>
          <w:t>https://doi.org/10.1016/j.fcr.2018.02.003</w:t>
        </w:r>
      </w:hyperlink>
    </w:p>
    <w:p w14:paraId="3E3AAB29" w14:textId="2BFD6FDE"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Swanton, C. J., Nkoa, R.,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Blackshaw, R. E. (2015). Experimental methods for crop–weed competition studies. </w:t>
      </w:r>
      <w:r w:rsidRPr="00A46D71">
        <w:rPr>
          <w:rFonts w:ascii="Times New Roman" w:hAnsi="Times New Roman" w:cs="Times New Roman"/>
          <w:i/>
          <w:iCs/>
          <w:sz w:val="24"/>
          <w:szCs w:val="24"/>
        </w:rPr>
        <w:t>Weed Science, 63</w:t>
      </w:r>
      <w:r w:rsidRPr="00A46D71">
        <w:rPr>
          <w:rFonts w:ascii="Times New Roman" w:hAnsi="Times New Roman" w:cs="Times New Roman"/>
          <w:sz w:val="24"/>
          <w:szCs w:val="24"/>
        </w:rPr>
        <w:t xml:space="preserve">, 2–11. </w:t>
      </w:r>
      <w:hyperlink r:id="rId29" w:tgtFrame="_new" w:history="1">
        <w:r w:rsidRPr="00A46D71">
          <w:rPr>
            <w:rStyle w:val="Hyperlink"/>
            <w:rFonts w:ascii="Times New Roman" w:hAnsi="Times New Roman" w:cs="Times New Roman"/>
            <w:sz w:val="24"/>
            <w:szCs w:val="24"/>
          </w:rPr>
          <w:t>https://doi.org/10.1614/WS-D-13-00062.1</w:t>
        </w:r>
      </w:hyperlink>
    </w:p>
    <w:p w14:paraId="6BC527C6" w14:textId="20BC8D93" w:rsidR="00A46D71" w:rsidRPr="00A46D71" w:rsidRDefault="00A46D71" w:rsidP="00A46D71">
      <w:pPr>
        <w:spacing w:after="0" w:line="360" w:lineRule="auto"/>
        <w:ind w:left="720" w:hanging="720"/>
        <w:rPr>
          <w:rFonts w:ascii="Times New Roman" w:hAnsi="Times New Roman" w:cs="Times New Roman"/>
          <w:sz w:val="24"/>
          <w:szCs w:val="24"/>
        </w:rPr>
      </w:pPr>
      <w:r w:rsidRPr="00A46D71">
        <w:rPr>
          <w:rFonts w:ascii="Times New Roman" w:hAnsi="Times New Roman" w:cs="Times New Roman"/>
          <w:sz w:val="24"/>
          <w:szCs w:val="24"/>
        </w:rPr>
        <w:t xml:space="preserve">Zimdahl, R. L., </w:t>
      </w:r>
      <w:r w:rsidR="00B1088F">
        <w:rPr>
          <w:rFonts w:ascii="Times New Roman" w:hAnsi="Times New Roman" w:cs="Times New Roman"/>
          <w:sz w:val="24"/>
          <w:szCs w:val="24"/>
        </w:rPr>
        <w:t>and</w:t>
      </w:r>
      <w:r w:rsidRPr="00A46D71">
        <w:rPr>
          <w:rFonts w:ascii="Times New Roman" w:hAnsi="Times New Roman" w:cs="Times New Roman"/>
          <w:sz w:val="24"/>
          <w:szCs w:val="24"/>
        </w:rPr>
        <w:t xml:space="preserve"> Basinger, N. T. (2024). </w:t>
      </w:r>
      <w:r w:rsidRPr="00A46D71">
        <w:rPr>
          <w:rFonts w:ascii="Times New Roman" w:hAnsi="Times New Roman" w:cs="Times New Roman"/>
          <w:i/>
          <w:iCs/>
          <w:sz w:val="24"/>
          <w:szCs w:val="24"/>
        </w:rPr>
        <w:t>Fundamentals of weed science</w:t>
      </w:r>
      <w:r w:rsidRPr="00A46D71">
        <w:rPr>
          <w:rFonts w:ascii="Times New Roman" w:hAnsi="Times New Roman" w:cs="Times New Roman"/>
          <w:sz w:val="24"/>
          <w:szCs w:val="24"/>
        </w:rPr>
        <w:t xml:space="preserve"> (6th ed.). Academic Press / Elsevier.</w:t>
      </w:r>
      <w:r w:rsidR="00B1088F">
        <w:rPr>
          <w:rFonts w:ascii="Times New Roman" w:hAnsi="Times New Roman" w:cs="Times New Roman"/>
          <w:sz w:val="24"/>
          <w:szCs w:val="24"/>
        </w:rPr>
        <w:t xml:space="preserve"> </w:t>
      </w:r>
      <w:r w:rsidR="00B1088F" w:rsidRPr="00B1088F">
        <w:rPr>
          <w:rFonts w:ascii="Times New Roman" w:hAnsi="Times New Roman" w:cs="Times New Roman"/>
          <w:sz w:val="24"/>
          <w:szCs w:val="24"/>
        </w:rPr>
        <w:t>INCOMPLETE REFERENCE</w:t>
      </w:r>
      <w:r w:rsidR="00B1088F">
        <w:rPr>
          <w:rFonts w:ascii="Times New Roman" w:hAnsi="Times New Roman" w:cs="Times New Roman"/>
          <w:sz w:val="24"/>
          <w:szCs w:val="24"/>
        </w:rPr>
        <w:t>.</w:t>
      </w:r>
    </w:p>
    <w:p w14:paraId="0E996544" w14:textId="77777777" w:rsidR="00A46D71" w:rsidRPr="00A46D71" w:rsidRDefault="00A46D71" w:rsidP="00A46D71">
      <w:pPr>
        <w:spacing w:after="0" w:line="360" w:lineRule="auto"/>
        <w:ind w:left="720" w:hanging="720"/>
        <w:rPr>
          <w:rFonts w:ascii="Times New Roman" w:hAnsi="Times New Roman" w:cs="Times New Roman"/>
          <w:sz w:val="24"/>
          <w:szCs w:val="24"/>
        </w:rPr>
      </w:pPr>
    </w:p>
    <w:p w14:paraId="08601531" w14:textId="77777777" w:rsidR="00A46D71" w:rsidRPr="00A46D71" w:rsidRDefault="00A46D71" w:rsidP="00310E2A">
      <w:pPr>
        <w:rPr>
          <w:rFonts w:ascii="Times New Roman" w:hAnsi="Times New Roman" w:cs="Times New Roman"/>
          <w:sz w:val="24"/>
          <w:szCs w:val="24"/>
        </w:rPr>
      </w:pPr>
    </w:p>
    <w:p w14:paraId="1F900C11" w14:textId="77777777" w:rsidR="00487C34" w:rsidRPr="00A46D71" w:rsidRDefault="00487C34" w:rsidP="00310E2A">
      <w:pPr>
        <w:rPr>
          <w:rFonts w:ascii="Times New Roman" w:hAnsi="Times New Roman" w:cs="Times New Roman"/>
          <w:sz w:val="24"/>
          <w:szCs w:val="24"/>
        </w:rPr>
      </w:pPr>
    </w:p>
    <w:p w14:paraId="4AD16E54" w14:textId="77777777" w:rsidR="00487C34" w:rsidRPr="00A46D71" w:rsidRDefault="00487C34" w:rsidP="00310E2A">
      <w:pPr>
        <w:rPr>
          <w:rFonts w:ascii="Times New Roman" w:hAnsi="Times New Roman" w:cs="Times New Roman"/>
          <w:sz w:val="24"/>
          <w:szCs w:val="24"/>
        </w:rPr>
      </w:pPr>
    </w:p>
    <w:p w14:paraId="2F56CCB7" w14:textId="77777777" w:rsidR="00487C34" w:rsidRPr="00A46D71" w:rsidRDefault="00487C34" w:rsidP="00310E2A">
      <w:pPr>
        <w:rPr>
          <w:rFonts w:ascii="Times New Roman" w:hAnsi="Times New Roman" w:cs="Times New Roman"/>
          <w:sz w:val="24"/>
          <w:szCs w:val="24"/>
        </w:rPr>
      </w:pPr>
    </w:p>
    <w:p w14:paraId="75801508" w14:textId="2E7726DC" w:rsidR="00487C34" w:rsidRPr="00310E2A" w:rsidRDefault="00487C34" w:rsidP="00310E2A">
      <w:pPr>
        <w:rPr>
          <w:rFonts w:ascii="Times New Roman" w:hAnsi="Times New Roman" w:cs="Times New Roman"/>
          <w:sz w:val="24"/>
          <w:szCs w:val="24"/>
        </w:rPr>
      </w:pPr>
      <w:r w:rsidRPr="00A46D71">
        <w:rPr>
          <w:rFonts w:ascii="Times New Roman" w:hAnsi="Times New Roman" w:cs="Times New Roman"/>
          <w:sz w:val="24"/>
          <w:szCs w:val="24"/>
        </w:rPr>
        <w:t xml:space="preserve"> </w:t>
      </w:r>
    </w:p>
    <w:p w14:paraId="1BF526D3" w14:textId="4DD9BEAE" w:rsidR="001F62AB" w:rsidRPr="00A46D71" w:rsidRDefault="001F62AB">
      <w:pPr>
        <w:rPr>
          <w:rFonts w:ascii="Times New Roman" w:hAnsi="Times New Roman" w:cs="Times New Roman"/>
          <w:sz w:val="24"/>
          <w:szCs w:val="24"/>
        </w:rPr>
      </w:pPr>
    </w:p>
    <w:p w14:paraId="695D65F7" w14:textId="03325B4E" w:rsidR="00124CA5" w:rsidRPr="00A46D71" w:rsidRDefault="00124CA5">
      <w:pPr>
        <w:rPr>
          <w:rFonts w:ascii="Times New Roman" w:hAnsi="Times New Roman" w:cs="Times New Roman"/>
          <w:sz w:val="24"/>
          <w:szCs w:val="24"/>
        </w:rPr>
      </w:pPr>
    </w:p>
    <w:sectPr w:rsidR="00124CA5" w:rsidRPr="00A46D71">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B8859" w14:textId="77777777" w:rsidR="00025B01" w:rsidRDefault="00025B01" w:rsidP="000B4495">
      <w:pPr>
        <w:spacing w:after="0" w:line="240" w:lineRule="auto"/>
      </w:pPr>
      <w:r>
        <w:separator/>
      </w:r>
    </w:p>
  </w:endnote>
  <w:endnote w:type="continuationSeparator" w:id="0">
    <w:p w14:paraId="1FB29310" w14:textId="77777777" w:rsidR="00025B01" w:rsidRDefault="00025B01" w:rsidP="000B4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6D94" w14:textId="77777777" w:rsidR="000B4495" w:rsidRDefault="000B4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8D89" w14:textId="77777777" w:rsidR="000B4495" w:rsidRDefault="000B4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FDCA" w14:textId="77777777" w:rsidR="000B4495" w:rsidRDefault="000B4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35570" w14:textId="77777777" w:rsidR="00025B01" w:rsidRDefault="00025B01" w:rsidP="000B4495">
      <w:pPr>
        <w:spacing w:after="0" w:line="240" w:lineRule="auto"/>
      </w:pPr>
      <w:r>
        <w:separator/>
      </w:r>
    </w:p>
  </w:footnote>
  <w:footnote w:type="continuationSeparator" w:id="0">
    <w:p w14:paraId="44406AE3" w14:textId="77777777" w:rsidR="00025B01" w:rsidRDefault="00025B01" w:rsidP="000B4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4CCB" w14:textId="4CC99590" w:rsidR="000B4495" w:rsidRDefault="00000000">
    <w:pPr>
      <w:pStyle w:val="Header"/>
    </w:pPr>
    <w:r>
      <w:rPr>
        <w:noProof/>
      </w:rPr>
      <w:pict w14:anchorId="53144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0680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34AB" w14:textId="25FCAB71" w:rsidR="000B4495" w:rsidRDefault="00000000">
    <w:pPr>
      <w:pStyle w:val="Header"/>
    </w:pPr>
    <w:r>
      <w:rPr>
        <w:noProof/>
      </w:rPr>
      <w:pict w14:anchorId="1D7ED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0680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05F" w14:textId="5D1E92AA" w:rsidR="000B4495" w:rsidRDefault="00000000">
    <w:pPr>
      <w:pStyle w:val="Header"/>
    </w:pPr>
    <w:r>
      <w:rPr>
        <w:noProof/>
      </w:rPr>
      <w:pict w14:anchorId="3776A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0680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06C9F"/>
    <w:multiLevelType w:val="multilevel"/>
    <w:tmpl w:val="BD146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A8486A"/>
    <w:multiLevelType w:val="multilevel"/>
    <w:tmpl w:val="AC2C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7210F"/>
    <w:multiLevelType w:val="multilevel"/>
    <w:tmpl w:val="F874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FC430A"/>
    <w:multiLevelType w:val="multilevel"/>
    <w:tmpl w:val="1C3E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B61E30"/>
    <w:multiLevelType w:val="multilevel"/>
    <w:tmpl w:val="A27E4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7643BC"/>
    <w:multiLevelType w:val="multilevel"/>
    <w:tmpl w:val="9F004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35C84"/>
    <w:multiLevelType w:val="multilevel"/>
    <w:tmpl w:val="ECA4D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E659CD"/>
    <w:multiLevelType w:val="multilevel"/>
    <w:tmpl w:val="9FCCC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2002E01"/>
    <w:multiLevelType w:val="hybridMultilevel"/>
    <w:tmpl w:val="50729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404637">
    <w:abstractNumId w:val="3"/>
  </w:num>
  <w:num w:numId="2" w16cid:durableId="313721558">
    <w:abstractNumId w:val="1"/>
  </w:num>
  <w:num w:numId="3" w16cid:durableId="1618171993">
    <w:abstractNumId w:val="2"/>
  </w:num>
  <w:num w:numId="4" w16cid:durableId="1736972002">
    <w:abstractNumId w:val="4"/>
  </w:num>
  <w:num w:numId="5" w16cid:durableId="550968288">
    <w:abstractNumId w:val="5"/>
  </w:num>
  <w:num w:numId="6" w16cid:durableId="1031221330">
    <w:abstractNumId w:val="7"/>
  </w:num>
  <w:num w:numId="7" w16cid:durableId="304163969">
    <w:abstractNumId w:val="0"/>
  </w:num>
  <w:num w:numId="8" w16cid:durableId="1189636517">
    <w:abstractNumId w:val="6"/>
  </w:num>
  <w:num w:numId="9" w16cid:durableId="861820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7B"/>
    <w:rsid w:val="00025B01"/>
    <w:rsid w:val="00030072"/>
    <w:rsid w:val="00053758"/>
    <w:rsid w:val="00055468"/>
    <w:rsid w:val="00057323"/>
    <w:rsid w:val="000B4495"/>
    <w:rsid w:val="00124CA5"/>
    <w:rsid w:val="001338F7"/>
    <w:rsid w:val="001C16F8"/>
    <w:rsid w:val="001F62AB"/>
    <w:rsid w:val="00221A36"/>
    <w:rsid w:val="00294F66"/>
    <w:rsid w:val="002B7871"/>
    <w:rsid w:val="002E5E6A"/>
    <w:rsid w:val="002F76F3"/>
    <w:rsid w:val="00310E2A"/>
    <w:rsid w:val="00335609"/>
    <w:rsid w:val="00363FFF"/>
    <w:rsid w:val="00386D81"/>
    <w:rsid w:val="003B6C76"/>
    <w:rsid w:val="003D17F6"/>
    <w:rsid w:val="003F353B"/>
    <w:rsid w:val="004154B8"/>
    <w:rsid w:val="00477B7B"/>
    <w:rsid w:val="00487C34"/>
    <w:rsid w:val="004E4922"/>
    <w:rsid w:val="004F20EB"/>
    <w:rsid w:val="005739D9"/>
    <w:rsid w:val="0059541F"/>
    <w:rsid w:val="005969A1"/>
    <w:rsid w:val="005D3AFB"/>
    <w:rsid w:val="005F1588"/>
    <w:rsid w:val="005F4F33"/>
    <w:rsid w:val="0060738B"/>
    <w:rsid w:val="00630DC3"/>
    <w:rsid w:val="006A156A"/>
    <w:rsid w:val="007379EC"/>
    <w:rsid w:val="00741DE2"/>
    <w:rsid w:val="00757A4F"/>
    <w:rsid w:val="007C7B13"/>
    <w:rsid w:val="007F0316"/>
    <w:rsid w:val="00826F36"/>
    <w:rsid w:val="008E1A0D"/>
    <w:rsid w:val="0091319E"/>
    <w:rsid w:val="0096312B"/>
    <w:rsid w:val="009A07D4"/>
    <w:rsid w:val="009B7622"/>
    <w:rsid w:val="009C596D"/>
    <w:rsid w:val="009D19EA"/>
    <w:rsid w:val="00A04E3D"/>
    <w:rsid w:val="00A46D71"/>
    <w:rsid w:val="00A553E8"/>
    <w:rsid w:val="00A5693E"/>
    <w:rsid w:val="00A57EF7"/>
    <w:rsid w:val="00A62CA8"/>
    <w:rsid w:val="00A81898"/>
    <w:rsid w:val="00AE7879"/>
    <w:rsid w:val="00B1088F"/>
    <w:rsid w:val="00B1401D"/>
    <w:rsid w:val="00B16DDE"/>
    <w:rsid w:val="00B23328"/>
    <w:rsid w:val="00B82BF4"/>
    <w:rsid w:val="00B9609A"/>
    <w:rsid w:val="00C0642C"/>
    <w:rsid w:val="00C37378"/>
    <w:rsid w:val="00C5029C"/>
    <w:rsid w:val="00C775CD"/>
    <w:rsid w:val="00C8083B"/>
    <w:rsid w:val="00C832FA"/>
    <w:rsid w:val="00C86E29"/>
    <w:rsid w:val="00CA3687"/>
    <w:rsid w:val="00CC724D"/>
    <w:rsid w:val="00CC78E4"/>
    <w:rsid w:val="00D002EF"/>
    <w:rsid w:val="00D8309D"/>
    <w:rsid w:val="00DD4B85"/>
    <w:rsid w:val="00DF74F2"/>
    <w:rsid w:val="00E33EB2"/>
    <w:rsid w:val="00E370CB"/>
    <w:rsid w:val="00E60E23"/>
    <w:rsid w:val="00E80BEF"/>
    <w:rsid w:val="00EB2569"/>
    <w:rsid w:val="00F17F99"/>
    <w:rsid w:val="00FB6A64"/>
    <w:rsid w:val="00FC4A04"/>
    <w:rsid w:val="00FD6ACB"/>
    <w:rsid w:val="00FE0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9F54D"/>
  <w15:chartTrackingRefBased/>
  <w15:docId w15:val="{BFC99819-30C2-4BEA-9500-D2E7C1B6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DE"/>
    <w:pPr>
      <w:spacing w:line="259" w:lineRule="auto"/>
    </w:pPr>
    <w:rPr>
      <w:sz w:val="22"/>
      <w:szCs w:val="22"/>
    </w:rPr>
  </w:style>
  <w:style w:type="paragraph" w:styleId="Heading1">
    <w:name w:val="heading 1"/>
    <w:basedOn w:val="Normal"/>
    <w:next w:val="Normal"/>
    <w:link w:val="Heading1Char"/>
    <w:uiPriority w:val="9"/>
    <w:qFormat/>
    <w:rsid w:val="00477B7B"/>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B7B"/>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B7B"/>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B7B"/>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477B7B"/>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477B7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77B7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77B7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77B7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B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B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B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B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B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B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B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B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B7B"/>
    <w:rPr>
      <w:rFonts w:eastAsiaTheme="majorEastAsia" w:cstheme="majorBidi"/>
      <w:color w:val="272727" w:themeColor="text1" w:themeTint="D8"/>
    </w:rPr>
  </w:style>
  <w:style w:type="paragraph" w:styleId="Title">
    <w:name w:val="Title"/>
    <w:basedOn w:val="Normal"/>
    <w:next w:val="Normal"/>
    <w:link w:val="TitleChar"/>
    <w:uiPriority w:val="10"/>
    <w:qFormat/>
    <w:rsid w:val="00477B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B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B7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B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B7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77B7B"/>
    <w:rPr>
      <w:i/>
      <w:iCs/>
      <w:color w:val="404040" w:themeColor="text1" w:themeTint="BF"/>
    </w:rPr>
  </w:style>
  <w:style w:type="paragraph" w:styleId="ListParagraph">
    <w:name w:val="List Paragraph"/>
    <w:basedOn w:val="Normal"/>
    <w:uiPriority w:val="34"/>
    <w:qFormat/>
    <w:rsid w:val="00477B7B"/>
    <w:pPr>
      <w:spacing w:line="278" w:lineRule="auto"/>
      <w:ind w:left="720"/>
      <w:contextualSpacing/>
    </w:pPr>
    <w:rPr>
      <w:sz w:val="24"/>
      <w:szCs w:val="24"/>
    </w:rPr>
  </w:style>
  <w:style w:type="character" w:styleId="IntenseEmphasis">
    <w:name w:val="Intense Emphasis"/>
    <w:basedOn w:val="DefaultParagraphFont"/>
    <w:uiPriority w:val="21"/>
    <w:qFormat/>
    <w:rsid w:val="00477B7B"/>
    <w:rPr>
      <w:i/>
      <w:iCs/>
      <w:color w:val="2F5496" w:themeColor="accent1" w:themeShade="BF"/>
    </w:rPr>
  </w:style>
  <w:style w:type="paragraph" w:styleId="IntenseQuote">
    <w:name w:val="Intense Quote"/>
    <w:basedOn w:val="Normal"/>
    <w:next w:val="Normal"/>
    <w:link w:val="IntenseQuoteChar"/>
    <w:uiPriority w:val="30"/>
    <w:qFormat/>
    <w:rsid w:val="00477B7B"/>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477B7B"/>
    <w:rPr>
      <w:i/>
      <w:iCs/>
      <w:color w:val="2F5496" w:themeColor="accent1" w:themeShade="BF"/>
    </w:rPr>
  </w:style>
  <w:style w:type="character" w:styleId="IntenseReference">
    <w:name w:val="Intense Reference"/>
    <w:basedOn w:val="DefaultParagraphFont"/>
    <w:uiPriority w:val="32"/>
    <w:qFormat/>
    <w:rsid w:val="00477B7B"/>
    <w:rPr>
      <w:b/>
      <w:bCs/>
      <w:smallCaps/>
      <w:color w:val="2F5496" w:themeColor="accent1" w:themeShade="BF"/>
      <w:spacing w:val="5"/>
    </w:rPr>
  </w:style>
  <w:style w:type="table" w:styleId="TableGrid">
    <w:name w:val="Table Grid"/>
    <w:basedOn w:val="TableNormal"/>
    <w:uiPriority w:val="39"/>
    <w:rsid w:val="00B16DD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16DD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16DDE"/>
    <w:rPr>
      <w:rFonts w:ascii="Consolas" w:hAnsi="Consolas"/>
      <w:sz w:val="21"/>
      <w:szCs w:val="21"/>
    </w:rPr>
  </w:style>
  <w:style w:type="character" w:styleId="CommentReference">
    <w:name w:val="annotation reference"/>
    <w:uiPriority w:val="99"/>
    <w:unhideWhenUsed/>
    <w:rsid w:val="00B16DDE"/>
    <w:rPr>
      <w:sz w:val="16"/>
      <w:szCs w:val="16"/>
    </w:rPr>
  </w:style>
  <w:style w:type="character" w:styleId="Hyperlink">
    <w:name w:val="Hyperlink"/>
    <w:basedOn w:val="DefaultParagraphFont"/>
    <w:uiPriority w:val="99"/>
    <w:unhideWhenUsed/>
    <w:rsid w:val="0091319E"/>
    <w:rPr>
      <w:color w:val="0563C1" w:themeColor="hyperlink"/>
      <w:u w:val="single"/>
    </w:rPr>
  </w:style>
  <w:style w:type="character" w:styleId="UnresolvedMention">
    <w:name w:val="Unresolved Mention"/>
    <w:basedOn w:val="DefaultParagraphFont"/>
    <w:uiPriority w:val="99"/>
    <w:semiHidden/>
    <w:unhideWhenUsed/>
    <w:rsid w:val="0091319E"/>
    <w:rPr>
      <w:color w:val="605E5C"/>
      <w:shd w:val="clear" w:color="auto" w:fill="E1DFDD"/>
    </w:rPr>
  </w:style>
  <w:style w:type="character" w:styleId="FollowedHyperlink">
    <w:name w:val="FollowedHyperlink"/>
    <w:basedOn w:val="DefaultParagraphFont"/>
    <w:uiPriority w:val="99"/>
    <w:semiHidden/>
    <w:unhideWhenUsed/>
    <w:rsid w:val="005969A1"/>
    <w:rPr>
      <w:color w:val="954F72" w:themeColor="followedHyperlink"/>
      <w:u w:val="single"/>
    </w:rPr>
  </w:style>
  <w:style w:type="paragraph" w:styleId="Header">
    <w:name w:val="header"/>
    <w:basedOn w:val="Normal"/>
    <w:link w:val="HeaderChar"/>
    <w:uiPriority w:val="99"/>
    <w:unhideWhenUsed/>
    <w:rsid w:val="000B4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495"/>
    <w:rPr>
      <w:sz w:val="22"/>
      <w:szCs w:val="22"/>
    </w:rPr>
  </w:style>
  <w:style w:type="paragraph" w:styleId="Footer">
    <w:name w:val="footer"/>
    <w:basedOn w:val="Normal"/>
    <w:link w:val="FooterChar"/>
    <w:uiPriority w:val="99"/>
    <w:unhideWhenUsed/>
    <w:rsid w:val="000B4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49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8034/abr.v10i3.480" TargetMode="External"/><Relationship Id="rId13" Type="http://schemas.openxmlformats.org/officeDocument/2006/relationships/hyperlink" Target="https://www.researchgate.net/publication/304704489_Integrated_weed_management_in_jute" TargetMode="External"/><Relationship Id="rId18" Type="http://schemas.openxmlformats.org/officeDocument/2006/relationships/hyperlink" Target="http://www.aascit.org/journal/biology" TargetMode="External"/><Relationship Id="rId26" Type="http://schemas.openxmlformats.org/officeDocument/2006/relationships/hyperlink" Target="https://openresearch.okstate.edu/server/api/core/bitstreams/93f0e9ae-c0c5-401f-b3ea-5bfaba53cd1f/content" TargetMode="External"/><Relationship Id="rId3" Type="http://schemas.openxmlformats.org/officeDocument/2006/relationships/settings" Target="settings.xml"/><Relationship Id="rId21" Type="http://schemas.openxmlformats.org/officeDocument/2006/relationships/hyperlink" Target="https://www.researchgate.net/publication/281616704" TargetMode="External"/><Relationship Id="rId34" Type="http://schemas.openxmlformats.org/officeDocument/2006/relationships/header" Target="header3.xml"/><Relationship Id="rId7" Type="http://schemas.openxmlformats.org/officeDocument/2006/relationships/hyperlink" Target="https://doi.org/10.1016/bs.agron.2017.10.005" TargetMode="External"/><Relationship Id="rId12" Type="http://schemas.openxmlformats.org/officeDocument/2006/relationships/hyperlink" Target="https://doi.org/10.59797/ija.v65i4.2996" TargetMode="External"/><Relationship Id="rId17" Type="http://schemas.openxmlformats.org/officeDocument/2006/relationships/hyperlink" Target="https://doi.org/10.25081/jsa.2017.v1.834" TargetMode="External"/><Relationship Id="rId25" Type="http://schemas.openxmlformats.org/officeDocument/2006/relationships/hyperlink" Target="https://imskolkata.org/article1/002-10-16.pdf"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3390/su15129282" TargetMode="External"/><Relationship Id="rId20" Type="http://schemas.openxmlformats.org/officeDocument/2006/relationships/hyperlink" Target="https://doi.org/10.1614/WS-D-13-00062.1" TargetMode="External"/><Relationship Id="rId29" Type="http://schemas.openxmlformats.org/officeDocument/2006/relationships/hyperlink" Target="https://doi.org/10.1614/WS-D-13-0006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wet.2019.68" TargetMode="External"/><Relationship Id="rId24" Type="http://schemas.openxmlformats.org/officeDocument/2006/relationships/hyperlink" Target="http://scholarsresearchlibrary.com/ABR-vol5-iss3/ABR-2014-5-3-1-7.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56946/jspae.v4i1.694" TargetMode="External"/><Relationship Id="rId23" Type="http://schemas.openxmlformats.org/officeDocument/2006/relationships/hyperlink" Target="https://doi.org/10.1016/j.heliyon.2021.e08129" TargetMode="External"/><Relationship Id="rId28" Type="http://schemas.openxmlformats.org/officeDocument/2006/relationships/hyperlink" Target="https://doi.org/10.1016/j.fcr.2018.02.003" TargetMode="External"/><Relationship Id="rId36" Type="http://schemas.openxmlformats.org/officeDocument/2006/relationships/fontTable" Target="fontTable.xml"/><Relationship Id="rId10" Type="http://schemas.openxmlformats.org/officeDocument/2006/relationships/hyperlink" Target="https://doi.org/10.3329/baj.v21i1.39361" TargetMode="External"/><Relationship Id="rId19" Type="http://schemas.openxmlformats.org/officeDocument/2006/relationships/hyperlink" Target="https://doi.org/10.5958/0974-8164.2017.00098.3"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bbs.gov.bd/site/page/453af260-6aea-4331-b4a5-7b66fe63ba61/Agriculture" TargetMode="External"/><Relationship Id="rId14" Type="http://schemas.openxmlformats.org/officeDocument/2006/relationships/hyperlink" Target="https://www.wiley.com/en-us/Statistical+Procedures+for+Agricultural+Research%2C+2nd+Edition-p-9780471870920" TargetMode="External"/><Relationship Id="rId22" Type="http://schemas.openxmlformats.org/officeDocument/2006/relationships/hyperlink" Target="https://doi.org/10.1016/B978-0-12-818581-0.00022-X" TargetMode="External"/><Relationship Id="rId27" Type="http://schemas.openxmlformats.org/officeDocument/2006/relationships/hyperlink" Target="https://gkvsociety.com/control/uploads/Integrated%20weed%20management%20in%20jute.pdf"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13</Pages>
  <Words>5575</Words>
  <Characters>31784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Editor GP 005</cp:lastModifiedBy>
  <cp:revision>47</cp:revision>
  <dcterms:created xsi:type="dcterms:W3CDTF">2025-10-25T16:23:00Z</dcterms:created>
  <dcterms:modified xsi:type="dcterms:W3CDTF">2025-11-06T12:14:00Z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35da145d-576c-49e1-a647-fb9f8fbfe32d</vt:lpwstr>
  </property>
</Properties>
</file>