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54EC9" w14:textId="054777C2" w:rsidR="00754C9A" w:rsidRDefault="00454E27" w:rsidP="00441B6F">
      <w:pPr>
        <w:pStyle w:val="Title"/>
        <w:spacing w:after="0"/>
        <w:jc w:val="both"/>
        <w:rPr>
          <w:rFonts w:ascii="Arial" w:hAnsi="Arial" w:cs="Arial"/>
          <w:sz w:val="32"/>
          <w:szCs w:val="18"/>
          <w:u w:val="single"/>
        </w:rPr>
      </w:pPr>
      <w:r w:rsidRPr="00454E27">
        <w:rPr>
          <w:rFonts w:ascii="Arial" w:hAnsi="Arial" w:cs="Arial"/>
          <w:sz w:val="32"/>
          <w:szCs w:val="18"/>
          <w:u w:val="single"/>
        </w:rPr>
        <w:t>Original Research Article</w:t>
      </w:r>
    </w:p>
    <w:p w14:paraId="1056C1B5" w14:textId="77777777" w:rsidR="00454E27" w:rsidRPr="00454E27" w:rsidRDefault="00454E27" w:rsidP="00441B6F">
      <w:pPr>
        <w:pStyle w:val="Title"/>
        <w:spacing w:after="0"/>
        <w:jc w:val="both"/>
        <w:rPr>
          <w:rFonts w:ascii="Arial" w:hAnsi="Arial" w:cs="Arial"/>
          <w:sz w:val="32"/>
          <w:szCs w:val="18"/>
          <w:u w:val="single"/>
        </w:rPr>
      </w:pPr>
    </w:p>
    <w:p w14:paraId="770542BA" w14:textId="77777777" w:rsidR="009D148F" w:rsidRDefault="009D148F" w:rsidP="009D148F">
      <w:pPr>
        <w:jc w:val="right"/>
        <w:rPr>
          <w:rFonts w:ascii="Arial" w:hAnsi="Arial" w:cs="Arial"/>
          <w:b/>
          <w:bCs/>
          <w:sz w:val="36"/>
          <w:szCs w:val="36"/>
        </w:rPr>
      </w:pPr>
      <w:r>
        <w:rPr>
          <w:rFonts w:ascii="Arial" w:hAnsi="Arial" w:cs="Arial"/>
          <w:b/>
          <w:bCs/>
          <w:sz w:val="36"/>
          <w:szCs w:val="36"/>
        </w:rPr>
        <w:t>D</w:t>
      </w:r>
      <w:r w:rsidRPr="000B710A">
        <w:rPr>
          <w:rFonts w:ascii="Arial" w:hAnsi="Arial" w:cs="Arial"/>
          <w:b/>
          <w:bCs/>
          <w:sz w:val="36"/>
          <w:szCs w:val="36"/>
        </w:rPr>
        <w:t xml:space="preserve">eterminants of Social and Technological </w:t>
      </w:r>
      <w:r>
        <w:rPr>
          <w:rFonts w:ascii="Arial" w:hAnsi="Arial" w:cs="Arial"/>
          <w:b/>
          <w:bCs/>
          <w:sz w:val="36"/>
          <w:szCs w:val="36"/>
        </w:rPr>
        <w:t>i</w:t>
      </w:r>
      <w:r w:rsidRPr="000B710A">
        <w:rPr>
          <w:rFonts w:ascii="Arial" w:hAnsi="Arial" w:cs="Arial"/>
          <w:b/>
          <w:bCs/>
          <w:sz w:val="36"/>
          <w:szCs w:val="36"/>
        </w:rPr>
        <w:t xml:space="preserve">nnovations </w:t>
      </w:r>
      <w:r>
        <w:rPr>
          <w:rFonts w:ascii="Arial" w:hAnsi="Arial" w:cs="Arial"/>
          <w:b/>
          <w:bCs/>
          <w:sz w:val="36"/>
          <w:szCs w:val="36"/>
        </w:rPr>
        <w:t xml:space="preserve">adoption </w:t>
      </w:r>
      <w:r w:rsidRPr="000B710A">
        <w:rPr>
          <w:rFonts w:ascii="Arial" w:hAnsi="Arial" w:cs="Arial"/>
          <w:b/>
          <w:bCs/>
          <w:sz w:val="36"/>
          <w:szCs w:val="36"/>
        </w:rPr>
        <w:t>among Small Tea Growers (STGs) in South India</w:t>
      </w:r>
    </w:p>
    <w:p w14:paraId="79892765" w14:textId="77777777" w:rsidR="002C57D2" w:rsidRPr="00FB3A86" w:rsidRDefault="002C57D2" w:rsidP="00441B6F">
      <w:pPr>
        <w:pStyle w:val="Affiliation"/>
        <w:spacing w:after="0" w:line="240" w:lineRule="auto"/>
        <w:jc w:val="both"/>
        <w:rPr>
          <w:rFonts w:ascii="Arial" w:hAnsi="Arial" w:cs="Arial"/>
        </w:rPr>
      </w:pPr>
    </w:p>
    <w:p w14:paraId="1DB94EDF" w14:textId="16BDF8BB" w:rsidR="00B01FCD" w:rsidRPr="00FB3A86" w:rsidRDefault="003F3A2F" w:rsidP="00441B6F">
      <w:pPr>
        <w:pStyle w:val="Copyright"/>
        <w:spacing w:after="0" w:line="240" w:lineRule="auto"/>
        <w:jc w:val="both"/>
        <w:rPr>
          <w:rFonts w:ascii="Arial" w:hAnsi="Arial" w:cs="Arial"/>
        </w:rPr>
        <w:sectPr w:rsidR="00B01FCD" w:rsidRPr="00FB3A86" w:rsidSect="007E38A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AC4885" wp14:editId="01D0E58C">
                <wp:extent cx="5303520" cy="635"/>
                <wp:effectExtent l="17145" t="15875" r="13335" b="12700"/>
                <wp:docPr id="21052299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9B3A7B"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82A547B" w14:textId="77777777" w:rsidR="006E3D6B" w:rsidRDefault="006E3D6B" w:rsidP="00441B6F">
      <w:pPr>
        <w:pStyle w:val="AbstHead"/>
        <w:spacing w:after="0"/>
        <w:jc w:val="both"/>
        <w:rPr>
          <w:rFonts w:ascii="Arial" w:hAnsi="Arial" w:cs="Arial"/>
        </w:rPr>
      </w:pPr>
    </w:p>
    <w:p w14:paraId="69137A2E" w14:textId="10FBD516" w:rsidR="00B01FCD" w:rsidRDefault="00B01FCD" w:rsidP="00441B6F">
      <w:pPr>
        <w:pStyle w:val="AbstHead"/>
        <w:spacing w:after="0"/>
        <w:jc w:val="both"/>
        <w:rPr>
          <w:rFonts w:ascii="Arial" w:hAnsi="Arial" w:cs="Arial"/>
        </w:rPr>
      </w:pPr>
      <w:r w:rsidRPr="00FB3A86">
        <w:rPr>
          <w:rFonts w:ascii="Arial" w:hAnsi="Arial" w:cs="Arial"/>
        </w:rPr>
        <w:t>ABSTRACT</w:t>
      </w:r>
    </w:p>
    <w:p w14:paraId="2B4327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94BE42" w14:textId="77777777" w:rsidTr="001E44FE">
        <w:tc>
          <w:tcPr>
            <w:tcW w:w="9576" w:type="dxa"/>
            <w:shd w:val="clear" w:color="auto" w:fill="F2F2F2"/>
          </w:tcPr>
          <w:p w14:paraId="6BF7195C" w14:textId="160E1573" w:rsidR="00505F06" w:rsidRPr="009D148F" w:rsidRDefault="00334F8A" w:rsidP="00441B6F">
            <w:pPr>
              <w:pStyle w:val="Body"/>
              <w:spacing w:after="0"/>
              <w:rPr>
                <w:rFonts w:ascii="Arial" w:eastAsia="Calibri" w:hAnsi="Arial" w:cs="Arial"/>
                <w:szCs w:val="22"/>
                <w:lang w:val="en-IN"/>
              </w:rPr>
            </w:pPr>
            <w:r>
              <w:t xml:space="preserve">This study examined the adoption of social and technological innovations among Small Tea Growers (STGs) in Tamil Nadu and Kerala. Data from 150 growers were </w:t>
            </w:r>
            <w:r w:rsidR="00A94A6A">
              <w:t>analyzed</w:t>
            </w:r>
            <w:r>
              <w:t xml:space="preserve"> to identify the major factors influencing adoption behaviour. Most growers reported a medium level of innovation adoption, indicating a gradual but steady uptake of improved practices in the small tea sector. Annual income, occupation, area under tea and access to basic mechanization showed positive associations with adoption, while age and formal education exhibited negative relationships, suggesting that younger and moderately educated growers were more receptive to new practices. MCA was used to examine the contribution of variables such as age, education, occupation, income, farm machinery and area under tea to the adoption dimensions. The findings also indicated that Tamil Nadu growers had higher adoption levels than Kerala growers, largely due to stronger institutional support and better access to key resources. These results highlight the need for targeted support that enhances growers’ economic capacity and strengthens their linkages with extension and cooperative networks. Improving access to affordable credit, practical training, and low-cost mechanization can further accelerate innovation uptake. The study provides useful insights for researchers and policymakers seeking to promote sustainable improvements in smallholder tea cultivation.</w:t>
            </w:r>
          </w:p>
        </w:tc>
      </w:tr>
    </w:tbl>
    <w:p w14:paraId="4253A9BE" w14:textId="77777777" w:rsidR="00636EB2" w:rsidRDefault="00636EB2" w:rsidP="00441B6F">
      <w:pPr>
        <w:pStyle w:val="Body"/>
        <w:spacing w:after="0"/>
        <w:rPr>
          <w:rFonts w:ascii="Arial" w:hAnsi="Arial" w:cs="Arial"/>
          <w:i/>
        </w:rPr>
      </w:pPr>
    </w:p>
    <w:p w14:paraId="1EA3A79B" w14:textId="3E98E30E" w:rsidR="00A24E7E" w:rsidRDefault="00A24E7E" w:rsidP="00441B6F">
      <w:pPr>
        <w:pStyle w:val="Body"/>
        <w:spacing w:after="0"/>
        <w:rPr>
          <w:rFonts w:ascii="Arial" w:hAnsi="Arial" w:cs="Arial"/>
          <w:i/>
        </w:rPr>
      </w:pPr>
      <w:r>
        <w:rPr>
          <w:rFonts w:ascii="Arial" w:hAnsi="Arial" w:cs="Arial"/>
          <w:i/>
        </w:rPr>
        <w:t xml:space="preserve">Keywords: </w:t>
      </w:r>
      <w:r w:rsidR="009D148F" w:rsidRPr="009D148F">
        <w:rPr>
          <w:rFonts w:ascii="Arial" w:hAnsi="Arial" w:cs="Arial"/>
          <w:i/>
        </w:rPr>
        <w:t>Small tea growers, innovation adoption, social innovations, technological innovations, determinants, Multiple Correspondence Analysis (MCA).</w:t>
      </w:r>
    </w:p>
    <w:p w14:paraId="418BA825" w14:textId="536DBDF8" w:rsidR="00505F06" w:rsidRPr="00A24E7E" w:rsidRDefault="00505F06" w:rsidP="00441B6F">
      <w:pPr>
        <w:pStyle w:val="Body"/>
        <w:spacing w:after="0"/>
        <w:rPr>
          <w:rFonts w:ascii="Arial" w:hAnsi="Arial" w:cs="Arial"/>
          <w:i/>
        </w:rPr>
      </w:pPr>
    </w:p>
    <w:p w14:paraId="25BE7899" w14:textId="0039D24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15D4CB" w14:textId="77777777" w:rsidR="009D148F" w:rsidRDefault="009D148F" w:rsidP="009D148F">
      <w:pPr>
        <w:tabs>
          <w:tab w:val="left" w:pos="1270"/>
        </w:tabs>
        <w:spacing w:after="160" w:line="259" w:lineRule="auto"/>
        <w:contextualSpacing/>
        <w:jc w:val="both"/>
        <w:rPr>
          <w:rFonts w:ascii="Arial" w:eastAsia="Calibri" w:hAnsi="Arial" w:cs="Arial"/>
          <w:kern w:val="2"/>
          <w:lang w:val="en-IN"/>
        </w:rPr>
        <w:sectPr w:rsidR="009D148F" w:rsidSect="007E38A6">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6A0E0879" w14:textId="77777777" w:rsidR="00374FDC" w:rsidRDefault="00374FDC" w:rsidP="009D148F">
      <w:pPr>
        <w:tabs>
          <w:tab w:val="left" w:pos="1270"/>
        </w:tabs>
        <w:spacing w:after="160" w:line="259" w:lineRule="auto"/>
        <w:contextualSpacing/>
        <w:jc w:val="both"/>
        <w:rPr>
          <w:rFonts w:ascii="Arial" w:eastAsia="Calibri" w:hAnsi="Arial" w:cs="Arial"/>
          <w:kern w:val="2"/>
          <w:lang w:val="en-IN"/>
        </w:rPr>
      </w:pPr>
    </w:p>
    <w:p w14:paraId="70C5A9B5" w14:textId="530B0D67" w:rsidR="009D148F" w:rsidRPr="009D148F" w:rsidRDefault="009D148F" w:rsidP="009D148F">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Tea (</w:t>
      </w:r>
      <w:r w:rsidRPr="009D148F">
        <w:rPr>
          <w:rFonts w:ascii="Arial" w:eastAsia="Calibri" w:hAnsi="Arial" w:cs="Arial"/>
          <w:i/>
          <w:iCs/>
          <w:kern w:val="2"/>
          <w:lang w:val="en-IN"/>
        </w:rPr>
        <w:t>Camellia sinensis</w:t>
      </w:r>
      <w:r w:rsidRPr="009D148F">
        <w:rPr>
          <w:rFonts w:ascii="Arial" w:eastAsia="Calibri" w:hAnsi="Arial" w:cs="Arial"/>
          <w:kern w:val="2"/>
          <w:lang w:val="en-IN"/>
        </w:rPr>
        <w:t xml:space="preserve">) is the second most consumed beverage in the world after water, contributing significantly to rural employment, export earnings, and livelihood security in several developing countries [1]. Globally, Asia dominates tea production, with China and India together accounting for more than two-thirds of the total output. India ranks as the second-largest tea producer, with an annual production of nearly 1.38 million tonnes in 2023-24 [2]. Major tea-growing regions include Assam and West Bengal in the north and the southern states of Tamil Nadu, Kerala, and Karnataka, which </w:t>
      </w:r>
      <w:r w:rsidRPr="009D148F">
        <w:rPr>
          <w:rFonts w:ascii="Arial" w:eastAsia="Calibri" w:hAnsi="Arial" w:cs="Arial"/>
          <w:kern w:val="2"/>
          <w:lang w:val="en-IN"/>
        </w:rPr>
        <w:t>together contribute about 17 percent of the country’s total production [3].</w:t>
      </w:r>
    </w:p>
    <w:p w14:paraId="1A1E6A23" w14:textId="77777777" w:rsidR="00A94A6A" w:rsidRDefault="00A94A6A" w:rsidP="007E38A6">
      <w:pPr>
        <w:tabs>
          <w:tab w:val="left" w:pos="1270"/>
        </w:tabs>
        <w:spacing w:after="160" w:line="259" w:lineRule="auto"/>
        <w:contextualSpacing/>
        <w:jc w:val="both"/>
        <w:rPr>
          <w:rFonts w:ascii="Arial" w:eastAsia="Calibri" w:hAnsi="Arial" w:cs="Arial"/>
          <w:kern w:val="2"/>
          <w:lang w:val="en-IN"/>
        </w:rPr>
      </w:pPr>
    </w:p>
    <w:p w14:paraId="2AE46BC6" w14:textId="0467B885" w:rsidR="007E38A6" w:rsidRDefault="009D148F" w:rsidP="007E38A6">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 xml:space="preserve">Over the past few decades, the Indian tea industry has seen major changes with the rapid growth of small tea growers (STGs). These farmers, who cultivate tea on less than 25 acres of land, now produce more than half of India’s total tea output [4]. The rise of STGs has helped diversify tea production and create new rural employment opportunities. However, it has also brought several challenges related to maintaining productivity, ensuring quality, and improving market access. Many smallholders continue to face barriers such </w:t>
      </w:r>
      <w:r w:rsidRPr="009D148F">
        <w:rPr>
          <w:rFonts w:ascii="Arial" w:eastAsia="Calibri" w:hAnsi="Arial" w:cs="Arial"/>
          <w:kern w:val="2"/>
          <w:lang w:val="en-IN"/>
        </w:rPr>
        <w:lastRenderedPageBreak/>
        <w:t>as limited access to technical advice, credit, and extension support, and they largely depend on Bought-Leaf Factories (BLFs) for processing and selling their tea [5,6]. To overcome these issues, greater attention is needed on promoting social and technological innovations that can improve efficiency, strengthen quality standards, and enhance the competitiveness of small tea farms.</w:t>
      </w:r>
    </w:p>
    <w:p w14:paraId="6417CA8F" w14:textId="77777777" w:rsidR="00DF0A24" w:rsidRDefault="00DF0A24" w:rsidP="007E38A6">
      <w:pPr>
        <w:tabs>
          <w:tab w:val="left" w:pos="1270"/>
        </w:tabs>
        <w:spacing w:after="160" w:line="259" w:lineRule="auto"/>
        <w:contextualSpacing/>
        <w:jc w:val="both"/>
        <w:rPr>
          <w:rFonts w:ascii="Arial" w:eastAsia="Calibri" w:hAnsi="Arial" w:cs="Arial"/>
          <w:kern w:val="2"/>
          <w:lang w:val="en-IN"/>
        </w:rPr>
      </w:pPr>
    </w:p>
    <w:p w14:paraId="6BA985F1" w14:textId="353E1CD2" w:rsidR="009D148F" w:rsidRPr="007E38A6" w:rsidRDefault="009D148F" w:rsidP="007E38A6">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Technological changes such as better pruning and plucking methods, proper shade management, use of organic manure, integrated pest and disease control, and mechanization have played a key role in improving yield and maintaining the quality of green leaves in tea cultivation [7,8]. Alongside these, social initiatives like group certification, collective marketing, participation in cooperatives, and farmer training programmes have helped strengthen coordination and linkages among growers [9, 10 ,11]. Together, these technological and social efforts support knowledge sharing, improve product quality, and contribute to better and more sustainable livelihoods for small tea farmers.</w:t>
      </w:r>
    </w:p>
    <w:p w14:paraId="61845A12" w14:textId="77777777" w:rsidR="009D148F" w:rsidRPr="009D148F" w:rsidRDefault="009D148F" w:rsidP="009D148F">
      <w:pPr>
        <w:tabs>
          <w:tab w:val="left" w:pos="1270"/>
        </w:tabs>
        <w:spacing w:after="160" w:line="259" w:lineRule="auto"/>
        <w:contextualSpacing/>
        <w:jc w:val="both"/>
        <w:rPr>
          <w:rFonts w:ascii="Arial" w:eastAsia="Calibri" w:hAnsi="Arial" w:cs="Arial"/>
          <w:kern w:val="2"/>
          <w:sz w:val="18"/>
          <w:szCs w:val="18"/>
          <w:lang w:val="en-IN"/>
        </w:rPr>
      </w:pPr>
    </w:p>
    <w:p w14:paraId="147EA68A" w14:textId="08D3CB7E" w:rsidR="005F1D5F" w:rsidRDefault="009D148F" w:rsidP="00DF0A24">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 xml:space="preserve">Despite several initiatives by the Tea Board of India and cooperative organisations to promote such innovations [4,2], adoption levels among smallholders remain uneven. Variations in education, experience, training exposure, and institutional support have led to differing adoption intensities across regions [12,13]. Previous studies have generally examined either the technological or the social dimension in isolation, offering limited understanding of their combined influence on adoption behaviour. A comprehensive assessment that integrates both aspects is therefore </w:t>
      </w:r>
      <w:r w:rsidRPr="009D148F">
        <w:rPr>
          <w:rFonts w:ascii="Arial" w:eastAsia="Calibri" w:hAnsi="Arial" w:cs="Arial"/>
          <w:kern w:val="2"/>
          <w:lang w:val="en-IN"/>
        </w:rPr>
        <w:t xml:space="preserve">essential to identify the factors shaping innovation adoption among STGs in South India. </w:t>
      </w:r>
    </w:p>
    <w:p w14:paraId="32EBF4C3" w14:textId="77777777" w:rsidR="001C5119" w:rsidRDefault="001C5119" w:rsidP="005F1D5F">
      <w:pPr>
        <w:pStyle w:val="AbstHead"/>
        <w:spacing w:after="0"/>
        <w:jc w:val="both"/>
        <w:rPr>
          <w:rFonts w:ascii="Arial" w:eastAsia="Calibri" w:hAnsi="Arial" w:cs="Arial"/>
          <w:b w:val="0"/>
          <w:caps w:val="0"/>
          <w:kern w:val="2"/>
          <w:sz w:val="20"/>
          <w:lang w:val="en-IN"/>
        </w:rPr>
      </w:pPr>
      <w:r w:rsidRPr="001C5119">
        <w:rPr>
          <w:rFonts w:ascii="Arial" w:eastAsia="Calibri" w:hAnsi="Arial" w:cs="Arial"/>
          <w:b w:val="0"/>
          <w:caps w:val="0"/>
          <w:kern w:val="2"/>
          <w:sz w:val="20"/>
          <w:lang w:val="en-IN"/>
        </w:rPr>
        <w:t>The present study attempts to address this gap by examining the extent of adoption of social and technological innovations among small tea growers in South India and the key factors influencing their adoption behaviour. Using Multiple Correspondence Analysis (MCA), the study provides evidence on how socio-economic characteristics, institutional support, and farming context shape the innovation decisions of growers. The findings offer useful insights for researchers and policymakers, helping them design practical strategies that strengthen extension support, promote innovation diffusion, and improve the livelihoods of smallholder tea growers.</w:t>
      </w:r>
    </w:p>
    <w:p w14:paraId="6EC1EE13" w14:textId="77777777" w:rsidR="001C5119" w:rsidRDefault="001C5119" w:rsidP="005F1D5F">
      <w:pPr>
        <w:pStyle w:val="AbstHead"/>
        <w:spacing w:after="0"/>
        <w:jc w:val="both"/>
        <w:rPr>
          <w:rFonts w:ascii="Arial" w:eastAsia="Calibri" w:hAnsi="Arial" w:cs="Arial"/>
          <w:b w:val="0"/>
          <w:caps w:val="0"/>
          <w:kern w:val="2"/>
          <w:sz w:val="20"/>
          <w:lang w:val="en-IN"/>
        </w:rPr>
      </w:pPr>
    </w:p>
    <w:p w14:paraId="53B83015" w14:textId="21199DA8" w:rsidR="005F1D5F" w:rsidRDefault="005F1D5F" w:rsidP="005F1D5F">
      <w:pPr>
        <w:pStyle w:val="AbstHead"/>
        <w:spacing w:after="0"/>
        <w:jc w:val="both"/>
        <w:rPr>
          <w:rFonts w:ascii="Arial" w:hAnsi="Arial" w:cs="Arial"/>
        </w:rPr>
      </w:pPr>
      <w:r>
        <w:rPr>
          <w:rFonts w:ascii="Arial" w:hAnsi="Arial" w:cs="Arial"/>
        </w:rPr>
        <w:t xml:space="preserve">2. methodology </w:t>
      </w:r>
    </w:p>
    <w:p w14:paraId="7E3F1959" w14:textId="77777777" w:rsidR="001C5119" w:rsidRDefault="001C5119" w:rsidP="005F1D5F">
      <w:pPr>
        <w:pStyle w:val="AbstHead"/>
        <w:spacing w:after="0"/>
        <w:jc w:val="both"/>
        <w:rPr>
          <w:rFonts w:ascii="Arial" w:hAnsi="Arial" w:cs="Arial"/>
        </w:rPr>
      </w:pPr>
    </w:p>
    <w:p w14:paraId="5C1966C6" w14:textId="77777777" w:rsidR="005F1D5F" w:rsidRPr="000B710A" w:rsidRDefault="005F1D5F" w:rsidP="005F1D5F">
      <w:pPr>
        <w:pStyle w:val="ListParagraph"/>
        <w:numPr>
          <w:ilvl w:val="1"/>
          <w:numId w:val="31"/>
        </w:numPr>
        <w:spacing w:line="240" w:lineRule="auto"/>
        <w:jc w:val="both"/>
        <w:rPr>
          <w:rFonts w:ascii="Arial" w:hAnsi="Arial" w:cs="Arial"/>
          <w:b/>
          <w:bCs/>
        </w:rPr>
      </w:pPr>
      <w:r w:rsidRPr="000B710A">
        <w:rPr>
          <w:rFonts w:ascii="Arial" w:hAnsi="Arial" w:cs="Arial"/>
          <w:b/>
          <w:bCs/>
        </w:rPr>
        <w:t>Objective</w:t>
      </w:r>
    </w:p>
    <w:p w14:paraId="69CF5C0B" w14:textId="77777777" w:rsidR="00374FDC" w:rsidRDefault="00374FDC" w:rsidP="005F1D5F">
      <w:pPr>
        <w:pStyle w:val="ListParagraph"/>
        <w:spacing w:line="240" w:lineRule="auto"/>
        <w:ind w:left="0"/>
        <w:jc w:val="both"/>
        <w:rPr>
          <w:rFonts w:ascii="Arial" w:hAnsi="Arial" w:cs="Arial"/>
          <w:sz w:val="20"/>
          <w:szCs w:val="20"/>
        </w:rPr>
      </w:pPr>
    </w:p>
    <w:p w14:paraId="5588AF44" w14:textId="1882B7BC" w:rsidR="005F1D5F" w:rsidRPr="000B710A" w:rsidRDefault="005F1D5F" w:rsidP="005F1D5F">
      <w:pPr>
        <w:pStyle w:val="ListParagraph"/>
        <w:spacing w:line="240" w:lineRule="auto"/>
        <w:ind w:left="0"/>
        <w:jc w:val="both"/>
        <w:rPr>
          <w:rFonts w:ascii="Arial" w:hAnsi="Arial" w:cs="Arial"/>
          <w:sz w:val="20"/>
          <w:szCs w:val="20"/>
        </w:rPr>
      </w:pPr>
      <w:r w:rsidRPr="000B710A">
        <w:rPr>
          <w:rFonts w:ascii="Arial" w:hAnsi="Arial" w:cs="Arial"/>
          <w:sz w:val="20"/>
          <w:szCs w:val="20"/>
        </w:rPr>
        <w:t>To assess the extent of adoption of social and technological innovations among small tea growers (STGs) in South India and to identify the major socio-economic and agro-ecological determinants influencing their adoption behaviour.</w:t>
      </w:r>
    </w:p>
    <w:p w14:paraId="771000DC" w14:textId="77777777" w:rsidR="005F1D5F" w:rsidRPr="000B710A" w:rsidRDefault="005F1D5F" w:rsidP="005F1D5F">
      <w:pPr>
        <w:pStyle w:val="ListParagraph"/>
        <w:spacing w:line="240" w:lineRule="auto"/>
        <w:ind w:left="0"/>
        <w:jc w:val="both"/>
        <w:rPr>
          <w:rFonts w:ascii="Arial" w:hAnsi="Arial" w:cs="Arial"/>
          <w:b/>
          <w:bCs/>
        </w:rPr>
      </w:pPr>
    </w:p>
    <w:p w14:paraId="3BFDF5F4" w14:textId="77777777" w:rsidR="005F1D5F" w:rsidRPr="000B710A" w:rsidRDefault="005F1D5F" w:rsidP="005F1D5F">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t>2.1 Location of the study</w:t>
      </w:r>
    </w:p>
    <w:p w14:paraId="1263C4D4" w14:textId="77777777" w:rsidR="00374FDC" w:rsidRDefault="00374FDC" w:rsidP="00A05270">
      <w:pPr>
        <w:pStyle w:val="ListParagraph"/>
        <w:spacing w:line="240" w:lineRule="auto"/>
        <w:ind w:left="0"/>
        <w:jc w:val="both"/>
        <w:rPr>
          <w:rFonts w:ascii="Arial" w:hAnsi="Arial" w:cs="Arial"/>
          <w:sz w:val="20"/>
          <w:szCs w:val="20"/>
        </w:rPr>
      </w:pPr>
    </w:p>
    <w:p w14:paraId="2C914132" w14:textId="0DF530F4" w:rsidR="005F1D5F" w:rsidRPr="00A05270" w:rsidRDefault="005F1D5F" w:rsidP="00A05270">
      <w:pPr>
        <w:pStyle w:val="ListParagraph"/>
        <w:spacing w:line="240" w:lineRule="auto"/>
        <w:ind w:left="0"/>
        <w:jc w:val="both"/>
        <w:rPr>
          <w:rFonts w:ascii="Arial" w:hAnsi="Arial" w:cs="Arial"/>
          <w:b/>
          <w:bCs/>
          <w:sz w:val="18"/>
          <w:szCs w:val="18"/>
        </w:rPr>
        <w:sectPr w:rsidR="005F1D5F" w:rsidRPr="00A05270" w:rsidSect="007E38A6">
          <w:type w:val="continuous"/>
          <w:pgSz w:w="12240" w:h="15840"/>
          <w:pgMar w:top="1440" w:right="2016" w:bottom="2016" w:left="2016" w:header="720" w:footer="1123" w:gutter="0"/>
          <w:cols w:num="2" w:space="720"/>
          <w:docGrid w:linePitch="272"/>
        </w:sectPr>
      </w:pPr>
      <w:r w:rsidRPr="000B710A">
        <w:rPr>
          <w:rFonts w:ascii="Arial" w:hAnsi="Arial" w:cs="Arial"/>
          <w:sz w:val="20"/>
          <w:szCs w:val="20"/>
        </w:rPr>
        <w:t>The study was conducted in the southern tea-growing regions of Tamil Nadu and Kerala. Within these states, the Nilgiris district in Tamil Nadu and the Wayanad district in Kerala were purposively selected because of their prominence in smallholder tea cultivation and favourable agro-ecological conditions. Both districts have a large concentration of Small Tea Growers (STGs) operating under cooperative as well as private arrangements.</w:t>
      </w:r>
    </w:p>
    <w:p w14:paraId="0AE9B4E5" w14:textId="5F3BC719" w:rsidR="005F1D5F" w:rsidRPr="005F1D5F" w:rsidRDefault="005F1D5F" w:rsidP="005F1D5F">
      <w:pPr>
        <w:pStyle w:val="Body"/>
        <w:tabs>
          <w:tab w:val="left" w:pos="4610"/>
        </w:tabs>
        <w:spacing w:after="0"/>
        <w:rPr>
          <w:rFonts w:ascii="Arial" w:hAnsi="Arial" w:cs="Arial"/>
        </w:rPr>
        <w:sectPr w:rsidR="005F1D5F" w:rsidRPr="005F1D5F" w:rsidSect="007E38A6">
          <w:type w:val="continuous"/>
          <w:pgSz w:w="12240" w:h="15840"/>
          <w:pgMar w:top="1440" w:right="2016" w:bottom="2016" w:left="2016" w:header="720" w:footer="1123" w:gutter="0"/>
          <w:cols w:space="720"/>
          <w:docGrid w:linePitch="272"/>
        </w:sectPr>
      </w:pPr>
    </w:p>
    <w:p w14:paraId="49524749" w14:textId="77777777" w:rsidR="007E38A6" w:rsidRDefault="007E38A6" w:rsidP="007E38A6">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lastRenderedPageBreak/>
        <w:t>2.2 Sampling procedure</w:t>
      </w:r>
    </w:p>
    <w:p w14:paraId="45DC23C8" w14:textId="31998A83" w:rsidR="007E38A6" w:rsidRDefault="00523D80" w:rsidP="00523D80">
      <w:pPr>
        <w:jc w:val="both"/>
        <w:rPr>
          <w:rFonts w:ascii="Arial" w:hAnsi="Arial" w:cs="Arial"/>
        </w:rPr>
      </w:pPr>
      <w:r w:rsidRPr="00523D80">
        <w:rPr>
          <w:rFonts w:ascii="Arial" w:hAnsi="Arial" w:cs="Arial"/>
        </w:rPr>
        <w:t>The study adopted a purposive sampling method to select two major tea-growing districts in South India</w:t>
      </w:r>
      <w:r>
        <w:rPr>
          <w:rFonts w:ascii="Arial" w:hAnsi="Arial" w:cs="Arial"/>
        </w:rPr>
        <w:t xml:space="preserve"> </w:t>
      </w:r>
      <w:r w:rsidRPr="00523D80">
        <w:rPr>
          <w:rFonts w:ascii="Arial" w:hAnsi="Arial" w:cs="Arial"/>
        </w:rPr>
        <w:t>the Nilgiris in Tamil Nadu and Wayanad in Kerala</w:t>
      </w:r>
      <w:r>
        <w:rPr>
          <w:rFonts w:ascii="Arial" w:hAnsi="Arial" w:cs="Arial"/>
        </w:rPr>
        <w:t xml:space="preserve"> </w:t>
      </w:r>
      <w:r w:rsidRPr="00523D80">
        <w:rPr>
          <w:rFonts w:ascii="Arial" w:hAnsi="Arial" w:cs="Arial"/>
        </w:rPr>
        <w:t xml:space="preserve">based on the predominance of small tea growers in these regions. Within these districts, key blocks such as Coonoor, Gudalur, and Udhagamandalam in the </w:t>
      </w:r>
      <w:proofErr w:type="spellStart"/>
      <w:r w:rsidRPr="00523D80">
        <w:rPr>
          <w:rFonts w:ascii="Arial" w:hAnsi="Arial" w:cs="Arial"/>
        </w:rPr>
        <w:t>Nilgiris</w:t>
      </w:r>
      <w:proofErr w:type="spellEnd"/>
      <w:r w:rsidRPr="00523D80">
        <w:rPr>
          <w:rFonts w:ascii="Arial" w:hAnsi="Arial" w:cs="Arial"/>
        </w:rPr>
        <w:t xml:space="preserve"> and Sultan </w:t>
      </w:r>
      <w:proofErr w:type="spellStart"/>
      <w:r w:rsidRPr="00523D80">
        <w:rPr>
          <w:rFonts w:ascii="Arial" w:hAnsi="Arial" w:cs="Arial"/>
        </w:rPr>
        <w:t>Bathery</w:t>
      </w:r>
      <w:proofErr w:type="spellEnd"/>
      <w:r w:rsidRPr="00523D80">
        <w:rPr>
          <w:rFonts w:ascii="Arial" w:hAnsi="Arial" w:cs="Arial"/>
        </w:rPr>
        <w:t xml:space="preserve"> and </w:t>
      </w:r>
      <w:proofErr w:type="spellStart"/>
      <w:r w:rsidRPr="00523D80">
        <w:rPr>
          <w:rFonts w:ascii="Arial" w:hAnsi="Arial" w:cs="Arial"/>
        </w:rPr>
        <w:t>Mananthavady</w:t>
      </w:r>
      <w:proofErr w:type="spellEnd"/>
      <w:r w:rsidRPr="00523D80">
        <w:rPr>
          <w:rFonts w:ascii="Arial" w:hAnsi="Arial" w:cs="Arial"/>
        </w:rPr>
        <w:t xml:space="preserve"> in Wayanad were identified for data collection.</w:t>
      </w:r>
      <w:r>
        <w:rPr>
          <w:rFonts w:ascii="Arial" w:hAnsi="Arial" w:cs="Arial"/>
        </w:rPr>
        <w:t xml:space="preserve"> </w:t>
      </w:r>
      <w:r w:rsidRPr="00523D80">
        <w:rPr>
          <w:rFonts w:ascii="Arial" w:hAnsi="Arial" w:cs="Arial"/>
        </w:rPr>
        <w:t>A proportionate random sampling approach was used to select 150 small tea growers (100 from the Nilgiris and 50 from Wayanad), ensuring that the sample reflected the distribution of growers across the districts. In addition, 50 extension personnel from the Tea Board of India, UPASI, NGOs, and government departments were included to capture institutional perspectives. Thus, the total sample size consisted of 200 respondents, ensuring balanced representation of small tea producers and key institutional stakeholders.</w:t>
      </w:r>
    </w:p>
    <w:p w14:paraId="0B19D0F2" w14:textId="77777777" w:rsidR="00523D80" w:rsidRPr="00523D80" w:rsidRDefault="00523D80" w:rsidP="00523D80">
      <w:pPr>
        <w:jc w:val="both"/>
        <w:rPr>
          <w:rFonts w:ascii="Arial" w:hAnsi="Arial" w:cs="Arial"/>
        </w:rPr>
      </w:pPr>
    </w:p>
    <w:p w14:paraId="295581B4" w14:textId="77777777" w:rsidR="007E38A6" w:rsidRPr="000B710A" w:rsidRDefault="007E38A6" w:rsidP="007E38A6">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t>2.3 Data collection and analysis</w:t>
      </w:r>
    </w:p>
    <w:p w14:paraId="34A63FF6" w14:textId="7BC421FD" w:rsidR="007E38A6" w:rsidRDefault="00523D80" w:rsidP="007E38A6">
      <w:pPr>
        <w:jc w:val="both"/>
      </w:pPr>
      <w:r>
        <w:t xml:space="preserve">Primary data were collected using a structured and pre-tested interview schedule administered through semi-structured interviews and field observations. The instrument captured socio-economic, agro-ecological, and behavioural characteristics of growers, along with their adoption of social and technological innovations. The </w:t>
      </w:r>
      <w:r w:rsidRPr="00523D80">
        <w:rPr>
          <w:rStyle w:val="Strong"/>
          <w:b w:val="0"/>
          <w:bCs w:val="0"/>
        </w:rPr>
        <w:t>Adoption Index</w:t>
      </w:r>
      <w:r>
        <w:t xml:space="preserve"> was computed following the method of [15], which measures the intensity of adoption across multiple recommended practices:</w:t>
      </w:r>
    </w:p>
    <w:p w14:paraId="3420EC73" w14:textId="77777777" w:rsidR="00523D80" w:rsidRPr="000B710A" w:rsidRDefault="00523D80" w:rsidP="007E38A6">
      <w:pPr>
        <w:jc w:val="both"/>
        <w:rPr>
          <w:rFonts w:ascii="Arial" w:hAnsi="Arial" w:cs="Arial"/>
        </w:rPr>
      </w:pPr>
    </w:p>
    <w:p w14:paraId="68F08DFE" w14:textId="77777777" w:rsidR="007E38A6" w:rsidRPr="000B710A" w:rsidRDefault="007E38A6" w:rsidP="007E38A6">
      <w:pPr>
        <w:jc w:val="both"/>
        <w:rPr>
          <w:rFonts w:ascii="Arial" w:hAnsi="Arial" w:cs="Arial"/>
        </w:rPr>
      </w:pPr>
      <w:r w:rsidRPr="000B710A">
        <w:rPr>
          <w:rFonts w:ascii="Arial" w:hAnsi="Arial" w:cs="Arial"/>
        </w:rPr>
        <w:t xml:space="preserve">Adoption index = </w:t>
      </w:r>
      <m:oMath>
        <m:f>
          <m:fPr>
            <m:ctrlPr>
              <w:rPr>
                <w:rFonts w:ascii="Cambria Math" w:hAnsi="Cambria Math" w:cs="Arial"/>
                <w:iCs/>
              </w:rPr>
            </m:ctrlPr>
          </m:fPr>
          <m:num>
            <m:r>
              <m:rPr>
                <m:sty m:val="p"/>
              </m:rPr>
              <w:rPr>
                <w:rFonts w:ascii="Cambria Math" w:hAnsi="Cambria Math" w:cs="Arial"/>
              </w:rPr>
              <m:t>Actual adoption score</m:t>
            </m:r>
          </m:num>
          <m:den>
            <m:r>
              <m:rPr>
                <m:sty m:val="p"/>
              </m:rPr>
              <w:rPr>
                <w:rFonts w:ascii="Cambria Math" w:hAnsi="Cambria Math" w:cs="Arial"/>
              </w:rPr>
              <m:t>Total possible score</m:t>
            </m:r>
          </m:den>
        </m:f>
      </m:oMath>
      <w:r w:rsidRPr="000B710A">
        <w:rPr>
          <w:rFonts w:ascii="Arial" w:eastAsiaTheme="minorEastAsia" w:hAnsi="Arial" w:cs="Arial"/>
          <w:iCs/>
        </w:rPr>
        <w:t xml:space="preserve"> x 100</w:t>
      </w:r>
    </w:p>
    <w:p w14:paraId="6F842A01" w14:textId="77777777" w:rsidR="007E38A6" w:rsidRPr="000B710A" w:rsidRDefault="007E38A6" w:rsidP="007E38A6">
      <w:pPr>
        <w:jc w:val="both"/>
        <w:rPr>
          <w:rFonts w:ascii="Arial" w:hAnsi="Arial" w:cs="Arial"/>
          <w:b/>
          <w:bCs/>
        </w:rPr>
      </w:pPr>
    </w:p>
    <w:p w14:paraId="65A5C8AA" w14:textId="61010935" w:rsidR="007E38A6" w:rsidRDefault="00A57497" w:rsidP="00523D80">
      <w:pPr>
        <w:jc w:val="both"/>
        <w:rPr>
          <w:rFonts w:ascii="Arial" w:hAnsi="Arial" w:cs="Arial"/>
        </w:rPr>
      </w:pPr>
      <w:r>
        <w:t xml:space="preserve">The Adoption Index was calculated for each respondent based on the identified social and technological innovations. For every practice, a score of 1 was given if the farmer had adopted it and 0 otherwise. The total adoption score for each respondent was divided by the maximum possible score and multiplied by 100, yielding an index ranging from 0 to 100. Higher values indicate greater intensity of innovation adoption. </w:t>
      </w:r>
      <w:r w:rsidR="00523D80">
        <w:t xml:space="preserve">Based on the calculated adoption index, respondents were classified into </w:t>
      </w:r>
      <w:r w:rsidR="00523D80" w:rsidRPr="00523D80">
        <w:rPr>
          <w:rStyle w:val="Strong"/>
          <w:b w:val="0"/>
          <w:bCs w:val="0"/>
        </w:rPr>
        <w:t>low,</w:t>
      </w:r>
      <w:r w:rsidR="00523D80">
        <w:rPr>
          <w:rStyle w:val="Strong"/>
        </w:rPr>
        <w:t xml:space="preserve"> </w:t>
      </w:r>
      <w:r w:rsidR="00523D80" w:rsidRPr="00523D80">
        <w:rPr>
          <w:rStyle w:val="Strong"/>
          <w:b w:val="0"/>
          <w:bCs w:val="0"/>
        </w:rPr>
        <w:t>medium, and high adoption groups</w:t>
      </w:r>
      <w:r w:rsidR="00523D80">
        <w:t xml:space="preserve"> using the quartile approach, where the first quartile (Q1) represented low adoption, the second quartile (Q2) represented medium adoption, and the third quartile (Q3) indicated high adoption. Descriptive statistics such as mean and percentage were used to summarize the data. </w:t>
      </w:r>
      <w:r w:rsidR="00523D80" w:rsidRPr="00523D80">
        <w:rPr>
          <w:rStyle w:val="Strong"/>
          <w:b w:val="0"/>
          <w:bCs w:val="0"/>
        </w:rPr>
        <w:t>Multiple Correspondence Analysis (MCA)</w:t>
      </w:r>
      <w:r w:rsidR="00523D80">
        <w:t xml:space="preserve"> was employed to examine the contribution of </w:t>
      </w:r>
      <w:r w:rsidR="00523D80">
        <w:t xml:space="preserve">categorical variables such as age, education, occupation, income, area under tea, and farm machinery to the adoption dimensions. All analyses were carried out using </w:t>
      </w:r>
      <w:r w:rsidR="00523D80" w:rsidRPr="00523D80">
        <w:rPr>
          <w:rStyle w:val="Strong"/>
          <w:b w:val="0"/>
          <w:bCs w:val="0"/>
        </w:rPr>
        <w:t>IBM SPSS Statistics v26</w:t>
      </w:r>
      <w:r w:rsidR="00523D80">
        <w:t>, and results were presented through numerical summaries and graphical interpretations.</w:t>
      </w:r>
    </w:p>
    <w:p w14:paraId="301034E0" w14:textId="77777777" w:rsidR="00A94A6A" w:rsidRDefault="00A94A6A" w:rsidP="00441B6F">
      <w:pPr>
        <w:pStyle w:val="Head1"/>
        <w:spacing w:after="0"/>
        <w:jc w:val="both"/>
        <w:rPr>
          <w:rFonts w:ascii="Arial" w:hAnsi="Arial" w:cs="Arial"/>
        </w:rPr>
      </w:pPr>
    </w:p>
    <w:p w14:paraId="7B03509F" w14:textId="3A497B6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F0CCC" w14:textId="77777777" w:rsidR="005F1D5F" w:rsidRDefault="005F1D5F" w:rsidP="00441B6F">
      <w:pPr>
        <w:pStyle w:val="Head1"/>
        <w:spacing w:after="0"/>
        <w:jc w:val="both"/>
        <w:rPr>
          <w:rFonts w:ascii="Arial" w:hAnsi="Arial" w:cs="Arial"/>
        </w:rPr>
      </w:pPr>
    </w:p>
    <w:p w14:paraId="57A850BC" w14:textId="77777777" w:rsidR="007E38A6" w:rsidRDefault="007E38A6" w:rsidP="007E38A6">
      <w:pPr>
        <w:jc w:val="both"/>
        <w:rPr>
          <w:rFonts w:ascii="Arial" w:hAnsi="Arial" w:cs="Arial"/>
          <w:b/>
          <w:bCs/>
        </w:rPr>
      </w:pPr>
      <w:r w:rsidRPr="000B710A">
        <w:rPr>
          <w:rFonts w:ascii="Arial" w:hAnsi="Arial" w:cs="Arial"/>
          <w:b/>
          <w:bCs/>
        </w:rPr>
        <w:t>3.1 Socio-personal dimension</w:t>
      </w:r>
    </w:p>
    <w:p w14:paraId="74440595" w14:textId="77777777" w:rsidR="005F1D5F" w:rsidRPr="000B710A" w:rsidRDefault="005F1D5F" w:rsidP="007E38A6">
      <w:pPr>
        <w:jc w:val="both"/>
        <w:rPr>
          <w:rFonts w:ascii="Arial" w:hAnsi="Arial" w:cs="Arial"/>
          <w:b/>
          <w:bCs/>
        </w:rPr>
      </w:pPr>
    </w:p>
    <w:p w14:paraId="6F2E2724" w14:textId="77777777" w:rsidR="007E38A6" w:rsidRPr="000B710A" w:rsidRDefault="007E38A6" w:rsidP="007E38A6">
      <w:pPr>
        <w:jc w:val="both"/>
        <w:rPr>
          <w:rFonts w:ascii="Arial" w:hAnsi="Arial" w:cs="Arial"/>
          <w:b/>
          <w:bCs/>
        </w:rPr>
      </w:pPr>
      <w:r w:rsidRPr="000B710A">
        <w:rPr>
          <w:rFonts w:ascii="Arial" w:hAnsi="Arial" w:cs="Arial"/>
          <w:b/>
          <w:bCs/>
        </w:rPr>
        <w:t>3.1.1 Age</w:t>
      </w:r>
    </w:p>
    <w:p w14:paraId="498EFFB9" w14:textId="77777777" w:rsidR="00374FDC" w:rsidRDefault="00374FDC" w:rsidP="007E38A6">
      <w:pPr>
        <w:jc w:val="both"/>
        <w:rPr>
          <w:rFonts w:ascii="Arial" w:hAnsi="Arial" w:cs="Arial"/>
        </w:rPr>
      </w:pPr>
    </w:p>
    <w:p w14:paraId="58A09107" w14:textId="6D7200A1" w:rsidR="007E38A6" w:rsidRDefault="007E38A6" w:rsidP="007E38A6">
      <w:pPr>
        <w:jc w:val="both"/>
        <w:rPr>
          <w:rFonts w:ascii="Arial" w:hAnsi="Arial" w:cs="Arial"/>
        </w:rPr>
      </w:pPr>
      <w:r w:rsidRPr="000B710A">
        <w:rPr>
          <w:rFonts w:ascii="Arial" w:hAnsi="Arial" w:cs="Arial"/>
        </w:rPr>
        <w:t>The respondents were grouped into three major categories</w:t>
      </w:r>
      <w:r>
        <w:rPr>
          <w:rFonts w:ascii="Arial" w:hAnsi="Arial" w:cs="Arial"/>
        </w:rPr>
        <w:t xml:space="preserve"> - </w:t>
      </w:r>
      <w:r w:rsidRPr="000B710A">
        <w:rPr>
          <w:rFonts w:ascii="Arial" w:hAnsi="Arial" w:cs="Arial"/>
        </w:rPr>
        <w:t>youth (≤ 35 years), middle-aged (36–50 years), and senior farmers (&gt; 50 years). The distribution of small tea growers across these age groups is presented in Table 1.</w:t>
      </w:r>
    </w:p>
    <w:p w14:paraId="706EEBD6" w14:textId="77777777" w:rsidR="005F1D5F" w:rsidRPr="000B710A" w:rsidRDefault="005F1D5F" w:rsidP="007E38A6">
      <w:pPr>
        <w:jc w:val="both"/>
        <w:rPr>
          <w:rFonts w:ascii="Arial" w:hAnsi="Arial" w:cs="Arial"/>
        </w:rPr>
      </w:pPr>
    </w:p>
    <w:p w14:paraId="22E8AA9D" w14:textId="77777777" w:rsidR="007E38A6" w:rsidRDefault="007E38A6" w:rsidP="007E38A6">
      <w:pPr>
        <w:jc w:val="both"/>
        <w:rPr>
          <w:rFonts w:ascii="Arial" w:hAnsi="Arial" w:cs="Arial"/>
        </w:rPr>
      </w:pPr>
      <w:r w:rsidRPr="000B710A">
        <w:rPr>
          <w:rFonts w:ascii="Arial" w:hAnsi="Arial" w:cs="Arial"/>
        </w:rPr>
        <w:t xml:space="preserve">Most growers fall in the senior category (&gt;50 years), representing 68% of the sample overall, with a higher share in Kerala (74%) than Tamil Nadu (65%). Only 4% are youth (≤35 years). This age structure signals an ageing smallholder workforce, echoing national evidence of rising farmer age and low youth entry into agriculture </w:t>
      </w:r>
      <w:r>
        <w:rPr>
          <w:rFonts w:ascii="Arial" w:hAnsi="Arial" w:cs="Arial"/>
        </w:rPr>
        <w:t>[16]</w:t>
      </w:r>
      <w:r w:rsidRPr="000B710A">
        <w:rPr>
          <w:rFonts w:ascii="Arial" w:hAnsi="Arial" w:cs="Arial"/>
        </w:rPr>
        <w:t xml:space="preserve">. </w:t>
      </w:r>
    </w:p>
    <w:p w14:paraId="185E3110" w14:textId="77777777" w:rsidR="004C56D3" w:rsidRPr="000B710A" w:rsidRDefault="004C56D3" w:rsidP="007E38A6">
      <w:pPr>
        <w:jc w:val="both"/>
        <w:rPr>
          <w:rFonts w:ascii="Arial" w:hAnsi="Arial" w:cs="Arial"/>
        </w:rPr>
      </w:pPr>
    </w:p>
    <w:p w14:paraId="52E6002E" w14:textId="77777777" w:rsidR="007E38A6" w:rsidRPr="000B710A" w:rsidRDefault="007E38A6" w:rsidP="007E38A6">
      <w:pPr>
        <w:jc w:val="both"/>
        <w:rPr>
          <w:rFonts w:ascii="Arial" w:hAnsi="Arial" w:cs="Arial"/>
        </w:rPr>
      </w:pPr>
      <w:r w:rsidRPr="000B710A">
        <w:rPr>
          <w:rFonts w:ascii="Arial" w:hAnsi="Arial" w:cs="Arial"/>
        </w:rPr>
        <w:t xml:space="preserve">In tea smallholdings, limited profitability and better non-farm options often draw younger family members away, leaving older household heads to manage tea gardens </w:t>
      </w:r>
      <w:r>
        <w:rPr>
          <w:rFonts w:ascii="Arial" w:hAnsi="Arial" w:cs="Arial"/>
        </w:rPr>
        <w:t>[5,</w:t>
      </w:r>
      <w:r w:rsidRPr="000B710A">
        <w:rPr>
          <w:rFonts w:ascii="Arial" w:hAnsi="Arial" w:cs="Arial"/>
        </w:rPr>
        <w:t xml:space="preserve"> </w:t>
      </w:r>
      <w:r>
        <w:rPr>
          <w:rFonts w:ascii="Arial" w:hAnsi="Arial" w:cs="Arial"/>
        </w:rPr>
        <w:t>6]</w:t>
      </w:r>
      <w:r w:rsidRPr="000B710A">
        <w:rPr>
          <w:rFonts w:ascii="Arial" w:hAnsi="Arial" w:cs="Arial"/>
        </w:rPr>
        <w:t>. Recent work on STGs in South India also notes that older growers dominate production networks and institutional spaces, with implications for innovation uptake and labour availability</w:t>
      </w:r>
      <w:r>
        <w:rPr>
          <w:rFonts w:ascii="Arial" w:hAnsi="Arial" w:cs="Arial"/>
        </w:rPr>
        <w:t xml:space="preserve"> [14].</w:t>
      </w:r>
    </w:p>
    <w:p w14:paraId="260B7AF2" w14:textId="77777777" w:rsidR="005F1D5F" w:rsidRDefault="005F1D5F" w:rsidP="007E38A6">
      <w:pPr>
        <w:jc w:val="both"/>
        <w:rPr>
          <w:rFonts w:ascii="Arial" w:hAnsi="Arial" w:cs="Arial"/>
          <w:b/>
          <w:bCs/>
        </w:rPr>
      </w:pPr>
    </w:p>
    <w:p w14:paraId="5CA1D8EC" w14:textId="6A5A5212" w:rsidR="007E38A6" w:rsidRPr="000B710A" w:rsidRDefault="007E38A6" w:rsidP="007E38A6">
      <w:pPr>
        <w:jc w:val="both"/>
        <w:rPr>
          <w:rFonts w:ascii="Arial" w:hAnsi="Arial" w:cs="Arial"/>
          <w:b/>
          <w:bCs/>
        </w:rPr>
      </w:pPr>
      <w:r w:rsidRPr="000B710A">
        <w:rPr>
          <w:rFonts w:ascii="Arial" w:hAnsi="Arial" w:cs="Arial"/>
          <w:b/>
          <w:bCs/>
        </w:rPr>
        <w:t>3.1.2. Education</w:t>
      </w:r>
    </w:p>
    <w:p w14:paraId="7C51E959" w14:textId="77777777" w:rsidR="00374FDC" w:rsidRDefault="00374FDC" w:rsidP="007E38A6">
      <w:pPr>
        <w:jc w:val="both"/>
        <w:rPr>
          <w:rFonts w:ascii="Arial" w:hAnsi="Arial" w:cs="Arial"/>
        </w:rPr>
      </w:pPr>
    </w:p>
    <w:p w14:paraId="480BCB5F" w14:textId="7D7493AA" w:rsidR="007E38A6" w:rsidRPr="000B710A" w:rsidRDefault="007E38A6" w:rsidP="007E38A6">
      <w:pPr>
        <w:jc w:val="both"/>
        <w:rPr>
          <w:rFonts w:ascii="Arial" w:hAnsi="Arial" w:cs="Arial"/>
        </w:rPr>
      </w:pPr>
      <w:r w:rsidRPr="000B710A">
        <w:rPr>
          <w:rFonts w:ascii="Arial" w:hAnsi="Arial" w:cs="Arial"/>
        </w:rPr>
        <w:t>The respondents were classified into six categories according to their educational attainment. Education plays a pivotal role in enhancing farmers ability to obtain, process, and apply agricultural information, which in turn shapes their adoption behaviour</w:t>
      </w:r>
      <w:r>
        <w:rPr>
          <w:rFonts w:ascii="Arial" w:hAnsi="Arial" w:cs="Arial"/>
        </w:rPr>
        <w:t xml:space="preserve"> [17]</w:t>
      </w:r>
      <w:r w:rsidRPr="000B710A">
        <w:rPr>
          <w:rFonts w:ascii="Arial" w:hAnsi="Arial" w:cs="Arial"/>
        </w:rPr>
        <w:t>. The distribution of respondents by educational level is presented in Table 2.</w:t>
      </w:r>
    </w:p>
    <w:p w14:paraId="2119D6AE" w14:textId="77777777" w:rsidR="005F1D5F" w:rsidRDefault="005F1D5F" w:rsidP="007E38A6">
      <w:pPr>
        <w:jc w:val="both"/>
        <w:rPr>
          <w:rFonts w:ascii="Arial" w:hAnsi="Arial" w:cs="Arial"/>
        </w:rPr>
      </w:pPr>
    </w:p>
    <w:p w14:paraId="0785DC19" w14:textId="217859CD" w:rsidR="007E38A6" w:rsidRPr="000B710A" w:rsidRDefault="007E38A6" w:rsidP="007E38A6">
      <w:pPr>
        <w:jc w:val="both"/>
        <w:rPr>
          <w:rFonts w:ascii="Arial" w:hAnsi="Arial" w:cs="Arial"/>
        </w:rPr>
      </w:pPr>
      <w:r w:rsidRPr="000B710A">
        <w:rPr>
          <w:rFonts w:ascii="Arial" w:hAnsi="Arial" w:cs="Arial"/>
        </w:rPr>
        <w:t xml:space="preserve">The educational distribution shows that most small tea growers were fairly educated. About 30 percent had completed high school (H.S.L.C), followed by 25.33 percent who were graduates and above. Nearly one-fifth (19.33 percent) had completed higher-secondary or middle-school education, while only 2 percent were illiterate and 4 percent had education limited to the primary level. These results indicate that the majority of tea growers in the study area possess a reasonable level of formal </w:t>
      </w:r>
      <w:r w:rsidRPr="000B710A">
        <w:rPr>
          <w:rFonts w:ascii="Arial" w:hAnsi="Arial" w:cs="Arial"/>
        </w:rPr>
        <w:lastRenderedPageBreak/>
        <w:t xml:space="preserve">education, which may support their ability to maintain records, understand training materials, and adopt innovative practices. </w:t>
      </w:r>
      <w:r>
        <w:rPr>
          <w:rFonts w:ascii="Arial" w:hAnsi="Arial" w:cs="Arial"/>
        </w:rPr>
        <w:t xml:space="preserve">[18] </w:t>
      </w:r>
      <w:r w:rsidRPr="000B710A">
        <w:rPr>
          <w:rFonts w:ascii="Arial" w:hAnsi="Arial" w:cs="Arial"/>
        </w:rPr>
        <w:t>reported that education significantly reduces the technology gap, as better-educated growers are more capable of understanding and applying improved cultivation techniques.</w:t>
      </w:r>
    </w:p>
    <w:p w14:paraId="65137309" w14:textId="77777777" w:rsidR="005F1D5F" w:rsidRDefault="005F1D5F" w:rsidP="007E38A6">
      <w:pPr>
        <w:jc w:val="both"/>
        <w:rPr>
          <w:rFonts w:ascii="Arial" w:hAnsi="Arial" w:cs="Arial"/>
          <w:b/>
          <w:bCs/>
        </w:rPr>
      </w:pPr>
    </w:p>
    <w:p w14:paraId="355963BB" w14:textId="4327B339" w:rsidR="007E38A6" w:rsidRPr="000B710A" w:rsidRDefault="007E38A6" w:rsidP="007E38A6">
      <w:pPr>
        <w:jc w:val="both"/>
        <w:rPr>
          <w:rFonts w:ascii="Arial" w:hAnsi="Arial" w:cs="Arial"/>
          <w:b/>
          <w:bCs/>
        </w:rPr>
      </w:pPr>
      <w:r w:rsidRPr="000B710A">
        <w:rPr>
          <w:rFonts w:ascii="Arial" w:hAnsi="Arial" w:cs="Arial"/>
          <w:b/>
          <w:bCs/>
        </w:rPr>
        <w:t>3.1.3. Occupational status</w:t>
      </w:r>
    </w:p>
    <w:p w14:paraId="2339DA33" w14:textId="77777777" w:rsidR="00374FDC" w:rsidRDefault="00374FDC" w:rsidP="007E38A6">
      <w:pPr>
        <w:jc w:val="both"/>
        <w:rPr>
          <w:rFonts w:ascii="Arial" w:hAnsi="Arial" w:cs="Arial"/>
        </w:rPr>
      </w:pPr>
    </w:p>
    <w:p w14:paraId="4153BCB3" w14:textId="2E58E444" w:rsidR="007E38A6" w:rsidRPr="000B710A" w:rsidRDefault="007E38A6" w:rsidP="007E38A6">
      <w:pPr>
        <w:jc w:val="both"/>
        <w:rPr>
          <w:rFonts w:ascii="Arial" w:hAnsi="Arial" w:cs="Arial"/>
        </w:rPr>
      </w:pPr>
      <w:r w:rsidRPr="000B710A">
        <w:rPr>
          <w:rFonts w:ascii="Arial" w:hAnsi="Arial" w:cs="Arial"/>
        </w:rPr>
        <w:t xml:space="preserve">Occupational status helps to understand whether tea cultivation is the main or secondary source of income for growers. It also shows how much they rely on tea farming and whether they engage in other income-generating activities. Many smallholders diversify their livelihoods to reduce risk and maintain stability. Such diversification has been </w:t>
      </w:r>
      <w:r w:rsidR="004C56D3" w:rsidRPr="000B710A">
        <w:rPr>
          <w:rFonts w:ascii="Arial" w:hAnsi="Arial" w:cs="Arial"/>
        </w:rPr>
        <w:t>recognized</w:t>
      </w:r>
      <w:r w:rsidRPr="000B710A">
        <w:rPr>
          <w:rFonts w:ascii="Arial" w:hAnsi="Arial" w:cs="Arial"/>
        </w:rPr>
        <w:t xml:space="preserve"> as important for the sustainability of small tea growers </w:t>
      </w:r>
      <w:r>
        <w:rPr>
          <w:rFonts w:ascii="Arial" w:hAnsi="Arial" w:cs="Arial"/>
        </w:rPr>
        <w:t>[10]</w:t>
      </w:r>
      <w:r w:rsidRPr="000B710A">
        <w:rPr>
          <w:rFonts w:ascii="Arial" w:hAnsi="Arial" w:cs="Arial"/>
        </w:rPr>
        <w:t>.</w:t>
      </w:r>
    </w:p>
    <w:p w14:paraId="447AE89B" w14:textId="77777777" w:rsidR="007E38A6" w:rsidRPr="000B710A" w:rsidRDefault="007E38A6" w:rsidP="007E38A6">
      <w:pPr>
        <w:pStyle w:val="NormalWeb"/>
        <w:jc w:val="both"/>
        <w:rPr>
          <w:rFonts w:ascii="Arial" w:hAnsi="Arial" w:cs="Arial"/>
          <w:sz w:val="20"/>
          <w:szCs w:val="20"/>
        </w:rPr>
      </w:pPr>
      <w:r w:rsidRPr="000B710A">
        <w:rPr>
          <w:rFonts w:ascii="Arial" w:hAnsi="Arial" w:cs="Arial"/>
          <w:sz w:val="20"/>
          <w:szCs w:val="20"/>
        </w:rPr>
        <w:t>The data reveal that a majority (58.66%) of small tea growers were engaged solely in farming, indicating their strong reliance on tea cultivation as the principal livelihood source. Around 24% of respondents combined tea farming with small-scale business activities such as input retailing, tea trading, or petty shops, while 17.33% supplemented farm income with service or wage-based employment. This diversification reflects farmers’ attempts to maintain income stability and mitigate market and climatic risks that affect tea prices and productivity. Similar livelihood diversification patterns were observed by</w:t>
      </w:r>
      <w:r>
        <w:rPr>
          <w:rFonts w:ascii="Arial" w:hAnsi="Arial" w:cs="Arial"/>
          <w:sz w:val="20"/>
          <w:szCs w:val="20"/>
        </w:rPr>
        <w:t xml:space="preserve"> [8]</w:t>
      </w:r>
      <w:r w:rsidRPr="000B710A">
        <w:rPr>
          <w:rFonts w:ascii="Arial" w:hAnsi="Arial" w:cs="Arial"/>
          <w:sz w:val="20"/>
          <w:szCs w:val="20"/>
        </w:rPr>
        <w:t xml:space="preserve">, who noted that the seasonal and price-dependent nature of tea often pushes growers to pursue secondary occupations. </w:t>
      </w:r>
      <w:r w:rsidRPr="005F1D5F">
        <w:rPr>
          <w:rStyle w:val="Strong"/>
          <w:rFonts w:ascii="Arial" w:hAnsi="Arial" w:cs="Arial"/>
          <w:b w:val="0"/>
          <w:bCs w:val="0"/>
          <w:sz w:val="20"/>
          <w:szCs w:val="20"/>
        </w:rPr>
        <w:t>[19]</w:t>
      </w:r>
      <w:r w:rsidRPr="000B710A">
        <w:rPr>
          <w:rFonts w:ascii="Arial" w:hAnsi="Arial" w:cs="Arial"/>
          <w:sz w:val="20"/>
          <w:szCs w:val="20"/>
        </w:rPr>
        <w:t xml:space="preserve"> found that farmers engaged in multiple income activities attained better financial stability than those relying exclusively on a single crop.</w:t>
      </w:r>
    </w:p>
    <w:p w14:paraId="3A3A6A62" w14:textId="77777777" w:rsidR="007E38A6" w:rsidRPr="000B710A" w:rsidRDefault="007E38A6" w:rsidP="007E38A6">
      <w:pPr>
        <w:tabs>
          <w:tab w:val="right" w:pos="9026"/>
        </w:tabs>
        <w:autoSpaceDE w:val="0"/>
        <w:autoSpaceDN w:val="0"/>
        <w:adjustRightInd w:val="0"/>
        <w:jc w:val="center"/>
        <w:rPr>
          <w:rFonts w:ascii="Arial" w:hAnsi="Arial" w:cs="Arial"/>
          <w:b/>
          <w:bCs/>
        </w:rPr>
        <w:sectPr w:rsidR="007E38A6" w:rsidRPr="000B710A" w:rsidSect="007E38A6">
          <w:type w:val="continuous"/>
          <w:pgSz w:w="11906" w:h="16838"/>
          <w:pgMar w:top="1440" w:right="1440" w:bottom="1440" w:left="1440" w:header="708" w:footer="708" w:gutter="0"/>
          <w:cols w:num="2" w:space="708"/>
          <w:docGrid w:linePitch="360"/>
        </w:sectPr>
      </w:pPr>
    </w:p>
    <w:p w14:paraId="7A4B8BEF" w14:textId="77777777" w:rsidR="007E38A6" w:rsidRPr="000B710A" w:rsidRDefault="007E38A6" w:rsidP="007E38A6">
      <w:pPr>
        <w:tabs>
          <w:tab w:val="right" w:pos="9026"/>
        </w:tabs>
        <w:autoSpaceDE w:val="0"/>
        <w:autoSpaceDN w:val="0"/>
        <w:adjustRightInd w:val="0"/>
        <w:jc w:val="center"/>
        <w:rPr>
          <w:rFonts w:ascii="Arial" w:hAnsi="Arial" w:cs="Arial"/>
          <w:b/>
          <w:bCs/>
        </w:rPr>
      </w:pPr>
      <w:r w:rsidRPr="000B710A">
        <w:rPr>
          <w:rFonts w:ascii="Arial" w:hAnsi="Arial" w:cs="Arial"/>
          <w:b/>
          <w:bCs/>
        </w:rPr>
        <w:t>Table 1. Age-wise distribution of STGs in South India (N = 150)</w:t>
      </w:r>
    </w:p>
    <w:p w14:paraId="3F443EF1" w14:textId="77777777" w:rsidR="007E38A6" w:rsidRPr="000B710A" w:rsidRDefault="007E38A6" w:rsidP="007E38A6">
      <w:pPr>
        <w:tabs>
          <w:tab w:val="right" w:pos="9026"/>
        </w:tabs>
        <w:autoSpaceDE w:val="0"/>
        <w:autoSpaceDN w:val="0"/>
        <w:adjustRightInd w:val="0"/>
        <w:jc w:val="center"/>
        <w:rPr>
          <w:rFonts w:ascii="Arial" w:hAnsi="Arial" w:cs="Arial"/>
          <w:b/>
          <w:bCs/>
        </w:rPr>
      </w:pPr>
    </w:p>
    <w:tbl>
      <w:tblPr>
        <w:tblStyle w:val="PlainTable2"/>
        <w:tblW w:w="7599" w:type="dxa"/>
        <w:jc w:val="center"/>
        <w:tblLook w:val="06A0" w:firstRow="1" w:lastRow="0" w:firstColumn="1" w:lastColumn="0" w:noHBand="1" w:noVBand="1"/>
      </w:tblPr>
      <w:tblGrid>
        <w:gridCol w:w="653"/>
        <w:gridCol w:w="1549"/>
        <w:gridCol w:w="1567"/>
        <w:gridCol w:w="1212"/>
        <w:gridCol w:w="1590"/>
        <w:gridCol w:w="1028"/>
      </w:tblGrid>
      <w:tr w:rsidR="007E38A6" w:rsidRPr="000B710A" w14:paraId="62DBA4AA" w14:textId="77777777" w:rsidTr="004F7869">
        <w:trPr>
          <w:cnfStyle w:val="100000000000" w:firstRow="1" w:lastRow="0" w:firstColumn="0" w:lastColumn="0" w:oddVBand="0" w:evenVBand="0" w:oddHBand="0"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2F8BC7" w14:textId="77777777" w:rsidR="007E38A6" w:rsidRPr="000B710A" w:rsidRDefault="007E38A6" w:rsidP="004F7869">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13121E2C"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Age group (years)</w:t>
            </w:r>
          </w:p>
        </w:tc>
        <w:tc>
          <w:tcPr>
            <w:tcW w:w="0" w:type="auto"/>
            <w:vAlign w:val="center"/>
            <w:hideMark/>
          </w:tcPr>
          <w:p w14:paraId="391C3F66"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(n=100)</w:t>
            </w:r>
          </w:p>
        </w:tc>
        <w:tc>
          <w:tcPr>
            <w:tcW w:w="0" w:type="auto"/>
            <w:vAlign w:val="center"/>
            <w:hideMark/>
          </w:tcPr>
          <w:p w14:paraId="0BB8F57D"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(n=50)</w:t>
            </w:r>
          </w:p>
        </w:tc>
        <w:tc>
          <w:tcPr>
            <w:tcW w:w="0" w:type="auto"/>
            <w:vAlign w:val="center"/>
            <w:hideMark/>
          </w:tcPr>
          <w:p w14:paraId="51AE702F"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Overall frequency</w:t>
            </w:r>
          </w:p>
        </w:tc>
        <w:tc>
          <w:tcPr>
            <w:tcW w:w="0" w:type="auto"/>
            <w:vAlign w:val="center"/>
            <w:hideMark/>
          </w:tcPr>
          <w:p w14:paraId="2C12A89F"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Overall %</w:t>
            </w:r>
          </w:p>
        </w:tc>
      </w:tr>
      <w:tr w:rsidR="007E38A6" w:rsidRPr="000B710A" w14:paraId="7629F06A" w14:textId="77777777" w:rsidTr="004F786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4903D9"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4F25597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Youth (≤ 35)</w:t>
            </w:r>
          </w:p>
        </w:tc>
        <w:tc>
          <w:tcPr>
            <w:tcW w:w="0" w:type="auto"/>
            <w:vAlign w:val="center"/>
            <w:hideMark/>
          </w:tcPr>
          <w:p w14:paraId="66E749C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c>
          <w:tcPr>
            <w:tcW w:w="0" w:type="auto"/>
            <w:vAlign w:val="center"/>
            <w:hideMark/>
          </w:tcPr>
          <w:p w14:paraId="5206660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c>
          <w:tcPr>
            <w:tcW w:w="0" w:type="auto"/>
            <w:vAlign w:val="center"/>
            <w:hideMark/>
          </w:tcPr>
          <w:p w14:paraId="5A851BB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w:t>
            </w:r>
          </w:p>
        </w:tc>
        <w:tc>
          <w:tcPr>
            <w:tcW w:w="0" w:type="auto"/>
            <w:vAlign w:val="center"/>
            <w:hideMark/>
          </w:tcPr>
          <w:p w14:paraId="3F85416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r>
      <w:tr w:rsidR="007E38A6" w:rsidRPr="000B710A" w14:paraId="400830C4" w14:textId="77777777" w:rsidTr="004F7869">
        <w:trPr>
          <w:trHeight w:val="498"/>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F90BF7"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0A4CED8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Middle-aged (36–50)</w:t>
            </w:r>
          </w:p>
        </w:tc>
        <w:tc>
          <w:tcPr>
            <w:tcW w:w="0" w:type="auto"/>
            <w:vAlign w:val="center"/>
            <w:hideMark/>
          </w:tcPr>
          <w:p w14:paraId="4440417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31.0%</w:t>
            </w:r>
          </w:p>
        </w:tc>
        <w:tc>
          <w:tcPr>
            <w:tcW w:w="0" w:type="auto"/>
            <w:vAlign w:val="center"/>
            <w:hideMark/>
          </w:tcPr>
          <w:p w14:paraId="701D00C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22.0</w:t>
            </w:r>
          </w:p>
        </w:tc>
        <w:tc>
          <w:tcPr>
            <w:tcW w:w="0" w:type="auto"/>
            <w:vAlign w:val="center"/>
            <w:hideMark/>
          </w:tcPr>
          <w:p w14:paraId="23B4684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42</w:t>
            </w:r>
          </w:p>
        </w:tc>
        <w:tc>
          <w:tcPr>
            <w:tcW w:w="0" w:type="auto"/>
            <w:vAlign w:val="center"/>
            <w:hideMark/>
          </w:tcPr>
          <w:p w14:paraId="5B11416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28.0</w:t>
            </w:r>
          </w:p>
        </w:tc>
      </w:tr>
      <w:tr w:rsidR="007E38A6" w:rsidRPr="000B710A" w14:paraId="45AADA93"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43A932"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5FBE9C6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Senior (&gt; 50)</w:t>
            </w:r>
          </w:p>
        </w:tc>
        <w:tc>
          <w:tcPr>
            <w:tcW w:w="0" w:type="auto"/>
            <w:vAlign w:val="center"/>
            <w:hideMark/>
          </w:tcPr>
          <w:p w14:paraId="2E83394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65.0%</w:t>
            </w:r>
          </w:p>
        </w:tc>
        <w:tc>
          <w:tcPr>
            <w:tcW w:w="0" w:type="auto"/>
            <w:vAlign w:val="center"/>
            <w:hideMark/>
          </w:tcPr>
          <w:p w14:paraId="7B39C13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74.0%</w:t>
            </w:r>
          </w:p>
        </w:tc>
        <w:tc>
          <w:tcPr>
            <w:tcW w:w="0" w:type="auto"/>
            <w:vAlign w:val="center"/>
            <w:hideMark/>
          </w:tcPr>
          <w:p w14:paraId="71B66C6A"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102</w:t>
            </w:r>
          </w:p>
        </w:tc>
        <w:tc>
          <w:tcPr>
            <w:tcW w:w="0" w:type="auto"/>
            <w:vAlign w:val="center"/>
            <w:hideMark/>
          </w:tcPr>
          <w:p w14:paraId="7E6A0E13"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68.0</w:t>
            </w:r>
          </w:p>
        </w:tc>
      </w:tr>
      <w:tr w:rsidR="007E38A6" w:rsidRPr="000B710A" w14:paraId="32199EA1" w14:textId="77777777" w:rsidTr="004F786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9013FE" w14:textId="77777777" w:rsidR="007E38A6" w:rsidRPr="000B710A" w:rsidRDefault="007E38A6" w:rsidP="004F7869">
            <w:pPr>
              <w:jc w:val="center"/>
              <w:rPr>
                <w:rFonts w:ascii="Arial" w:eastAsia="Times New Roman" w:hAnsi="Arial" w:cs="Arial"/>
                <w:kern w:val="0"/>
                <w:sz w:val="20"/>
                <w:szCs w:val="20"/>
                <w:lang w:eastAsia="en-IN"/>
              </w:rPr>
            </w:pPr>
          </w:p>
        </w:tc>
        <w:tc>
          <w:tcPr>
            <w:tcW w:w="0" w:type="auto"/>
            <w:vAlign w:val="center"/>
            <w:hideMark/>
          </w:tcPr>
          <w:p w14:paraId="205BC1E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7B2A917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 (100%)</w:t>
            </w:r>
          </w:p>
        </w:tc>
        <w:tc>
          <w:tcPr>
            <w:tcW w:w="0" w:type="auto"/>
            <w:vAlign w:val="center"/>
            <w:hideMark/>
          </w:tcPr>
          <w:p w14:paraId="2B1B2DD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50 (100%)</w:t>
            </w:r>
          </w:p>
        </w:tc>
        <w:tc>
          <w:tcPr>
            <w:tcW w:w="0" w:type="auto"/>
            <w:vAlign w:val="center"/>
            <w:hideMark/>
          </w:tcPr>
          <w:p w14:paraId="4CBA602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2507AA3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35710C84" w14:textId="77777777" w:rsidR="007E38A6" w:rsidRDefault="007E38A6" w:rsidP="007E38A6">
      <w:pPr>
        <w:spacing w:line="360" w:lineRule="auto"/>
        <w:jc w:val="center"/>
        <w:rPr>
          <w:b/>
          <w:bCs/>
        </w:rPr>
      </w:pPr>
    </w:p>
    <w:p w14:paraId="4CFA03A3" w14:textId="77777777" w:rsidR="007E38A6" w:rsidRPr="000B710A" w:rsidRDefault="007E38A6" w:rsidP="007E38A6">
      <w:pPr>
        <w:spacing w:line="360" w:lineRule="auto"/>
        <w:jc w:val="center"/>
        <w:rPr>
          <w:rFonts w:ascii="Arial" w:hAnsi="Arial" w:cs="Arial"/>
          <w:b/>
          <w:bCs/>
        </w:rPr>
      </w:pPr>
      <w:r w:rsidRPr="000B710A">
        <w:rPr>
          <w:rFonts w:ascii="Arial" w:hAnsi="Arial" w:cs="Arial"/>
          <w:b/>
          <w:bCs/>
        </w:rPr>
        <w:t>Table 2. Education-level distribution of the sample respondents (N = 150)</w:t>
      </w:r>
    </w:p>
    <w:tbl>
      <w:tblPr>
        <w:tblStyle w:val="PlainTable2"/>
        <w:tblW w:w="8140" w:type="dxa"/>
        <w:jc w:val="center"/>
        <w:tblLook w:val="06A0" w:firstRow="1" w:lastRow="0" w:firstColumn="1" w:lastColumn="0" w:noHBand="1" w:noVBand="1"/>
      </w:tblPr>
      <w:tblGrid>
        <w:gridCol w:w="726"/>
        <w:gridCol w:w="2468"/>
        <w:gridCol w:w="1506"/>
        <w:gridCol w:w="1127"/>
        <w:gridCol w:w="1228"/>
        <w:gridCol w:w="1085"/>
      </w:tblGrid>
      <w:tr w:rsidR="007E38A6" w:rsidRPr="00E15EE9" w14:paraId="170A5410" w14:textId="77777777" w:rsidTr="004F7869">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6A5C55" w14:textId="77777777" w:rsidR="007E38A6" w:rsidRPr="00E15EE9" w:rsidRDefault="007E38A6" w:rsidP="004F7869">
            <w:pPr>
              <w:jc w:val="center"/>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Sl. No</w:t>
            </w:r>
          </w:p>
        </w:tc>
        <w:tc>
          <w:tcPr>
            <w:tcW w:w="0" w:type="auto"/>
            <w:vAlign w:val="center"/>
            <w:hideMark/>
          </w:tcPr>
          <w:p w14:paraId="4164F3BC" w14:textId="77777777" w:rsidR="007E38A6" w:rsidRPr="00E15EE9"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Education level</w:t>
            </w:r>
          </w:p>
        </w:tc>
        <w:tc>
          <w:tcPr>
            <w:tcW w:w="0" w:type="auto"/>
            <w:vAlign w:val="center"/>
            <w:hideMark/>
          </w:tcPr>
          <w:p w14:paraId="58E73861" w14:textId="77777777" w:rsidR="007E38A6" w:rsidRPr="00E15EE9"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Tamil Nadu (%)</w:t>
            </w:r>
          </w:p>
        </w:tc>
        <w:tc>
          <w:tcPr>
            <w:tcW w:w="0" w:type="auto"/>
            <w:vAlign w:val="center"/>
            <w:hideMark/>
          </w:tcPr>
          <w:p w14:paraId="396ACD36" w14:textId="77777777" w:rsidR="007E38A6" w:rsidRPr="00E15EE9"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Kerala (%)</w:t>
            </w:r>
          </w:p>
        </w:tc>
        <w:tc>
          <w:tcPr>
            <w:tcW w:w="0" w:type="auto"/>
            <w:vAlign w:val="center"/>
            <w:hideMark/>
          </w:tcPr>
          <w:p w14:paraId="514F60A4" w14:textId="77777777" w:rsidR="007E38A6" w:rsidRPr="00E15EE9"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Frequency</w:t>
            </w:r>
          </w:p>
        </w:tc>
        <w:tc>
          <w:tcPr>
            <w:tcW w:w="0" w:type="auto"/>
            <w:vAlign w:val="center"/>
            <w:hideMark/>
          </w:tcPr>
          <w:p w14:paraId="6D3B4D1D" w14:textId="77777777" w:rsidR="007E38A6" w:rsidRPr="00E15EE9"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Overall %</w:t>
            </w:r>
          </w:p>
        </w:tc>
      </w:tr>
      <w:tr w:rsidR="007E38A6" w:rsidRPr="00E15EE9" w14:paraId="1215D416"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7AD7A"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1</w:t>
            </w:r>
          </w:p>
        </w:tc>
        <w:tc>
          <w:tcPr>
            <w:tcW w:w="0" w:type="auto"/>
            <w:vAlign w:val="center"/>
            <w:hideMark/>
          </w:tcPr>
          <w:p w14:paraId="12D6D5A0"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Illiterate</w:t>
            </w:r>
          </w:p>
        </w:tc>
        <w:tc>
          <w:tcPr>
            <w:tcW w:w="0" w:type="auto"/>
            <w:vAlign w:val="center"/>
            <w:hideMark/>
          </w:tcPr>
          <w:p w14:paraId="56CE065C"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2.87</w:t>
            </w:r>
          </w:p>
        </w:tc>
        <w:tc>
          <w:tcPr>
            <w:tcW w:w="0" w:type="auto"/>
            <w:vAlign w:val="center"/>
            <w:hideMark/>
          </w:tcPr>
          <w:p w14:paraId="38D6E0D9"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0.00</w:t>
            </w:r>
          </w:p>
        </w:tc>
        <w:tc>
          <w:tcPr>
            <w:tcW w:w="0" w:type="auto"/>
            <w:vAlign w:val="center"/>
            <w:hideMark/>
          </w:tcPr>
          <w:p w14:paraId="267CAE1D"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w:t>
            </w:r>
          </w:p>
        </w:tc>
        <w:tc>
          <w:tcPr>
            <w:tcW w:w="0" w:type="auto"/>
            <w:vAlign w:val="center"/>
            <w:hideMark/>
          </w:tcPr>
          <w:p w14:paraId="18305ABD"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2.00</w:t>
            </w:r>
          </w:p>
        </w:tc>
      </w:tr>
      <w:tr w:rsidR="007E38A6" w:rsidRPr="00E15EE9" w14:paraId="13E20999" w14:textId="77777777" w:rsidTr="004F7869">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761825"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2</w:t>
            </w:r>
          </w:p>
        </w:tc>
        <w:tc>
          <w:tcPr>
            <w:tcW w:w="0" w:type="auto"/>
            <w:vAlign w:val="center"/>
            <w:hideMark/>
          </w:tcPr>
          <w:p w14:paraId="4F894092"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Can read and write / Primary</w:t>
            </w:r>
          </w:p>
        </w:tc>
        <w:tc>
          <w:tcPr>
            <w:tcW w:w="0" w:type="auto"/>
            <w:vAlign w:val="center"/>
            <w:hideMark/>
          </w:tcPr>
          <w:p w14:paraId="5F7F07EA"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1.90</w:t>
            </w:r>
          </w:p>
        </w:tc>
        <w:tc>
          <w:tcPr>
            <w:tcW w:w="0" w:type="auto"/>
            <w:vAlign w:val="center"/>
            <w:hideMark/>
          </w:tcPr>
          <w:p w14:paraId="275F84E9"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8.00</w:t>
            </w:r>
          </w:p>
        </w:tc>
        <w:tc>
          <w:tcPr>
            <w:tcW w:w="0" w:type="auto"/>
            <w:vAlign w:val="center"/>
            <w:hideMark/>
          </w:tcPr>
          <w:p w14:paraId="167A9D83"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6</w:t>
            </w:r>
          </w:p>
        </w:tc>
        <w:tc>
          <w:tcPr>
            <w:tcW w:w="0" w:type="auto"/>
            <w:vAlign w:val="center"/>
            <w:hideMark/>
          </w:tcPr>
          <w:p w14:paraId="78F96D46"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4.00</w:t>
            </w:r>
          </w:p>
        </w:tc>
      </w:tr>
      <w:tr w:rsidR="007E38A6" w:rsidRPr="00E15EE9" w14:paraId="7D318E6E"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96ED19"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3</w:t>
            </w:r>
          </w:p>
        </w:tc>
        <w:tc>
          <w:tcPr>
            <w:tcW w:w="0" w:type="auto"/>
            <w:vAlign w:val="center"/>
            <w:hideMark/>
          </w:tcPr>
          <w:p w14:paraId="7612D2F6"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Middle school passed</w:t>
            </w:r>
          </w:p>
        </w:tc>
        <w:tc>
          <w:tcPr>
            <w:tcW w:w="0" w:type="auto"/>
            <w:vAlign w:val="center"/>
            <w:hideMark/>
          </w:tcPr>
          <w:p w14:paraId="4B342360"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16.00</w:t>
            </w:r>
          </w:p>
        </w:tc>
        <w:tc>
          <w:tcPr>
            <w:tcW w:w="0" w:type="auto"/>
            <w:vAlign w:val="center"/>
            <w:hideMark/>
          </w:tcPr>
          <w:p w14:paraId="2A3DE508"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24.00</w:t>
            </w:r>
          </w:p>
        </w:tc>
        <w:tc>
          <w:tcPr>
            <w:tcW w:w="0" w:type="auto"/>
            <w:vAlign w:val="center"/>
            <w:hideMark/>
          </w:tcPr>
          <w:p w14:paraId="23881E81"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29</w:t>
            </w:r>
          </w:p>
        </w:tc>
        <w:tc>
          <w:tcPr>
            <w:tcW w:w="0" w:type="auto"/>
            <w:vAlign w:val="center"/>
            <w:hideMark/>
          </w:tcPr>
          <w:p w14:paraId="3806EFFD"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19.33</w:t>
            </w:r>
          </w:p>
        </w:tc>
      </w:tr>
      <w:tr w:rsidR="007E38A6" w:rsidRPr="00E15EE9" w14:paraId="4FC1EAF7"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203C6"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4</w:t>
            </w:r>
          </w:p>
        </w:tc>
        <w:tc>
          <w:tcPr>
            <w:tcW w:w="0" w:type="auto"/>
            <w:vAlign w:val="center"/>
            <w:hideMark/>
          </w:tcPr>
          <w:p w14:paraId="26C7BFD6"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H.S.L.C passed</w:t>
            </w:r>
          </w:p>
        </w:tc>
        <w:tc>
          <w:tcPr>
            <w:tcW w:w="0" w:type="auto"/>
            <w:vAlign w:val="center"/>
            <w:hideMark/>
          </w:tcPr>
          <w:p w14:paraId="581746CA"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c>
          <w:tcPr>
            <w:tcW w:w="0" w:type="auto"/>
            <w:vAlign w:val="center"/>
            <w:hideMark/>
          </w:tcPr>
          <w:p w14:paraId="10038941"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c>
          <w:tcPr>
            <w:tcW w:w="0" w:type="auto"/>
            <w:vAlign w:val="center"/>
            <w:hideMark/>
          </w:tcPr>
          <w:p w14:paraId="72B53C3B"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45</w:t>
            </w:r>
          </w:p>
        </w:tc>
        <w:tc>
          <w:tcPr>
            <w:tcW w:w="0" w:type="auto"/>
            <w:vAlign w:val="center"/>
            <w:hideMark/>
          </w:tcPr>
          <w:p w14:paraId="2DD4976D"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r>
      <w:tr w:rsidR="007E38A6" w:rsidRPr="00E15EE9" w14:paraId="36A52EBA"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5FF2AD"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5</w:t>
            </w:r>
          </w:p>
        </w:tc>
        <w:tc>
          <w:tcPr>
            <w:tcW w:w="0" w:type="auto"/>
            <w:vAlign w:val="center"/>
            <w:hideMark/>
          </w:tcPr>
          <w:p w14:paraId="44EDB4BC"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Higher secondary / P.U.</w:t>
            </w:r>
          </w:p>
        </w:tc>
        <w:tc>
          <w:tcPr>
            <w:tcW w:w="0" w:type="auto"/>
            <w:vAlign w:val="center"/>
            <w:hideMark/>
          </w:tcPr>
          <w:p w14:paraId="6E3B5AA0"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19.00</w:t>
            </w:r>
          </w:p>
        </w:tc>
        <w:tc>
          <w:tcPr>
            <w:tcW w:w="0" w:type="auto"/>
            <w:vAlign w:val="center"/>
            <w:hideMark/>
          </w:tcPr>
          <w:p w14:paraId="76108D27"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20.00</w:t>
            </w:r>
          </w:p>
        </w:tc>
        <w:tc>
          <w:tcPr>
            <w:tcW w:w="0" w:type="auto"/>
            <w:vAlign w:val="center"/>
            <w:hideMark/>
          </w:tcPr>
          <w:p w14:paraId="74041A0F"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29</w:t>
            </w:r>
          </w:p>
        </w:tc>
        <w:tc>
          <w:tcPr>
            <w:tcW w:w="0" w:type="auto"/>
            <w:vAlign w:val="center"/>
            <w:hideMark/>
          </w:tcPr>
          <w:p w14:paraId="5C68AC41"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19.33</w:t>
            </w:r>
          </w:p>
        </w:tc>
      </w:tr>
      <w:tr w:rsidR="007E38A6" w:rsidRPr="00E15EE9" w14:paraId="5566494D" w14:textId="77777777" w:rsidTr="004F7869">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FE6BBC" w14:textId="77777777" w:rsidR="007E38A6" w:rsidRPr="00E15EE9" w:rsidRDefault="007E38A6" w:rsidP="004F7869">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6</w:t>
            </w:r>
          </w:p>
        </w:tc>
        <w:tc>
          <w:tcPr>
            <w:tcW w:w="0" w:type="auto"/>
            <w:vAlign w:val="center"/>
            <w:hideMark/>
          </w:tcPr>
          <w:p w14:paraId="30780728"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Graduate and above</w:t>
            </w:r>
          </w:p>
        </w:tc>
        <w:tc>
          <w:tcPr>
            <w:tcW w:w="0" w:type="auto"/>
            <w:vAlign w:val="center"/>
            <w:hideMark/>
          </w:tcPr>
          <w:p w14:paraId="07B746C0"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31.00</w:t>
            </w:r>
          </w:p>
        </w:tc>
        <w:tc>
          <w:tcPr>
            <w:tcW w:w="0" w:type="auto"/>
            <w:vAlign w:val="center"/>
            <w:hideMark/>
          </w:tcPr>
          <w:p w14:paraId="1D21F697"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18.00</w:t>
            </w:r>
          </w:p>
        </w:tc>
        <w:tc>
          <w:tcPr>
            <w:tcW w:w="0" w:type="auto"/>
            <w:vAlign w:val="center"/>
            <w:hideMark/>
          </w:tcPr>
          <w:p w14:paraId="3AFDB33B"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38</w:t>
            </w:r>
          </w:p>
        </w:tc>
        <w:tc>
          <w:tcPr>
            <w:tcW w:w="0" w:type="auto"/>
            <w:vAlign w:val="center"/>
            <w:hideMark/>
          </w:tcPr>
          <w:p w14:paraId="31D1B700"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25.33</w:t>
            </w:r>
          </w:p>
        </w:tc>
      </w:tr>
      <w:tr w:rsidR="007E38A6" w:rsidRPr="00E15EE9" w14:paraId="10DBDFC7" w14:textId="77777777" w:rsidTr="004F7869">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16E1B1" w14:textId="77777777" w:rsidR="007E38A6" w:rsidRPr="00E15EE9" w:rsidRDefault="007E38A6" w:rsidP="004F7869">
            <w:pPr>
              <w:jc w:val="center"/>
              <w:rPr>
                <w:rFonts w:ascii="Arial" w:eastAsia="Times New Roman" w:hAnsi="Arial" w:cs="Arial"/>
                <w:kern w:val="0"/>
                <w:sz w:val="20"/>
                <w:szCs w:val="20"/>
                <w:lang w:eastAsia="en-IN"/>
              </w:rPr>
            </w:pPr>
          </w:p>
        </w:tc>
        <w:tc>
          <w:tcPr>
            <w:tcW w:w="0" w:type="auto"/>
            <w:vAlign w:val="center"/>
            <w:hideMark/>
          </w:tcPr>
          <w:p w14:paraId="18DD3186"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Total</w:t>
            </w:r>
          </w:p>
        </w:tc>
        <w:tc>
          <w:tcPr>
            <w:tcW w:w="0" w:type="auto"/>
            <w:vAlign w:val="center"/>
            <w:hideMark/>
          </w:tcPr>
          <w:p w14:paraId="78C19C92"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c>
          <w:tcPr>
            <w:tcW w:w="0" w:type="auto"/>
            <w:vAlign w:val="center"/>
            <w:hideMark/>
          </w:tcPr>
          <w:p w14:paraId="36A08467"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c>
          <w:tcPr>
            <w:tcW w:w="0" w:type="auto"/>
            <w:vAlign w:val="center"/>
            <w:hideMark/>
          </w:tcPr>
          <w:p w14:paraId="47042488"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150</w:t>
            </w:r>
          </w:p>
        </w:tc>
        <w:tc>
          <w:tcPr>
            <w:tcW w:w="0" w:type="auto"/>
            <w:vAlign w:val="center"/>
            <w:hideMark/>
          </w:tcPr>
          <w:p w14:paraId="04FA4954" w14:textId="77777777" w:rsidR="007E38A6" w:rsidRPr="00E15EE9"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r>
    </w:tbl>
    <w:p w14:paraId="5E249AFA" w14:textId="77777777" w:rsidR="007E38A6" w:rsidRPr="000B710A" w:rsidRDefault="007E38A6" w:rsidP="007E38A6">
      <w:pPr>
        <w:tabs>
          <w:tab w:val="right" w:pos="9026"/>
        </w:tabs>
        <w:autoSpaceDE w:val="0"/>
        <w:autoSpaceDN w:val="0"/>
        <w:adjustRightInd w:val="0"/>
        <w:jc w:val="center"/>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3D5A3FD0" w14:textId="77777777" w:rsidR="007E38A6" w:rsidRPr="000B710A" w:rsidRDefault="007E38A6" w:rsidP="007E38A6">
      <w:pPr>
        <w:pStyle w:val="NormalWeb"/>
        <w:ind w:firstLine="720"/>
        <w:jc w:val="center"/>
        <w:rPr>
          <w:rFonts w:ascii="Arial" w:hAnsi="Arial" w:cs="Arial"/>
          <w:b/>
          <w:bCs/>
          <w:sz w:val="20"/>
          <w:szCs w:val="20"/>
        </w:rPr>
      </w:pPr>
      <w:r w:rsidRPr="000B710A">
        <w:rPr>
          <w:rFonts w:ascii="Arial" w:hAnsi="Arial" w:cs="Arial"/>
          <w:b/>
          <w:bCs/>
          <w:sz w:val="20"/>
          <w:szCs w:val="20"/>
        </w:rPr>
        <w:t>Table 3. Occupational status of the sample respondents (N = 150)</w:t>
      </w:r>
    </w:p>
    <w:tbl>
      <w:tblPr>
        <w:tblStyle w:val="PlainTable2"/>
        <w:tblW w:w="7601" w:type="dxa"/>
        <w:jc w:val="center"/>
        <w:tblLook w:val="06A0" w:firstRow="1" w:lastRow="0" w:firstColumn="1" w:lastColumn="0" w:noHBand="1" w:noVBand="1"/>
      </w:tblPr>
      <w:tblGrid>
        <w:gridCol w:w="912"/>
        <w:gridCol w:w="2653"/>
        <w:gridCol w:w="1263"/>
        <w:gridCol w:w="828"/>
        <w:gridCol w:w="1228"/>
        <w:gridCol w:w="717"/>
      </w:tblGrid>
      <w:tr w:rsidR="007E38A6" w:rsidRPr="000B710A" w14:paraId="6C5C8B14" w14:textId="77777777" w:rsidTr="004F7869">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4A4EE3FB" w14:textId="77777777" w:rsidR="007E38A6" w:rsidRPr="000B710A" w:rsidRDefault="007E38A6" w:rsidP="004F7869">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2703" w:type="dxa"/>
            <w:vAlign w:val="center"/>
            <w:hideMark/>
          </w:tcPr>
          <w:p w14:paraId="4F8CF0B8"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Occupational status</w:t>
            </w:r>
          </w:p>
        </w:tc>
        <w:tc>
          <w:tcPr>
            <w:tcW w:w="1285" w:type="dxa"/>
            <w:vAlign w:val="center"/>
            <w:hideMark/>
          </w:tcPr>
          <w:p w14:paraId="6CFBA932"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0D96C1A7"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6B8FD917"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088834C1"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2E274453" w14:textId="77777777" w:rsidTr="004F7869">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35507C99"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2703" w:type="dxa"/>
            <w:vAlign w:val="center"/>
            <w:hideMark/>
          </w:tcPr>
          <w:p w14:paraId="6BC8B6A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only</w:t>
            </w:r>
          </w:p>
        </w:tc>
        <w:tc>
          <w:tcPr>
            <w:tcW w:w="1285" w:type="dxa"/>
            <w:vAlign w:val="center"/>
            <w:hideMark/>
          </w:tcPr>
          <w:p w14:paraId="0E13D99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61.5</w:t>
            </w:r>
          </w:p>
        </w:tc>
        <w:tc>
          <w:tcPr>
            <w:tcW w:w="0" w:type="auto"/>
            <w:vAlign w:val="center"/>
            <w:hideMark/>
          </w:tcPr>
          <w:p w14:paraId="2A8E72C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53.0</w:t>
            </w:r>
          </w:p>
        </w:tc>
        <w:tc>
          <w:tcPr>
            <w:tcW w:w="0" w:type="auto"/>
            <w:vAlign w:val="center"/>
            <w:hideMark/>
          </w:tcPr>
          <w:p w14:paraId="35D72E9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88</w:t>
            </w:r>
          </w:p>
        </w:tc>
        <w:tc>
          <w:tcPr>
            <w:tcW w:w="0" w:type="auto"/>
            <w:vAlign w:val="center"/>
            <w:hideMark/>
          </w:tcPr>
          <w:p w14:paraId="1B2323F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58.66</w:t>
            </w:r>
          </w:p>
        </w:tc>
      </w:tr>
      <w:tr w:rsidR="007E38A6" w:rsidRPr="000B710A" w14:paraId="7E73FABC" w14:textId="77777777" w:rsidTr="004F7869">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3374E138"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2703" w:type="dxa"/>
            <w:vAlign w:val="center"/>
            <w:hideMark/>
          </w:tcPr>
          <w:p w14:paraId="25F0FC9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 business</w:t>
            </w:r>
          </w:p>
        </w:tc>
        <w:tc>
          <w:tcPr>
            <w:tcW w:w="1285" w:type="dxa"/>
            <w:vAlign w:val="center"/>
            <w:hideMark/>
          </w:tcPr>
          <w:p w14:paraId="2917A94A"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w:t>
            </w:r>
          </w:p>
        </w:tc>
        <w:tc>
          <w:tcPr>
            <w:tcW w:w="0" w:type="auto"/>
            <w:vAlign w:val="center"/>
            <w:hideMark/>
          </w:tcPr>
          <w:p w14:paraId="0BC653B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w:t>
            </w:r>
          </w:p>
        </w:tc>
        <w:tc>
          <w:tcPr>
            <w:tcW w:w="0" w:type="auto"/>
            <w:vAlign w:val="center"/>
            <w:hideMark/>
          </w:tcPr>
          <w:p w14:paraId="5285CF5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36</w:t>
            </w:r>
          </w:p>
        </w:tc>
        <w:tc>
          <w:tcPr>
            <w:tcW w:w="0" w:type="auto"/>
            <w:vAlign w:val="center"/>
            <w:hideMark/>
          </w:tcPr>
          <w:p w14:paraId="7271451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24.00</w:t>
            </w:r>
          </w:p>
        </w:tc>
      </w:tr>
      <w:tr w:rsidR="007E38A6" w:rsidRPr="000B710A" w14:paraId="3A43AE9C" w14:textId="77777777" w:rsidTr="004F7869">
        <w:trPr>
          <w:trHeight w:val="272"/>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426702D8"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2703" w:type="dxa"/>
            <w:vAlign w:val="center"/>
            <w:hideMark/>
          </w:tcPr>
          <w:p w14:paraId="04E4FEC0"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 service jobs</w:t>
            </w:r>
          </w:p>
        </w:tc>
        <w:tc>
          <w:tcPr>
            <w:tcW w:w="1285" w:type="dxa"/>
            <w:vAlign w:val="center"/>
            <w:hideMark/>
          </w:tcPr>
          <w:p w14:paraId="600DBCE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14.5</w:t>
            </w:r>
          </w:p>
        </w:tc>
        <w:tc>
          <w:tcPr>
            <w:tcW w:w="0" w:type="auto"/>
            <w:vAlign w:val="center"/>
            <w:hideMark/>
          </w:tcPr>
          <w:p w14:paraId="0A14C9C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23.0</w:t>
            </w:r>
          </w:p>
        </w:tc>
        <w:tc>
          <w:tcPr>
            <w:tcW w:w="0" w:type="auto"/>
            <w:vAlign w:val="center"/>
            <w:hideMark/>
          </w:tcPr>
          <w:p w14:paraId="5A8CB0CD"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26</w:t>
            </w:r>
          </w:p>
        </w:tc>
        <w:tc>
          <w:tcPr>
            <w:tcW w:w="0" w:type="auto"/>
            <w:vAlign w:val="center"/>
            <w:hideMark/>
          </w:tcPr>
          <w:p w14:paraId="6267917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17.33</w:t>
            </w:r>
          </w:p>
        </w:tc>
      </w:tr>
      <w:tr w:rsidR="007E38A6" w:rsidRPr="000B710A" w14:paraId="5E376BD8" w14:textId="77777777" w:rsidTr="004F7869">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518E7B99" w14:textId="77777777" w:rsidR="007E38A6" w:rsidRPr="000B710A" w:rsidRDefault="007E38A6" w:rsidP="004F7869">
            <w:pPr>
              <w:jc w:val="center"/>
              <w:rPr>
                <w:rFonts w:ascii="Arial" w:eastAsia="Times New Roman" w:hAnsi="Arial" w:cs="Arial"/>
                <w:kern w:val="0"/>
                <w:sz w:val="20"/>
                <w:szCs w:val="20"/>
                <w:lang w:eastAsia="en-IN"/>
              </w:rPr>
            </w:pPr>
          </w:p>
        </w:tc>
        <w:tc>
          <w:tcPr>
            <w:tcW w:w="2703" w:type="dxa"/>
            <w:vAlign w:val="center"/>
            <w:hideMark/>
          </w:tcPr>
          <w:p w14:paraId="6228901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1285" w:type="dxa"/>
            <w:vAlign w:val="center"/>
            <w:hideMark/>
          </w:tcPr>
          <w:p w14:paraId="492DD28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c>
          <w:tcPr>
            <w:tcW w:w="0" w:type="auto"/>
            <w:vAlign w:val="center"/>
            <w:hideMark/>
          </w:tcPr>
          <w:p w14:paraId="7DF3242A"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c>
          <w:tcPr>
            <w:tcW w:w="0" w:type="auto"/>
            <w:vAlign w:val="center"/>
            <w:hideMark/>
          </w:tcPr>
          <w:p w14:paraId="73BF614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0030083"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r>
    </w:tbl>
    <w:p w14:paraId="0F311789" w14:textId="77777777" w:rsidR="007E38A6" w:rsidRPr="000B710A" w:rsidRDefault="007E38A6" w:rsidP="007E38A6">
      <w:pPr>
        <w:jc w:val="both"/>
        <w:rPr>
          <w:rFonts w:ascii="Arial" w:hAnsi="Arial" w:cs="Arial"/>
        </w:rPr>
        <w:sectPr w:rsidR="007E38A6" w:rsidRPr="000B710A" w:rsidSect="007E38A6">
          <w:type w:val="continuous"/>
          <w:pgSz w:w="11906" w:h="16838"/>
          <w:pgMar w:top="1440" w:right="1440" w:bottom="1440" w:left="1440" w:header="708" w:footer="708" w:gutter="0"/>
          <w:cols w:space="708"/>
          <w:docGrid w:linePitch="360"/>
        </w:sectPr>
      </w:pPr>
    </w:p>
    <w:p w14:paraId="6960A2FB" w14:textId="79C7099C" w:rsidR="007E38A6" w:rsidRPr="000B710A" w:rsidRDefault="007E38A6" w:rsidP="007E38A6">
      <w:pPr>
        <w:rPr>
          <w:rFonts w:ascii="Arial" w:hAnsi="Arial" w:cs="Arial"/>
          <w:b/>
          <w:bCs/>
        </w:rPr>
      </w:pPr>
      <w:r w:rsidRPr="000B710A">
        <w:rPr>
          <w:rFonts w:ascii="Arial" w:hAnsi="Arial" w:cs="Arial"/>
          <w:b/>
          <w:bCs/>
        </w:rPr>
        <w:t>3.2. Socio-economic dimension</w:t>
      </w:r>
    </w:p>
    <w:p w14:paraId="55F4383C" w14:textId="77777777" w:rsidR="005F1D5F" w:rsidRDefault="005F1D5F" w:rsidP="007E38A6">
      <w:pPr>
        <w:rPr>
          <w:rFonts w:ascii="Arial" w:hAnsi="Arial" w:cs="Arial"/>
          <w:b/>
          <w:bCs/>
        </w:rPr>
      </w:pPr>
    </w:p>
    <w:p w14:paraId="3B596A93" w14:textId="206B7856" w:rsidR="007E38A6" w:rsidRPr="000B710A" w:rsidRDefault="007E38A6" w:rsidP="007E38A6">
      <w:pPr>
        <w:rPr>
          <w:rFonts w:ascii="Arial" w:hAnsi="Arial" w:cs="Arial"/>
          <w:b/>
          <w:bCs/>
        </w:rPr>
      </w:pPr>
      <w:r w:rsidRPr="000B710A">
        <w:rPr>
          <w:rFonts w:ascii="Arial" w:hAnsi="Arial" w:cs="Arial"/>
          <w:b/>
          <w:bCs/>
        </w:rPr>
        <w:t>3.2.1 Annual income</w:t>
      </w:r>
    </w:p>
    <w:p w14:paraId="705A58C0" w14:textId="087C9628" w:rsidR="007E38A6" w:rsidRDefault="007E38A6" w:rsidP="007E38A6">
      <w:pPr>
        <w:jc w:val="both"/>
        <w:rPr>
          <w:rFonts w:ascii="Arial" w:hAnsi="Arial" w:cs="Arial"/>
        </w:rPr>
      </w:pPr>
      <w:r w:rsidRPr="000B710A">
        <w:rPr>
          <w:rFonts w:ascii="Arial" w:hAnsi="Arial" w:cs="Arial"/>
        </w:rPr>
        <w:t xml:space="preserve">Annual family income is a crucial socio-economic indicator reflecting the financial well-being of small tea growers. It determines their capacity to invest in improved practices, adopt </w:t>
      </w:r>
      <w:r w:rsidRPr="000B710A">
        <w:rPr>
          <w:rFonts w:ascii="Arial" w:hAnsi="Arial" w:cs="Arial"/>
        </w:rPr>
        <w:lastRenderedPageBreak/>
        <w:t xml:space="preserve">innovations, and cope with market fluctuations </w:t>
      </w:r>
      <w:r>
        <w:rPr>
          <w:rFonts w:ascii="Arial" w:hAnsi="Arial" w:cs="Arial"/>
        </w:rPr>
        <w:t>[20]</w:t>
      </w:r>
      <w:r w:rsidRPr="000B710A">
        <w:rPr>
          <w:rFonts w:ascii="Arial" w:hAnsi="Arial" w:cs="Arial"/>
        </w:rPr>
        <w:t>. The distribution of respondents according to income level is shown in Table 4.</w:t>
      </w:r>
    </w:p>
    <w:p w14:paraId="475A7CCF" w14:textId="77777777" w:rsidR="00A94A6A" w:rsidRPr="000B710A" w:rsidRDefault="00A94A6A" w:rsidP="007E38A6">
      <w:pPr>
        <w:jc w:val="both"/>
        <w:rPr>
          <w:rFonts w:ascii="Arial" w:hAnsi="Arial" w:cs="Arial"/>
        </w:rPr>
      </w:pPr>
    </w:p>
    <w:p w14:paraId="550BA54D" w14:textId="43F1FC45" w:rsidR="007E38A6" w:rsidRDefault="007E38A6" w:rsidP="007E38A6">
      <w:pPr>
        <w:jc w:val="both"/>
        <w:rPr>
          <w:rFonts w:ascii="Arial" w:hAnsi="Arial" w:cs="Arial"/>
        </w:rPr>
      </w:pPr>
      <w:r w:rsidRPr="000B710A">
        <w:rPr>
          <w:rFonts w:ascii="Arial" w:hAnsi="Arial" w:cs="Arial"/>
        </w:rPr>
        <w:t xml:space="preserve">The results show that nearly half of the small tea growers (47.33%) earned above ₹ 2,00,000 annually, while 44 percent earned between ₹ 1,50,001 and ₹ 2,00,000, and only 8.66 percent fell below ₹ 1,50,000. Higher-income households were concentrated in </w:t>
      </w:r>
      <w:proofErr w:type="spellStart"/>
      <w:r w:rsidRPr="000B710A">
        <w:rPr>
          <w:rFonts w:ascii="Arial" w:hAnsi="Arial" w:cs="Arial"/>
        </w:rPr>
        <w:t>Mananthavady</w:t>
      </w:r>
      <w:proofErr w:type="spellEnd"/>
      <w:r w:rsidRPr="000B710A">
        <w:rPr>
          <w:rFonts w:ascii="Arial" w:hAnsi="Arial" w:cs="Arial"/>
        </w:rPr>
        <w:t xml:space="preserve"> (57.14%), Sultan </w:t>
      </w:r>
      <w:proofErr w:type="spellStart"/>
      <w:r w:rsidR="00A05270">
        <w:rPr>
          <w:rFonts w:ascii="Arial" w:hAnsi="Arial" w:cs="Arial"/>
        </w:rPr>
        <w:t>B</w:t>
      </w:r>
      <w:r w:rsidRPr="000B710A">
        <w:rPr>
          <w:rFonts w:ascii="Arial" w:hAnsi="Arial" w:cs="Arial"/>
        </w:rPr>
        <w:t>athery</w:t>
      </w:r>
      <w:proofErr w:type="spellEnd"/>
      <w:r w:rsidRPr="000B710A">
        <w:rPr>
          <w:rFonts w:ascii="Arial" w:hAnsi="Arial" w:cs="Arial"/>
        </w:rPr>
        <w:t xml:space="preserve"> (50%), and </w:t>
      </w:r>
      <w:proofErr w:type="spellStart"/>
      <w:r w:rsidRPr="000B710A">
        <w:rPr>
          <w:rFonts w:ascii="Arial" w:hAnsi="Arial" w:cs="Arial"/>
        </w:rPr>
        <w:t>Ooty</w:t>
      </w:r>
      <w:proofErr w:type="spellEnd"/>
      <w:r w:rsidRPr="000B710A">
        <w:rPr>
          <w:rFonts w:ascii="Arial" w:hAnsi="Arial" w:cs="Arial"/>
        </w:rPr>
        <w:t xml:space="preserve"> (46.34%), highlighting that tea cultivation provides a reasonably stable and profitable livelihood in these regions.</w:t>
      </w:r>
    </w:p>
    <w:p w14:paraId="65C4591A" w14:textId="77777777" w:rsidR="00A05270" w:rsidRDefault="00A05270" w:rsidP="007E38A6">
      <w:pPr>
        <w:jc w:val="both"/>
        <w:rPr>
          <w:rFonts w:ascii="Arial" w:hAnsi="Arial" w:cs="Arial"/>
        </w:rPr>
      </w:pPr>
    </w:p>
    <w:p w14:paraId="3AD15603" w14:textId="77777777" w:rsidR="007E38A6" w:rsidRDefault="007E38A6" w:rsidP="007E38A6">
      <w:pPr>
        <w:jc w:val="both"/>
        <w:rPr>
          <w:rFonts w:ascii="Arial" w:hAnsi="Arial" w:cs="Arial"/>
        </w:rPr>
      </w:pPr>
      <w:r w:rsidRPr="000B710A">
        <w:rPr>
          <w:rFonts w:ascii="Arial" w:hAnsi="Arial" w:cs="Arial"/>
        </w:rPr>
        <w:t xml:space="preserve">Comparable income patterns among South Indian smallholders were observed by </w:t>
      </w:r>
      <w:r>
        <w:rPr>
          <w:rFonts w:ascii="Arial" w:hAnsi="Arial" w:cs="Arial"/>
        </w:rPr>
        <w:t>[7]</w:t>
      </w:r>
      <w:r w:rsidRPr="000B710A">
        <w:rPr>
          <w:rFonts w:ascii="Arial" w:hAnsi="Arial" w:cs="Arial"/>
        </w:rPr>
        <w:t xml:space="preserve">, who noted that better-managed small tea holdings consistently outperformed estate-based systems in profitability. </w:t>
      </w:r>
      <w:r w:rsidRPr="005F1D5F">
        <w:rPr>
          <w:rStyle w:val="Strong"/>
          <w:rFonts w:ascii="Arial" w:hAnsi="Arial" w:cs="Arial"/>
          <w:b w:val="0"/>
          <w:bCs w:val="0"/>
        </w:rPr>
        <w:t>[21]</w:t>
      </w:r>
      <w:r w:rsidRPr="000B710A">
        <w:rPr>
          <w:rFonts w:ascii="Arial" w:hAnsi="Arial" w:cs="Arial"/>
        </w:rPr>
        <w:t xml:space="preserve"> noted that diversified farming systems combined with tea cultivation improved overall household income and resource utilization among small tea growers in Assam. </w:t>
      </w:r>
    </w:p>
    <w:p w14:paraId="4280ED9C" w14:textId="77777777" w:rsidR="005F1D5F" w:rsidRPr="000B710A" w:rsidRDefault="005F1D5F" w:rsidP="007E38A6">
      <w:pPr>
        <w:jc w:val="both"/>
        <w:rPr>
          <w:rFonts w:ascii="Arial" w:hAnsi="Arial" w:cs="Arial"/>
        </w:rPr>
      </w:pPr>
    </w:p>
    <w:p w14:paraId="0BDD7F2B" w14:textId="0E837803" w:rsidR="007E38A6" w:rsidRDefault="007E38A6" w:rsidP="007E38A6">
      <w:pPr>
        <w:jc w:val="both"/>
        <w:rPr>
          <w:rFonts w:ascii="Arial" w:hAnsi="Arial" w:cs="Arial"/>
          <w:b/>
          <w:bCs/>
        </w:rPr>
      </w:pPr>
      <w:r w:rsidRPr="000B710A">
        <w:rPr>
          <w:rFonts w:ascii="Arial" w:hAnsi="Arial" w:cs="Arial"/>
          <w:b/>
          <w:bCs/>
        </w:rPr>
        <w:t>3.3. Agro-ecological dimension</w:t>
      </w:r>
    </w:p>
    <w:p w14:paraId="5D9E2685" w14:textId="77777777" w:rsidR="005F1D5F" w:rsidRPr="000B710A" w:rsidRDefault="005F1D5F" w:rsidP="007E38A6">
      <w:pPr>
        <w:jc w:val="both"/>
        <w:rPr>
          <w:rFonts w:ascii="Arial" w:hAnsi="Arial" w:cs="Arial"/>
          <w:b/>
          <w:bCs/>
        </w:rPr>
      </w:pPr>
    </w:p>
    <w:p w14:paraId="4B645270" w14:textId="752F5CCC" w:rsidR="007E38A6" w:rsidRDefault="007E38A6" w:rsidP="007E38A6">
      <w:pPr>
        <w:jc w:val="both"/>
        <w:rPr>
          <w:rFonts w:ascii="Arial" w:hAnsi="Arial" w:cs="Arial"/>
          <w:b/>
          <w:bCs/>
        </w:rPr>
      </w:pPr>
      <w:r w:rsidRPr="000B710A">
        <w:rPr>
          <w:rFonts w:ascii="Arial" w:hAnsi="Arial" w:cs="Arial"/>
          <w:b/>
          <w:bCs/>
        </w:rPr>
        <w:t>3.3.1. Area under tea cultivation</w:t>
      </w:r>
    </w:p>
    <w:p w14:paraId="0E6F17EB" w14:textId="77777777" w:rsidR="005F1D5F" w:rsidRPr="000B710A" w:rsidRDefault="005F1D5F" w:rsidP="007E38A6">
      <w:pPr>
        <w:jc w:val="both"/>
        <w:rPr>
          <w:rFonts w:ascii="Arial" w:hAnsi="Arial" w:cs="Arial"/>
          <w:b/>
          <w:bCs/>
        </w:rPr>
      </w:pPr>
    </w:p>
    <w:p w14:paraId="62BB66E8" w14:textId="77777777" w:rsidR="007E38A6" w:rsidRPr="000B710A" w:rsidRDefault="007E38A6" w:rsidP="007E38A6">
      <w:pPr>
        <w:jc w:val="both"/>
        <w:rPr>
          <w:rFonts w:ascii="Arial" w:hAnsi="Arial" w:cs="Arial"/>
        </w:rPr>
      </w:pPr>
      <w:r w:rsidRPr="000B710A">
        <w:rPr>
          <w:rFonts w:ascii="Arial" w:hAnsi="Arial" w:cs="Arial"/>
        </w:rPr>
        <w:t xml:space="preserve">The extent of land under tea cultivation reflects the production potential and livelihood dependence of small tea growers. Sharma and </w:t>
      </w:r>
      <w:r>
        <w:rPr>
          <w:rFonts w:ascii="Arial" w:hAnsi="Arial" w:cs="Arial"/>
        </w:rPr>
        <w:t xml:space="preserve">[22] </w:t>
      </w:r>
      <w:r w:rsidRPr="000B710A">
        <w:rPr>
          <w:rFonts w:ascii="Arial" w:hAnsi="Arial" w:cs="Arial"/>
        </w:rPr>
        <w:t>defined small tea growers as those cultivating tea on less than 10.12 hectares (25 acres) of land and highlighted that such growers form the majority of India’s tea-producing community. Respondents were classified into categories based on the total area devoted to tea, and the results are presented in Table 5.</w:t>
      </w:r>
    </w:p>
    <w:p w14:paraId="11A60706" w14:textId="29681ED0" w:rsidR="00A94A6A" w:rsidRDefault="007E38A6" w:rsidP="00A94A6A">
      <w:pPr>
        <w:pStyle w:val="NormalWeb"/>
        <w:jc w:val="both"/>
        <w:rPr>
          <w:rFonts w:ascii="Arial" w:hAnsi="Arial" w:cs="Arial"/>
          <w:sz w:val="20"/>
          <w:szCs w:val="20"/>
        </w:rPr>
      </w:pPr>
      <w:r w:rsidRPr="000B710A">
        <w:rPr>
          <w:rFonts w:ascii="Arial" w:hAnsi="Arial" w:cs="Arial"/>
          <w:sz w:val="20"/>
          <w:szCs w:val="20"/>
        </w:rPr>
        <w:t xml:space="preserve">The findings reveal that the majority (60.66%) of small tea growers possessed holdings of up to one acre, while 32% cultivated between 1.1 and 3 acres. Only 7.33% of respondents owned more than three acres of tea plantation. </w:t>
      </w:r>
      <w:r w:rsidRPr="000B710A">
        <w:rPr>
          <w:rFonts w:ascii="Arial" w:hAnsi="Arial" w:cs="Arial"/>
          <w:sz w:val="20"/>
          <w:szCs w:val="20"/>
        </w:rPr>
        <w:tab/>
        <w:t xml:space="preserve">This distribution confirms that tea cultivation in the study area is dominated by smallholders, consistent with the national trend reported by the </w:t>
      </w:r>
      <w:r>
        <w:rPr>
          <w:rFonts w:ascii="Arial" w:hAnsi="Arial" w:cs="Arial"/>
          <w:sz w:val="20"/>
          <w:szCs w:val="20"/>
        </w:rPr>
        <w:t>[2]</w:t>
      </w:r>
      <w:r w:rsidRPr="000B710A">
        <w:rPr>
          <w:rFonts w:ascii="Arial" w:hAnsi="Arial" w:cs="Arial"/>
          <w:sz w:val="20"/>
          <w:szCs w:val="20"/>
        </w:rPr>
        <w:t xml:space="preserve">, where small tea growers contribute over half of India’s total tea output. The size of landholdings also determines economies of scale, investment ability, and the capacity to adopt improved practices </w:t>
      </w:r>
      <w:r>
        <w:rPr>
          <w:rFonts w:ascii="Arial" w:hAnsi="Arial" w:cs="Arial"/>
          <w:sz w:val="20"/>
          <w:szCs w:val="20"/>
        </w:rPr>
        <w:t>[23]</w:t>
      </w:r>
      <w:r w:rsidRPr="000B710A">
        <w:rPr>
          <w:rFonts w:ascii="Arial" w:hAnsi="Arial" w:cs="Arial"/>
          <w:sz w:val="20"/>
          <w:szCs w:val="20"/>
        </w:rPr>
        <w:t xml:space="preserve">. </w:t>
      </w:r>
    </w:p>
    <w:p w14:paraId="71AF1D64" w14:textId="77777777" w:rsidR="00A94A6A" w:rsidRDefault="007E38A6" w:rsidP="00A94A6A">
      <w:pPr>
        <w:pStyle w:val="NormalWeb"/>
        <w:jc w:val="both"/>
        <w:rPr>
          <w:rFonts w:ascii="Arial" w:hAnsi="Arial" w:cs="Arial"/>
          <w:sz w:val="20"/>
          <w:szCs w:val="20"/>
        </w:rPr>
      </w:pPr>
      <w:r w:rsidRPr="000B710A">
        <w:rPr>
          <w:rFonts w:ascii="Arial" w:hAnsi="Arial" w:cs="Arial"/>
          <w:b/>
          <w:bCs/>
          <w:sz w:val="20"/>
          <w:szCs w:val="20"/>
        </w:rPr>
        <w:t>3.3.2 Farm machinery</w:t>
      </w:r>
    </w:p>
    <w:p w14:paraId="2F43213D" w14:textId="3BEF9836" w:rsidR="007E38A6" w:rsidRPr="000B710A" w:rsidRDefault="007E38A6" w:rsidP="00A94A6A">
      <w:pPr>
        <w:pStyle w:val="NormalWeb"/>
        <w:jc w:val="both"/>
        <w:rPr>
          <w:rFonts w:ascii="Arial" w:hAnsi="Arial" w:cs="Arial"/>
          <w:sz w:val="20"/>
          <w:szCs w:val="20"/>
        </w:rPr>
      </w:pPr>
      <w:r w:rsidRPr="000B710A">
        <w:rPr>
          <w:rFonts w:ascii="Arial" w:hAnsi="Arial" w:cs="Arial"/>
          <w:sz w:val="20"/>
          <w:szCs w:val="20"/>
        </w:rPr>
        <w:t>Possession of farm machinery reflects the extent of mechanization in tea cultivation and growers’ ability to enhance labour efficiency, reduce production costs, and improve timeliness of operations. The distribution of respondents according to their machinery ownership is presented in Table 6.</w:t>
      </w:r>
    </w:p>
    <w:p w14:paraId="3D5EF801" w14:textId="6350640D" w:rsidR="007E38A6" w:rsidRPr="00591060" w:rsidRDefault="007E38A6" w:rsidP="007E38A6">
      <w:pPr>
        <w:pStyle w:val="NormalWeb"/>
        <w:jc w:val="both"/>
        <w:rPr>
          <w:rFonts w:ascii="Arial" w:hAnsi="Arial" w:cs="Arial"/>
        </w:rPr>
        <w:sectPr w:rsidR="007E38A6" w:rsidRPr="00591060" w:rsidSect="007E38A6">
          <w:type w:val="continuous"/>
          <w:pgSz w:w="11906" w:h="16838"/>
          <w:pgMar w:top="1440" w:right="1440" w:bottom="1440" w:left="1440" w:header="708" w:footer="708" w:gutter="0"/>
          <w:cols w:num="2" w:space="708"/>
          <w:docGrid w:linePitch="360"/>
        </w:sectPr>
      </w:pPr>
      <w:r w:rsidRPr="000B710A">
        <w:rPr>
          <w:rFonts w:ascii="Arial" w:hAnsi="Arial" w:cs="Arial"/>
          <w:sz w:val="20"/>
          <w:szCs w:val="20"/>
        </w:rPr>
        <w:t>The analysis revealed that a majority (55.33 %) of small tea growers possessed tea-plucking machines such as hand shears, knife or battery-operated harvesters, while 30.67 % owned pruning machines. About 30 % used other mechanical tools like weeders and dryers for field operations. These findings indicate a moderate level of mechanization, primarily restricted to basic equipment for harvesting and pruning. Large or advanced machinery remains uncommon due to the high cost of investment smaller holdings, and limited access to group-based credit or subsidy schemes</w:t>
      </w:r>
      <w:r w:rsidRPr="005F1D5F">
        <w:rPr>
          <w:rFonts w:ascii="Arial" w:hAnsi="Arial" w:cs="Arial"/>
          <w:sz w:val="20"/>
          <w:szCs w:val="20"/>
        </w:rPr>
        <w:t>.</w:t>
      </w:r>
      <w:r w:rsidRPr="005F1D5F">
        <w:rPr>
          <w:rFonts w:ascii="Arial" w:hAnsi="Arial" w:cs="Arial"/>
          <w:b/>
          <w:bCs/>
          <w:sz w:val="20"/>
          <w:szCs w:val="20"/>
        </w:rPr>
        <w:t xml:space="preserve"> </w:t>
      </w:r>
      <w:r w:rsidRPr="005F1D5F">
        <w:rPr>
          <w:rStyle w:val="Strong"/>
          <w:rFonts w:ascii="Arial" w:hAnsi="Arial" w:cs="Arial"/>
          <w:b w:val="0"/>
          <w:bCs w:val="0"/>
          <w:sz w:val="20"/>
          <w:szCs w:val="20"/>
        </w:rPr>
        <w:t>[24]</w:t>
      </w:r>
      <w:r w:rsidRPr="000B710A">
        <w:rPr>
          <w:rFonts w:ascii="Arial" w:hAnsi="Arial" w:cs="Arial"/>
          <w:sz w:val="20"/>
          <w:szCs w:val="20"/>
        </w:rPr>
        <w:t xml:space="preserve"> also reported that the adoption of mechanized harvesting depends on farmers’ experience, land size, and access to information, noting that smallholders often face financial and resource constraints that limit large-scale mechanization</w:t>
      </w:r>
      <w:r w:rsidR="00A94A6A">
        <w:rPr>
          <w:rFonts w:ascii="Arial" w:hAnsi="Arial" w:cs="Arial"/>
          <w:sz w:val="20"/>
          <w:szCs w:val="20"/>
        </w:rPr>
        <w:t>.</w:t>
      </w:r>
    </w:p>
    <w:p w14:paraId="7F5D1158" w14:textId="2341053B" w:rsidR="007E38A6" w:rsidRPr="000B710A" w:rsidRDefault="007E38A6" w:rsidP="007E38A6">
      <w:pPr>
        <w:pStyle w:val="NormalWeb"/>
        <w:jc w:val="center"/>
        <w:rPr>
          <w:rFonts w:ascii="Arial" w:hAnsi="Arial" w:cs="Arial"/>
          <w:b/>
          <w:bCs/>
          <w:sz w:val="20"/>
          <w:szCs w:val="20"/>
        </w:rPr>
      </w:pPr>
      <w:r w:rsidRPr="000B710A">
        <w:rPr>
          <w:rFonts w:ascii="Arial" w:hAnsi="Arial" w:cs="Arial"/>
          <w:b/>
          <w:bCs/>
          <w:sz w:val="20"/>
          <w:szCs w:val="20"/>
        </w:rPr>
        <w:t>Table 4</w:t>
      </w:r>
      <w:r>
        <w:rPr>
          <w:rFonts w:ascii="Arial" w:hAnsi="Arial" w:cs="Arial"/>
          <w:b/>
          <w:bCs/>
          <w:sz w:val="20"/>
          <w:szCs w:val="20"/>
        </w:rPr>
        <w:t xml:space="preserve">. </w:t>
      </w:r>
      <w:r w:rsidRPr="000B710A">
        <w:rPr>
          <w:rFonts w:ascii="Arial" w:hAnsi="Arial" w:cs="Arial"/>
          <w:b/>
          <w:bCs/>
          <w:sz w:val="20"/>
          <w:szCs w:val="20"/>
        </w:rPr>
        <w:t>Annual family income distribution of the sample respondents (N = 150)</w:t>
      </w:r>
    </w:p>
    <w:tbl>
      <w:tblPr>
        <w:tblStyle w:val="PlainTable2"/>
        <w:tblW w:w="7623" w:type="dxa"/>
        <w:jc w:val="center"/>
        <w:tblLook w:val="06A0" w:firstRow="1" w:lastRow="0" w:firstColumn="1" w:lastColumn="0" w:noHBand="1" w:noVBand="1"/>
      </w:tblPr>
      <w:tblGrid>
        <w:gridCol w:w="793"/>
        <w:gridCol w:w="1974"/>
        <w:gridCol w:w="1680"/>
        <w:gridCol w:w="1209"/>
        <w:gridCol w:w="1242"/>
        <w:gridCol w:w="725"/>
      </w:tblGrid>
      <w:tr w:rsidR="007E38A6" w:rsidRPr="000B710A" w14:paraId="23668722" w14:textId="77777777" w:rsidTr="004F7869">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6F505C" w14:textId="77777777" w:rsidR="007E38A6" w:rsidRPr="000B710A" w:rsidRDefault="007E38A6" w:rsidP="004F7869">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396AA8C6"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Family income (₹)</w:t>
            </w:r>
          </w:p>
        </w:tc>
        <w:tc>
          <w:tcPr>
            <w:tcW w:w="0" w:type="auto"/>
            <w:vAlign w:val="center"/>
            <w:hideMark/>
          </w:tcPr>
          <w:p w14:paraId="4BD9751E"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706EDAC9"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67CC3785"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207AD5BD"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3ACFDE71" w14:textId="77777777" w:rsidTr="004F7869">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5AE42A"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4CEFFDA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1,00,001 - 1,50,000</w:t>
            </w:r>
          </w:p>
        </w:tc>
        <w:tc>
          <w:tcPr>
            <w:tcW w:w="0" w:type="auto"/>
            <w:vAlign w:val="center"/>
            <w:hideMark/>
          </w:tcPr>
          <w:p w14:paraId="2DE35DDE"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9.0</w:t>
            </w:r>
          </w:p>
        </w:tc>
        <w:tc>
          <w:tcPr>
            <w:tcW w:w="0" w:type="auto"/>
            <w:vAlign w:val="center"/>
            <w:hideMark/>
          </w:tcPr>
          <w:p w14:paraId="0694D1D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8.0</w:t>
            </w:r>
          </w:p>
        </w:tc>
        <w:tc>
          <w:tcPr>
            <w:tcW w:w="0" w:type="auto"/>
            <w:vAlign w:val="center"/>
            <w:hideMark/>
          </w:tcPr>
          <w:p w14:paraId="1642BD7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13</w:t>
            </w:r>
          </w:p>
        </w:tc>
        <w:tc>
          <w:tcPr>
            <w:tcW w:w="0" w:type="auto"/>
            <w:vAlign w:val="center"/>
            <w:hideMark/>
          </w:tcPr>
          <w:p w14:paraId="196B0C9F"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8.66</w:t>
            </w:r>
          </w:p>
        </w:tc>
      </w:tr>
      <w:tr w:rsidR="007E38A6" w:rsidRPr="000B710A" w14:paraId="73B26954" w14:textId="77777777" w:rsidTr="004F7869">
        <w:trPr>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95751C"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27BA87C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1,50,001 - 2,00,000</w:t>
            </w:r>
          </w:p>
        </w:tc>
        <w:tc>
          <w:tcPr>
            <w:tcW w:w="0" w:type="auto"/>
            <w:vAlign w:val="center"/>
            <w:hideMark/>
          </w:tcPr>
          <w:p w14:paraId="39F746D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45.0</w:t>
            </w:r>
          </w:p>
        </w:tc>
        <w:tc>
          <w:tcPr>
            <w:tcW w:w="0" w:type="auto"/>
            <w:vAlign w:val="center"/>
            <w:hideMark/>
          </w:tcPr>
          <w:p w14:paraId="5E6486E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43.0</w:t>
            </w:r>
          </w:p>
        </w:tc>
        <w:tc>
          <w:tcPr>
            <w:tcW w:w="0" w:type="auto"/>
            <w:vAlign w:val="center"/>
            <w:hideMark/>
          </w:tcPr>
          <w:p w14:paraId="5197667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66</w:t>
            </w:r>
          </w:p>
        </w:tc>
        <w:tc>
          <w:tcPr>
            <w:tcW w:w="0" w:type="auto"/>
            <w:vAlign w:val="center"/>
            <w:hideMark/>
          </w:tcPr>
          <w:p w14:paraId="3842BF5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44.00</w:t>
            </w:r>
          </w:p>
        </w:tc>
      </w:tr>
      <w:tr w:rsidR="007E38A6" w:rsidRPr="000B710A" w14:paraId="2C160D96" w14:textId="77777777" w:rsidTr="004F7869">
        <w:trPr>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7FB2BB"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23F8631D"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Above 2,00,000</w:t>
            </w:r>
          </w:p>
        </w:tc>
        <w:tc>
          <w:tcPr>
            <w:tcW w:w="0" w:type="auto"/>
            <w:vAlign w:val="center"/>
            <w:hideMark/>
          </w:tcPr>
          <w:p w14:paraId="0AFF055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46.0</w:t>
            </w:r>
          </w:p>
        </w:tc>
        <w:tc>
          <w:tcPr>
            <w:tcW w:w="0" w:type="auto"/>
            <w:vAlign w:val="center"/>
            <w:hideMark/>
          </w:tcPr>
          <w:p w14:paraId="747C77C0"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49.0</w:t>
            </w:r>
          </w:p>
        </w:tc>
        <w:tc>
          <w:tcPr>
            <w:tcW w:w="0" w:type="auto"/>
            <w:vAlign w:val="center"/>
            <w:hideMark/>
          </w:tcPr>
          <w:p w14:paraId="660AF3D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71</w:t>
            </w:r>
          </w:p>
        </w:tc>
        <w:tc>
          <w:tcPr>
            <w:tcW w:w="0" w:type="auto"/>
            <w:vAlign w:val="center"/>
            <w:hideMark/>
          </w:tcPr>
          <w:p w14:paraId="4D3958F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47.33</w:t>
            </w:r>
          </w:p>
        </w:tc>
      </w:tr>
      <w:tr w:rsidR="007E38A6" w:rsidRPr="000B710A" w14:paraId="1C49E49F" w14:textId="77777777" w:rsidTr="004F7869">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140CE1" w14:textId="77777777" w:rsidR="007E38A6" w:rsidRPr="000B710A" w:rsidRDefault="007E38A6" w:rsidP="004F7869">
            <w:pPr>
              <w:jc w:val="center"/>
              <w:rPr>
                <w:rFonts w:ascii="Arial" w:eastAsia="Times New Roman" w:hAnsi="Arial" w:cs="Arial"/>
                <w:kern w:val="0"/>
                <w:sz w:val="20"/>
                <w:szCs w:val="20"/>
                <w:lang w:eastAsia="en-IN"/>
              </w:rPr>
            </w:pPr>
          </w:p>
        </w:tc>
        <w:tc>
          <w:tcPr>
            <w:tcW w:w="0" w:type="auto"/>
            <w:vAlign w:val="center"/>
            <w:hideMark/>
          </w:tcPr>
          <w:p w14:paraId="4D3F085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062F4A4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F41050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C6B57E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D172743"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5C69D43D" w14:textId="3D078533" w:rsidR="00A94A6A" w:rsidRPr="000B710A" w:rsidRDefault="007E38A6" w:rsidP="007E38A6">
      <w:pPr>
        <w:pStyle w:val="NormalWeb"/>
        <w:jc w:val="center"/>
        <w:rPr>
          <w:rFonts w:ascii="Arial" w:hAnsi="Arial" w:cs="Arial"/>
          <w:b/>
          <w:bCs/>
          <w:sz w:val="20"/>
          <w:szCs w:val="20"/>
        </w:rPr>
      </w:pPr>
      <w:r w:rsidRPr="000B710A">
        <w:rPr>
          <w:rFonts w:ascii="Arial" w:hAnsi="Arial" w:cs="Arial"/>
          <w:b/>
          <w:bCs/>
          <w:sz w:val="20"/>
          <w:szCs w:val="20"/>
        </w:rPr>
        <w:t>Table 5</w:t>
      </w:r>
      <w:r>
        <w:rPr>
          <w:rFonts w:ascii="Arial" w:hAnsi="Arial" w:cs="Arial"/>
          <w:b/>
          <w:bCs/>
          <w:sz w:val="20"/>
          <w:szCs w:val="20"/>
        </w:rPr>
        <w:t>.</w:t>
      </w:r>
      <w:r w:rsidRPr="000B710A">
        <w:rPr>
          <w:rFonts w:ascii="Arial" w:hAnsi="Arial" w:cs="Arial"/>
          <w:b/>
          <w:bCs/>
          <w:sz w:val="20"/>
          <w:szCs w:val="20"/>
        </w:rPr>
        <w:t xml:space="preserve"> Area under tea cultivation distribution of the sample respondents (N = 150)</w:t>
      </w:r>
    </w:p>
    <w:tbl>
      <w:tblPr>
        <w:tblStyle w:val="PlainTable2"/>
        <w:tblW w:w="7387" w:type="dxa"/>
        <w:jc w:val="center"/>
        <w:tblLook w:val="06A0" w:firstRow="1" w:lastRow="0" w:firstColumn="1" w:lastColumn="0" w:noHBand="1" w:noVBand="1"/>
      </w:tblPr>
      <w:tblGrid>
        <w:gridCol w:w="697"/>
        <w:gridCol w:w="2257"/>
        <w:gridCol w:w="1398"/>
        <w:gridCol w:w="1090"/>
        <w:gridCol w:w="1228"/>
        <w:gridCol w:w="717"/>
      </w:tblGrid>
      <w:tr w:rsidR="007E38A6" w:rsidRPr="000B710A" w14:paraId="004D4331" w14:textId="77777777" w:rsidTr="00A94A6A">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467C18" w14:textId="77777777" w:rsidR="007E38A6" w:rsidRPr="000B710A" w:rsidRDefault="007E38A6" w:rsidP="004F7869">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19138454"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Area under tea cultivation</w:t>
            </w:r>
          </w:p>
        </w:tc>
        <w:tc>
          <w:tcPr>
            <w:tcW w:w="0" w:type="auto"/>
            <w:vAlign w:val="center"/>
            <w:hideMark/>
          </w:tcPr>
          <w:p w14:paraId="1CC85BAA"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4D7157BB"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103F8C02"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70EAF1DB"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6A34DF33" w14:textId="77777777" w:rsidTr="00A94A6A">
        <w:trPr>
          <w:trHeight w:val="22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17602E"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2ED1931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Up to 1 acre</w:t>
            </w:r>
          </w:p>
        </w:tc>
        <w:tc>
          <w:tcPr>
            <w:tcW w:w="0" w:type="auto"/>
            <w:vAlign w:val="center"/>
            <w:hideMark/>
          </w:tcPr>
          <w:p w14:paraId="39049B1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61.3</w:t>
            </w:r>
          </w:p>
        </w:tc>
        <w:tc>
          <w:tcPr>
            <w:tcW w:w="0" w:type="auto"/>
            <w:vAlign w:val="center"/>
            <w:hideMark/>
          </w:tcPr>
          <w:p w14:paraId="00BDC07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59.5</w:t>
            </w:r>
          </w:p>
        </w:tc>
        <w:tc>
          <w:tcPr>
            <w:tcW w:w="0" w:type="auto"/>
            <w:vAlign w:val="center"/>
            <w:hideMark/>
          </w:tcPr>
          <w:p w14:paraId="0A8DF85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91</w:t>
            </w:r>
          </w:p>
        </w:tc>
        <w:tc>
          <w:tcPr>
            <w:tcW w:w="0" w:type="auto"/>
            <w:vAlign w:val="center"/>
            <w:hideMark/>
          </w:tcPr>
          <w:p w14:paraId="037CEA4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60.66</w:t>
            </w:r>
          </w:p>
        </w:tc>
      </w:tr>
      <w:tr w:rsidR="007E38A6" w:rsidRPr="000B710A" w14:paraId="1F0895AA" w14:textId="77777777" w:rsidTr="00A94A6A">
        <w:trPr>
          <w:trHeight w:val="22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63A692"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4EF9F49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 – 3 acres</w:t>
            </w:r>
          </w:p>
        </w:tc>
        <w:tc>
          <w:tcPr>
            <w:tcW w:w="0" w:type="auto"/>
            <w:vAlign w:val="center"/>
            <w:hideMark/>
          </w:tcPr>
          <w:p w14:paraId="6628747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30.7</w:t>
            </w:r>
          </w:p>
        </w:tc>
        <w:tc>
          <w:tcPr>
            <w:tcW w:w="0" w:type="auto"/>
            <w:vAlign w:val="center"/>
            <w:hideMark/>
          </w:tcPr>
          <w:p w14:paraId="39088A2A"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33.5</w:t>
            </w:r>
          </w:p>
        </w:tc>
        <w:tc>
          <w:tcPr>
            <w:tcW w:w="0" w:type="auto"/>
            <w:vAlign w:val="center"/>
            <w:hideMark/>
          </w:tcPr>
          <w:p w14:paraId="17A9490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48</w:t>
            </w:r>
          </w:p>
        </w:tc>
        <w:tc>
          <w:tcPr>
            <w:tcW w:w="0" w:type="auto"/>
            <w:vAlign w:val="center"/>
            <w:hideMark/>
          </w:tcPr>
          <w:p w14:paraId="5464186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32.00</w:t>
            </w:r>
          </w:p>
        </w:tc>
      </w:tr>
      <w:tr w:rsidR="007E38A6" w:rsidRPr="000B710A" w14:paraId="7359B686" w14:textId="77777777" w:rsidTr="00A94A6A">
        <w:trPr>
          <w:trHeight w:val="2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624C5D"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011848B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More than 3 acres</w:t>
            </w:r>
          </w:p>
        </w:tc>
        <w:tc>
          <w:tcPr>
            <w:tcW w:w="0" w:type="auto"/>
            <w:vAlign w:val="center"/>
            <w:hideMark/>
          </w:tcPr>
          <w:p w14:paraId="1BA9EEB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8.0</w:t>
            </w:r>
          </w:p>
        </w:tc>
        <w:tc>
          <w:tcPr>
            <w:tcW w:w="0" w:type="auto"/>
            <w:vAlign w:val="center"/>
            <w:hideMark/>
          </w:tcPr>
          <w:p w14:paraId="6137CDB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7.0</w:t>
            </w:r>
          </w:p>
        </w:tc>
        <w:tc>
          <w:tcPr>
            <w:tcW w:w="0" w:type="auto"/>
            <w:vAlign w:val="center"/>
            <w:hideMark/>
          </w:tcPr>
          <w:p w14:paraId="34DB54F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w:t>
            </w:r>
          </w:p>
        </w:tc>
        <w:tc>
          <w:tcPr>
            <w:tcW w:w="0" w:type="auto"/>
            <w:vAlign w:val="center"/>
            <w:hideMark/>
          </w:tcPr>
          <w:p w14:paraId="5D572600"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7.33</w:t>
            </w:r>
          </w:p>
        </w:tc>
      </w:tr>
      <w:tr w:rsidR="007E38A6" w:rsidRPr="000B710A" w14:paraId="64FBD630" w14:textId="77777777" w:rsidTr="00A94A6A">
        <w:trPr>
          <w:trHeight w:val="22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BC1B6E" w14:textId="77777777" w:rsidR="007E38A6" w:rsidRPr="000B710A" w:rsidRDefault="007E38A6" w:rsidP="004F7869">
            <w:pPr>
              <w:jc w:val="center"/>
              <w:rPr>
                <w:rFonts w:ascii="Arial" w:eastAsia="Times New Roman" w:hAnsi="Arial" w:cs="Arial"/>
                <w:kern w:val="0"/>
                <w:sz w:val="20"/>
                <w:szCs w:val="20"/>
                <w:lang w:eastAsia="en-IN"/>
              </w:rPr>
            </w:pPr>
          </w:p>
        </w:tc>
        <w:tc>
          <w:tcPr>
            <w:tcW w:w="0" w:type="auto"/>
            <w:vAlign w:val="center"/>
            <w:hideMark/>
          </w:tcPr>
          <w:p w14:paraId="7275226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12B5A249"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D1F8E7A"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1EA9D4D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7457BD0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2C54DA10" w14:textId="77777777" w:rsidR="007E38A6" w:rsidRPr="000B710A" w:rsidRDefault="007E38A6" w:rsidP="007E38A6">
      <w:pPr>
        <w:tabs>
          <w:tab w:val="left" w:pos="709"/>
        </w:tabs>
        <w:jc w:val="both"/>
        <w:rPr>
          <w:rFonts w:ascii="Arial" w:hAnsi="Arial" w:cs="Arial"/>
          <w:b/>
          <w:bCs/>
        </w:rPr>
      </w:pPr>
      <w:r w:rsidRPr="000B710A">
        <w:rPr>
          <w:rFonts w:ascii="Arial" w:hAnsi="Arial" w:cs="Arial"/>
          <w:b/>
          <w:bCs/>
        </w:rPr>
        <w:tab/>
      </w:r>
    </w:p>
    <w:p w14:paraId="4E3E5D7F" w14:textId="293E9003" w:rsidR="007E38A6" w:rsidRDefault="007E38A6" w:rsidP="007E38A6">
      <w:pPr>
        <w:tabs>
          <w:tab w:val="left" w:pos="709"/>
        </w:tabs>
        <w:jc w:val="center"/>
        <w:rPr>
          <w:rFonts w:ascii="Arial" w:hAnsi="Arial" w:cs="Arial"/>
          <w:b/>
          <w:bCs/>
        </w:rPr>
      </w:pPr>
      <w:r w:rsidRPr="000B710A">
        <w:rPr>
          <w:rFonts w:ascii="Arial" w:hAnsi="Arial" w:cs="Arial"/>
          <w:b/>
          <w:bCs/>
        </w:rPr>
        <w:t>Table 6</w:t>
      </w:r>
      <w:r>
        <w:rPr>
          <w:rFonts w:ascii="Arial" w:hAnsi="Arial" w:cs="Arial"/>
          <w:b/>
          <w:bCs/>
        </w:rPr>
        <w:t xml:space="preserve">. </w:t>
      </w:r>
      <w:r w:rsidRPr="000B710A">
        <w:rPr>
          <w:rFonts w:ascii="Arial" w:hAnsi="Arial" w:cs="Arial"/>
          <w:b/>
          <w:bCs/>
        </w:rPr>
        <w:t>Farm machinery possession distribution of the sample respondents (N = 150)</w:t>
      </w:r>
    </w:p>
    <w:p w14:paraId="438D194F" w14:textId="77777777" w:rsidR="00A94A6A" w:rsidRPr="000B710A" w:rsidRDefault="00A94A6A" w:rsidP="007E38A6">
      <w:pPr>
        <w:tabs>
          <w:tab w:val="left" w:pos="709"/>
        </w:tabs>
        <w:jc w:val="center"/>
        <w:rPr>
          <w:rFonts w:ascii="Arial" w:hAnsi="Arial" w:cs="Arial"/>
          <w:b/>
          <w:bCs/>
        </w:rPr>
      </w:pPr>
    </w:p>
    <w:tbl>
      <w:tblPr>
        <w:tblStyle w:val="PlainTable2"/>
        <w:tblpPr w:leftFromText="180" w:rightFromText="180" w:vertAnchor="text" w:horzAnchor="margin" w:tblpXSpec="center" w:tblpY="31"/>
        <w:tblW w:w="7491" w:type="dxa"/>
        <w:tblLook w:val="06A0" w:firstRow="1" w:lastRow="0" w:firstColumn="1" w:lastColumn="0" w:noHBand="1" w:noVBand="1"/>
      </w:tblPr>
      <w:tblGrid>
        <w:gridCol w:w="603"/>
        <w:gridCol w:w="2859"/>
        <w:gridCol w:w="1109"/>
        <w:gridCol w:w="975"/>
        <w:gridCol w:w="1228"/>
        <w:gridCol w:w="717"/>
      </w:tblGrid>
      <w:tr w:rsidR="007E38A6" w:rsidRPr="000B710A" w14:paraId="3D2954CA" w14:textId="77777777" w:rsidTr="004F7869">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95A821" w14:textId="77777777" w:rsidR="007E38A6" w:rsidRPr="000B710A" w:rsidRDefault="007E38A6" w:rsidP="004F7869">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0D5FCF69"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Type of machinery possessed</w:t>
            </w:r>
          </w:p>
        </w:tc>
        <w:tc>
          <w:tcPr>
            <w:tcW w:w="0" w:type="auto"/>
            <w:vAlign w:val="center"/>
            <w:hideMark/>
          </w:tcPr>
          <w:p w14:paraId="2FA4A552"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5A66FAC7"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3BAF82C7"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5738E801" w14:textId="77777777" w:rsidR="007E38A6" w:rsidRPr="000B710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5285781F" w14:textId="77777777" w:rsidTr="004F7869">
        <w:trPr>
          <w:trHeight w:val="1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A6AED5"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168E1F5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Tea pluckers (shear / knife / battery-operated harvesters)</w:t>
            </w:r>
          </w:p>
        </w:tc>
        <w:tc>
          <w:tcPr>
            <w:tcW w:w="0" w:type="auto"/>
            <w:vAlign w:val="center"/>
            <w:hideMark/>
          </w:tcPr>
          <w:p w14:paraId="6554E6C1"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58.0</w:t>
            </w:r>
          </w:p>
        </w:tc>
        <w:tc>
          <w:tcPr>
            <w:tcW w:w="0" w:type="auto"/>
            <w:vAlign w:val="center"/>
            <w:hideMark/>
          </w:tcPr>
          <w:p w14:paraId="05256304"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52.5</w:t>
            </w:r>
          </w:p>
        </w:tc>
        <w:tc>
          <w:tcPr>
            <w:tcW w:w="0" w:type="auto"/>
            <w:vAlign w:val="center"/>
            <w:hideMark/>
          </w:tcPr>
          <w:p w14:paraId="06544F52"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83</w:t>
            </w:r>
          </w:p>
        </w:tc>
        <w:tc>
          <w:tcPr>
            <w:tcW w:w="0" w:type="auto"/>
            <w:vAlign w:val="center"/>
            <w:hideMark/>
          </w:tcPr>
          <w:p w14:paraId="6B73BF79"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55.33</w:t>
            </w:r>
          </w:p>
        </w:tc>
      </w:tr>
      <w:tr w:rsidR="007E38A6" w:rsidRPr="000B710A" w14:paraId="6EE8F84D" w14:textId="77777777" w:rsidTr="004F7869">
        <w:trPr>
          <w:trHeight w:val="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5E1E24"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66B745F5"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Tea pruning machine</w:t>
            </w:r>
          </w:p>
        </w:tc>
        <w:tc>
          <w:tcPr>
            <w:tcW w:w="0" w:type="auto"/>
            <w:vAlign w:val="center"/>
            <w:hideMark/>
          </w:tcPr>
          <w:p w14:paraId="2003C403"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31.0</w:t>
            </w:r>
          </w:p>
        </w:tc>
        <w:tc>
          <w:tcPr>
            <w:tcW w:w="0" w:type="auto"/>
            <w:vAlign w:val="center"/>
            <w:hideMark/>
          </w:tcPr>
          <w:p w14:paraId="4B83722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30.3</w:t>
            </w:r>
          </w:p>
        </w:tc>
        <w:tc>
          <w:tcPr>
            <w:tcW w:w="0" w:type="auto"/>
            <w:vAlign w:val="center"/>
            <w:hideMark/>
          </w:tcPr>
          <w:p w14:paraId="0CBFB59D"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46</w:t>
            </w:r>
          </w:p>
        </w:tc>
        <w:tc>
          <w:tcPr>
            <w:tcW w:w="0" w:type="auto"/>
            <w:vAlign w:val="center"/>
            <w:hideMark/>
          </w:tcPr>
          <w:p w14:paraId="31A70148"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30.67</w:t>
            </w:r>
          </w:p>
        </w:tc>
      </w:tr>
      <w:tr w:rsidR="007E38A6" w:rsidRPr="000B710A" w14:paraId="452EF56D" w14:textId="77777777" w:rsidTr="004F7869">
        <w:trPr>
          <w:trHeight w:val="1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8A974F" w14:textId="77777777" w:rsidR="007E38A6" w:rsidRPr="000B710A" w:rsidRDefault="007E38A6" w:rsidP="004F7869">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31DB9CE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Other tools (weeders, dryers, mechanical equipment)</w:t>
            </w:r>
          </w:p>
        </w:tc>
        <w:tc>
          <w:tcPr>
            <w:tcW w:w="0" w:type="auto"/>
            <w:vAlign w:val="center"/>
            <w:hideMark/>
          </w:tcPr>
          <w:p w14:paraId="511FE0E0"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11.0</w:t>
            </w:r>
          </w:p>
        </w:tc>
        <w:tc>
          <w:tcPr>
            <w:tcW w:w="0" w:type="auto"/>
            <w:vAlign w:val="center"/>
            <w:hideMark/>
          </w:tcPr>
          <w:p w14:paraId="4F02D4B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17.2</w:t>
            </w:r>
          </w:p>
        </w:tc>
        <w:tc>
          <w:tcPr>
            <w:tcW w:w="0" w:type="auto"/>
            <w:vAlign w:val="center"/>
            <w:hideMark/>
          </w:tcPr>
          <w:p w14:paraId="3AA7DE3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45</w:t>
            </w:r>
          </w:p>
        </w:tc>
        <w:tc>
          <w:tcPr>
            <w:tcW w:w="0" w:type="auto"/>
            <w:vAlign w:val="center"/>
            <w:hideMark/>
          </w:tcPr>
          <w:p w14:paraId="55053E2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30.00</w:t>
            </w:r>
          </w:p>
        </w:tc>
      </w:tr>
      <w:tr w:rsidR="007E38A6" w:rsidRPr="000B710A" w14:paraId="57CF012D" w14:textId="77777777" w:rsidTr="004F7869">
        <w:trPr>
          <w:trHeight w:val="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8A2F77" w14:textId="77777777" w:rsidR="007E38A6" w:rsidRPr="000B710A" w:rsidRDefault="007E38A6" w:rsidP="004F7869">
            <w:pPr>
              <w:jc w:val="center"/>
              <w:rPr>
                <w:rFonts w:ascii="Arial" w:eastAsia="Times New Roman" w:hAnsi="Arial" w:cs="Arial"/>
                <w:kern w:val="0"/>
                <w:sz w:val="20"/>
                <w:szCs w:val="20"/>
                <w:lang w:eastAsia="en-IN"/>
              </w:rPr>
            </w:pPr>
          </w:p>
        </w:tc>
        <w:tc>
          <w:tcPr>
            <w:tcW w:w="0" w:type="auto"/>
            <w:vAlign w:val="center"/>
            <w:hideMark/>
          </w:tcPr>
          <w:p w14:paraId="114BAC0B"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1F13E43C"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9279B27"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F77FA56"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8CBA6E9" w14:textId="77777777" w:rsidR="007E38A6" w:rsidRPr="000B710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3B6CEE98" w14:textId="77777777" w:rsidR="007E38A6" w:rsidRPr="000B710A" w:rsidRDefault="007E38A6" w:rsidP="007E38A6">
      <w:pPr>
        <w:tabs>
          <w:tab w:val="left" w:pos="3880"/>
        </w:tabs>
        <w:rPr>
          <w:rFonts w:ascii="Arial" w:hAnsi="Arial" w:cs="Arial"/>
        </w:rPr>
        <w:sectPr w:rsidR="007E38A6" w:rsidRPr="000B710A" w:rsidSect="007E38A6">
          <w:type w:val="continuous"/>
          <w:pgSz w:w="11906" w:h="16838"/>
          <w:pgMar w:top="1440" w:right="1440" w:bottom="1440" w:left="1440" w:header="708" w:footer="708" w:gutter="0"/>
          <w:cols w:space="708"/>
          <w:docGrid w:linePitch="360"/>
        </w:sectPr>
      </w:pPr>
    </w:p>
    <w:p w14:paraId="5D0A0F7D" w14:textId="77777777" w:rsidR="007E38A6" w:rsidRPr="000B710A" w:rsidRDefault="007E38A6" w:rsidP="007E38A6">
      <w:pPr>
        <w:jc w:val="center"/>
        <w:rPr>
          <w:rFonts w:ascii="Arial" w:hAnsi="Arial" w:cs="Arial"/>
          <w:b/>
          <w:bCs/>
        </w:rPr>
        <w:sectPr w:rsidR="007E38A6" w:rsidRPr="000B710A" w:rsidSect="007E38A6">
          <w:type w:val="continuous"/>
          <w:pgSz w:w="11906" w:h="16838"/>
          <w:pgMar w:top="1440" w:right="1440" w:bottom="1440" w:left="1440" w:header="708" w:footer="708" w:gutter="0"/>
          <w:cols w:num="2" w:space="708"/>
          <w:docGrid w:linePitch="360"/>
        </w:sectPr>
      </w:pPr>
    </w:p>
    <w:p w14:paraId="6601192E" w14:textId="77777777" w:rsidR="007E38A6" w:rsidRPr="000B710A" w:rsidRDefault="007E38A6" w:rsidP="007E38A6">
      <w:pPr>
        <w:jc w:val="both"/>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532FF3B1" w14:textId="77777777" w:rsidR="007E38A6" w:rsidRDefault="007E38A6" w:rsidP="007E38A6">
      <w:pPr>
        <w:jc w:val="both"/>
        <w:rPr>
          <w:rFonts w:ascii="Arial" w:hAnsi="Arial" w:cs="Arial"/>
          <w:b/>
          <w:bCs/>
        </w:rPr>
      </w:pPr>
    </w:p>
    <w:p w14:paraId="71A4C269" w14:textId="77777777" w:rsidR="007E38A6" w:rsidRDefault="007E38A6" w:rsidP="007E38A6">
      <w:pPr>
        <w:jc w:val="both"/>
        <w:rPr>
          <w:rFonts w:ascii="Arial" w:hAnsi="Arial" w:cs="Arial"/>
          <w:b/>
          <w:bCs/>
        </w:rPr>
      </w:pPr>
    </w:p>
    <w:p w14:paraId="58C332AD" w14:textId="77777777" w:rsidR="007E38A6" w:rsidRDefault="007E38A6" w:rsidP="007E38A6">
      <w:pPr>
        <w:jc w:val="both"/>
        <w:rPr>
          <w:rFonts w:ascii="Arial" w:hAnsi="Arial" w:cs="Arial"/>
          <w:b/>
          <w:bCs/>
        </w:rPr>
      </w:pPr>
    </w:p>
    <w:p w14:paraId="66DA03E7" w14:textId="77777777" w:rsidR="005F1D5F" w:rsidRDefault="005F1D5F" w:rsidP="007E38A6">
      <w:pPr>
        <w:jc w:val="both"/>
        <w:rPr>
          <w:rFonts w:ascii="Arial" w:hAnsi="Arial" w:cs="Arial"/>
          <w:b/>
          <w:bCs/>
        </w:rPr>
      </w:pPr>
    </w:p>
    <w:p w14:paraId="7D410E6F" w14:textId="77777777" w:rsidR="005F1D5F" w:rsidRDefault="005F1D5F" w:rsidP="007E38A6">
      <w:pPr>
        <w:jc w:val="both"/>
        <w:rPr>
          <w:rFonts w:ascii="Arial" w:hAnsi="Arial" w:cs="Arial"/>
          <w:b/>
          <w:bCs/>
        </w:rPr>
      </w:pPr>
    </w:p>
    <w:p w14:paraId="2A837A00" w14:textId="77777777" w:rsidR="005F1D5F" w:rsidRDefault="005F1D5F" w:rsidP="007E38A6">
      <w:pPr>
        <w:jc w:val="both"/>
        <w:rPr>
          <w:rFonts w:ascii="Arial" w:hAnsi="Arial" w:cs="Arial"/>
          <w:b/>
          <w:bCs/>
        </w:rPr>
      </w:pPr>
    </w:p>
    <w:p w14:paraId="4E2156E0" w14:textId="77777777" w:rsidR="005F1D5F" w:rsidRDefault="005F1D5F" w:rsidP="007E38A6">
      <w:pPr>
        <w:jc w:val="both"/>
        <w:rPr>
          <w:rFonts w:ascii="Arial" w:hAnsi="Arial" w:cs="Arial"/>
          <w:b/>
          <w:bCs/>
        </w:rPr>
      </w:pPr>
    </w:p>
    <w:p w14:paraId="3626707C" w14:textId="77777777" w:rsidR="005F1D5F" w:rsidRDefault="005F1D5F" w:rsidP="007E38A6">
      <w:pPr>
        <w:jc w:val="both"/>
        <w:rPr>
          <w:rFonts w:ascii="Arial" w:hAnsi="Arial" w:cs="Arial"/>
          <w:b/>
          <w:bCs/>
        </w:rPr>
      </w:pPr>
    </w:p>
    <w:p w14:paraId="537BEC7D" w14:textId="63BF2511" w:rsidR="007E38A6" w:rsidRPr="000B710A" w:rsidRDefault="007E38A6" w:rsidP="007E38A6">
      <w:pPr>
        <w:jc w:val="both"/>
        <w:rPr>
          <w:rFonts w:ascii="Arial" w:hAnsi="Arial" w:cs="Arial"/>
          <w:b/>
          <w:bCs/>
        </w:rPr>
      </w:pPr>
      <w:r w:rsidRPr="000B710A">
        <w:rPr>
          <w:rFonts w:ascii="Arial" w:hAnsi="Arial" w:cs="Arial"/>
          <w:b/>
          <w:bCs/>
        </w:rPr>
        <w:t>3.4</w:t>
      </w:r>
      <w:r w:rsidR="008A3C42">
        <w:rPr>
          <w:rFonts w:ascii="Arial" w:hAnsi="Arial" w:cs="Arial"/>
          <w:b/>
          <w:bCs/>
        </w:rPr>
        <w:t>.</w:t>
      </w:r>
      <w:r w:rsidRPr="000B710A">
        <w:rPr>
          <w:rFonts w:ascii="Arial" w:hAnsi="Arial" w:cs="Arial"/>
          <w:b/>
          <w:bCs/>
        </w:rPr>
        <w:t xml:space="preserve"> Extent of social and technological innovation adoption</w:t>
      </w:r>
    </w:p>
    <w:p w14:paraId="12E03241" w14:textId="77777777" w:rsidR="005F1D5F" w:rsidRDefault="005F1D5F" w:rsidP="007E38A6">
      <w:pPr>
        <w:jc w:val="both"/>
        <w:rPr>
          <w:rFonts w:ascii="Arial" w:hAnsi="Arial" w:cs="Arial"/>
        </w:rPr>
      </w:pPr>
    </w:p>
    <w:p w14:paraId="542C68DA" w14:textId="7BB61212" w:rsidR="007E38A6" w:rsidRDefault="007E38A6" w:rsidP="007E38A6">
      <w:pPr>
        <w:jc w:val="both"/>
        <w:rPr>
          <w:rFonts w:ascii="Arial" w:hAnsi="Arial" w:cs="Arial"/>
        </w:rPr>
      </w:pPr>
      <w:r w:rsidRPr="000B710A">
        <w:rPr>
          <w:rFonts w:ascii="Arial" w:hAnsi="Arial" w:cs="Arial"/>
        </w:rPr>
        <w:t>The extent of social and technological innovation adoption among small tea growers was assessed using an adoption index constructed from major innovation components. The overall analysis revealed that the diffusion of both technological and social innovations in the study area has been moderate but progressive, reflecting a gradual shift toward improved practices and community-based participation.</w:t>
      </w:r>
    </w:p>
    <w:p w14:paraId="584F964F" w14:textId="77777777" w:rsidR="005F1D5F" w:rsidRPr="000B710A" w:rsidRDefault="005F1D5F" w:rsidP="007E38A6">
      <w:pPr>
        <w:jc w:val="both"/>
        <w:rPr>
          <w:rFonts w:ascii="Arial" w:hAnsi="Arial" w:cs="Arial"/>
        </w:rPr>
      </w:pPr>
    </w:p>
    <w:p w14:paraId="46BF4D2F" w14:textId="77777777" w:rsidR="007E38A6" w:rsidRPr="000B710A" w:rsidRDefault="007E38A6" w:rsidP="007E38A6">
      <w:pPr>
        <w:jc w:val="both"/>
        <w:rPr>
          <w:rFonts w:ascii="Arial" w:hAnsi="Arial" w:cs="Arial"/>
          <w:b/>
          <w:bCs/>
        </w:rPr>
      </w:pPr>
      <w:r w:rsidRPr="000B710A">
        <w:rPr>
          <w:rFonts w:ascii="Arial" w:hAnsi="Arial" w:cs="Arial"/>
          <w:b/>
          <w:bCs/>
        </w:rPr>
        <w:t>3.4.1. Technological innovation</w:t>
      </w:r>
    </w:p>
    <w:p w14:paraId="6DFF7B3B" w14:textId="77777777" w:rsidR="005F1D5F" w:rsidRDefault="005F1D5F" w:rsidP="007E38A6">
      <w:pPr>
        <w:jc w:val="both"/>
        <w:rPr>
          <w:rFonts w:ascii="Arial" w:hAnsi="Arial" w:cs="Arial"/>
        </w:rPr>
      </w:pPr>
    </w:p>
    <w:p w14:paraId="6BECE06E" w14:textId="551561B7" w:rsidR="005F1D5F" w:rsidRDefault="007E38A6" w:rsidP="007E38A6">
      <w:pPr>
        <w:jc w:val="both"/>
        <w:rPr>
          <w:rFonts w:ascii="Arial" w:hAnsi="Arial" w:cs="Arial"/>
        </w:rPr>
      </w:pPr>
      <w:r w:rsidRPr="000B710A">
        <w:rPr>
          <w:rFonts w:ascii="Arial" w:hAnsi="Arial" w:cs="Arial"/>
        </w:rPr>
        <w:t>The item-wise adoption pattern Table 7 showed that most small tea growers widely adopted input management practices such as fertilizer use and pest-disease control (98%), shade-tree management (92.7%), and</w:t>
      </w:r>
      <w:r>
        <w:rPr>
          <w:rFonts w:ascii="Arial" w:hAnsi="Arial" w:cs="Arial"/>
        </w:rPr>
        <w:t xml:space="preserve"> </w:t>
      </w:r>
      <w:r w:rsidRPr="000B710A">
        <w:rPr>
          <w:rFonts w:ascii="Arial" w:hAnsi="Arial" w:cs="Arial"/>
        </w:rPr>
        <w:t xml:space="preserve">clonal varieties (80.7%). These practices are essential for maintaining yield and are often promoted through factory and Tea Board extension </w:t>
      </w:r>
      <w:r w:rsidR="00A05270" w:rsidRPr="000B710A">
        <w:rPr>
          <w:rFonts w:ascii="Arial" w:hAnsi="Arial" w:cs="Arial"/>
        </w:rPr>
        <w:t>programs</w:t>
      </w:r>
      <w:r w:rsidRPr="000B710A">
        <w:rPr>
          <w:rFonts w:ascii="Arial" w:hAnsi="Arial" w:cs="Arial"/>
        </w:rPr>
        <w:t>. A moderate level of adoption was seen for machinery us</w:t>
      </w:r>
      <w:r>
        <w:rPr>
          <w:rFonts w:ascii="Arial" w:hAnsi="Arial" w:cs="Arial"/>
        </w:rPr>
        <w:t xml:space="preserve">age </w:t>
      </w:r>
      <w:r w:rsidR="00A05270">
        <w:rPr>
          <w:rFonts w:ascii="Arial" w:hAnsi="Arial" w:cs="Arial"/>
        </w:rPr>
        <w:t>(58.7%), mainly for</w:t>
      </w:r>
    </w:p>
    <w:p w14:paraId="1533B30C" w14:textId="77777777" w:rsidR="005F1D5F" w:rsidRDefault="005F1D5F" w:rsidP="007E38A6">
      <w:pPr>
        <w:jc w:val="both"/>
        <w:rPr>
          <w:rFonts w:ascii="Arial" w:hAnsi="Arial" w:cs="Arial"/>
        </w:rPr>
      </w:pPr>
    </w:p>
    <w:p w14:paraId="75991F6F" w14:textId="77777777" w:rsidR="005F1D5F" w:rsidRDefault="005F1D5F" w:rsidP="007E38A6">
      <w:pPr>
        <w:jc w:val="both"/>
        <w:rPr>
          <w:rFonts w:ascii="Arial" w:hAnsi="Arial" w:cs="Arial"/>
        </w:rPr>
      </w:pPr>
    </w:p>
    <w:p w14:paraId="5D6379E9" w14:textId="77777777" w:rsidR="005F1D5F" w:rsidRDefault="005F1D5F" w:rsidP="007E38A6">
      <w:pPr>
        <w:jc w:val="both"/>
        <w:rPr>
          <w:rFonts w:ascii="Arial" w:hAnsi="Arial" w:cs="Arial"/>
        </w:rPr>
      </w:pPr>
    </w:p>
    <w:p w14:paraId="74D453A8" w14:textId="77777777" w:rsidR="005F1D5F" w:rsidRDefault="005F1D5F" w:rsidP="007E38A6">
      <w:pPr>
        <w:jc w:val="both"/>
        <w:rPr>
          <w:rFonts w:ascii="Arial" w:hAnsi="Arial" w:cs="Arial"/>
        </w:rPr>
      </w:pPr>
    </w:p>
    <w:p w14:paraId="0BF7868B" w14:textId="77777777" w:rsidR="005F1D5F" w:rsidRDefault="005F1D5F" w:rsidP="007E38A6">
      <w:pPr>
        <w:jc w:val="both"/>
        <w:rPr>
          <w:rFonts w:ascii="Arial" w:hAnsi="Arial" w:cs="Arial"/>
        </w:rPr>
      </w:pPr>
    </w:p>
    <w:p w14:paraId="65C50126" w14:textId="77777777" w:rsidR="00A05270" w:rsidRDefault="00A05270" w:rsidP="007E38A6">
      <w:pPr>
        <w:jc w:val="both"/>
        <w:rPr>
          <w:rFonts w:ascii="Arial" w:hAnsi="Arial" w:cs="Arial"/>
        </w:rPr>
      </w:pPr>
    </w:p>
    <w:p w14:paraId="4A3C701F" w14:textId="77777777" w:rsidR="00A05270" w:rsidRDefault="00A05270" w:rsidP="007E38A6">
      <w:pPr>
        <w:jc w:val="both"/>
        <w:rPr>
          <w:rFonts w:ascii="Arial" w:hAnsi="Arial" w:cs="Arial"/>
        </w:rPr>
      </w:pPr>
    </w:p>
    <w:p w14:paraId="01EB244D" w14:textId="77777777" w:rsidR="00A05270" w:rsidRDefault="00A05270" w:rsidP="007E38A6">
      <w:pPr>
        <w:jc w:val="both"/>
        <w:rPr>
          <w:rFonts w:ascii="Arial" w:hAnsi="Arial" w:cs="Arial"/>
        </w:rPr>
      </w:pPr>
    </w:p>
    <w:p w14:paraId="0410903D" w14:textId="77777777" w:rsidR="00A05270" w:rsidRDefault="00A05270" w:rsidP="007E38A6">
      <w:pPr>
        <w:jc w:val="both"/>
        <w:rPr>
          <w:rFonts w:ascii="Arial" w:hAnsi="Arial" w:cs="Arial"/>
        </w:rPr>
      </w:pPr>
    </w:p>
    <w:p w14:paraId="0BE4E32A" w14:textId="77777777" w:rsidR="00A05270" w:rsidRDefault="00A05270" w:rsidP="007E38A6">
      <w:pPr>
        <w:jc w:val="both"/>
        <w:rPr>
          <w:rFonts w:ascii="Arial" w:hAnsi="Arial" w:cs="Arial"/>
        </w:rPr>
      </w:pPr>
    </w:p>
    <w:p w14:paraId="0EF36827" w14:textId="0F96CDAD" w:rsidR="007E38A6" w:rsidRDefault="007E38A6" w:rsidP="007E38A6">
      <w:pPr>
        <w:jc w:val="both"/>
        <w:rPr>
          <w:rFonts w:ascii="Arial" w:hAnsi="Arial" w:cs="Arial"/>
        </w:rPr>
      </w:pPr>
      <w:r w:rsidRPr="000B710A">
        <w:rPr>
          <w:rFonts w:ascii="Arial" w:hAnsi="Arial" w:cs="Arial"/>
        </w:rPr>
        <w:t>plucking and pruning, though larger machines are uncommon because of small and uneven landholdings. Adoption of soil-</w:t>
      </w:r>
      <w:r>
        <w:rPr>
          <w:rFonts w:ascii="Arial" w:hAnsi="Arial" w:cs="Arial"/>
        </w:rPr>
        <w:t xml:space="preserve">conservation </w:t>
      </w:r>
      <w:r w:rsidRPr="000B710A">
        <w:rPr>
          <w:rFonts w:ascii="Arial" w:hAnsi="Arial" w:cs="Arial"/>
        </w:rPr>
        <w:t xml:space="preserve">practices (28.7%), organic </w:t>
      </w:r>
      <w:r>
        <w:rPr>
          <w:rFonts w:ascii="Arial" w:hAnsi="Arial" w:cs="Arial"/>
        </w:rPr>
        <w:t>manures</w:t>
      </w:r>
      <w:r w:rsidRPr="000B710A">
        <w:rPr>
          <w:rFonts w:ascii="Arial" w:hAnsi="Arial" w:cs="Arial"/>
        </w:rPr>
        <w:t xml:space="preserve"> us</w:t>
      </w:r>
      <w:r>
        <w:rPr>
          <w:rFonts w:ascii="Arial" w:hAnsi="Arial" w:cs="Arial"/>
        </w:rPr>
        <w:t xml:space="preserve">age </w:t>
      </w:r>
      <w:r w:rsidRPr="000B710A">
        <w:rPr>
          <w:rFonts w:ascii="Arial" w:hAnsi="Arial" w:cs="Arial"/>
        </w:rPr>
        <w:t xml:space="preserve">(20.7%), and digital tools (16.7%) was relatively low, suggesting that high costs and limited awareness remain barriers. Certification practices such as organic or fair-trade labelling (0.7%) were almost </w:t>
      </w:r>
      <w:r>
        <w:rPr>
          <w:rFonts w:ascii="Arial" w:hAnsi="Arial" w:cs="Arial"/>
        </w:rPr>
        <w:t>less</w:t>
      </w:r>
      <w:r w:rsidRPr="000B710A">
        <w:rPr>
          <w:rFonts w:ascii="Arial" w:hAnsi="Arial" w:cs="Arial"/>
        </w:rPr>
        <w:t>, indicating low market access and limited institutional support for such schemes.</w:t>
      </w:r>
    </w:p>
    <w:p w14:paraId="20E01FF4" w14:textId="77777777" w:rsidR="006B6940" w:rsidRDefault="006B6940" w:rsidP="007E38A6">
      <w:pPr>
        <w:jc w:val="both"/>
        <w:rPr>
          <w:rFonts w:ascii="Arial" w:hAnsi="Arial" w:cs="Arial"/>
        </w:rPr>
      </w:pPr>
    </w:p>
    <w:p w14:paraId="2AEF5E6F" w14:textId="60B4BE02" w:rsidR="007E38A6" w:rsidRPr="009D753D" w:rsidRDefault="007E38A6" w:rsidP="007E38A6">
      <w:pPr>
        <w:jc w:val="both"/>
        <w:rPr>
          <w:rFonts w:ascii="Arial" w:hAnsi="Arial" w:cs="Arial"/>
        </w:rPr>
        <w:sectPr w:rsidR="007E38A6" w:rsidRPr="009D753D" w:rsidSect="007E38A6">
          <w:type w:val="continuous"/>
          <w:pgSz w:w="11906" w:h="16838"/>
          <w:pgMar w:top="1440" w:right="1440" w:bottom="1440" w:left="1440" w:header="708" w:footer="708" w:gutter="0"/>
          <w:cols w:num="2" w:space="708"/>
          <w:docGrid w:linePitch="360"/>
        </w:sectPr>
      </w:pPr>
      <w:r w:rsidRPr="00B705FD">
        <w:rPr>
          <w:rFonts w:ascii="Arial" w:hAnsi="Arial" w:cs="Arial"/>
        </w:rPr>
        <w:t>As shown in Table 8, 42.7% of the growers exhibited a low level of technological innovation adoption, followed by 27.3% with medium adoption and 30% with high adoption. The mean technological adoption index of 49.83% indicates an overall moderate level of adoption.</w:t>
      </w:r>
      <w:r>
        <w:rPr>
          <w:rFonts w:ascii="Arial" w:hAnsi="Arial" w:cs="Arial"/>
        </w:rPr>
        <w:t xml:space="preserve"> </w:t>
      </w:r>
      <w:r w:rsidRPr="00190A07">
        <w:rPr>
          <w:rFonts w:ascii="Arial" w:hAnsi="Arial" w:cs="Arial"/>
        </w:rPr>
        <w:t>The diffusion of new technologies such as mechanical pruning, drip irrigation, and integrated pest management tools demonstrates growing awareness among smallholders, though widespread adoption remains constrained by cost and credit availability</w:t>
      </w:r>
      <w:r>
        <w:rPr>
          <w:rFonts w:ascii="Arial" w:hAnsi="Arial" w:cs="Arial"/>
        </w:rPr>
        <w:t xml:space="preserve"> [24,25]</w:t>
      </w:r>
      <w:r w:rsidRPr="00190A07">
        <w:rPr>
          <w:rFonts w:ascii="Arial" w:hAnsi="Arial" w:cs="Arial"/>
        </w:rPr>
        <w:t>.</w:t>
      </w:r>
      <w:r>
        <w:rPr>
          <w:rFonts w:ascii="Arial" w:hAnsi="Arial" w:cs="Arial"/>
        </w:rPr>
        <w:t xml:space="preserve"> </w:t>
      </w:r>
      <w:r w:rsidRPr="003716D7">
        <w:rPr>
          <w:rFonts w:ascii="Arial" w:hAnsi="Arial" w:cs="Arial"/>
        </w:rPr>
        <w:t xml:space="preserve">High machinery costs, small landholdings, and labour scarcity were found to limit mechanization in plantation crops </w:t>
      </w:r>
      <w:r>
        <w:rPr>
          <w:rFonts w:ascii="Arial" w:hAnsi="Arial" w:cs="Arial"/>
        </w:rPr>
        <w:t>[26,27]</w:t>
      </w:r>
      <w:r w:rsidR="005F1D5F">
        <w:rPr>
          <w:rFonts w:ascii="Arial" w:hAnsi="Arial" w:cs="Arial"/>
        </w:rPr>
        <w:t>.</w:t>
      </w:r>
    </w:p>
    <w:p w14:paraId="68CC8F3A" w14:textId="77777777" w:rsidR="00A05270" w:rsidRDefault="00A05270" w:rsidP="007E38A6">
      <w:pPr>
        <w:jc w:val="center"/>
        <w:rPr>
          <w:rFonts w:ascii="Arial" w:hAnsi="Arial" w:cs="Arial"/>
          <w:b/>
          <w:bCs/>
        </w:rPr>
      </w:pPr>
    </w:p>
    <w:p w14:paraId="65349AAE" w14:textId="30528532" w:rsidR="007E38A6" w:rsidRDefault="007E38A6" w:rsidP="007E38A6">
      <w:pPr>
        <w:jc w:val="center"/>
        <w:rPr>
          <w:rFonts w:ascii="Arial" w:hAnsi="Arial" w:cs="Arial"/>
          <w:b/>
          <w:bCs/>
        </w:rPr>
      </w:pPr>
      <w:r w:rsidRPr="000B710A">
        <w:rPr>
          <w:rFonts w:ascii="Arial" w:hAnsi="Arial" w:cs="Arial"/>
          <w:b/>
          <w:bCs/>
        </w:rPr>
        <w:t>Table 7</w:t>
      </w:r>
      <w:r>
        <w:rPr>
          <w:rFonts w:ascii="Arial" w:hAnsi="Arial" w:cs="Arial"/>
          <w:b/>
          <w:bCs/>
        </w:rPr>
        <w:t xml:space="preserve">. </w:t>
      </w:r>
      <w:r w:rsidRPr="000B710A">
        <w:rPr>
          <w:rFonts w:ascii="Arial" w:hAnsi="Arial" w:cs="Arial"/>
          <w:b/>
          <w:bCs/>
        </w:rPr>
        <w:t>Item-wise adoption of technological innovations among small tea growers</w:t>
      </w:r>
    </w:p>
    <w:p w14:paraId="502DB0DC" w14:textId="77777777" w:rsidR="005F1D5F" w:rsidRDefault="005F1D5F" w:rsidP="007E38A6">
      <w:pPr>
        <w:jc w:val="center"/>
        <w:rPr>
          <w:rFonts w:ascii="Arial" w:hAnsi="Arial" w:cs="Arial"/>
          <w:b/>
          <w:bCs/>
        </w:rPr>
      </w:pPr>
    </w:p>
    <w:tbl>
      <w:tblPr>
        <w:tblStyle w:val="PlainTable2"/>
        <w:tblW w:w="8575" w:type="dxa"/>
        <w:jc w:val="center"/>
        <w:tblLook w:val="06A0" w:firstRow="1" w:lastRow="0" w:firstColumn="1" w:lastColumn="0" w:noHBand="1" w:noVBand="1"/>
      </w:tblPr>
      <w:tblGrid>
        <w:gridCol w:w="746"/>
        <w:gridCol w:w="6007"/>
        <w:gridCol w:w="1822"/>
      </w:tblGrid>
      <w:tr w:rsidR="007E38A6" w:rsidRPr="000A4A3F" w14:paraId="7D8D59BF" w14:textId="77777777" w:rsidTr="006B6940">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1EE306" w14:textId="77777777" w:rsidR="007E38A6" w:rsidRPr="000A4A3F" w:rsidRDefault="007E38A6" w:rsidP="004F7869">
            <w:pPr>
              <w:jc w:val="center"/>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 No</w:t>
            </w:r>
          </w:p>
        </w:tc>
        <w:tc>
          <w:tcPr>
            <w:tcW w:w="0" w:type="auto"/>
            <w:hideMark/>
          </w:tcPr>
          <w:p w14:paraId="71F8208A" w14:textId="77777777" w:rsidR="007E38A6" w:rsidRPr="000A4A3F" w:rsidRDefault="007E38A6" w:rsidP="004F78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Technological Innovation</w:t>
            </w:r>
          </w:p>
        </w:tc>
        <w:tc>
          <w:tcPr>
            <w:tcW w:w="1822" w:type="dxa"/>
            <w:hideMark/>
          </w:tcPr>
          <w:p w14:paraId="57053349" w14:textId="77777777" w:rsidR="007E38A6" w:rsidRPr="000A4A3F"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Adoption (%)</w:t>
            </w:r>
          </w:p>
        </w:tc>
      </w:tr>
      <w:tr w:rsidR="007E38A6" w:rsidRPr="000A4A3F" w14:paraId="38DACC11"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B8F99C"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1</w:t>
            </w:r>
          </w:p>
        </w:tc>
        <w:tc>
          <w:tcPr>
            <w:tcW w:w="0" w:type="auto"/>
            <w:hideMark/>
          </w:tcPr>
          <w:p w14:paraId="7D4CAE02"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Adoption of c</w:t>
            </w:r>
            <w:r w:rsidRPr="000A4A3F">
              <w:rPr>
                <w:rFonts w:ascii="Arial" w:eastAsia="Times New Roman" w:hAnsi="Arial" w:cs="Arial"/>
                <w:kern w:val="0"/>
                <w:sz w:val="20"/>
                <w:szCs w:val="20"/>
                <w:lang w:eastAsia="en-IN"/>
              </w:rPr>
              <w:t>lonal varieties</w:t>
            </w:r>
          </w:p>
        </w:tc>
        <w:tc>
          <w:tcPr>
            <w:tcW w:w="1822" w:type="dxa"/>
            <w:hideMark/>
          </w:tcPr>
          <w:p w14:paraId="01BC88DA"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80.7</w:t>
            </w:r>
          </w:p>
        </w:tc>
      </w:tr>
      <w:tr w:rsidR="007E38A6" w:rsidRPr="000A4A3F" w14:paraId="780D441E"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D37CD9"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2</w:t>
            </w:r>
          </w:p>
        </w:tc>
        <w:tc>
          <w:tcPr>
            <w:tcW w:w="0" w:type="auto"/>
            <w:hideMark/>
          </w:tcPr>
          <w:p w14:paraId="1869650E"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C31EC0">
              <w:rPr>
                <w:rFonts w:ascii="Arial" w:eastAsia="Times New Roman" w:hAnsi="Arial" w:cs="Arial"/>
                <w:kern w:val="0"/>
                <w:sz w:val="20"/>
                <w:szCs w:val="20"/>
                <w:lang w:val="en-US" w:eastAsia="en-IN"/>
              </w:rPr>
              <w:t>Input management practices (fertilizer and pest-disease control)</w:t>
            </w:r>
          </w:p>
        </w:tc>
        <w:tc>
          <w:tcPr>
            <w:tcW w:w="1822" w:type="dxa"/>
            <w:hideMark/>
          </w:tcPr>
          <w:p w14:paraId="1E5683DC"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98.0</w:t>
            </w:r>
          </w:p>
        </w:tc>
      </w:tr>
      <w:tr w:rsidR="007E38A6" w:rsidRPr="000A4A3F" w14:paraId="0F58515A"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FB31C1"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3</w:t>
            </w:r>
          </w:p>
        </w:tc>
        <w:tc>
          <w:tcPr>
            <w:tcW w:w="0" w:type="auto"/>
            <w:hideMark/>
          </w:tcPr>
          <w:p w14:paraId="52B08085"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 xml:space="preserve">Farm mechanization level </w:t>
            </w:r>
          </w:p>
        </w:tc>
        <w:tc>
          <w:tcPr>
            <w:tcW w:w="1822" w:type="dxa"/>
            <w:hideMark/>
          </w:tcPr>
          <w:p w14:paraId="583F4C20"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58.7</w:t>
            </w:r>
          </w:p>
        </w:tc>
      </w:tr>
      <w:tr w:rsidR="007E38A6" w:rsidRPr="000A4A3F" w14:paraId="394AFC14"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35A87C"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4</w:t>
            </w:r>
          </w:p>
        </w:tc>
        <w:tc>
          <w:tcPr>
            <w:tcW w:w="0" w:type="auto"/>
            <w:hideMark/>
          </w:tcPr>
          <w:p w14:paraId="078D7F22"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Application of organic manures</w:t>
            </w:r>
          </w:p>
        </w:tc>
        <w:tc>
          <w:tcPr>
            <w:tcW w:w="1822" w:type="dxa"/>
            <w:hideMark/>
          </w:tcPr>
          <w:p w14:paraId="5A52E5E9"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20.7</w:t>
            </w:r>
          </w:p>
        </w:tc>
      </w:tr>
      <w:tr w:rsidR="007E38A6" w:rsidRPr="000A4A3F" w14:paraId="6415A567"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55C57"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5</w:t>
            </w:r>
          </w:p>
        </w:tc>
        <w:tc>
          <w:tcPr>
            <w:tcW w:w="0" w:type="auto"/>
            <w:hideMark/>
          </w:tcPr>
          <w:p w14:paraId="24A43D9D"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w:t>
            </w:r>
            <w:r>
              <w:rPr>
                <w:rFonts w:ascii="Arial" w:eastAsia="Times New Roman" w:hAnsi="Arial" w:cs="Arial"/>
                <w:kern w:val="0"/>
                <w:sz w:val="20"/>
                <w:szCs w:val="20"/>
                <w:lang w:eastAsia="en-IN"/>
              </w:rPr>
              <w:t>oil-conservation</w:t>
            </w:r>
            <w:r w:rsidRPr="000A4A3F">
              <w:rPr>
                <w:rFonts w:ascii="Arial" w:eastAsia="Times New Roman" w:hAnsi="Arial" w:cs="Arial"/>
                <w:kern w:val="0"/>
                <w:sz w:val="20"/>
                <w:szCs w:val="20"/>
                <w:lang w:eastAsia="en-IN"/>
              </w:rPr>
              <w:t xml:space="preserve"> practices</w:t>
            </w:r>
          </w:p>
        </w:tc>
        <w:tc>
          <w:tcPr>
            <w:tcW w:w="1822" w:type="dxa"/>
            <w:hideMark/>
          </w:tcPr>
          <w:p w14:paraId="4BDC78DD"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28.7</w:t>
            </w:r>
          </w:p>
        </w:tc>
      </w:tr>
      <w:tr w:rsidR="007E38A6" w:rsidRPr="000A4A3F" w14:paraId="715AC59D"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774892"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6</w:t>
            </w:r>
          </w:p>
        </w:tc>
        <w:tc>
          <w:tcPr>
            <w:tcW w:w="0" w:type="auto"/>
            <w:hideMark/>
          </w:tcPr>
          <w:p w14:paraId="5427CEF2"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4463A">
              <w:rPr>
                <w:rFonts w:ascii="Arial" w:eastAsia="Times New Roman" w:hAnsi="Arial" w:cs="Arial"/>
                <w:kern w:val="0"/>
                <w:sz w:val="20"/>
                <w:szCs w:val="20"/>
                <w:lang w:val="en-US" w:eastAsia="en-IN"/>
              </w:rPr>
              <w:t>Utilization of digital and ICT-based tools</w:t>
            </w:r>
          </w:p>
        </w:tc>
        <w:tc>
          <w:tcPr>
            <w:tcW w:w="1822" w:type="dxa"/>
            <w:hideMark/>
          </w:tcPr>
          <w:p w14:paraId="163B05D0"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16.7</w:t>
            </w:r>
          </w:p>
        </w:tc>
      </w:tr>
      <w:tr w:rsidR="007E38A6" w:rsidRPr="000A4A3F" w14:paraId="6FF12AE9"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5C1C0F"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7</w:t>
            </w:r>
          </w:p>
        </w:tc>
        <w:tc>
          <w:tcPr>
            <w:tcW w:w="0" w:type="auto"/>
            <w:hideMark/>
          </w:tcPr>
          <w:p w14:paraId="62AD4762"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Shade-tree management</w:t>
            </w:r>
            <w:r>
              <w:rPr>
                <w:rFonts w:ascii="Arial" w:eastAsia="Times New Roman" w:hAnsi="Arial" w:cs="Arial"/>
                <w:kern w:val="0"/>
                <w:sz w:val="20"/>
                <w:szCs w:val="20"/>
                <w:lang w:eastAsia="en-IN"/>
              </w:rPr>
              <w:t xml:space="preserve"> practices</w:t>
            </w:r>
          </w:p>
        </w:tc>
        <w:tc>
          <w:tcPr>
            <w:tcW w:w="1822" w:type="dxa"/>
            <w:hideMark/>
          </w:tcPr>
          <w:p w14:paraId="2C9875EF"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92.7</w:t>
            </w:r>
          </w:p>
        </w:tc>
      </w:tr>
      <w:tr w:rsidR="007E38A6" w:rsidRPr="000A4A3F" w14:paraId="04C1F0CD"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082BBA" w14:textId="77777777" w:rsidR="007E38A6" w:rsidRPr="000A4A3F" w:rsidRDefault="007E38A6" w:rsidP="004F7869">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8</w:t>
            </w:r>
          </w:p>
        </w:tc>
        <w:tc>
          <w:tcPr>
            <w:tcW w:w="0" w:type="auto"/>
            <w:hideMark/>
          </w:tcPr>
          <w:p w14:paraId="5E823471"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Organic certification</w:t>
            </w:r>
          </w:p>
        </w:tc>
        <w:tc>
          <w:tcPr>
            <w:tcW w:w="1822" w:type="dxa"/>
            <w:hideMark/>
          </w:tcPr>
          <w:p w14:paraId="4422C3E5"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0.7</w:t>
            </w:r>
          </w:p>
        </w:tc>
      </w:tr>
      <w:tr w:rsidR="007E38A6" w:rsidRPr="000A4A3F" w14:paraId="2207B05D"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3F9C53" w14:textId="77777777" w:rsidR="007E38A6" w:rsidRPr="000A4A3F" w:rsidRDefault="007E38A6" w:rsidP="004F7869">
            <w:pPr>
              <w:jc w:val="center"/>
              <w:rPr>
                <w:rFonts w:ascii="Arial" w:eastAsia="Times New Roman" w:hAnsi="Arial" w:cs="Arial"/>
                <w:kern w:val="0"/>
                <w:sz w:val="20"/>
                <w:szCs w:val="20"/>
                <w:lang w:eastAsia="en-IN"/>
              </w:rPr>
            </w:pPr>
          </w:p>
        </w:tc>
        <w:tc>
          <w:tcPr>
            <w:tcW w:w="0" w:type="auto"/>
            <w:hideMark/>
          </w:tcPr>
          <w:p w14:paraId="665CEA4D" w14:textId="77777777" w:rsidR="007E38A6" w:rsidRPr="000A4A3F"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Mean Adoption Index = 49.83 %</w:t>
            </w:r>
          </w:p>
        </w:tc>
        <w:tc>
          <w:tcPr>
            <w:tcW w:w="1822" w:type="dxa"/>
            <w:hideMark/>
          </w:tcPr>
          <w:p w14:paraId="1595771F" w14:textId="77777777" w:rsidR="007E38A6" w:rsidRPr="000A4A3F"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SD = 17.85</w:t>
            </w:r>
          </w:p>
        </w:tc>
      </w:tr>
    </w:tbl>
    <w:p w14:paraId="1C0599EF" w14:textId="77777777" w:rsidR="007E38A6" w:rsidRPr="000B710A" w:rsidRDefault="007E38A6" w:rsidP="007E38A6">
      <w:pPr>
        <w:jc w:val="both"/>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1DEF1781" w14:textId="31F85866" w:rsidR="007E38A6" w:rsidRDefault="007E38A6" w:rsidP="007E38A6">
      <w:pPr>
        <w:jc w:val="both"/>
        <w:rPr>
          <w:rFonts w:ascii="Arial" w:hAnsi="Arial" w:cs="Arial"/>
          <w:b/>
          <w:bCs/>
        </w:rPr>
      </w:pPr>
      <w:r w:rsidRPr="00486D6E">
        <w:rPr>
          <w:rFonts w:ascii="Arial" w:hAnsi="Arial" w:cs="Arial"/>
          <w:b/>
          <w:bCs/>
        </w:rPr>
        <w:t>3.4.2. Social innovations</w:t>
      </w:r>
    </w:p>
    <w:p w14:paraId="41654773" w14:textId="77777777" w:rsidR="005F1D5F" w:rsidRDefault="005F1D5F" w:rsidP="007E38A6">
      <w:pPr>
        <w:jc w:val="both"/>
        <w:rPr>
          <w:rFonts w:ascii="Arial" w:hAnsi="Arial" w:cs="Arial"/>
          <w:b/>
          <w:bCs/>
        </w:rPr>
      </w:pPr>
    </w:p>
    <w:p w14:paraId="786573BF" w14:textId="2C91619F" w:rsidR="007E38A6" w:rsidRDefault="007E38A6" w:rsidP="007E38A6">
      <w:pPr>
        <w:jc w:val="both"/>
        <w:rPr>
          <w:rFonts w:ascii="Arial" w:hAnsi="Arial" w:cs="Arial"/>
        </w:rPr>
      </w:pPr>
      <w:r w:rsidRPr="00C5556F">
        <w:rPr>
          <w:rFonts w:ascii="Arial" w:hAnsi="Arial" w:cs="Arial"/>
        </w:rPr>
        <w:lastRenderedPageBreak/>
        <w:t xml:space="preserve">The extent of social innovation adoption was comparatively higher than technological adoption. Most growers were members of associations (93.2%), actively engaged in knowledge sharing (91.7%), cooperative activities (88%), and group decision-making (88%), indicating strong social cohesion. However, participation in formal training </w:t>
      </w:r>
      <w:r w:rsidR="00374FDC" w:rsidRPr="00C5556F">
        <w:rPr>
          <w:rFonts w:ascii="Arial" w:hAnsi="Arial" w:cs="Arial"/>
        </w:rPr>
        <w:t>programs</w:t>
      </w:r>
      <w:r w:rsidRPr="00C5556F">
        <w:rPr>
          <w:rFonts w:ascii="Arial" w:hAnsi="Arial" w:cs="Arial"/>
        </w:rPr>
        <w:t xml:space="preserve"> remained low (39.8%), suggesting that capacity-building opportunities are limited. The mean social-innovation index of 71.07% represents a high level of adoption, with 45.3% of respondents displaying medium and 28% high adoption. </w:t>
      </w:r>
      <w:r>
        <w:rPr>
          <w:rFonts w:ascii="Arial" w:hAnsi="Arial" w:cs="Arial"/>
        </w:rPr>
        <w:t xml:space="preserve">[28] </w:t>
      </w:r>
      <w:r w:rsidRPr="00C5556F">
        <w:rPr>
          <w:rFonts w:ascii="Arial" w:hAnsi="Arial" w:cs="Arial"/>
        </w:rPr>
        <w:t>observed that organizational innovations such as producer cooperatives and self-help groups enhance the bargaining power and social capital of small tea growers, while</w:t>
      </w:r>
      <w:r>
        <w:rPr>
          <w:rFonts w:ascii="Arial" w:hAnsi="Arial" w:cs="Arial"/>
        </w:rPr>
        <w:t xml:space="preserve"> [10]</w:t>
      </w:r>
      <w:r w:rsidRPr="00C5556F">
        <w:rPr>
          <w:rFonts w:ascii="Arial" w:hAnsi="Arial" w:cs="Arial"/>
        </w:rPr>
        <w:t xml:space="preserve"> reported that collective producer networks play a key role in promoting financial inclusion and resilience among smallholders.</w:t>
      </w:r>
      <w:r>
        <w:rPr>
          <w:rFonts w:ascii="Arial" w:hAnsi="Arial" w:cs="Arial"/>
        </w:rPr>
        <w:t xml:space="preserve"> </w:t>
      </w:r>
    </w:p>
    <w:p w14:paraId="3C2539DB" w14:textId="77777777" w:rsidR="00A05270" w:rsidRDefault="00A05270" w:rsidP="007E38A6">
      <w:pPr>
        <w:jc w:val="both"/>
        <w:rPr>
          <w:rFonts w:ascii="Arial" w:hAnsi="Arial" w:cs="Arial"/>
        </w:rPr>
      </w:pPr>
    </w:p>
    <w:p w14:paraId="671655F4" w14:textId="6572CB8F" w:rsidR="007E38A6" w:rsidRDefault="007E38A6" w:rsidP="007E38A6">
      <w:pPr>
        <w:jc w:val="both"/>
        <w:rPr>
          <w:rFonts w:ascii="Arial" w:hAnsi="Arial" w:cs="Arial"/>
          <w:b/>
          <w:bCs/>
        </w:rPr>
      </w:pPr>
      <w:r w:rsidRPr="00B44E66">
        <w:rPr>
          <w:rFonts w:ascii="Arial" w:hAnsi="Arial" w:cs="Arial"/>
          <w:b/>
          <w:bCs/>
        </w:rPr>
        <w:t>3.4.3. Overall adoption</w:t>
      </w:r>
    </w:p>
    <w:p w14:paraId="18128836" w14:textId="77777777" w:rsidR="00374FDC" w:rsidRDefault="00374FDC" w:rsidP="007E38A6">
      <w:pPr>
        <w:jc w:val="both"/>
        <w:rPr>
          <w:rFonts w:ascii="Arial" w:hAnsi="Arial" w:cs="Arial"/>
        </w:rPr>
      </w:pPr>
    </w:p>
    <w:p w14:paraId="5EEC5D50" w14:textId="605AD7B8" w:rsidR="007E38A6" w:rsidRPr="003738F5" w:rsidRDefault="007E38A6" w:rsidP="007E38A6">
      <w:pPr>
        <w:jc w:val="both"/>
        <w:rPr>
          <w:rFonts w:ascii="Arial" w:hAnsi="Arial" w:cs="Arial"/>
        </w:rPr>
        <w:sectPr w:rsidR="007E38A6" w:rsidRPr="003738F5" w:rsidSect="007E38A6">
          <w:type w:val="continuous"/>
          <w:pgSz w:w="11906" w:h="16838"/>
          <w:pgMar w:top="1440" w:right="1440" w:bottom="1440" w:left="1440" w:header="708" w:footer="708" w:gutter="0"/>
          <w:cols w:num="2" w:space="708"/>
          <w:docGrid w:linePitch="360"/>
        </w:sectPr>
      </w:pPr>
      <w:r w:rsidRPr="005B09FA">
        <w:rPr>
          <w:rFonts w:ascii="Arial" w:hAnsi="Arial" w:cs="Arial"/>
        </w:rPr>
        <w:t xml:space="preserve">The overall innovation adoption index Table 11 recorded a mean of 58.00%, signifying a moderate level of innovation adoption among small tea growers. Nearly half of the respondents (47.3%) fell into the medium category, 36% into the high category, and only 16.7% into the low category. This suggests that while most growers are aware of improved practices and possess strong social linkages, financial limitations and small farm sizes continue to constrain adoption. </w:t>
      </w:r>
      <w:r w:rsidRPr="002F039E">
        <w:rPr>
          <w:rFonts w:ascii="Arial" w:hAnsi="Arial" w:cs="Arial"/>
        </w:rPr>
        <w:t>Collective organizations and self-help groups play an important role in supporting growers through social and financial cooperation, while mechanization helps reduce labour costs and improve operational efficiency. However, the high cost of machinery and limited credit access remain major challenges restricting smallholder adoption</w:t>
      </w:r>
      <w:r>
        <w:rPr>
          <w:rFonts w:ascii="Arial" w:hAnsi="Arial" w:cs="Arial"/>
        </w:rPr>
        <w:t xml:space="preserve"> [29,</w:t>
      </w:r>
      <w:r w:rsidRPr="003738F5">
        <w:rPr>
          <w:rFonts w:ascii="Arial" w:hAnsi="Arial" w:cs="Arial"/>
        </w:rPr>
        <w:t xml:space="preserve"> </w:t>
      </w:r>
      <w:r>
        <w:rPr>
          <w:rFonts w:ascii="Arial" w:hAnsi="Arial" w:cs="Arial"/>
        </w:rPr>
        <w:t>30]</w:t>
      </w:r>
    </w:p>
    <w:p w14:paraId="76D15E83" w14:textId="77777777" w:rsidR="005F1D5F" w:rsidRDefault="005F1D5F" w:rsidP="007E38A6">
      <w:pPr>
        <w:jc w:val="center"/>
        <w:rPr>
          <w:rFonts w:ascii="Arial" w:hAnsi="Arial" w:cs="Arial"/>
          <w:b/>
          <w:bCs/>
        </w:rPr>
      </w:pPr>
    </w:p>
    <w:p w14:paraId="2CC4A094" w14:textId="17B0DB14" w:rsidR="007E38A6" w:rsidRPr="00636FB0" w:rsidRDefault="007E38A6" w:rsidP="007E38A6">
      <w:pPr>
        <w:jc w:val="center"/>
        <w:rPr>
          <w:rFonts w:ascii="Arial" w:hAnsi="Arial" w:cs="Arial"/>
          <w:b/>
          <w:bCs/>
        </w:rPr>
      </w:pPr>
      <w:r w:rsidRPr="008970B1">
        <w:rPr>
          <w:rFonts w:ascii="Arial" w:hAnsi="Arial" w:cs="Arial"/>
          <w:b/>
          <w:bCs/>
        </w:rPr>
        <w:t>Table 8</w:t>
      </w:r>
      <w:r>
        <w:rPr>
          <w:rFonts w:ascii="Arial" w:hAnsi="Arial" w:cs="Arial"/>
          <w:b/>
          <w:bCs/>
        </w:rPr>
        <w:t xml:space="preserve">. </w:t>
      </w:r>
      <w:r w:rsidRPr="008970B1">
        <w:rPr>
          <w:rFonts w:ascii="Arial" w:hAnsi="Arial" w:cs="Arial"/>
          <w:b/>
          <w:bCs/>
        </w:rPr>
        <w:t>Extent of technological innovation adoption</w:t>
      </w:r>
    </w:p>
    <w:tbl>
      <w:tblPr>
        <w:tblStyle w:val="PlainTable2"/>
        <w:tblW w:w="7376" w:type="dxa"/>
        <w:jc w:val="center"/>
        <w:tblLook w:val="06A0" w:firstRow="1" w:lastRow="0" w:firstColumn="1" w:lastColumn="0" w:noHBand="1" w:noVBand="1"/>
      </w:tblPr>
      <w:tblGrid>
        <w:gridCol w:w="1683"/>
        <w:gridCol w:w="2964"/>
        <w:gridCol w:w="1328"/>
        <w:gridCol w:w="1401"/>
      </w:tblGrid>
      <w:tr w:rsidR="007E38A6" w:rsidRPr="00636FB0" w14:paraId="166BFC05" w14:textId="77777777" w:rsidTr="004F786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51116E" w14:textId="77777777" w:rsidR="007E38A6" w:rsidRPr="00636FB0" w:rsidRDefault="007E38A6" w:rsidP="004F7869">
            <w:pPr>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Category</w:t>
            </w:r>
          </w:p>
        </w:tc>
        <w:tc>
          <w:tcPr>
            <w:tcW w:w="0" w:type="auto"/>
            <w:hideMark/>
          </w:tcPr>
          <w:p w14:paraId="57165D43" w14:textId="77777777" w:rsidR="007E38A6" w:rsidRPr="00636FB0"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Range (%)</w:t>
            </w:r>
          </w:p>
        </w:tc>
        <w:tc>
          <w:tcPr>
            <w:tcW w:w="0" w:type="auto"/>
            <w:hideMark/>
          </w:tcPr>
          <w:p w14:paraId="1004A4F1" w14:textId="77777777" w:rsidR="007E38A6" w:rsidRPr="00636FB0"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Frequency</w:t>
            </w:r>
          </w:p>
        </w:tc>
        <w:tc>
          <w:tcPr>
            <w:tcW w:w="0" w:type="auto"/>
            <w:hideMark/>
          </w:tcPr>
          <w:p w14:paraId="1D385D9C" w14:textId="77777777" w:rsidR="007E38A6" w:rsidRPr="00636FB0"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Percentage</w:t>
            </w:r>
          </w:p>
        </w:tc>
      </w:tr>
      <w:tr w:rsidR="007E38A6" w:rsidRPr="00636FB0" w14:paraId="500746A3" w14:textId="77777777" w:rsidTr="004F786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B01732" w14:textId="77777777" w:rsidR="007E38A6" w:rsidRPr="00636FB0" w:rsidRDefault="007E38A6" w:rsidP="004F7869">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Low</w:t>
            </w:r>
          </w:p>
        </w:tc>
        <w:tc>
          <w:tcPr>
            <w:tcW w:w="0" w:type="auto"/>
            <w:hideMark/>
          </w:tcPr>
          <w:p w14:paraId="4976A8AA"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&lt; 37.50</w:t>
            </w:r>
          </w:p>
        </w:tc>
        <w:tc>
          <w:tcPr>
            <w:tcW w:w="0" w:type="auto"/>
            <w:hideMark/>
          </w:tcPr>
          <w:p w14:paraId="683150E1"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64</w:t>
            </w:r>
          </w:p>
        </w:tc>
        <w:tc>
          <w:tcPr>
            <w:tcW w:w="0" w:type="auto"/>
            <w:hideMark/>
          </w:tcPr>
          <w:p w14:paraId="46F8C0BF"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42.7</w:t>
            </w:r>
          </w:p>
        </w:tc>
      </w:tr>
      <w:tr w:rsidR="007E38A6" w:rsidRPr="00636FB0" w14:paraId="01022FD4" w14:textId="77777777" w:rsidTr="004F786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2DC098" w14:textId="77777777" w:rsidR="007E38A6" w:rsidRPr="00636FB0" w:rsidRDefault="007E38A6" w:rsidP="004F7869">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Medium</w:t>
            </w:r>
          </w:p>
        </w:tc>
        <w:tc>
          <w:tcPr>
            <w:tcW w:w="0" w:type="auto"/>
            <w:hideMark/>
          </w:tcPr>
          <w:p w14:paraId="704257D7"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37.50 – 50.00</w:t>
            </w:r>
          </w:p>
        </w:tc>
        <w:tc>
          <w:tcPr>
            <w:tcW w:w="0" w:type="auto"/>
            <w:hideMark/>
          </w:tcPr>
          <w:p w14:paraId="3C30BE07"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41</w:t>
            </w:r>
          </w:p>
        </w:tc>
        <w:tc>
          <w:tcPr>
            <w:tcW w:w="0" w:type="auto"/>
            <w:hideMark/>
          </w:tcPr>
          <w:p w14:paraId="34F6F42D"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27.3</w:t>
            </w:r>
          </w:p>
        </w:tc>
      </w:tr>
      <w:tr w:rsidR="007E38A6" w:rsidRPr="00636FB0" w14:paraId="476D1727" w14:textId="77777777" w:rsidTr="004F7869">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F18473" w14:textId="77777777" w:rsidR="007E38A6" w:rsidRPr="00636FB0" w:rsidRDefault="007E38A6" w:rsidP="004F7869">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High</w:t>
            </w:r>
          </w:p>
        </w:tc>
        <w:tc>
          <w:tcPr>
            <w:tcW w:w="0" w:type="auto"/>
            <w:hideMark/>
          </w:tcPr>
          <w:p w14:paraId="0B72FE9B"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&gt; 50.00</w:t>
            </w:r>
          </w:p>
        </w:tc>
        <w:tc>
          <w:tcPr>
            <w:tcW w:w="0" w:type="auto"/>
            <w:hideMark/>
          </w:tcPr>
          <w:p w14:paraId="559E428B"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45</w:t>
            </w:r>
          </w:p>
        </w:tc>
        <w:tc>
          <w:tcPr>
            <w:tcW w:w="0" w:type="auto"/>
            <w:hideMark/>
          </w:tcPr>
          <w:p w14:paraId="336BBE37"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30.0</w:t>
            </w:r>
          </w:p>
        </w:tc>
      </w:tr>
      <w:tr w:rsidR="007E38A6" w:rsidRPr="00636FB0" w14:paraId="0A78659F" w14:textId="77777777" w:rsidTr="004F786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1DFE79" w14:textId="77777777" w:rsidR="007E38A6" w:rsidRPr="00636FB0" w:rsidRDefault="007E38A6" w:rsidP="004F7869">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Total (N = 150)</w:t>
            </w:r>
          </w:p>
        </w:tc>
        <w:tc>
          <w:tcPr>
            <w:tcW w:w="0" w:type="auto"/>
            <w:hideMark/>
          </w:tcPr>
          <w:p w14:paraId="7CB8307C" w14:textId="77777777" w:rsidR="007E38A6" w:rsidRPr="00636FB0"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4128FEA8"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5CBE4560"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b/>
                <w:bCs/>
                <w:kern w:val="0"/>
                <w:sz w:val="20"/>
                <w:szCs w:val="20"/>
                <w:lang w:eastAsia="en-IN"/>
              </w:rPr>
              <w:t>100.0</w:t>
            </w:r>
          </w:p>
        </w:tc>
      </w:tr>
      <w:tr w:rsidR="007E38A6" w:rsidRPr="00636FB0" w14:paraId="689DAA93" w14:textId="77777777" w:rsidTr="004F786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DF2DE6" w14:textId="77777777" w:rsidR="007E38A6" w:rsidRPr="00636FB0" w:rsidRDefault="007E38A6" w:rsidP="004F7869">
            <w:pPr>
              <w:jc w:val="center"/>
              <w:rPr>
                <w:rFonts w:ascii="Arial" w:eastAsia="Times New Roman" w:hAnsi="Arial" w:cs="Arial"/>
                <w:b w:val="0"/>
                <w:bCs w:val="0"/>
                <w:kern w:val="0"/>
                <w:sz w:val="20"/>
                <w:szCs w:val="20"/>
                <w:lang w:eastAsia="en-IN"/>
              </w:rPr>
            </w:pPr>
          </w:p>
        </w:tc>
        <w:tc>
          <w:tcPr>
            <w:tcW w:w="0" w:type="auto"/>
            <w:hideMark/>
          </w:tcPr>
          <w:p w14:paraId="57F09FAE"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Mean = 49.83 % SD = 17.85</w:t>
            </w:r>
          </w:p>
        </w:tc>
        <w:tc>
          <w:tcPr>
            <w:tcW w:w="0" w:type="auto"/>
            <w:hideMark/>
          </w:tcPr>
          <w:p w14:paraId="452AA8DB"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109CC0D0" w14:textId="77777777" w:rsidR="007E38A6" w:rsidRPr="00636FB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03A5C064"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08D280E4" w14:textId="77777777" w:rsidR="007E38A6" w:rsidRDefault="007E38A6" w:rsidP="007E38A6">
      <w:pPr>
        <w:jc w:val="center"/>
        <w:rPr>
          <w:rFonts w:ascii="Arial" w:hAnsi="Arial" w:cs="Arial"/>
          <w:b/>
          <w:bCs/>
        </w:rPr>
      </w:pPr>
    </w:p>
    <w:p w14:paraId="0EA76606" w14:textId="77777777" w:rsidR="007E38A6" w:rsidRDefault="007E38A6" w:rsidP="007E38A6">
      <w:pPr>
        <w:jc w:val="center"/>
        <w:rPr>
          <w:rFonts w:ascii="Arial" w:hAnsi="Arial" w:cs="Arial"/>
          <w:b/>
          <w:bCs/>
        </w:rPr>
      </w:pPr>
      <w:r w:rsidRPr="00375772">
        <w:rPr>
          <w:rFonts w:ascii="Arial" w:hAnsi="Arial" w:cs="Arial"/>
          <w:b/>
          <w:bCs/>
        </w:rPr>
        <w:t>Table 9</w:t>
      </w:r>
      <w:r>
        <w:rPr>
          <w:rFonts w:ascii="Arial" w:hAnsi="Arial" w:cs="Arial"/>
          <w:b/>
          <w:bCs/>
        </w:rPr>
        <w:t xml:space="preserve">. </w:t>
      </w:r>
      <w:r w:rsidRPr="00375772">
        <w:rPr>
          <w:rFonts w:ascii="Arial" w:hAnsi="Arial" w:cs="Arial"/>
          <w:b/>
          <w:bCs/>
        </w:rPr>
        <w:t>Item-wise adoption of social innovations among small tea growers</w:t>
      </w:r>
    </w:p>
    <w:tbl>
      <w:tblPr>
        <w:tblStyle w:val="PlainTable2"/>
        <w:tblW w:w="7308" w:type="dxa"/>
        <w:jc w:val="center"/>
        <w:tblLook w:val="06A0" w:firstRow="1" w:lastRow="0" w:firstColumn="1" w:lastColumn="0" w:noHBand="1" w:noVBand="1"/>
      </w:tblPr>
      <w:tblGrid>
        <w:gridCol w:w="732"/>
        <w:gridCol w:w="5106"/>
        <w:gridCol w:w="1470"/>
      </w:tblGrid>
      <w:tr w:rsidR="007E38A6" w:rsidRPr="00DB25F4" w14:paraId="59605562" w14:textId="77777777" w:rsidTr="004F7869">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01BAB0"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 No</w:t>
            </w:r>
          </w:p>
        </w:tc>
        <w:tc>
          <w:tcPr>
            <w:tcW w:w="0" w:type="auto"/>
            <w:hideMark/>
          </w:tcPr>
          <w:p w14:paraId="2863C8DB" w14:textId="77777777" w:rsidR="007E38A6" w:rsidRPr="00DB25F4" w:rsidRDefault="007E38A6" w:rsidP="004F78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Social Innovation</w:t>
            </w:r>
          </w:p>
        </w:tc>
        <w:tc>
          <w:tcPr>
            <w:tcW w:w="0" w:type="auto"/>
            <w:hideMark/>
          </w:tcPr>
          <w:p w14:paraId="171D4803" w14:textId="77777777" w:rsidR="007E38A6" w:rsidRPr="00DB25F4"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Adoption (%)</w:t>
            </w:r>
          </w:p>
        </w:tc>
      </w:tr>
      <w:tr w:rsidR="007E38A6" w:rsidRPr="00DB25F4" w14:paraId="655D58A7" w14:textId="77777777" w:rsidTr="004F7869">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87694"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1</w:t>
            </w:r>
          </w:p>
        </w:tc>
        <w:tc>
          <w:tcPr>
            <w:tcW w:w="0" w:type="auto"/>
            <w:hideMark/>
          </w:tcPr>
          <w:p w14:paraId="42A9EDC6"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Collective action and cooperative participation</w:t>
            </w:r>
          </w:p>
        </w:tc>
        <w:tc>
          <w:tcPr>
            <w:tcW w:w="0" w:type="auto"/>
            <w:hideMark/>
          </w:tcPr>
          <w:p w14:paraId="0C138EE3"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88.0</w:t>
            </w:r>
          </w:p>
        </w:tc>
      </w:tr>
      <w:tr w:rsidR="007E38A6" w:rsidRPr="00DB25F4" w14:paraId="6E553537" w14:textId="77777777" w:rsidTr="004F7869">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1EF5BB"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2</w:t>
            </w:r>
          </w:p>
        </w:tc>
        <w:tc>
          <w:tcPr>
            <w:tcW w:w="0" w:type="auto"/>
            <w:hideMark/>
          </w:tcPr>
          <w:p w14:paraId="43C5D276"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Participatory group decision-making</w:t>
            </w:r>
          </w:p>
        </w:tc>
        <w:tc>
          <w:tcPr>
            <w:tcW w:w="0" w:type="auto"/>
            <w:hideMark/>
          </w:tcPr>
          <w:p w14:paraId="1727D64E"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88.0</w:t>
            </w:r>
          </w:p>
        </w:tc>
      </w:tr>
      <w:tr w:rsidR="007E38A6" w:rsidRPr="00DB25F4" w14:paraId="396FE7F9" w14:textId="77777777" w:rsidTr="004F7869">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E778BD"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3</w:t>
            </w:r>
          </w:p>
        </w:tc>
        <w:tc>
          <w:tcPr>
            <w:tcW w:w="0" w:type="auto"/>
            <w:hideMark/>
          </w:tcPr>
          <w:p w14:paraId="2C0FCAF2"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Knowledge and information exchange networks</w:t>
            </w:r>
          </w:p>
        </w:tc>
        <w:tc>
          <w:tcPr>
            <w:tcW w:w="0" w:type="auto"/>
            <w:hideMark/>
          </w:tcPr>
          <w:p w14:paraId="74E9690C"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91.7</w:t>
            </w:r>
          </w:p>
        </w:tc>
      </w:tr>
      <w:tr w:rsidR="007E38A6" w:rsidRPr="00DB25F4" w14:paraId="3BCA164F" w14:textId="77777777" w:rsidTr="004F7869">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3039E"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4</w:t>
            </w:r>
          </w:p>
        </w:tc>
        <w:tc>
          <w:tcPr>
            <w:tcW w:w="0" w:type="auto"/>
            <w:hideMark/>
          </w:tcPr>
          <w:p w14:paraId="7B4E74CC"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Membership in farmer-based organizations</w:t>
            </w:r>
          </w:p>
        </w:tc>
        <w:tc>
          <w:tcPr>
            <w:tcW w:w="0" w:type="auto"/>
            <w:hideMark/>
          </w:tcPr>
          <w:p w14:paraId="0BE3C35A"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93.2</w:t>
            </w:r>
          </w:p>
        </w:tc>
      </w:tr>
      <w:tr w:rsidR="007E38A6" w:rsidRPr="00DB25F4" w14:paraId="0F90CE29" w14:textId="77777777" w:rsidTr="004F7869">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9A88" w14:textId="77777777" w:rsidR="007E38A6" w:rsidRPr="00DB25F4" w:rsidRDefault="007E38A6" w:rsidP="004F7869">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5</w:t>
            </w:r>
          </w:p>
        </w:tc>
        <w:tc>
          <w:tcPr>
            <w:tcW w:w="0" w:type="auto"/>
            <w:hideMark/>
          </w:tcPr>
          <w:p w14:paraId="28233856"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Participation in capacity-building and training programs</w:t>
            </w:r>
          </w:p>
        </w:tc>
        <w:tc>
          <w:tcPr>
            <w:tcW w:w="0" w:type="auto"/>
            <w:hideMark/>
          </w:tcPr>
          <w:p w14:paraId="6A35086B"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39.8</w:t>
            </w:r>
          </w:p>
        </w:tc>
      </w:tr>
      <w:tr w:rsidR="007E38A6" w:rsidRPr="00DB25F4" w14:paraId="09BFBA43" w14:textId="77777777" w:rsidTr="004F7869">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41B3D7" w14:textId="77777777" w:rsidR="007E38A6" w:rsidRPr="00DB25F4" w:rsidRDefault="007E38A6" w:rsidP="004F7869">
            <w:pPr>
              <w:jc w:val="center"/>
              <w:rPr>
                <w:rFonts w:ascii="Arial" w:eastAsia="Times New Roman" w:hAnsi="Arial" w:cs="Arial"/>
                <w:kern w:val="0"/>
                <w:sz w:val="20"/>
                <w:szCs w:val="20"/>
                <w:lang w:eastAsia="en-IN"/>
              </w:rPr>
            </w:pPr>
          </w:p>
        </w:tc>
        <w:tc>
          <w:tcPr>
            <w:tcW w:w="0" w:type="auto"/>
            <w:hideMark/>
          </w:tcPr>
          <w:p w14:paraId="109D1ABF" w14:textId="77777777" w:rsidR="007E38A6" w:rsidRPr="00DB25F4"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Mean Social-Innovation Index = 71.07 %</w:t>
            </w:r>
          </w:p>
        </w:tc>
        <w:tc>
          <w:tcPr>
            <w:tcW w:w="0" w:type="auto"/>
            <w:hideMark/>
          </w:tcPr>
          <w:p w14:paraId="7617CA7B" w14:textId="77777777" w:rsidR="007E38A6" w:rsidRPr="00DB25F4"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SD = 31.82</w:t>
            </w:r>
          </w:p>
        </w:tc>
      </w:tr>
    </w:tbl>
    <w:p w14:paraId="1B594D45" w14:textId="77777777" w:rsidR="007E38A6" w:rsidRDefault="007E38A6" w:rsidP="007E38A6">
      <w:pPr>
        <w:jc w:val="center"/>
        <w:rPr>
          <w:rFonts w:ascii="Arial" w:hAnsi="Arial" w:cs="Arial"/>
          <w:b/>
          <w:bCs/>
        </w:rPr>
      </w:pPr>
    </w:p>
    <w:p w14:paraId="4BF61AFF" w14:textId="77777777" w:rsidR="007E38A6" w:rsidRPr="001D24C3" w:rsidRDefault="007E38A6" w:rsidP="007E38A6">
      <w:pPr>
        <w:jc w:val="center"/>
        <w:rPr>
          <w:rFonts w:ascii="Arial" w:hAnsi="Arial" w:cs="Arial"/>
          <w:b/>
          <w:bCs/>
        </w:rPr>
      </w:pPr>
      <w:r w:rsidRPr="001D24C3">
        <w:rPr>
          <w:rFonts w:ascii="Arial" w:hAnsi="Arial" w:cs="Arial"/>
          <w:b/>
          <w:bCs/>
        </w:rPr>
        <w:t>Table 10</w:t>
      </w:r>
      <w:r>
        <w:rPr>
          <w:rFonts w:ascii="Arial" w:hAnsi="Arial" w:cs="Arial"/>
          <w:b/>
          <w:bCs/>
        </w:rPr>
        <w:t xml:space="preserve">. </w:t>
      </w:r>
      <w:r w:rsidRPr="001D24C3">
        <w:rPr>
          <w:rFonts w:ascii="Arial" w:hAnsi="Arial" w:cs="Arial"/>
          <w:b/>
          <w:bCs/>
        </w:rPr>
        <w:t>Extent of social innovation adoption</w:t>
      </w:r>
    </w:p>
    <w:tbl>
      <w:tblPr>
        <w:tblStyle w:val="PlainTable2"/>
        <w:tblW w:w="7508" w:type="dxa"/>
        <w:jc w:val="center"/>
        <w:tblLook w:val="06A0" w:firstRow="1" w:lastRow="0" w:firstColumn="1" w:lastColumn="0" w:noHBand="1" w:noVBand="1"/>
      </w:tblPr>
      <w:tblGrid>
        <w:gridCol w:w="1665"/>
        <w:gridCol w:w="3144"/>
        <w:gridCol w:w="1314"/>
        <w:gridCol w:w="1385"/>
      </w:tblGrid>
      <w:tr w:rsidR="007E38A6" w:rsidRPr="001D24C3" w14:paraId="13391E68" w14:textId="77777777" w:rsidTr="004F7869">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7674B1" w14:textId="77777777" w:rsidR="007E38A6" w:rsidRPr="001D24C3" w:rsidRDefault="007E38A6" w:rsidP="004F7869">
            <w:pPr>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Category</w:t>
            </w:r>
          </w:p>
        </w:tc>
        <w:tc>
          <w:tcPr>
            <w:tcW w:w="3144" w:type="dxa"/>
            <w:hideMark/>
          </w:tcPr>
          <w:p w14:paraId="4A676BCA" w14:textId="77777777" w:rsidR="007E38A6" w:rsidRPr="001D24C3"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Range (%)</w:t>
            </w:r>
          </w:p>
        </w:tc>
        <w:tc>
          <w:tcPr>
            <w:tcW w:w="0" w:type="auto"/>
            <w:hideMark/>
          </w:tcPr>
          <w:p w14:paraId="7C9EF4C7" w14:textId="77777777" w:rsidR="007E38A6" w:rsidRPr="001D24C3"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Frequency</w:t>
            </w:r>
          </w:p>
        </w:tc>
        <w:tc>
          <w:tcPr>
            <w:tcW w:w="0" w:type="auto"/>
            <w:hideMark/>
          </w:tcPr>
          <w:p w14:paraId="792172AC" w14:textId="77777777" w:rsidR="007E38A6" w:rsidRPr="001D24C3"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Percentage</w:t>
            </w:r>
          </w:p>
        </w:tc>
      </w:tr>
      <w:tr w:rsidR="007E38A6" w:rsidRPr="001D24C3" w14:paraId="75D85A23" w14:textId="77777777" w:rsidTr="004F7869">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0413E" w14:textId="77777777" w:rsidR="007E38A6" w:rsidRPr="001D24C3" w:rsidRDefault="007E38A6" w:rsidP="004F7869">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Low</w:t>
            </w:r>
          </w:p>
        </w:tc>
        <w:tc>
          <w:tcPr>
            <w:tcW w:w="3144" w:type="dxa"/>
            <w:hideMark/>
          </w:tcPr>
          <w:p w14:paraId="4EE3A99C"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&lt; 60.00</w:t>
            </w:r>
          </w:p>
        </w:tc>
        <w:tc>
          <w:tcPr>
            <w:tcW w:w="0" w:type="auto"/>
            <w:hideMark/>
          </w:tcPr>
          <w:p w14:paraId="0EEEA775"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40</w:t>
            </w:r>
          </w:p>
        </w:tc>
        <w:tc>
          <w:tcPr>
            <w:tcW w:w="0" w:type="auto"/>
            <w:hideMark/>
          </w:tcPr>
          <w:p w14:paraId="749AE88D"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26.7</w:t>
            </w:r>
          </w:p>
        </w:tc>
      </w:tr>
      <w:tr w:rsidR="007E38A6" w:rsidRPr="001D24C3" w14:paraId="11A77193" w14:textId="77777777" w:rsidTr="004F7869">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06E6BB" w14:textId="77777777" w:rsidR="007E38A6" w:rsidRPr="001D24C3" w:rsidRDefault="007E38A6" w:rsidP="004F7869">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Medium</w:t>
            </w:r>
          </w:p>
        </w:tc>
        <w:tc>
          <w:tcPr>
            <w:tcW w:w="3144" w:type="dxa"/>
            <w:hideMark/>
          </w:tcPr>
          <w:p w14:paraId="0BCE4AB6"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60.00 – 80.00</w:t>
            </w:r>
          </w:p>
        </w:tc>
        <w:tc>
          <w:tcPr>
            <w:tcW w:w="0" w:type="auto"/>
            <w:hideMark/>
          </w:tcPr>
          <w:p w14:paraId="0414D321"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68</w:t>
            </w:r>
          </w:p>
        </w:tc>
        <w:tc>
          <w:tcPr>
            <w:tcW w:w="0" w:type="auto"/>
            <w:hideMark/>
          </w:tcPr>
          <w:p w14:paraId="2DF45681"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45.3</w:t>
            </w:r>
          </w:p>
        </w:tc>
      </w:tr>
      <w:tr w:rsidR="007E38A6" w:rsidRPr="001D24C3" w14:paraId="2181A470" w14:textId="77777777" w:rsidTr="004F7869">
        <w:trPr>
          <w:trHeight w:val="26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CDEA8" w14:textId="77777777" w:rsidR="007E38A6" w:rsidRPr="001D24C3" w:rsidRDefault="007E38A6" w:rsidP="004F7869">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High</w:t>
            </w:r>
          </w:p>
        </w:tc>
        <w:tc>
          <w:tcPr>
            <w:tcW w:w="3144" w:type="dxa"/>
            <w:hideMark/>
          </w:tcPr>
          <w:p w14:paraId="6BB6AD18"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&gt; 80.00</w:t>
            </w:r>
          </w:p>
        </w:tc>
        <w:tc>
          <w:tcPr>
            <w:tcW w:w="0" w:type="auto"/>
            <w:hideMark/>
          </w:tcPr>
          <w:p w14:paraId="5A1B584B"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42</w:t>
            </w:r>
          </w:p>
        </w:tc>
        <w:tc>
          <w:tcPr>
            <w:tcW w:w="0" w:type="auto"/>
            <w:hideMark/>
          </w:tcPr>
          <w:p w14:paraId="661728B5"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28.0</w:t>
            </w:r>
          </w:p>
        </w:tc>
      </w:tr>
      <w:tr w:rsidR="007E38A6" w:rsidRPr="001D24C3" w14:paraId="2C7C1638" w14:textId="77777777" w:rsidTr="004F7869">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E19C2" w14:textId="77777777" w:rsidR="007E38A6" w:rsidRPr="001D24C3" w:rsidRDefault="007E38A6" w:rsidP="004F7869">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Total (N = 150)</w:t>
            </w:r>
          </w:p>
        </w:tc>
        <w:tc>
          <w:tcPr>
            <w:tcW w:w="3144" w:type="dxa"/>
            <w:hideMark/>
          </w:tcPr>
          <w:p w14:paraId="377EDC60" w14:textId="77777777" w:rsidR="007E38A6" w:rsidRPr="001D24C3"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18D931DC"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5F5A765F"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b/>
                <w:bCs/>
                <w:kern w:val="0"/>
                <w:sz w:val="20"/>
                <w:szCs w:val="20"/>
                <w:lang w:eastAsia="en-IN"/>
              </w:rPr>
              <w:t>100.0</w:t>
            </w:r>
          </w:p>
        </w:tc>
      </w:tr>
      <w:tr w:rsidR="007E38A6" w:rsidRPr="001D24C3" w14:paraId="5749661C" w14:textId="77777777" w:rsidTr="004F7869">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D37EA" w14:textId="77777777" w:rsidR="007E38A6" w:rsidRPr="001D24C3" w:rsidRDefault="007E38A6" w:rsidP="004F7869">
            <w:pPr>
              <w:jc w:val="center"/>
              <w:rPr>
                <w:rFonts w:ascii="Arial" w:eastAsia="Times New Roman" w:hAnsi="Arial" w:cs="Arial"/>
                <w:kern w:val="0"/>
                <w:sz w:val="20"/>
                <w:szCs w:val="20"/>
                <w:lang w:eastAsia="en-IN"/>
              </w:rPr>
            </w:pPr>
          </w:p>
        </w:tc>
        <w:tc>
          <w:tcPr>
            <w:tcW w:w="3144" w:type="dxa"/>
            <w:hideMark/>
          </w:tcPr>
          <w:p w14:paraId="0C06D01F"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Mean = 71.07 % SD = 31.82</w:t>
            </w:r>
          </w:p>
        </w:tc>
        <w:tc>
          <w:tcPr>
            <w:tcW w:w="0" w:type="auto"/>
            <w:hideMark/>
          </w:tcPr>
          <w:p w14:paraId="7C6AED01"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2D1344F6" w14:textId="77777777" w:rsidR="007E38A6" w:rsidRPr="001D24C3"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35DF2AB9" w14:textId="77777777" w:rsidR="007E38A6" w:rsidRDefault="007E38A6" w:rsidP="007E38A6">
      <w:pPr>
        <w:jc w:val="center"/>
        <w:rPr>
          <w:rFonts w:ascii="Arial" w:hAnsi="Arial" w:cs="Arial"/>
          <w:b/>
          <w:bCs/>
        </w:rPr>
      </w:pPr>
    </w:p>
    <w:p w14:paraId="4D76B9EC" w14:textId="77777777" w:rsidR="007E38A6" w:rsidRDefault="007E38A6" w:rsidP="007E38A6">
      <w:pPr>
        <w:jc w:val="center"/>
        <w:rPr>
          <w:rFonts w:ascii="Arial" w:hAnsi="Arial" w:cs="Arial"/>
          <w:b/>
          <w:bCs/>
        </w:rPr>
      </w:pPr>
      <w:r w:rsidRPr="00A6144A">
        <w:rPr>
          <w:rFonts w:ascii="Arial" w:hAnsi="Arial" w:cs="Arial"/>
          <w:b/>
          <w:bCs/>
        </w:rPr>
        <w:t>Table 11</w:t>
      </w:r>
      <w:r>
        <w:rPr>
          <w:rFonts w:ascii="Arial" w:hAnsi="Arial" w:cs="Arial"/>
          <w:b/>
          <w:bCs/>
        </w:rPr>
        <w:t xml:space="preserve">. </w:t>
      </w:r>
      <w:r w:rsidRPr="00A6144A">
        <w:rPr>
          <w:rFonts w:ascii="Arial" w:hAnsi="Arial" w:cs="Arial"/>
          <w:b/>
          <w:bCs/>
        </w:rPr>
        <w:t>Overall extent of innovation adoption</w:t>
      </w:r>
    </w:p>
    <w:tbl>
      <w:tblPr>
        <w:tblStyle w:val="PlainTable2"/>
        <w:tblW w:w="0" w:type="auto"/>
        <w:jc w:val="center"/>
        <w:tblLook w:val="06A0" w:firstRow="1" w:lastRow="0" w:firstColumn="1" w:lastColumn="0" w:noHBand="1" w:noVBand="1"/>
      </w:tblPr>
      <w:tblGrid>
        <w:gridCol w:w="1556"/>
        <w:gridCol w:w="2740"/>
        <w:gridCol w:w="1228"/>
        <w:gridCol w:w="1295"/>
      </w:tblGrid>
      <w:tr w:rsidR="007E38A6" w:rsidRPr="0040227D" w14:paraId="526164FB" w14:textId="77777777" w:rsidTr="004F78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76DD8" w14:textId="77777777" w:rsidR="007E38A6" w:rsidRPr="0040227D" w:rsidRDefault="007E38A6" w:rsidP="004F7869">
            <w:pPr>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Category</w:t>
            </w:r>
          </w:p>
        </w:tc>
        <w:tc>
          <w:tcPr>
            <w:tcW w:w="0" w:type="auto"/>
            <w:hideMark/>
          </w:tcPr>
          <w:p w14:paraId="23CDF2E1" w14:textId="77777777" w:rsidR="007E38A6" w:rsidRPr="0040227D"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Range (%)</w:t>
            </w:r>
          </w:p>
        </w:tc>
        <w:tc>
          <w:tcPr>
            <w:tcW w:w="0" w:type="auto"/>
            <w:hideMark/>
          </w:tcPr>
          <w:p w14:paraId="2EEB5B6F" w14:textId="77777777" w:rsidR="007E38A6" w:rsidRPr="0040227D"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Frequency</w:t>
            </w:r>
          </w:p>
        </w:tc>
        <w:tc>
          <w:tcPr>
            <w:tcW w:w="0" w:type="auto"/>
            <w:hideMark/>
          </w:tcPr>
          <w:p w14:paraId="161F85EC" w14:textId="77777777" w:rsidR="007E38A6" w:rsidRPr="0040227D"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Percentage</w:t>
            </w:r>
          </w:p>
        </w:tc>
      </w:tr>
      <w:tr w:rsidR="007E38A6" w:rsidRPr="0040227D" w14:paraId="6FAC0877" w14:textId="77777777" w:rsidTr="004F786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6BDE80" w14:textId="77777777" w:rsidR="007E38A6" w:rsidRPr="003B2087" w:rsidRDefault="007E38A6" w:rsidP="004F7869">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Low</w:t>
            </w:r>
          </w:p>
        </w:tc>
        <w:tc>
          <w:tcPr>
            <w:tcW w:w="0" w:type="auto"/>
            <w:hideMark/>
          </w:tcPr>
          <w:p w14:paraId="2E43D53A"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&lt; 46.15</w:t>
            </w:r>
          </w:p>
        </w:tc>
        <w:tc>
          <w:tcPr>
            <w:tcW w:w="0" w:type="auto"/>
            <w:hideMark/>
          </w:tcPr>
          <w:p w14:paraId="7B57EE4E"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25</w:t>
            </w:r>
          </w:p>
        </w:tc>
        <w:tc>
          <w:tcPr>
            <w:tcW w:w="0" w:type="auto"/>
            <w:hideMark/>
          </w:tcPr>
          <w:p w14:paraId="775E172D"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16.7</w:t>
            </w:r>
          </w:p>
        </w:tc>
      </w:tr>
      <w:tr w:rsidR="007E38A6" w:rsidRPr="0040227D" w14:paraId="5C22B971" w14:textId="77777777" w:rsidTr="004F786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CDA575" w14:textId="77777777" w:rsidR="007E38A6" w:rsidRPr="003B2087" w:rsidRDefault="007E38A6" w:rsidP="004F7869">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Medium</w:t>
            </w:r>
          </w:p>
        </w:tc>
        <w:tc>
          <w:tcPr>
            <w:tcW w:w="0" w:type="auto"/>
            <w:hideMark/>
          </w:tcPr>
          <w:p w14:paraId="2D514675"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46.15 – 61.54</w:t>
            </w:r>
          </w:p>
        </w:tc>
        <w:tc>
          <w:tcPr>
            <w:tcW w:w="0" w:type="auto"/>
            <w:hideMark/>
          </w:tcPr>
          <w:p w14:paraId="2208BEE3"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71</w:t>
            </w:r>
          </w:p>
        </w:tc>
        <w:tc>
          <w:tcPr>
            <w:tcW w:w="0" w:type="auto"/>
            <w:hideMark/>
          </w:tcPr>
          <w:p w14:paraId="448FCFC6"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47.3</w:t>
            </w:r>
          </w:p>
        </w:tc>
      </w:tr>
      <w:tr w:rsidR="007E38A6" w:rsidRPr="0040227D" w14:paraId="4FB0098A" w14:textId="77777777" w:rsidTr="004F786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310E13" w14:textId="77777777" w:rsidR="007E38A6" w:rsidRPr="003B2087" w:rsidRDefault="007E38A6" w:rsidP="004F7869">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High</w:t>
            </w:r>
          </w:p>
        </w:tc>
        <w:tc>
          <w:tcPr>
            <w:tcW w:w="0" w:type="auto"/>
            <w:hideMark/>
          </w:tcPr>
          <w:p w14:paraId="63F5C990"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&gt; 61.54</w:t>
            </w:r>
          </w:p>
        </w:tc>
        <w:tc>
          <w:tcPr>
            <w:tcW w:w="0" w:type="auto"/>
            <w:hideMark/>
          </w:tcPr>
          <w:p w14:paraId="67429145"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54</w:t>
            </w:r>
          </w:p>
        </w:tc>
        <w:tc>
          <w:tcPr>
            <w:tcW w:w="0" w:type="auto"/>
            <w:hideMark/>
          </w:tcPr>
          <w:p w14:paraId="7FCBFCD9"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36.0</w:t>
            </w:r>
          </w:p>
        </w:tc>
      </w:tr>
      <w:tr w:rsidR="007E38A6" w:rsidRPr="0040227D" w14:paraId="0BAB0B11" w14:textId="77777777" w:rsidTr="004F786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AE4F3" w14:textId="77777777" w:rsidR="007E38A6" w:rsidRPr="003B2087" w:rsidRDefault="007E38A6" w:rsidP="004F7869">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Total (N = 150)</w:t>
            </w:r>
          </w:p>
        </w:tc>
        <w:tc>
          <w:tcPr>
            <w:tcW w:w="0" w:type="auto"/>
            <w:hideMark/>
          </w:tcPr>
          <w:p w14:paraId="32DE14BF" w14:textId="77777777" w:rsidR="007E38A6" w:rsidRPr="0040227D"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0CCEAE65"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70050559"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b/>
                <w:bCs/>
                <w:kern w:val="0"/>
                <w:sz w:val="20"/>
                <w:szCs w:val="20"/>
                <w:lang w:eastAsia="en-IN"/>
              </w:rPr>
              <w:t>100.0</w:t>
            </w:r>
          </w:p>
        </w:tc>
      </w:tr>
      <w:tr w:rsidR="007E38A6" w:rsidRPr="0040227D" w14:paraId="12CBB1C3" w14:textId="77777777" w:rsidTr="004F786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D435A9" w14:textId="77777777" w:rsidR="007E38A6" w:rsidRPr="0040227D" w:rsidRDefault="007E38A6" w:rsidP="004F7869">
            <w:pPr>
              <w:jc w:val="center"/>
              <w:rPr>
                <w:rFonts w:ascii="Arial" w:eastAsia="Times New Roman" w:hAnsi="Arial" w:cs="Arial"/>
                <w:kern w:val="0"/>
                <w:sz w:val="20"/>
                <w:szCs w:val="20"/>
                <w:lang w:eastAsia="en-IN"/>
              </w:rPr>
            </w:pPr>
          </w:p>
        </w:tc>
        <w:tc>
          <w:tcPr>
            <w:tcW w:w="0" w:type="auto"/>
            <w:hideMark/>
          </w:tcPr>
          <w:p w14:paraId="571B6DDC"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Mean = 58.00 % SD = 19.04</w:t>
            </w:r>
          </w:p>
        </w:tc>
        <w:tc>
          <w:tcPr>
            <w:tcW w:w="0" w:type="auto"/>
            <w:hideMark/>
          </w:tcPr>
          <w:p w14:paraId="5252661D"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3E245488" w14:textId="77777777" w:rsidR="007E38A6" w:rsidRPr="0040227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1EC0F409" w14:textId="77777777" w:rsidR="007E38A6" w:rsidRDefault="007E38A6" w:rsidP="007E38A6">
      <w:pPr>
        <w:jc w:val="both"/>
        <w:rPr>
          <w:rFonts w:ascii="Times New Roman" w:hAnsi="Times New Roman"/>
          <w:b/>
          <w:bCs/>
        </w:rPr>
      </w:pPr>
    </w:p>
    <w:p w14:paraId="657DC404" w14:textId="77777777" w:rsidR="005F1D5F" w:rsidRDefault="005F1D5F" w:rsidP="007E38A6">
      <w:pPr>
        <w:jc w:val="both"/>
        <w:rPr>
          <w:rFonts w:ascii="Times New Roman" w:hAnsi="Times New Roman"/>
        </w:rPr>
        <w:sectPr w:rsidR="005F1D5F" w:rsidSect="007E38A6">
          <w:type w:val="continuous"/>
          <w:pgSz w:w="11906" w:h="16838"/>
          <w:pgMar w:top="1440" w:right="1440" w:bottom="1440" w:left="1440" w:header="708" w:footer="708" w:gutter="0"/>
          <w:cols w:space="708"/>
          <w:docGrid w:linePitch="360"/>
        </w:sectPr>
      </w:pPr>
    </w:p>
    <w:p w14:paraId="24D5CB56" w14:textId="150B2D84" w:rsidR="007E38A6" w:rsidRPr="00B316F0" w:rsidRDefault="007E38A6" w:rsidP="007E38A6">
      <w:pPr>
        <w:jc w:val="both"/>
        <w:rPr>
          <w:rFonts w:ascii="Arial" w:hAnsi="Arial" w:cs="Arial"/>
        </w:rPr>
        <w:sectPr w:rsidR="007E38A6" w:rsidRPr="00B316F0" w:rsidSect="007E38A6">
          <w:type w:val="continuous"/>
          <w:pgSz w:w="11906" w:h="16838"/>
          <w:pgMar w:top="1440" w:right="1440" w:bottom="1440" w:left="1440" w:header="708" w:footer="708" w:gutter="0"/>
          <w:cols w:num="2" w:space="708"/>
          <w:docGrid w:linePitch="360"/>
        </w:sectPr>
      </w:pPr>
      <w:r w:rsidRPr="00B316F0">
        <w:rPr>
          <w:rFonts w:ascii="Arial" w:hAnsi="Arial" w:cs="Arial"/>
        </w:rPr>
        <w:t>The Mann–Whitney U test (Table 12) revealed a statistically significant difference (</w:t>
      </w:r>
      <w:r w:rsidRPr="001321BC">
        <w:rPr>
          <w:rFonts w:ascii="Arial" w:hAnsi="Arial" w:cs="Arial"/>
          <w:i/>
          <w:iCs/>
        </w:rPr>
        <w:t>p = 0.037</w:t>
      </w:r>
      <w:r w:rsidRPr="00B316F0">
        <w:rPr>
          <w:rFonts w:ascii="Arial" w:hAnsi="Arial" w:cs="Arial"/>
        </w:rPr>
        <w:t xml:space="preserve">) </w:t>
      </w:r>
      <w:r w:rsidRPr="00B316F0">
        <w:rPr>
          <w:rFonts w:ascii="Arial" w:hAnsi="Arial" w:cs="Arial"/>
        </w:rPr>
        <w:t xml:space="preserve">between Tamil Nadu and Kerala in overall innovation adoption. The mean rank for Tamil </w:t>
      </w:r>
      <w:r w:rsidRPr="00B316F0">
        <w:rPr>
          <w:rFonts w:ascii="Arial" w:hAnsi="Arial" w:cs="Arial"/>
        </w:rPr>
        <w:lastRenderedPageBreak/>
        <w:t xml:space="preserve">Nadu growers (80.67) was higher than that of Kerala growers (65.17), indicating a higher extent of adoption in Tamil Nadu. Item-wise analysis showed significant differences in the use of machinery </w:t>
      </w:r>
      <w:r w:rsidRPr="001321BC">
        <w:rPr>
          <w:rFonts w:ascii="Arial" w:hAnsi="Arial" w:cs="Arial"/>
          <w:i/>
          <w:iCs/>
        </w:rPr>
        <w:t>(p = 0.026</w:t>
      </w:r>
      <w:r w:rsidRPr="00B316F0">
        <w:rPr>
          <w:rFonts w:ascii="Arial" w:hAnsi="Arial" w:cs="Arial"/>
        </w:rPr>
        <w:t>), soil-management practices (</w:t>
      </w:r>
      <w:r w:rsidRPr="001321BC">
        <w:rPr>
          <w:rFonts w:ascii="Arial" w:hAnsi="Arial" w:cs="Arial"/>
          <w:i/>
          <w:iCs/>
        </w:rPr>
        <w:t>p = 0.015</w:t>
      </w:r>
      <w:r w:rsidRPr="00B316F0">
        <w:rPr>
          <w:rFonts w:ascii="Arial" w:hAnsi="Arial" w:cs="Arial"/>
        </w:rPr>
        <w:t>), training participation (</w:t>
      </w:r>
      <w:r w:rsidRPr="001321BC">
        <w:rPr>
          <w:rFonts w:ascii="Arial" w:hAnsi="Arial" w:cs="Arial"/>
          <w:i/>
          <w:iCs/>
        </w:rPr>
        <w:t>p = 0.005</w:t>
      </w:r>
      <w:r w:rsidRPr="00B316F0">
        <w:rPr>
          <w:rFonts w:ascii="Arial" w:hAnsi="Arial" w:cs="Arial"/>
        </w:rPr>
        <w:t>), and use of digital tools (</w:t>
      </w:r>
      <w:r w:rsidRPr="001321BC">
        <w:rPr>
          <w:rFonts w:ascii="Arial" w:hAnsi="Arial" w:cs="Arial"/>
          <w:i/>
          <w:iCs/>
        </w:rPr>
        <w:t>p = 0.044</w:t>
      </w:r>
      <w:r w:rsidRPr="00B316F0">
        <w:rPr>
          <w:rFonts w:ascii="Arial" w:hAnsi="Arial" w:cs="Arial"/>
        </w:rPr>
        <w:t xml:space="preserve">), all </w:t>
      </w:r>
      <w:r w:rsidR="00374FDC" w:rsidRPr="00B316F0">
        <w:rPr>
          <w:rFonts w:ascii="Arial" w:hAnsi="Arial" w:cs="Arial"/>
        </w:rPr>
        <w:t>favoring</w:t>
      </w:r>
      <w:r w:rsidRPr="00B316F0">
        <w:rPr>
          <w:rFonts w:ascii="Arial" w:hAnsi="Arial" w:cs="Arial"/>
        </w:rPr>
        <w:t xml:space="preserve"> Tamil Nadu. This suggests that </w:t>
      </w:r>
      <w:r w:rsidRPr="00B316F0">
        <w:rPr>
          <w:rFonts w:ascii="Arial" w:hAnsi="Arial" w:cs="Arial"/>
        </w:rPr>
        <w:t>growers in the Nilgiris region benefit from better institutional linkages, mechanization access, and organized extension support, while Kerala growers though more socially cohesive showed comparatively lower technological adoption due to terrain, fragmentation, and higher labour dependency.</w:t>
      </w:r>
    </w:p>
    <w:p w14:paraId="38E65BB7" w14:textId="77777777" w:rsidR="007E38A6" w:rsidRDefault="007E38A6" w:rsidP="007E38A6">
      <w:pPr>
        <w:tabs>
          <w:tab w:val="center" w:pos="4513"/>
        </w:tabs>
        <w:jc w:val="center"/>
        <w:rPr>
          <w:rFonts w:ascii="Arial" w:hAnsi="Arial" w:cs="Arial"/>
          <w:b/>
          <w:bCs/>
        </w:rPr>
      </w:pPr>
    </w:p>
    <w:p w14:paraId="78593B2B" w14:textId="77777777" w:rsidR="007E38A6" w:rsidRPr="00B316F0" w:rsidRDefault="007E38A6" w:rsidP="007E38A6">
      <w:pPr>
        <w:tabs>
          <w:tab w:val="center" w:pos="4513"/>
        </w:tabs>
        <w:jc w:val="center"/>
        <w:rPr>
          <w:rFonts w:ascii="Arial" w:hAnsi="Arial" w:cs="Arial"/>
        </w:rPr>
      </w:pPr>
      <w:r w:rsidRPr="00B316F0">
        <w:rPr>
          <w:rFonts w:ascii="Arial" w:hAnsi="Arial" w:cs="Arial"/>
          <w:b/>
          <w:bCs/>
        </w:rPr>
        <w:t>Table 12</w:t>
      </w:r>
      <w:r>
        <w:rPr>
          <w:rFonts w:ascii="Arial" w:hAnsi="Arial" w:cs="Arial"/>
          <w:b/>
          <w:bCs/>
        </w:rPr>
        <w:t xml:space="preserve">. </w:t>
      </w:r>
      <w:r w:rsidRPr="00B316F0">
        <w:rPr>
          <w:rFonts w:ascii="Arial" w:hAnsi="Arial" w:cs="Arial"/>
          <w:b/>
          <w:bCs/>
        </w:rPr>
        <w:t>Mann-Whitney U test for state-wise comparison</w:t>
      </w:r>
      <w:r w:rsidRPr="00B316F0">
        <w:rPr>
          <w:rFonts w:ascii="Arial" w:hAnsi="Arial" w:cs="Arial"/>
        </w:rPr>
        <w:tab/>
      </w:r>
    </w:p>
    <w:tbl>
      <w:tblPr>
        <w:tblStyle w:val="PlainTable2"/>
        <w:tblW w:w="7579" w:type="dxa"/>
        <w:jc w:val="center"/>
        <w:tblLook w:val="06A0" w:firstRow="1" w:lastRow="0" w:firstColumn="1" w:lastColumn="0" w:noHBand="1" w:noVBand="1"/>
      </w:tblPr>
      <w:tblGrid>
        <w:gridCol w:w="2759"/>
        <w:gridCol w:w="4820"/>
      </w:tblGrid>
      <w:tr w:rsidR="007E38A6" w:rsidRPr="00B316F0" w14:paraId="26237F4F" w14:textId="77777777" w:rsidTr="004F786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FC999" w14:textId="77777777" w:rsidR="007E38A6" w:rsidRPr="00B316F0" w:rsidRDefault="007E38A6" w:rsidP="004F7869">
            <w:pPr>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Statistic</w:t>
            </w:r>
          </w:p>
        </w:tc>
        <w:tc>
          <w:tcPr>
            <w:tcW w:w="0" w:type="auto"/>
            <w:hideMark/>
          </w:tcPr>
          <w:p w14:paraId="3425B87E" w14:textId="77777777" w:rsidR="007E38A6" w:rsidRPr="00B316F0"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Value</w:t>
            </w:r>
          </w:p>
        </w:tc>
      </w:tr>
      <w:tr w:rsidR="007E38A6" w:rsidRPr="00B316F0" w14:paraId="68CFDEB7" w14:textId="77777777" w:rsidTr="004F7869">
        <w:trPr>
          <w:trHeight w:val="2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D7C2C1" w14:textId="77777777" w:rsidR="007E38A6" w:rsidRPr="00B316F0" w:rsidRDefault="007E38A6" w:rsidP="004F7869">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N (Total)</w:t>
            </w:r>
          </w:p>
        </w:tc>
        <w:tc>
          <w:tcPr>
            <w:tcW w:w="0" w:type="auto"/>
            <w:hideMark/>
          </w:tcPr>
          <w:p w14:paraId="025743C7" w14:textId="77777777" w:rsidR="007E38A6" w:rsidRPr="00B316F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150</w:t>
            </w:r>
          </w:p>
        </w:tc>
      </w:tr>
      <w:tr w:rsidR="007E38A6" w:rsidRPr="00B316F0" w14:paraId="52481104" w14:textId="77777777" w:rsidTr="004F786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9FFFE2" w14:textId="77777777" w:rsidR="007E38A6" w:rsidRPr="00B316F0" w:rsidRDefault="007E38A6" w:rsidP="004F7869">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Mann-Whitney U</w:t>
            </w:r>
          </w:p>
        </w:tc>
        <w:tc>
          <w:tcPr>
            <w:tcW w:w="0" w:type="auto"/>
            <w:hideMark/>
          </w:tcPr>
          <w:p w14:paraId="5A282CB5" w14:textId="77777777" w:rsidR="007E38A6" w:rsidRPr="00B316F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1983.500</w:t>
            </w:r>
          </w:p>
        </w:tc>
      </w:tr>
      <w:tr w:rsidR="007E38A6" w:rsidRPr="00B316F0" w14:paraId="6CD671C7" w14:textId="77777777" w:rsidTr="004F786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1AA8F" w14:textId="77777777" w:rsidR="007E38A6" w:rsidRPr="00B316F0" w:rsidRDefault="007E38A6" w:rsidP="004F7869">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Z (Standardized Statistic)</w:t>
            </w:r>
          </w:p>
        </w:tc>
        <w:tc>
          <w:tcPr>
            <w:tcW w:w="0" w:type="auto"/>
            <w:hideMark/>
          </w:tcPr>
          <w:p w14:paraId="6DB8FD33" w14:textId="77777777" w:rsidR="007E38A6" w:rsidRPr="00B316F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–2.081</w:t>
            </w:r>
          </w:p>
        </w:tc>
      </w:tr>
      <w:tr w:rsidR="007E38A6" w:rsidRPr="00B316F0" w14:paraId="3897F059" w14:textId="77777777" w:rsidTr="004F786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D7E0FE" w14:textId="77777777" w:rsidR="007E38A6" w:rsidRPr="00B316F0" w:rsidRDefault="007E38A6" w:rsidP="004F7869">
            <w:pPr>
              <w:rPr>
                <w:rFonts w:ascii="Arial" w:eastAsia="Times New Roman" w:hAnsi="Arial" w:cs="Arial"/>
                <w:b w:val="0"/>
                <w:bCs w:val="0"/>
                <w:kern w:val="0"/>
                <w:sz w:val="20"/>
                <w:szCs w:val="20"/>
                <w:lang w:eastAsia="en-IN"/>
              </w:rPr>
            </w:pPr>
            <w:proofErr w:type="spellStart"/>
            <w:r w:rsidRPr="00B316F0">
              <w:rPr>
                <w:rFonts w:ascii="Arial" w:eastAsia="Times New Roman" w:hAnsi="Arial" w:cs="Arial"/>
                <w:b w:val="0"/>
                <w:bCs w:val="0"/>
                <w:kern w:val="0"/>
                <w:sz w:val="20"/>
                <w:szCs w:val="20"/>
                <w:lang w:eastAsia="en-IN"/>
              </w:rPr>
              <w:t>Asymp</w:t>
            </w:r>
            <w:proofErr w:type="spellEnd"/>
            <w:r w:rsidRPr="00B316F0">
              <w:rPr>
                <w:rFonts w:ascii="Arial" w:eastAsia="Times New Roman" w:hAnsi="Arial" w:cs="Arial"/>
                <w:b w:val="0"/>
                <w:bCs w:val="0"/>
                <w:kern w:val="0"/>
                <w:sz w:val="20"/>
                <w:szCs w:val="20"/>
                <w:lang w:eastAsia="en-IN"/>
              </w:rPr>
              <w:t>. Sig. (2-tailed)</w:t>
            </w:r>
          </w:p>
        </w:tc>
        <w:tc>
          <w:tcPr>
            <w:tcW w:w="0" w:type="auto"/>
            <w:hideMark/>
          </w:tcPr>
          <w:p w14:paraId="69DF5A4B" w14:textId="77777777" w:rsidR="007E38A6" w:rsidRPr="00B316F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0.037 * (Significant)</w:t>
            </w:r>
          </w:p>
        </w:tc>
      </w:tr>
      <w:tr w:rsidR="007E38A6" w:rsidRPr="00B316F0" w14:paraId="0B938348" w14:textId="77777777" w:rsidTr="004F7869">
        <w:trPr>
          <w:trHeight w:val="2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EC5EE6" w14:textId="77777777" w:rsidR="007E38A6" w:rsidRPr="00B316F0" w:rsidRDefault="007E38A6" w:rsidP="004F7869">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 xml:space="preserve">Mean Rank </w:t>
            </w:r>
            <w:r>
              <w:rPr>
                <w:rFonts w:ascii="Arial" w:eastAsia="Times New Roman" w:hAnsi="Arial" w:cs="Arial"/>
                <w:b w:val="0"/>
                <w:bCs w:val="0"/>
                <w:kern w:val="0"/>
                <w:sz w:val="20"/>
                <w:szCs w:val="20"/>
                <w:lang w:eastAsia="en-IN"/>
              </w:rPr>
              <w:t>-</w:t>
            </w:r>
            <w:r w:rsidRPr="00B316F0">
              <w:rPr>
                <w:rFonts w:ascii="Arial" w:eastAsia="Times New Roman" w:hAnsi="Arial" w:cs="Arial"/>
                <w:b w:val="0"/>
                <w:bCs w:val="0"/>
                <w:kern w:val="0"/>
                <w:sz w:val="20"/>
                <w:szCs w:val="20"/>
                <w:lang w:eastAsia="en-IN"/>
              </w:rPr>
              <w:t xml:space="preserve"> Tamil Nadu</w:t>
            </w:r>
          </w:p>
        </w:tc>
        <w:tc>
          <w:tcPr>
            <w:tcW w:w="0" w:type="auto"/>
            <w:hideMark/>
          </w:tcPr>
          <w:p w14:paraId="02016BDC" w14:textId="77777777" w:rsidR="007E38A6" w:rsidRPr="00B316F0"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80.67</w:t>
            </w:r>
          </w:p>
        </w:tc>
      </w:tr>
      <w:tr w:rsidR="007E38A6" w:rsidRPr="00B316F0" w14:paraId="3B2FF519" w14:textId="77777777" w:rsidTr="004F786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02904" w14:textId="77777777" w:rsidR="007E38A6" w:rsidRPr="00B316F0" w:rsidRDefault="007E38A6" w:rsidP="004F7869">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 xml:space="preserve">Mean Rank </w:t>
            </w:r>
            <w:r>
              <w:rPr>
                <w:rFonts w:ascii="Arial" w:eastAsia="Times New Roman" w:hAnsi="Arial" w:cs="Arial"/>
                <w:b w:val="0"/>
                <w:bCs w:val="0"/>
                <w:kern w:val="0"/>
                <w:sz w:val="20"/>
                <w:szCs w:val="20"/>
                <w:lang w:eastAsia="en-IN"/>
              </w:rPr>
              <w:t>-</w:t>
            </w:r>
            <w:r w:rsidRPr="00B316F0">
              <w:rPr>
                <w:rFonts w:ascii="Arial" w:eastAsia="Times New Roman" w:hAnsi="Arial" w:cs="Arial"/>
                <w:b w:val="0"/>
                <w:bCs w:val="0"/>
                <w:kern w:val="0"/>
                <w:sz w:val="20"/>
                <w:szCs w:val="20"/>
                <w:lang w:eastAsia="en-IN"/>
              </w:rPr>
              <w:t xml:space="preserve"> Kerala</w:t>
            </w:r>
          </w:p>
        </w:tc>
        <w:tc>
          <w:tcPr>
            <w:tcW w:w="0" w:type="auto"/>
            <w:hideMark/>
          </w:tcPr>
          <w:p w14:paraId="2DD25058" w14:textId="77777777" w:rsidR="007E38A6" w:rsidRPr="008E35BD"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8E35BD">
              <w:rPr>
                <w:rFonts w:ascii="Arial" w:eastAsia="Times New Roman" w:hAnsi="Arial" w:cs="Arial"/>
                <w:kern w:val="0"/>
                <w:sz w:val="20"/>
                <w:szCs w:val="20"/>
                <w:lang w:eastAsia="en-IN"/>
              </w:rPr>
              <w:t>65.17</w:t>
            </w:r>
          </w:p>
          <w:p w14:paraId="7860F8A6" w14:textId="77777777" w:rsidR="007E38A6" w:rsidRPr="008E35BD" w:rsidRDefault="007E38A6" w:rsidP="004F786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8E35BD">
              <w:rPr>
                <w:rFonts w:ascii="Arial" w:hAnsi="Arial" w:cs="Arial"/>
                <w:sz w:val="20"/>
                <w:szCs w:val="20"/>
              </w:rPr>
              <w:t xml:space="preserve">Note: </w:t>
            </w:r>
            <w:r w:rsidRPr="009C7F0B">
              <w:rPr>
                <w:rFonts w:ascii="Arial" w:hAnsi="Arial" w:cs="Arial"/>
                <w:i/>
                <w:iCs/>
                <w:sz w:val="20"/>
                <w:szCs w:val="20"/>
              </w:rPr>
              <w:t>p &lt; 0.05</w:t>
            </w:r>
            <w:r w:rsidRPr="008E35BD">
              <w:rPr>
                <w:rFonts w:ascii="Arial" w:hAnsi="Arial" w:cs="Arial"/>
                <w:sz w:val="20"/>
                <w:szCs w:val="20"/>
              </w:rPr>
              <w:t xml:space="preserve"> indicates statistical significance</w:t>
            </w:r>
          </w:p>
        </w:tc>
      </w:tr>
    </w:tbl>
    <w:p w14:paraId="39DA9AD2" w14:textId="77777777" w:rsidR="007E38A6" w:rsidRPr="00B316F0" w:rsidRDefault="007E38A6" w:rsidP="007E38A6">
      <w:pPr>
        <w:tabs>
          <w:tab w:val="center" w:pos="4513"/>
        </w:tabs>
        <w:jc w:val="center"/>
        <w:rPr>
          <w:rFonts w:ascii="Arial" w:hAnsi="Arial" w:cs="Arial"/>
        </w:rPr>
        <w:sectPr w:rsidR="007E38A6" w:rsidRPr="00B316F0" w:rsidSect="007E38A6">
          <w:type w:val="continuous"/>
          <w:pgSz w:w="11906" w:h="16838"/>
          <w:pgMar w:top="1440" w:right="1440" w:bottom="1440" w:left="1440" w:header="708" w:footer="708" w:gutter="0"/>
          <w:cols w:space="708"/>
          <w:docGrid w:linePitch="360"/>
        </w:sectPr>
      </w:pPr>
    </w:p>
    <w:p w14:paraId="2DC8BD5E" w14:textId="77777777" w:rsidR="005F1D5F" w:rsidRDefault="005F1D5F" w:rsidP="007E38A6">
      <w:pPr>
        <w:jc w:val="both"/>
        <w:rPr>
          <w:rFonts w:ascii="Arial" w:hAnsi="Arial" w:cs="Arial"/>
          <w:b/>
          <w:bCs/>
        </w:rPr>
      </w:pPr>
    </w:p>
    <w:p w14:paraId="127242DB" w14:textId="6B5EC56C" w:rsidR="007E38A6" w:rsidRDefault="007E38A6" w:rsidP="007E38A6">
      <w:pPr>
        <w:jc w:val="both"/>
        <w:rPr>
          <w:rFonts w:ascii="Arial" w:hAnsi="Arial" w:cs="Arial"/>
          <w:b/>
          <w:bCs/>
        </w:rPr>
      </w:pPr>
      <w:r w:rsidRPr="008A54E4">
        <w:rPr>
          <w:rFonts w:ascii="Arial" w:hAnsi="Arial" w:cs="Arial"/>
          <w:b/>
          <w:bCs/>
        </w:rPr>
        <w:t>3.5 Determinants of innovation adoption</w:t>
      </w:r>
    </w:p>
    <w:p w14:paraId="18D51F0A" w14:textId="77777777" w:rsidR="005F1D5F" w:rsidRPr="008A54E4" w:rsidRDefault="005F1D5F" w:rsidP="007E38A6">
      <w:pPr>
        <w:jc w:val="both"/>
        <w:rPr>
          <w:rFonts w:ascii="Arial" w:hAnsi="Arial" w:cs="Arial"/>
        </w:rPr>
      </w:pPr>
    </w:p>
    <w:p w14:paraId="447B99DC" w14:textId="68DDCB6F" w:rsidR="007E38A6" w:rsidRDefault="007E38A6" w:rsidP="007E38A6">
      <w:pPr>
        <w:jc w:val="both"/>
        <w:rPr>
          <w:rFonts w:ascii="Arial" w:hAnsi="Arial" w:cs="Arial"/>
        </w:rPr>
      </w:pPr>
      <w:r w:rsidRPr="008A54E4">
        <w:rPr>
          <w:rFonts w:ascii="Arial" w:hAnsi="Arial" w:cs="Arial"/>
        </w:rPr>
        <w:t>Understanding the determinants influencing the adoption of social and technological innovations helps identify key socio-economic and agro-ecological variables shaping small tea growers’ behaviour. In this study, the relationship between independent variables and the overall adoption index was examined using Spearman’s rank correlation and Multiple Correspondence Analysis (MCA).</w:t>
      </w:r>
    </w:p>
    <w:p w14:paraId="037C9C6B" w14:textId="77777777" w:rsidR="005F1D5F" w:rsidRDefault="005F1D5F" w:rsidP="007E38A6">
      <w:pPr>
        <w:jc w:val="both"/>
        <w:rPr>
          <w:rFonts w:ascii="Arial" w:hAnsi="Arial" w:cs="Arial"/>
          <w:b/>
          <w:bCs/>
        </w:rPr>
      </w:pPr>
    </w:p>
    <w:p w14:paraId="54CA5FA4" w14:textId="43147941" w:rsidR="007E38A6" w:rsidRDefault="007E38A6" w:rsidP="007E38A6">
      <w:pPr>
        <w:jc w:val="both"/>
        <w:rPr>
          <w:rFonts w:ascii="Arial" w:hAnsi="Arial" w:cs="Arial"/>
          <w:b/>
          <w:bCs/>
        </w:rPr>
      </w:pPr>
      <w:r w:rsidRPr="0045065A">
        <w:rPr>
          <w:rFonts w:ascii="Arial" w:hAnsi="Arial" w:cs="Arial"/>
          <w:b/>
          <w:bCs/>
        </w:rPr>
        <w:t>3.5.1. Correlation analysis</w:t>
      </w:r>
    </w:p>
    <w:p w14:paraId="557292AA" w14:textId="77777777" w:rsidR="005F1D5F" w:rsidRDefault="005F1D5F" w:rsidP="007E38A6">
      <w:pPr>
        <w:jc w:val="both"/>
        <w:rPr>
          <w:rFonts w:ascii="Arial" w:hAnsi="Arial" w:cs="Arial"/>
          <w:b/>
          <w:bCs/>
        </w:rPr>
      </w:pPr>
    </w:p>
    <w:p w14:paraId="72C404CB" w14:textId="1FD26127" w:rsidR="007E38A6" w:rsidRPr="00374FDC" w:rsidRDefault="007E38A6" w:rsidP="007E38A6">
      <w:pPr>
        <w:jc w:val="both"/>
        <w:rPr>
          <w:rFonts w:ascii="Arial" w:hAnsi="Arial" w:cs="Arial"/>
        </w:rPr>
        <w:sectPr w:rsidR="007E38A6" w:rsidRPr="00374FDC" w:rsidSect="007E38A6">
          <w:type w:val="continuous"/>
          <w:pgSz w:w="11906" w:h="16838"/>
          <w:pgMar w:top="1440" w:right="1440" w:bottom="1440" w:left="1440" w:header="708" w:footer="708" w:gutter="0"/>
          <w:cols w:num="2" w:space="708"/>
          <w:docGrid w:linePitch="360"/>
        </w:sectPr>
      </w:pPr>
      <w:r w:rsidRPr="0045065A">
        <w:rPr>
          <w:rFonts w:ascii="Arial" w:hAnsi="Arial" w:cs="Arial"/>
        </w:rPr>
        <w:t xml:space="preserve">The correlation results Table 13 revealed that age, education, area under tea, occupation, annual income, and farm machinery possession were the major factors significantly associated with the level of adoption. Among these, annual income (r = 0.436, </w:t>
      </w:r>
      <w:r w:rsidRPr="005A44EA">
        <w:rPr>
          <w:rFonts w:ascii="Arial" w:hAnsi="Arial" w:cs="Arial"/>
          <w:i/>
          <w:iCs/>
        </w:rPr>
        <w:t>p &lt; 0.01</w:t>
      </w:r>
      <w:r w:rsidRPr="0045065A">
        <w:rPr>
          <w:rFonts w:ascii="Arial" w:hAnsi="Arial" w:cs="Arial"/>
        </w:rPr>
        <w:t xml:space="preserve">) </w:t>
      </w:r>
      <w:r w:rsidRPr="0045065A">
        <w:rPr>
          <w:rFonts w:ascii="Arial" w:hAnsi="Arial" w:cs="Arial"/>
        </w:rPr>
        <w:t xml:space="preserve">showed a strong positive relationship with adoption, followed by occupation (r = 0.267, </w:t>
      </w:r>
      <w:r w:rsidRPr="00B96CE2">
        <w:rPr>
          <w:rFonts w:ascii="Arial" w:hAnsi="Arial" w:cs="Arial"/>
          <w:i/>
          <w:iCs/>
        </w:rPr>
        <w:t>p &lt; 0.01</w:t>
      </w:r>
      <w:r w:rsidRPr="0045065A">
        <w:rPr>
          <w:rFonts w:ascii="Arial" w:hAnsi="Arial" w:cs="Arial"/>
        </w:rPr>
        <w:t xml:space="preserve">) and area under tea (r = 0.184, </w:t>
      </w:r>
      <w:r w:rsidRPr="005A44EA">
        <w:rPr>
          <w:rFonts w:ascii="Arial" w:hAnsi="Arial" w:cs="Arial"/>
          <w:i/>
          <w:iCs/>
        </w:rPr>
        <w:t>p &lt; 0.05</w:t>
      </w:r>
      <w:r w:rsidRPr="0045065A">
        <w:rPr>
          <w:rFonts w:ascii="Arial" w:hAnsi="Arial" w:cs="Arial"/>
        </w:rPr>
        <w:t xml:space="preserve">). This implies that growers with higher income, larger tea area, and full-time engagement in farming are more capable of investing in new practices. In contrast, age (r = –0.209, </w:t>
      </w:r>
      <w:r w:rsidRPr="005A44EA">
        <w:rPr>
          <w:rFonts w:ascii="Arial" w:hAnsi="Arial" w:cs="Arial"/>
          <w:i/>
          <w:iCs/>
        </w:rPr>
        <w:t>p &lt; 0.05</w:t>
      </w:r>
      <w:r w:rsidRPr="0045065A">
        <w:rPr>
          <w:rFonts w:ascii="Arial" w:hAnsi="Arial" w:cs="Arial"/>
        </w:rPr>
        <w:t xml:space="preserve">) and education (r = –0.201, </w:t>
      </w:r>
      <w:r w:rsidRPr="005A44EA">
        <w:rPr>
          <w:rFonts w:ascii="Arial" w:hAnsi="Arial" w:cs="Arial"/>
          <w:i/>
          <w:iCs/>
        </w:rPr>
        <w:t>p &lt; 0.05</w:t>
      </w:r>
      <w:r w:rsidRPr="0045065A">
        <w:rPr>
          <w:rFonts w:ascii="Arial" w:hAnsi="Arial" w:cs="Arial"/>
        </w:rPr>
        <w:t>) were negatively associated with adoption, indicating that younger and less formally educated growers were relatively more responsive to innovation.</w:t>
      </w:r>
      <w:r w:rsidR="00A57497">
        <w:rPr>
          <w:rFonts w:ascii="Arial" w:hAnsi="Arial" w:cs="Arial"/>
        </w:rPr>
        <w:t xml:space="preserve"> </w:t>
      </w:r>
      <w:r w:rsidR="00A57497">
        <w:t>The negative relationship between education and innovation adoption indicates that growers with fewer years of formal schooling were more active adopters. Field interactions showed that better-educated household members were often engaged in non-farm jobs and less involved in daily tea management, while less formally educated growers relied more on tea and were therefore more responsive to new practices.</w:t>
      </w:r>
    </w:p>
    <w:p w14:paraId="6766045C" w14:textId="117DD244" w:rsidR="007E38A6" w:rsidRPr="00331217" w:rsidRDefault="007E38A6" w:rsidP="007E38A6">
      <w:pPr>
        <w:pStyle w:val="NormalWeb"/>
        <w:jc w:val="center"/>
        <w:rPr>
          <w:rFonts w:ascii="Arial" w:hAnsi="Arial" w:cs="Arial"/>
          <w:b/>
          <w:bCs/>
          <w:sz w:val="22"/>
          <w:szCs w:val="22"/>
        </w:rPr>
      </w:pPr>
      <w:r w:rsidRPr="00331217">
        <w:rPr>
          <w:rFonts w:ascii="Arial" w:hAnsi="Arial" w:cs="Arial"/>
          <w:b/>
          <w:bCs/>
          <w:sz w:val="22"/>
          <w:szCs w:val="22"/>
        </w:rPr>
        <w:t>Table 13. Correlation analysis of variables with innovation adoption</w:t>
      </w:r>
    </w:p>
    <w:tbl>
      <w:tblPr>
        <w:tblStyle w:val="PlainTable2"/>
        <w:tblpPr w:leftFromText="180" w:rightFromText="180" w:vertAnchor="text" w:horzAnchor="margin" w:tblpXSpec="center" w:tblpY="15"/>
        <w:tblW w:w="8275" w:type="dxa"/>
        <w:tblLook w:val="06A0" w:firstRow="1" w:lastRow="0" w:firstColumn="1" w:lastColumn="0" w:noHBand="1" w:noVBand="1"/>
      </w:tblPr>
      <w:tblGrid>
        <w:gridCol w:w="745"/>
        <w:gridCol w:w="1605"/>
        <w:gridCol w:w="1572"/>
        <w:gridCol w:w="1666"/>
        <w:gridCol w:w="2687"/>
      </w:tblGrid>
      <w:tr w:rsidR="005F1D5F" w:rsidRPr="00CE670C" w14:paraId="5DD43781" w14:textId="77777777" w:rsidTr="005F1D5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16B9CE"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Sl. No</w:t>
            </w:r>
          </w:p>
        </w:tc>
        <w:tc>
          <w:tcPr>
            <w:tcW w:w="0" w:type="auto"/>
            <w:vAlign w:val="center"/>
            <w:hideMark/>
          </w:tcPr>
          <w:p w14:paraId="21E2D0C1"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Variable</w:t>
            </w:r>
          </w:p>
        </w:tc>
        <w:tc>
          <w:tcPr>
            <w:tcW w:w="0" w:type="auto"/>
            <w:vAlign w:val="center"/>
            <w:hideMark/>
          </w:tcPr>
          <w:p w14:paraId="156F4971"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Correlation (r</w:t>
            </w:r>
            <w:r w:rsidRPr="0072046B">
              <w:rPr>
                <w:rFonts w:ascii="Cambria Math" w:eastAsia="Times New Roman" w:hAnsi="Cambria Math" w:cs="Cambria Math"/>
                <w:kern w:val="0"/>
                <w:sz w:val="20"/>
                <w:szCs w:val="20"/>
                <w:lang w:eastAsia="en-IN"/>
              </w:rPr>
              <w:t>ₛ</w:t>
            </w:r>
            <w:r w:rsidRPr="0072046B">
              <w:rPr>
                <w:rFonts w:ascii="Arial" w:eastAsia="Times New Roman" w:hAnsi="Arial" w:cs="Arial"/>
                <w:kern w:val="0"/>
                <w:sz w:val="20"/>
                <w:szCs w:val="20"/>
                <w:lang w:eastAsia="en-IN"/>
              </w:rPr>
              <w:t>)</w:t>
            </w:r>
          </w:p>
        </w:tc>
        <w:tc>
          <w:tcPr>
            <w:tcW w:w="0" w:type="auto"/>
            <w:vAlign w:val="center"/>
            <w:hideMark/>
          </w:tcPr>
          <w:p w14:paraId="696138E8"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Significance (p)</w:t>
            </w:r>
          </w:p>
        </w:tc>
        <w:tc>
          <w:tcPr>
            <w:tcW w:w="0" w:type="auto"/>
            <w:vAlign w:val="center"/>
            <w:hideMark/>
          </w:tcPr>
          <w:p w14:paraId="51D119B6"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Relationship</w:t>
            </w:r>
          </w:p>
        </w:tc>
      </w:tr>
      <w:tr w:rsidR="005F1D5F" w:rsidRPr="00CE670C" w14:paraId="589DC96C" w14:textId="77777777" w:rsidTr="005F1D5F">
        <w:trPr>
          <w:trHeight w:val="1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622848"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1</w:t>
            </w:r>
          </w:p>
        </w:tc>
        <w:tc>
          <w:tcPr>
            <w:tcW w:w="0" w:type="auto"/>
            <w:vAlign w:val="center"/>
            <w:hideMark/>
          </w:tcPr>
          <w:p w14:paraId="1DB01286"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Age</w:t>
            </w:r>
          </w:p>
        </w:tc>
        <w:tc>
          <w:tcPr>
            <w:tcW w:w="0" w:type="auto"/>
            <w:vAlign w:val="center"/>
            <w:hideMark/>
          </w:tcPr>
          <w:p w14:paraId="06C3534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–0.209</w:t>
            </w:r>
          </w:p>
        </w:tc>
        <w:tc>
          <w:tcPr>
            <w:tcW w:w="0" w:type="auto"/>
            <w:vAlign w:val="center"/>
            <w:hideMark/>
          </w:tcPr>
          <w:p w14:paraId="0E5EB84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0.014</w:t>
            </w:r>
          </w:p>
        </w:tc>
        <w:tc>
          <w:tcPr>
            <w:tcW w:w="0" w:type="auto"/>
            <w:vAlign w:val="center"/>
            <w:hideMark/>
          </w:tcPr>
          <w:p w14:paraId="62CFCAA3"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Negative and significant</w:t>
            </w:r>
          </w:p>
        </w:tc>
      </w:tr>
      <w:tr w:rsidR="005F1D5F" w:rsidRPr="00CE670C" w14:paraId="1BDE2D57"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4517E4"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2</w:t>
            </w:r>
          </w:p>
        </w:tc>
        <w:tc>
          <w:tcPr>
            <w:tcW w:w="0" w:type="auto"/>
            <w:vAlign w:val="center"/>
            <w:hideMark/>
          </w:tcPr>
          <w:p w14:paraId="4DB24FA2"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Education</w:t>
            </w:r>
          </w:p>
        </w:tc>
        <w:tc>
          <w:tcPr>
            <w:tcW w:w="0" w:type="auto"/>
            <w:vAlign w:val="center"/>
            <w:hideMark/>
          </w:tcPr>
          <w:p w14:paraId="4CA5D07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–0.201</w:t>
            </w:r>
          </w:p>
        </w:tc>
        <w:tc>
          <w:tcPr>
            <w:tcW w:w="0" w:type="auto"/>
            <w:vAlign w:val="center"/>
            <w:hideMark/>
          </w:tcPr>
          <w:p w14:paraId="103B6489"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0.014</w:t>
            </w:r>
          </w:p>
        </w:tc>
        <w:tc>
          <w:tcPr>
            <w:tcW w:w="0" w:type="auto"/>
            <w:vAlign w:val="center"/>
            <w:hideMark/>
          </w:tcPr>
          <w:p w14:paraId="518CA68C"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Negative and significant</w:t>
            </w:r>
          </w:p>
        </w:tc>
      </w:tr>
      <w:tr w:rsidR="005F1D5F" w:rsidRPr="00CE670C" w14:paraId="513771A9"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7E2C56"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3</w:t>
            </w:r>
          </w:p>
        </w:tc>
        <w:tc>
          <w:tcPr>
            <w:tcW w:w="0" w:type="auto"/>
            <w:vAlign w:val="center"/>
            <w:hideMark/>
          </w:tcPr>
          <w:p w14:paraId="4477AEE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Occupation</w:t>
            </w:r>
          </w:p>
        </w:tc>
        <w:tc>
          <w:tcPr>
            <w:tcW w:w="0" w:type="auto"/>
            <w:vAlign w:val="center"/>
            <w:hideMark/>
          </w:tcPr>
          <w:p w14:paraId="3E7D3DE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0.267</w:t>
            </w:r>
          </w:p>
        </w:tc>
        <w:tc>
          <w:tcPr>
            <w:tcW w:w="0" w:type="auto"/>
            <w:vAlign w:val="center"/>
            <w:hideMark/>
          </w:tcPr>
          <w:p w14:paraId="65BC1E3B"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0.001</w:t>
            </w:r>
          </w:p>
        </w:tc>
        <w:tc>
          <w:tcPr>
            <w:tcW w:w="0" w:type="auto"/>
            <w:vAlign w:val="center"/>
            <w:hideMark/>
          </w:tcPr>
          <w:p w14:paraId="7CE0A56E"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r w:rsidR="005F1D5F" w:rsidRPr="00CE670C" w14:paraId="73041D98" w14:textId="77777777" w:rsidTr="005F1D5F">
        <w:trPr>
          <w:trHeight w:val="1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102E3E"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4</w:t>
            </w:r>
          </w:p>
        </w:tc>
        <w:tc>
          <w:tcPr>
            <w:tcW w:w="0" w:type="auto"/>
            <w:vAlign w:val="center"/>
            <w:hideMark/>
          </w:tcPr>
          <w:p w14:paraId="22CAF62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Area under tea</w:t>
            </w:r>
          </w:p>
        </w:tc>
        <w:tc>
          <w:tcPr>
            <w:tcW w:w="0" w:type="auto"/>
            <w:vAlign w:val="center"/>
            <w:hideMark/>
          </w:tcPr>
          <w:p w14:paraId="5F52637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0.184</w:t>
            </w:r>
          </w:p>
        </w:tc>
        <w:tc>
          <w:tcPr>
            <w:tcW w:w="0" w:type="auto"/>
            <w:vAlign w:val="center"/>
            <w:hideMark/>
          </w:tcPr>
          <w:p w14:paraId="76BF1E5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0.042</w:t>
            </w:r>
          </w:p>
        </w:tc>
        <w:tc>
          <w:tcPr>
            <w:tcW w:w="0" w:type="auto"/>
            <w:vAlign w:val="center"/>
            <w:hideMark/>
          </w:tcPr>
          <w:p w14:paraId="1CFB62A5"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r w:rsidR="005F1D5F" w:rsidRPr="00CE670C" w14:paraId="2C61DE5B"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F03F42"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5</w:t>
            </w:r>
          </w:p>
        </w:tc>
        <w:tc>
          <w:tcPr>
            <w:tcW w:w="0" w:type="auto"/>
            <w:vAlign w:val="center"/>
            <w:hideMark/>
          </w:tcPr>
          <w:p w14:paraId="3EB7CEAC"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Annual income</w:t>
            </w:r>
          </w:p>
        </w:tc>
        <w:tc>
          <w:tcPr>
            <w:tcW w:w="0" w:type="auto"/>
            <w:vAlign w:val="center"/>
            <w:hideMark/>
          </w:tcPr>
          <w:p w14:paraId="2C807487"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0.436</w:t>
            </w:r>
          </w:p>
        </w:tc>
        <w:tc>
          <w:tcPr>
            <w:tcW w:w="0" w:type="auto"/>
            <w:vAlign w:val="center"/>
            <w:hideMark/>
          </w:tcPr>
          <w:p w14:paraId="570322ED"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0.000</w:t>
            </w:r>
          </w:p>
        </w:tc>
        <w:tc>
          <w:tcPr>
            <w:tcW w:w="0" w:type="auto"/>
            <w:vAlign w:val="center"/>
            <w:hideMark/>
          </w:tcPr>
          <w:p w14:paraId="2E5FCDAB"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Strong positive and significant</w:t>
            </w:r>
          </w:p>
        </w:tc>
      </w:tr>
      <w:tr w:rsidR="005F1D5F" w:rsidRPr="00CE670C" w14:paraId="214F37CC"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9C1C9B"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6</w:t>
            </w:r>
          </w:p>
        </w:tc>
        <w:tc>
          <w:tcPr>
            <w:tcW w:w="0" w:type="auto"/>
            <w:vAlign w:val="center"/>
            <w:hideMark/>
          </w:tcPr>
          <w:p w14:paraId="1D022E1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Farm machinery</w:t>
            </w:r>
          </w:p>
        </w:tc>
        <w:tc>
          <w:tcPr>
            <w:tcW w:w="0" w:type="auto"/>
            <w:vAlign w:val="center"/>
            <w:hideMark/>
          </w:tcPr>
          <w:p w14:paraId="77AF02A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0.180</w:t>
            </w:r>
          </w:p>
        </w:tc>
        <w:tc>
          <w:tcPr>
            <w:tcW w:w="0" w:type="auto"/>
            <w:vAlign w:val="center"/>
            <w:hideMark/>
          </w:tcPr>
          <w:p w14:paraId="10054910"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0.045</w:t>
            </w:r>
          </w:p>
        </w:tc>
        <w:tc>
          <w:tcPr>
            <w:tcW w:w="0" w:type="auto"/>
            <w:vAlign w:val="center"/>
            <w:hideMark/>
          </w:tcPr>
          <w:p w14:paraId="35D0AB7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bl>
    <w:p w14:paraId="3E260358" w14:textId="7286CFB1" w:rsidR="005F1D5F" w:rsidRDefault="005F1D5F" w:rsidP="005F1D5F">
      <w:pPr>
        <w:pStyle w:val="NormalWeb"/>
        <w:tabs>
          <w:tab w:val="left" w:pos="3810"/>
        </w:tabs>
        <w:rPr>
          <w:b/>
          <w:bCs/>
          <w:sz w:val="22"/>
          <w:szCs w:val="22"/>
        </w:rPr>
      </w:pPr>
    </w:p>
    <w:p w14:paraId="687B438A" w14:textId="77777777" w:rsidR="007E38A6" w:rsidRDefault="007E38A6" w:rsidP="007E38A6">
      <w:pPr>
        <w:jc w:val="both"/>
        <w:rPr>
          <w:rFonts w:ascii="Times New Roman" w:hAnsi="Times New Roman"/>
          <w:b/>
          <w:bCs/>
        </w:rPr>
        <w:sectPr w:rsidR="007E38A6" w:rsidSect="007E38A6">
          <w:type w:val="continuous"/>
          <w:pgSz w:w="11906" w:h="16838"/>
          <w:pgMar w:top="1440" w:right="1440" w:bottom="1440" w:left="1440" w:header="708" w:footer="708" w:gutter="0"/>
          <w:cols w:space="708"/>
          <w:docGrid w:linePitch="360"/>
        </w:sectPr>
      </w:pPr>
    </w:p>
    <w:p w14:paraId="5BDAE7F6" w14:textId="77777777" w:rsidR="007E38A6" w:rsidRPr="00B46DDA" w:rsidRDefault="007E38A6" w:rsidP="007E38A6">
      <w:pPr>
        <w:jc w:val="both"/>
        <w:rPr>
          <w:rFonts w:ascii="Arial" w:hAnsi="Arial" w:cs="Arial"/>
          <w:b/>
          <w:bCs/>
        </w:rPr>
      </w:pPr>
      <w:r w:rsidRPr="00B46DDA">
        <w:rPr>
          <w:rFonts w:ascii="Arial" w:hAnsi="Arial" w:cs="Arial"/>
          <w:b/>
          <w:bCs/>
        </w:rPr>
        <w:t>3.5.2 Multiple Correspondence Analysis (MCA)</w:t>
      </w:r>
    </w:p>
    <w:p w14:paraId="7801B89B" w14:textId="64B3AD52" w:rsidR="007E38A6" w:rsidRPr="00B46DDA" w:rsidRDefault="007E38A6" w:rsidP="007E38A6">
      <w:pPr>
        <w:jc w:val="both"/>
        <w:rPr>
          <w:rFonts w:ascii="Arial" w:hAnsi="Arial" w:cs="Arial"/>
        </w:rPr>
        <w:sectPr w:rsidR="007E38A6" w:rsidRPr="00B46DDA" w:rsidSect="007E38A6">
          <w:type w:val="continuous"/>
          <w:pgSz w:w="11906" w:h="16838"/>
          <w:pgMar w:top="1440" w:right="1440" w:bottom="1440" w:left="1440" w:header="708" w:footer="708" w:gutter="0"/>
          <w:cols w:num="2" w:space="708"/>
          <w:docGrid w:linePitch="360"/>
        </w:sectPr>
      </w:pPr>
      <w:r w:rsidRPr="00B46DDA">
        <w:rPr>
          <w:rFonts w:ascii="Arial" w:hAnsi="Arial" w:cs="Arial"/>
        </w:rPr>
        <w:t xml:space="preserve">MCA was used to identify the multivariate associations among categorical variables and their contribution to adoption patterns. As </w:t>
      </w:r>
      <w:r w:rsidRPr="00B46DDA">
        <w:rPr>
          <w:rFonts w:ascii="Arial" w:hAnsi="Arial" w:cs="Arial"/>
        </w:rPr>
        <w:lastRenderedPageBreak/>
        <w:t xml:space="preserve">presented in </w:t>
      </w:r>
      <w:r>
        <w:rPr>
          <w:rFonts w:ascii="Arial" w:hAnsi="Arial" w:cs="Arial"/>
        </w:rPr>
        <w:t>(</w:t>
      </w:r>
      <w:r w:rsidRPr="00B46DDA">
        <w:rPr>
          <w:rFonts w:ascii="Arial" w:hAnsi="Arial" w:cs="Arial"/>
        </w:rPr>
        <w:t>Table 14</w:t>
      </w:r>
      <w:r>
        <w:rPr>
          <w:rFonts w:ascii="Arial" w:hAnsi="Arial" w:cs="Arial"/>
        </w:rPr>
        <w:t>)</w:t>
      </w:r>
      <w:r w:rsidRPr="00B46DDA">
        <w:rPr>
          <w:rFonts w:ascii="Arial" w:hAnsi="Arial" w:cs="Arial"/>
        </w:rPr>
        <w:t xml:space="preserve">, annual income (contribution = 0.497), occupation (0.331), and age (0.215) showed the highest explanatory power for innovation adoption. </w:t>
      </w:r>
      <w:r w:rsidR="00166CFA" w:rsidRPr="00166CFA">
        <w:rPr>
          <w:rFonts w:ascii="Arial" w:hAnsi="Arial" w:cs="Arial"/>
        </w:rPr>
        <w:t xml:space="preserve">The biplot (Figure 1) showed that </w:t>
      </w:r>
      <w:r w:rsidR="00166CFA" w:rsidRPr="00166CFA">
        <w:rPr>
          <w:rStyle w:val="Strong"/>
          <w:rFonts w:ascii="Arial" w:hAnsi="Arial" w:cs="Arial"/>
          <w:b w:val="0"/>
          <w:bCs w:val="0"/>
        </w:rPr>
        <w:t xml:space="preserve">high-income growers, those engaged in diversified occupations, and </w:t>
      </w:r>
      <w:r w:rsidR="00166CFA" w:rsidRPr="00166CFA">
        <w:rPr>
          <w:rStyle w:val="Strong"/>
          <w:rFonts w:ascii="Arial" w:hAnsi="Arial" w:cs="Arial"/>
          <w:b w:val="0"/>
          <w:bCs w:val="0"/>
        </w:rPr>
        <w:t>growers with medium-to-large landholdings were positioned close to the “High Adoption” quadrant</w:t>
      </w:r>
      <w:r w:rsidR="00166CFA" w:rsidRPr="00166CFA">
        <w:rPr>
          <w:rFonts w:ascii="Arial" w:hAnsi="Arial" w:cs="Arial"/>
        </w:rPr>
        <w:t>, indicating their stronger association with innovation uptake</w:t>
      </w:r>
      <w:r w:rsidRPr="00166CFA">
        <w:rPr>
          <w:rFonts w:ascii="Arial" w:hAnsi="Arial" w:cs="Arial"/>
        </w:rPr>
        <w:t>, while older and</w:t>
      </w:r>
      <w:r w:rsidRPr="00B46DDA">
        <w:rPr>
          <w:rFonts w:ascii="Arial" w:hAnsi="Arial" w:cs="Arial"/>
        </w:rPr>
        <w:t xml:space="preserve"> smallholding farmers were clustered near the “Low Adoption” category</w:t>
      </w:r>
      <w:r w:rsidR="005F1D5F">
        <w:rPr>
          <w:rFonts w:ascii="Arial" w:hAnsi="Arial" w:cs="Arial"/>
        </w:rPr>
        <w:t>.</w:t>
      </w:r>
    </w:p>
    <w:p w14:paraId="75141641" w14:textId="77777777" w:rsidR="007E38A6" w:rsidRPr="00B46DDA" w:rsidRDefault="007E38A6" w:rsidP="007E38A6">
      <w:pPr>
        <w:pStyle w:val="NormalWeb"/>
        <w:spacing w:after="0" w:afterAutospacing="0"/>
        <w:rPr>
          <w:rFonts w:ascii="Arial" w:hAnsi="Arial" w:cs="Arial"/>
          <w:b/>
          <w:bCs/>
          <w:sz w:val="20"/>
          <w:szCs w:val="20"/>
        </w:rPr>
        <w:sectPr w:rsidR="007E38A6" w:rsidRPr="00B46DDA" w:rsidSect="007E38A6">
          <w:type w:val="continuous"/>
          <w:pgSz w:w="11906" w:h="16838"/>
          <w:pgMar w:top="1440" w:right="1440" w:bottom="1440" w:left="1440" w:header="709" w:footer="709" w:gutter="0"/>
          <w:cols w:num="2" w:space="708"/>
          <w:docGrid w:linePitch="360"/>
        </w:sectPr>
      </w:pPr>
    </w:p>
    <w:p w14:paraId="1EA6B6DF" w14:textId="77777777" w:rsidR="007E38A6" w:rsidRDefault="007E38A6" w:rsidP="007E38A6">
      <w:pPr>
        <w:jc w:val="center"/>
        <w:rPr>
          <w:rFonts w:ascii="Arial" w:hAnsi="Arial" w:cs="Arial"/>
          <w:b/>
          <w:bCs/>
        </w:rPr>
      </w:pPr>
      <w:r w:rsidRPr="00B46DDA">
        <w:rPr>
          <w:rFonts w:ascii="Arial" w:hAnsi="Arial" w:cs="Arial"/>
          <w:b/>
          <w:bCs/>
        </w:rPr>
        <w:t>Table 14</w:t>
      </w:r>
      <w:r>
        <w:rPr>
          <w:rFonts w:ascii="Arial" w:hAnsi="Arial" w:cs="Arial"/>
          <w:b/>
          <w:bCs/>
        </w:rPr>
        <w:t>. C</w:t>
      </w:r>
      <w:r w:rsidRPr="00B46DDA">
        <w:rPr>
          <w:rFonts w:ascii="Arial" w:hAnsi="Arial" w:cs="Arial"/>
          <w:b/>
          <w:bCs/>
        </w:rPr>
        <w:t>olumn contributions of MCA</w:t>
      </w:r>
    </w:p>
    <w:p w14:paraId="7CC25B34" w14:textId="77777777" w:rsidR="007E38A6" w:rsidRPr="00B46DDA" w:rsidRDefault="007E38A6" w:rsidP="007E38A6">
      <w:pPr>
        <w:jc w:val="center"/>
        <w:rPr>
          <w:rFonts w:ascii="Arial" w:hAnsi="Arial" w:cs="Arial"/>
          <w:b/>
          <w:bCs/>
        </w:rPr>
      </w:pPr>
    </w:p>
    <w:tbl>
      <w:tblPr>
        <w:tblStyle w:val="PlainTable2"/>
        <w:tblpPr w:leftFromText="180" w:rightFromText="180" w:vertAnchor="text" w:horzAnchor="margin" w:tblpXSpec="center" w:tblpY="49"/>
        <w:tblW w:w="8691" w:type="dxa"/>
        <w:tblLook w:val="06A0" w:firstRow="1" w:lastRow="0" w:firstColumn="1" w:lastColumn="0" w:noHBand="1" w:noVBand="1"/>
      </w:tblPr>
      <w:tblGrid>
        <w:gridCol w:w="1770"/>
        <w:gridCol w:w="3822"/>
        <w:gridCol w:w="1501"/>
        <w:gridCol w:w="1598"/>
      </w:tblGrid>
      <w:tr w:rsidR="007E38A6" w:rsidRPr="00B46DDA" w14:paraId="4F56E85E" w14:textId="77777777" w:rsidTr="004F7869">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4731E40F" w14:textId="77777777" w:rsidR="007E38A6" w:rsidRPr="00B46DDA" w:rsidRDefault="007E38A6" w:rsidP="004F7869">
            <w:pPr>
              <w:jc w:val="center"/>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Variable</w:t>
            </w:r>
          </w:p>
        </w:tc>
        <w:tc>
          <w:tcPr>
            <w:tcW w:w="3822" w:type="dxa"/>
          </w:tcPr>
          <w:p w14:paraId="6006EB30" w14:textId="77777777" w:rsidR="007E38A6" w:rsidRPr="00562F1D"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562F1D">
              <w:rPr>
                <w:rFonts w:ascii="Arial" w:eastAsia="Times New Roman" w:hAnsi="Arial" w:cs="Arial"/>
                <w:kern w:val="0"/>
                <w:sz w:val="20"/>
                <w:szCs w:val="20"/>
                <w:lang w:val="en-US" w:eastAsia="en-IN"/>
              </w:rPr>
              <w:t>Categories</w:t>
            </w:r>
          </w:p>
        </w:tc>
        <w:tc>
          <w:tcPr>
            <w:tcW w:w="1501" w:type="dxa"/>
            <w:hideMark/>
          </w:tcPr>
          <w:p w14:paraId="0479852E" w14:textId="77777777" w:rsidR="007E38A6" w:rsidRPr="00B46DD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Dim 1 Contribution</w:t>
            </w:r>
          </w:p>
        </w:tc>
        <w:tc>
          <w:tcPr>
            <w:tcW w:w="1598" w:type="dxa"/>
            <w:hideMark/>
          </w:tcPr>
          <w:p w14:paraId="44F6E909" w14:textId="77777777" w:rsidR="007E38A6" w:rsidRPr="00B46DDA" w:rsidRDefault="007E38A6" w:rsidP="004F78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Dim 2 Contribution</w:t>
            </w:r>
          </w:p>
        </w:tc>
      </w:tr>
      <w:tr w:rsidR="007E38A6" w:rsidRPr="00B46DDA" w14:paraId="752D5929" w14:textId="77777777" w:rsidTr="004F7869">
        <w:trPr>
          <w:trHeight w:val="222"/>
        </w:trPr>
        <w:tc>
          <w:tcPr>
            <w:cnfStyle w:val="001000000000" w:firstRow="0" w:lastRow="0" w:firstColumn="1" w:lastColumn="0" w:oddVBand="0" w:evenVBand="0" w:oddHBand="0" w:evenHBand="0" w:firstRowFirstColumn="0" w:firstRowLastColumn="0" w:lastRowFirstColumn="0" w:lastRowLastColumn="0"/>
            <w:tcW w:w="1770" w:type="dxa"/>
            <w:hideMark/>
          </w:tcPr>
          <w:p w14:paraId="541D3FC7"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Age</w:t>
            </w:r>
          </w:p>
        </w:tc>
        <w:tc>
          <w:tcPr>
            <w:tcW w:w="3822" w:type="dxa"/>
          </w:tcPr>
          <w:p w14:paraId="0124A923"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Youth, middle age, senior age</w:t>
            </w:r>
          </w:p>
        </w:tc>
        <w:tc>
          <w:tcPr>
            <w:tcW w:w="1501" w:type="dxa"/>
            <w:hideMark/>
          </w:tcPr>
          <w:p w14:paraId="76795025"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0.215</w:t>
            </w:r>
          </w:p>
        </w:tc>
        <w:tc>
          <w:tcPr>
            <w:tcW w:w="1598" w:type="dxa"/>
            <w:hideMark/>
          </w:tcPr>
          <w:p w14:paraId="270490A2"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0.084</w:t>
            </w:r>
          </w:p>
        </w:tc>
      </w:tr>
      <w:tr w:rsidR="007E38A6" w:rsidRPr="00B46DDA" w14:paraId="730F343E" w14:textId="77777777" w:rsidTr="004F7869">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67C27094"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Education</w:t>
            </w:r>
          </w:p>
        </w:tc>
        <w:tc>
          <w:tcPr>
            <w:tcW w:w="3822" w:type="dxa"/>
          </w:tcPr>
          <w:p w14:paraId="2965D32E"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42635764"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0.188</w:t>
            </w:r>
          </w:p>
        </w:tc>
        <w:tc>
          <w:tcPr>
            <w:tcW w:w="1598" w:type="dxa"/>
            <w:hideMark/>
          </w:tcPr>
          <w:p w14:paraId="781C5C56"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0.073</w:t>
            </w:r>
          </w:p>
        </w:tc>
      </w:tr>
      <w:tr w:rsidR="007E38A6" w:rsidRPr="00B46DDA" w14:paraId="6CA7AAB5" w14:textId="77777777" w:rsidTr="004F7869">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29542908"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Occupation</w:t>
            </w:r>
          </w:p>
        </w:tc>
        <w:tc>
          <w:tcPr>
            <w:tcW w:w="3822" w:type="dxa"/>
          </w:tcPr>
          <w:p w14:paraId="1CB6F126"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Tea only, Tea + other business, non-agri</w:t>
            </w:r>
          </w:p>
        </w:tc>
        <w:tc>
          <w:tcPr>
            <w:tcW w:w="1501" w:type="dxa"/>
            <w:hideMark/>
          </w:tcPr>
          <w:p w14:paraId="314DFF18"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0.331</w:t>
            </w:r>
          </w:p>
        </w:tc>
        <w:tc>
          <w:tcPr>
            <w:tcW w:w="1598" w:type="dxa"/>
            <w:hideMark/>
          </w:tcPr>
          <w:p w14:paraId="18400FB7"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0.055</w:t>
            </w:r>
          </w:p>
        </w:tc>
      </w:tr>
      <w:tr w:rsidR="007E38A6" w:rsidRPr="00B46DDA" w14:paraId="34248142" w14:textId="77777777" w:rsidTr="004F7869">
        <w:trPr>
          <w:trHeight w:val="222"/>
        </w:trPr>
        <w:tc>
          <w:tcPr>
            <w:cnfStyle w:val="001000000000" w:firstRow="0" w:lastRow="0" w:firstColumn="1" w:lastColumn="0" w:oddVBand="0" w:evenVBand="0" w:oddHBand="0" w:evenHBand="0" w:firstRowFirstColumn="0" w:firstRowLastColumn="0" w:lastRowFirstColumn="0" w:lastRowLastColumn="0"/>
            <w:tcW w:w="1770" w:type="dxa"/>
            <w:hideMark/>
          </w:tcPr>
          <w:p w14:paraId="774CC9AD"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Area under tea</w:t>
            </w:r>
          </w:p>
        </w:tc>
        <w:tc>
          <w:tcPr>
            <w:tcW w:w="3822" w:type="dxa"/>
          </w:tcPr>
          <w:p w14:paraId="57E1EFA7"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11B3B29C"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0.165</w:t>
            </w:r>
          </w:p>
        </w:tc>
        <w:tc>
          <w:tcPr>
            <w:tcW w:w="1598" w:type="dxa"/>
            <w:hideMark/>
          </w:tcPr>
          <w:p w14:paraId="35D7D574"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0.005</w:t>
            </w:r>
          </w:p>
        </w:tc>
      </w:tr>
      <w:tr w:rsidR="007E38A6" w:rsidRPr="00B46DDA" w14:paraId="3EA033C1" w14:textId="77777777" w:rsidTr="004F7869">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777F8AB4"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Income</w:t>
            </w:r>
          </w:p>
        </w:tc>
        <w:tc>
          <w:tcPr>
            <w:tcW w:w="3822" w:type="dxa"/>
          </w:tcPr>
          <w:p w14:paraId="72F91166"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581D798D"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0.497</w:t>
            </w:r>
          </w:p>
        </w:tc>
        <w:tc>
          <w:tcPr>
            <w:tcW w:w="1598" w:type="dxa"/>
            <w:hideMark/>
          </w:tcPr>
          <w:p w14:paraId="7DCD0E08"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0.082</w:t>
            </w:r>
          </w:p>
        </w:tc>
      </w:tr>
      <w:tr w:rsidR="007E38A6" w:rsidRPr="00B46DDA" w14:paraId="4DE16654" w14:textId="77777777" w:rsidTr="004F7869">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22EE4DDB" w14:textId="77777777" w:rsidR="007E38A6" w:rsidRPr="00B46DDA" w:rsidRDefault="007E38A6" w:rsidP="004F7869">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Farm machinery</w:t>
            </w:r>
          </w:p>
        </w:tc>
        <w:tc>
          <w:tcPr>
            <w:tcW w:w="3822" w:type="dxa"/>
          </w:tcPr>
          <w:p w14:paraId="2B2D7CC3"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0B181325"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0.067</w:t>
            </w:r>
          </w:p>
        </w:tc>
        <w:tc>
          <w:tcPr>
            <w:tcW w:w="1598" w:type="dxa"/>
            <w:hideMark/>
          </w:tcPr>
          <w:p w14:paraId="35A31ECD" w14:textId="77777777" w:rsidR="007E38A6" w:rsidRPr="00B46DDA" w:rsidRDefault="007E38A6" w:rsidP="004F786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0.042</w:t>
            </w:r>
          </w:p>
        </w:tc>
      </w:tr>
    </w:tbl>
    <w:p w14:paraId="5B1F85C5" w14:textId="77777777" w:rsidR="007E38A6" w:rsidRDefault="007E38A6" w:rsidP="007E38A6">
      <w:pPr>
        <w:jc w:val="center"/>
        <w:rPr>
          <w:rFonts w:ascii="Arial" w:hAnsi="Arial" w:cs="Arial"/>
          <w:b/>
          <w:bCs/>
        </w:rPr>
      </w:pPr>
    </w:p>
    <w:p w14:paraId="635BCDED"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53F7E47F" w14:textId="7DA3CDD3" w:rsidR="007E38A6" w:rsidRPr="004C56D3" w:rsidRDefault="004C56D3" w:rsidP="007E38A6">
      <w:pPr>
        <w:jc w:val="both"/>
        <w:rPr>
          <w:rFonts w:ascii="Arial" w:hAnsi="Arial" w:cs="Arial"/>
        </w:rPr>
      </w:pPr>
      <w:r w:rsidRPr="004C56D3">
        <w:rPr>
          <w:rFonts w:ascii="Arial" w:hAnsi="Arial" w:cs="Arial"/>
        </w:rPr>
        <w:t xml:space="preserve">The MCA results underline that </w:t>
      </w:r>
      <w:r w:rsidRPr="004C56D3">
        <w:rPr>
          <w:rStyle w:val="Strong"/>
          <w:rFonts w:ascii="Arial" w:hAnsi="Arial" w:cs="Arial"/>
          <w:b w:val="0"/>
          <w:bCs w:val="0"/>
        </w:rPr>
        <w:t>income, occupation, and age</w:t>
      </w:r>
      <w:r w:rsidRPr="004C56D3">
        <w:rPr>
          <w:rFonts w:ascii="Arial" w:hAnsi="Arial" w:cs="Arial"/>
        </w:rPr>
        <w:t xml:space="preserve"> are the strongest contributors to adoption behaviour, followed by education and area under tea</w:t>
      </w:r>
      <w:r w:rsidR="00331217">
        <w:rPr>
          <w:rFonts w:ascii="Arial" w:hAnsi="Arial" w:cs="Arial"/>
        </w:rPr>
        <w:t xml:space="preserve"> cultivation</w:t>
      </w:r>
      <w:r w:rsidRPr="004C56D3">
        <w:rPr>
          <w:rFonts w:ascii="Arial" w:hAnsi="Arial" w:cs="Arial"/>
        </w:rPr>
        <w:t xml:space="preserve">. Farm machinery showed only a small influence. These variables explain a meaningful proportion of the variation in adoption behaviour, indicating that </w:t>
      </w:r>
      <w:r w:rsidRPr="004C56D3">
        <w:rPr>
          <w:rStyle w:val="Strong"/>
          <w:rFonts w:ascii="Arial" w:hAnsi="Arial" w:cs="Arial"/>
          <w:b w:val="0"/>
          <w:bCs w:val="0"/>
        </w:rPr>
        <w:t>income levels, livelihood patterns, and demographic attributes</w:t>
      </w:r>
      <w:r w:rsidRPr="004C56D3">
        <w:rPr>
          <w:rFonts w:ascii="Arial" w:hAnsi="Arial" w:cs="Arial"/>
        </w:rPr>
        <w:t xml:space="preserve"> </w:t>
      </w:r>
      <w:r w:rsidRPr="004C56D3">
        <w:rPr>
          <w:rFonts w:ascii="Arial" w:hAnsi="Arial" w:cs="Arial"/>
        </w:rPr>
        <w:t xml:space="preserve">play the most influential roles in shaping innovation adoption among small tea growers. </w:t>
      </w:r>
      <w:r w:rsidR="007E38A6" w:rsidRPr="004C56D3">
        <w:rPr>
          <w:rFonts w:ascii="Arial" w:hAnsi="Arial" w:cs="Arial"/>
        </w:rPr>
        <w:t xml:space="preserve">[31], who found that Sri Lankan smallholders with higher incomes and better awareness of recommended practices showed stronger adoption behaviour. Likewise, [32] observed that farmers with greater access to technology, training, and credit exhibited higher willingness to adopt new agricultural practices. </w:t>
      </w:r>
    </w:p>
    <w:p w14:paraId="6805CF73" w14:textId="77777777" w:rsidR="007E38A6" w:rsidRDefault="007E38A6" w:rsidP="007E38A6">
      <w:pPr>
        <w:rPr>
          <w:rFonts w:ascii="Arial" w:hAnsi="Arial" w:cs="Arial"/>
          <w:b/>
          <w:bCs/>
        </w:rPr>
        <w:sectPr w:rsidR="007E38A6" w:rsidSect="007E38A6">
          <w:type w:val="continuous"/>
          <w:pgSz w:w="11906" w:h="16838"/>
          <w:pgMar w:top="1440" w:right="1440" w:bottom="1440" w:left="1440" w:header="708" w:footer="708" w:gutter="0"/>
          <w:cols w:num="2" w:space="708"/>
          <w:docGrid w:linePitch="360"/>
        </w:sectPr>
      </w:pPr>
    </w:p>
    <w:p w14:paraId="41F45D86" w14:textId="22E99416" w:rsidR="007E38A6" w:rsidRDefault="007E38A6" w:rsidP="007E38A6">
      <w:pPr>
        <w:jc w:val="center"/>
        <w:rPr>
          <w:rFonts w:ascii="Arial" w:hAnsi="Arial" w:cs="Arial"/>
          <w:b/>
          <w:bCs/>
        </w:rPr>
      </w:pPr>
    </w:p>
    <w:p w14:paraId="56B4A2FD" w14:textId="75E2C3B1" w:rsidR="007E38A6" w:rsidRPr="00B46DDA" w:rsidRDefault="00281CD4" w:rsidP="007E38A6">
      <w:pPr>
        <w:jc w:val="center"/>
        <w:rPr>
          <w:rFonts w:ascii="Arial" w:hAnsi="Arial" w:cs="Arial"/>
          <w:b/>
          <w:bCs/>
        </w:rPr>
      </w:pPr>
      <w:r>
        <w:rPr>
          <w:b/>
          <w:bCs/>
          <w:noProof/>
        </w:rPr>
        <w:drawing>
          <wp:anchor distT="0" distB="0" distL="114300" distR="114300" simplePos="0" relativeHeight="251656192" behindDoc="0" locked="0" layoutInCell="1" allowOverlap="1" wp14:anchorId="011452B6" wp14:editId="06FB0530">
            <wp:simplePos x="0" y="0"/>
            <wp:positionH relativeFrom="margin">
              <wp:posOffset>1136650</wp:posOffset>
            </wp:positionH>
            <wp:positionV relativeFrom="paragraph">
              <wp:posOffset>40005</wp:posOffset>
            </wp:positionV>
            <wp:extent cx="3492500" cy="2020387"/>
            <wp:effectExtent l="0" t="0" r="0" b="0"/>
            <wp:wrapNone/>
            <wp:docPr id="668968696" name="Picture 210869525">
              <a:extLst xmlns:a="http://schemas.openxmlformats.org/drawingml/2006/main">
                <a:ext uri="{FF2B5EF4-FFF2-40B4-BE49-F238E27FC236}">
                  <a16:creationId xmlns:a16="http://schemas.microsoft.com/office/drawing/2014/main" id="{330F2C08-76D7-B41D-1182-E985581466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68696" name="Picture 210869525">
                      <a:extLst>
                        <a:ext uri="{FF2B5EF4-FFF2-40B4-BE49-F238E27FC236}">
                          <a16:creationId xmlns:a16="http://schemas.microsoft.com/office/drawing/2014/main" id="{330F2C08-76D7-B41D-1182-E985581466DB}"/>
                        </a:ext>
                      </a:extLst>
                    </pic:cNvPr>
                    <pic:cNvPicPr>
                      <a:picLocks noChangeAspect="1"/>
                    </pic:cNvPicPr>
                  </pic:nvPicPr>
                  <pic:blipFill rotWithShape="1">
                    <a:blip r:embed="rId16">
                      <a:extLst>
                        <a:ext uri="{28A0092B-C50C-407E-A947-70E740481C1C}">
                          <a14:useLocalDpi xmlns:a14="http://schemas.microsoft.com/office/drawing/2010/main" val="0"/>
                        </a:ext>
                      </a:extLst>
                    </a:blip>
                    <a:srcRect l="28055" t="8019" r="22468" b="12312"/>
                    <a:stretch/>
                  </pic:blipFill>
                  <pic:spPr bwMode="auto">
                    <a:xfrm>
                      <a:off x="0" y="0"/>
                      <a:ext cx="3492500" cy="2020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D9E6C" w14:textId="186B9068" w:rsidR="007E38A6" w:rsidRPr="00B46DDA" w:rsidRDefault="007E38A6" w:rsidP="007E38A6">
      <w:pPr>
        <w:pStyle w:val="NormalWeb"/>
        <w:spacing w:after="0" w:afterAutospacing="0"/>
        <w:rPr>
          <w:rFonts w:ascii="Arial" w:hAnsi="Arial" w:cs="Arial"/>
          <w:b/>
          <w:bCs/>
          <w:sz w:val="20"/>
          <w:szCs w:val="20"/>
        </w:rPr>
      </w:pPr>
    </w:p>
    <w:p w14:paraId="53137F42" w14:textId="29206B8D" w:rsidR="007E38A6" w:rsidRPr="00B46DDA" w:rsidRDefault="003F3A2F" w:rsidP="007E38A6">
      <w:pPr>
        <w:pStyle w:val="NormalWeb"/>
        <w:rPr>
          <w:rFonts w:ascii="Arial" w:hAnsi="Arial" w:cs="Arial"/>
          <w:b/>
          <w:bCs/>
          <w:sz w:val="20"/>
          <w:szCs w:val="20"/>
        </w:rPr>
      </w:pPr>
      <w:r>
        <w:rPr>
          <w:noProof/>
        </w:rPr>
        <mc:AlternateContent>
          <mc:Choice Requires="wps">
            <w:drawing>
              <wp:anchor distT="45720" distB="45720" distL="114300" distR="114300" simplePos="0" relativeHeight="251663360" behindDoc="0" locked="0" layoutInCell="1" allowOverlap="1" wp14:anchorId="13414C61" wp14:editId="39CA836B">
                <wp:simplePos x="0" y="0"/>
                <wp:positionH relativeFrom="column">
                  <wp:posOffset>-239395</wp:posOffset>
                </wp:positionH>
                <wp:positionV relativeFrom="paragraph">
                  <wp:posOffset>334010</wp:posOffset>
                </wp:positionV>
                <wp:extent cx="1383030" cy="347345"/>
                <wp:effectExtent l="8255" t="8255" r="8890" b="6350"/>
                <wp:wrapSquare wrapText="bothSides"/>
                <wp:docPr id="1610951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347345"/>
                        </a:xfrm>
                        <a:prstGeom prst="rect">
                          <a:avLst/>
                        </a:prstGeom>
                        <a:solidFill>
                          <a:srgbClr val="FFFFFF"/>
                        </a:solidFill>
                        <a:ln w="9525">
                          <a:solidFill>
                            <a:srgbClr val="FFFFFF"/>
                          </a:solidFill>
                          <a:miter lim="800000"/>
                          <a:headEnd/>
                          <a:tailEnd/>
                        </a:ln>
                      </wps:spPr>
                      <wps:txbx>
                        <w:txbxContent>
                          <w:p w14:paraId="60A45B7E" w14:textId="7283063C" w:rsidR="004F7869" w:rsidRPr="00281CD4" w:rsidRDefault="004F7869" w:rsidP="00281CD4">
                            <w:pPr>
                              <w:jc w:val="center"/>
                              <w:rPr>
                                <w:rFonts w:ascii="Arial" w:hAnsi="Arial" w:cs="Arial"/>
                                <w:lang w:val="en-IN"/>
                              </w:rPr>
                            </w:pPr>
                            <w:r w:rsidRPr="00281CD4">
                              <w:rPr>
                                <w:rFonts w:ascii="Arial" w:hAnsi="Arial" w:cs="Arial"/>
                                <w:lang w:val="en-IN"/>
                              </w:rPr>
                              <w:t>Dimension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14C61" id="_x0000_t202" coordsize="21600,21600" o:spt="202" path="m,l,21600r21600,l21600,xe">
                <v:stroke joinstyle="miter"/>
                <v:path gradientshapeok="t" o:connecttype="rect"/>
              </v:shapetype>
              <v:shape id="Text Box 2" o:spid="_x0000_s1026" type="#_x0000_t202" style="position:absolute;margin-left:-18.85pt;margin-top:26.3pt;width:108.9pt;height:2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IeLAIAAFkEAAAOAAAAZHJzL2Uyb0RvYy54bWysVNtu2zAMfR+wfxD0vtjOrYkRp+jSZRjQ&#10;XYB2HyDLsi1MFjVJiZ19/Sg5TbPtrZgfBFKkDslD0pvboVPkKKyToAuaTVJKhOZQSd0U9PvT/t2K&#10;EueZrpgCLQp6Eo7ebt++2fQmF1NoQVXCEgTRLu9NQVvvTZ4kjreiY24CRmg01mA75lG1TVJZ1iN6&#10;p5Jpmi6THmxlLHDhHN7ej0a6jfh1Lbj/WtdOeKIKirn5eNp4luFMthuWN5aZVvJzGuwVWXRMagx6&#10;gbpnnpGDlf9AdZJbcFD7CYcugbqWXMQasJos/auax5YZEWtBcpy50OT+Hyz/cvxmiaywd8ssXS+y&#10;+TKjRLMOe/UkBk/ew0CmgabeuBy9Hw36+wGv8Uks2ZkH4D8c0bBrmW7EnbXQt4JVmGYWXiZXT0cc&#10;F0DK/jNUGIYdPESgobZd4BBZIYiO7TpdWhRS4SHkbDVLZ2jiaJvNb2bzRQzB8ufXxjr/UUBHglBQ&#10;iyMQ0dnxwfmQDcufXUIwB0pWe6lUVGxT7pQlR4bjso/fGf0PN6VJX9D1YroYCXgFRCc9zr2SXUFX&#10;afhCHJYH2j7oKsqeSTXKmLLSZx4DdSOJfigHdAzkllCdkFEL43zjPqLQgv1FSY+zXVD388CsoER9&#10;0tiVdTafh2WIynxxM0XFXlvKawvTHKEK6ikZxZ0fF+hgrGxajDTOgYY77GQtI8kvWZ3zxvmN3J93&#10;LSzItR69Xv4I298AAAD//wMAUEsDBBQABgAIAAAAIQAOdsy63wAAAAoBAAAPAAAAZHJzL2Rvd25y&#10;ZXYueG1sTI/BTsMwDIbvSLxDZCQuaEvWiXUqdadpAnHe4MIta7y2onHaJls7np7sBDdb/vT7+/PN&#10;ZFtxocE3jhEWcwWCuHSm4Qrh8+Nttgbhg2ajW8eEcCUPm+L+LteZcSPv6XIIlYgh7DONUIfQZVL6&#10;siar/dx1xPF2coPVIa5DJc2gxxhuW5kotZJWNxw/1LqjXU3l9+FsEdz4erWOepU8ff3Y992235+S&#10;HvHxYdq+gAg0hT8YbvpRHYrodHRnNl60CLNlmkYU4TlZgbgBa7UAcYyDSpcgi1z+r1D8AgAA//8D&#10;AFBLAQItABQABgAIAAAAIQC2gziS/gAAAOEBAAATAAAAAAAAAAAAAAAAAAAAAABbQ29udGVudF9U&#10;eXBlc10ueG1sUEsBAi0AFAAGAAgAAAAhADj9If/WAAAAlAEAAAsAAAAAAAAAAAAAAAAALwEAAF9y&#10;ZWxzLy5yZWxzUEsBAi0AFAAGAAgAAAAhABwd0h4sAgAAWQQAAA4AAAAAAAAAAAAAAAAALgIAAGRy&#10;cy9lMm9Eb2MueG1sUEsBAi0AFAAGAAgAAAAhAA52zLrfAAAACgEAAA8AAAAAAAAAAAAAAAAAhgQA&#10;AGRycy9kb3ducmV2LnhtbFBLBQYAAAAABAAEAPMAAACSBQAAAAA=&#10;" strokecolor="white">
                <v:textbox>
                  <w:txbxContent>
                    <w:p w14:paraId="60A45B7E" w14:textId="7283063C" w:rsidR="004F7869" w:rsidRPr="00281CD4" w:rsidRDefault="004F7869" w:rsidP="00281CD4">
                      <w:pPr>
                        <w:jc w:val="center"/>
                        <w:rPr>
                          <w:rFonts w:ascii="Arial" w:hAnsi="Arial" w:cs="Arial"/>
                          <w:lang w:val="en-IN"/>
                        </w:rPr>
                      </w:pPr>
                      <w:r w:rsidRPr="00281CD4">
                        <w:rPr>
                          <w:rFonts w:ascii="Arial" w:hAnsi="Arial" w:cs="Arial"/>
                          <w:lang w:val="en-IN"/>
                        </w:rPr>
                        <w:t>Dimension 2</w:t>
                      </w:r>
                    </w:p>
                  </w:txbxContent>
                </v:textbox>
                <w10:wrap type="square"/>
              </v:shape>
            </w:pict>
          </mc:Fallback>
        </mc:AlternateContent>
      </w:r>
    </w:p>
    <w:p w14:paraId="2E05E1B7" w14:textId="4351CCAF" w:rsidR="007E38A6" w:rsidRPr="00B46DDA" w:rsidRDefault="007E38A6" w:rsidP="007E38A6">
      <w:pPr>
        <w:pStyle w:val="NormalWeb"/>
        <w:tabs>
          <w:tab w:val="left" w:pos="4213"/>
          <w:tab w:val="center" w:pos="4513"/>
        </w:tabs>
        <w:rPr>
          <w:rFonts w:ascii="Arial" w:hAnsi="Arial" w:cs="Arial"/>
          <w:b/>
          <w:bCs/>
          <w:sz w:val="20"/>
          <w:szCs w:val="20"/>
        </w:rPr>
      </w:pPr>
      <w:r w:rsidRPr="00B46DDA">
        <w:rPr>
          <w:rFonts w:ascii="Arial" w:hAnsi="Arial" w:cs="Arial"/>
          <w:b/>
          <w:bCs/>
          <w:sz w:val="20"/>
          <w:szCs w:val="20"/>
        </w:rPr>
        <w:tab/>
      </w:r>
    </w:p>
    <w:p w14:paraId="32B1020C" w14:textId="77777777" w:rsidR="007E38A6" w:rsidRPr="00B46DDA" w:rsidRDefault="007E38A6" w:rsidP="007E38A6">
      <w:pPr>
        <w:rPr>
          <w:rFonts w:ascii="Arial" w:hAnsi="Arial" w:cs="Arial"/>
          <w:lang w:eastAsia="en-IN"/>
        </w:rPr>
        <w:sectPr w:rsidR="007E38A6" w:rsidRPr="00B46DDA" w:rsidSect="007E38A6">
          <w:type w:val="continuous"/>
          <w:pgSz w:w="11906" w:h="16838"/>
          <w:pgMar w:top="1440" w:right="1440" w:bottom="1440" w:left="1440" w:header="708" w:footer="708" w:gutter="0"/>
          <w:cols w:space="708"/>
          <w:docGrid w:linePitch="360"/>
        </w:sectPr>
      </w:pPr>
    </w:p>
    <w:p w14:paraId="4BA854A9" w14:textId="77777777" w:rsidR="007E38A6" w:rsidRDefault="007E38A6" w:rsidP="007E38A6">
      <w:pPr>
        <w:jc w:val="center"/>
        <w:rPr>
          <w:rFonts w:ascii="Arial" w:hAnsi="Arial" w:cs="Arial"/>
          <w:b/>
          <w:bCs/>
        </w:rPr>
      </w:pPr>
    </w:p>
    <w:p w14:paraId="13C4AA1E" w14:textId="77777777" w:rsidR="007E38A6" w:rsidRPr="00EA7EB2" w:rsidRDefault="007E38A6" w:rsidP="007E38A6">
      <w:pPr>
        <w:jc w:val="center"/>
        <w:rPr>
          <w:rFonts w:ascii="Arial" w:hAnsi="Arial" w:cs="Arial"/>
          <w:b/>
          <w:bCs/>
        </w:rPr>
      </w:pPr>
    </w:p>
    <w:p w14:paraId="7ABF08C0" w14:textId="77777777" w:rsidR="007E38A6" w:rsidRPr="00B46DDA" w:rsidRDefault="007E38A6" w:rsidP="007E38A6">
      <w:pPr>
        <w:jc w:val="both"/>
        <w:rPr>
          <w:rFonts w:ascii="Arial" w:hAnsi="Arial" w:cs="Arial"/>
          <w:sz w:val="18"/>
          <w:szCs w:val="18"/>
        </w:rPr>
      </w:pPr>
    </w:p>
    <w:p w14:paraId="0DBFB560" w14:textId="77777777" w:rsidR="007E38A6" w:rsidRPr="00B46DDA" w:rsidRDefault="007E38A6" w:rsidP="007E38A6">
      <w:pPr>
        <w:jc w:val="both"/>
        <w:rPr>
          <w:rFonts w:ascii="Arial" w:hAnsi="Arial" w:cs="Arial"/>
          <w:sz w:val="18"/>
          <w:szCs w:val="18"/>
        </w:rPr>
      </w:pPr>
    </w:p>
    <w:p w14:paraId="0E9DCEAA" w14:textId="77777777" w:rsidR="007E38A6" w:rsidRPr="00B46DDA" w:rsidRDefault="007E38A6" w:rsidP="007E38A6">
      <w:pPr>
        <w:jc w:val="both"/>
        <w:rPr>
          <w:rFonts w:ascii="Arial" w:hAnsi="Arial" w:cs="Arial"/>
          <w:sz w:val="18"/>
          <w:szCs w:val="18"/>
        </w:rPr>
      </w:pPr>
    </w:p>
    <w:p w14:paraId="570DF85E" w14:textId="77777777" w:rsidR="007E38A6" w:rsidRDefault="007E38A6" w:rsidP="007E38A6">
      <w:pPr>
        <w:jc w:val="both"/>
        <w:rPr>
          <w:rFonts w:ascii="Arial" w:hAnsi="Arial" w:cs="Arial"/>
        </w:rPr>
      </w:pPr>
    </w:p>
    <w:p w14:paraId="4DFE1938" w14:textId="77777777" w:rsidR="007E38A6" w:rsidRDefault="007E38A6" w:rsidP="007E38A6">
      <w:pPr>
        <w:jc w:val="both"/>
        <w:rPr>
          <w:rFonts w:ascii="Arial" w:hAnsi="Arial" w:cs="Arial"/>
        </w:rPr>
      </w:pPr>
    </w:p>
    <w:p w14:paraId="281A68D7" w14:textId="77777777" w:rsidR="007E38A6" w:rsidRDefault="007E38A6" w:rsidP="007E38A6">
      <w:pPr>
        <w:tabs>
          <w:tab w:val="left" w:pos="3118"/>
        </w:tabs>
        <w:jc w:val="both"/>
        <w:rPr>
          <w:rFonts w:ascii="Arial" w:hAnsi="Arial" w:cs="Arial"/>
          <w:sz w:val="18"/>
          <w:szCs w:val="18"/>
        </w:rPr>
        <w:sectPr w:rsidR="007E38A6" w:rsidSect="007E38A6">
          <w:type w:val="continuous"/>
          <w:pgSz w:w="11906" w:h="16838"/>
          <w:pgMar w:top="1440" w:right="1440" w:bottom="1440" w:left="1440" w:header="708" w:footer="708" w:gutter="0"/>
          <w:cols w:num="2" w:space="708"/>
          <w:docGrid w:linePitch="360"/>
        </w:sectPr>
      </w:pPr>
    </w:p>
    <w:p w14:paraId="1834BE60" w14:textId="77777777" w:rsidR="007E38A6" w:rsidRDefault="007E38A6" w:rsidP="007E38A6">
      <w:pPr>
        <w:tabs>
          <w:tab w:val="left" w:pos="3118"/>
        </w:tabs>
        <w:jc w:val="both"/>
        <w:rPr>
          <w:rFonts w:ascii="Arial" w:hAnsi="Arial" w:cs="Arial"/>
          <w:sz w:val="18"/>
          <w:szCs w:val="18"/>
        </w:rPr>
        <w:sectPr w:rsidR="007E38A6" w:rsidSect="007E38A6">
          <w:type w:val="continuous"/>
          <w:pgSz w:w="11906" w:h="16838"/>
          <w:pgMar w:top="1440" w:right="1440" w:bottom="1440" w:left="1440" w:header="708" w:footer="708" w:gutter="0"/>
          <w:cols w:num="2" w:space="708"/>
          <w:docGrid w:linePitch="360"/>
        </w:sectPr>
      </w:pPr>
    </w:p>
    <w:p w14:paraId="3A781A2E" w14:textId="45B15FBD" w:rsidR="007E38A6" w:rsidRPr="00A6144A" w:rsidRDefault="003F3A2F" w:rsidP="007E38A6">
      <w:pPr>
        <w:tabs>
          <w:tab w:val="left" w:pos="3118"/>
        </w:tabs>
        <w:jc w:val="both"/>
        <w:rPr>
          <w:rFonts w:ascii="Arial" w:hAnsi="Arial" w:cs="Arial"/>
          <w:sz w:val="18"/>
          <w:szCs w:val="18"/>
        </w:rPr>
        <w:sectPr w:rsidR="007E38A6" w:rsidRPr="00A6144A" w:rsidSect="007E38A6">
          <w:type w:val="continuous"/>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61312" behindDoc="0" locked="0" layoutInCell="1" allowOverlap="1" wp14:anchorId="31A9F63C" wp14:editId="03393BA2">
                <wp:simplePos x="0" y="0"/>
                <wp:positionH relativeFrom="margin">
                  <wp:posOffset>1901190</wp:posOffset>
                </wp:positionH>
                <wp:positionV relativeFrom="paragraph">
                  <wp:posOffset>70485</wp:posOffset>
                </wp:positionV>
                <wp:extent cx="1929130" cy="237490"/>
                <wp:effectExtent l="0" t="0" r="0" b="0"/>
                <wp:wrapNone/>
                <wp:docPr id="13882414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237490"/>
                        </a:xfrm>
                        <a:prstGeom prst="rect">
                          <a:avLst/>
                        </a:prstGeom>
                        <a:noFill/>
                      </wps:spPr>
                      <wps:txbx>
                        <w:txbxContent>
                          <w:p w14:paraId="628B796A" w14:textId="77777777" w:rsidR="004F7869" w:rsidRPr="00EA7EB2" w:rsidRDefault="004F7869" w:rsidP="007E38A6">
                            <w:pPr>
                              <w:jc w:val="center"/>
                              <w:rPr>
                                <w:rFonts w:ascii="Arial" w:hAnsi="Arial" w:cs="Arial"/>
                                <w:color w:val="000000" w:themeColor="text1"/>
                                <w:kern w:val="24"/>
                              </w:rPr>
                            </w:pPr>
                            <w:r w:rsidRPr="00EA7EB2">
                              <w:rPr>
                                <w:rFonts w:ascii="Arial" w:hAnsi="Arial" w:cs="Arial"/>
                                <w:color w:val="000000" w:themeColor="text1"/>
                                <w:kern w:val="24"/>
                              </w:rPr>
                              <w:t>Dimension 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1A9F63C" id="Text Box 1" o:spid="_x0000_s1027" type="#_x0000_t202" style="position:absolute;left:0;text-align:left;margin-left:149.7pt;margin-top:5.55pt;width:151.9pt;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wUqQEAADcDAAAOAAAAZHJzL2Uyb0RvYy54bWysUsFu2zAMvQ/YPwi6L46dYE2MOMW2orsU&#10;24C2H6DIUizUEjVRiZ2/HyUnabHdhl5kS3x85OPj5na0PTuqgAZcw8vZnDPlJLTG7Rv+/HT/acUZ&#10;RuFa0YNTDT8p5Lfbjx82g69VBR30rQqMSBzWg294F6OviwJlp6zAGXjlKKghWBHpGvZFG8RA7LYv&#10;qvn8czFAaH0AqRDp9W4K8m3m11rJ+FNrVJH1DafeYj5DPnfpLLYbUe+D8J2R5zbEf3RhhXFU9Ep1&#10;J6Jgh2D+obJGBkDQcSbBFqC1kSprIDXl/C81j53wKmuh4aC/jgnfj1b+OP4KzLTk3WK1qpbl8mbJ&#10;mROWvHpSY2RfYWRlGtPgsSb0oyd8HOmZUrJk9A8gX5AgxRvMlICETmMZdbDpS4IZJZITp+v0UxWZ&#10;2NbVulxQSFKsWtws19me4jXbB4zfFViWfhoeyN3cgTg+YEz1RX2BpGIO7k3fX/qaWkkdxnE3TpIv&#10;unbQnkjWQHvQcPx9EEFxFmL/DfLaJDL0Xw6RCHOdxDLlnEWTO7n8eZOS/W/vGfW679s/AAAA//8D&#10;AFBLAwQUAAYACAAAACEA8TURo94AAAAJAQAADwAAAGRycy9kb3ducmV2LnhtbEyPy07DMBBF90j8&#10;gzVI7Kid0FZtiFNVPCQWbChhP41NHBGPo9ht0r9nWMFydI/uPVPuZt+Lsx1jF0hDtlAgLDXBdNRq&#10;qD9e7jYgYkIy2AeyGi42wq66viqxMGGid3s+pFZwCcUCNbiUhkLK2DjrMS7CYImzrzB6THyOrTQj&#10;Tlzue5krtZYeO+IFh4N9dLb5Ppy8hpTMPrvUzz6+fs5vT5NTzQprrW9v5v0DiGTn9AfDrz6rQ8VO&#10;x3AiE0WvId9ul4xykGUgGFir+xzEUcNyswJZlfL/B9UPAAAA//8DAFBLAQItABQABgAIAAAAIQC2&#10;gziS/gAAAOEBAAATAAAAAAAAAAAAAAAAAAAAAABbQ29udGVudF9UeXBlc10ueG1sUEsBAi0AFAAG&#10;AAgAAAAhADj9If/WAAAAlAEAAAsAAAAAAAAAAAAAAAAALwEAAF9yZWxzLy5yZWxzUEsBAi0AFAAG&#10;AAgAAAAhAFfJ/BSpAQAANwMAAA4AAAAAAAAAAAAAAAAALgIAAGRycy9lMm9Eb2MueG1sUEsBAi0A&#10;FAAGAAgAAAAhAPE1EaPeAAAACQEAAA8AAAAAAAAAAAAAAAAAAwQAAGRycy9kb3ducmV2LnhtbFBL&#10;BQYAAAAABAAEAPMAAAAOBQAAAAA=&#10;" filled="f" stroked="f">
                <v:textbox style="mso-fit-shape-to-text:t">
                  <w:txbxContent>
                    <w:p w14:paraId="628B796A" w14:textId="77777777" w:rsidR="004F7869" w:rsidRPr="00EA7EB2" w:rsidRDefault="004F7869" w:rsidP="007E38A6">
                      <w:pPr>
                        <w:jc w:val="center"/>
                        <w:rPr>
                          <w:rFonts w:ascii="Arial" w:hAnsi="Arial" w:cs="Arial"/>
                          <w:color w:val="000000" w:themeColor="text1"/>
                          <w:kern w:val="24"/>
                        </w:rPr>
                      </w:pPr>
                      <w:r w:rsidRPr="00EA7EB2">
                        <w:rPr>
                          <w:rFonts w:ascii="Arial" w:hAnsi="Arial" w:cs="Arial"/>
                          <w:color w:val="000000" w:themeColor="text1"/>
                          <w:kern w:val="24"/>
                        </w:rPr>
                        <w:t>Dimension 1</w:t>
                      </w:r>
                    </w:p>
                  </w:txbxContent>
                </v:textbox>
                <w10:wrap anchorx="margin"/>
              </v:shape>
            </w:pict>
          </mc:Fallback>
        </mc:AlternateContent>
      </w:r>
    </w:p>
    <w:p w14:paraId="2C911E1E" w14:textId="77777777" w:rsidR="007E38A6" w:rsidRDefault="007E38A6" w:rsidP="007E38A6">
      <w:pPr>
        <w:jc w:val="center"/>
        <w:rPr>
          <w:rFonts w:ascii="Arial" w:hAnsi="Arial" w:cs="Arial"/>
        </w:rPr>
      </w:pPr>
    </w:p>
    <w:p w14:paraId="563D42B5" w14:textId="77777777" w:rsidR="007E38A6" w:rsidRPr="001620AE" w:rsidRDefault="007E38A6" w:rsidP="007E38A6">
      <w:pPr>
        <w:tabs>
          <w:tab w:val="center" w:pos="4513"/>
        </w:tabs>
        <w:rPr>
          <w:rFonts w:ascii="Arial" w:hAnsi="Arial" w:cs="Arial"/>
        </w:rPr>
        <w:sectPr w:rsidR="007E38A6" w:rsidRPr="001620AE" w:rsidSect="007E38A6">
          <w:type w:val="continuous"/>
          <w:pgSz w:w="11906" w:h="16838"/>
          <w:pgMar w:top="1440" w:right="1440" w:bottom="1440" w:left="1440" w:header="708" w:footer="708" w:gutter="0"/>
          <w:cols w:space="708"/>
          <w:docGrid w:linePitch="360"/>
        </w:sectPr>
      </w:pPr>
    </w:p>
    <w:p w14:paraId="2AB00D19" w14:textId="77777777" w:rsidR="00281CD4" w:rsidRDefault="00281CD4" w:rsidP="007E38A6">
      <w:pPr>
        <w:jc w:val="center"/>
        <w:rPr>
          <w:rFonts w:ascii="Arial" w:hAnsi="Arial" w:cs="Arial"/>
          <w:b/>
          <w:bCs/>
        </w:rPr>
      </w:pPr>
    </w:p>
    <w:p w14:paraId="0735037B" w14:textId="08BF3710" w:rsidR="007E38A6" w:rsidRDefault="007E38A6" w:rsidP="007E38A6">
      <w:pPr>
        <w:jc w:val="center"/>
        <w:rPr>
          <w:rFonts w:ascii="Arial" w:hAnsi="Arial" w:cs="Arial"/>
          <w:b/>
          <w:bCs/>
        </w:rPr>
      </w:pPr>
      <w:r w:rsidRPr="001620AE">
        <w:rPr>
          <w:rFonts w:ascii="Arial" w:hAnsi="Arial" w:cs="Arial"/>
          <w:b/>
          <w:bCs/>
        </w:rPr>
        <w:t>Fig. 1. Joint plot of category points obtained from Multiple Correspondence Analysis (MCA)</w:t>
      </w:r>
    </w:p>
    <w:p w14:paraId="17D3447A" w14:textId="77777777" w:rsidR="007E38A6" w:rsidRDefault="007E38A6" w:rsidP="007E38A6">
      <w:pPr>
        <w:jc w:val="center"/>
        <w:rPr>
          <w:rFonts w:ascii="Arial" w:hAnsi="Arial" w:cs="Arial"/>
          <w:b/>
          <w:bCs/>
        </w:rPr>
      </w:pPr>
    </w:p>
    <w:p w14:paraId="1EF6B80A" w14:textId="77777777" w:rsidR="007E38A6" w:rsidRPr="009806D7" w:rsidRDefault="007E38A6" w:rsidP="007E38A6">
      <w:pPr>
        <w:jc w:val="center"/>
        <w:rPr>
          <w:rFonts w:ascii="Arial" w:hAnsi="Arial" w:cs="Arial"/>
        </w:rPr>
      </w:pPr>
      <w:r>
        <w:rPr>
          <w:rFonts w:ascii="Arial" w:hAnsi="Arial" w:cs="Arial"/>
        </w:rPr>
        <w:t>(</w:t>
      </w:r>
      <w:r w:rsidRPr="009806D7">
        <w:rPr>
          <w:rFonts w:ascii="Arial" w:hAnsi="Arial" w:cs="Arial"/>
        </w:rPr>
        <w:t>The figure shows the spatial association of variables influencing innovation adoption among small tea growers. Categories positioned closer indicate stronger relationships, with high adoption linked to higher income, larger area, and mechanization, while low education and low mechanization align with low adoption</w:t>
      </w:r>
      <w:r>
        <w:rPr>
          <w:rFonts w:ascii="Arial" w:hAnsi="Arial" w:cs="Arial"/>
        </w:rPr>
        <w:t>)</w:t>
      </w:r>
    </w:p>
    <w:p w14:paraId="79FF288D" w14:textId="77777777" w:rsidR="007E38A6" w:rsidRDefault="007E38A6" w:rsidP="007E38A6">
      <w:pPr>
        <w:jc w:val="both"/>
      </w:pPr>
    </w:p>
    <w:p w14:paraId="4CC3B005"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6671BBF1" w14:textId="6A245ECA" w:rsidR="00166CFA" w:rsidRDefault="00F4546C" w:rsidP="00722EA5">
      <w:pPr>
        <w:ind w:left="142" w:right="-142" w:firstLine="142"/>
        <w:jc w:val="both"/>
        <w:rPr>
          <w:rFonts w:ascii="Arial" w:hAnsi="Arial" w:cs="Arial"/>
        </w:rPr>
      </w:pPr>
      <w:r w:rsidRPr="00E85A96">
        <w:rPr>
          <w:rFonts w:ascii="Arial" w:hAnsi="Arial" w:cs="Arial"/>
        </w:rPr>
        <w:t xml:space="preserve">The study </w:t>
      </w:r>
      <w:r w:rsidR="00294818" w:rsidRPr="00E85A96">
        <w:rPr>
          <w:rFonts w:ascii="Arial" w:hAnsi="Arial" w:cs="Arial"/>
        </w:rPr>
        <w:t>analyzing</w:t>
      </w:r>
      <w:r w:rsidRPr="00E85A96">
        <w:rPr>
          <w:rFonts w:ascii="Arial" w:hAnsi="Arial" w:cs="Arial"/>
        </w:rPr>
        <w:t xml:space="preserve"> the adoption of social and technological innovations among small tea growers (STGs) in Tamil Nadu and Kerala underscores the influence of socio-economic and agro-ecological factors on growers’ innovation behaviour. Data collected from 150 </w:t>
      </w:r>
      <w:r w:rsidRPr="00E85A96">
        <w:rPr>
          <w:rFonts w:ascii="Arial" w:hAnsi="Arial" w:cs="Arial"/>
        </w:rPr>
        <w:t xml:space="preserve">small tea growers were </w:t>
      </w:r>
      <w:r w:rsidR="00294818" w:rsidRPr="00E85A96">
        <w:rPr>
          <w:rFonts w:ascii="Arial" w:hAnsi="Arial" w:cs="Arial"/>
        </w:rPr>
        <w:t>analyzed</w:t>
      </w:r>
      <w:r w:rsidRPr="00E85A96">
        <w:rPr>
          <w:rFonts w:ascii="Arial" w:hAnsi="Arial" w:cs="Arial"/>
        </w:rPr>
        <w:t xml:space="preserve"> using an adoption index, correlation analysis, and Multiple Correspondence Analysis (MCA). The results revealed that the majority of growers displayed a medium level of innovation adoption, indicating steady </w:t>
      </w:r>
      <w:r w:rsidRPr="00E85A96">
        <w:rPr>
          <w:rFonts w:ascii="Arial" w:hAnsi="Arial" w:cs="Arial"/>
        </w:rPr>
        <w:lastRenderedPageBreak/>
        <w:t xml:space="preserve">diffusion of improved practices in the small tea sector. Technological innovations such as </w:t>
      </w:r>
      <w:r>
        <w:rPr>
          <w:rFonts w:ascii="Arial" w:hAnsi="Arial" w:cs="Arial"/>
        </w:rPr>
        <w:t>input management practices</w:t>
      </w:r>
      <w:r w:rsidRPr="00E85A96">
        <w:rPr>
          <w:rFonts w:ascii="Arial" w:hAnsi="Arial" w:cs="Arial"/>
        </w:rPr>
        <w:t xml:space="preserve"> (</w:t>
      </w:r>
      <w:r>
        <w:rPr>
          <w:rFonts w:ascii="Arial" w:hAnsi="Arial" w:cs="Arial"/>
        </w:rPr>
        <w:t>98</w:t>
      </w:r>
      <w:r w:rsidRPr="00E85A96">
        <w:rPr>
          <w:rFonts w:ascii="Arial" w:hAnsi="Arial" w:cs="Arial"/>
        </w:rPr>
        <w:t>%), shade-tree management</w:t>
      </w:r>
      <w:r>
        <w:rPr>
          <w:rFonts w:ascii="Arial" w:hAnsi="Arial" w:cs="Arial"/>
        </w:rPr>
        <w:t xml:space="preserve"> practices </w:t>
      </w:r>
      <w:r w:rsidRPr="00E85A96">
        <w:rPr>
          <w:rFonts w:ascii="Arial" w:hAnsi="Arial" w:cs="Arial"/>
        </w:rPr>
        <w:t>(92.7%), and</w:t>
      </w:r>
      <w:r>
        <w:rPr>
          <w:rFonts w:ascii="Arial" w:hAnsi="Arial" w:cs="Arial"/>
        </w:rPr>
        <w:t xml:space="preserve"> </w:t>
      </w:r>
      <w:r w:rsidRPr="00E85A96">
        <w:rPr>
          <w:rFonts w:ascii="Arial" w:hAnsi="Arial" w:cs="Arial"/>
        </w:rPr>
        <w:t xml:space="preserve">clonal varieties (80.7%) were the most widely adopted, while the use of digital tools (16.7%) and certification (0.7%) remained limited. Similarly, social innovations - membership in associations (93.2%), knowledge sharing (91.7%), and collective decision-making (88%) showed strong adoption, suggesting that smallholders rely heavily on social networks and cooperative support. </w:t>
      </w:r>
      <w:r>
        <w:rPr>
          <w:rFonts w:ascii="Arial" w:hAnsi="Arial" w:cs="Arial"/>
        </w:rPr>
        <w:t>[33]</w:t>
      </w:r>
      <w:r w:rsidRPr="00E85A96">
        <w:rPr>
          <w:rFonts w:ascii="Arial" w:hAnsi="Arial" w:cs="Arial"/>
        </w:rPr>
        <w:t xml:space="preserve"> found that factors such as education, farm size, access to information, and financial resources strongly influence the adoption of sustainable agricultural technologies, showing that farmers with better socio-economic conditions are more likely to adopt new innovations.</w:t>
      </w:r>
    </w:p>
    <w:p w14:paraId="59264031" w14:textId="77777777" w:rsidR="00722EA5" w:rsidRDefault="00722EA5" w:rsidP="00722EA5">
      <w:pPr>
        <w:ind w:left="142" w:right="-142" w:firstLine="142"/>
        <w:jc w:val="both"/>
        <w:rPr>
          <w:rFonts w:ascii="Arial" w:hAnsi="Arial" w:cs="Arial"/>
        </w:rPr>
      </w:pPr>
    </w:p>
    <w:p w14:paraId="095D73D8" w14:textId="77777777" w:rsidR="00166CFA" w:rsidRDefault="00000F8F" w:rsidP="00722EA5">
      <w:pPr>
        <w:ind w:left="142"/>
        <w:jc w:val="both"/>
        <w:rPr>
          <w:rFonts w:ascii="Arial" w:hAnsi="Arial" w:cs="Arial"/>
          <w:b/>
          <w:bCs/>
        </w:rPr>
      </w:pPr>
      <w:r w:rsidRPr="00166CFA">
        <w:rPr>
          <w:rFonts w:ascii="Arial" w:hAnsi="Arial" w:cs="Arial"/>
          <w:b/>
          <w:bCs/>
        </w:rPr>
        <w:t xml:space="preserve">4. </w:t>
      </w:r>
      <w:r w:rsidR="00B01FCD" w:rsidRPr="00166CFA">
        <w:rPr>
          <w:rFonts w:ascii="Arial" w:hAnsi="Arial" w:cs="Arial"/>
          <w:b/>
          <w:bCs/>
        </w:rPr>
        <w:t>Conclusion</w:t>
      </w:r>
    </w:p>
    <w:p w14:paraId="066702B5" w14:textId="77777777" w:rsidR="00166CFA" w:rsidRDefault="00166CFA" w:rsidP="00166CFA">
      <w:pPr>
        <w:ind w:left="-426"/>
        <w:jc w:val="both"/>
        <w:rPr>
          <w:rFonts w:ascii="Arial" w:hAnsi="Arial" w:cs="Arial"/>
          <w:b/>
          <w:bCs/>
        </w:rPr>
      </w:pPr>
    </w:p>
    <w:p w14:paraId="39DE55B5" w14:textId="3840E8D6" w:rsidR="00281CD4" w:rsidRPr="00166CFA" w:rsidRDefault="00281CD4" w:rsidP="00722EA5">
      <w:pPr>
        <w:ind w:left="142"/>
        <w:jc w:val="both"/>
        <w:rPr>
          <w:rFonts w:ascii="Arial" w:hAnsi="Arial" w:cs="Arial"/>
          <w:b/>
          <w:bCs/>
        </w:rPr>
      </w:pPr>
      <w:r w:rsidRPr="00E85A96">
        <w:rPr>
          <w:rFonts w:ascii="Arial" w:hAnsi="Arial" w:cs="Arial"/>
        </w:rPr>
        <w:t xml:space="preserve">This study provides an in-depth understanding of the extent and determinants of social and technological innovation adoption among small tea growers in Tamil Nadu and Kerala. The analysis revealed that socio-economic and agro-ecological factors such as age, education, occupation, farm size, income, and access to farm machinery significantly influence the adoption behaviour of growers. The findings indicated that while a majority of respondents exhibited a medium level of innovation adoption, Tamil Nadu growers demonstrated comparatively higher adoption levels than their Kerala counterparts. This variation reflects the influence of better institutional support, mechanization facilities, and stronger linkages with extension and Tea Board </w:t>
      </w:r>
      <w:r w:rsidR="00294818" w:rsidRPr="00E85A96">
        <w:rPr>
          <w:rFonts w:ascii="Arial" w:hAnsi="Arial" w:cs="Arial"/>
        </w:rPr>
        <w:t>programs</w:t>
      </w:r>
      <w:r w:rsidRPr="00E85A96">
        <w:rPr>
          <w:rFonts w:ascii="Arial" w:hAnsi="Arial" w:cs="Arial"/>
        </w:rPr>
        <w:t xml:space="preserve"> in the Nilgiris region. Conversely, lower adoption in Kerala can be attributed to fragmented holdings, steep terrain, and limited mechanization access, which constrain technological diffusion.</w:t>
      </w:r>
    </w:p>
    <w:p w14:paraId="6D7E08DB" w14:textId="77777777" w:rsidR="00DF7C96" w:rsidRDefault="00DF7C96" w:rsidP="00281CD4">
      <w:pPr>
        <w:jc w:val="both"/>
        <w:rPr>
          <w:rFonts w:ascii="Arial" w:hAnsi="Arial" w:cs="Arial"/>
        </w:rPr>
      </w:pPr>
    </w:p>
    <w:p w14:paraId="6A7CBBC8" w14:textId="2FFB3FE2" w:rsidR="00B0710A" w:rsidRDefault="00281CD4" w:rsidP="00722EA5">
      <w:pPr>
        <w:ind w:left="142" w:firstLine="142"/>
        <w:jc w:val="both"/>
        <w:rPr>
          <w:rFonts w:ascii="Arial" w:hAnsi="Arial" w:cs="Arial"/>
        </w:rPr>
      </w:pPr>
      <w:r w:rsidRPr="005E3A59">
        <w:rPr>
          <w:rFonts w:ascii="Arial" w:hAnsi="Arial" w:cs="Arial"/>
        </w:rPr>
        <w:t xml:space="preserve">Farmers with </w:t>
      </w:r>
      <w:r w:rsidR="00294818">
        <w:rPr>
          <w:rFonts w:ascii="Arial" w:hAnsi="Arial" w:cs="Arial"/>
        </w:rPr>
        <w:t xml:space="preserve">larger land area </w:t>
      </w:r>
      <w:r w:rsidRPr="005E3A59">
        <w:rPr>
          <w:rFonts w:ascii="Arial" w:hAnsi="Arial" w:cs="Arial"/>
        </w:rPr>
        <w:t xml:space="preserve">and </w:t>
      </w:r>
      <w:r w:rsidR="00294818">
        <w:rPr>
          <w:rFonts w:ascii="Arial" w:hAnsi="Arial" w:cs="Arial"/>
        </w:rPr>
        <w:t xml:space="preserve">having diversified income </w:t>
      </w:r>
      <w:r w:rsidRPr="005E3A59">
        <w:rPr>
          <w:rFonts w:ascii="Arial" w:hAnsi="Arial" w:cs="Arial"/>
        </w:rPr>
        <w:t xml:space="preserve">are more likely to adopt improved agricultural practices that enhance productivity and efficiency. Studies show that both personal factors, such as knowledge and financial capacity, and institutional factors, including extension services and credit facilities, influence technology adoption. Education and participation in farmer networks help build awareness and confidence, while limited </w:t>
      </w:r>
      <w:r w:rsidRPr="005E3A59">
        <w:rPr>
          <w:rFonts w:ascii="Arial" w:hAnsi="Arial" w:cs="Arial"/>
        </w:rPr>
        <w:t>funds and weak institutional support remain barriers. These findings indicate that social, economic, and institutional conditions play a key role in shaping farmers’ adoption behaviour</w:t>
      </w:r>
      <w:r>
        <w:rPr>
          <w:rFonts w:ascii="Arial" w:hAnsi="Arial" w:cs="Arial"/>
        </w:rPr>
        <w:t xml:space="preserve"> [34,35].</w:t>
      </w:r>
    </w:p>
    <w:p w14:paraId="406BF7D4" w14:textId="77777777" w:rsidR="00294818" w:rsidRDefault="00294818" w:rsidP="00294818">
      <w:pPr>
        <w:ind w:left="142" w:firstLine="142"/>
        <w:jc w:val="both"/>
        <w:rPr>
          <w:rFonts w:ascii="Arial" w:hAnsi="Arial" w:cs="Arial"/>
        </w:rPr>
      </w:pPr>
    </w:p>
    <w:p w14:paraId="090F6732" w14:textId="3614B391" w:rsidR="00294818" w:rsidRDefault="00294818" w:rsidP="00294818">
      <w:pPr>
        <w:ind w:left="142"/>
        <w:jc w:val="both"/>
      </w:pPr>
      <w:r>
        <w:t xml:space="preserve">The recommendations of this study are directly derived from the observed determinants of innovation adoption. The analysis showed that income, occupation, area under tea, and access to mechanization significantly increased adoption, while age and formal education had negative associations. Tamil Nadu growers displayed higher adoption levels than those in Kerala, largely due to stronger institutional linkages. Based on these findings, the following targeted strategies are proposed: </w:t>
      </w:r>
    </w:p>
    <w:p w14:paraId="2B4FDA4B" w14:textId="77777777" w:rsidR="00B314F6" w:rsidRDefault="00B314F6" w:rsidP="00294818">
      <w:pPr>
        <w:ind w:left="142"/>
        <w:jc w:val="both"/>
      </w:pPr>
    </w:p>
    <w:p w14:paraId="7FA6E94F" w14:textId="77777777" w:rsidR="00294818" w:rsidRDefault="00294818" w:rsidP="00294818">
      <w:pPr>
        <w:pStyle w:val="ListParagraph"/>
        <w:numPr>
          <w:ilvl w:val="0"/>
          <w:numId w:val="35"/>
        </w:numPr>
        <w:spacing w:line="240" w:lineRule="auto"/>
        <w:jc w:val="both"/>
        <w:rPr>
          <w:rFonts w:ascii="Arial" w:hAnsi="Arial" w:cs="Arial"/>
          <w:sz w:val="20"/>
          <w:szCs w:val="20"/>
        </w:rPr>
      </w:pPr>
      <w:r w:rsidRPr="00B0710A">
        <w:rPr>
          <w:rFonts w:ascii="Arial" w:hAnsi="Arial" w:cs="Arial"/>
          <w:sz w:val="20"/>
          <w:szCs w:val="20"/>
        </w:rPr>
        <w:t>Strengthen institutional and advisory support</w:t>
      </w:r>
      <w:r>
        <w:rPr>
          <w:rFonts w:ascii="Arial" w:hAnsi="Arial" w:cs="Arial"/>
          <w:sz w:val="20"/>
          <w:szCs w:val="20"/>
        </w:rPr>
        <w:t>:</w:t>
      </w:r>
    </w:p>
    <w:p w14:paraId="41517323" w14:textId="77777777" w:rsidR="00294818" w:rsidRDefault="00294818" w:rsidP="00294818">
      <w:pPr>
        <w:pStyle w:val="ListParagraph"/>
        <w:spacing w:line="240" w:lineRule="auto"/>
        <w:jc w:val="both"/>
        <w:rPr>
          <w:rFonts w:ascii="Arial" w:hAnsi="Arial" w:cs="Arial"/>
          <w:sz w:val="20"/>
          <w:szCs w:val="20"/>
        </w:rPr>
      </w:pPr>
      <w:r w:rsidRPr="00B0710A">
        <w:rPr>
          <w:rFonts w:ascii="Arial" w:hAnsi="Arial" w:cs="Arial"/>
          <w:sz w:val="20"/>
          <w:szCs w:val="20"/>
        </w:rPr>
        <w:t>Since growers with better institutional contact (Tamil Nadu) showed higher adoption, state extension systems should enhance access to Tea Board schemes, cooperative societies, and field-level advisory services, particularly in Kerala.</w:t>
      </w:r>
    </w:p>
    <w:p w14:paraId="45E433EC" w14:textId="575D8F31" w:rsidR="004002A9" w:rsidRPr="004002A9" w:rsidRDefault="004002A9" w:rsidP="004002A9">
      <w:pPr>
        <w:pStyle w:val="ListParagraph"/>
        <w:numPr>
          <w:ilvl w:val="0"/>
          <w:numId w:val="35"/>
        </w:numPr>
        <w:spacing w:line="240" w:lineRule="auto"/>
        <w:jc w:val="both"/>
        <w:rPr>
          <w:rFonts w:ascii="Arial" w:hAnsi="Arial" w:cs="Arial"/>
          <w:sz w:val="18"/>
          <w:szCs w:val="18"/>
        </w:rPr>
      </w:pPr>
      <w:r w:rsidRPr="004002A9">
        <w:rPr>
          <w:rFonts w:ascii="Arial" w:hAnsi="Arial" w:cs="Arial"/>
          <w:sz w:val="20"/>
          <w:szCs w:val="20"/>
        </w:rPr>
        <w:t>Promote affordable mechanization for smallholders</w:t>
      </w:r>
    </w:p>
    <w:p w14:paraId="48F6433D" w14:textId="2F419BBE" w:rsidR="004002A9" w:rsidRDefault="004002A9" w:rsidP="004002A9">
      <w:pPr>
        <w:pStyle w:val="ListParagraph"/>
        <w:spacing w:line="240" w:lineRule="auto"/>
        <w:jc w:val="both"/>
        <w:rPr>
          <w:rFonts w:ascii="Arial" w:hAnsi="Arial" w:cs="Arial"/>
          <w:sz w:val="20"/>
          <w:szCs w:val="20"/>
        </w:rPr>
      </w:pPr>
      <w:r w:rsidRPr="004002A9">
        <w:rPr>
          <w:rFonts w:ascii="Arial" w:hAnsi="Arial" w:cs="Arial"/>
          <w:sz w:val="20"/>
          <w:szCs w:val="20"/>
        </w:rPr>
        <w:t>Farm machinery showed a positive contribution to adoption. Introducing low-cost, small-scale machinery suited for hilly terrains and small landholdings can support growers with limited resources.</w:t>
      </w:r>
    </w:p>
    <w:p w14:paraId="6881253F" w14:textId="7A6901BC" w:rsidR="004002A9" w:rsidRPr="004002A9" w:rsidRDefault="004002A9" w:rsidP="004002A9">
      <w:pPr>
        <w:pStyle w:val="ListParagraph"/>
        <w:numPr>
          <w:ilvl w:val="0"/>
          <w:numId w:val="35"/>
        </w:numPr>
        <w:spacing w:line="240" w:lineRule="auto"/>
        <w:jc w:val="both"/>
        <w:rPr>
          <w:rFonts w:ascii="Arial" w:hAnsi="Arial" w:cs="Arial"/>
          <w:sz w:val="14"/>
          <w:szCs w:val="14"/>
        </w:rPr>
      </w:pPr>
      <w:r w:rsidRPr="004002A9">
        <w:rPr>
          <w:rFonts w:ascii="Arial" w:hAnsi="Arial" w:cs="Arial"/>
          <w:sz w:val="20"/>
          <w:szCs w:val="20"/>
        </w:rPr>
        <w:t>Expand training and skill-based extension programs</w:t>
      </w:r>
    </w:p>
    <w:p w14:paraId="0A2AAB18" w14:textId="4F3785F4" w:rsidR="004002A9" w:rsidRDefault="004002A9" w:rsidP="004002A9">
      <w:pPr>
        <w:pStyle w:val="ListParagraph"/>
        <w:spacing w:line="240" w:lineRule="auto"/>
        <w:jc w:val="both"/>
        <w:rPr>
          <w:rFonts w:ascii="Arial" w:hAnsi="Arial" w:cs="Arial"/>
          <w:sz w:val="20"/>
          <w:szCs w:val="20"/>
        </w:rPr>
      </w:pPr>
      <w:r w:rsidRPr="004002A9">
        <w:rPr>
          <w:rFonts w:ascii="Arial" w:hAnsi="Arial" w:cs="Arial"/>
          <w:sz w:val="20"/>
          <w:szCs w:val="20"/>
        </w:rPr>
        <w:t>Younger growers were more receptive to innovations. Regular training on precision farming, organic inputs, quality improvement, and digital tools can encourage adoption among older growers and those with less formal education.</w:t>
      </w:r>
    </w:p>
    <w:p w14:paraId="01ED17FB" w14:textId="069D1564" w:rsidR="004002A9" w:rsidRPr="004002A9" w:rsidRDefault="004002A9" w:rsidP="004002A9">
      <w:pPr>
        <w:pStyle w:val="ListParagraph"/>
        <w:numPr>
          <w:ilvl w:val="0"/>
          <w:numId w:val="35"/>
        </w:numPr>
        <w:spacing w:line="240" w:lineRule="auto"/>
        <w:jc w:val="both"/>
        <w:rPr>
          <w:rFonts w:ascii="Arial" w:hAnsi="Arial" w:cs="Arial"/>
          <w:sz w:val="10"/>
          <w:szCs w:val="10"/>
        </w:rPr>
      </w:pPr>
      <w:r w:rsidRPr="004002A9">
        <w:rPr>
          <w:rFonts w:ascii="Arial" w:hAnsi="Arial" w:cs="Arial"/>
          <w:sz w:val="20"/>
          <w:szCs w:val="20"/>
        </w:rPr>
        <w:t>Strengthen grower associations and cooperative action</w:t>
      </w:r>
    </w:p>
    <w:p w14:paraId="0ED533F3" w14:textId="58B18C70" w:rsidR="004002A9" w:rsidRDefault="004002A9" w:rsidP="004002A9">
      <w:pPr>
        <w:pStyle w:val="ListParagraph"/>
        <w:spacing w:line="240" w:lineRule="auto"/>
        <w:jc w:val="both"/>
        <w:rPr>
          <w:rFonts w:ascii="Arial" w:hAnsi="Arial" w:cs="Arial"/>
          <w:sz w:val="20"/>
          <w:szCs w:val="20"/>
        </w:rPr>
      </w:pPr>
      <w:r w:rsidRPr="004002A9">
        <w:rPr>
          <w:rFonts w:ascii="Arial" w:hAnsi="Arial" w:cs="Arial"/>
          <w:sz w:val="20"/>
          <w:szCs w:val="20"/>
        </w:rPr>
        <w:t>Occupation and livelihood dependence on tea strongly influenced adoption. Strengthening farmer groups, SHGs, and cooperatives can improve collective decision-making, peer learning, and access to shared resources.</w:t>
      </w:r>
    </w:p>
    <w:p w14:paraId="1A703BA1" w14:textId="6894FB6B" w:rsidR="004002A9" w:rsidRPr="004002A9" w:rsidRDefault="004002A9" w:rsidP="004002A9">
      <w:pPr>
        <w:pStyle w:val="ListParagraph"/>
        <w:numPr>
          <w:ilvl w:val="0"/>
          <w:numId w:val="35"/>
        </w:numPr>
        <w:spacing w:line="240" w:lineRule="auto"/>
        <w:jc w:val="both"/>
        <w:rPr>
          <w:rFonts w:ascii="Arial" w:hAnsi="Arial" w:cs="Arial"/>
          <w:sz w:val="6"/>
          <w:szCs w:val="6"/>
        </w:rPr>
      </w:pPr>
      <w:r w:rsidRPr="004002A9">
        <w:rPr>
          <w:rFonts w:ascii="Arial" w:hAnsi="Arial" w:cs="Arial"/>
          <w:sz w:val="20"/>
          <w:szCs w:val="20"/>
        </w:rPr>
        <w:t>Promote digital advisory and sustainable agricultural practices</w:t>
      </w:r>
    </w:p>
    <w:p w14:paraId="5E8F9B05" w14:textId="2580FCE4" w:rsidR="004002A9" w:rsidRDefault="004002A9" w:rsidP="00294818">
      <w:pPr>
        <w:pStyle w:val="ListParagraph"/>
        <w:spacing w:line="240" w:lineRule="auto"/>
        <w:jc w:val="both"/>
        <w:rPr>
          <w:rFonts w:ascii="Arial" w:hAnsi="Arial" w:cs="Arial"/>
          <w:sz w:val="20"/>
          <w:szCs w:val="20"/>
        </w:rPr>
      </w:pPr>
      <w:r w:rsidRPr="004002A9">
        <w:rPr>
          <w:rFonts w:ascii="Arial" w:hAnsi="Arial" w:cs="Arial"/>
          <w:sz w:val="20"/>
          <w:szCs w:val="20"/>
        </w:rPr>
        <w:lastRenderedPageBreak/>
        <w:t>Digital tools can help bridge the information gap observed among low-education groups. Weather-based advisories, mobile apps, and certification support systems can increase growers’ technical awareness.</w:t>
      </w:r>
    </w:p>
    <w:p w14:paraId="38227FEC" w14:textId="0AF12559" w:rsidR="004002A9" w:rsidRPr="004002A9" w:rsidRDefault="004002A9" w:rsidP="004002A9">
      <w:pPr>
        <w:pStyle w:val="ListParagraph"/>
        <w:numPr>
          <w:ilvl w:val="0"/>
          <w:numId w:val="35"/>
        </w:numPr>
        <w:spacing w:line="240" w:lineRule="auto"/>
        <w:jc w:val="both"/>
        <w:rPr>
          <w:rFonts w:ascii="Arial" w:hAnsi="Arial" w:cs="Arial"/>
          <w:sz w:val="16"/>
          <w:szCs w:val="16"/>
        </w:rPr>
      </w:pPr>
      <w:r w:rsidRPr="004002A9">
        <w:rPr>
          <w:rFonts w:ascii="Arial" w:hAnsi="Arial" w:cs="Arial"/>
          <w:sz w:val="20"/>
          <w:szCs w:val="20"/>
        </w:rPr>
        <w:t>Develop state-specific policies addressing adoption gaps</w:t>
      </w:r>
    </w:p>
    <w:p w14:paraId="7F383CCD" w14:textId="31762FB0" w:rsidR="0041795D" w:rsidRDefault="0041795D" w:rsidP="0041795D">
      <w:pPr>
        <w:pStyle w:val="ListParagraph"/>
        <w:spacing w:line="240" w:lineRule="auto"/>
        <w:jc w:val="both"/>
        <w:rPr>
          <w:rFonts w:ascii="Arial" w:hAnsi="Arial" w:cs="Arial"/>
          <w:sz w:val="20"/>
          <w:szCs w:val="20"/>
        </w:rPr>
      </w:pPr>
      <w:r w:rsidRPr="0041795D">
        <w:rPr>
          <w:rFonts w:ascii="Arial" w:hAnsi="Arial" w:cs="Arial"/>
          <w:sz w:val="20"/>
          <w:szCs w:val="20"/>
        </w:rPr>
        <w:t>Since Tamil Nadu growers had higher adoption due to stronger institutional support, Kerala requires targeted policies to improve extension reach, credit access, and mechanization subsidies tailored to smallholders.</w:t>
      </w:r>
      <w:r w:rsidR="00B314F6">
        <w:rPr>
          <w:rFonts w:ascii="Arial" w:hAnsi="Arial" w:cs="Arial"/>
          <w:sz w:val="20"/>
          <w:szCs w:val="20"/>
        </w:rPr>
        <w:t xml:space="preserve"> </w:t>
      </w:r>
    </w:p>
    <w:p w14:paraId="4576D95F" w14:textId="77777777" w:rsidR="0041795D" w:rsidRDefault="0041795D" w:rsidP="0041795D">
      <w:pPr>
        <w:pStyle w:val="ListParagraph"/>
        <w:spacing w:line="240" w:lineRule="auto"/>
        <w:jc w:val="both"/>
        <w:rPr>
          <w:rFonts w:ascii="Arial" w:hAnsi="Arial" w:cs="Arial"/>
          <w:sz w:val="14"/>
          <w:szCs w:val="14"/>
        </w:rPr>
      </w:pPr>
    </w:p>
    <w:p w14:paraId="00ACA8E7" w14:textId="092F861A" w:rsidR="00BE05D5" w:rsidRPr="0041795D" w:rsidRDefault="00BE05D5" w:rsidP="0041795D">
      <w:pPr>
        <w:pStyle w:val="ListParagraph"/>
        <w:spacing w:line="240" w:lineRule="auto"/>
        <w:ind w:left="0"/>
        <w:rPr>
          <w:rFonts w:ascii="Arial" w:hAnsi="Arial" w:cs="Arial"/>
          <w:sz w:val="14"/>
          <w:szCs w:val="14"/>
        </w:rPr>
      </w:pPr>
      <w:r w:rsidRPr="00E84580">
        <w:rPr>
          <w:rFonts w:ascii="Arial" w:eastAsiaTheme="minorEastAsia" w:hAnsi="Arial" w:cs="Arial"/>
          <w:b/>
          <w:bCs/>
          <w:lang w:val="en-GB" w:eastAsia="en-GB"/>
        </w:rPr>
        <w:t>COMPETING</w:t>
      </w:r>
      <w:r>
        <w:rPr>
          <w:rFonts w:ascii="Arial" w:eastAsiaTheme="minorEastAsia" w:hAnsi="Arial" w:cs="Arial"/>
          <w:b/>
          <w:bCs/>
          <w:lang w:val="en-GB" w:eastAsia="en-GB"/>
        </w:rPr>
        <w:t xml:space="preserve"> </w:t>
      </w:r>
      <w:r w:rsidRPr="00E84580">
        <w:rPr>
          <w:rFonts w:ascii="Arial" w:eastAsiaTheme="minorEastAsia" w:hAnsi="Arial" w:cs="Arial"/>
          <w:b/>
          <w:bCs/>
          <w:lang w:val="en-GB" w:eastAsia="en-GB"/>
        </w:rPr>
        <w:t>INTERESTS DISCLAIMER:</w:t>
      </w:r>
    </w:p>
    <w:p w14:paraId="7AD84D7A" w14:textId="77777777" w:rsidR="00BE05D5" w:rsidRPr="00F4546C" w:rsidRDefault="00BE05D5" w:rsidP="00BE05D5">
      <w:pPr>
        <w:pStyle w:val="ListParagraph"/>
        <w:ind w:left="142"/>
        <w:rPr>
          <w:rFonts w:ascii="Arial" w:hAnsi="Arial" w:cs="Arial"/>
          <w:sz w:val="20"/>
          <w:szCs w:val="20"/>
        </w:rPr>
      </w:pPr>
    </w:p>
    <w:p w14:paraId="57213DED" w14:textId="77777777" w:rsidR="00BE05D5" w:rsidRDefault="00BE05D5" w:rsidP="00BE05D5">
      <w:pPr>
        <w:pStyle w:val="ListParagraph"/>
        <w:spacing w:after="200" w:line="276" w:lineRule="auto"/>
        <w:ind w:left="0"/>
        <w:jc w:val="both"/>
        <w:rPr>
          <w:rFonts w:ascii="Arial" w:eastAsiaTheme="minorEastAsia" w:hAnsi="Arial" w:cs="Arial"/>
          <w:sz w:val="20"/>
          <w:szCs w:val="20"/>
          <w:lang w:val="en-GB" w:eastAsia="en-GB"/>
        </w:rPr>
      </w:pPr>
      <w:r w:rsidRPr="00722EA5">
        <w:rPr>
          <w:rFonts w:ascii="Arial" w:eastAsiaTheme="minorEastAsia"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r>
        <w:rPr>
          <w:rFonts w:ascii="Arial" w:eastAsiaTheme="minorEastAsia" w:hAnsi="Arial" w:cs="Arial"/>
          <w:sz w:val="20"/>
          <w:szCs w:val="20"/>
          <w:lang w:val="en-GB" w:eastAsia="en-GB"/>
        </w:rPr>
        <w:t xml:space="preserve">.   </w:t>
      </w:r>
    </w:p>
    <w:p w14:paraId="1127334D" w14:textId="77777777" w:rsidR="00BE05D5" w:rsidRDefault="00BE05D5" w:rsidP="00BE05D5">
      <w:pPr>
        <w:pStyle w:val="ListParagraph"/>
        <w:ind w:left="0"/>
        <w:rPr>
          <w:rFonts w:ascii="Arial" w:eastAsia="Calibri" w:hAnsi="Arial" w:cs="Arial"/>
          <w:b/>
          <w:bCs/>
        </w:rPr>
      </w:pPr>
    </w:p>
    <w:p w14:paraId="46CBF063" w14:textId="175ACAEA" w:rsidR="00BE05D5" w:rsidRDefault="00BE05D5" w:rsidP="00BE05D5">
      <w:pPr>
        <w:pStyle w:val="ListParagraph"/>
        <w:ind w:left="0"/>
        <w:rPr>
          <w:rFonts w:ascii="Arial" w:eastAsia="Calibri" w:hAnsi="Arial" w:cs="Arial"/>
          <w:b/>
          <w:bCs/>
        </w:rPr>
      </w:pPr>
      <w:r w:rsidRPr="001B5D2B">
        <w:rPr>
          <w:rFonts w:ascii="Arial" w:eastAsia="Calibri" w:hAnsi="Arial" w:cs="Arial"/>
          <w:b/>
          <w:bCs/>
        </w:rPr>
        <w:t>DISCLAIMER (ARTIFICIAL INTELLIGENCE)</w:t>
      </w:r>
    </w:p>
    <w:p w14:paraId="27815B77" w14:textId="77777777" w:rsidR="0041795D" w:rsidRDefault="0041795D" w:rsidP="00BE05D5">
      <w:pPr>
        <w:pStyle w:val="ListParagraph"/>
        <w:ind w:left="0"/>
        <w:rPr>
          <w:rFonts w:ascii="Arial" w:eastAsia="Calibri" w:hAnsi="Arial" w:cs="Arial"/>
          <w:b/>
          <w:bCs/>
        </w:rPr>
      </w:pPr>
    </w:p>
    <w:p w14:paraId="1727F014" w14:textId="77777777" w:rsidR="00BE05D5" w:rsidRDefault="00BE05D5" w:rsidP="00BE05D5">
      <w:pPr>
        <w:pStyle w:val="ListParagraph"/>
        <w:ind w:left="0"/>
        <w:jc w:val="both"/>
        <w:rPr>
          <w:rFonts w:ascii="Arial" w:hAnsi="Arial" w:cs="Arial"/>
          <w:sz w:val="20"/>
          <w:szCs w:val="20"/>
        </w:rPr>
      </w:pPr>
      <w:r w:rsidRPr="001B5D2B">
        <w:rPr>
          <w:rFonts w:ascii="Arial" w:hAnsi="Arial" w:cs="Arial"/>
          <w:sz w:val="20"/>
          <w:szCs w:val="20"/>
        </w:rPr>
        <w:t xml:space="preserve">Author(s) hereby declare that generative AI (ChatGPT, GPT-based tools) was used </w:t>
      </w:r>
      <w:r w:rsidRPr="001B5D2B">
        <w:rPr>
          <w:rStyle w:val="Strong"/>
          <w:rFonts w:ascii="Arial" w:hAnsi="Arial" w:cs="Arial"/>
          <w:b w:val="0"/>
          <w:bCs w:val="0"/>
          <w:sz w:val="20"/>
          <w:szCs w:val="20"/>
        </w:rPr>
        <w:t>only for language editing and grammar improvement</w:t>
      </w:r>
      <w:r w:rsidRPr="001B5D2B">
        <w:rPr>
          <w:rFonts w:ascii="Arial" w:hAnsi="Arial" w:cs="Arial"/>
          <w:sz w:val="20"/>
          <w:szCs w:val="20"/>
        </w:rPr>
        <w:t xml:space="preserve"> during the preparation of this manuscript. No AI-generated content, ideas, analysis, results, or interpretations were used.</w:t>
      </w:r>
    </w:p>
    <w:p w14:paraId="7231FADE" w14:textId="289EB288" w:rsidR="00BE05D5" w:rsidRPr="001B5D2B" w:rsidRDefault="00BE05D5" w:rsidP="00BE05D5">
      <w:pPr>
        <w:pStyle w:val="ListParagraph"/>
        <w:ind w:left="142"/>
        <w:jc w:val="both"/>
        <w:rPr>
          <w:rFonts w:ascii="Arial" w:hAnsi="Arial" w:cs="Arial"/>
          <w:sz w:val="20"/>
          <w:szCs w:val="20"/>
        </w:rPr>
      </w:pPr>
      <w:r w:rsidRPr="001B5D2B">
        <w:rPr>
          <w:rFonts w:ascii="Arial" w:eastAsia="Calibri" w:hAnsi="Arial" w:cs="Arial"/>
          <w:sz w:val="20"/>
          <w:szCs w:val="20"/>
        </w:rPr>
        <w:t>Details of the AI usage is given below:</w:t>
      </w:r>
    </w:p>
    <w:p w14:paraId="0271FB0E" w14:textId="77777777" w:rsidR="00BE05D5" w:rsidRPr="001B5D2B" w:rsidRDefault="00BE05D5" w:rsidP="00BE05D5">
      <w:pPr>
        <w:pStyle w:val="ListParagraph"/>
        <w:rPr>
          <w:rFonts w:ascii="Arial" w:eastAsia="Calibri" w:hAnsi="Arial" w:cs="Arial"/>
          <w:sz w:val="20"/>
          <w:szCs w:val="20"/>
        </w:rPr>
      </w:pPr>
      <w:r w:rsidRPr="001B5D2B">
        <w:rPr>
          <w:rFonts w:ascii="Arial" w:eastAsia="Calibri" w:hAnsi="Arial" w:cs="Arial"/>
          <w:sz w:val="20"/>
          <w:szCs w:val="20"/>
        </w:rPr>
        <w:t xml:space="preserve">1. </w:t>
      </w:r>
      <w:r w:rsidRPr="001B5D2B">
        <w:rPr>
          <w:rFonts w:ascii="Arial" w:hAnsi="Arial" w:cs="Arial"/>
          <w:sz w:val="20"/>
          <w:szCs w:val="20"/>
        </w:rPr>
        <w:t>Grammar correction</w:t>
      </w:r>
    </w:p>
    <w:p w14:paraId="69B90AD8" w14:textId="77777777" w:rsidR="00BE05D5" w:rsidRPr="001B5D2B" w:rsidRDefault="00BE05D5" w:rsidP="00BE05D5">
      <w:pPr>
        <w:pStyle w:val="ListParagraph"/>
        <w:rPr>
          <w:rFonts w:ascii="Arial" w:eastAsia="Calibri" w:hAnsi="Arial" w:cs="Arial"/>
          <w:sz w:val="20"/>
          <w:szCs w:val="20"/>
        </w:rPr>
      </w:pPr>
      <w:r w:rsidRPr="001B5D2B">
        <w:rPr>
          <w:rFonts w:ascii="Arial" w:eastAsia="Calibri" w:hAnsi="Arial" w:cs="Arial"/>
          <w:sz w:val="20"/>
          <w:szCs w:val="20"/>
        </w:rPr>
        <w:t xml:space="preserve">2. </w:t>
      </w:r>
      <w:r w:rsidRPr="001B5D2B">
        <w:rPr>
          <w:rFonts w:ascii="Arial" w:hAnsi="Arial" w:cs="Arial"/>
          <w:sz w:val="20"/>
          <w:szCs w:val="20"/>
        </w:rPr>
        <w:t>Language simplification</w:t>
      </w:r>
    </w:p>
    <w:p w14:paraId="7AE1FA9A" w14:textId="77777777" w:rsidR="00BE05D5" w:rsidRPr="001B5D2B" w:rsidRDefault="00BE05D5" w:rsidP="00BE05D5">
      <w:pPr>
        <w:pStyle w:val="ListParagraph"/>
        <w:rPr>
          <w:rFonts w:ascii="Arial" w:hAnsi="Arial" w:cs="Arial"/>
          <w:sz w:val="20"/>
          <w:szCs w:val="20"/>
        </w:rPr>
      </w:pPr>
      <w:r w:rsidRPr="001B5D2B">
        <w:rPr>
          <w:rFonts w:ascii="Arial" w:eastAsia="Calibri" w:hAnsi="Arial" w:cs="Arial"/>
          <w:sz w:val="20"/>
          <w:szCs w:val="20"/>
        </w:rPr>
        <w:t xml:space="preserve">3. </w:t>
      </w:r>
      <w:r w:rsidRPr="001B5D2B">
        <w:rPr>
          <w:rFonts w:ascii="Arial" w:hAnsi="Arial" w:cs="Arial"/>
          <w:sz w:val="20"/>
          <w:szCs w:val="20"/>
        </w:rPr>
        <w:t>Formatting assistance</w:t>
      </w:r>
    </w:p>
    <w:p w14:paraId="4A57D9A2" w14:textId="77777777" w:rsidR="00BE05D5" w:rsidRDefault="00BE05D5" w:rsidP="00BE05D5">
      <w:pPr>
        <w:pStyle w:val="ListParagraph"/>
        <w:spacing w:after="0" w:line="276" w:lineRule="auto"/>
        <w:ind w:left="284"/>
        <w:rPr>
          <w:rFonts w:ascii="Arial" w:hAnsi="Arial" w:cs="Arial"/>
          <w:sz w:val="20"/>
          <w:szCs w:val="20"/>
        </w:rPr>
      </w:pPr>
      <w:r w:rsidRPr="001B5D2B">
        <w:rPr>
          <w:rFonts w:ascii="Arial" w:hAnsi="Arial" w:cs="Arial"/>
          <w:sz w:val="20"/>
          <w:szCs w:val="20"/>
        </w:rPr>
        <w:t>(No scientific content was generated using AI)</w:t>
      </w:r>
    </w:p>
    <w:p w14:paraId="593CB633" w14:textId="77777777" w:rsidR="00BE05D5" w:rsidRDefault="00BE05D5" w:rsidP="00BE05D5">
      <w:pPr>
        <w:pStyle w:val="ListParagraph"/>
        <w:spacing w:after="0" w:line="276" w:lineRule="auto"/>
        <w:ind w:left="0"/>
        <w:rPr>
          <w:rFonts w:ascii="Arial" w:hAnsi="Arial" w:cs="Arial"/>
          <w:b/>
        </w:rPr>
      </w:pPr>
    </w:p>
    <w:p w14:paraId="121C2F2B" w14:textId="7E7B3F6A" w:rsidR="00BE05D5" w:rsidRDefault="00BE05D5" w:rsidP="00BE05D5">
      <w:pPr>
        <w:pStyle w:val="ListParagraph"/>
        <w:spacing w:after="0" w:line="276" w:lineRule="auto"/>
        <w:ind w:left="0"/>
        <w:rPr>
          <w:rFonts w:ascii="Arial" w:hAnsi="Arial" w:cs="Arial"/>
          <w:b/>
        </w:rPr>
      </w:pPr>
      <w:r w:rsidRPr="001B5D2B">
        <w:rPr>
          <w:rFonts w:ascii="Arial" w:hAnsi="Arial" w:cs="Arial"/>
          <w:b/>
        </w:rPr>
        <w:t>REFERENCES</w:t>
      </w:r>
    </w:p>
    <w:p w14:paraId="5E4A45CF" w14:textId="77777777" w:rsidR="00BE05D5" w:rsidRPr="001B5D2B" w:rsidRDefault="00BE05D5" w:rsidP="00BE05D5">
      <w:pPr>
        <w:pStyle w:val="ListParagraph"/>
        <w:spacing w:after="0" w:line="276" w:lineRule="auto"/>
        <w:ind w:left="0"/>
        <w:rPr>
          <w:rFonts w:ascii="Arial" w:hAnsi="Arial" w:cs="Arial"/>
          <w:sz w:val="20"/>
          <w:szCs w:val="20"/>
        </w:rPr>
      </w:pPr>
    </w:p>
    <w:p w14:paraId="6264F116" w14:textId="77777777" w:rsidR="00BE05D5" w:rsidRPr="001B5D2B" w:rsidRDefault="00BE05D5" w:rsidP="00BE05D5">
      <w:pPr>
        <w:pStyle w:val="ListParagraph"/>
        <w:numPr>
          <w:ilvl w:val="0"/>
          <w:numId w:val="33"/>
        </w:numPr>
        <w:spacing w:line="240" w:lineRule="auto"/>
        <w:jc w:val="both"/>
        <w:rPr>
          <w:rFonts w:ascii="Arial" w:hAnsi="Arial" w:cs="Arial"/>
          <w:sz w:val="20"/>
          <w:szCs w:val="20"/>
          <w:lang w:val="nl-NL"/>
        </w:rPr>
      </w:pPr>
      <w:r w:rsidRPr="001B5D2B">
        <w:rPr>
          <w:rFonts w:ascii="Arial" w:hAnsi="Arial" w:cs="Arial"/>
          <w:sz w:val="20"/>
          <w:szCs w:val="20"/>
        </w:rPr>
        <w:t xml:space="preserve">Van der Wal, S. (2008). Sustainability issues in the tea sector: A comparative analysis of six leading producing countries. </w:t>
      </w:r>
      <w:r w:rsidRPr="001B5D2B">
        <w:rPr>
          <w:rFonts w:ascii="Arial" w:hAnsi="Arial" w:cs="Arial"/>
          <w:sz w:val="20"/>
          <w:szCs w:val="20"/>
          <w:lang w:val="nl-NL"/>
        </w:rPr>
        <w:t>Stichting Onderzoek Multinationale Ondernemingen (SOMO), Amsterdam, The Netherlands, 110 pp. [Online]</w:t>
      </w:r>
      <w:r w:rsidRPr="001B5D2B">
        <w:rPr>
          <w:rFonts w:ascii="Arial" w:hAnsi="Arial" w:cs="Arial"/>
          <w:sz w:val="20"/>
          <w:szCs w:val="20"/>
          <w:lang w:val="nl-NL"/>
        </w:rPr>
        <w:br/>
        <w:t xml:space="preserve">Available: </w:t>
      </w:r>
      <w:hyperlink r:id="rId17" w:tgtFrame="_new" w:history="1">
        <w:r w:rsidRPr="001B5D2B">
          <w:rPr>
            <w:rStyle w:val="Hyperlink"/>
            <w:rFonts w:ascii="Arial" w:hAnsi="Arial" w:cs="Arial"/>
            <w:color w:val="4F81BD" w:themeColor="accent1"/>
            <w:sz w:val="20"/>
            <w:szCs w:val="20"/>
            <w:lang w:val="nl-NL"/>
          </w:rPr>
          <w:t>https://www.somo.nl/wp-content/uploads/2008/06/Sustainability-Issues-in-the-Tea-Sector.pdf</w:t>
        </w:r>
      </w:hyperlink>
    </w:p>
    <w:p w14:paraId="5581BF7E"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18"/>
          <w:szCs w:val="18"/>
        </w:rPr>
      </w:pPr>
      <w:r w:rsidRPr="001B5D2B">
        <w:rPr>
          <w:rFonts w:ascii="Arial" w:hAnsi="Arial" w:cs="Arial"/>
          <w:sz w:val="20"/>
          <w:szCs w:val="20"/>
        </w:rPr>
        <w:t xml:space="preserve">Tea Board of India (TBI). (2025). </w:t>
      </w:r>
      <w:r w:rsidRPr="001B5D2B">
        <w:rPr>
          <w:rStyle w:val="Emphasis"/>
          <w:rFonts w:ascii="Arial" w:hAnsi="Arial" w:cs="Arial"/>
          <w:sz w:val="20"/>
          <w:szCs w:val="20"/>
        </w:rPr>
        <w:t>Annual tea production 2024–2025</w:t>
      </w:r>
      <w:r w:rsidRPr="001B5D2B">
        <w:rPr>
          <w:rFonts w:ascii="Arial" w:hAnsi="Arial" w:cs="Arial"/>
          <w:sz w:val="20"/>
          <w:szCs w:val="20"/>
        </w:rPr>
        <w:t xml:space="preserve"> [Online]. Available: </w:t>
      </w:r>
      <w:hyperlink r:id="rId18" w:tgtFrame="_new" w:history="1">
        <w:r w:rsidRPr="001B5D2B">
          <w:rPr>
            <w:rStyle w:val="Hyperlink"/>
            <w:rFonts w:ascii="Arial" w:hAnsi="Arial" w:cs="Arial"/>
            <w:color w:val="4F81BD" w:themeColor="accent1"/>
            <w:sz w:val="20"/>
            <w:szCs w:val="20"/>
          </w:rPr>
          <w:t>https://www.teaboard.gov.in</w:t>
        </w:r>
      </w:hyperlink>
    </w:p>
    <w:p w14:paraId="6D9C3131" w14:textId="77777777" w:rsidR="00BE05D5" w:rsidRPr="001B5D2B" w:rsidRDefault="00BE05D5" w:rsidP="00BE05D5">
      <w:pPr>
        <w:pStyle w:val="ListParagraph"/>
        <w:numPr>
          <w:ilvl w:val="0"/>
          <w:numId w:val="33"/>
        </w:numPr>
        <w:tabs>
          <w:tab w:val="left" w:pos="1270"/>
        </w:tabs>
        <w:spacing w:line="240" w:lineRule="auto"/>
        <w:jc w:val="both"/>
        <w:rPr>
          <w:rStyle w:val="Hyperlink"/>
          <w:rFonts w:ascii="Arial" w:hAnsi="Arial" w:cs="Arial"/>
          <w:b/>
          <w:bCs/>
          <w:sz w:val="16"/>
          <w:szCs w:val="16"/>
        </w:rPr>
      </w:pPr>
      <w:r w:rsidRPr="001B5D2B">
        <w:rPr>
          <w:rFonts w:ascii="Arial" w:hAnsi="Arial" w:cs="Arial"/>
          <w:sz w:val="20"/>
          <w:szCs w:val="20"/>
        </w:rPr>
        <w:t xml:space="preserve">IBEF [India Brand Equity Foundation]. (2025). </w:t>
      </w:r>
      <w:r w:rsidRPr="001B5D2B">
        <w:rPr>
          <w:rStyle w:val="Emphasis"/>
          <w:rFonts w:ascii="Arial" w:hAnsi="Arial" w:cs="Arial"/>
          <w:sz w:val="20"/>
          <w:szCs w:val="20"/>
        </w:rPr>
        <w:t>Tea industry and exports in India [online].</w:t>
      </w:r>
      <w:r w:rsidRPr="001B5D2B">
        <w:rPr>
          <w:rFonts w:ascii="Arial" w:hAnsi="Arial" w:cs="Arial"/>
          <w:sz w:val="20"/>
          <w:szCs w:val="20"/>
        </w:rPr>
        <w:t xml:space="preserve"> Available: </w:t>
      </w:r>
      <w:hyperlink r:id="rId19" w:tgtFrame="_new" w:history="1">
        <w:r w:rsidRPr="001B5D2B">
          <w:rPr>
            <w:rStyle w:val="Hyperlink"/>
            <w:rFonts w:ascii="Arial" w:hAnsi="Arial" w:cs="Arial"/>
            <w:color w:val="4F81BD" w:themeColor="accent1"/>
            <w:sz w:val="20"/>
            <w:szCs w:val="20"/>
          </w:rPr>
          <w:t>https://www.ibef.org/industry/tea-india</w:t>
        </w:r>
      </w:hyperlink>
    </w:p>
    <w:p w14:paraId="1C181EA3" w14:textId="77777777" w:rsidR="00BE05D5" w:rsidRPr="001B5D2B" w:rsidRDefault="00BE05D5" w:rsidP="00BE05D5">
      <w:pPr>
        <w:pStyle w:val="ListParagraph"/>
        <w:numPr>
          <w:ilvl w:val="0"/>
          <w:numId w:val="33"/>
        </w:numPr>
        <w:spacing w:line="240" w:lineRule="auto"/>
        <w:jc w:val="both"/>
        <w:rPr>
          <w:rFonts w:ascii="Arial" w:hAnsi="Arial" w:cs="Arial"/>
          <w:sz w:val="16"/>
          <w:szCs w:val="16"/>
        </w:rPr>
      </w:pPr>
      <w:r w:rsidRPr="001B5D2B">
        <w:rPr>
          <w:rFonts w:ascii="Arial" w:hAnsi="Arial" w:cs="Arial"/>
          <w:sz w:val="20"/>
          <w:szCs w:val="20"/>
        </w:rPr>
        <w:t xml:space="preserve">Government of India. (2024). </w:t>
      </w:r>
      <w:r w:rsidRPr="001B5D2B">
        <w:rPr>
          <w:rStyle w:val="Emphasis"/>
          <w:rFonts w:ascii="Arial" w:hAnsi="Arial" w:cs="Arial"/>
          <w:sz w:val="20"/>
          <w:szCs w:val="20"/>
        </w:rPr>
        <w:t>Tea statistics 2023–2024.</w:t>
      </w:r>
      <w:r w:rsidRPr="001B5D2B">
        <w:rPr>
          <w:rFonts w:ascii="Arial" w:hAnsi="Arial" w:cs="Arial"/>
          <w:sz w:val="20"/>
          <w:szCs w:val="20"/>
        </w:rPr>
        <w:t xml:space="preserve"> Tea Board of India, Ministry of Commerce and Industry, Government of India. [Online]</w:t>
      </w:r>
      <w:r w:rsidRPr="001B5D2B">
        <w:rPr>
          <w:rFonts w:ascii="Arial" w:hAnsi="Arial" w:cs="Arial"/>
          <w:sz w:val="20"/>
          <w:szCs w:val="20"/>
        </w:rPr>
        <w:br/>
        <w:t xml:space="preserve">Available: </w:t>
      </w:r>
      <w:hyperlink r:id="rId20" w:tgtFrame="_new" w:history="1">
        <w:r w:rsidRPr="001B5D2B">
          <w:rPr>
            <w:rStyle w:val="Hyperlink"/>
            <w:rFonts w:ascii="Arial" w:hAnsi="Arial" w:cs="Arial"/>
            <w:color w:val="4F81BD" w:themeColor="accent1"/>
            <w:sz w:val="20"/>
            <w:szCs w:val="20"/>
          </w:rPr>
          <w:t>https://www.teaboard.gov.in</w:t>
        </w:r>
      </w:hyperlink>
    </w:p>
    <w:p w14:paraId="645C142D" w14:textId="77777777" w:rsidR="00BE05D5" w:rsidRPr="001B5D2B" w:rsidRDefault="00BE05D5" w:rsidP="00BE05D5">
      <w:pPr>
        <w:pStyle w:val="ListParagraph"/>
        <w:numPr>
          <w:ilvl w:val="0"/>
          <w:numId w:val="33"/>
        </w:numPr>
        <w:spacing w:line="240" w:lineRule="auto"/>
        <w:jc w:val="both"/>
        <w:rPr>
          <w:rFonts w:ascii="Arial" w:hAnsi="Arial" w:cs="Arial"/>
          <w:sz w:val="16"/>
          <w:szCs w:val="16"/>
        </w:rPr>
      </w:pPr>
      <w:r w:rsidRPr="001B5D2B">
        <w:rPr>
          <w:rFonts w:ascii="Arial" w:hAnsi="Arial" w:cs="Arial"/>
          <w:sz w:val="20"/>
          <w:szCs w:val="20"/>
          <w:lang w:val="nl-NL"/>
        </w:rPr>
        <w:t xml:space="preserve">Voora, V., Bermúdez, S., &amp; Larrea, C. (2019). </w:t>
      </w:r>
      <w:r w:rsidRPr="001B5D2B">
        <w:rPr>
          <w:rStyle w:val="Emphasis"/>
          <w:rFonts w:ascii="Arial" w:hAnsi="Arial" w:cs="Arial"/>
          <w:sz w:val="20"/>
          <w:szCs w:val="20"/>
        </w:rPr>
        <w:t>Global market report: Tea.</w:t>
      </w:r>
      <w:r w:rsidRPr="001B5D2B">
        <w:rPr>
          <w:rFonts w:ascii="Arial" w:hAnsi="Arial" w:cs="Arial"/>
          <w:sz w:val="20"/>
          <w:szCs w:val="20"/>
        </w:rPr>
        <w:t xml:space="preserve"> International Institute for Sustainable Development (IISD), Winnipeg, Canada. [Online]</w:t>
      </w:r>
      <w:r w:rsidRPr="001B5D2B">
        <w:rPr>
          <w:rFonts w:ascii="Arial" w:hAnsi="Arial" w:cs="Arial"/>
          <w:sz w:val="20"/>
          <w:szCs w:val="20"/>
        </w:rPr>
        <w:br/>
        <w:t xml:space="preserve">Available: </w:t>
      </w:r>
      <w:hyperlink r:id="rId21" w:tgtFrame="_new" w:history="1">
        <w:r w:rsidRPr="001B5D2B">
          <w:rPr>
            <w:rStyle w:val="Hyperlink"/>
            <w:rFonts w:ascii="Arial" w:hAnsi="Arial" w:cs="Arial"/>
            <w:color w:val="4F81BD" w:themeColor="accent1"/>
            <w:sz w:val="20"/>
            <w:szCs w:val="20"/>
          </w:rPr>
          <w:t>https://www.iisd.org/system/files/publications/ssi-global-market-report-tea.pdf</w:t>
        </w:r>
      </w:hyperlink>
    </w:p>
    <w:p w14:paraId="3B7EEEB2" w14:textId="77777777" w:rsidR="00BE05D5" w:rsidRPr="001B5D2B" w:rsidRDefault="00BE05D5" w:rsidP="00BE05D5">
      <w:pPr>
        <w:pStyle w:val="ListParagraph"/>
        <w:numPr>
          <w:ilvl w:val="0"/>
          <w:numId w:val="33"/>
        </w:numPr>
        <w:spacing w:line="240" w:lineRule="auto"/>
        <w:jc w:val="both"/>
        <w:rPr>
          <w:rFonts w:ascii="Arial" w:hAnsi="Arial" w:cs="Arial"/>
          <w:sz w:val="14"/>
          <w:szCs w:val="14"/>
        </w:rPr>
      </w:pPr>
      <w:r w:rsidRPr="001B5D2B">
        <w:rPr>
          <w:rFonts w:ascii="Arial" w:hAnsi="Arial" w:cs="Arial"/>
          <w:sz w:val="20"/>
          <w:szCs w:val="20"/>
        </w:rPr>
        <w:t xml:space="preserve">Deka, N., &amp; Goswami, K. (2021). </w:t>
      </w:r>
      <w:r w:rsidRPr="001B5D2B">
        <w:rPr>
          <w:rStyle w:val="Emphasis"/>
          <w:rFonts w:ascii="Arial" w:hAnsi="Arial" w:cs="Arial"/>
          <w:sz w:val="20"/>
          <w:szCs w:val="20"/>
        </w:rPr>
        <w:t>What will drive small tea growers towards environment-friendly cultivation? Implications from the tea sector in Assam, India.</w:t>
      </w:r>
      <w:r w:rsidRPr="001B5D2B">
        <w:rPr>
          <w:rFonts w:ascii="Arial" w:hAnsi="Arial" w:cs="Arial"/>
          <w:sz w:val="20"/>
          <w:szCs w:val="20"/>
        </w:rPr>
        <w:t xml:space="preserve"> </w:t>
      </w:r>
      <w:r w:rsidRPr="001B5D2B">
        <w:rPr>
          <w:rStyle w:val="Emphasis"/>
          <w:rFonts w:ascii="Arial" w:hAnsi="Arial" w:cs="Arial"/>
          <w:sz w:val="20"/>
          <w:szCs w:val="20"/>
        </w:rPr>
        <w:t>International Journal of Sustainable Development &amp; World Ecology,</w:t>
      </w:r>
      <w:r w:rsidRPr="001B5D2B">
        <w:rPr>
          <w:rFonts w:ascii="Arial" w:hAnsi="Arial" w:cs="Arial"/>
          <w:sz w:val="20"/>
          <w:szCs w:val="20"/>
        </w:rPr>
        <w:t xml:space="preserve"> </w:t>
      </w:r>
      <w:r w:rsidRPr="001B5D2B">
        <w:rPr>
          <w:rStyle w:val="Strong"/>
          <w:rFonts w:ascii="Arial" w:hAnsi="Arial" w:cs="Arial"/>
          <w:b w:val="0"/>
          <w:bCs w:val="0"/>
          <w:sz w:val="20"/>
          <w:szCs w:val="20"/>
        </w:rPr>
        <w:t>28</w:t>
      </w:r>
      <w:r w:rsidRPr="001B5D2B">
        <w:rPr>
          <w:rFonts w:ascii="Arial" w:hAnsi="Arial" w:cs="Arial"/>
          <w:sz w:val="20"/>
          <w:szCs w:val="20"/>
        </w:rPr>
        <w:t>(7), 592–608.</w:t>
      </w:r>
      <w:r w:rsidRPr="001B5D2B">
        <w:rPr>
          <w:rFonts w:ascii="Arial" w:hAnsi="Arial" w:cs="Arial"/>
          <w:sz w:val="20"/>
          <w:szCs w:val="20"/>
        </w:rPr>
        <w:br/>
      </w:r>
      <w:hyperlink r:id="rId22" w:history="1">
        <w:r w:rsidRPr="001B5D2B">
          <w:rPr>
            <w:rStyle w:val="Hyperlink"/>
            <w:rFonts w:ascii="Arial" w:hAnsi="Arial" w:cs="Arial"/>
            <w:color w:val="4F81BD" w:themeColor="accent1"/>
            <w:sz w:val="20"/>
            <w:szCs w:val="20"/>
          </w:rPr>
          <w:t>https://doi.org/10.1080/17565529.2021.1930988</w:t>
        </w:r>
      </w:hyperlink>
    </w:p>
    <w:p w14:paraId="58A09839" w14:textId="77777777" w:rsidR="004F7869" w:rsidRPr="004F7869" w:rsidRDefault="004F7869" w:rsidP="00BE05D5">
      <w:pPr>
        <w:pStyle w:val="ListParagraph"/>
        <w:numPr>
          <w:ilvl w:val="0"/>
          <w:numId w:val="33"/>
        </w:numPr>
        <w:spacing w:line="240" w:lineRule="auto"/>
        <w:jc w:val="both"/>
        <w:rPr>
          <w:rFonts w:ascii="Arial" w:hAnsi="Arial" w:cs="Arial"/>
          <w:sz w:val="12"/>
          <w:szCs w:val="12"/>
        </w:rPr>
      </w:pPr>
      <w:proofErr w:type="spellStart"/>
      <w:r w:rsidRPr="004F7869">
        <w:rPr>
          <w:rFonts w:ascii="Arial" w:hAnsi="Arial" w:cs="Arial"/>
          <w:sz w:val="20"/>
          <w:szCs w:val="20"/>
        </w:rPr>
        <w:t>Makinda</w:t>
      </w:r>
      <w:proofErr w:type="spellEnd"/>
      <w:r w:rsidRPr="004F7869">
        <w:rPr>
          <w:rFonts w:ascii="Arial" w:hAnsi="Arial" w:cs="Arial"/>
          <w:sz w:val="20"/>
          <w:szCs w:val="20"/>
        </w:rPr>
        <w:t xml:space="preserve">, J. N., &amp; Otieno, M. M. (2019). Application </w:t>
      </w:r>
      <w:proofErr w:type="gramStart"/>
      <w:r w:rsidRPr="004F7869">
        <w:rPr>
          <w:rFonts w:ascii="Arial" w:hAnsi="Arial" w:cs="Arial"/>
          <w:sz w:val="20"/>
          <w:szCs w:val="20"/>
        </w:rPr>
        <w:t>Of</w:t>
      </w:r>
      <w:proofErr w:type="gramEnd"/>
      <w:r w:rsidRPr="004F7869">
        <w:rPr>
          <w:rFonts w:ascii="Arial" w:hAnsi="Arial" w:cs="Arial"/>
          <w:sz w:val="20"/>
          <w:szCs w:val="20"/>
        </w:rPr>
        <w:t xml:space="preserve"> Total Quality Management Strategies On </w:t>
      </w:r>
      <w:proofErr w:type="spellStart"/>
      <w:r w:rsidRPr="004F7869">
        <w:rPr>
          <w:rFonts w:ascii="Arial" w:hAnsi="Arial" w:cs="Arial"/>
          <w:sz w:val="20"/>
          <w:szCs w:val="20"/>
        </w:rPr>
        <w:t>Perfomance</w:t>
      </w:r>
      <w:proofErr w:type="spellEnd"/>
      <w:r w:rsidRPr="004F7869">
        <w:rPr>
          <w:rFonts w:ascii="Arial" w:hAnsi="Arial" w:cs="Arial"/>
          <w:sz w:val="20"/>
          <w:szCs w:val="20"/>
        </w:rPr>
        <w:t xml:space="preserve"> Of Kenya Tea Development Authority Factories In </w:t>
      </w:r>
      <w:proofErr w:type="spellStart"/>
      <w:r w:rsidRPr="004F7869">
        <w:rPr>
          <w:rFonts w:ascii="Arial" w:hAnsi="Arial" w:cs="Arial"/>
          <w:sz w:val="20"/>
          <w:szCs w:val="20"/>
        </w:rPr>
        <w:t>Kisii</w:t>
      </w:r>
      <w:proofErr w:type="spellEnd"/>
      <w:r w:rsidRPr="004F7869">
        <w:rPr>
          <w:rFonts w:ascii="Arial" w:hAnsi="Arial" w:cs="Arial"/>
          <w:sz w:val="20"/>
          <w:szCs w:val="20"/>
        </w:rPr>
        <w:t xml:space="preserve"> County, Kenya. International Journal of Novel Research in Education and Learning, 6(6), 53-76. </w:t>
      </w:r>
    </w:p>
    <w:p w14:paraId="52BF098E" w14:textId="4D7690DF" w:rsidR="00BE05D5" w:rsidRPr="001B5D2B" w:rsidRDefault="00BE05D5" w:rsidP="00BE05D5">
      <w:pPr>
        <w:pStyle w:val="ListParagraph"/>
        <w:numPr>
          <w:ilvl w:val="0"/>
          <w:numId w:val="33"/>
        </w:numPr>
        <w:spacing w:line="240" w:lineRule="auto"/>
        <w:jc w:val="both"/>
        <w:rPr>
          <w:rFonts w:ascii="Arial" w:hAnsi="Arial" w:cs="Arial"/>
          <w:sz w:val="12"/>
          <w:szCs w:val="12"/>
        </w:rPr>
      </w:pPr>
      <w:r w:rsidRPr="001B5D2B">
        <w:rPr>
          <w:rFonts w:ascii="Arial" w:hAnsi="Arial" w:cs="Arial"/>
          <w:sz w:val="20"/>
          <w:szCs w:val="20"/>
        </w:rPr>
        <w:t xml:space="preserve">Venkatesan, S., &amp; Ganapathy, M. N. K. (2004). </w:t>
      </w:r>
      <w:r w:rsidRPr="001B5D2B">
        <w:rPr>
          <w:rStyle w:val="Emphasis"/>
          <w:rFonts w:ascii="Arial" w:hAnsi="Arial" w:cs="Arial"/>
          <w:sz w:val="20"/>
          <w:szCs w:val="20"/>
        </w:rPr>
        <w:t>Impact of nitrogen and potassium fertilizer application on quality of CTC teas.</w:t>
      </w:r>
      <w:r w:rsidRPr="001B5D2B">
        <w:rPr>
          <w:rFonts w:ascii="Arial" w:hAnsi="Arial" w:cs="Arial"/>
          <w:sz w:val="20"/>
          <w:szCs w:val="20"/>
        </w:rPr>
        <w:t xml:space="preserve"> </w:t>
      </w:r>
      <w:r w:rsidRPr="001B5D2B">
        <w:rPr>
          <w:rStyle w:val="Emphasis"/>
          <w:rFonts w:ascii="Arial" w:hAnsi="Arial" w:cs="Arial"/>
          <w:sz w:val="20"/>
          <w:szCs w:val="20"/>
        </w:rPr>
        <w:t>Food Chemistry,</w:t>
      </w:r>
      <w:r w:rsidRPr="001B5D2B">
        <w:rPr>
          <w:rFonts w:ascii="Arial" w:hAnsi="Arial" w:cs="Arial"/>
          <w:sz w:val="20"/>
          <w:szCs w:val="20"/>
        </w:rPr>
        <w:t xml:space="preserve"> </w:t>
      </w:r>
      <w:r w:rsidRPr="001B5D2B">
        <w:rPr>
          <w:rStyle w:val="Strong"/>
          <w:rFonts w:ascii="Arial" w:hAnsi="Arial" w:cs="Arial"/>
          <w:b w:val="0"/>
          <w:bCs w:val="0"/>
          <w:sz w:val="20"/>
          <w:szCs w:val="20"/>
        </w:rPr>
        <w:t>84</w:t>
      </w:r>
      <w:r w:rsidRPr="001B5D2B">
        <w:rPr>
          <w:rFonts w:ascii="Arial" w:hAnsi="Arial" w:cs="Arial"/>
          <w:sz w:val="20"/>
          <w:szCs w:val="20"/>
        </w:rPr>
        <w:t>, 325–328.</w:t>
      </w:r>
      <w:r w:rsidRPr="001B5D2B">
        <w:rPr>
          <w:rFonts w:ascii="Arial" w:hAnsi="Arial" w:cs="Arial"/>
          <w:sz w:val="20"/>
          <w:szCs w:val="20"/>
        </w:rPr>
        <w:br/>
      </w:r>
      <w:hyperlink r:id="rId23" w:tgtFrame="_new" w:history="1">
        <w:r w:rsidRPr="001B5D2B">
          <w:rPr>
            <w:rStyle w:val="Hyperlink"/>
            <w:rFonts w:ascii="Arial" w:hAnsi="Arial" w:cs="Arial"/>
            <w:color w:val="4F81BD" w:themeColor="accent1"/>
            <w:sz w:val="20"/>
            <w:szCs w:val="20"/>
          </w:rPr>
          <w:t>https://doi.org/10.1016/S0308-8146(03)00215-2</w:t>
        </w:r>
      </w:hyperlink>
    </w:p>
    <w:p w14:paraId="1AB6C088" w14:textId="67AECDD5" w:rsidR="004F7869" w:rsidRPr="004F7869" w:rsidRDefault="004F7869" w:rsidP="00BE05D5">
      <w:pPr>
        <w:pStyle w:val="ListParagraph"/>
        <w:numPr>
          <w:ilvl w:val="0"/>
          <w:numId w:val="33"/>
        </w:numPr>
        <w:spacing w:line="240" w:lineRule="auto"/>
        <w:jc w:val="both"/>
        <w:rPr>
          <w:rFonts w:ascii="Arial" w:hAnsi="Arial" w:cs="Arial"/>
          <w:sz w:val="8"/>
          <w:szCs w:val="8"/>
        </w:rPr>
      </w:pPr>
      <w:proofErr w:type="spellStart"/>
      <w:r w:rsidRPr="004F7869">
        <w:rPr>
          <w:rFonts w:ascii="Arial" w:hAnsi="Arial" w:cs="Arial"/>
          <w:sz w:val="20"/>
          <w:szCs w:val="20"/>
        </w:rPr>
        <w:t>Mansingh</w:t>
      </w:r>
      <w:proofErr w:type="spellEnd"/>
      <w:r w:rsidRPr="004F7869">
        <w:rPr>
          <w:rFonts w:ascii="Arial" w:hAnsi="Arial" w:cs="Arial"/>
          <w:sz w:val="20"/>
          <w:szCs w:val="20"/>
        </w:rPr>
        <w:t xml:space="preserve">, P., &amp; </w:t>
      </w:r>
      <w:proofErr w:type="spellStart"/>
      <w:r w:rsidRPr="004F7869">
        <w:rPr>
          <w:rFonts w:ascii="Arial" w:hAnsi="Arial" w:cs="Arial"/>
          <w:sz w:val="20"/>
          <w:szCs w:val="20"/>
        </w:rPr>
        <w:t>Liby</w:t>
      </w:r>
      <w:proofErr w:type="spellEnd"/>
      <w:r w:rsidRPr="004F7869">
        <w:rPr>
          <w:rFonts w:ascii="Arial" w:hAnsi="Arial" w:cs="Arial"/>
          <w:sz w:val="20"/>
          <w:szCs w:val="20"/>
        </w:rPr>
        <w:t xml:space="preserve">. T. Johnson. (2012). Comparative analysis of existing models of small tea growers in tea value chain in the </w:t>
      </w:r>
      <w:proofErr w:type="spellStart"/>
      <w:r w:rsidRPr="004F7869">
        <w:rPr>
          <w:rFonts w:ascii="Arial" w:hAnsi="Arial" w:cs="Arial"/>
          <w:sz w:val="20"/>
          <w:szCs w:val="20"/>
        </w:rPr>
        <w:t>Nilgiris</w:t>
      </w:r>
      <w:proofErr w:type="spellEnd"/>
      <w:r w:rsidRPr="004F7869">
        <w:rPr>
          <w:rFonts w:ascii="Arial" w:hAnsi="Arial" w:cs="Arial"/>
          <w:sz w:val="20"/>
          <w:szCs w:val="20"/>
        </w:rPr>
        <w:t>. Thiruvananthapuram: Centre for Development Studies.</w:t>
      </w:r>
      <w:r>
        <w:rPr>
          <w:rFonts w:ascii="Arial" w:hAnsi="Arial" w:cs="Arial"/>
          <w:sz w:val="20"/>
          <w:szCs w:val="20"/>
        </w:rPr>
        <w:t xml:space="preserve"> </w:t>
      </w:r>
      <w:hyperlink r:id="rId24" w:history="1">
        <w:r w:rsidRPr="00471EE5">
          <w:rPr>
            <w:rStyle w:val="Hyperlink"/>
            <w:rFonts w:ascii="Arial" w:hAnsi="Arial" w:cs="Arial"/>
            <w:sz w:val="20"/>
            <w:szCs w:val="20"/>
          </w:rPr>
          <w:t>https://cds.edu/wp-content/uploads/2021/02/NRPPD20.pdf</w:t>
        </w:r>
      </w:hyperlink>
    </w:p>
    <w:p w14:paraId="2316C9C6" w14:textId="77777777" w:rsidR="004F7869" w:rsidRPr="004F7869" w:rsidRDefault="004F7869" w:rsidP="004F7869">
      <w:pPr>
        <w:pStyle w:val="ListParagraph"/>
        <w:spacing w:line="240" w:lineRule="auto"/>
        <w:ind w:left="502"/>
        <w:jc w:val="both"/>
        <w:rPr>
          <w:rFonts w:ascii="Arial" w:hAnsi="Arial" w:cs="Arial"/>
          <w:sz w:val="8"/>
          <w:szCs w:val="8"/>
        </w:rPr>
      </w:pPr>
    </w:p>
    <w:p w14:paraId="40AD2E07" w14:textId="3432C4DA" w:rsidR="00BE05D5" w:rsidRPr="001B5D2B" w:rsidRDefault="00BE05D5" w:rsidP="00BE05D5">
      <w:pPr>
        <w:pStyle w:val="ListParagraph"/>
        <w:numPr>
          <w:ilvl w:val="0"/>
          <w:numId w:val="33"/>
        </w:numPr>
        <w:spacing w:line="240" w:lineRule="auto"/>
        <w:jc w:val="both"/>
        <w:rPr>
          <w:rFonts w:ascii="Arial" w:hAnsi="Arial" w:cs="Arial"/>
          <w:sz w:val="8"/>
          <w:szCs w:val="8"/>
        </w:rPr>
      </w:pPr>
      <w:proofErr w:type="spellStart"/>
      <w:r w:rsidRPr="001B5D2B">
        <w:rPr>
          <w:rFonts w:ascii="Arial" w:hAnsi="Arial" w:cs="Arial"/>
          <w:sz w:val="20"/>
          <w:szCs w:val="20"/>
        </w:rPr>
        <w:t>Sah</w:t>
      </w:r>
      <w:proofErr w:type="spellEnd"/>
      <w:r w:rsidRPr="001B5D2B">
        <w:rPr>
          <w:rFonts w:ascii="Arial" w:hAnsi="Arial" w:cs="Arial"/>
          <w:sz w:val="20"/>
          <w:szCs w:val="20"/>
        </w:rPr>
        <w:t xml:space="preserve">a, D. (2020). </w:t>
      </w:r>
      <w:r w:rsidRPr="001B5D2B">
        <w:rPr>
          <w:rStyle w:val="Emphasis"/>
          <w:rFonts w:ascii="Arial" w:hAnsi="Arial" w:cs="Arial"/>
          <w:sz w:val="20"/>
          <w:szCs w:val="20"/>
        </w:rPr>
        <w:t>Producer collectives through self-help: Sustainability of small tea growers in India.</w:t>
      </w:r>
      <w:r w:rsidRPr="001B5D2B">
        <w:rPr>
          <w:rFonts w:ascii="Arial" w:hAnsi="Arial" w:cs="Arial"/>
          <w:sz w:val="20"/>
          <w:szCs w:val="20"/>
        </w:rPr>
        <w:t xml:space="preserve"> </w:t>
      </w:r>
      <w:r w:rsidRPr="001B5D2B">
        <w:rPr>
          <w:rStyle w:val="Emphasis"/>
          <w:rFonts w:ascii="Arial" w:hAnsi="Arial" w:cs="Arial"/>
          <w:sz w:val="20"/>
          <w:szCs w:val="20"/>
        </w:rPr>
        <w:t>International Review of Applied Economics,</w:t>
      </w:r>
      <w:r w:rsidRPr="001B5D2B">
        <w:rPr>
          <w:rFonts w:ascii="Arial" w:hAnsi="Arial" w:cs="Arial"/>
          <w:sz w:val="20"/>
          <w:szCs w:val="20"/>
        </w:rPr>
        <w:t xml:space="preserve"> </w:t>
      </w:r>
      <w:r w:rsidRPr="001B5D2B">
        <w:rPr>
          <w:rStyle w:val="Strong"/>
          <w:rFonts w:ascii="Arial" w:hAnsi="Arial" w:cs="Arial"/>
          <w:b w:val="0"/>
          <w:bCs w:val="0"/>
          <w:sz w:val="20"/>
          <w:szCs w:val="20"/>
        </w:rPr>
        <w:t>34</w:t>
      </w:r>
      <w:r w:rsidRPr="001B5D2B">
        <w:rPr>
          <w:rFonts w:ascii="Arial" w:hAnsi="Arial" w:cs="Arial"/>
          <w:sz w:val="20"/>
          <w:szCs w:val="20"/>
        </w:rPr>
        <w:t>(4), 471–490.</w:t>
      </w:r>
      <w:r w:rsidRPr="001B5D2B">
        <w:rPr>
          <w:rFonts w:ascii="Arial" w:hAnsi="Arial" w:cs="Arial"/>
          <w:sz w:val="20"/>
          <w:szCs w:val="20"/>
        </w:rPr>
        <w:br/>
      </w:r>
      <w:hyperlink r:id="rId25" w:tgtFrame="_new" w:history="1">
        <w:r w:rsidRPr="001B5D2B">
          <w:rPr>
            <w:rStyle w:val="Hyperlink"/>
            <w:rFonts w:ascii="Arial" w:hAnsi="Arial" w:cs="Arial"/>
            <w:color w:val="4F81BD" w:themeColor="accent1"/>
            <w:sz w:val="20"/>
            <w:szCs w:val="20"/>
          </w:rPr>
          <w:t>https://doi.org/10.1080/02692171.2020.1773646</w:t>
        </w:r>
      </w:hyperlink>
    </w:p>
    <w:p w14:paraId="4ECB9B55"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6"/>
          <w:szCs w:val="6"/>
        </w:rPr>
      </w:pPr>
      <w:r w:rsidRPr="001B5D2B">
        <w:rPr>
          <w:rFonts w:ascii="Arial" w:hAnsi="Arial" w:cs="Arial"/>
          <w:sz w:val="20"/>
          <w:szCs w:val="20"/>
        </w:rPr>
        <w:t xml:space="preserve">Caritas India. (2022). </w:t>
      </w:r>
      <w:r w:rsidRPr="001B5D2B">
        <w:rPr>
          <w:rStyle w:val="Emphasis"/>
          <w:rFonts w:ascii="Arial" w:hAnsi="Arial" w:cs="Arial"/>
          <w:sz w:val="20"/>
          <w:szCs w:val="20"/>
        </w:rPr>
        <w:t>Empowering small tea growers through sustainable livelihoods project report.</w:t>
      </w:r>
      <w:r w:rsidRPr="001B5D2B">
        <w:rPr>
          <w:rFonts w:ascii="Arial" w:hAnsi="Arial" w:cs="Arial"/>
          <w:sz w:val="20"/>
          <w:szCs w:val="20"/>
        </w:rPr>
        <w:t xml:space="preserve"> Caritas India, New Delhi. [Online]</w:t>
      </w:r>
      <w:r w:rsidRPr="001B5D2B">
        <w:rPr>
          <w:rFonts w:ascii="Arial" w:hAnsi="Arial" w:cs="Arial"/>
          <w:sz w:val="20"/>
          <w:szCs w:val="20"/>
        </w:rPr>
        <w:br/>
        <w:t xml:space="preserve">Available: </w:t>
      </w:r>
      <w:hyperlink r:id="rId26" w:tgtFrame="_new" w:history="1">
        <w:r w:rsidRPr="001B5D2B">
          <w:rPr>
            <w:rStyle w:val="Hyperlink"/>
            <w:rFonts w:ascii="Arial" w:hAnsi="Arial" w:cs="Arial"/>
            <w:color w:val="4F81BD" w:themeColor="accent1"/>
            <w:sz w:val="20"/>
            <w:szCs w:val="20"/>
          </w:rPr>
          <w:t>https://www.caritasindia.org</w:t>
        </w:r>
      </w:hyperlink>
    </w:p>
    <w:p w14:paraId="7412EF15" w14:textId="77777777" w:rsidR="00BE05D5" w:rsidRPr="001B5D2B" w:rsidRDefault="00BE05D5" w:rsidP="00BE05D5">
      <w:pPr>
        <w:pStyle w:val="ListParagraph"/>
        <w:numPr>
          <w:ilvl w:val="0"/>
          <w:numId w:val="33"/>
        </w:numPr>
        <w:spacing w:line="240" w:lineRule="auto"/>
        <w:jc w:val="both"/>
        <w:rPr>
          <w:rFonts w:ascii="Arial" w:hAnsi="Arial" w:cs="Arial"/>
          <w:sz w:val="4"/>
          <w:szCs w:val="4"/>
        </w:rPr>
      </w:pPr>
      <w:r w:rsidRPr="001B5D2B">
        <w:rPr>
          <w:rFonts w:ascii="Arial" w:hAnsi="Arial" w:cs="Arial"/>
          <w:sz w:val="20"/>
          <w:szCs w:val="20"/>
        </w:rPr>
        <w:t xml:space="preserve">Saikia, P., &amp; Bhattacharyya, A. K. (2022). </w:t>
      </w:r>
      <w:r w:rsidRPr="001B5D2B">
        <w:rPr>
          <w:rStyle w:val="Emphasis"/>
          <w:rFonts w:ascii="Arial" w:hAnsi="Arial" w:cs="Arial"/>
          <w:sz w:val="20"/>
          <w:szCs w:val="20"/>
        </w:rPr>
        <w:t>Strategies to enhance the adoption of recommended tea cultivation practices by trained and untrained small tea growers in the state of Assam.</w:t>
      </w:r>
      <w:r w:rsidRPr="001B5D2B">
        <w:rPr>
          <w:rFonts w:ascii="Arial" w:hAnsi="Arial" w:cs="Arial"/>
          <w:sz w:val="20"/>
          <w:szCs w:val="20"/>
        </w:rPr>
        <w:t xml:space="preserve"> </w:t>
      </w:r>
      <w:r w:rsidRPr="001B5D2B">
        <w:rPr>
          <w:rStyle w:val="Emphasis"/>
          <w:rFonts w:ascii="Arial" w:hAnsi="Arial" w:cs="Arial"/>
          <w:sz w:val="20"/>
          <w:szCs w:val="20"/>
        </w:rPr>
        <w:t>Asian Journal of Agricultural Extension, Economics &amp; Sociology,</w:t>
      </w:r>
      <w:r w:rsidRPr="001B5D2B">
        <w:rPr>
          <w:rFonts w:ascii="Arial" w:hAnsi="Arial" w:cs="Arial"/>
          <w:sz w:val="20"/>
          <w:szCs w:val="20"/>
        </w:rPr>
        <w:t xml:space="preserve"> </w:t>
      </w:r>
      <w:r w:rsidRPr="001B5D2B">
        <w:rPr>
          <w:rStyle w:val="Strong"/>
          <w:rFonts w:ascii="Arial" w:hAnsi="Arial" w:cs="Arial"/>
          <w:b w:val="0"/>
          <w:bCs w:val="0"/>
          <w:sz w:val="20"/>
          <w:szCs w:val="20"/>
        </w:rPr>
        <w:t>40</w:t>
      </w:r>
      <w:r w:rsidRPr="001B5D2B">
        <w:rPr>
          <w:rFonts w:ascii="Arial" w:hAnsi="Arial" w:cs="Arial"/>
          <w:sz w:val="20"/>
          <w:szCs w:val="20"/>
        </w:rPr>
        <w:t>(9), 394–397.</w:t>
      </w:r>
      <w:r w:rsidRPr="001B5D2B">
        <w:rPr>
          <w:rFonts w:ascii="Arial" w:hAnsi="Arial" w:cs="Arial"/>
          <w:sz w:val="20"/>
          <w:szCs w:val="20"/>
        </w:rPr>
        <w:br/>
      </w:r>
      <w:hyperlink r:id="rId27" w:tgtFrame="_new" w:history="1">
        <w:r w:rsidRPr="001B5D2B">
          <w:rPr>
            <w:rStyle w:val="Hyperlink"/>
            <w:rFonts w:ascii="Arial" w:hAnsi="Arial" w:cs="Arial"/>
            <w:color w:val="4F81BD" w:themeColor="accent1"/>
            <w:sz w:val="20"/>
            <w:szCs w:val="20"/>
          </w:rPr>
          <w:t>https://doi.org/10.9734/ajaees/2022/v40i931019</w:t>
        </w:r>
      </w:hyperlink>
    </w:p>
    <w:p w14:paraId="2E8336E2" w14:textId="77777777" w:rsidR="004F7869" w:rsidRPr="004F7869" w:rsidRDefault="004F7869" w:rsidP="00BE05D5">
      <w:pPr>
        <w:pStyle w:val="ListParagraph"/>
        <w:numPr>
          <w:ilvl w:val="0"/>
          <w:numId w:val="33"/>
        </w:numPr>
        <w:spacing w:line="240" w:lineRule="auto"/>
        <w:jc w:val="both"/>
        <w:rPr>
          <w:rFonts w:ascii="Arial" w:hAnsi="Arial" w:cs="Arial"/>
          <w:sz w:val="2"/>
          <w:szCs w:val="2"/>
        </w:rPr>
      </w:pPr>
      <w:proofErr w:type="spellStart"/>
      <w:r w:rsidRPr="004F7869">
        <w:rPr>
          <w:rFonts w:ascii="Arial" w:hAnsi="Arial" w:cs="Arial"/>
          <w:sz w:val="20"/>
          <w:szCs w:val="20"/>
        </w:rPr>
        <w:t>Tanui</w:t>
      </w:r>
      <w:proofErr w:type="spellEnd"/>
      <w:r w:rsidRPr="004F7869">
        <w:rPr>
          <w:rFonts w:ascii="Arial" w:hAnsi="Arial" w:cs="Arial"/>
          <w:sz w:val="20"/>
          <w:szCs w:val="20"/>
        </w:rPr>
        <w:t xml:space="preserve">, J. K., Feng, W., Li, X., Wang, Y., &amp; </w:t>
      </w:r>
      <w:proofErr w:type="spellStart"/>
      <w:r w:rsidRPr="004F7869">
        <w:rPr>
          <w:rFonts w:ascii="Arial" w:hAnsi="Arial" w:cs="Arial"/>
          <w:sz w:val="20"/>
          <w:szCs w:val="20"/>
        </w:rPr>
        <w:t>Kipsat</w:t>
      </w:r>
      <w:proofErr w:type="spellEnd"/>
      <w:r w:rsidRPr="004F7869">
        <w:rPr>
          <w:rFonts w:ascii="Arial" w:hAnsi="Arial" w:cs="Arial"/>
          <w:sz w:val="20"/>
          <w:szCs w:val="20"/>
        </w:rPr>
        <w:t>, M. J. (2012). Socio-economic constraints to adoption of yield improving tea farming technologies: A study of small holder tea farmers affiliated to estates in Nandi Hills, Kenya. African Journal of Agricultural Research, 7(16), 2560-2568.</w:t>
      </w:r>
    </w:p>
    <w:p w14:paraId="40ED76C0" w14:textId="196E10B2"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t xml:space="preserve">Tea Board of India (TBI). (2022). </w:t>
      </w:r>
      <w:r w:rsidRPr="001B5D2B">
        <w:rPr>
          <w:rStyle w:val="Emphasis"/>
          <w:rFonts w:ascii="Arial" w:hAnsi="Arial" w:cs="Arial"/>
          <w:sz w:val="20"/>
          <w:szCs w:val="20"/>
        </w:rPr>
        <w:t>District-wise area and production of tea in India – 2021–2022.</w:t>
      </w:r>
      <w:r w:rsidRPr="001B5D2B">
        <w:rPr>
          <w:rFonts w:ascii="Arial" w:hAnsi="Arial" w:cs="Arial"/>
          <w:sz w:val="20"/>
          <w:szCs w:val="20"/>
        </w:rPr>
        <w:t xml:space="preserve"> Tea Board of India, Ministry of Commerce and Industry, Government of India. [Online]</w:t>
      </w:r>
      <w:r w:rsidRPr="001B5D2B">
        <w:rPr>
          <w:rFonts w:ascii="Arial" w:hAnsi="Arial" w:cs="Arial"/>
          <w:sz w:val="20"/>
          <w:szCs w:val="20"/>
        </w:rPr>
        <w:br/>
        <w:t xml:space="preserve">Available: </w:t>
      </w:r>
      <w:hyperlink r:id="rId28" w:tgtFrame="_new" w:history="1">
        <w:r w:rsidRPr="001B5D2B">
          <w:rPr>
            <w:rStyle w:val="Hyperlink"/>
            <w:rFonts w:ascii="Arial" w:hAnsi="Arial" w:cs="Arial"/>
            <w:color w:val="4F81BD" w:themeColor="accent1"/>
            <w:sz w:val="20"/>
            <w:szCs w:val="20"/>
          </w:rPr>
          <w:t>https://www.teaboard.gov.in</w:t>
        </w:r>
      </w:hyperlink>
    </w:p>
    <w:p w14:paraId="70F18168" w14:textId="77777777" w:rsidR="00BE05D5" w:rsidRPr="001B5D2B" w:rsidRDefault="00BE05D5" w:rsidP="00BE05D5">
      <w:pPr>
        <w:pStyle w:val="ListParagraph"/>
        <w:numPr>
          <w:ilvl w:val="0"/>
          <w:numId w:val="33"/>
        </w:numPr>
        <w:spacing w:after="0" w:line="240" w:lineRule="auto"/>
        <w:jc w:val="both"/>
        <w:rPr>
          <w:rFonts w:ascii="Arial" w:hAnsi="Arial" w:cs="Arial"/>
          <w:sz w:val="20"/>
          <w:szCs w:val="20"/>
        </w:rPr>
        <w:sectPr w:rsidR="00BE05D5" w:rsidRPr="001B5D2B" w:rsidSect="00BE05D5">
          <w:type w:val="continuous"/>
          <w:pgSz w:w="11906" w:h="16838" w:code="9"/>
          <w:pgMar w:top="1440" w:right="1750" w:bottom="2016" w:left="1418" w:header="720" w:footer="1123" w:gutter="0"/>
          <w:cols w:num="2" w:space="720"/>
          <w:docGrid w:linePitch="272"/>
        </w:sectPr>
      </w:pPr>
    </w:p>
    <w:p w14:paraId="7BFE74EE" w14:textId="77777777" w:rsidR="00BE05D5" w:rsidRPr="001B5D2B" w:rsidRDefault="00BE05D5" w:rsidP="00BE05D5">
      <w:pPr>
        <w:pStyle w:val="ListParagraph"/>
        <w:numPr>
          <w:ilvl w:val="0"/>
          <w:numId w:val="33"/>
        </w:numPr>
        <w:spacing w:after="0" w:line="240" w:lineRule="auto"/>
        <w:jc w:val="both"/>
        <w:rPr>
          <w:rFonts w:ascii="Arial" w:hAnsi="Arial" w:cs="Arial"/>
          <w:color w:val="4F81BD" w:themeColor="accent1"/>
          <w:sz w:val="2"/>
          <w:szCs w:val="2"/>
        </w:rPr>
      </w:pPr>
      <w:proofErr w:type="spellStart"/>
      <w:r w:rsidRPr="001B5D2B">
        <w:rPr>
          <w:rFonts w:ascii="Arial" w:hAnsi="Arial" w:cs="Arial"/>
          <w:sz w:val="20"/>
          <w:szCs w:val="20"/>
        </w:rPr>
        <w:t>Siyum</w:t>
      </w:r>
      <w:proofErr w:type="spellEnd"/>
      <w:r w:rsidRPr="001B5D2B">
        <w:rPr>
          <w:rFonts w:ascii="Arial" w:hAnsi="Arial" w:cs="Arial"/>
          <w:sz w:val="20"/>
          <w:szCs w:val="20"/>
        </w:rPr>
        <w:t xml:space="preserve">, N., </w:t>
      </w:r>
      <w:proofErr w:type="spellStart"/>
      <w:r w:rsidRPr="001B5D2B">
        <w:rPr>
          <w:rFonts w:ascii="Arial" w:hAnsi="Arial" w:cs="Arial"/>
          <w:sz w:val="20"/>
          <w:szCs w:val="20"/>
        </w:rPr>
        <w:t>Giziew</w:t>
      </w:r>
      <w:proofErr w:type="spellEnd"/>
      <w:r w:rsidRPr="001B5D2B">
        <w:rPr>
          <w:rFonts w:ascii="Arial" w:hAnsi="Arial" w:cs="Arial"/>
          <w:sz w:val="20"/>
          <w:szCs w:val="20"/>
        </w:rPr>
        <w:t xml:space="preserve">, A., &amp; Abebe, A. (2022). </w:t>
      </w:r>
      <w:r w:rsidRPr="001B5D2B">
        <w:rPr>
          <w:rStyle w:val="Emphasis"/>
          <w:rFonts w:ascii="Arial" w:hAnsi="Arial" w:cs="Arial"/>
          <w:sz w:val="20"/>
          <w:szCs w:val="20"/>
        </w:rPr>
        <w:t xml:space="preserve">Factors influencing adoption of improved bread wheat technologies in Ethiopia: Empirical evidence from </w:t>
      </w:r>
      <w:proofErr w:type="spellStart"/>
      <w:r w:rsidRPr="001B5D2B">
        <w:rPr>
          <w:rStyle w:val="Emphasis"/>
          <w:rFonts w:ascii="Arial" w:hAnsi="Arial" w:cs="Arial"/>
          <w:sz w:val="20"/>
          <w:szCs w:val="20"/>
        </w:rPr>
        <w:t>Meket</w:t>
      </w:r>
      <w:proofErr w:type="spellEnd"/>
      <w:r w:rsidRPr="001B5D2B">
        <w:rPr>
          <w:rStyle w:val="Emphasis"/>
          <w:rFonts w:ascii="Arial" w:hAnsi="Arial" w:cs="Arial"/>
          <w:sz w:val="20"/>
          <w:szCs w:val="20"/>
        </w:rPr>
        <w:t xml:space="preserve"> district.</w:t>
      </w:r>
      <w:r w:rsidRPr="001B5D2B">
        <w:rPr>
          <w:rFonts w:ascii="Arial" w:hAnsi="Arial" w:cs="Arial"/>
          <w:sz w:val="20"/>
          <w:szCs w:val="20"/>
        </w:rPr>
        <w:t xml:space="preserve"> </w:t>
      </w:r>
      <w:proofErr w:type="spellStart"/>
      <w:r w:rsidRPr="001B5D2B">
        <w:rPr>
          <w:rStyle w:val="Emphasis"/>
          <w:rFonts w:ascii="Arial" w:hAnsi="Arial" w:cs="Arial"/>
          <w:sz w:val="20"/>
          <w:szCs w:val="20"/>
        </w:rPr>
        <w:t>Heliyon</w:t>
      </w:r>
      <w:proofErr w:type="spellEnd"/>
      <w:r w:rsidRPr="001B5D2B">
        <w:rPr>
          <w:rStyle w:val="Emphasis"/>
          <w:rFonts w:ascii="Arial" w:hAnsi="Arial" w:cs="Arial"/>
          <w:sz w:val="20"/>
          <w:szCs w:val="20"/>
        </w:rPr>
        <w:t>,</w:t>
      </w:r>
      <w:r w:rsidRPr="001B5D2B">
        <w:rPr>
          <w:rFonts w:ascii="Arial" w:hAnsi="Arial" w:cs="Arial"/>
          <w:sz w:val="20"/>
          <w:szCs w:val="20"/>
        </w:rPr>
        <w:t xml:space="preserve"> </w:t>
      </w:r>
      <w:r w:rsidRPr="001B5D2B">
        <w:rPr>
          <w:rStyle w:val="Strong"/>
          <w:rFonts w:ascii="Arial" w:hAnsi="Arial" w:cs="Arial"/>
          <w:b w:val="0"/>
          <w:bCs w:val="0"/>
          <w:sz w:val="20"/>
          <w:szCs w:val="20"/>
        </w:rPr>
        <w:t>8</w:t>
      </w:r>
      <w:r w:rsidRPr="001B5D2B">
        <w:rPr>
          <w:rFonts w:ascii="Arial" w:hAnsi="Arial" w:cs="Arial"/>
          <w:sz w:val="20"/>
          <w:szCs w:val="20"/>
        </w:rPr>
        <w:t>, e08876.</w:t>
      </w:r>
      <w:r w:rsidRPr="001B5D2B">
        <w:rPr>
          <w:rFonts w:ascii="Arial" w:hAnsi="Arial" w:cs="Arial"/>
          <w:sz w:val="20"/>
          <w:szCs w:val="20"/>
        </w:rPr>
        <w:br/>
      </w:r>
      <w:hyperlink r:id="rId29" w:tgtFrame="_new" w:history="1">
        <w:r w:rsidRPr="001B5D2B">
          <w:rPr>
            <w:rStyle w:val="Hyperlink"/>
            <w:rFonts w:ascii="Arial" w:hAnsi="Arial" w:cs="Arial"/>
            <w:color w:val="4F81BD" w:themeColor="accent1"/>
            <w:sz w:val="20"/>
            <w:szCs w:val="20"/>
          </w:rPr>
          <w:t>https://doi.org/10.1016/j.heliyon.2022.e08876</w:t>
        </w:r>
      </w:hyperlink>
    </w:p>
    <w:p w14:paraId="6BD8BBEE" w14:textId="77777777" w:rsidR="00BE05D5" w:rsidRPr="001B5D2B" w:rsidRDefault="00BE05D5" w:rsidP="00BE05D5">
      <w:pPr>
        <w:pStyle w:val="NormalWeb"/>
        <w:numPr>
          <w:ilvl w:val="0"/>
          <w:numId w:val="33"/>
        </w:numPr>
        <w:spacing w:after="0" w:afterAutospacing="0"/>
        <w:jc w:val="both"/>
        <w:rPr>
          <w:rFonts w:ascii="Arial" w:hAnsi="Arial" w:cs="Arial"/>
          <w:sz w:val="20"/>
          <w:szCs w:val="20"/>
        </w:rPr>
      </w:pPr>
      <w:r w:rsidRPr="001B5D2B">
        <w:rPr>
          <w:rFonts w:ascii="Arial" w:hAnsi="Arial" w:cs="Arial"/>
          <w:sz w:val="20"/>
          <w:szCs w:val="20"/>
        </w:rPr>
        <w:t xml:space="preserve">National Sample Survey Office (NSSO). (2021). </w:t>
      </w:r>
      <w:r w:rsidRPr="001B5D2B">
        <w:rPr>
          <w:rStyle w:val="Emphasis"/>
          <w:rFonts w:ascii="Arial" w:hAnsi="Arial" w:cs="Arial"/>
          <w:sz w:val="20"/>
          <w:szCs w:val="20"/>
        </w:rPr>
        <w:t>Situation assessment of agricultural households and land holdings of households in rural India, 2019.</w:t>
      </w:r>
      <w:r w:rsidRPr="001B5D2B">
        <w:rPr>
          <w:rFonts w:ascii="Arial" w:hAnsi="Arial" w:cs="Arial"/>
          <w:sz w:val="20"/>
          <w:szCs w:val="20"/>
        </w:rPr>
        <w:t xml:space="preserve"> Ministry of Statistics and Programme Implementation, Government of India, New Delhi.</w:t>
      </w:r>
    </w:p>
    <w:p w14:paraId="609718BC" w14:textId="77777777" w:rsidR="004F7869" w:rsidRPr="004F7869" w:rsidRDefault="004F7869" w:rsidP="00BE05D5">
      <w:pPr>
        <w:pStyle w:val="ListParagraph"/>
        <w:numPr>
          <w:ilvl w:val="0"/>
          <w:numId w:val="33"/>
        </w:numPr>
        <w:spacing w:line="240" w:lineRule="auto"/>
        <w:jc w:val="both"/>
        <w:rPr>
          <w:rFonts w:ascii="Arial" w:hAnsi="Arial" w:cs="Arial"/>
          <w:color w:val="4F81BD" w:themeColor="accent1"/>
          <w:sz w:val="2"/>
          <w:szCs w:val="2"/>
        </w:rPr>
      </w:pPr>
      <w:proofErr w:type="spellStart"/>
      <w:r w:rsidRPr="004F7869">
        <w:rPr>
          <w:rFonts w:ascii="Arial" w:hAnsi="Arial" w:cs="Arial"/>
          <w:sz w:val="20"/>
          <w:szCs w:val="20"/>
        </w:rPr>
        <w:t>Likoudis</w:t>
      </w:r>
      <w:proofErr w:type="spellEnd"/>
      <w:r w:rsidRPr="004F7869">
        <w:rPr>
          <w:rFonts w:ascii="Arial" w:hAnsi="Arial" w:cs="Arial"/>
          <w:sz w:val="20"/>
          <w:szCs w:val="20"/>
        </w:rPr>
        <w:t xml:space="preserve">, Z., </w:t>
      </w:r>
      <w:proofErr w:type="spellStart"/>
      <w:r w:rsidRPr="004F7869">
        <w:rPr>
          <w:rFonts w:ascii="Arial" w:hAnsi="Arial" w:cs="Arial"/>
          <w:sz w:val="20"/>
          <w:szCs w:val="20"/>
        </w:rPr>
        <w:t>Sdrali</w:t>
      </w:r>
      <w:proofErr w:type="spellEnd"/>
      <w:r w:rsidRPr="004F7869">
        <w:rPr>
          <w:rFonts w:ascii="Arial" w:hAnsi="Arial" w:cs="Arial"/>
          <w:sz w:val="20"/>
          <w:szCs w:val="20"/>
        </w:rPr>
        <w:t xml:space="preserve">, D., </w:t>
      </w:r>
      <w:proofErr w:type="spellStart"/>
      <w:r w:rsidRPr="004F7869">
        <w:rPr>
          <w:rFonts w:ascii="Arial" w:hAnsi="Arial" w:cs="Arial"/>
          <w:sz w:val="20"/>
          <w:szCs w:val="20"/>
        </w:rPr>
        <w:t>Costarelli</w:t>
      </w:r>
      <w:proofErr w:type="spellEnd"/>
      <w:r w:rsidRPr="004F7869">
        <w:rPr>
          <w:rFonts w:ascii="Arial" w:hAnsi="Arial" w:cs="Arial"/>
          <w:sz w:val="20"/>
          <w:szCs w:val="20"/>
        </w:rPr>
        <w:t xml:space="preserve">, V., &amp; </w:t>
      </w:r>
      <w:proofErr w:type="spellStart"/>
      <w:r w:rsidRPr="004F7869">
        <w:rPr>
          <w:rFonts w:ascii="Arial" w:hAnsi="Arial" w:cs="Arial"/>
          <w:sz w:val="20"/>
          <w:szCs w:val="20"/>
        </w:rPr>
        <w:t>Apostolopoulos</w:t>
      </w:r>
      <w:proofErr w:type="spellEnd"/>
      <w:r w:rsidRPr="004F7869">
        <w:rPr>
          <w:rFonts w:ascii="Arial" w:hAnsi="Arial" w:cs="Arial"/>
          <w:sz w:val="20"/>
          <w:szCs w:val="20"/>
        </w:rPr>
        <w:t xml:space="preserve">, C. (2016). Consumers’ intention to buy protected designation of origin and protected geographical indication foodstuffs: the case of G </w:t>
      </w:r>
      <w:proofErr w:type="spellStart"/>
      <w:r w:rsidRPr="004F7869">
        <w:rPr>
          <w:rFonts w:ascii="Arial" w:hAnsi="Arial" w:cs="Arial"/>
          <w:sz w:val="20"/>
          <w:szCs w:val="20"/>
        </w:rPr>
        <w:t>reece</w:t>
      </w:r>
      <w:proofErr w:type="spellEnd"/>
      <w:r w:rsidRPr="004F7869">
        <w:rPr>
          <w:rFonts w:ascii="Arial" w:hAnsi="Arial" w:cs="Arial"/>
          <w:sz w:val="20"/>
          <w:szCs w:val="20"/>
        </w:rPr>
        <w:t>. International Journal of Consumer Studies, 40(3), 283-289.</w:t>
      </w:r>
    </w:p>
    <w:p w14:paraId="56496517" w14:textId="77777777" w:rsidR="004F7869" w:rsidRPr="004F7869" w:rsidRDefault="004F7869" w:rsidP="00BE05D5">
      <w:pPr>
        <w:pStyle w:val="ListParagraph"/>
        <w:numPr>
          <w:ilvl w:val="0"/>
          <w:numId w:val="33"/>
        </w:numPr>
        <w:spacing w:line="240" w:lineRule="auto"/>
        <w:jc w:val="both"/>
        <w:rPr>
          <w:rFonts w:ascii="Arial" w:hAnsi="Arial" w:cs="Arial"/>
          <w:sz w:val="2"/>
          <w:szCs w:val="2"/>
        </w:rPr>
      </w:pPr>
      <w:proofErr w:type="spellStart"/>
      <w:r w:rsidRPr="004F7869">
        <w:rPr>
          <w:rFonts w:ascii="Arial" w:hAnsi="Arial" w:cs="Arial"/>
          <w:sz w:val="20"/>
          <w:szCs w:val="20"/>
        </w:rPr>
        <w:t>Baruwā</w:t>
      </w:r>
      <w:proofErr w:type="spellEnd"/>
      <w:r w:rsidRPr="004F7869">
        <w:rPr>
          <w:rFonts w:ascii="Arial" w:hAnsi="Arial" w:cs="Arial"/>
          <w:sz w:val="20"/>
          <w:szCs w:val="20"/>
        </w:rPr>
        <w:t>, P. (2008). The Tea Industry of Assam: Origin and Development. EBH Publishers (India).</w:t>
      </w:r>
    </w:p>
    <w:p w14:paraId="56BF0C10" w14:textId="27C54734" w:rsidR="00BE05D5" w:rsidRPr="001B5D2B" w:rsidRDefault="00BE05D5" w:rsidP="00BE05D5">
      <w:pPr>
        <w:pStyle w:val="ListParagraph"/>
        <w:numPr>
          <w:ilvl w:val="0"/>
          <w:numId w:val="33"/>
        </w:numPr>
        <w:spacing w:line="240" w:lineRule="auto"/>
        <w:jc w:val="both"/>
        <w:rPr>
          <w:rFonts w:ascii="Arial" w:hAnsi="Arial" w:cs="Arial"/>
          <w:sz w:val="2"/>
          <w:szCs w:val="2"/>
        </w:rPr>
      </w:pPr>
      <w:proofErr w:type="spellStart"/>
      <w:r w:rsidRPr="001B5D2B">
        <w:rPr>
          <w:rFonts w:ascii="Arial" w:hAnsi="Arial" w:cs="Arial"/>
          <w:sz w:val="20"/>
          <w:szCs w:val="20"/>
        </w:rPr>
        <w:t>Kanyua</w:t>
      </w:r>
      <w:proofErr w:type="spellEnd"/>
      <w:r w:rsidRPr="001B5D2B">
        <w:rPr>
          <w:rFonts w:ascii="Arial" w:hAnsi="Arial" w:cs="Arial"/>
          <w:sz w:val="20"/>
          <w:szCs w:val="20"/>
        </w:rPr>
        <w:t xml:space="preserve">, M., </w:t>
      </w:r>
      <w:proofErr w:type="spellStart"/>
      <w:r w:rsidRPr="001B5D2B">
        <w:rPr>
          <w:rFonts w:ascii="Arial" w:hAnsi="Arial" w:cs="Arial"/>
          <w:sz w:val="20"/>
          <w:szCs w:val="20"/>
        </w:rPr>
        <w:t>Ithinji</w:t>
      </w:r>
      <w:proofErr w:type="spellEnd"/>
      <w:r w:rsidRPr="001B5D2B">
        <w:rPr>
          <w:rFonts w:ascii="Arial" w:hAnsi="Arial" w:cs="Arial"/>
          <w:sz w:val="20"/>
          <w:szCs w:val="20"/>
        </w:rPr>
        <w:t xml:space="preserve">, G., Waluse, S., &amp; Wairimu, W. (2015). </w:t>
      </w:r>
      <w:r w:rsidRPr="001B5D2B">
        <w:rPr>
          <w:rStyle w:val="Emphasis"/>
          <w:rFonts w:ascii="Arial" w:hAnsi="Arial" w:cs="Arial"/>
          <w:sz w:val="20"/>
          <w:szCs w:val="20"/>
        </w:rPr>
        <w:t xml:space="preserve">Factors influencing profitability of diversified cash crop farming among smallholder tea farmers in </w:t>
      </w:r>
      <w:proofErr w:type="spellStart"/>
      <w:r w:rsidRPr="001B5D2B">
        <w:rPr>
          <w:rStyle w:val="Emphasis"/>
          <w:rFonts w:ascii="Arial" w:hAnsi="Arial" w:cs="Arial"/>
          <w:sz w:val="20"/>
          <w:szCs w:val="20"/>
        </w:rPr>
        <w:t>Gatanga</w:t>
      </w:r>
      <w:proofErr w:type="spellEnd"/>
      <w:r w:rsidRPr="001B5D2B">
        <w:rPr>
          <w:rStyle w:val="Emphasis"/>
          <w:rFonts w:ascii="Arial" w:hAnsi="Arial" w:cs="Arial"/>
          <w:sz w:val="20"/>
          <w:szCs w:val="20"/>
        </w:rPr>
        <w:t xml:space="preserve"> District, Kenya.</w:t>
      </w:r>
      <w:r w:rsidRPr="001B5D2B">
        <w:rPr>
          <w:rFonts w:ascii="Arial" w:hAnsi="Arial" w:cs="Arial"/>
          <w:sz w:val="20"/>
          <w:szCs w:val="20"/>
        </w:rPr>
        <w:t xml:space="preserve"> </w:t>
      </w:r>
      <w:r w:rsidRPr="001B5D2B">
        <w:rPr>
          <w:rStyle w:val="Emphasis"/>
          <w:rFonts w:ascii="Arial" w:hAnsi="Arial" w:cs="Arial"/>
          <w:sz w:val="20"/>
          <w:szCs w:val="20"/>
        </w:rPr>
        <w:t>Journal of Economics and Sustainable Development,</w:t>
      </w:r>
      <w:r w:rsidRPr="001B5D2B">
        <w:rPr>
          <w:rFonts w:ascii="Arial" w:hAnsi="Arial" w:cs="Arial"/>
          <w:sz w:val="20"/>
          <w:szCs w:val="20"/>
        </w:rPr>
        <w:t xml:space="preserve"> </w:t>
      </w:r>
      <w:r w:rsidRPr="001B5D2B">
        <w:rPr>
          <w:rStyle w:val="Strong"/>
          <w:rFonts w:ascii="Arial" w:hAnsi="Arial" w:cs="Arial"/>
          <w:b w:val="0"/>
          <w:bCs w:val="0"/>
          <w:sz w:val="20"/>
          <w:szCs w:val="20"/>
        </w:rPr>
        <w:t>6</w:t>
      </w:r>
      <w:r w:rsidRPr="001B5D2B">
        <w:rPr>
          <w:rFonts w:ascii="Arial" w:hAnsi="Arial" w:cs="Arial"/>
          <w:sz w:val="20"/>
          <w:szCs w:val="20"/>
        </w:rPr>
        <w:t>, 87–95</w:t>
      </w:r>
      <w:r w:rsidRPr="001B5D2B">
        <w:rPr>
          <w:rFonts w:ascii="Arial" w:hAnsi="Arial" w:cs="Arial"/>
        </w:rPr>
        <w:t>.</w:t>
      </w:r>
    </w:p>
    <w:p w14:paraId="7A3EB533" w14:textId="77777777"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t xml:space="preserve">Kumar, R., &amp; Singh, P. (2021). </w:t>
      </w:r>
      <w:r w:rsidRPr="001B5D2B">
        <w:rPr>
          <w:rStyle w:val="Emphasis"/>
          <w:rFonts w:ascii="Arial" w:hAnsi="Arial" w:cs="Arial"/>
          <w:sz w:val="20"/>
          <w:szCs w:val="20"/>
        </w:rPr>
        <w:t>Mechanization in tea cultivation: Benefits and challenges.</w:t>
      </w:r>
      <w:r w:rsidRPr="001B5D2B">
        <w:rPr>
          <w:rFonts w:ascii="Arial" w:hAnsi="Arial" w:cs="Arial"/>
          <w:sz w:val="20"/>
          <w:szCs w:val="20"/>
        </w:rPr>
        <w:t xml:space="preserve"> </w:t>
      </w:r>
      <w:r w:rsidRPr="001B5D2B">
        <w:rPr>
          <w:rStyle w:val="Emphasis"/>
          <w:rFonts w:ascii="Arial" w:hAnsi="Arial" w:cs="Arial"/>
          <w:sz w:val="20"/>
          <w:szCs w:val="20"/>
        </w:rPr>
        <w:t>Journal of Agricultural Innovation,</w:t>
      </w:r>
      <w:r w:rsidRPr="001B5D2B">
        <w:rPr>
          <w:rFonts w:ascii="Arial" w:hAnsi="Arial" w:cs="Arial"/>
          <w:sz w:val="20"/>
          <w:szCs w:val="20"/>
        </w:rPr>
        <w:t xml:space="preserve"> </w:t>
      </w:r>
      <w:r w:rsidRPr="001B5D2B">
        <w:rPr>
          <w:rStyle w:val="Strong"/>
          <w:rFonts w:ascii="Arial" w:hAnsi="Arial" w:cs="Arial"/>
          <w:b w:val="0"/>
          <w:bCs w:val="0"/>
          <w:sz w:val="20"/>
          <w:szCs w:val="20"/>
        </w:rPr>
        <w:t>15</w:t>
      </w:r>
      <w:r w:rsidRPr="001B5D2B">
        <w:rPr>
          <w:rFonts w:ascii="Arial" w:hAnsi="Arial" w:cs="Arial"/>
          <w:sz w:val="20"/>
          <w:szCs w:val="20"/>
        </w:rPr>
        <w:t>(2), 78–85.</w:t>
      </w:r>
    </w:p>
    <w:p w14:paraId="52BA5B3D" w14:textId="77777777" w:rsidR="00BE05D5" w:rsidRPr="001B5D2B" w:rsidRDefault="00BE05D5" w:rsidP="00BE05D5">
      <w:pPr>
        <w:pStyle w:val="ListParagraph"/>
        <w:numPr>
          <w:ilvl w:val="0"/>
          <w:numId w:val="33"/>
        </w:numPr>
        <w:spacing w:after="0" w:line="240" w:lineRule="auto"/>
        <w:jc w:val="both"/>
        <w:rPr>
          <w:rFonts w:ascii="Arial" w:hAnsi="Arial" w:cs="Arial"/>
          <w:color w:val="4F81BD" w:themeColor="accent1"/>
          <w:sz w:val="2"/>
          <w:szCs w:val="2"/>
        </w:rPr>
      </w:pPr>
      <w:r w:rsidRPr="001B5D2B">
        <w:rPr>
          <w:rFonts w:ascii="Arial" w:hAnsi="Arial" w:cs="Arial"/>
          <w:sz w:val="20"/>
          <w:szCs w:val="20"/>
        </w:rPr>
        <w:t xml:space="preserve">Bordoloi, S. K., Deka, M., Bhuyan, R. P., Gogoi, A. S., </w:t>
      </w:r>
      <w:proofErr w:type="spellStart"/>
      <w:r w:rsidRPr="001B5D2B">
        <w:rPr>
          <w:rFonts w:ascii="Arial" w:hAnsi="Arial" w:cs="Arial"/>
          <w:sz w:val="20"/>
          <w:szCs w:val="20"/>
        </w:rPr>
        <w:t>Phukon</w:t>
      </w:r>
      <w:proofErr w:type="spellEnd"/>
      <w:r w:rsidRPr="001B5D2B">
        <w:rPr>
          <w:rFonts w:ascii="Arial" w:hAnsi="Arial" w:cs="Arial"/>
          <w:sz w:val="20"/>
          <w:szCs w:val="20"/>
        </w:rPr>
        <w:t xml:space="preserve">, S. K., Sonowal, S., Tanti, N., &amp; Hussain, T. (2022). </w:t>
      </w:r>
      <w:r w:rsidRPr="001B5D2B">
        <w:rPr>
          <w:rStyle w:val="Emphasis"/>
          <w:rFonts w:ascii="Arial" w:hAnsi="Arial" w:cs="Arial"/>
          <w:sz w:val="20"/>
          <w:szCs w:val="20"/>
        </w:rPr>
        <w:t>Livelihood analysis of small tea growers by analysing their farming systems and resource utilization in Jorhat district.</w:t>
      </w:r>
      <w:r w:rsidRPr="001B5D2B">
        <w:rPr>
          <w:rFonts w:ascii="Arial" w:hAnsi="Arial" w:cs="Arial"/>
          <w:sz w:val="20"/>
          <w:szCs w:val="20"/>
        </w:rPr>
        <w:t xml:space="preserve"> </w:t>
      </w:r>
      <w:r w:rsidRPr="001B5D2B">
        <w:rPr>
          <w:rStyle w:val="Emphasis"/>
          <w:rFonts w:ascii="Arial" w:hAnsi="Arial" w:cs="Arial"/>
          <w:sz w:val="20"/>
          <w:szCs w:val="20"/>
        </w:rPr>
        <w:t xml:space="preserve">International Journal of </w:t>
      </w:r>
      <w:r w:rsidRPr="001B5D2B">
        <w:rPr>
          <w:rStyle w:val="Emphasis"/>
          <w:rFonts w:ascii="Arial" w:hAnsi="Arial" w:cs="Arial"/>
          <w:sz w:val="20"/>
          <w:szCs w:val="20"/>
        </w:rPr>
        <w:t>Plant &amp; Soil Science,</w:t>
      </w:r>
      <w:r w:rsidRPr="001B5D2B">
        <w:rPr>
          <w:rFonts w:ascii="Arial" w:hAnsi="Arial" w:cs="Arial"/>
          <w:sz w:val="20"/>
          <w:szCs w:val="20"/>
        </w:rPr>
        <w:t xml:space="preserve"> </w:t>
      </w:r>
      <w:r w:rsidRPr="001B5D2B">
        <w:rPr>
          <w:rStyle w:val="Strong"/>
          <w:rFonts w:ascii="Arial" w:hAnsi="Arial" w:cs="Arial"/>
          <w:b w:val="0"/>
          <w:bCs w:val="0"/>
          <w:sz w:val="20"/>
          <w:szCs w:val="20"/>
        </w:rPr>
        <w:t>34</w:t>
      </w:r>
      <w:r w:rsidRPr="001B5D2B">
        <w:rPr>
          <w:rFonts w:ascii="Arial" w:hAnsi="Arial" w:cs="Arial"/>
          <w:sz w:val="20"/>
          <w:szCs w:val="20"/>
        </w:rPr>
        <w:t>(8), 81–91.</w:t>
      </w:r>
      <w:r w:rsidRPr="001B5D2B">
        <w:rPr>
          <w:rFonts w:ascii="Arial" w:hAnsi="Arial" w:cs="Arial"/>
          <w:sz w:val="20"/>
          <w:szCs w:val="20"/>
        </w:rPr>
        <w:br/>
      </w:r>
      <w:hyperlink r:id="rId30" w:tgtFrame="_new" w:history="1">
        <w:r w:rsidRPr="001B5D2B">
          <w:rPr>
            <w:rStyle w:val="Hyperlink"/>
            <w:rFonts w:ascii="Arial" w:hAnsi="Arial" w:cs="Arial"/>
            <w:color w:val="4F81BD" w:themeColor="accent1"/>
            <w:sz w:val="20"/>
            <w:szCs w:val="20"/>
          </w:rPr>
          <w:t>https://doi.org/10.9734/ijpss/2022/v34i830905</w:t>
        </w:r>
      </w:hyperlink>
    </w:p>
    <w:p w14:paraId="524B1AC9" w14:textId="77777777" w:rsidR="00BE05D5" w:rsidRPr="001B5D2B" w:rsidRDefault="00BE05D5" w:rsidP="00BE05D5">
      <w:pPr>
        <w:pStyle w:val="NormalWeb"/>
        <w:numPr>
          <w:ilvl w:val="0"/>
          <w:numId w:val="33"/>
        </w:numPr>
        <w:spacing w:before="0" w:beforeAutospacing="0" w:after="0" w:afterAutospacing="0"/>
        <w:jc w:val="both"/>
        <w:rPr>
          <w:rFonts w:ascii="Arial" w:hAnsi="Arial" w:cs="Arial"/>
          <w:sz w:val="20"/>
          <w:szCs w:val="20"/>
        </w:rPr>
      </w:pPr>
      <w:r w:rsidRPr="001B5D2B">
        <w:rPr>
          <w:rFonts w:ascii="Arial" w:hAnsi="Arial" w:cs="Arial"/>
          <w:sz w:val="20"/>
          <w:szCs w:val="20"/>
        </w:rPr>
        <w:t xml:space="preserve">Baruah, P. 2008. </w:t>
      </w:r>
      <w:r w:rsidRPr="001B5D2B">
        <w:rPr>
          <w:rStyle w:val="Emphasis"/>
          <w:rFonts w:ascii="Arial" w:hAnsi="Arial" w:cs="Arial"/>
          <w:sz w:val="20"/>
          <w:szCs w:val="20"/>
        </w:rPr>
        <w:t>The Tea Industry of Assam: Origin and Development.</w:t>
      </w:r>
      <w:r w:rsidRPr="001B5D2B">
        <w:rPr>
          <w:rFonts w:ascii="Arial" w:hAnsi="Arial" w:cs="Arial"/>
          <w:sz w:val="20"/>
          <w:szCs w:val="20"/>
        </w:rPr>
        <w:t xml:space="preserve"> EBH Publishers House, Guwahati, Assam, India, 1p.</w:t>
      </w:r>
    </w:p>
    <w:p w14:paraId="264F72E1" w14:textId="77777777" w:rsidR="00BE05D5" w:rsidRPr="001B5D2B" w:rsidRDefault="004F7869" w:rsidP="00BE05D5">
      <w:pPr>
        <w:pStyle w:val="NormalWeb"/>
        <w:spacing w:before="0" w:beforeAutospacing="0" w:after="0" w:afterAutospacing="0"/>
        <w:ind w:left="502"/>
        <w:jc w:val="both"/>
        <w:rPr>
          <w:rFonts w:ascii="Arial" w:hAnsi="Arial" w:cs="Arial"/>
          <w:color w:val="4F81BD" w:themeColor="accent1"/>
          <w:sz w:val="20"/>
          <w:szCs w:val="20"/>
        </w:rPr>
      </w:pPr>
      <w:hyperlink r:id="rId31" w:history="1">
        <w:r w:rsidR="00BE05D5" w:rsidRPr="001B5D2B">
          <w:rPr>
            <w:rStyle w:val="Hyperlink"/>
            <w:rFonts w:ascii="Arial" w:hAnsi="Arial" w:cs="Arial"/>
            <w:color w:val="4F81BD" w:themeColor="accent1"/>
            <w:sz w:val="20"/>
            <w:szCs w:val="20"/>
          </w:rPr>
          <w:t>https://www.scirp.org/journal/paperinformation?paperid=123938</w:t>
        </w:r>
      </w:hyperlink>
    </w:p>
    <w:p w14:paraId="50F6DDC1"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2"/>
          <w:szCs w:val="2"/>
        </w:rPr>
      </w:pPr>
      <w:r w:rsidRPr="001B5D2B">
        <w:rPr>
          <w:rFonts w:ascii="Arial" w:hAnsi="Arial" w:cs="Arial"/>
          <w:sz w:val="20"/>
          <w:szCs w:val="20"/>
        </w:rPr>
        <w:t xml:space="preserve">Food and Agriculture Organization of the United Nations (FAO). (2021). </w:t>
      </w:r>
      <w:r w:rsidRPr="001B5D2B">
        <w:rPr>
          <w:rStyle w:val="Emphasis"/>
          <w:rFonts w:ascii="Arial" w:hAnsi="Arial" w:cs="Arial"/>
          <w:sz w:val="20"/>
          <w:szCs w:val="20"/>
        </w:rPr>
        <w:t>The state of food and agriculture 2021: Making agrifood systems more resilient to shocks and stresses.</w:t>
      </w:r>
      <w:r w:rsidRPr="001B5D2B">
        <w:rPr>
          <w:rFonts w:ascii="Arial" w:hAnsi="Arial" w:cs="Arial"/>
          <w:sz w:val="20"/>
          <w:szCs w:val="20"/>
        </w:rPr>
        <w:t xml:space="preserve"> FAO, Rome, Italy. [Online]</w:t>
      </w:r>
      <w:r w:rsidRPr="001B5D2B">
        <w:rPr>
          <w:rFonts w:ascii="Arial" w:hAnsi="Arial" w:cs="Arial"/>
          <w:sz w:val="20"/>
          <w:szCs w:val="20"/>
        </w:rPr>
        <w:br/>
        <w:t xml:space="preserve">Available: </w:t>
      </w:r>
      <w:hyperlink r:id="rId32" w:tgtFrame="_new" w:history="1">
        <w:r w:rsidRPr="001B5D2B">
          <w:rPr>
            <w:rStyle w:val="Hyperlink"/>
            <w:rFonts w:ascii="Arial" w:hAnsi="Arial" w:cs="Arial"/>
            <w:color w:val="4F81BD" w:themeColor="accent1"/>
            <w:sz w:val="20"/>
            <w:szCs w:val="20"/>
          </w:rPr>
          <w:t>https://www.fao.org/publications/sofa/2021/en</w:t>
        </w:r>
      </w:hyperlink>
    </w:p>
    <w:p w14:paraId="29A621E9"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2"/>
          <w:szCs w:val="2"/>
        </w:rPr>
      </w:pPr>
      <w:r w:rsidRPr="001B5D2B">
        <w:rPr>
          <w:rFonts w:ascii="Arial" w:hAnsi="Arial" w:cs="Arial"/>
          <w:sz w:val="20"/>
          <w:szCs w:val="20"/>
        </w:rPr>
        <w:t xml:space="preserve">Dharmadasa, R. A. P. I. S., </w:t>
      </w:r>
      <w:proofErr w:type="spellStart"/>
      <w:r w:rsidRPr="001B5D2B">
        <w:rPr>
          <w:rFonts w:ascii="Arial" w:hAnsi="Arial" w:cs="Arial"/>
          <w:sz w:val="20"/>
          <w:szCs w:val="20"/>
        </w:rPr>
        <w:t>Karunathilaka</w:t>
      </w:r>
      <w:proofErr w:type="spellEnd"/>
      <w:r w:rsidRPr="001B5D2B">
        <w:rPr>
          <w:rFonts w:ascii="Arial" w:hAnsi="Arial" w:cs="Arial"/>
          <w:sz w:val="20"/>
          <w:szCs w:val="20"/>
        </w:rPr>
        <w:t xml:space="preserve">, U. M., &amp; </w:t>
      </w:r>
      <w:proofErr w:type="spellStart"/>
      <w:r w:rsidRPr="001B5D2B">
        <w:rPr>
          <w:rFonts w:ascii="Arial" w:hAnsi="Arial" w:cs="Arial"/>
          <w:sz w:val="20"/>
          <w:szCs w:val="20"/>
        </w:rPr>
        <w:t>Premathilake</w:t>
      </w:r>
      <w:proofErr w:type="spellEnd"/>
      <w:r w:rsidRPr="001B5D2B">
        <w:rPr>
          <w:rFonts w:ascii="Arial" w:hAnsi="Arial" w:cs="Arial"/>
          <w:sz w:val="20"/>
          <w:szCs w:val="20"/>
        </w:rPr>
        <w:t xml:space="preserve">, K. G. (2019). </w:t>
      </w:r>
      <w:r w:rsidRPr="001B5D2B">
        <w:rPr>
          <w:rStyle w:val="Emphasis"/>
          <w:rFonts w:ascii="Arial" w:hAnsi="Arial" w:cs="Arial"/>
          <w:sz w:val="20"/>
          <w:szCs w:val="20"/>
        </w:rPr>
        <w:t>Adoption of machinery in tea cultivation and management by tea smallholders in Kalutara District.</w:t>
      </w:r>
      <w:r w:rsidRPr="001B5D2B">
        <w:rPr>
          <w:rFonts w:ascii="Arial" w:hAnsi="Arial" w:cs="Arial"/>
          <w:sz w:val="20"/>
          <w:szCs w:val="20"/>
        </w:rPr>
        <w:t xml:space="preserve"> In: </w:t>
      </w:r>
      <w:r w:rsidRPr="001B5D2B">
        <w:rPr>
          <w:rStyle w:val="Emphasis"/>
          <w:rFonts w:ascii="Arial" w:hAnsi="Arial" w:cs="Arial"/>
          <w:sz w:val="20"/>
          <w:szCs w:val="20"/>
        </w:rPr>
        <w:t>Proceedings of the 2nd International Symposium on Agriculture – Innovation and Invention in Sustainable Agriculture,</w:t>
      </w:r>
      <w:r w:rsidRPr="001B5D2B">
        <w:rPr>
          <w:rFonts w:ascii="Arial" w:hAnsi="Arial" w:cs="Arial"/>
          <w:sz w:val="20"/>
          <w:szCs w:val="20"/>
        </w:rPr>
        <w:t xml:space="preserve"> 18–19 June 2019, Batticaloa, Sri Lanka. [Online]</w:t>
      </w:r>
      <w:r w:rsidRPr="001B5D2B">
        <w:rPr>
          <w:rFonts w:ascii="Arial" w:hAnsi="Arial" w:cs="Arial"/>
          <w:sz w:val="20"/>
          <w:szCs w:val="20"/>
        </w:rPr>
        <w:br/>
        <w:t xml:space="preserve">Available: </w:t>
      </w:r>
      <w:hyperlink r:id="rId33" w:tgtFrame="_new" w:history="1">
        <w:r w:rsidRPr="001B5D2B">
          <w:rPr>
            <w:rStyle w:val="Hyperlink"/>
            <w:rFonts w:ascii="Arial" w:hAnsi="Arial" w:cs="Arial"/>
            <w:color w:val="4F81BD" w:themeColor="accent1"/>
            <w:sz w:val="20"/>
            <w:szCs w:val="20"/>
          </w:rPr>
          <w:t>https://www.iese.ac.mz/lib/publication/II_conf/GrupoII/FArmers_Organizations_Welfare_BACHKE.pdf</w:t>
        </w:r>
      </w:hyperlink>
    </w:p>
    <w:p w14:paraId="7D1B5A37" w14:textId="77777777" w:rsidR="004F7869" w:rsidRPr="004F7869" w:rsidRDefault="004F7869" w:rsidP="00BE05D5">
      <w:pPr>
        <w:pStyle w:val="ListParagraph"/>
        <w:numPr>
          <w:ilvl w:val="0"/>
          <w:numId w:val="33"/>
        </w:numPr>
        <w:spacing w:line="240" w:lineRule="auto"/>
        <w:jc w:val="both"/>
        <w:rPr>
          <w:rFonts w:ascii="Arial" w:hAnsi="Arial" w:cs="Arial"/>
          <w:sz w:val="2"/>
          <w:szCs w:val="2"/>
        </w:rPr>
      </w:pPr>
      <w:proofErr w:type="spellStart"/>
      <w:r w:rsidRPr="004F7869">
        <w:rPr>
          <w:rFonts w:ascii="Arial" w:eastAsia="Times New Roman" w:hAnsi="Arial" w:cs="Arial"/>
          <w:kern w:val="0"/>
          <w:sz w:val="20"/>
          <w:szCs w:val="20"/>
          <w:lang w:eastAsia="en-IN"/>
        </w:rPr>
        <w:t>Parasar</w:t>
      </w:r>
      <w:proofErr w:type="spellEnd"/>
      <w:r w:rsidRPr="004F7869">
        <w:rPr>
          <w:rFonts w:ascii="Arial" w:eastAsia="Times New Roman" w:hAnsi="Arial" w:cs="Arial"/>
          <w:kern w:val="0"/>
          <w:sz w:val="20"/>
          <w:szCs w:val="20"/>
          <w:lang w:eastAsia="en-IN"/>
        </w:rPr>
        <w:t>, S., Das, P. K., Barman, I., Sultana, S., Barman, S., Deka, S. D., ... &amp; Islam, R. (2020). Factors influencing the extent of technological gap in adoption of scientific practices of tea cultivation by small tea growers of Assam. International Journal of Current Microbiology and Applied Sciences, 9(7), 1782-1789.</w:t>
      </w:r>
    </w:p>
    <w:p w14:paraId="09E314CB" w14:textId="2EA14D33"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lastRenderedPageBreak/>
        <w:t xml:space="preserve">Raghavendra, R., Manjunath, B. L., &amp; Hegde, R. M. (2018). </w:t>
      </w:r>
      <w:r w:rsidRPr="001B5D2B">
        <w:rPr>
          <w:rStyle w:val="Emphasis"/>
          <w:rFonts w:ascii="Arial" w:hAnsi="Arial" w:cs="Arial"/>
          <w:sz w:val="20"/>
          <w:szCs w:val="20"/>
        </w:rPr>
        <w:t>Extent of mechanization in plantation crops and its determinants in southern India.</w:t>
      </w:r>
      <w:r w:rsidRPr="001B5D2B">
        <w:rPr>
          <w:rFonts w:ascii="Arial" w:hAnsi="Arial" w:cs="Arial"/>
          <w:sz w:val="20"/>
          <w:szCs w:val="20"/>
        </w:rPr>
        <w:t xml:space="preserve"> </w:t>
      </w:r>
      <w:r w:rsidRPr="001B5D2B">
        <w:rPr>
          <w:rStyle w:val="Emphasis"/>
          <w:rFonts w:ascii="Arial" w:hAnsi="Arial" w:cs="Arial"/>
          <w:sz w:val="20"/>
          <w:szCs w:val="20"/>
        </w:rPr>
        <w:t>Journal of Plantation Crops,</w:t>
      </w:r>
      <w:r w:rsidRPr="001B5D2B">
        <w:rPr>
          <w:rFonts w:ascii="Arial" w:hAnsi="Arial" w:cs="Arial"/>
          <w:sz w:val="20"/>
          <w:szCs w:val="20"/>
        </w:rPr>
        <w:t xml:space="preserve"> </w:t>
      </w:r>
      <w:r w:rsidRPr="001B5D2B">
        <w:rPr>
          <w:rStyle w:val="Strong"/>
          <w:rFonts w:ascii="Arial" w:hAnsi="Arial" w:cs="Arial"/>
          <w:b w:val="0"/>
          <w:bCs w:val="0"/>
          <w:sz w:val="20"/>
          <w:szCs w:val="20"/>
        </w:rPr>
        <w:t>46</w:t>
      </w:r>
      <w:r w:rsidRPr="001B5D2B">
        <w:rPr>
          <w:rFonts w:ascii="Arial" w:hAnsi="Arial" w:cs="Arial"/>
          <w:sz w:val="20"/>
          <w:szCs w:val="20"/>
        </w:rPr>
        <w:t>(3), 173–179.</w:t>
      </w:r>
    </w:p>
    <w:p w14:paraId="67A169AA" w14:textId="77777777"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t xml:space="preserve">Kavitha, G., &amp; Jamuna, R. M. (2015). </w:t>
      </w:r>
      <w:r w:rsidRPr="001B5D2B">
        <w:rPr>
          <w:rStyle w:val="Emphasis"/>
          <w:rFonts w:ascii="Arial" w:hAnsi="Arial" w:cs="Arial"/>
          <w:sz w:val="20"/>
          <w:szCs w:val="20"/>
        </w:rPr>
        <w:t>Problems and prospects of tea growers with particular reference to Nilgiris District (Tamil Nadu) in India.</w:t>
      </w:r>
      <w:r w:rsidRPr="001B5D2B">
        <w:rPr>
          <w:rFonts w:ascii="Arial" w:hAnsi="Arial" w:cs="Arial"/>
          <w:sz w:val="20"/>
          <w:szCs w:val="20"/>
        </w:rPr>
        <w:t xml:space="preserve"> </w:t>
      </w:r>
      <w:r w:rsidRPr="001B5D2B">
        <w:rPr>
          <w:rStyle w:val="Emphasis"/>
          <w:rFonts w:ascii="Arial" w:hAnsi="Arial" w:cs="Arial"/>
          <w:sz w:val="20"/>
          <w:szCs w:val="20"/>
        </w:rPr>
        <w:t>International Journal of Research in Commerce, IT and Management,</w:t>
      </w:r>
      <w:r w:rsidRPr="001B5D2B">
        <w:rPr>
          <w:rFonts w:ascii="Arial" w:hAnsi="Arial" w:cs="Arial"/>
          <w:sz w:val="20"/>
          <w:szCs w:val="20"/>
        </w:rPr>
        <w:t xml:space="preserve"> </w:t>
      </w:r>
      <w:r w:rsidRPr="0041795D">
        <w:rPr>
          <w:rStyle w:val="Strong"/>
          <w:rFonts w:ascii="Arial" w:hAnsi="Arial" w:cs="Arial"/>
          <w:b w:val="0"/>
          <w:bCs w:val="0"/>
          <w:sz w:val="20"/>
          <w:szCs w:val="20"/>
        </w:rPr>
        <w:t>4</w:t>
      </w:r>
      <w:r w:rsidRPr="001B5D2B">
        <w:rPr>
          <w:rFonts w:ascii="Arial" w:hAnsi="Arial" w:cs="Arial"/>
          <w:sz w:val="20"/>
          <w:szCs w:val="20"/>
        </w:rPr>
        <w:t>(1), 7–10.</w:t>
      </w:r>
    </w:p>
    <w:p w14:paraId="365F8842" w14:textId="77777777"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t xml:space="preserve">Hannan, A. (2013). </w:t>
      </w:r>
      <w:r w:rsidRPr="001B5D2B">
        <w:rPr>
          <w:rStyle w:val="Emphasis"/>
          <w:rFonts w:ascii="Arial" w:hAnsi="Arial" w:cs="Arial"/>
          <w:sz w:val="20"/>
          <w:szCs w:val="20"/>
        </w:rPr>
        <w:t>Organizational innovations and collective action among small tea growers in Assam.</w:t>
      </w:r>
      <w:r w:rsidRPr="001B5D2B">
        <w:rPr>
          <w:rFonts w:ascii="Arial" w:hAnsi="Arial" w:cs="Arial"/>
          <w:sz w:val="20"/>
          <w:szCs w:val="20"/>
        </w:rPr>
        <w:t xml:space="preserve"> Unpublished Ph.D. Thesis, Assam Agricultural University, Jorhat, Assam, India.</w:t>
      </w:r>
    </w:p>
    <w:p w14:paraId="4DE10539" w14:textId="77777777" w:rsidR="004F7869" w:rsidRPr="004F7869" w:rsidRDefault="004F7869" w:rsidP="00BE05D5">
      <w:pPr>
        <w:pStyle w:val="ListParagraph"/>
        <w:numPr>
          <w:ilvl w:val="0"/>
          <w:numId w:val="33"/>
        </w:numPr>
        <w:spacing w:line="240" w:lineRule="auto"/>
        <w:jc w:val="both"/>
        <w:rPr>
          <w:rFonts w:ascii="Arial" w:hAnsi="Arial" w:cs="Arial"/>
          <w:color w:val="4F81BD" w:themeColor="accent1"/>
          <w:sz w:val="2"/>
          <w:szCs w:val="2"/>
        </w:rPr>
      </w:pPr>
      <w:r w:rsidRPr="004F7869">
        <w:rPr>
          <w:rFonts w:ascii="Arial" w:hAnsi="Arial" w:cs="Arial"/>
          <w:sz w:val="20"/>
          <w:szCs w:val="20"/>
        </w:rPr>
        <w:t xml:space="preserve">Haque, M., Acharya, S. K., &amp; Mondal, K. (2020). Transforming Agriculture and Tea Garden: The Impact on Farm Women Engagement. Current Journal of Applied Science and Technology, 39(26), 85-92. </w:t>
      </w:r>
    </w:p>
    <w:p w14:paraId="0176A528" w14:textId="2360A685" w:rsidR="00BE05D5" w:rsidRPr="001B5D2B" w:rsidRDefault="00BE05D5" w:rsidP="00BE05D5">
      <w:pPr>
        <w:pStyle w:val="ListParagraph"/>
        <w:numPr>
          <w:ilvl w:val="0"/>
          <w:numId w:val="33"/>
        </w:numPr>
        <w:spacing w:line="240" w:lineRule="auto"/>
        <w:jc w:val="both"/>
        <w:rPr>
          <w:rFonts w:ascii="Arial" w:hAnsi="Arial" w:cs="Arial"/>
          <w:color w:val="4F81BD" w:themeColor="accent1"/>
          <w:sz w:val="2"/>
          <w:szCs w:val="2"/>
        </w:rPr>
      </w:pPr>
      <w:proofErr w:type="spellStart"/>
      <w:r w:rsidRPr="001B5D2B">
        <w:rPr>
          <w:rFonts w:ascii="Arial" w:hAnsi="Arial" w:cs="Arial"/>
          <w:sz w:val="20"/>
          <w:szCs w:val="20"/>
        </w:rPr>
        <w:t>Kirui</w:t>
      </w:r>
      <w:proofErr w:type="spellEnd"/>
      <w:r w:rsidRPr="001B5D2B">
        <w:rPr>
          <w:rFonts w:ascii="Arial" w:hAnsi="Arial" w:cs="Arial"/>
          <w:sz w:val="20"/>
          <w:szCs w:val="20"/>
        </w:rPr>
        <w:t xml:space="preserve">, C. (2020). </w:t>
      </w:r>
      <w:r w:rsidRPr="001B5D2B">
        <w:rPr>
          <w:rStyle w:val="Emphasis"/>
          <w:rFonts w:ascii="Arial" w:hAnsi="Arial" w:cs="Arial"/>
          <w:sz w:val="20"/>
          <w:szCs w:val="20"/>
        </w:rPr>
        <w:t>Cost-saving in operational mechanization projects on organizational performance of tea firms.</w:t>
      </w:r>
      <w:r w:rsidRPr="001B5D2B">
        <w:rPr>
          <w:rFonts w:ascii="Arial" w:hAnsi="Arial" w:cs="Arial"/>
          <w:sz w:val="20"/>
          <w:szCs w:val="20"/>
        </w:rPr>
        <w:t xml:space="preserve"> </w:t>
      </w:r>
      <w:r w:rsidRPr="001B5D2B">
        <w:rPr>
          <w:rStyle w:val="Emphasis"/>
          <w:rFonts w:ascii="Arial" w:hAnsi="Arial" w:cs="Arial"/>
          <w:sz w:val="20"/>
          <w:szCs w:val="20"/>
        </w:rPr>
        <w:t>East African Journal of Business and Economics,</w:t>
      </w:r>
      <w:r w:rsidRPr="001B5D2B">
        <w:rPr>
          <w:rFonts w:ascii="Arial" w:hAnsi="Arial" w:cs="Arial"/>
          <w:sz w:val="20"/>
          <w:szCs w:val="20"/>
        </w:rPr>
        <w:t xml:space="preserve"> </w:t>
      </w:r>
      <w:r w:rsidRPr="001B5D2B">
        <w:rPr>
          <w:rStyle w:val="Strong"/>
          <w:rFonts w:ascii="Arial" w:hAnsi="Arial" w:cs="Arial"/>
          <w:sz w:val="20"/>
          <w:szCs w:val="20"/>
        </w:rPr>
        <w:t>2</w:t>
      </w:r>
      <w:r w:rsidRPr="001B5D2B">
        <w:rPr>
          <w:rFonts w:ascii="Arial" w:hAnsi="Arial" w:cs="Arial"/>
          <w:sz w:val="20"/>
          <w:szCs w:val="20"/>
        </w:rPr>
        <w:t>(1), 1–9.</w:t>
      </w:r>
      <w:r w:rsidRPr="001B5D2B">
        <w:rPr>
          <w:rFonts w:ascii="Arial" w:hAnsi="Arial" w:cs="Arial"/>
          <w:sz w:val="20"/>
          <w:szCs w:val="20"/>
        </w:rPr>
        <w:br/>
      </w:r>
      <w:hyperlink r:id="rId34" w:tgtFrame="_new" w:history="1">
        <w:r w:rsidRPr="001B5D2B">
          <w:rPr>
            <w:rStyle w:val="Hyperlink"/>
            <w:rFonts w:ascii="Arial" w:hAnsi="Arial" w:cs="Arial"/>
            <w:color w:val="4F81BD" w:themeColor="accent1"/>
            <w:sz w:val="20"/>
            <w:szCs w:val="20"/>
          </w:rPr>
          <w:t>https://doi.org/10.37284/eajbe.2.1.124</w:t>
        </w:r>
      </w:hyperlink>
    </w:p>
    <w:p w14:paraId="3FAA98F8"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2"/>
          <w:szCs w:val="2"/>
        </w:rPr>
      </w:pPr>
      <w:r w:rsidRPr="001B5D2B">
        <w:rPr>
          <w:rFonts w:ascii="Arial" w:hAnsi="Arial" w:cs="Arial"/>
          <w:sz w:val="20"/>
          <w:szCs w:val="20"/>
        </w:rPr>
        <w:t xml:space="preserve">Munasinghe, C. E., </w:t>
      </w:r>
      <w:proofErr w:type="spellStart"/>
      <w:r w:rsidRPr="001B5D2B">
        <w:rPr>
          <w:rFonts w:ascii="Arial" w:hAnsi="Arial" w:cs="Arial"/>
          <w:sz w:val="20"/>
          <w:szCs w:val="20"/>
        </w:rPr>
        <w:t>Dissanayeke</w:t>
      </w:r>
      <w:proofErr w:type="spellEnd"/>
      <w:r w:rsidRPr="001B5D2B">
        <w:rPr>
          <w:rFonts w:ascii="Arial" w:hAnsi="Arial" w:cs="Arial"/>
          <w:sz w:val="20"/>
          <w:szCs w:val="20"/>
        </w:rPr>
        <w:t xml:space="preserve">, U., &amp; </w:t>
      </w:r>
      <w:proofErr w:type="spellStart"/>
      <w:r w:rsidRPr="001B5D2B">
        <w:rPr>
          <w:rFonts w:ascii="Arial" w:hAnsi="Arial" w:cs="Arial"/>
          <w:sz w:val="20"/>
          <w:szCs w:val="20"/>
        </w:rPr>
        <w:t>Wanigasundera</w:t>
      </w:r>
      <w:proofErr w:type="spellEnd"/>
      <w:r w:rsidRPr="001B5D2B">
        <w:rPr>
          <w:rFonts w:ascii="Arial" w:hAnsi="Arial" w:cs="Arial"/>
          <w:sz w:val="20"/>
          <w:szCs w:val="20"/>
        </w:rPr>
        <w:t xml:space="preserve">, W. A. D. P. (2020). </w:t>
      </w:r>
      <w:r w:rsidRPr="001B5D2B">
        <w:rPr>
          <w:rStyle w:val="Emphasis"/>
          <w:rFonts w:ascii="Arial" w:hAnsi="Arial" w:cs="Arial"/>
          <w:sz w:val="20"/>
          <w:szCs w:val="20"/>
        </w:rPr>
        <w:t xml:space="preserve">Evaluation of tea smallholders’ attitudes on recommended agricultural practices in tea: A case study in </w:t>
      </w:r>
      <w:proofErr w:type="spellStart"/>
      <w:r w:rsidRPr="001B5D2B">
        <w:rPr>
          <w:rStyle w:val="Emphasis"/>
          <w:rFonts w:ascii="Arial" w:hAnsi="Arial" w:cs="Arial"/>
          <w:sz w:val="20"/>
          <w:szCs w:val="20"/>
        </w:rPr>
        <w:t>Pussellawa</w:t>
      </w:r>
      <w:proofErr w:type="spellEnd"/>
      <w:r w:rsidRPr="001B5D2B">
        <w:rPr>
          <w:rStyle w:val="Emphasis"/>
          <w:rFonts w:ascii="Arial" w:hAnsi="Arial" w:cs="Arial"/>
          <w:sz w:val="20"/>
          <w:szCs w:val="20"/>
        </w:rPr>
        <w:t xml:space="preserve"> Tea Extension Officer Range, Sri Lanka.</w:t>
      </w:r>
      <w:r w:rsidRPr="001B5D2B">
        <w:rPr>
          <w:rFonts w:ascii="Arial" w:hAnsi="Arial" w:cs="Arial"/>
          <w:sz w:val="20"/>
          <w:szCs w:val="20"/>
        </w:rPr>
        <w:t xml:space="preserve"> </w:t>
      </w:r>
      <w:r w:rsidRPr="001B5D2B">
        <w:rPr>
          <w:rStyle w:val="Emphasis"/>
          <w:rFonts w:ascii="Arial" w:hAnsi="Arial" w:cs="Arial"/>
          <w:sz w:val="20"/>
          <w:szCs w:val="20"/>
        </w:rPr>
        <w:t>Tropical Agricultural Research,</w:t>
      </w:r>
      <w:r w:rsidRPr="001B5D2B">
        <w:rPr>
          <w:rFonts w:ascii="Arial" w:hAnsi="Arial" w:cs="Arial"/>
          <w:sz w:val="20"/>
          <w:szCs w:val="20"/>
        </w:rPr>
        <w:t xml:space="preserve"> </w:t>
      </w:r>
      <w:r w:rsidRPr="001B5D2B">
        <w:rPr>
          <w:rStyle w:val="Strong"/>
          <w:rFonts w:ascii="Arial" w:hAnsi="Arial" w:cs="Arial"/>
          <w:sz w:val="20"/>
          <w:szCs w:val="20"/>
        </w:rPr>
        <w:t>31</w:t>
      </w:r>
      <w:r w:rsidRPr="001B5D2B">
        <w:rPr>
          <w:rFonts w:ascii="Arial" w:hAnsi="Arial" w:cs="Arial"/>
          <w:sz w:val="20"/>
          <w:szCs w:val="20"/>
        </w:rPr>
        <w:t>(4), 33</w:t>
      </w:r>
      <w:r>
        <w:rPr>
          <w:rFonts w:ascii="Arial" w:hAnsi="Arial" w:cs="Arial"/>
          <w:sz w:val="20"/>
          <w:szCs w:val="20"/>
        </w:rPr>
        <w:t>-</w:t>
      </w:r>
      <w:r w:rsidRPr="001B5D2B">
        <w:rPr>
          <w:rFonts w:ascii="Arial" w:hAnsi="Arial" w:cs="Arial"/>
          <w:sz w:val="20"/>
          <w:szCs w:val="20"/>
        </w:rPr>
        <w:t>42.</w:t>
      </w:r>
      <w:r w:rsidRPr="001B5D2B">
        <w:rPr>
          <w:rFonts w:ascii="Arial" w:hAnsi="Arial" w:cs="Arial"/>
          <w:sz w:val="20"/>
          <w:szCs w:val="20"/>
        </w:rPr>
        <w:br/>
      </w:r>
      <w:hyperlink r:id="rId35" w:tgtFrame="_new" w:history="1">
        <w:r w:rsidRPr="001B5D2B">
          <w:rPr>
            <w:rStyle w:val="Hyperlink"/>
            <w:rFonts w:ascii="Arial" w:hAnsi="Arial" w:cs="Arial"/>
            <w:color w:val="4F81BD" w:themeColor="accent1"/>
            <w:sz w:val="20"/>
            <w:szCs w:val="20"/>
          </w:rPr>
          <w:t>https://doi.org/10.4038/tar.v31i4.8419</w:t>
        </w:r>
      </w:hyperlink>
    </w:p>
    <w:p w14:paraId="0EBB26BC" w14:textId="77777777" w:rsidR="00BE05D5" w:rsidRPr="001B5D2B" w:rsidRDefault="00BE05D5" w:rsidP="00BE05D5">
      <w:pPr>
        <w:pStyle w:val="ListParagraph"/>
        <w:numPr>
          <w:ilvl w:val="0"/>
          <w:numId w:val="33"/>
        </w:numPr>
        <w:spacing w:line="240" w:lineRule="auto"/>
        <w:jc w:val="both"/>
        <w:rPr>
          <w:rFonts w:ascii="Arial" w:hAnsi="Arial" w:cs="Arial"/>
          <w:color w:val="4F81BD" w:themeColor="accent1"/>
          <w:sz w:val="2"/>
          <w:szCs w:val="2"/>
        </w:rPr>
      </w:pPr>
      <w:proofErr w:type="spellStart"/>
      <w:r w:rsidRPr="001B5D2B">
        <w:rPr>
          <w:rFonts w:ascii="Arial" w:hAnsi="Arial" w:cs="Arial"/>
          <w:sz w:val="20"/>
          <w:szCs w:val="20"/>
        </w:rPr>
        <w:t>Jayamanne</w:t>
      </w:r>
      <w:proofErr w:type="spellEnd"/>
      <w:r w:rsidRPr="001B5D2B">
        <w:rPr>
          <w:rFonts w:ascii="Arial" w:hAnsi="Arial" w:cs="Arial"/>
          <w:sz w:val="20"/>
          <w:szCs w:val="20"/>
        </w:rPr>
        <w:t xml:space="preserve">, V. S., Wijeratne, M., &amp; </w:t>
      </w:r>
      <w:proofErr w:type="spellStart"/>
      <w:r w:rsidRPr="001B5D2B">
        <w:rPr>
          <w:rFonts w:ascii="Arial" w:hAnsi="Arial" w:cs="Arial"/>
          <w:sz w:val="20"/>
          <w:szCs w:val="20"/>
        </w:rPr>
        <w:t>Wijayaratna</w:t>
      </w:r>
      <w:proofErr w:type="spellEnd"/>
      <w:r w:rsidRPr="001B5D2B">
        <w:rPr>
          <w:rFonts w:ascii="Arial" w:hAnsi="Arial" w:cs="Arial"/>
          <w:sz w:val="20"/>
          <w:szCs w:val="20"/>
        </w:rPr>
        <w:t xml:space="preserve">, C. M. (2002). </w:t>
      </w:r>
      <w:r w:rsidRPr="001B5D2B">
        <w:rPr>
          <w:rStyle w:val="Emphasis"/>
          <w:rFonts w:ascii="Arial" w:hAnsi="Arial" w:cs="Arial"/>
          <w:sz w:val="20"/>
          <w:szCs w:val="20"/>
        </w:rPr>
        <w:t>Adoptability of new technology in the small-holdings tea sector in the low country of Sri Lanka.</w:t>
      </w:r>
      <w:r w:rsidRPr="001B5D2B">
        <w:rPr>
          <w:rFonts w:ascii="Arial" w:hAnsi="Arial" w:cs="Arial"/>
          <w:sz w:val="20"/>
          <w:szCs w:val="20"/>
        </w:rPr>
        <w:t xml:space="preserve"> </w:t>
      </w:r>
      <w:r w:rsidRPr="001B5D2B">
        <w:rPr>
          <w:rStyle w:val="Emphasis"/>
          <w:rFonts w:ascii="Arial" w:hAnsi="Arial" w:cs="Arial"/>
          <w:sz w:val="20"/>
          <w:szCs w:val="20"/>
        </w:rPr>
        <w:t>Journal of Agriculture and Rural Development in the Tropics and Subtropics,</w:t>
      </w:r>
      <w:r w:rsidRPr="001B5D2B">
        <w:rPr>
          <w:rFonts w:ascii="Arial" w:hAnsi="Arial" w:cs="Arial"/>
          <w:sz w:val="20"/>
          <w:szCs w:val="20"/>
        </w:rPr>
        <w:t xml:space="preserve"> </w:t>
      </w:r>
      <w:r w:rsidRPr="0041795D">
        <w:rPr>
          <w:rStyle w:val="Strong"/>
          <w:rFonts w:ascii="Arial" w:hAnsi="Arial" w:cs="Arial"/>
          <w:b w:val="0"/>
          <w:bCs w:val="0"/>
          <w:sz w:val="20"/>
          <w:szCs w:val="20"/>
        </w:rPr>
        <w:t>103</w:t>
      </w:r>
      <w:r w:rsidRPr="001B5D2B">
        <w:rPr>
          <w:rFonts w:ascii="Arial" w:hAnsi="Arial" w:cs="Arial"/>
          <w:sz w:val="20"/>
          <w:szCs w:val="20"/>
        </w:rPr>
        <w:t>(2), 125–131. [Online]</w:t>
      </w:r>
      <w:r w:rsidRPr="001B5D2B">
        <w:rPr>
          <w:rFonts w:ascii="Arial" w:hAnsi="Arial" w:cs="Arial"/>
          <w:sz w:val="20"/>
          <w:szCs w:val="20"/>
        </w:rPr>
        <w:br/>
        <w:t xml:space="preserve">Available: </w:t>
      </w:r>
      <w:hyperlink r:id="rId36" w:tgtFrame="_new" w:history="1">
        <w:r w:rsidRPr="001B5D2B">
          <w:rPr>
            <w:rStyle w:val="Hyperlink"/>
            <w:rFonts w:ascii="Arial" w:hAnsi="Arial" w:cs="Arial"/>
            <w:color w:val="4F81BD" w:themeColor="accent1"/>
            <w:sz w:val="20"/>
            <w:szCs w:val="20"/>
          </w:rPr>
          <w:t>https://www.jarts.info/index.php/jarts/article/download/7/4</w:t>
        </w:r>
      </w:hyperlink>
    </w:p>
    <w:p w14:paraId="3CC9A18F" w14:textId="77777777" w:rsidR="00BE05D5" w:rsidRPr="001B5D2B" w:rsidRDefault="00BE05D5" w:rsidP="00BE05D5">
      <w:pPr>
        <w:pStyle w:val="ListParagraph"/>
        <w:numPr>
          <w:ilvl w:val="0"/>
          <w:numId w:val="33"/>
        </w:numPr>
        <w:spacing w:line="240" w:lineRule="auto"/>
        <w:jc w:val="both"/>
        <w:rPr>
          <w:rFonts w:ascii="Arial" w:hAnsi="Arial" w:cs="Arial"/>
          <w:sz w:val="2"/>
          <w:szCs w:val="2"/>
        </w:rPr>
      </w:pPr>
      <w:r w:rsidRPr="001B5D2B">
        <w:rPr>
          <w:rFonts w:ascii="Arial" w:hAnsi="Arial" w:cs="Arial"/>
          <w:sz w:val="20"/>
          <w:szCs w:val="20"/>
        </w:rPr>
        <w:t xml:space="preserve">Arhin, I., Mei, H., Li, J., Gyamfi, E., </w:t>
      </w:r>
      <w:proofErr w:type="spellStart"/>
      <w:r w:rsidRPr="001B5D2B">
        <w:rPr>
          <w:rFonts w:ascii="Arial" w:hAnsi="Arial" w:cs="Arial"/>
          <w:sz w:val="20"/>
          <w:szCs w:val="20"/>
        </w:rPr>
        <w:t>Antwi-Boasiako</w:t>
      </w:r>
      <w:proofErr w:type="spellEnd"/>
      <w:r w:rsidRPr="001B5D2B">
        <w:rPr>
          <w:rFonts w:ascii="Arial" w:hAnsi="Arial" w:cs="Arial"/>
          <w:sz w:val="20"/>
          <w:szCs w:val="20"/>
        </w:rPr>
        <w:t xml:space="preserve">, A., Chen, X., Li, X., &amp; Liu, A. (2023). </w:t>
      </w:r>
      <w:r w:rsidRPr="001B5D2B">
        <w:rPr>
          <w:rStyle w:val="Emphasis"/>
          <w:rFonts w:ascii="Arial" w:hAnsi="Arial" w:cs="Arial"/>
          <w:sz w:val="20"/>
          <w:szCs w:val="20"/>
        </w:rPr>
        <w:t>Analysis of the determinants of sustainable agricultural technologies adoption in tea production in China: A systematic review.</w:t>
      </w:r>
      <w:r w:rsidRPr="001B5D2B">
        <w:rPr>
          <w:rFonts w:ascii="Arial" w:hAnsi="Arial" w:cs="Arial"/>
          <w:sz w:val="20"/>
          <w:szCs w:val="20"/>
        </w:rPr>
        <w:t xml:space="preserve"> </w:t>
      </w:r>
      <w:r w:rsidRPr="001B5D2B">
        <w:rPr>
          <w:rStyle w:val="Emphasis"/>
          <w:rFonts w:ascii="Arial" w:hAnsi="Arial" w:cs="Arial"/>
          <w:sz w:val="20"/>
          <w:szCs w:val="20"/>
        </w:rPr>
        <w:t>International Journal of Agricultural Sustainability,</w:t>
      </w:r>
      <w:r w:rsidRPr="001B5D2B">
        <w:rPr>
          <w:rFonts w:ascii="Arial" w:hAnsi="Arial" w:cs="Arial"/>
          <w:sz w:val="20"/>
          <w:szCs w:val="20"/>
        </w:rPr>
        <w:t xml:space="preserve"> </w:t>
      </w:r>
      <w:r w:rsidRPr="001B5D2B">
        <w:rPr>
          <w:rStyle w:val="Strong"/>
          <w:rFonts w:ascii="Arial" w:hAnsi="Arial" w:cs="Arial"/>
          <w:b w:val="0"/>
          <w:bCs w:val="0"/>
          <w:sz w:val="20"/>
          <w:szCs w:val="20"/>
        </w:rPr>
        <w:t>21</w:t>
      </w:r>
      <w:r w:rsidRPr="001B5D2B">
        <w:rPr>
          <w:rFonts w:ascii="Arial" w:hAnsi="Arial" w:cs="Arial"/>
          <w:sz w:val="20"/>
          <w:szCs w:val="20"/>
        </w:rPr>
        <w:t>(1), 2239047.</w:t>
      </w:r>
      <w:r w:rsidRPr="001B5D2B">
        <w:rPr>
          <w:rFonts w:ascii="Arial" w:hAnsi="Arial" w:cs="Arial"/>
          <w:sz w:val="20"/>
          <w:szCs w:val="20"/>
        </w:rPr>
        <w:br/>
      </w:r>
      <w:hyperlink r:id="rId37" w:tgtFrame="_new" w:history="1">
        <w:r w:rsidRPr="001B5D2B">
          <w:rPr>
            <w:rStyle w:val="Hyperlink"/>
            <w:rFonts w:ascii="Arial" w:hAnsi="Arial" w:cs="Arial"/>
            <w:color w:val="4F81BD" w:themeColor="accent1"/>
            <w:sz w:val="20"/>
            <w:szCs w:val="20"/>
          </w:rPr>
          <w:t>https://doi.org/10.1080/14735903.2023.2239047</w:t>
        </w:r>
      </w:hyperlink>
    </w:p>
    <w:p w14:paraId="5535A961" w14:textId="77777777" w:rsidR="00EB6347" w:rsidRDefault="00EB6347" w:rsidP="00EB6347">
      <w:pPr>
        <w:pStyle w:val="ListParagraph"/>
        <w:numPr>
          <w:ilvl w:val="0"/>
          <w:numId w:val="33"/>
        </w:numPr>
        <w:spacing w:after="0" w:line="276" w:lineRule="auto"/>
        <w:rPr>
          <w:rFonts w:ascii="Arial" w:hAnsi="Arial" w:cs="Arial"/>
          <w:sz w:val="20"/>
          <w:szCs w:val="20"/>
        </w:rPr>
      </w:pPr>
      <w:proofErr w:type="spellStart"/>
      <w:r w:rsidRPr="00EB6347">
        <w:rPr>
          <w:rFonts w:ascii="Arial" w:hAnsi="Arial" w:cs="Arial"/>
          <w:sz w:val="20"/>
          <w:szCs w:val="20"/>
        </w:rPr>
        <w:t>Ayisi</w:t>
      </w:r>
      <w:proofErr w:type="spellEnd"/>
      <w:r w:rsidRPr="00EB6347">
        <w:rPr>
          <w:rFonts w:ascii="Arial" w:hAnsi="Arial" w:cs="Arial"/>
          <w:sz w:val="20"/>
          <w:szCs w:val="20"/>
        </w:rPr>
        <w:t xml:space="preserve">, D. N., </w:t>
      </w:r>
      <w:proofErr w:type="spellStart"/>
      <w:r w:rsidRPr="00EB6347">
        <w:rPr>
          <w:rFonts w:ascii="Arial" w:hAnsi="Arial" w:cs="Arial"/>
          <w:sz w:val="20"/>
          <w:szCs w:val="20"/>
        </w:rPr>
        <w:t>Kozári</w:t>
      </w:r>
      <w:proofErr w:type="spellEnd"/>
      <w:r w:rsidRPr="00EB6347">
        <w:rPr>
          <w:rFonts w:ascii="Arial" w:hAnsi="Arial" w:cs="Arial"/>
          <w:sz w:val="20"/>
          <w:szCs w:val="20"/>
        </w:rPr>
        <w:t xml:space="preserve">, J., &amp; Krisztina, T. (2022). Do smallholder farmers belong to the same adopter category? An assessment of smallholder farmers innovation adopter categories in Ghana. </w:t>
      </w:r>
      <w:proofErr w:type="spellStart"/>
      <w:r w:rsidRPr="00EB6347">
        <w:rPr>
          <w:rFonts w:ascii="Arial" w:hAnsi="Arial" w:cs="Arial"/>
          <w:sz w:val="20"/>
          <w:szCs w:val="20"/>
        </w:rPr>
        <w:t>Heliyon</w:t>
      </w:r>
      <w:proofErr w:type="spellEnd"/>
      <w:r w:rsidRPr="00EB6347">
        <w:rPr>
          <w:rFonts w:ascii="Arial" w:hAnsi="Arial" w:cs="Arial"/>
          <w:sz w:val="20"/>
          <w:szCs w:val="20"/>
        </w:rPr>
        <w:t>, 8(8).</w:t>
      </w:r>
    </w:p>
    <w:p w14:paraId="087CF26B" w14:textId="604BC0F0" w:rsidR="00BE05D5" w:rsidRPr="00EB6347" w:rsidRDefault="00EB6347" w:rsidP="00EB6347">
      <w:pPr>
        <w:pStyle w:val="ListParagraph"/>
        <w:numPr>
          <w:ilvl w:val="0"/>
          <w:numId w:val="33"/>
        </w:numPr>
        <w:spacing w:after="0" w:line="276" w:lineRule="auto"/>
        <w:rPr>
          <w:rFonts w:ascii="Arial" w:hAnsi="Arial" w:cs="Arial"/>
          <w:sz w:val="20"/>
          <w:szCs w:val="20"/>
        </w:rPr>
      </w:pPr>
      <w:r w:rsidRPr="00EB6347">
        <w:rPr>
          <w:rFonts w:ascii="Arial" w:hAnsi="Arial" w:cs="Arial"/>
        </w:rPr>
        <w:t xml:space="preserve">Vecchio, Y., </w:t>
      </w:r>
      <w:proofErr w:type="spellStart"/>
      <w:r w:rsidRPr="00EB6347">
        <w:rPr>
          <w:rFonts w:ascii="Arial" w:hAnsi="Arial" w:cs="Arial"/>
        </w:rPr>
        <w:t>Fargione</w:t>
      </w:r>
      <w:proofErr w:type="spellEnd"/>
      <w:r w:rsidRPr="00EB6347">
        <w:rPr>
          <w:rFonts w:ascii="Arial" w:hAnsi="Arial" w:cs="Arial"/>
        </w:rPr>
        <w:t xml:space="preserve">, R., Bartoli, L., </w:t>
      </w:r>
      <w:proofErr w:type="spellStart"/>
      <w:r w:rsidRPr="00EB6347">
        <w:rPr>
          <w:rFonts w:ascii="Arial" w:hAnsi="Arial" w:cs="Arial"/>
        </w:rPr>
        <w:t>Carfora</w:t>
      </w:r>
      <w:proofErr w:type="spellEnd"/>
      <w:r w:rsidRPr="00EB6347">
        <w:rPr>
          <w:rFonts w:ascii="Arial" w:hAnsi="Arial" w:cs="Arial"/>
        </w:rPr>
        <w:t xml:space="preserve">, F., &amp; </w:t>
      </w:r>
      <w:proofErr w:type="spellStart"/>
      <w:r w:rsidRPr="00EB6347">
        <w:rPr>
          <w:rFonts w:ascii="Arial" w:hAnsi="Arial" w:cs="Arial"/>
        </w:rPr>
        <w:t>Adinolfi</w:t>
      </w:r>
      <w:proofErr w:type="spellEnd"/>
      <w:r w:rsidRPr="00EB6347">
        <w:rPr>
          <w:rFonts w:ascii="Arial" w:hAnsi="Arial" w:cs="Arial"/>
        </w:rPr>
        <w:t xml:space="preserve">, F. (2021). The long way to innovation adoption: insights from precision farming. In </w:t>
      </w:r>
      <w:proofErr w:type="spellStart"/>
      <w:r w:rsidRPr="00EB6347">
        <w:rPr>
          <w:rFonts w:ascii="Arial" w:hAnsi="Arial" w:cs="Arial"/>
        </w:rPr>
        <w:t>Agricoltura</w:t>
      </w:r>
      <w:proofErr w:type="spellEnd"/>
      <w:r w:rsidRPr="00EB6347">
        <w:rPr>
          <w:rFonts w:ascii="Arial" w:hAnsi="Arial" w:cs="Arial"/>
        </w:rPr>
        <w:t xml:space="preserve"> e </w:t>
      </w:r>
      <w:proofErr w:type="spellStart"/>
      <w:r w:rsidRPr="00EB6347">
        <w:rPr>
          <w:rFonts w:ascii="Arial" w:hAnsi="Arial" w:cs="Arial"/>
        </w:rPr>
        <w:t>Società</w:t>
      </w:r>
      <w:proofErr w:type="spellEnd"/>
      <w:r w:rsidRPr="00EB6347">
        <w:rPr>
          <w:rFonts w:ascii="Arial" w:hAnsi="Arial" w:cs="Arial"/>
        </w:rPr>
        <w:t xml:space="preserve"> </w:t>
      </w:r>
      <w:proofErr w:type="spellStart"/>
      <w:r w:rsidRPr="00EB6347">
        <w:rPr>
          <w:rFonts w:ascii="Arial" w:hAnsi="Arial" w:cs="Arial"/>
        </w:rPr>
        <w:t>tra</w:t>
      </w:r>
      <w:proofErr w:type="spellEnd"/>
      <w:r w:rsidRPr="00EB6347">
        <w:rPr>
          <w:rFonts w:ascii="Arial" w:hAnsi="Arial" w:cs="Arial"/>
        </w:rPr>
        <w:t xml:space="preserve"> </w:t>
      </w:r>
      <w:proofErr w:type="spellStart"/>
      <w:r w:rsidRPr="00EB6347">
        <w:rPr>
          <w:rFonts w:ascii="Arial" w:hAnsi="Arial" w:cs="Arial"/>
        </w:rPr>
        <w:t>mercato</w:t>
      </w:r>
      <w:proofErr w:type="spellEnd"/>
      <w:r w:rsidRPr="00EB6347">
        <w:rPr>
          <w:rFonts w:ascii="Arial" w:hAnsi="Arial" w:cs="Arial"/>
        </w:rPr>
        <w:t xml:space="preserve">, </w:t>
      </w:r>
      <w:proofErr w:type="spellStart"/>
      <w:r w:rsidRPr="00EB6347">
        <w:rPr>
          <w:rFonts w:ascii="Arial" w:hAnsi="Arial" w:cs="Arial"/>
        </w:rPr>
        <w:t>innovazione</w:t>
      </w:r>
      <w:proofErr w:type="spellEnd"/>
      <w:r w:rsidRPr="00EB6347">
        <w:rPr>
          <w:rFonts w:ascii="Arial" w:hAnsi="Arial" w:cs="Arial"/>
        </w:rPr>
        <w:t xml:space="preserve"> e </w:t>
      </w:r>
      <w:proofErr w:type="spellStart"/>
      <w:r w:rsidRPr="00EB6347">
        <w:rPr>
          <w:rFonts w:ascii="Arial" w:hAnsi="Arial" w:cs="Arial"/>
        </w:rPr>
        <w:t>ambiente</w:t>
      </w:r>
      <w:proofErr w:type="spellEnd"/>
      <w:r w:rsidRPr="00EB6347">
        <w:rPr>
          <w:rFonts w:ascii="Arial" w:hAnsi="Arial" w:cs="Arial"/>
        </w:rPr>
        <w:t xml:space="preserve">: le </w:t>
      </w:r>
      <w:proofErr w:type="spellStart"/>
      <w:r w:rsidRPr="00EB6347">
        <w:rPr>
          <w:rFonts w:ascii="Arial" w:hAnsi="Arial" w:cs="Arial"/>
        </w:rPr>
        <w:t>nuove</w:t>
      </w:r>
      <w:proofErr w:type="spellEnd"/>
      <w:r w:rsidRPr="00EB6347">
        <w:rPr>
          <w:rFonts w:ascii="Arial" w:hAnsi="Arial" w:cs="Arial"/>
        </w:rPr>
        <w:t xml:space="preserve"> </w:t>
      </w:r>
      <w:proofErr w:type="spellStart"/>
      <w:r w:rsidRPr="00EB6347">
        <w:rPr>
          <w:rFonts w:ascii="Arial" w:hAnsi="Arial" w:cs="Arial"/>
        </w:rPr>
        <w:t>frontiere</w:t>
      </w:r>
      <w:proofErr w:type="spellEnd"/>
      <w:r w:rsidRPr="00EB6347">
        <w:rPr>
          <w:rFonts w:ascii="Arial" w:hAnsi="Arial" w:cs="Arial"/>
        </w:rPr>
        <w:t xml:space="preserve"> di </w:t>
      </w:r>
      <w:proofErr w:type="spellStart"/>
      <w:r w:rsidRPr="00EB6347">
        <w:rPr>
          <w:rFonts w:ascii="Arial" w:hAnsi="Arial" w:cs="Arial"/>
        </w:rPr>
        <w:t>analisi</w:t>
      </w:r>
      <w:proofErr w:type="spellEnd"/>
      <w:r w:rsidRPr="00EB6347">
        <w:rPr>
          <w:rFonts w:ascii="Arial" w:hAnsi="Arial" w:cs="Arial"/>
        </w:rPr>
        <w:t xml:space="preserve"> </w:t>
      </w:r>
      <w:proofErr w:type="spellStart"/>
      <w:r w:rsidRPr="00EB6347">
        <w:rPr>
          <w:rFonts w:ascii="Arial" w:hAnsi="Arial" w:cs="Arial"/>
        </w:rPr>
        <w:t>dell’impresa</w:t>
      </w:r>
      <w:proofErr w:type="spellEnd"/>
      <w:r w:rsidRPr="00EB6347">
        <w:rPr>
          <w:rFonts w:ascii="Arial" w:hAnsi="Arial" w:cs="Arial"/>
        </w:rPr>
        <w:t xml:space="preserve"> </w:t>
      </w:r>
      <w:proofErr w:type="spellStart"/>
      <w:r w:rsidRPr="00EB6347">
        <w:rPr>
          <w:rFonts w:ascii="Arial" w:hAnsi="Arial" w:cs="Arial"/>
        </w:rPr>
        <w:t>agro-alimentare</w:t>
      </w:r>
      <w:proofErr w:type="spellEnd"/>
      <w:r w:rsidRPr="00EB6347">
        <w:rPr>
          <w:rFonts w:ascii="Arial" w:hAnsi="Arial" w:cs="Arial"/>
        </w:rPr>
        <w:t xml:space="preserve"> (pp. 180-183).</w:t>
      </w:r>
    </w:p>
    <w:p w14:paraId="311F2005" w14:textId="77777777" w:rsidR="00BE05D5" w:rsidRDefault="00BE05D5" w:rsidP="00BE05D5">
      <w:pPr>
        <w:pStyle w:val="ListParagraph"/>
        <w:spacing w:after="0" w:line="276" w:lineRule="auto"/>
        <w:ind w:left="284"/>
        <w:rPr>
          <w:rFonts w:ascii="Arial" w:hAnsi="Arial" w:cs="Arial"/>
          <w:sz w:val="20"/>
          <w:szCs w:val="20"/>
        </w:rPr>
      </w:pPr>
    </w:p>
    <w:p w14:paraId="1E2D3AF9" w14:textId="77777777" w:rsidR="00BE05D5" w:rsidRDefault="00BE05D5" w:rsidP="00BE05D5">
      <w:pPr>
        <w:pStyle w:val="ListParagraph"/>
        <w:spacing w:after="0" w:line="276" w:lineRule="auto"/>
        <w:ind w:left="284"/>
        <w:rPr>
          <w:rFonts w:ascii="Arial" w:hAnsi="Arial" w:cs="Arial"/>
          <w:sz w:val="20"/>
          <w:szCs w:val="20"/>
        </w:rPr>
      </w:pPr>
      <w:bookmarkStart w:id="0" w:name="_GoBack"/>
      <w:bookmarkEnd w:id="0"/>
    </w:p>
    <w:p w14:paraId="4483FF19" w14:textId="77777777" w:rsidR="00BE05D5" w:rsidRDefault="00BE05D5" w:rsidP="00BE05D5">
      <w:pPr>
        <w:pStyle w:val="ListParagraph"/>
        <w:spacing w:after="0" w:line="276" w:lineRule="auto"/>
        <w:ind w:left="284"/>
        <w:rPr>
          <w:rFonts w:ascii="Arial" w:hAnsi="Arial" w:cs="Arial"/>
          <w:sz w:val="20"/>
          <w:szCs w:val="20"/>
        </w:rPr>
      </w:pPr>
    </w:p>
    <w:p w14:paraId="689C0829" w14:textId="77777777" w:rsidR="00BE05D5" w:rsidRDefault="00BE05D5" w:rsidP="00BE05D5">
      <w:pPr>
        <w:pStyle w:val="ListParagraph"/>
        <w:spacing w:after="0" w:line="276" w:lineRule="auto"/>
        <w:ind w:left="284"/>
        <w:rPr>
          <w:rFonts w:ascii="Arial" w:hAnsi="Arial" w:cs="Arial"/>
          <w:sz w:val="20"/>
          <w:szCs w:val="20"/>
        </w:rPr>
      </w:pPr>
    </w:p>
    <w:p w14:paraId="121EAA17" w14:textId="77777777" w:rsidR="00BE05D5" w:rsidRDefault="00BE05D5" w:rsidP="00BE05D5">
      <w:pPr>
        <w:pStyle w:val="ListParagraph"/>
        <w:spacing w:after="0" w:line="276" w:lineRule="auto"/>
        <w:ind w:left="284"/>
        <w:rPr>
          <w:rFonts w:ascii="Arial" w:hAnsi="Arial" w:cs="Arial"/>
          <w:sz w:val="20"/>
          <w:szCs w:val="20"/>
        </w:rPr>
      </w:pPr>
    </w:p>
    <w:p w14:paraId="0837B267" w14:textId="77777777" w:rsidR="00BE05D5" w:rsidRDefault="00BE05D5" w:rsidP="00BE05D5">
      <w:pPr>
        <w:pStyle w:val="ListParagraph"/>
        <w:spacing w:after="0" w:line="276" w:lineRule="auto"/>
        <w:ind w:left="284"/>
        <w:rPr>
          <w:rFonts w:ascii="Arial" w:hAnsi="Arial" w:cs="Arial"/>
          <w:sz w:val="20"/>
          <w:szCs w:val="20"/>
        </w:rPr>
      </w:pPr>
    </w:p>
    <w:p w14:paraId="7F311A89" w14:textId="77777777" w:rsidR="00BE05D5" w:rsidRDefault="00BE05D5" w:rsidP="00BE05D5">
      <w:pPr>
        <w:pStyle w:val="ListParagraph"/>
        <w:spacing w:after="0" w:line="276" w:lineRule="auto"/>
        <w:ind w:left="284"/>
        <w:rPr>
          <w:rFonts w:ascii="Arial" w:hAnsi="Arial" w:cs="Arial"/>
          <w:sz w:val="20"/>
          <w:szCs w:val="20"/>
        </w:rPr>
      </w:pPr>
    </w:p>
    <w:p w14:paraId="740718C1" w14:textId="77777777" w:rsidR="00BE05D5" w:rsidRDefault="00BE05D5" w:rsidP="00BE05D5">
      <w:pPr>
        <w:pStyle w:val="ListParagraph"/>
        <w:spacing w:after="0" w:line="276" w:lineRule="auto"/>
        <w:ind w:left="284"/>
        <w:rPr>
          <w:rFonts w:ascii="Arial" w:hAnsi="Arial" w:cs="Arial"/>
          <w:sz w:val="20"/>
          <w:szCs w:val="20"/>
        </w:rPr>
      </w:pPr>
    </w:p>
    <w:p w14:paraId="6D894D11" w14:textId="77777777" w:rsidR="00BE05D5" w:rsidRDefault="00BE05D5" w:rsidP="00BE05D5">
      <w:pPr>
        <w:pStyle w:val="ListParagraph"/>
        <w:spacing w:after="0" w:line="276" w:lineRule="auto"/>
        <w:ind w:left="284"/>
        <w:rPr>
          <w:rFonts w:ascii="Arial" w:hAnsi="Arial" w:cs="Arial"/>
          <w:sz w:val="20"/>
          <w:szCs w:val="20"/>
        </w:rPr>
      </w:pPr>
    </w:p>
    <w:p w14:paraId="10CDC4F3" w14:textId="77777777" w:rsidR="00BE05D5" w:rsidRDefault="00BE05D5" w:rsidP="00BE05D5">
      <w:pPr>
        <w:pStyle w:val="ListParagraph"/>
        <w:spacing w:after="0" w:line="276" w:lineRule="auto"/>
        <w:ind w:left="284"/>
        <w:rPr>
          <w:rFonts w:ascii="Arial" w:hAnsi="Arial" w:cs="Arial"/>
          <w:sz w:val="20"/>
          <w:szCs w:val="20"/>
        </w:rPr>
      </w:pPr>
    </w:p>
    <w:p w14:paraId="201EAD6E" w14:textId="77777777" w:rsidR="00BE05D5" w:rsidRDefault="00BE05D5" w:rsidP="00BE05D5">
      <w:pPr>
        <w:pStyle w:val="ListParagraph"/>
        <w:spacing w:after="0" w:line="276" w:lineRule="auto"/>
        <w:ind w:left="284"/>
        <w:rPr>
          <w:rFonts w:ascii="Arial" w:hAnsi="Arial" w:cs="Arial"/>
          <w:sz w:val="20"/>
          <w:szCs w:val="20"/>
        </w:rPr>
      </w:pPr>
    </w:p>
    <w:p w14:paraId="3DF8BA66" w14:textId="77777777" w:rsidR="00BE05D5" w:rsidRDefault="00BE05D5" w:rsidP="00BE05D5">
      <w:pPr>
        <w:pStyle w:val="ListParagraph"/>
        <w:spacing w:after="0" w:line="276" w:lineRule="auto"/>
        <w:ind w:left="284"/>
        <w:rPr>
          <w:rFonts w:ascii="Arial" w:hAnsi="Arial" w:cs="Arial"/>
          <w:sz w:val="20"/>
          <w:szCs w:val="20"/>
        </w:rPr>
      </w:pPr>
    </w:p>
    <w:p w14:paraId="2FE1B472" w14:textId="77777777" w:rsidR="00BE05D5" w:rsidRDefault="00BE05D5" w:rsidP="00BE05D5">
      <w:pPr>
        <w:pStyle w:val="ListParagraph"/>
        <w:spacing w:after="0" w:line="276" w:lineRule="auto"/>
        <w:ind w:left="284"/>
        <w:rPr>
          <w:rFonts w:ascii="Arial" w:hAnsi="Arial" w:cs="Arial"/>
          <w:sz w:val="20"/>
          <w:szCs w:val="20"/>
        </w:rPr>
      </w:pPr>
    </w:p>
    <w:p w14:paraId="6854C6C8" w14:textId="77777777" w:rsidR="00BE05D5" w:rsidRDefault="00BE05D5" w:rsidP="00BE05D5">
      <w:pPr>
        <w:pStyle w:val="ListParagraph"/>
        <w:spacing w:after="0" w:line="276" w:lineRule="auto"/>
        <w:ind w:left="284"/>
        <w:rPr>
          <w:rFonts w:ascii="Arial" w:hAnsi="Arial" w:cs="Arial"/>
          <w:sz w:val="20"/>
          <w:szCs w:val="20"/>
        </w:rPr>
      </w:pPr>
    </w:p>
    <w:p w14:paraId="5A76B5C3" w14:textId="77777777" w:rsidR="00BE05D5" w:rsidRPr="001B5D2B" w:rsidRDefault="00BE05D5" w:rsidP="00BE05D5">
      <w:pPr>
        <w:pStyle w:val="ListParagraph"/>
        <w:ind w:left="0"/>
        <w:rPr>
          <w:rFonts w:ascii="Arial" w:eastAsia="Calibri" w:hAnsi="Arial" w:cs="Arial"/>
          <w:b/>
          <w:bCs/>
        </w:rPr>
      </w:pPr>
    </w:p>
    <w:p w14:paraId="655B4046" w14:textId="77777777" w:rsidR="00BE05D5" w:rsidRPr="00BE05D5" w:rsidRDefault="00BE05D5" w:rsidP="00B0710A">
      <w:pPr>
        <w:pStyle w:val="ListParagraph"/>
        <w:ind w:left="142"/>
        <w:rPr>
          <w:rFonts w:ascii="Arial" w:eastAsiaTheme="minorEastAsia" w:hAnsi="Arial" w:cs="Arial"/>
          <w:b/>
          <w:bCs/>
          <w:lang w:eastAsia="en-GB"/>
        </w:rPr>
      </w:pPr>
    </w:p>
    <w:p w14:paraId="21D49E4A" w14:textId="77777777" w:rsidR="00BE05D5" w:rsidRPr="00BE05D5" w:rsidRDefault="00BE05D5" w:rsidP="00B0710A">
      <w:pPr>
        <w:pStyle w:val="ListParagraph"/>
        <w:ind w:left="142"/>
        <w:rPr>
          <w:rFonts w:ascii="Arial" w:eastAsiaTheme="minorEastAsia" w:hAnsi="Arial" w:cs="Arial"/>
          <w:b/>
          <w:bCs/>
          <w:lang w:eastAsia="en-GB"/>
        </w:rPr>
      </w:pPr>
    </w:p>
    <w:p w14:paraId="68A3E4D0" w14:textId="77777777" w:rsidR="00BE05D5" w:rsidRDefault="00BE05D5" w:rsidP="00B0710A">
      <w:pPr>
        <w:pStyle w:val="ListParagraph"/>
        <w:ind w:left="142"/>
        <w:rPr>
          <w:rFonts w:ascii="Arial" w:eastAsiaTheme="minorEastAsia" w:hAnsi="Arial" w:cs="Arial"/>
          <w:b/>
          <w:bCs/>
          <w:lang w:val="en-GB" w:eastAsia="en-GB"/>
        </w:rPr>
      </w:pPr>
    </w:p>
    <w:p w14:paraId="47F98928" w14:textId="77777777" w:rsidR="00BE05D5" w:rsidRDefault="00BE05D5" w:rsidP="00B0710A">
      <w:pPr>
        <w:pStyle w:val="ListParagraph"/>
        <w:ind w:left="142"/>
        <w:rPr>
          <w:rFonts w:ascii="Arial" w:eastAsiaTheme="minorEastAsia" w:hAnsi="Arial" w:cs="Arial"/>
          <w:b/>
          <w:bCs/>
          <w:lang w:val="en-GB" w:eastAsia="en-GB"/>
        </w:rPr>
      </w:pPr>
    </w:p>
    <w:p w14:paraId="328506A2" w14:textId="77777777" w:rsidR="00BE05D5" w:rsidRDefault="00BE05D5" w:rsidP="00B0710A">
      <w:pPr>
        <w:pStyle w:val="ListParagraph"/>
        <w:ind w:left="142"/>
        <w:rPr>
          <w:rFonts w:ascii="Arial" w:eastAsiaTheme="minorEastAsia" w:hAnsi="Arial" w:cs="Arial"/>
          <w:b/>
          <w:bCs/>
          <w:lang w:val="en-GB" w:eastAsia="en-GB"/>
        </w:rPr>
      </w:pPr>
    </w:p>
    <w:p w14:paraId="4FE2A069" w14:textId="77777777" w:rsidR="00BE05D5" w:rsidRDefault="00BE05D5" w:rsidP="00B0710A">
      <w:pPr>
        <w:pStyle w:val="ListParagraph"/>
        <w:ind w:left="142"/>
        <w:rPr>
          <w:rFonts w:ascii="Arial" w:eastAsiaTheme="minorEastAsia" w:hAnsi="Arial" w:cs="Arial"/>
          <w:b/>
          <w:bCs/>
          <w:lang w:val="en-GB" w:eastAsia="en-GB"/>
        </w:rPr>
      </w:pPr>
    </w:p>
    <w:p w14:paraId="1B15DDFB" w14:textId="77777777" w:rsidR="00BE05D5" w:rsidRDefault="00BE05D5" w:rsidP="00B0710A">
      <w:pPr>
        <w:pStyle w:val="ListParagraph"/>
        <w:ind w:left="142"/>
        <w:rPr>
          <w:rFonts w:ascii="Arial" w:eastAsiaTheme="minorEastAsia" w:hAnsi="Arial" w:cs="Arial"/>
          <w:b/>
          <w:bCs/>
          <w:lang w:val="en-GB" w:eastAsia="en-GB"/>
        </w:rPr>
      </w:pPr>
    </w:p>
    <w:p w14:paraId="421EDD5B" w14:textId="77777777" w:rsidR="00BE05D5" w:rsidRDefault="00BE05D5" w:rsidP="00B0710A">
      <w:pPr>
        <w:pStyle w:val="ListParagraph"/>
        <w:ind w:left="142"/>
        <w:rPr>
          <w:rFonts w:ascii="Arial" w:eastAsiaTheme="minorEastAsia" w:hAnsi="Arial" w:cs="Arial"/>
          <w:b/>
          <w:bCs/>
          <w:lang w:val="en-GB" w:eastAsia="en-GB"/>
        </w:rPr>
      </w:pPr>
    </w:p>
    <w:p w14:paraId="7969D0E9" w14:textId="77777777" w:rsidR="00BE05D5" w:rsidRDefault="00BE05D5" w:rsidP="00B0710A">
      <w:pPr>
        <w:pStyle w:val="ListParagraph"/>
        <w:ind w:left="142"/>
        <w:rPr>
          <w:rFonts w:ascii="Arial" w:eastAsiaTheme="minorEastAsia" w:hAnsi="Arial" w:cs="Arial"/>
          <w:b/>
          <w:bCs/>
          <w:lang w:val="en-GB" w:eastAsia="en-GB"/>
        </w:rPr>
      </w:pPr>
    </w:p>
    <w:p w14:paraId="3C6B57C4" w14:textId="77777777" w:rsidR="00BE05D5" w:rsidRDefault="00BE05D5" w:rsidP="00B0710A">
      <w:pPr>
        <w:pStyle w:val="ListParagraph"/>
        <w:ind w:left="142"/>
        <w:rPr>
          <w:rFonts w:ascii="Arial" w:eastAsiaTheme="minorEastAsia" w:hAnsi="Arial" w:cs="Arial"/>
          <w:b/>
          <w:bCs/>
          <w:lang w:val="en-GB" w:eastAsia="en-GB"/>
        </w:rPr>
      </w:pPr>
    </w:p>
    <w:p w14:paraId="1E694C55" w14:textId="77777777" w:rsidR="00BE05D5" w:rsidRDefault="00BE05D5" w:rsidP="00B0710A">
      <w:pPr>
        <w:pStyle w:val="ListParagraph"/>
        <w:ind w:left="142"/>
        <w:rPr>
          <w:rFonts w:ascii="Arial" w:eastAsiaTheme="minorEastAsia" w:hAnsi="Arial" w:cs="Arial"/>
          <w:b/>
          <w:bCs/>
          <w:lang w:val="en-GB" w:eastAsia="en-GB"/>
        </w:rPr>
      </w:pPr>
    </w:p>
    <w:p w14:paraId="0EE5AC86" w14:textId="77777777" w:rsidR="00BE05D5" w:rsidRDefault="00BE05D5" w:rsidP="00B0710A">
      <w:pPr>
        <w:pStyle w:val="ListParagraph"/>
        <w:ind w:left="142"/>
        <w:rPr>
          <w:rFonts w:ascii="Arial" w:eastAsiaTheme="minorEastAsia" w:hAnsi="Arial" w:cs="Arial"/>
          <w:b/>
          <w:bCs/>
          <w:lang w:val="en-GB" w:eastAsia="en-GB"/>
        </w:rPr>
      </w:pPr>
    </w:p>
    <w:p w14:paraId="69774A26" w14:textId="77777777" w:rsidR="00BE05D5" w:rsidRDefault="00BE05D5" w:rsidP="00B0710A">
      <w:pPr>
        <w:pStyle w:val="ListParagraph"/>
        <w:ind w:left="142"/>
        <w:rPr>
          <w:rFonts w:ascii="Arial" w:eastAsiaTheme="minorEastAsia" w:hAnsi="Arial" w:cs="Arial"/>
          <w:b/>
          <w:bCs/>
          <w:lang w:val="en-GB" w:eastAsia="en-GB"/>
        </w:rPr>
      </w:pPr>
    </w:p>
    <w:p w14:paraId="4D27670E" w14:textId="77777777" w:rsidR="00BE05D5" w:rsidRDefault="00BE05D5" w:rsidP="00B0710A">
      <w:pPr>
        <w:pStyle w:val="ListParagraph"/>
        <w:ind w:left="142"/>
        <w:rPr>
          <w:rFonts w:ascii="Arial" w:eastAsiaTheme="minorEastAsia" w:hAnsi="Arial" w:cs="Arial"/>
          <w:b/>
          <w:bCs/>
          <w:lang w:val="en-GB" w:eastAsia="en-GB"/>
        </w:rPr>
      </w:pPr>
    </w:p>
    <w:p w14:paraId="2AB06857" w14:textId="77777777" w:rsidR="00BE05D5" w:rsidRDefault="00BE05D5" w:rsidP="00B0710A">
      <w:pPr>
        <w:pStyle w:val="ListParagraph"/>
        <w:ind w:left="142"/>
        <w:rPr>
          <w:rFonts w:ascii="Arial" w:eastAsiaTheme="minorEastAsia" w:hAnsi="Arial" w:cs="Arial"/>
          <w:b/>
          <w:bCs/>
          <w:lang w:val="en-GB" w:eastAsia="en-GB"/>
        </w:rPr>
      </w:pPr>
    </w:p>
    <w:p w14:paraId="24250A3A" w14:textId="77777777" w:rsidR="00BE05D5" w:rsidRDefault="00BE05D5" w:rsidP="00B0710A">
      <w:pPr>
        <w:pStyle w:val="ListParagraph"/>
        <w:ind w:left="142"/>
        <w:rPr>
          <w:rFonts w:ascii="Arial" w:eastAsiaTheme="minorEastAsia" w:hAnsi="Arial" w:cs="Arial"/>
          <w:b/>
          <w:bCs/>
          <w:lang w:val="en-GB" w:eastAsia="en-GB"/>
        </w:rPr>
      </w:pPr>
    </w:p>
    <w:p w14:paraId="50A89E56" w14:textId="77777777" w:rsidR="00BE05D5" w:rsidRDefault="00BE05D5" w:rsidP="00B0710A">
      <w:pPr>
        <w:pStyle w:val="ListParagraph"/>
        <w:ind w:left="142"/>
        <w:rPr>
          <w:rFonts w:ascii="Arial" w:eastAsiaTheme="minorEastAsia" w:hAnsi="Arial" w:cs="Arial"/>
          <w:b/>
          <w:bCs/>
          <w:lang w:val="en-GB" w:eastAsia="en-GB"/>
        </w:rPr>
      </w:pPr>
    </w:p>
    <w:p w14:paraId="7BC90889" w14:textId="77777777" w:rsidR="00BE05D5" w:rsidRDefault="00BE05D5" w:rsidP="00B0710A">
      <w:pPr>
        <w:pStyle w:val="ListParagraph"/>
        <w:ind w:left="142"/>
        <w:rPr>
          <w:rFonts w:ascii="Arial" w:eastAsiaTheme="minorEastAsia" w:hAnsi="Arial" w:cs="Arial"/>
          <w:b/>
          <w:bCs/>
          <w:lang w:val="en-GB" w:eastAsia="en-GB"/>
        </w:rPr>
      </w:pPr>
    </w:p>
    <w:p w14:paraId="02018E0A" w14:textId="77777777" w:rsidR="00BE05D5" w:rsidRDefault="00BE05D5" w:rsidP="00B0710A">
      <w:pPr>
        <w:pStyle w:val="ListParagraph"/>
        <w:ind w:left="142"/>
        <w:rPr>
          <w:rFonts w:ascii="Arial" w:eastAsiaTheme="minorEastAsia" w:hAnsi="Arial" w:cs="Arial"/>
          <w:b/>
          <w:bCs/>
          <w:lang w:val="en-GB" w:eastAsia="en-GB"/>
        </w:rPr>
      </w:pPr>
    </w:p>
    <w:p w14:paraId="34AC366D" w14:textId="77777777" w:rsidR="00BE05D5" w:rsidRDefault="00BE05D5" w:rsidP="00B0710A">
      <w:pPr>
        <w:pStyle w:val="ListParagraph"/>
        <w:ind w:left="142"/>
        <w:rPr>
          <w:rFonts w:ascii="Arial" w:eastAsiaTheme="minorEastAsia" w:hAnsi="Arial" w:cs="Arial"/>
          <w:b/>
          <w:bCs/>
          <w:lang w:val="en-GB" w:eastAsia="en-GB"/>
        </w:rPr>
      </w:pPr>
    </w:p>
    <w:p w14:paraId="12029C28" w14:textId="77777777" w:rsidR="00BE05D5" w:rsidRDefault="00BE05D5" w:rsidP="00B0710A">
      <w:pPr>
        <w:pStyle w:val="ListParagraph"/>
        <w:ind w:left="142"/>
        <w:rPr>
          <w:rFonts w:ascii="Arial" w:eastAsiaTheme="minorEastAsia" w:hAnsi="Arial" w:cs="Arial"/>
          <w:b/>
          <w:bCs/>
          <w:lang w:val="en-GB" w:eastAsia="en-GB"/>
        </w:rPr>
      </w:pPr>
    </w:p>
    <w:p w14:paraId="212493B5" w14:textId="77777777" w:rsidR="00BE05D5" w:rsidRDefault="00BE05D5" w:rsidP="00B0710A">
      <w:pPr>
        <w:pStyle w:val="ListParagraph"/>
        <w:ind w:left="142"/>
        <w:rPr>
          <w:rFonts w:ascii="Arial" w:eastAsiaTheme="minorEastAsia" w:hAnsi="Arial" w:cs="Arial"/>
          <w:b/>
          <w:bCs/>
          <w:lang w:val="en-GB" w:eastAsia="en-GB"/>
        </w:rPr>
        <w:sectPr w:rsidR="00BE05D5" w:rsidSect="00BE05D5">
          <w:type w:val="continuous"/>
          <w:pgSz w:w="11906" w:h="16838" w:code="9"/>
          <w:pgMar w:top="1440" w:right="1750" w:bottom="2016" w:left="1418" w:header="720" w:footer="1123" w:gutter="0"/>
          <w:cols w:num="2" w:space="800"/>
          <w:docGrid w:linePitch="272"/>
        </w:sectPr>
      </w:pPr>
    </w:p>
    <w:p w14:paraId="75CD1DBA" w14:textId="77777777" w:rsidR="00BE05D5" w:rsidRPr="00BE05D5" w:rsidRDefault="00BE05D5" w:rsidP="00BE05D5">
      <w:pPr>
        <w:pStyle w:val="ListParagraph"/>
        <w:ind w:left="0"/>
        <w:rPr>
          <w:rFonts w:ascii="Arial" w:eastAsia="Calibri" w:hAnsi="Arial" w:cs="Arial"/>
          <w:b/>
          <w:bCs/>
          <w:lang w:val="en-GB"/>
        </w:rPr>
        <w:sectPr w:rsidR="00BE05D5" w:rsidRPr="00BE05D5" w:rsidSect="00BE05D5">
          <w:type w:val="continuous"/>
          <w:pgSz w:w="11906" w:h="16838" w:code="9"/>
          <w:pgMar w:top="1440" w:right="1750" w:bottom="2016" w:left="1418" w:header="720" w:footer="1123" w:gutter="0"/>
          <w:cols w:space="800"/>
          <w:docGrid w:linePitch="272"/>
        </w:sectPr>
      </w:pPr>
      <w:bookmarkStart w:id="1" w:name="_Hlk204003461"/>
      <w:bookmarkStart w:id="2" w:name="_Hlk213163655"/>
      <w:bookmarkStart w:id="3" w:name="_Hlk213070710"/>
    </w:p>
    <w:p w14:paraId="1AD9F6F0" w14:textId="77777777" w:rsidR="00BE05D5" w:rsidRPr="001B5D2B" w:rsidRDefault="00BE05D5" w:rsidP="00BE05D5">
      <w:pPr>
        <w:pStyle w:val="ListParagraph"/>
        <w:ind w:left="142"/>
        <w:jc w:val="both"/>
        <w:rPr>
          <w:rFonts w:ascii="Arial" w:hAnsi="Arial" w:cs="Arial"/>
          <w:sz w:val="20"/>
          <w:szCs w:val="20"/>
        </w:rPr>
        <w:sectPr w:rsidR="00BE05D5" w:rsidRPr="001B5D2B" w:rsidSect="00BE05D5">
          <w:type w:val="continuous"/>
          <w:pgSz w:w="11906" w:h="16838" w:code="9"/>
          <w:pgMar w:top="1440" w:right="1750" w:bottom="2016" w:left="1418" w:header="720" w:footer="1123" w:gutter="0"/>
          <w:cols w:space="800"/>
          <w:docGrid w:linePitch="272"/>
        </w:sectPr>
      </w:pPr>
    </w:p>
    <w:p w14:paraId="04A74C3E" w14:textId="77777777" w:rsidR="00BE05D5" w:rsidRDefault="00BE05D5" w:rsidP="00BE05D5">
      <w:pPr>
        <w:pStyle w:val="ListParagraph"/>
        <w:spacing w:after="0" w:line="276" w:lineRule="auto"/>
        <w:ind w:left="284"/>
        <w:rPr>
          <w:rFonts w:ascii="Arial" w:hAnsi="Arial" w:cs="Arial"/>
          <w:sz w:val="20"/>
          <w:szCs w:val="20"/>
        </w:rPr>
        <w:sectPr w:rsidR="00BE05D5" w:rsidSect="00BE05D5">
          <w:type w:val="continuous"/>
          <w:pgSz w:w="11906" w:h="16838" w:code="9"/>
          <w:pgMar w:top="1440" w:right="1750" w:bottom="2016" w:left="1418" w:header="720" w:footer="1123" w:gutter="0"/>
          <w:cols w:space="800"/>
          <w:docGrid w:linePitch="272"/>
        </w:sectPr>
      </w:pPr>
    </w:p>
    <w:p w14:paraId="09D90181" w14:textId="77777777" w:rsidR="00BE05D5" w:rsidRDefault="00BE05D5" w:rsidP="00BE05D5">
      <w:pPr>
        <w:pStyle w:val="ListParagraph"/>
        <w:spacing w:after="0" w:line="276" w:lineRule="auto"/>
        <w:ind w:left="284"/>
        <w:rPr>
          <w:rFonts w:ascii="Arial" w:hAnsi="Arial" w:cs="Arial"/>
          <w:sz w:val="20"/>
          <w:szCs w:val="20"/>
        </w:rPr>
      </w:pPr>
    </w:p>
    <w:p w14:paraId="651B64F6" w14:textId="77777777" w:rsidR="00BE05D5" w:rsidRDefault="00BE05D5" w:rsidP="00BE05D5">
      <w:pPr>
        <w:pStyle w:val="ListParagraph"/>
        <w:spacing w:after="0" w:line="276" w:lineRule="auto"/>
        <w:ind w:left="284"/>
        <w:rPr>
          <w:rFonts w:ascii="Arial" w:hAnsi="Arial" w:cs="Arial"/>
          <w:sz w:val="20"/>
          <w:szCs w:val="20"/>
        </w:rPr>
      </w:pPr>
    </w:p>
    <w:p w14:paraId="66FD2CEC" w14:textId="77777777" w:rsidR="00BE05D5" w:rsidRDefault="00BE05D5" w:rsidP="00BE05D5">
      <w:pPr>
        <w:pStyle w:val="ListParagraph"/>
        <w:spacing w:after="0" w:line="276" w:lineRule="auto"/>
        <w:ind w:left="284"/>
        <w:rPr>
          <w:rFonts w:ascii="Arial" w:hAnsi="Arial" w:cs="Arial"/>
          <w:sz w:val="20"/>
          <w:szCs w:val="20"/>
        </w:rPr>
      </w:pPr>
    </w:p>
    <w:p w14:paraId="288FCAF5" w14:textId="77777777" w:rsidR="00BE05D5" w:rsidRPr="00BE05D5" w:rsidRDefault="00BE05D5" w:rsidP="00BE05D5">
      <w:pPr>
        <w:pStyle w:val="ListParagraph"/>
        <w:spacing w:after="200" w:line="276" w:lineRule="auto"/>
        <w:ind w:left="142"/>
        <w:jc w:val="both"/>
        <w:rPr>
          <w:rFonts w:ascii="Arial" w:eastAsiaTheme="minorEastAsia" w:hAnsi="Arial" w:cs="Arial"/>
          <w:sz w:val="20"/>
          <w:szCs w:val="20"/>
          <w:lang w:eastAsia="en-GB"/>
        </w:rPr>
      </w:pPr>
    </w:p>
    <w:p w14:paraId="0CECAD49"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68E15BCF"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1C79B8D3"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0E81C882"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2B3FF1C9"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51BB719D"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3BDEF4CE"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1F61EC55"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3FEAD024" w14:textId="77777777" w:rsid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pPr>
    </w:p>
    <w:p w14:paraId="47A19F3E" w14:textId="1F80B80C" w:rsidR="00BE05D5" w:rsidRPr="00BE05D5" w:rsidRDefault="00BE05D5" w:rsidP="00BE05D5">
      <w:pPr>
        <w:pStyle w:val="ListParagraph"/>
        <w:spacing w:after="200" w:line="276" w:lineRule="auto"/>
        <w:ind w:left="142"/>
        <w:jc w:val="both"/>
        <w:rPr>
          <w:rFonts w:ascii="Arial" w:eastAsiaTheme="minorEastAsia" w:hAnsi="Arial" w:cs="Arial"/>
          <w:sz w:val="20"/>
          <w:szCs w:val="20"/>
          <w:lang w:val="en-GB" w:eastAsia="en-GB"/>
        </w:rPr>
        <w:sectPr w:rsidR="00BE05D5" w:rsidRPr="00BE05D5" w:rsidSect="00BE05D5">
          <w:type w:val="continuous"/>
          <w:pgSz w:w="11906" w:h="16838" w:code="9"/>
          <w:pgMar w:top="1440" w:right="1750" w:bottom="2016" w:left="1418" w:header="720" w:footer="1123" w:gutter="0"/>
          <w:cols w:num="2" w:space="800"/>
          <w:docGrid w:linePitch="272"/>
        </w:sectPr>
      </w:pPr>
    </w:p>
    <w:p w14:paraId="62366D7C" w14:textId="70DBF1EC" w:rsidR="00BE05D5" w:rsidRDefault="00BE05D5" w:rsidP="001B5D2B">
      <w:pPr>
        <w:pStyle w:val="ListParagraph"/>
        <w:spacing w:after="0" w:line="276" w:lineRule="auto"/>
        <w:ind w:left="284"/>
        <w:rPr>
          <w:rFonts w:ascii="Arial" w:hAnsi="Arial" w:cs="Arial"/>
          <w:sz w:val="20"/>
          <w:szCs w:val="20"/>
        </w:rPr>
        <w:sectPr w:rsidR="00BE05D5" w:rsidSect="00BE05D5">
          <w:type w:val="continuous"/>
          <w:pgSz w:w="11906" w:h="16838" w:code="9"/>
          <w:pgMar w:top="1440" w:right="1750" w:bottom="2016" w:left="1418" w:header="720" w:footer="1123" w:gutter="0"/>
          <w:cols w:num="2" w:space="720"/>
          <w:docGrid w:linePitch="272"/>
        </w:sectPr>
      </w:pPr>
    </w:p>
    <w:p w14:paraId="001F7881" w14:textId="24C97801" w:rsidR="00B0710A" w:rsidRPr="00BE05D5" w:rsidRDefault="00B0710A" w:rsidP="00BE05D5">
      <w:pPr>
        <w:pStyle w:val="ListParagraph"/>
        <w:spacing w:after="0" w:line="276" w:lineRule="auto"/>
        <w:ind w:left="284"/>
        <w:rPr>
          <w:rFonts w:ascii="Arial" w:hAnsi="Arial" w:cs="Arial"/>
          <w:sz w:val="20"/>
          <w:szCs w:val="20"/>
        </w:rPr>
      </w:pPr>
    </w:p>
    <w:p w14:paraId="1550A33A" w14:textId="77777777" w:rsidR="00B0710A" w:rsidRDefault="00B0710A" w:rsidP="001B5D2B">
      <w:pPr>
        <w:pStyle w:val="ListParagraph"/>
        <w:spacing w:after="0" w:line="276" w:lineRule="auto"/>
        <w:ind w:left="0"/>
        <w:rPr>
          <w:rFonts w:ascii="Arial" w:hAnsi="Arial" w:cs="Arial"/>
          <w:b/>
        </w:rPr>
      </w:pPr>
    </w:p>
    <w:p w14:paraId="02998230" w14:textId="77777777" w:rsidR="00B0710A" w:rsidRDefault="00B0710A" w:rsidP="001B5D2B">
      <w:pPr>
        <w:pStyle w:val="ListParagraph"/>
        <w:spacing w:after="0" w:line="276" w:lineRule="auto"/>
        <w:ind w:left="0"/>
        <w:rPr>
          <w:rFonts w:ascii="Arial" w:hAnsi="Arial" w:cs="Arial"/>
          <w:b/>
        </w:rPr>
      </w:pPr>
    </w:p>
    <w:p w14:paraId="42610D14" w14:textId="77777777" w:rsidR="00B0710A" w:rsidRDefault="00B0710A" w:rsidP="001B5D2B">
      <w:pPr>
        <w:pStyle w:val="ListParagraph"/>
        <w:spacing w:after="0" w:line="276" w:lineRule="auto"/>
        <w:ind w:left="0"/>
        <w:rPr>
          <w:rFonts w:ascii="Arial" w:hAnsi="Arial" w:cs="Arial"/>
          <w:b/>
        </w:rPr>
      </w:pPr>
    </w:p>
    <w:p w14:paraId="43367793" w14:textId="77777777" w:rsidR="00B0710A" w:rsidRDefault="00B0710A" w:rsidP="001B5D2B">
      <w:pPr>
        <w:pStyle w:val="ListParagraph"/>
        <w:spacing w:after="0" w:line="276" w:lineRule="auto"/>
        <w:ind w:left="0"/>
        <w:rPr>
          <w:rFonts w:ascii="Arial" w:hAnsi="Arial" w:cs="Arial"/>
          <w:b/>
        </w:rPr>
      </w:pPr>
    </w:p>
    <w:p w14:paraId="677BB711" w14:textId="77777777" w:rsidR="00B0710A" w:rsidRDefault="00B0710A" w:rsidP="001B5D2B">
      <w:pPr>
        <w:pStyle w:val="ListParagraph"/>
        <w:spacing w:after="0" w:line="276" w:lineRule="auto"/>
        <w:ind w:left="0"/>
        <w:rPr>
          <w:rFonts w:ascii="Arial" w:hAnsi="Arial" w:cs="Arial"/>
          <w:b/>
        </w:rPr>
      </w:pPr>
    </w:p>
    <w:p w14:paraId="59FE317E" w14:textId="77777777" w:rsidR="00B0710A" w:rsidRDefault="00B0710A" w:rsidP="001B5D2B">
      <w:pPr>
        <w:pStyle w:val="ListParagraph"/>
        <w:spacing w:after="0" w:line="276" w:lineRule="auto"/>
        <w:ind w:left="0"/>
        <w:rPr>
          <w:rFonts w:ascii="Arial" w:hAnsi="Arial" w:cs="Arial"/>
          <w:b/>
        </w:rPr>
      </w:pPr>
    </w:p>
    <w:p w14:paraId="0E45942A" w14:textId="77777777" w:rsidR="00B0710A" w:rsidRDefault="00B0710A" w:rsidP="001B5D2B">
      <w:pPr>
        <w:pStyle w:val="ListParagraph"/>
        <w:spacing w:after="0" w:line="276" w:lineRule="auto"/>
        <w:ind w:left="0"/>
        <w:rPr>
          <w:rFonts w:ascii="Arial" w:hAnsi="Arial" w:cs="Arial"/>
          <w:b/>
        </w:rPr>
      </w:pPr>
    </w:p>
    <w:p w14:paraId="44ECF256" w14:textId="77777777" w:rsidR="00B0710A" w:rsidRDefault="00B0710A" w:rsidP="001B5D2B">
      <w:pPr>
        <w:pStyle w:val="ListParagraph"/>
        <w:spacing w:after="0" w:line="276" w:lineRule="auto"/>
        <w:ind w:left="0"/>
        <w:rPr>
          <w:rFonts w:ascii="Arial" w:hAnsi="Arial" w:cs="Arial"/>
          <w:b/>
        </w:rPr>
      </w:pPr>
    </w:p>
    <w:p w14:paraId="5E9C1447" w14:textId="77777777" w:rsidR="00B0710A" w:rsidRDefault="00B0710A" w:rsidP="001B5D2B">
      <w:pPr>
        <w:pStyle w:val="ListParagraph"/>
        <w:spacing w:after="0" w:line="276" w:lineRule="auto"/>
        <w:ind w:left="0"/>
        <w:rPr>
          <w:rFonts w:ascii="Arial" w:hAnsi="Arial" w:cs="Arial"/>
          <w:b/>
        </w:rPr>
      </w:pPr>
    </w:p>
    <w:p w14:paraId="5E155AD3" w14:textId="77777777" w:rsidR="00B0710A" w:rsidRDefault="00B0710A" w:rsidP="001B5D2B">
      <w:pPr>
        <w:pStyle w:val="ListParagraph"/>
        <w:spacing w:after="0" w:line="276" w:lineRule="auto"/>
        <w:ind w:left="0"/>
        <w:rPr>
          <w:rFonts w:ascii="Arial" w:hAnsi="Arial" w:cs="Arial"/>
          <w:b/>
        </w:rPr>
      </w:pPr>
    </w:p>
    <w:p w14:paraId="5E8EBB73" w14:textId="77777777" w:rsidR="00B0710A" w:rsidRDefault="00B0710A" w:rsidP="001B5D2B">
      <w:pPr>
        <w:pStyle w:val="ListParagraph"/>
        <w:spacing w:after="0" w:line="276" w:lineRule="auto"/>
        <w:ind w:left="0"/>
        <w:rPr>
          <w:rFonts w:ascii="Arial" w:hAnsi="Arial" w:cs="Arial"/>
          <w:b/>
        </w:rPr>
      </w:pPr>
    </w:p>
    <w:p w14:paraId="119A58B1" w14:textId="77777777" w:rsidR="00B0710A" w:rsidRDefault="00B0710A" w:rsidP="001B5D2B">
      <w:pPr>
        <w:pStyle w:val="ListParagraph"/>
        <w:spacing w:after="0" w:line="276" w:lineRule="auto"/>
        <w:ind w:left="0"/>
        <w:rPr>
          <w:rFonts w:ascii="Arial" w:hAnsi="Arial" w:cs="Arial"/>
          <w:b/>
        </w:rPr>
      </w:pPr>
    </w:p>
    <w:p w14:paraId="3874AC0D" w14:textId="77777777" w:rsidR="00B0710A" w:rsidRDefault="00B0710A" w:rsidP="001B5D2B">
      <w:pPr>
        <w:pStyle w:val="ListParagraph"/>
        <w:spacing w:after="0" w:line="276" w:lineRule="auto"/>
        <w:ind w:left="0"/>
        <w:rPr>
          <w:rFonts w:ascii="Arial" w:hAnsi="Arial" w:cs="Arial"/>
          <w:b/>
        </w:rPr>
      </w:pPr>
    </w:p>
    <w:p w14:paraId="6BD79431" w14:textId="77777777" w:rsidR="00B0710A" w:rsidRDefault="00B0710A" w:rsidP="001B5D2B">
      <w:pPr>
        <w:pStyle w:val="ListParagraph"/>
        <w:spacing w:after="0" w:line="276" w:lineRule="auto"/>
        <w:ind w:left="0"/>
        <w:rPr>
          <w:rFonts w:ascii="Arial" w:hAnsi="Arial" w:cs="Arial"/>
          <w:b/>
        </w:rPr>
      </w:pPr>
    </w:p>
    <w:p w14:paraId="3222DC7F" w14:textId="77777777" w:rsidR="00B0710A" w:rsidRDefault="00B0710A" w:rsidP="001B5D2B">
      <w:pPr>
        <w:pStyle w:val="ListParagraph"/>
        <w:spacing w:after="0" w:line="276" w:lineRule="auto"/>
        <w:ind w:left="0"/>
        <w:rPr>
          <w:rFonts w:ascii="Arial" w:hAnsi="Arial" w:cs="Arial"/>
          <w:b/>
        </w:rPr>
      </w:pPr>
    </w:p>
    <w:p w14:paraId="6F00611A" w14:textId="77777777" w:rsidR="00B0710A" w:rsidRDefault="00B0710A" w:rsidP="001B5D2B">
      <w:pPr>
        <w:pStyle w:val="ListParagraph"/>
        <w:spacing w:after="0" w:line="276" w:lineRule="auto"/>
        <w:ind w:left="0"/>
        <w:rPr>
          <w:rFonts w:ascii="Arial" w:hAnsi="Arial" w:cs="Arial"/>
          <w:b/>
        </w:rPr>
      </w:pPr>
    </w:p>
    <w:p w14:paraId="3E47620A" w14:textId="77777777" w:rsidR="00B0710A" w:rsidRDefault="00B0710A" w:rsidP="001B5D2B">
      <w:pPr>
        <w:pStyle w:val="ListParagraph"/>
        <w:spacing w:after="0" w:line="276" w:lineRule="auto"/>
        <w:ind w:left="0"/>
        <w:rPr>
          <w:rFonts w:ascii="Arial" w:hAnsi="Arial" w:cs="Arial"/>
          <w:b/>
        </w:rPr>
      </w:pPr>
    </w:p>
    <w:p w14:paraId="44AFA022" w14:textId="77777777" w:rsidR="00B0710A" w:rsidRDefault="00B0710A" w:rsidP="001B5D2B">
      <w:pPr>
        <w:pStyle w:val="ListParagraph"/>
        <w:spacing w:after="0" w:line="276" w:lineRule="auto"/>
        <w:ind w:left="0"/>
        <w:rPr>
          <w:rFonts w:ascii="Arial" w:hAnsi="Arial" w:cs="Arial"/>
          <w:b/>
        </w:rPr>
      </w:pPr>
    </w:p>
    <w:p w14:paraId="1258AA2A" w14:textId="77777777" w:rsidR="00B0710A" w:rsidRDefault="00B0710A" w:rsidP="001B5D2B">
      <w:pPr>
        <w:pStyle w:val="ListParagraph"/>
        <w:spacing w:after="0" w:line="276" w:lineRule="auto"/>
        <w:ind w:left="0"/>
        <w:rPr>
          <w:rFonts w:ascii="Arial" w:hAnsi="Arial" w:cs="Arial"/>
          <w:b/>
        </w:rPr>
      </w:pPr>
    </w:p>
    <w:p w14:paraId="77586D27" w14:textId="77777777" w:rsidR="00B0710A" w:rsidRDefault="00B0710A" w:rsidP="001B5D2B">
      <w:pPr>
        <w:pStyle w:val="ListParagraph"/>
        <w:spacing w:after="0" w:line="276" w:lineRule="auto"/>
        <w:ind w:left="0"/>
        <w:rPr>
          <w:rFonts w:ascii="Arial" w:hAnsi="Arial" w:cs="Arial"/>
          <w:b/>
        </w:rPr>
      </w:pPr>
    </w:p>
    <w:p w14:paraId="0D0C99B6" w14:textId="77777777" w:rsidR="00B0710A" w:rsidRDefault="00B0710A" w:rsidP="001B5D2B">
      <w:pPr>
        <w:pStyle w:val="ListParagraph"/>
        <w:spacing w:after="0" w:line="276" w:lineRule="auto"/>
        <w:ind w:left="0"/>
        <w:rPr>
          <w:rFonts w:ascii="Arial" w:hAnsi="Arial" w:cs="Arial"/>
          <w:b/>
        </w:rPr>
      </w:pPr>
    </w:p>
    <w:p w14:paraId="19C8D6C8" w14:textId="77777777" w:rsidR="00B0710A" w:rsidRDefault="00B0710A" w:rsidP="001B5D2B">
      <w:pPr>
        <w:pStyle w:val="ListParagraph"/>
        <w:spacing w:after="0" w:line="276" w:lineRule="auto"/>
        <w:ind w:left="0"/>
        <w:rPr>
          <w:rFonts w:ascii="Arial" w:hAnsi="Arial" w:cs="Arial"/>
          <w:b/>
        </w:rPr>
      </w:pPr>
    </w:p>
    <w:p w14:paraId="00E4A834" w14:textId="77777777" w:rsidR="00B0710A" w:rsidRDefault="00B0710A" w:rsidP="001B5D2B">
      <w:pPr>
        <w:pStyle w:val="ListParagraph"/>
        <w:spacing w:after="0" w:line="276" w:lineRule="auto"/>
        <w:ind w:left="0"/>
        <w:rPr>
          <w:rFonts w:ascii="Arial" w:hAnsi="Arial" w:cs="Arial"/>
          <w:b/>
        </w:rPr>
      </w:pPr>
    </w:p>
    <w:p w14:paraId="5926A66E" w14:textId="77777777" w:rsidR="00B0710A" w:rsidRDefault="00B0710A" w:rsidP="001B5D2B">
      <w:pPr>
        <w:pStyle w:val="ListParagraph"/>
        <w:spacing w:after="0" w:line="276" w:lineRule="auto"/>
        <w:ind w:left="0"/>
        <w:rPr>
          <w:rFonts w:ascii="Arial" w:hAnsi="Arial" w:cs="Arial"/>
          <w:b/>
        </w:rPr>
      </w:pPr>
    </w:p>
    <w:p w14:paraId="246BE643" w14:textId="77777777" w:rsidR="00BE05D5" w:rsidRDefault="00BE05D5" w:rsidP="001B5D2B">
      <w:pPr>
        <w:pStyle w:val="ListParagraph"/>
        <w:spacing w:after="0" w:line="276" w:lineRule="auto"/>
        <w:ind w:left="0"/>
        <w:rPr>
          <w:rFonts w:ascii="Arial" w:hAnsi="Arial" w:cs="Arial"/>
          <w:b/>
        </w:rPr>
      </w:pPr>
    </w:p>
    <w:p w14:paraId="30A8C414" w14:textId="77777777" w:rsidR="00BE05D5" w:rsidRDefault="00BE05D5" w:rsidP="001B5D2B">
      <w:pPr>
        <w:pStyle w:val="ListParagraph"/>
        <w:spacing w:after="0" w:line="276" w:lineRule="auto"/>
        <w:ind w:left="0"/>
        <w:rPr>
          <w:rFonts w:ascii="Arial" w:hAnsi="Arial" w:cs="Arial"/>
          <w:b/>
        </w:rPr>
      </w:pPr>
    </w:p>
    <w:p w14:paraId="5127EE89" w14:textId="77777777" w:rsidR="00BE05D5" w:rsidRDefault="00BE05D5" w:rsidP="001B5D2B">
      <w:pPr>
        <w:pStyle w:val="ListParagraph"/>
        <w:spacing w:after="0" w:line="276" w:lineRule="auto"/>
        <w:ind w:left="0"/>
        <w:rPr>
          <w:rFonts w:ascii="Arial" w:hAnsi="Arial" w:cs="Arial"/>
          <w:b/>
        </w:rPr>
      </w:pPr>
    </w:p>
    <w:p w14:paraId="25163D2E" w14:textId="77777777" w:rsidR="00BE05D5" w:rsidRDefault="00BE05D5" w:rsidP="001B5D2B">
      <w:pPr>
        <w:pStyle w:val="ListParagraph"/>
        <w:spacing w:after="0" w:line="276" w:lineRule="auto"/>
        <w:ind w:left="0"/>
        <w:rPr>
          <w:rFonts w:ascii="Arial" w:hAnsi="Arial" w:cs="Arial"/>
          <w:b/>
        </w:rPr>
      </w:pPr>
    </w:p>
    <w:p w14:paraId="6871A6E3" w14:textId="77777777" w:rsidR="00BE05D5" w:rsidRDefault="00BE05D5" w:rsidP="001B5D2B">
      <w:pPr>
        <w:pStyle w:val="ListParagraph"/>
        <w:spacing w:after="0" w:line="276" w:lineRule="auto"/>
        <w:ind w:left="0"/>
        <w:rPr>
          <w:rFonts w:ascii="Arial" w:hAnsi="Arial" w:cs="Arial"/>
          <w:b/>
        </w:rPr>
      </w:pPr>
    </w:p>
    <w:p w14:paraId="38D89914" w14:textId="77777777" w:rsidR="00BE05D5" w:rsidRDefault="00BE05D5" w:rsidP="001B5D2B">
      <w:pPr>
        <w:pStyle w:val="ListParagraph"/>
        <w:spacing w:after="0" w:line="276" w:lineRule="auto"/>
        <w:ind w:left="0"/>
        <w:rPr>
          <w:rFonts w:ascii="Arial" w:hAnsi="Arial" w:cs="Arial"/>
          <w:b/>
        </w:rPr>
      </w:pPr>
    </w:p>
    <w:p w14:paraId="7A86E511" w14:textId="77777777" w:rsidR="00BE05D5" w:rsidRDefault="00BE05D5" w:rsidP="001B5D2B">
      <w:pPr>
        <w:pStyle w:val="ListParagraph"/>
        <w:spacing w:after="0" w:line="276" w:lineRule="auto"/>
        <w:ind w:left="0"/>
        <w:rPr>
          <w:rFonts w:ascii="Arial" w:hAnsi="Arial" w:cs="Arial"/>
          <w:b/>
        </w:rPr>
      </w:pPr>
    </w:p>
    <w:p w14:paraId="6233DEA0" w14:textId="77777777" w:rsidR="00BE05D5" w:rsidRDefault="00BE05D5" w:rsidP="001B5D2B">
      <w:pPr>
        <w:pStyle w:val="ListParagraph"/>
        <w:spacing w:after="0" w:line="276" w:lineRule="auto"/>
        <w:ind w:left="0"/>
        <w:rPr>
          <w:rFonts w:ascii="Arial" w:hAnsi="Arial" w:cs="Arial"/>
          <w:b/>
        </w:rPr>
      </w:pPr>
    </w:p>
    <w:p w14:paraId="783B969D" w14:textId="77777777" w:rsidR="00BE05D5" w:rsidRDefault="00BE05D5" w:rsidP="001B5D2B">
      <w:pPr>
        <w:pStyle w:val="ListParagraph"/>
        <w:spacing w:after="0" w:line="276" w:lineRule="auto"/>
        <w:ind w:left="0"/>
        <w:rPr>
          <w:rFonts w:ascii="Arial" w:hAnsi="Arial" w:cs="Arial"/>
          <w:b/>
        </w:rPr>
      </w:pPr>
    </w:p>
    <w:p w14:paraId="2F5C6465" w14:textId="77777777" w:rsidR="00BE05D5" w:rsidRDefault="00BE05D5" w:rsidP="001B5D2B">
      <w:pPr>
        <w:pStyle w:val="ListParagraph"/>
        <w:spacing w:after="0" w:line="276" w:lineRule="auto"/>
        <w:ind w:left="0"/>
        <w:rPr>
          <w:rFonts w:ascii="Arial" w:hAnsi="Arial" w:cs="Arial"/>
          <w:b/>
        </w:rPr>
      </w:pPr>
    </w:p>
    <w:p w14:paraId="1B20F974" w14:textId="77777777" w:rsidR="00BE05D5" w:rsidRDefault="00BE05D5" w:rsidP="001B5D2B">
      <w:pPr>
        <w:pStyle w:val="ListParagraph"/>
        <w:spacing w:after="0" w:line="276" w:lineRule="auto"/>
        <w:ind w:left="0"/>
        <w:rPr>
          <w:rFonts w:ascii="Arial" w:hAnsi="Arial" w:cs="Arial"/>
          <w:b/>
        </w:rPr>
      </w:pPr>
    </w:p>
    <w:p w14:paraId="5B32DB2D" w14:textId="77777777" w:rsidR="00BE05D5" w:rsidRDefault="00BE05D5" w:rsidP="001B5D2B">
      <w:pPr>
        <w:pStyle w:val="ListParagraph"/>
        <w:spacing w:after="0" w:line="276" w:lineRule="auto"/>
        <w:ind w:left="0"/>
        <w:rPr>
          <w:rFonts w:ascii="Arial" w:hAnsi="Arial" w:cs="Arial"/>
          <w:b/>
        </w:rPr>
      </w:pPr>
    </w:p>
    <w:p w14:paraId="68532C18" w14:textId="77777777" w:rsidR="00BE05D5" w:rsidRDefault="00BE05D5" w:rsidP="001B5D2B">
      <w:pPr>
        <w:pStyle w:val="ListParagraph"/>
        <w:spacing w:after="0" w:line="276" w:lineRule="auto"/>
        <w:ind w:left="0"/>
        <w:rPr>
          <w:rFonts w:ascii="Arial" w:hAnsi="Arial" w:cs="Arial"/>
          <w:b/>
        </w:rPr>
      </w:pPr>
    </w:p>
    <w:p w14:paraId="0A0CE4DE" w14:textId="77777777" w:rsidR="00BE05D5" w:rsidRDefault="00BE05D5" w:rsidP="001B5D2B">
      <w:pPr>
        <w:pStyle w:val="ListParagraph"/>
        <w:spacing w:after="0" w:line="276" w:lineRule="auto"/>
        <w:ind w:left="0"/>
        <w:rPr>
          <w:rFonts w:ascii="Arial" w:hAnsi="Arial" w:cs="Arial"/>
          <w:b/>
        </w:rPr>
      </w:pPr>
    </w:p>
    <w:p w14:paraId="54D938D6" w14:textId="77777777" w:rsidR="00BE05D5" w:rsidRDefault="00BE05D5" w:rsidP="001B5D2B">
      <w:pPr>
        <w:pStyle w:val="ListParagraph"/>
        <w:spacing w:after="0" w:line="276" w:lineRule="auto"/>
        <w:ind w:left="0"/>
        <w:rPr>
          <w:rFonts w:ascii="Arial" w:hAnsi="Arial" w:cs="Arial"/>
          <w:b/>
        </w:rPr>
      </w:pPr>
    </w:p>
    <w:p w14:paraId="6A60DB1E" w14:textId="77777777" w:rsidR="00BE05D5" w:rsidRDefault="00BE05D5" w:rsidP="001B5D2B">
      <w:pPr>
        <w:pStyle w:val="ListParagraph"/>
        <w:spacing w:after="0" w:line="276" w:lineRule="auto"/>
        <w:ind w:left="0"/>
        <w:rPr>
          <w:rFonts w:ascii="Arial" w:hAnsi="Arial" w:cs="Arial"/>
          <w:b/>
        </w:rPr>
      </w:pPr>
    </w:p>
    <w:p w14:paraId="73A80825" w14:textId="77777777" w:rsidR="00BE05D5" w:rsidRDefault="00BE05D5" w:rsidP="001B5D2B">
      <w:pPr>
        <w:pStyle w:val="ListParagraph"/>
        <w:spacing w:after="0" w:line="276" w:lineRule="auto"/>
        <w:ind w:left="0"/>
        <w:rPr>
          <w:rFonts w:ascii="Arial" w:hAnsi="Arial" w:cs="Arial"/>
          <w:b/>
        </w:rPr>
      </w:pPr>
    </w:p>
    <w:p w14:paraId="032157BC" w14:textId="77777777" w:rsidR="00BE05D5" w:rsidRDefault="00BE05D5" w:rsidP="001B5D2B">
      <w:pPr>
        <w:pStyle w:val="ListParagraph"/>
        <w:spacing w:after="0" w:line="276" w:lineRule="auto"/>
        <w:ind w:left="0"/>
        <w:rPr>
          <w:rFonts w:ascii="Arial" w:hAnsi="Arial" w:cs="Arial"/>
          <w:b/>
        </w:rPr>
      </w:pPr>
    </w:p>
    <w:p w14:paraId="047A7BA3" w14:textId="77777777" w:rsidR="00BE05D5" w:rsidRDefault="00BE05D5" w:rsidP="001B5D2B">
      <w:pPr>
        <w:pStyle w:val="ListParagraph"/>
        <w:spacing w:after="0" w:line="276" w:lineRule="auto"/>
        <w:ind w:left="0"/>
        <w:rPr>
          <w:rFonts w:ascii="Arial" w:hAnsi="Arial" w:cs="Arial"/>
          <w:b/>
        </w:rPr>
      </w:pPr>
    </w:p>
    <w:p w14:paraId="2DF0A6E9" w14:textId="77777777" w:rsidR="00BE05D5" w:rsidRDefault="00BE05D5" w:rsidP="001B5D2B">
      <w:pPr>
        <w:pStyle w:val="ListParagraph"/>
        <w:spacing w:after="0" w:line="276" w:lineRule="auto"/>
        <w:ind w:left="0"/>
        <w:rPr>
          <w:rFonts w:ascii="Arial" w:hAnsi="Arial" w:cs="Arial"/>
          <w:b/>
        </w:rPr>
      </w:pPr>
    </w:p>
    <w:p w14:paraId="343D5FC8" w14:textId="77777777" w:rsidR="00B0710A" w:rsidRDefault="00B0710A" w:rsidP="001B5D2B">
      <w:pPr>
        <w:pStyle w:val="ListParagraph"/>
        <w:spacing w:after="0" w:line="276" w:lineRule="auto"/>
        <w:ind w:left="0"/>
        <w:rPr>
          <w:rFonts w:ascii="Arial" w:hAnsi="Arial" w:cs="Arial"/>
          <w:b/>
        </w:rPr>
      </w:pPr>
    </w:p>
    <w:p w14:paraId="04FF6AEC" w14:textId="77777777" w:rsidR="00B0710A" w:rsidRDefault="00B0710A" w:rsidP="001B5D2B">
      <w:pPr>
        <w:pStyle w:val="ListParagraph"/>
        <w:spacing w:after="0" w:line="276" w:lineRule="auto"/>
        <w:ind w:left="0"/>
        <w:rPr>
          <w:rFonts w:ascii="Arial" w:hAnsi="Arial" w:cs="Arial"/>
          <w:b/>
        </w:rPr>
      </w:pPr>
    </w:p>
    <w:p w14:paraId="319293A7" w14:textId="77777777" w:rsidR="00B0710A" w:rsidRDefault="00B0710A" w:rsidP="001B5D2B">
      <w:pPr>
        <w:pStyle w:val="ListParagraph"/>
        <w:spacing w:after="0" w:line="276" w:lineRule="auto"/>
        <w:ind w:left="0"/>
        <w:rPr>
          <w:rFonts w:ascii="Arial" w:hAnsi="Arial" w:cs="Arial"/>
          <w:b/>
        </w:rPr>
      </w:pPr>
    </w:p>
    <w:p w14:paraId="657D2662" w14:textId="77777777" w:rsidR="00B0710A" w:rsidRDefault="00B0710A" w:rsidP="001B5D2B">
      <w:pPr>
        <w:pStyle w:val="ListParagraph"/>
        <w:spacing w:after="0" w:line="276" w:lineRule="auto"/>
        <w:ind w:left="0"/>
        <w:rPr>
          <w:rFonts w:ascii="Arial" w:hAnsi="Arial" w:cs="Arial"/>
          <w:b/>
        </w:rPr>
      </w:pPr>
    </w:p>
    <w:p w14:paraId="78E21A6D" w14:textId="77777777" w:rsidR="00B0710A" w:rsidRDefault="00B0710A" w:rsidP="001B5D2B">
      <w:pPr>
        <w:pStyle w:val="ListParagraph"/>
        <w:spacing w:after="0" w:line="276" w:lineRule="auto"/>
        <w:ind w:left="0"/>
        <w:rPr>
          <w:rFonts w:ascii="Arial" w:hAnsi="Arial" w:cs="Arial"/>
          <w:b/>
        </w:rPr>
      </w:pPr>
    </w:p>
    <w:p w14:paraId="0BAB5AEA" w14:textId="77777777" w:rsidR="00B0710A" w:rsidRDefault="00B0710A" w:rsidP="001B5D2B">
      <w:pPr>
        <w:pStyle w:val="ListParagraph"/>
        <w:spacing w:after="0" w:line="276" w:lineRule="auto"/>
        <w:ind w:left="0"/>
        <w:rPr>
          <w:rFonts w:ascii="Arial" w:hAnsi="Arial" w:cs="Arial"/>
          <w:b/>
        </w:rPr>
      </w:pPr>
    </w:p>
    <w:p w14:paraId="62F4EB92" w14:textId="77777777" w:rsidR="00B0710A" w:rsidRDefault="00B0710A" w:rsidP="001B5D2B">
      <w:pPr>
        <w:pStyle w:val="ListParagraph"/>
        <w:spacing w:after="0" w:line="276" w:lineRule="auto"/>
        <w:ind w:left="0"/>
        <w:rPr>
          <w:rFonts w:ascii="Arial" w:hAnsi="Arial" w:cs="Arial"/>
          <w:b/>
        </w:rPr>
      </w:pPr>
    </w:p>
    <w:p w14:paraId="7B1ED146" w14:textId="77777777" w:rsidR="00B0710A" w:rsidRDefault="00B0710A" w:rsidP="001B5D2B">
      <w:pPr>
        <w:pStyle w:val="ListParagraph"/>
        <w:spacing w:after="0" w:line="276" w:lineRule="auto"/>
        <w:ind w:left="0"/>
        <w:rPr>
          <w:rFonts w:ascii="Arial" w:hAnsi="Arial" w:cs="Arial"/>
          <w:b/>
        </w:rPr>
      </w:pPr>
    </w:p>
    <w:p w14:paraId="46D7DBE9" w14:textId="77777777" w:rsidR="00B0710A" w:rsidRDefault="00B0710A" w:rsidP="001B5D2B">
      <w:pPr>
        <w:pStyle w:val="ListParagraph"/>
        <w:spacing w:after="0" w:line="276" w:lineRule="auto"/>
        <w:ind w:left="0"/>
        <w:rPr>
          <w:rFonts w:ascii="Arial" w:hAnsi="Arial" w:cs="Arial"/>
          <w:b/>
        </w:rPr>
      </w:pPr>
    </w:p>
    <w:p w14:paraId="737F306F" w14:textId="77777777" w:rsidR="00B0710A" w:rsidRDefault="00B0710A" w:rsidP="001B5D2B">
      <w:pPr>
        <w:pStyle w:val="ListParagraph"/>
        <w:spacing w:after="0" w:line="276" w:lineRule="auto"/>
        <w:ind w:left="0"/>
        <w:rPr>
          <w:rFonts w:ascii="Arial" w:hAnsi="Arial" w:cs="Arial"/>
          <w:b/>
        </w:rPr>
      </w:pPr>
    </w:p>
    <w:p w14:paraId="3BE528C4" w14:textId="77777777" w:rsidR="00B0710A" w:rsidRDefault="00B0710A" w:rsidP="001B5D2B">
      <w:pPr>
        <w:pStyle w:val="ListParagraph"/>
        <w:spacing w:after="0" w:line="276" w:lineRule="auto"/>
        <w:ind w:left="0"/>
        <w:rPr>
          <w:rFonts w:ascii="Arial" w:hAnsi="Arial" w:cs="Arial"/>
          <w:b/>
        </w:rPr>
      </w:pPr>
    </w:p>
    <w:p w14:paraId="48CBB1A3" w14:textId="77777777" w:rsidR="00B0710A" w:rsidRDefault="00B0710A" w:rsidP="001B5D2B">
      <w:pPr>
        <w:pStyle w:val="ListParagraph"/>
        <w:spacing w:after="0" w:line="276" w:lineRule="auto"/>
        <w:ind w:left="0"/>
        <w:rPr>
          <w:rFonts w:ascii="Arial" w:hAnsi="Arial" w:cs="Arial"/>
          <w:b/>
        </w:rPr>
      </w:pPr>
    </w:p>
    <w:p w14:paraId="19096B66" w14:textId="77777777" w:rsidR="00B0710A" w:rsidRDefault="00B0710A" w:rsidP="001B5D2B">
      <w:pPr>
        <w:pStyle w:val="ListParagraph"/>
        <w:spacing w:after="0" w:line="276" w:lineRule="auto"/>
        <w:ind w:left="0"/>
        <w:rPr>
          <w:rFonts w:ascii="Arial" w:hAnsi="Arial" w:cs="Arial"/>
          <w:b/>
        </w:rPr>
      </w:pPr>
    </w:p>
    <w:p w14:paraId="0E373526" w14:textId="77777777" w:rsidR="00B0710A" w:rsidRDefault="00B0710A" w:rsidP="001B5D2B">
      <w:pPr>
        <w:pStyle w:val="ListParagraph"/>
        <w:spacing w:after="0" w:line="276" w:lineRule="auto"/>
        <w:ind w:left="0"/>
        <w:rPr>
          <w:rFonts w:ascii="Arial" w:hAnsi="Arial" w:cs="Arial"/>
          <w:b/>
        </w:rPr>
      </w:pPr>
    </w:p>
    <w:p w14:paraId="23A81989" w14:textId="77777777" w:rsidR="00B0710A" w:rsidRDefault="00B0710A" w:rsidP="001B5D2B">
      <w:pPr>
        <w:pStyle w:val="ListParagraph"/>
        <w:spacing w:after="0" w:line="276" w:lineRule="auto"/>
        <w:ind w:left="0"/>
        <w:rPr>
          <w:rFonts w:ascii="Arial" w:hAnsi="Arial" w:cs="Arial"/>
          <w:b/>
        </w:rPr>
      </w:pPr>
    </w:p>
    <w:p w14:paraId="27F6348F" w14:textId="77777777" w:rsidR="00B0710A" w:rsidRDefault="00B0710A" w:rsidP="001B5D2B">
      <w:pPr>
        <w:pStyle w:val="ListParagraph"/>
        <w:spacing w:after="0" w:line="276" w:lineRule="auto"/>
        <w:ind w:left="0"/>
        <w:rPr>
          <w:rFonts w:ascii="Arial" w:hAnsi="Arial" w:cs="Arial"/>
          <w:b/>
        </w:rPr>
      </w:pPr>
    </w:p>
    <w:p w14:paraId="787DCADF" w14:textId="77777777" w:rsidR="00B0710A" w:rsidRDefault="00B0710A" w:rsidP="001B5D2B">
      <w:pPr>
        <w:pStyle w:val="ListParagraph"/>
        <w:spacing w:after="0" w:line="276" w:lineRule="auto"/>
        <w:ind w:left="0"/>
        <w:rPr>
          <w:rFonts w:ascii="Arial" w:hAnsi="Arial" w:cs="Arial"/>
          <w:b/>
        </w:rPr>
      </w:pPr>
    </w:p>
    <w:p w14:paraId="0E4C2236" w14:textId="77777777" w:rsidR="00B0710A" w:rsidRDefault="00B0710A" w:rsidP="001B5D2B">
      <w:pPr>
        <w:pStyle w:val="ListParagraph"/>
        <w:spacing w:after="0" w:line="276" w:lineRule="auto"/>
        <w:ind w:left="0"/>
        <w:rPr>
          <w:rFonts w:ascii="Arial" w:hAnsi="Arial" w:cs="Arial"/>
          <w:b/>
        </w:rPr>
      </w:pPr>
    </w:p>
    <w:p w14:paraId="53E603CC" w14:textId="77777777" w:rsidR="00B0710A" w:rsidRDefault="00B0710A" w:rsidP="001B5D2B">
      <w:pPr>
        <w:pStyle w:val="ListParagraph"/>
        <w:spacing w:after="0" w:line="276" w:lineRule="auto"/>
        <w:ind w:left="0"/>
        <w:rPr>
          <w:rFonts w:ascii="Arial" w:hAnsi="Arial" w:cs="Arial"/>
          <w:b/>
        </w:rPr>
      </w:pPr>
    </w:p>
    <w:p w14:paraId="587D57E3" w14:textId="77777777" w:rsidR="00B0710A" w:rsidRDefault="00B0710A" w:rsidP="001B5D2B">
      <w:pPr>
        <w:pStyle w:val="ListParagraph"/>
        <w:spacing w:after="0" w:line="276" w:lineRule="auto"/>
        <w:ind w:left="0"/>
        <w:rPr>
          <w:rFonts w:ascii="Arial" w:hAnsi="Arial" w:cs="Arial"/>
          <w:b/>
        </w:rPr>
      </w:pPr>
    </w:p>
    <w:p w14:paraId="6029EF4E" w14:textId="77777777" w:rsidR="00B0710A" w:rsidRDefault="00B0710A" w:rsidP="001B5D2B">
      <w:pPr>
        <w:pStyle w:val="ListParagraph"/>
        <w:spacing w:after="0" w:line="276" w:lineRule="auto"/>
        <w:ind w:left="0"/>
        <w:rPr>
          <w:rFonts w:ascii="Arial" w:hAnsi="Arial" w:cs="Arial"/>
          <w:b/>
        </w:rPr>
      </w:pPr>
    </w:p>
    <w:p w14:paraId="5EE7B85F" w14:textId="77777777" w:rsidR="00B0710A" w:rsidRDefault="00B0710A" w:rsidP="001B5D2B">
      <w:pPr>
        <w:pStyle w:val="ListParagraph"/>
        <w:spacing w:after="0" w:line="276" w:lineRule="auto"/>
        <w:ind w:left="0"/>
        <w:rPr>
          <w:rFonts w:ascii="Arial" w:hAnsi="Arial" w:cs="Arial"/>
          <w:b/>
        </w:rPr>
      </w:pPr>
    </w:p>
    <w:p w14:paraId="5FBBF074" w14:textId="24F4B6DC" w:rsidR="001B5D2B" w:rsidRPr="003D1DC2" w:rsidRDefault="001B5D2B" w:rsidP="0041795D">
      <w:pPr>
        <w:pStyle w:val="NormalWeb"/>
        <w:ind w:left="502"/>
        <w:jc w:val="both"/>
        <w:rPr>
          <w:rStyle w:val="Hyperlink"/>
          <w:rFonts w:ascii="Arial" w:hAnsi="Arial" w:cs="Arial"/>
          <w:color w:val="auto"/>
          <w:sz w:val="20"/>
          <w:szCs w:val="20"/>
          <w:u w:val="none"/>
        </w:rPr>
        <w:sectPr w:rsidR="001B5D2B" w:rsidRPr="003D1DC2" w:rsidSect="001B5D2B">
          <w:type w:val="continuous"/>
          <w:pgSz w:w="11906" w:h="16838" w:code="9"/>
          <w:pgMar w:top="1440" w:right="1750" w:bottom="2016" w:left="1418" w:header="720" w:footer="1123" w:gutter="0"/>
          <w:cols w:num="2" w:space="800"/>
          <w:docGrid w:linePitch="272"/>
        </w:sectPr>
      </w:pPr>
    </w:p>
    <w:p w14:paraId="6A4D5A39" w14:textId="77777777" w:rsidR="001B5D2B" w:rsidRPr="001B5D2B" w:rsidRDefault="001B5D2B" w:rsidP="001B5D2B">
      <w:pPr>
        <w:pStyle w:val="ListParagraph"/>
        <w:spacing w:after="0" w:line="276" w:lineRule="auto"/>
        <w:ind w:left="284"/>
        <w:rPr>
          <w:rFonts w:ascii="Arial" w:hAnsi="Arial" w:cs="Arial"/>
          <w:sz w:val="20"/>
          <w:szCs w:val="20"/>
        </w:rPr>
        <w:sectPr w:rsidR="001B5D2B" w:rsidRPr="001B5D2B" w:rsidSect="001B5D2B">
          <w:type w:val="continuous"/>
          <w:pgSz w:w="11906" w:h="16838" w:code="9"/>
          <w:pgMar w:top="1440" w:right="1750" w:bottom="2016" w:left="1418" w:header="720" w:footer="1123" w:gutter="0"/>
          <w:cols w:space="800"/>
          <w:docGrid w:linePitch="272"/>
        </w:sectPr>
      </w:pPr>
    </w:p>
    <w:bookmarkEnd w:id="1"/>
    <w:bookmarkEnd w:id="2"/>
    <w:bookmarkEnd w:id="3"/>
    <w:p w14:paraId="795042C0" w14:textId="77777777" w:rsidR="00F3039B" w:rsidRDefault="00F3039B" w:rsidP="00F3039B">
      <w:pPr>
        <w:pStyle w:val="ReferHead"/>
        <w:spacing w:after="0"/>
        <w:jc w:val="both"/>
        <w:rPr>
          <w:rFonts w:ascii="Arial" w:hAnsi="Arial" w:cs="Arial"/>
          <w:b w:val="0"/>
          <w:bCs/>
          <w:caps w:val="0"/>
          <w:sz w:val="20"/>
          <w:szCs w:val="18"/>
        </w:rPr>
        <w:sectPr w:rsidR="00F3039B" w:rsidSect="00F4546C">
          <w:pgSz w:w="11906" w:h="16838" w:code="9"/>
          <w:pgMar w:top="1440" w:right="2016" w:bottom="2016" w:left="2016" w:header="720" w:footer="1123" w:gutter="0"/>
          <w:cols w:num="2" w:space="234"/>
          <w:docGrid w:linePitch="272"/>
        </w:sectPr>
      </w:pPr>
    </w:p>
    <w:p w14:paraId="171DC619" w14:textId="77777777" w:rsidR="00F3039B" w:rsidRDefault="00F3039B" w:rsidP="00F3039B">
      <w:pPr>
        <w:pStyle w:val="ReferHead"/>
        <w:spacing w:after="0"/>
        <w:ind w:left="720"/>
        <w:jc w:val="both"/>
        <w:rPr>
          <w:rFonts w:ascii="Arial" w:hAnsi="Arial" w:cs="Arial"/>
          <w:b w:val="0"/>
          <w:bCs/>
          <w:caps w:val="0"/>
          <w:sz w:val="20"/>
          <w:szCs w:val="18"/>
        </w:rPr>
        <w:sectPr w:rsidR="00F3039B" w:rsidSect="001B5D2B">
          <w:pgSz w:w="11906" w:h="16838" w:code="9"/>
          <w:pgMar w:top="1440" w:right="2016" w:bottom="2016" w:left="2016" w:header="720" w:footer="1123" w:gutter="0"/>
          <w:cols w:num="2" w:space="720"/>
          <w:docGrid w:linePitch="272"/>
        </w:sectPr>
      </w:pPr>
    </w:p>
    <w:p w14:paraId="6C457AC8" w14:textId="77777777" w:rsidR="00F3039B" w:rsidRDefault="00F3039B" w:rsidP="00DF7C96">
      <w:pPr>
        <w:pStyle w:val="ListParagraph"/>
        <w:jc w:val="both"/>
        <w:rPr>
          <w:rFonts w:ascii="Arial" w:hAnsi="Arial" w:cs="Arial"/>
          <w:sz w:val="20"/>
          <w:szCs w:val="20"/>
          <w:lang w:val="en-US"/>
        </w:rPr>
        <w:sectPr w:rsidR="00F3039B" w:rsidSect="001B5D2B">
          <w:pgSz w:w="12240" w:h="15840"/>
          <w:pgMar w:top="1440" w:right="2016" w:bottom="2016" w:left="2016" w:header="720" w:footer="1123" w:gutter="0"/>
          <w:cols w:num="2" w:space="720"/>
          <w:docGrid w:linePitch="272"/>
        </w:sectPr>
      </w:pPr>
    </w:p>
    <w:p w14:paraId="78BDFA19" w14:textId="77777777" w:rsidR="00F3039B" w:rsidRDefault="00F3039B" w:rsidP="00DF7C96">
      <w:pPr>
        <w:pStyle w:val="ListParagraph"/>
        <w:jc w:val="both"/>
        <w:rPr>
          <w:rFonts w:ascii="Arial" w:hAnsi="Arial" w:cs="Arial"/>
          <w:sz w:val="20"/>
          <w:szCs w:val="20"/>
        </w:rPr>
        <w:sectPr w:rsidR="00F3039B" w:rsidSect="00491722">
          <w:type w:val="continuous"/>
          <w:pgSz w:w="12240" w:h="15840"/>
          <w:pgMar w:top="1440" w:right="2016" w:bottom="1418" w:left="2016" w:header="720" w:footer="1123" w:gutter="0"/>
          <w:cols w:num="2" w:space="720"/>
          <w:docGrid w:linePitch="272"/>
        </w:sectPr>
      </w:pPr>
    </w:p>
    <w:p w14:paraId="2824BF61" w14:textId="3FF78D19" w:rsidR="00F3039B" w:rsidRPr="00DF7C96" w:rsidRDefault="00F3039B" w:rsidP="00DF7C96">
      <w:pPr>
        <w:pStyle w:val="ListParagraph"/>
        <w:jc w:val="both"/>
        <w:rPr>
          <w:rFonts w:ascii="Arial" w:hAnsi="Arial" w:cs="Arial"/>
          <w:sz w:val="20"/>
          <w:szCs w:val="20"/>
        </w:rPr>
        <w:sectPr w:rsidR="00F3039B" w:rsidRPr="00DF7C96" w:rsidSect="003D1DC2">
          <w:pgSz w:w="11906" w:h="16838" w:code="9"/>
          <w:pgMar w:top="1440" w:right="2016" w:bottom="2016" w:left="2016" w:header="720" w:footer="1123" w:gutter="0"/>
          <w:cols w:space="720"/>
          <w:docGrid w:linePitch="272"/>
        </w:sectPr>
      </w:pPr>
    </w:p>
    <w:p w14:paraId="0A57FA76" w14:textId="185996B6" w:rsidR="00B73D26" w:rsidRDefault="00B73D26" w:rsidP="00281CD4">
      <w:pPr>
        <w:pStyle w:val="ReferHead"/>
        <w:spacing w:after="0"/>
        <w:jc w:val="both"/>
        <w:rPr>
          <w:rFonts w:ascii="Arial" w:hAnsi="Arial" w:cs="Arial"/>
          <w:b w:val="0"/>
          <w:bCs/>
          <w:caps w:val="0"/>
          <w:sz w:val="20"/>
          <w:szCs w:val="18"/>
        </w:rPr>
        <w:sectPr w:rsidR="00B73D26" w:rsidSect="003D1DC2">
          <w:pgSz w:w="11906" w:h="16838" w:code="9"/>
          <w:pgMar w:top="1440" w:right="2016" w:bottom="2016" w:left="2016" w:header="720" w:footer="1123" w:gutter="0"/>
          <w:cols w:num="2" w:space="720"/>
          <w:docGrid w:linePitch="272"/>
        </w:sectPr>
      </w:pPr>
    </w:p>
    <w:p w14:paraId="748EB16E" w14:textId="77777777" w:rsidR="00331217" w:rsidRDefault="00331217" w:rsidP="00331217">
      <w:pPr>
        <w:rPr>
          <w:rFonts w:ascii="Arial" w:hAnsi="Arial" w:cs="Arial"/>
          <w:bCs/>
          <w:szCs w:val="18"/>
        </w:rPr>
      </w:pPr>
    </w:p>
    <w:p w14:paraId="3CDF305C" w14:textId="77777777" w:rsidR="00331217" w:rsidRDefault="00331217" w:rsidP="00331217">
      <w:pPr>
        <w:rPr>
          <w:rFonts w:ascii="Arial" w:hAnsi="Arial" w:cs="Arial"/>
          <w:bCs/>
          <w:szCs w:val="18"/>
        </w:rPr>
      </w:pPr>
    </w:p>
    <w:p w14:paraId="1EBF6FCF" w14:textId="77777777" w:rsidR="00331217" w:rsidRPr="00331217" w:rsidRDefault="00331217" w:rsidP="00331217">
      <w:pPr>
        <w:sectPr w:rsidR="00331217" w:rsidRPr="00331217" w:rsidSect="003D1DC2">
          <w:pgSz w:w="11906" w:h="16838" w:code="9"/>
          <w:pgMar w:top="1440" w:right="2016" w:bottom="2016" w:left="2016" w:header="720" w:footer="1123" w:gutter="0"/>
          <w:cols w:space="720"/>
          <w:docGrid w:linePitch="272"/>
        </w:sectPr>
      </w:pPr>
    </w:p>
    <w:p w14:paraId="5D00F560" w14:textId="77777777" w:rsidR="00DF7C96" w:rsidRDefault="00DF7C96" w:rsidP="00441B6F">
      <w:pPr>
        <w:pStyle w:val="Body"/>
        <w:spacing w:after="0"/>
        <w:rPr>
          <w:rFonts w:ascii="Arial" w:hAnsi="Arial" w:cs="Arial"/>
        </w:rPr>
        <w:sectPr w:rsidR="00DF7C96" w:rsidSect="003D1DC2">
          <w:pgSz w:w="12240" w:h="15840"/>
          <w:pgMar w:top="1440" w:right="2016" w:bottom="2016" w:left="2016" w:header="720" w:footer="1123" w:gutter="0"/>
          <w:cols w:num="2" w:space="720"/>
          <w:docGrid w:linePitch="272"/>
        </w:sectPr>
      </w:pPr>
    </w:p>
    <w:p w14:paraId="2C2E40A3" w14:textId="77777777" w:rsidR="00DF7C96" w:rsidRDefault="00DF7C96" w:rsidP="00441B6F">
      <w:pPr>
        <w:pStyle w:val="ReferHead"/>
        <w:spacing w:after="0"/>
        <w:jc w:val="both"/>
        <w:rPr>
          <w:rFonts w:ascii="Arial" w:hAnsi="Arial" w:cs="Arial"/>
          <w:b w:val="0"/>
          <w:caps w:val="0"/>
          <w:sz w:val="20"/>
        </w:rPr>
        <w:sectPr w:rsidR="00DF7C96" w:rsidSect="00DF7C96">
          <w:type w:val="continuous"/>
          <w:pgSz w:w="12240" w:h="15840"/>
          <w:pgMar w:top="1440" w:right="2016" w:bottom="2016" w:left="2016" w:header="720" w:footer="1123" w:gutter="0"/>
          <w:cols w:space="720"/>
          <w:docGrid w:linePitch="272"/>
        </w:sectPr>
      </w:pPr>
    </w:p>
    <w:p w14:paraId="2A3D020F" w14:textId="77777777" w:rsidR="00491722" w:rsidRDefault="00491722" w:rsidP="00491722">
      <w:pPr>
        <w:pStyle w:val="ListParagraph"/>
        <w:spacing w:line="240" w:lineRule="auto"/>
        <w:ind w:left="502"/>
        <w:jc w:val="both"/>
        <w:rPr>
          <w:rFonts w:ascii="Arial" w:hAnsi="Arial" w:cs="Arial"/>
          <w:sz w:val="20"/>
          <w:szCs w:val="20"/>
        </w:rPr>
        <w:sectPr w:rsidR="00491722" w:rsidSect="007E38A6">
          <w:type w:val="continuous"/>
          <w:pgSz w:w="12240" w:h="15840"/>
          <w:pgMar w:top="1440" w:right="2016" w:bottom="2016" w:left="2016" w:header="720" w:footer="1123" w:gutter="0"/>
          <w:cols w:space="720"/>
          <w:docGrid w:linePitch="272"/>
        </w:sectPr>
      </w:pPr>
    </w:p>
    <w:p w14:paraId="0184BD7D" w14:textId="77777777" w:rsidR="00491722" w:rsidRDefault="00491722" w:rsidP="00441B6F">
      <w:pPr>
        <w:pStyle w:val="ReferHead"/>
        <w:spacing w:after="0"/>
        <w:jc w:val="both"/>
        <w:rPr>
          <w:rFonts w:ascii="Arial" w:hAnsi="Arial" w:cs="Arial"/>
        </w:rPr>
        <w:sectPr w:rsidR="00491722" w:rsidSect="00491722">
          <w:type w:val="continuous"/>
          <w:pgSz w:w="12240" w:h="15840"/>
          <w:pgMar w:top="1440" w:right="2016" w:bottom="2016" w:left="2016" w:header="720" w:footer="1123" w:gutter="0"/>
          <w:cols w:num="2" w:space="720"/>
          <w:docGrid w:linePitch="272"/>
        </w:sectPr>
      </w:pPr>
    </w:p>
    <w:p w14:paraId="40379DF5" w14:textId="37EEB029" w:rsidR="004D4277" w:rsidRPr="00FB3A86" w:rsidRDefault="004D4277" w:rsidP="00441B6F">
      <w:pPr>
        <w:pStyle w:val="Appendix"/>
        <w:spacing w:after="0"/>
        <w:jc w:val="both"/>
        <w:rPr>
          <w:rFonts w:ascii="Arial" w:hAnsi="Arial" w:cs="Arial"/>
          <w:b w:val="0"/>
        </w:rPr>
        <w:sectPr w:rsidR="004D4277" w:rsidRPr="00FB3A86" w:rsidSect="007E38A6">
          <w:type w:val="continuous"/>
          <w:pgSz w:w="12240" w:h="15840"/>
          <w:pgMar w:top="1440" w:right="2016" w:bottom="2016" w:left="2016" w:header="720" w:footer="1123" w:gutter="0"/>
          <w:cols w:space="720"/>
          <w:docGrid w:linePitch="272"/>
        </w:sectPr>
      </w:pPr>
    </w:p>
    <w:p w14:paraId="30B38E28" w14:textId="77777777" w:rsidR="00B01FCD" w:rsidRPr="00FB3A86" w:rsidRDefault="00B01FCD" w:rsidP="00441B6F">
      <w:pPr>
        <w:pStyle w:val="Appendix"/>
        <w:spacing w:after="0"/>
        <w:jc w:val="both"/>
        <w:rPr>
          <w:rFonts w:ascii="Arial" w:hAnsi="Arial" w:cs="Arial"/>
          <w:b w:val="0"/>
        </w:rPr>
      </w:pPr>
    </w:p>
    <w:sectPr w:rsidR="00B01FCD" w:rsidRPr="00FB3A86" w:rsidSect="003D1DC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BD73" w14:textId="77777777" w:rsidR="004F7869" w:rsidRDefault="004F7869" w:rsidP="00C37E61">
      <w:r>
        <w:separator/>
      </w:r>
    </w:p>
  </w:endnote>
  <w:endnote w:type="continuationSeparator" w:id="0">
    <w:p w14:paraId="6FCF027B" w14:textId="77777777" w:rsidR="004F7869" w:rsidRDefault="004F78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23AA" w14:textId="77777777" w:rsidR="004F7869" w:rsidRDefault="004F7869">
    <w:pPr>
      <w:pStyle w:val="Footer"/>
      <w:rPr>
        <w:rFonts w:ascii="Arial" w:hAnsi="Arial" w:cs="Arial"/>
        <w:sz w:val="16"/>
      </w:rPr>
    </w:pPr>
  </w:p>
  <w:p w14:paraId="292F0F2B" w14:textId="77777777" w:rsidR="004F7869" w:rsidRDefault="004F786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D65B95E" w14:textId="77777777" w:rsidR="004F7869" w:rsidRDefault="004F7869">
    <w:pPr>
      <w:pStyle w:val="Footer"/>
      <w:rPr>
        <w:rFonts w:ascii="Arial" w:hAnsi="Arial" w:cs="Arial"/>
        <w:sz w:val="16"/>
      </w:rPr>
    </w:pPr>
  </w:p>
  <w:p w14:paraId="12850F56" w14:textId="77777777" w:rsidR="004F7869" w:rsidRPr="009E048A" w:rsidRDefault="004F7869">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D61E" w14:textId="77777777" w:rsidR="004F7869" w:rsidRPr="00C37E61" w:rsidRDefault="004F786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A884" w14:textId="77777777" w:rsidR="004F7869" w:rsidRDefault="004F7869" w:rsidP="00C37E61">
      <w:r>
        <w:separator/>
      </w:r>
    </w:p>
  </w:footnote>
  <w:footnote w:type="continuationSeparator" w:id="0">
    <w:p w14:paraId="64A71261" w14:textId="77777777" w:rsidR="004F7869" w:rsidRDefault="004F78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FC04" w14:textId="7114FBFA" w:rsidR="004F7869" w:rsidRDefault="004F7869">
    <w:pPr>
      <w:pStyle w:val="Header"/>
    </w:pPr>
    <w:r>
      <w:rPr>
        <w:noProof/>
      </w:rPr>
      <w:pict w14:anchorId="3A29C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FEA5" w14:textId="780C211F" w:rsidR="004F7869" w:rsidRDefault="004F7869">
    <w:pPr>
      <w:pStyle w:val="Header"/>
    </w:pPr>
    <w:r>
      <w:rPr>
        <w:noProof/>
      </w:rPr>
      <w:pict w14:anchorId="3F7B4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0A14" w14:textId="00AFDDDC" w:rsidR="004F7869" w:rsidRPr="00296529" w:rsidRDefault="004F7869" w:rsidP="00296529">
    <w:pPr>
      <w:ind w:left="2160"/>
      <w:jc w:val="center"/>
      <w:rPr>
        <w:rFonts w:ascii="Times New Roman" w:eastAsia="Calibri" w:hAnsi="Times New Roman"/>
        <w:i/>
        <w:sz w:val="18"/>
        <w:szCs w:val="22"/>
      </w:rPr>
    </w:pPr>
    <w:r>
      <w:rPr>
        <w:noProof/>
      </w:rPr>
      <w:pict w14:anchorId="7D1DF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4D539F" w14:textId="77777777" w:rsidR="004F7869" w:rsidRPr="00296529" w:rsidRDefault="004F786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8DB0A2" w14:textId="77777777" w:rsidR="004F7869" w:rsidRPr="00296529" w:rsidRDefault="004F786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BE27B2" w14:textId="77777777" w:rsidR="004F7869" w:rsidRPr="00296529" w:rsidRDefault="004F786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05A06A" w14:textId="77777777" w:rsidR="004F7869" w:rsidRDefault="004F786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E81106" w14:textId="77777777" w:rsidR="004F7869" w:rsidRDefault="004F786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E1D93D" w14:textId="77777777" w:rsidR="004F7869" w:rsidRDefault="004F78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361B" w14:textId="5FCF64FF" w:rsidR="004F7869" w:rsidRDefault="004F7869">
    <w:pPr>
      <w:pStyle w:val="Header"/>
    </w:pPr>
    <w:r>
      <w:rPr>
        <w:noProof/>
      </w:rPr>
      <w:pict w14:anchorId="727DD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D6B8" w14:textId="2F64E395" w:rsidR="004F7869" w:rsidRDefault="004F7869">
    <w:pPr>
      <w:pStyle w:val="Header"/>
    </w:pPr>
    <w:r>
      <w:rPr>
        <w:noProof/>
      </w:rPr>
      <w:pict w14:anchorId="78715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D0E4" w14:textId="412DA81E" w:rsidR="004F7869" w:rsidRDefault="004F7869">
    <w:pPr>
      <w:pStyle w:val="Header"/>
    </w:pPr>
    <w:r>
      <w:rPr>
        <w:noProof/>
      </w:rPr>
      <w:pict w14:anchorId="35C0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67A98"/>
    <w:multiLevelType w:val="multilevel"/>
    <w:tmpl w:val="F9EEA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60BC0"/>
    <w:multiLevelType w:val="hybridMultilevel"/>
    <w:tmpl w:val="8A7AFC4C"/>
    <w:lvl w:ilvl="0" w:tplc="B726A6E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EF1335"/>
    <w:multiLevelType w:val="hybridMultilevel"/>
    <w:tmpl w:val="17BCCF4C"/>
    <w:lvl w:ilvl="0" w:tplc="32D80A64">
      <w:start w:val="1"/>
      <w:numFmt w:val="decimal"/>
      <w:lvlText w:val="%1."/>
      <w:lvlJc w:val="left"/>
      <w:pPr>
        <w:ind w:left="720"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8A6EC1"/>
    <w:multiLevelType w:val="hybridMultilevel"/>
    <w:tmpl w:val="F5CE8704"/>
    <w:lvl w:ilvl="0" w:tplc="75CEE788">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81397F"/>
    <w:multiLevelType w:val="hybridMultilevel"/>
    <w:tmpl w:val="58A88E0C"/>
    <w:lvl w:ilvl="0" w:tplc="507405BC">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A56F9"/>
    <w:multiLevelType w:val="hybridMultilevel"/>
    <w:tmpl w:val="C7C09844"/>
    <w:lvl w:ilvl="0" w:tplc="E57436AA">
      <w:start w:val="1"/>
      <w:numFmt w:val="decimal"/>
      <w:lvlText w:val="%1)"/>
      <w:lvlJc w:val="left"/>
      <w:pPr>
        <w:ind w:left="502" w:hanging="360"/>
      </w:pPr>
      <w:rPr>
        <w:rFonts w:ascii="Arial" w:hAnsi="Arial" w:cs="Arial" w:hint="default"/>
        <w:b w:val="0"/>
        <w:bCs w:val="0"/>
        <w:color w:val="auto"/>
        <w:sz w:val="20"/>
        <w:szCs w:val="2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0"/>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8"/>
  </w:num>
  <w:num w:numId="19">
    <w:abstractNumId w:val="34"/>
  </w:num>
  <w:num w:numId="20">
    <w:abstractNumId w:val="13"/>
  </w:num>
  <w:num w:numId="21">
    <w:abstractNumId w:val="10"/>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1"/>
  </w:num>
  <w:num w:numId="31">
    <w:abstractNumId w:val="3"/>
  </w:num>
  <w:num w:numId="32">
    <w:abstractNumId w:val="12"/>
  </w:num>
  <w:num w:numId="33">
    <w:abstractNumId w:val="33"/>
  </w:num>
  <w:num w:numId="34">
    <w:abstractNumId w:val="23"/>
  </w:num>
  <w:num w:numId="35">
    <w:abstractNumId w:val="1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ACIDAxNzIwsLMyUdpeDU4uLM/DyQAsNaAFuItTUsAAAA"/>
  </w:docVars>
  <w:rsids>
    <w:rsidRoot w:val="00AA6219"/>
    <w:rsid w:val="00000F8F"/>
    <w:rsid w:val="00030174"/>
    <w:rsid w:val="0004579C"/>
    <w:rsid w:val="00050EA7"/>
    <w:rsid w:val="000A47FA"/>
    <w:rsid w:val="000A65D3"/>
    <w:rsid w:val="000B1E33"/>
    <w:rsid w:val="000D689F"/>
    <w:rsid w:val="000E7B7B"/>
    <w:rsid w:val="000E7D62"/>
    <w:rsid w:val="00103357"/>
    <w:rsid w:val="00123C9F"/>
    <w:rsid w:val="00126190"/>
    <w:rsid w:val="00130F17"/>
    <w:rsid w:val="001320BF"/>
    <w:rsid w:val="00163BC4"/>
    <w:rsid w:val="00166CFA"/>
    <w:rsid w:val="00172A71"/>
    <w:rsid w:val="00191062"/>
    <w:rsid w:val="00192B72"/>
    <w:rsid w:val="001A29D8"/>
    <w:rsid w:val="001A5CAA"/>
    <w:rsid w:val="001B0427"/>
    <w:rsid w:val="001B5D2B"/>
    <w:rsid w:val="001C5119"/>
    <w:rsid w:val="001D3A51"/>
    <w:rsid w:val="001E10D2"/>
    <w:rsid w:val="001E25B4"/>
    <w:rsid w:val="001E44FE"/>
    <w:rsid w:val="001E6A07"/>
    <w:rsid w:val="00200595"/>
    <w:rsid w:val="00204835"/>
    <w:rsid w:val="00231920"/>
    <w:rsid w:val="0023195C"/>
    <w:rsid w:val="0024282C"/>
    <w:rsid w:val="002460DC"/>
    <w:rsid w:val="00250985"/>
    <w:rsid w:val="002556F6"/>
    <w:rsid w:val="00281A0A"/>
    <w:rsid w:val="00281CD4"/>
    <w:rsid w:val="00283105"/>
    <w:rsid w:val="00284C4C"/>
    <w:rsid w:val="00287E68"/>
    <w:rsid w:val="00294818"/>
    <w:rsid w:val="00296529"/>
    <w:rsid w:val="002B1900"/>
    <w:rsid w:val="002B27FB"/>
    <w:rsid w:val="002B685A"/>
    <w:rsid w:val="002C57D2"/>
    <w:rsid w:val="002E0D56"/>
    <w:rsid w:val="00315186"/>
    <w:rsid w:val="00331217"/>
    <w:rsid w:val="0033343E"/>
    <w:rsid w:val="00334F8A"/>
    <w:rsid w:val="003512C2"/>
    <w:rsid w:val="00371B09"/>
    <w:rsid w:val="00371FB6"/>
    <w:rsid w:val="00374FDC"/>
    <w:rsid w:val="003763C1"/>
    <w:rsid w:val="00376BBE"/>
    <w:rsid w:val="0039224F"/>
    <w:rsid w:val="003A2AAF"/>
    <w:rsid w:val="003A43A4"/>
    <w:rsid w:val="003A7E18"/>
    <w:rsid w:val="003C4C86"/>
    <w:rsid w:val="003C6258"/>
    <w:rsid w:val="003D1DC2"/>
    <w:rsid w:val="003E2904"/>
    <w:rsid w:val="003F3A2F"/>
    <w:rsid w:val="004002A9"/>
    <w:rsid w:val="00401927"/>
    <w:rsid w:val="0041027F"/>
    <w:rsid w:val="00412475"/>
    <w:rsid w:val="0041795D"/>
    <w:rsid w:val="00423789"/>
    <w:rsid w:val="00440F43"/>
    <w:rsid w:val="00441B6F"/>
    <w:rsid w:val="00446221"/>
    <w:rsid w:val="00450E62"/>
    <w:rsid w:val="004539DB"/>
    <w:rsid w:val="00454E27"/>
    <w:rsid w:val="00471A80"/>
    <w:rsid w:val="00491722"/>
    <w:rsid w:val="004C56D3"/>
    <w:rsid w:val="004D305E"/>
    <w:rsid w:val="004D4277"/>
    <w:rsid w:val="004F7869"/>
    <w:rsid w:val="00502516"/>
    <w:rsid w:val="00505F06"/>
    <w:rsid w:val="00506828"/>
    <w:rsid w:val="00523D80"/>
    <w:rsid w:val="0053056E"/>
    <w:rsid w:val="00533588"/>
    <w:rsid w:val="00554FDA"/>
    <w:rsid w:val="00562388"/>
    <w:rsid w:val="005A3E81"/>
    <w:rsid w:val="005C784C"/>
    <w:rsid w:val="005D17F6"/>
    <w:rsid w:val="005D56BA"/>
    <w:rsid w:val="005E5539"/>
    <w:rsid w:val="005F1D5F"/>
    <w:rsid w:val="005F403B"/>
    <w:rsid w:val="00602BF5"/>
    <w:rsid w:val="00617FDD"/>
    <w:rsid w:val="00633614"/>
    <w:rsid w:val="00633F68"/>
    <w:rsid w:val="00636EB2"/>
    <w:rsid w:val="006375B8"/>
    <w:rsid w:val="0066510A"/>
    <w:rsid w:val="00673F9F"/>
    <w:rsid w:val="006773FE"/>
    <w:rsid w:val="00680AC8"/>
    <w:rsid w:val="00684474"/>
    <w:rsid w:val="00686953"/>
    <w:rsid w:val="00687DEA"/>
    <w:rsid w:val="00687E67"/>
    <w:rsid w:val="00694301"/>
    <w:rsid w:val="006967F7"/>
    <w:rsid w:val="006A250C"/>
    <w:rsid w:val="006B21D3"/>
    <w:rsid w:val="006B57D0"/>
    <w:rsid w:val="006B6940"/>
    <w:rsid w:val="006D30FF"/>
    <w:rsid w:val="006D6940"/>
    <w:rsid w:val="006E3D6B"/>
    <w:rsid w:val="006F11EC"/>
    <w:rsid w:val="0070082C"/>
    <w:rsid w:val="00722EA5"/>
    <w:rsid w:val="007369E6"/>
    <w:rsid w:val="00746E59"/>
    <w:rsid w:val="00754C9A"/>
    <w:rsid w:val="0075599A"/>
    <w:rsid w:val="00761D52"/>
    <w:rsid w:val="0077749E"/>
    <w:rsid w:val="00790ADA"/>
    <w:rsid w:val="007D2288"/>
    <w:rsid w:val="007E088F"/>
    <w:rsid w:val="007E38A6"/>
    <w:rsid w:val="007F5535"/>
    <w:rsid w:val="007F7B32"/>
    <w:rsid w:val="00802CF6"/>
    <w:rsid w:val="00804BC2"/>
    <w:rsid w:val="0081431A"/>
    <w:rsid w:val="0083216F"/>
    <w:rsid w:val="00860000"/>
    <w:rsid w:val="00863BD3"/>
    <w:rsid w:val="008641ED"/>
    <w:rsid w:val="00866D66"/>
    <w:rsid w:val="008671C6"/>
    <w:rsid w:val="00875803"/>
    <w:rsid w:val="008A3C42"/>
    <w:rsid w:val="008B459E"/>
    <w:rsid w:val="008E13AE"/>
    <w:rsid w:val="008E1506"/>
    <w:rsid w:val="008E710C"/>
    <w:rsid w:val="008F34A6"/>
    <w:rsid w:val="008F69D6"/>
    <w:rsid w:val="00902823"/>
    <w:rsid w:val="00915CA6"/>
    <w:rsid w:val="00927834"/>
    <w:rsid w:val="009500A6"/>
    <w:rsid w:val="00957C18"/>
    <w:rsid w:val="009659BA"/>
    <w:rsid w:val="00983040"/>
    <w:rsid w:val="009A3A03"/>
    <w:rsid w:val="009B3FB9"/>
    <w:rsid w:val="009C2465"/>
    <w:rsid w:val="009D148F"/>
    <w:rsid w:val="009D35A0"/>
    <w:rsid w:val="009D7EB7"/>
    <w:rsid w:val="009E048A"/>
    <w:rsid w:val="009E08E9"/>
    <w:rsid w:val="009E3DB9"/>
    <w:rsid w:val="009E6E35"/>
    <w:rsid w:val="009F0EDA"/>
    <w:rsid w:val="00A0361D"/>
    <w:rsid w:val="00A03B96"/>
    <w:rsid w:val="00A05270"/>
    <w:rsid w:val="00A05B19"/>
    <w:rsid w:val="00A1134E"/>
    <w:rsid w:val="00A24E7E"/>
    <w:rsid w:val="00A258C3"/>
    <w:rsid w:val="00A347C0"/>
    <w:rsid w:val="00A51431"/>
    <w:rsid w:val="00A539AD"/>
    <w:rsid w:val="00A57497"/>
    <w:rsid w:val="00A94063"/>
    <w:rsid w:val="00A94A6A"/>
    <w:rsid w:val="00AA6219"/>
    <w:rsid w:val="00AA74E0"/>
    <w:rsid w:val="00AB703F"/>
    <w:rsid w:val="00AC6BB8"/>
    <w:rsid w:val="00AE008F"/>
    <w:rsid w:val="00AF471D"/>
    <w:rsid w:val="00B01FCD"/>
    <w:rsid w:val="00B0710A"/>
    <w:rsid w:val="00B07376"/>
    <w:rsid w:val="00B1394F"/>
    <w:rsid w:val="00B16DC1"/>
    <w:rsid w:val="00B1776C"/>
    <w:rsid w:val="00B206F6"/>
    <w:rsid w:val="00B2136B"/>
    <w:rsid w:val="00B25BC1"/>
    <w:rsid w:val="00B314F6"/>
    <w:rsid w:val="00B4468F"/>
    <w:rsid w:val="00B52583"/>
    <w:rsid w:val="00B52896"/>
    <w:rsid w:val="00B73D26"/>
    <w:rsid w:val="00B743B4"/>
    <w:rsid w:val="00B82C5B"/>
    <w:rsid w:val="00B95236"/>
    <w:rsid w:val="00B96BD9"/>
    <w:rsid w:val="00BA1B01"/>
    <w:rsid w:val="00BA2641"/>
    <w:rsid w:val="00BB37AA"/>
    <w:rsid w:val="00BC53A0"/>
    <w:rsid w:val="00BE05D5"/>
    <w:rsid w:val="00BE62AD"/>
    <w:rsid w:val="00BF121F"/>
    <w:rsid w:val="00BF1F80"/>
    <w:rsid w:val="00C166EF"/>
    <w:rsid w:val="00C17EB0"/>
    <w:rsid w:val="00C27F5F"/>
    <w:rsid w:val="00C30A0F"/>
    <w:rsid w:val="00C37E61"/>
    <w:rsid w:val="00C70F1B"/>
    <w:rsid w:val="00C71A47"/>
    <w:rsid w:val="00C7464C"/>
    <w:rsid w:val="00C85588"/>
    <w:rsid w:val="00CB2985"/>
    <w:rsid w:val="00CD6755"/>
    <w:rsid w:val="00CD6856"/>
    <w:rsid w:val="00CE0089"/>
    <w:rsid w:val="00CE793C"/>
    <w:rsid w:val="00CF193C"/>
    <w:rsid w:val="00CF35CF"/>
    <w:rsid w:val="00D173F1"/>
    <w:rsid w:val="00D46C3F"/>
    <w:rsid w:val="00D70CC9"/>
    <w:rsid w:val="00D74CB0"/>
    <w:rsid w:val="00D8295D"/>
    <w:rsid w:val="00DC2A65"/>
    <w:rsid w:val="00DE15F0"/>
    <w:rsid w:val="00DE5663"/>
    <w:rsid w:val="00DE78AA"/>
    <w:rsid w:val="00DF0A24"/>
    <w:rsid w:val="00DF5D9B"/>
    <w:rsid w:val="00DF7C96"/>
    <w:rsid w:val="00E053D0"/>
    <w:rsid w:val="00E15994"/>
    <w:rsid w:val="00E3114E"/>
    <w:rsid w:val="00E31A70"/>
    <w:rsid w:val="00E35B02"/>
    <w:rsid w:val="00E438AE"/>
    <w:rsid w:val="00E66496"/>
    <w:rsid w:val="00E66B35"/>
    <w:rsid w:val="00E66E10"/>
    <w:rsid w:val="00E769F6"/>
    <w:rsid w:val="00E8407C"/>
    <w:rsid w:val="00E84580"/>
    <w:rsid w:val="00E84F3C"/>
    <w:rsid w:val="00EA012C"/>
    <w:rsid w:val="00EB6347"/>
    <w:rsid w:val="00EC6A55"/>
    <w:rsid w:val="00ED0288"/>
    <w:rsid w:val="00EE52CB"/>
    <w:rsid w:val="00EF581D"/>
    <w:rsid w:val="00EF7FD8"/>
    <w:rsid w:val="00F06F59"/>
    <w:rsid w:val="00F17988"/>
    <w:rsid w:val="00F3039B"/>
    <w:rsid w:val="00F4546C"/>
    <w:rsid w:val="00F469F0"/>
    <w:rsid w:val="00F53273"/>
    <w:rsid w:val="00F54C22"/>
    <w:rsid w:val="00F725D8"/>
    <w:rsid w:val="00F755E4"/>
    <w:rsid w:val="00F77D02"/>
    <w:rsid w:val="00FB3A86"/>
    <w:rsid w:val="00FC783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shapelayout>
  </w:shapeDefaults>
  <w:decimalSymbol w:val="."/>
  <w:listSeparator w:val=","/>
  <w14:docId w14:val="09E548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E38A6"/>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7E38A6"/>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7E38A6"/>
    <w:rPr>
      <w:b/>
      <w:bCs/>
    </w:rPr>
  </w:style>
  <w:style w:type="table" w:styleId="PlainTable2">
    <w:name w:val="Plain Table 2"/>
    <w:basedOn w:val="TableNormal"/>
    <w:uiPriority w:val="42"/>
    <w:rsid w:val="007E38A6"/>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0472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7654835">
      <w:bodyDiv w:val="1"/>
      <w:marLeft w:val="0"/>
      <w:marRight w:val="0"/>
      <w:marTop w:val="0"/>
      <w:marBottom w:val="0"/>
      <w:divBdr>
        <w:top w:val="none" w:sz="0" w:space="0" w:color="auto"/>
        <w:left w:val="none" w:sz="0" w:space="0" w:color="auto"/>
        <w:bottom w:val="none" w:sz="0" w:space="0" w:color="auto"/>
        <w:right w:val="none" w:sz="0" w:space="0" w:color="auto"/>
      </w:divBdr>
      <w:divsChild>
        <w:div w:id="141134679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69375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6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www.teaboard.gov.in" TargetMode="External"/><Relationship Id="rId26" Type="http://schemas.openxmlformats.org/officeDocument/2006/relationships/hyperlink" Target="https://www.caritasindia.org" TargetMode="External"/><Relationship Id="rId39" Type="http://schemas.openxmlformats.org/officeDocument/2006/relationships/theme" Target="theme/theme1.xml"/><Relationship Id="rId21" Type="http://schemas.openxmlformats.org/officeDocument/2006/relationships/hyperlink" Target="https://www.iisd.org/system/files/publications/ssi-global-market-report-tea.pdf" TargetMode="External"/><Relationship Id="rId34" Type="http://schemas.openxmlformats.org/officeDocument/2006/relationships/hyperlink" Target="https://doi.org/10.37284/eajbe.2.1.124"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somo.nl/wp-content/uploads/2008/06/Sustainability-Issues-in-the-Tea-Sector.pdf" TargetMode="External"/><Relationship Id="rId25" Type="http://schemas.openxmlformats.org/officeDocument/2006/relationships/hyperlink" Target="https://doi.org/10.1080/02692171.2020.1773646" TargetMode="External"/><Relationship Id="rId33" Type="http://schemas.openxmlformats.org/officeDocument/2006/relationships/hyperlink" Target="https://www.iese.ac.mz/lib/publication/II_conf/GrupoII/FArmers_Organizations_Welfare_BACHKE.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teaboard.gov.in" TargetMode="External"/><Relationship Id="rId29" Type="http://schemas.openxmlformats.org/officeDocument/2006/relationships/hyperlink" Target="https://doi.org/10.1016/j.heliyon.2022.e088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ds.edu/wp-content/uploads/2021/02/NRPPD20.pdf" TargetMode="External"/><Relationship Id="rId32" Type="http://schemas.openxmlformats.org/officeDocument/2006/relationships/hyperlink" Target="https://www.fao.org/publications/sofa/2021/en" TargetMode="External"/><Relationship Id="rId37" Type="http://schemas.openxmlformats.org/officeDocument/2006/relationships/hyperlink" Target="https://doi.org/10.1080/14735903.2023.2239047"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doi.org/10.1016/S0308-8146(03)00215-2" TargetMode="External"/><Relationship Id="rId28" Type="http://schemas.openxmlformats.org/officeDocument/2006/relationships/hyperlink" Target="https://www.teaboard.gov.in" TargetMode="External"/><Relationship Id="rId36" Type="http://schemas.openxmlformats.org/officeDocument/2006/relationships/hyperlink" Target="https://www.jarts.info/index.php/jarts/article/download/7/4" TargetMode="External"/><Relationship Id="rId10" Type="http://schemas.openxmlformats.org/officeDocument/2006/relationships/header" Target="header3.xml"/><Relationship Id="rId19" Type="http://schemas.openxmlformats.org/officeDocument/2006/relationships/hyperlink" Target="https://www.ibef.org/industry/tea-india" TargetMode="External"/><Relationship Id="rId31" Type="http://schemas.openxmlformats.org/officeDocument/2006/relationships/hyperlink" Target="https://www.scirp.org/journal/paperinformation?paperid=123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doi.org/10.1080/17565529.2021.1930988" TargetMode="External"/><Relationship Id="rId27" Type="http://schemas.openxmlformats.org/officeDocument/2006/relationships/hyperlink" Target="https://doi.org/10.9734/ajaees/2022/v40i931019" TargetMode="External"/><Relationship Id="rId30" Type="http://schemas.openxmlformats.org/officeDocument/2006/relationships/hyperlink" Target="https://doi.org/10.9734/ijpss/2022/v34i830905" TargetMode="External"/><Relationship Id="rId35" Type="http://schemas.openxmlformats.org/officeDocument/2006/relationships/hyperlink" Target="https://doi.org/10.4038/tar.v31i4.8419"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4FA9-0C47-4AB4-80A2-DB78227D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22</Pages>
  <Words>6023</Words>
  <Characters>38367</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2025-11-22T16:41:00Z</dcterms:created>
  <dcterms:modified xsi:type="dcterms:W3CDTF">2025-11-28T07:55:00Z</dcterms:modified>
</cp:coreProperties>
</file>