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ABAD" w14:textId="22FB5C4B" w:rsidR="00675C96" w:rsidRPr="00FD1E7A" w:rsidRDefault="00675C96" w:rsidP="00AC6C8E">
      <w:pPr>
        <w:spacing w:line="360" w:lineRule="auto"/>
        <w:ind w:firstLine="720"/>
        <w:jc w:val="both"/>
        <w:rPr>
          <w:rFonts w:asciiTheme="majorBidi" w:hAnsiTheme="majorBidi" w:cstheme="majorBidi"/>
          <w:b/>
          <w:bCs/>
          <w:u w:val="single"/>
        </w:rPr>
      </w:pPr>
      <w:r w:rsidRPr="00FD1E7A">
        <w:rPr>
          <w:rFonts w:asciiTheme="majorBidi" w:hAnsiTheme="majorBidi" w:cstheme="majorBidi"/>
          <w:b/>
          <w:bCs/>
          <w:u w:val="single"/>
        </w:rPr>
        <w:t>Original Research Article</w:t>
      </w:r>
    </w:p>
    <w:p w14:paraId="07271A16" w14:textId="2CFB0BCD" w:rsidR="00B01EBA" w:rsidRDefault="007857EA" w:rsidP="007857EA">
      <w:pPr>
        <w:spacing w:line="360" w:lineRule="auto"/>
        <w:jc w:val="center"/>
        <w:rPr>
          <w:rFonts w:asciiTheme="majorBidi" w:hAnsiTheme="majorBidi" w:cstheme="majorBidi"/>
          <w:b/>
          <w:bCs/>
        </w:rPr>
      </w:pPr>
      <w:r>
        <w:rPr>
          <w:rFonts w:asciiTheme="majorBidi" w:hAnsiTheme="majorBidi" w:cstheme="majorBidi"/>
          <w:b/>
          <w:bCs/>
        </w:rPr>
        <w:t>FORMS, RISK FACTORS, AND COPING STRATEGIES OF GENDER-BASED VIOLENCE AMONG WOMEN IN AGRICULTURAL FIRMS IN ONDO STATE</w:t>
      </w:r>
    </w:p>
    <w:p w14:paraId="3A18FD53" w14:textId="20E2A51B" w:rsidR="002C72AD" w:rsidRPr="00FD1E7A" w:rsidRDefault="002C72AD" w:rsidP="00EE0379">
      <w:pPr>
        <w:spacing w:line="360" w:lineRule="auto"/>
        <w:jc w:val="both"/>
        <w:rPr>
          <w:rFonts w:asciiTheme="majorBidi" w:hAnsiTheme="majorBidi" w:cstheme="majorBidi"/>
          <w:b/>
          <w:bCs/>
          <w:lang w:val="en-GB"/>
        </w:rPr>
      </w:pPr>
      <w:r w:rsidRPr="00FD1E7A">
        <w:rPr>
          <w:rFonts w:asciiTheme="majorBidi" w:hAnsiTheme="majorBidi" w:cstheme="majorBidi"/>
          <w:b/>
          <w:bCs/>
          <w:lang w:val="en-GB"/>
        </w:rPr>
        <w:t>ABSTRACT</w:t>
      </w:r>
    </w:p>
    <w:p w14:paraId="1616DEDB" w14:textId="53CAA974" w:rsidR="00CD6505" w:rsidRPr="00FD1E7A" w:rsidRDefault="00934DDB" w:rsidP="008E627F">
      <w:pPr>
        <w:spacing w:before="100" w:beforeAutospacing="1" w:after="100" w:afterAutospacing="1" w:line="360" w:lineRule="auto"/>
        <w:jc w:val="both"/>
        <w:rPr>
          <w:rFonts w:asciiTheme="majorBidi" w:eastAsia="Times New Roman" w:hAnsiTheme="majorBidi" w:cstheme="majorBidi"/>
          <w:kern w:val="0"/>
          <w14:ligatures w14:val="none"/>
        </w:rPr>
      </w:pPr>
      <w:r>
        <w:rPr>
          <w:rFonts w:asciiTheme="majorBidi" w:eastAsia="Times New Roman" w:hAnsiTheme="majorBidi" w:cstheme="majorBidi"/>
          <w:color w:val="000000"/>
        </w:rPr>
        <w:t xml:space="preserve">Globally, there are growing concern on </w:t>
      </w:r>
      <w:r w:rsidR="003B548C" w:rsidRPr="00FD1E7A">
        <w:rPr>
          <w:rFonts w:asciiTheme="majorBidi" w:eastAsia="Times New Roman" w:hAnsiTheme="majorBidi" w:cstheme="majorBidi"/>
          <w:color w:val="000000"/>
        </w:rPr>
        <w:t>Gender-Based Violence (GBV)</w:t>
      </w:r>
      <w:r>
        <w:rPr>
          <w:rFonts w:asciiTheme="majorBidi" w:eastAsia="Times New Roman" w:hAnsiTheme="majorBidi" w:cstheme="majorBidi"/>
          <w:color w:val="000000"/>
        </w:rPr>
        <w:t xml:space="preserve">, its emergence and resultant effects and coping strategies have been sparsely researched and documented. Gender Based Violence simply </w:t>
      </w:r>
      <w:r w:rsidR="003B548C" w:rsidRPr="00FD1E7A">
        <w:rPr>
          <w:rFonts w:asciiTheme="majorBidi" w:eastAsia="Times New Roman" w:hAnsiTheme="majorBidi" w:cstheme="majorBidi"/>
          <w:color w:val="000000"/>
        </w:rPr>
        <w:t xml:space="preserve">refers to </w:t>
      </w:r>
      <w:r>
        <w:rPr>
          <w:rFonts w:asciiTheme="majorBidi" w:eastAsia="Times New Roman" w:hAnsiTheme="majorBidi" w:cstheme="majorBidi"/>
          <w:color w:val="000000"/>
        </w:rPr>
        <w:t xml:space="preserve">a </w:t>
      </w:r>
      <w:r w:rsidRPr="00FD1E7A">
        <w:rPr>
          <w:rFonts w:asciiTheme="majorBidi" w:eastAsia="Times New Roman" w:hAnsiTheme="majorBidi" w:cstheme="majorBidi"/>
          <w:color w:val="000000"/>
        </w:rPr>
        <w:t>harmful act</w:t>
      </w:r>
      <w:r w:rsidR="003B548C" w:rsidRPr="00FD1E7A">
        <w:rPr>
          <w:rFonts w:asciiTheme="majorBidi" w:eastAsia="Times New Roman" w:hAnsiTheme="majorBidi" w:cstheme="majorBidi"/>
          <w:color w:val="000000"/>
        </w:rPr>
        <w:t xml:space="preserve"> directed at individuals based on their gender, </w:t>
      </w:r>
      <w:r>
        <w:rPr>
          <w:rFonts w:asciiTheme="majorBidi" w:eastAsia="Times New Roman" w:hAnsiTheme="majorBidi" w:cstheme="majorBidi"/>
          <w:color w:val="000000"/>
        </w:rPr>
        <w:t xml:space="preserve">which </w:t>
      </w:r>
      <w:r w:rsidR="003B548C" w:rsidRPr="00FD1E7A">
        <w:rPr>
          <w:rFonts w:asciiTheme="majorBidi" w:eastAsia="Times New Roman" w:hAnsiTheme="majorBidi" w:cstheme="majorBidi"/>
          <w:color w:val="000000"/>
        </w:rPr>
        <w:t>includ</w:t>
      </w:r>
      <w:r>
        <w:rPr>
          <w:rFonts w:asciiTheme="majorBidi" w:eastAsia="Times New Roman" w:hAnsiTheme="majorBidi" w:cstheme="majorBidi"/>
          <w:color w:val="000000"/>
        </w:rPr>
        <w:t xml:space="preserve">es but not limited to </w:t>
      </w:r>
      <w:r w:rsidR="003B548C" w:rsidRPr="00FD1E7A">
        <w:rPr>
          <w:rFonts w:asciiTheme="majorBidi" w:eastAsia="Times New Roman" w:hAnsiTheme="majorBidi" w:cstheme="majorBidi"/>
          <w:color w:val="000000"/>
        </w:rPr>
        <w:t>physical, sexual, emotional, and economic abuse</w:t>
      </w:r>
      <w:r w:rsidR="003B548C" w:rsidRPr="00FD1E7A">
        <w:rPr>
          <w:rFonts w:asciiTheme="majorBidi" w:eastAsia="Times New Roman" w:hAnsiTheme="majorBidi" w:cstheme="majorBidi"/>
          <w:color w:val="000000"/>
          <w:sz w:val="27"/>
          <w:szCs w:val="27"/>
        </w:rPr>
        <w:t>.</w:t>
      </w:r>
      <w:r w:rsidR="003B548C" w:rsidRPr="00FD1E7A">
        <w:rPr>
          <w:rFonts w:asciiTheme="majorBidi" w:hAnsiTheme="majorBidi" w:cstheme="majorBidi"/>
          <w:lang w:val="en-GB"/>
        </w:rPr>
        <w:t xml:space="preserve"> </w:t>
      </w:r>
      <w:r w:rsidR="000A18E4" w:rsidRPr="00FD1E7A">
        <w:rPr>
          <w:rFonts w:asciiTheme="majorBidi" w:eastAsia="Times New Roman" w:hAnsiTheme="majorBidi" w:cstheme="majorBidi"/>
          <w:lang w:val="en-GB"/>
        </w:rPr>
        <w:t>T</w:t>
      </w:r>
      <w:r w:rsidR="006213A1" w:rsidRPr="00FD1E7A">
        <w:rPr>
          <w:rFonts w:asciiTheme="majorBidi" w:eastAsia="Times New Roman" w:hAnsiTheme="majorBidi" w:cstheme="majorBidi"/>
        </w:rPr>
        <w:t xml:space="preserve">he </w:t>
      </w:r>
      <w:r>
        <w:rPr>
          <w:rFonts w:asciiTheme="majorBidi" w:eastAsia="Times New Roman" w:hAnsiTheme="majorBidi" w:cstheme="majorBidi"/>
        </w:rPr>
        <w:t xml:space="preserve">study identified </w:t>
      </w:r>
      <w:r w:rsidR="006213A1" w:rsidRPr="00FD1E7A">
        <w:rPr>
          <w:rFonts w:asciiTheme="majorBidi" w:eastAsia="Times New Roman" w:hAnsiTheme="majorBidi" w:cstheme="majorBidi"/>
        </w:rPr>
        <w:t>common forms, explore</w:t>
      </w:r>
      <w:r>
        <w:rPr>
          <w:rFonts w:asciiTheme="majorBidi" w:eastAsia="Times New Roman" w:hAnsiTheme="majorBidi" w:cstheme="majorBidi"/>
        </w:rPr>
        <w:t>d</w:t>
      </w:r>
      <w:r w:rsidR="006213A1" w:rsidRPr="00FD1E7A">
        <w:rPr>
          <w:rFonts w:asciiTheme="majorBidi" w:eastAsia="Times New Roman" w:hAnsiTheme="majorBidi" w:cstheme="majorBidi"/>
        </w:rPr>
        <w:t xml:space="preserve"> the risk factors</w:t>
      </w:r>
      <w:r w:rsidR="00A26F85" w:rsidRPr="00FD1E7A">
        <w:rPr>
          <w:rFonts w:asciiTheme="majorBidi" w:eastAsia="Times New Roman" w:hAnsiTheme="majorBidi" w:cstheme="majorBidi"/>
        </w:rPr>
        <w:t>,</w:t>
      </w:r>
      <w:r w:rsidR="006213A1" w:rsidRPr="00FD1E7A">
        <w:rPr>
          <w:rFonts w:asciiTheme="majorBidi" w:eastAsia="Times New Roman" w:hAnsiTheme="majorBidi" w:cstheme="majorBidi"/>
        </w:rPr>
        <w:t xml:space="preserve"> </w:t>
      </w:r>
      <w:r w:rsidR="008A5D6B" w:rsidRPr="00FD1E7A">
        <w:rPr>
          <w:rFonts w:asciiTheme="majorBidi" w:eastAsia="Times New Roman" w:hAnsiTheme="majorBidi" w:cstheme="majorBidi"/>
        </w:rPr>
        <w:t>and</w:t>
      </w:r>
      <w:r w:rsidR="006213A1" w:rsidRPr="00FD1E7A">
        <w:rPr>
          <w:rFonts w:asciiTheme="majorBidi" w:eastAsia="Times New Roman" w:hAnsiTheme="majorBidi" w:cstheme="majorBidi"/>
        </w:rPr>
        <w:t xml:space="preserve"> assess</w:t>
      </w:r>
      <w:r>
        <w:rPr>
          <w:rFonts w:asciiTheme="majorBidi" w:eastAsia="Times New Roman" w:hAnsiTheme="majorBidi" w:cstheme="majorBidi"/>
        </w:rPr>
        <w:t>ed</w:t>
      </w:r>
      <w:r w:rsidR="006213A1" w:rsidRPr="00FD1E7A">
        <w:rPr>
          <w:rFonts w:asciiTheme="majorBidi" w:eastAsia="Times New Roman" w:hAnsiTheme="majorBidi" w:cstheme="majorBidi"/>
        </w:rPr>
        <w:t xml:space="preserve"> coping strategies </w:t>
      </w:r>
      <w:r w:rsidR="008A5D6B" w:rsidRPr="00FD1E7A">
        <w:rPr>
          <w:rFonts w:asciiTheme="majorBidi" w:eastAsia="Times New Roman" w:hAnsiTheme="majorBidi" w:cstheme="majorBidi"/>
        </w:rPr>
        <w:t>of GBV</w:t>
      </w:r>
      <w:r>
        <w:rPr>
          <w:rFonts w:asciiTheme="majorBidi" w:eastAsia="Times New Roman" w:hAnsiTheme="majorBidi" w:cstheme="majorBidi"/>
        </w:rPr>
        <w:t xml:space="preserve"> in Akure, Ondo State</w:t>
      </w:r>
      <w:r w:rsidR="006213A1" w:rsidRPr="00FD1E7A">
        <w:rPr>
          <w:rFonts w:asciiTheme="majorBidi" w:eastAsia="Times New Roman" w:hAnsiTheme="majorBidi" w:cstheme="majorBidi"/>
        </w:rPr>
        <w:t>.</w:t>
      </w:r>
      <w:r w:rsidR="00CD6505" w:rsidRPr="00FD1E7A">
        <w:rPr>
          <w:rFonts w:asciiTheme="majorBidi" w:eastAsia="Times New Roman" w:hAnsiTheme="majorBidi" w:cstheme="majorBidi"/>
        </w:rPr>
        <w:t xml:space="preserve"> </w:t>
      </w:r>
      <w:r w:rsidR="00CD6505" w:rsidRPr="00FD1E7A">
        <w:rPr>
          <w:rFonts w:asciiTheme="majorBidi" w:eastAsia="Times New Roman" w:hAnsiTheme="majorBidi" w:cstheme="majorBidi"/>
          <w:kern w:val="0"/>
          <w14:ligatures w14:val="none"/>
        </w:rPr>
        <w:t>A two-stage sampling technique was used to select</w:t>
      </w:r>
      <w:r>
        <w:rPr>
          <w:rFonts w:asciiTheme="majorBidi" w:eastAsia="Times New Roman" w:hAnsiTheme="majorBidi" w:cstheme="majorBidi"/>
          <w:kern w:val="0"/>
          <w14:ligatures w14:val="none"/>
        </w:rPr>
        <w:t xml:space="preserve"> one hundred and twenty respondents but feedback </w:t>
      </w:r>
      <w:r w:rsidR="00B01EBA">
        <w:rPr>
          <w:rFonts w:asciiTheme="majorBidi" w:eastAsia="Times New Roman" w:hAnsiTheme="majorBidi" w:cstheme="majorBidi"/>
          <w:kern w:val="0"/>
          <w14:ligatures w14:val="none"/>
        </w:rPr>
        <w:t>was</w:t>
      </w:r>
      <w:r>
        <w:rPr>
          <w:rFonts w:asciiTheme="majorBidi" w:eastAsia="Times New Roman" w:hAnsiTheme="majorBidi" w:cstheme="majorBidi"/>
          <w:kern w:val="0"/>
          <w14:ligatures w14:val="none"/>
        </w:rPr>
        <w:t xml:space="preserve"> received from only a hundred and ten </w:t>
      </w:r>
      <w:r w:rsidR="00CD6505" w:rsidRPr="00FD1E7A">
        <w:rPr>
          <w:rFonts w:asciiTheme="majorBidi" w:eastAsia="Times New Roman" w:hAnsiTheme="majorBidi" w:cstheme="majorBidi"/>
          <w:kern w:val="0"/>
          <w14:ligatures w14:val="none"/>
        </w:rPr>
        <w:t>respondents</w:t>
      </w:r>
      <w:r w:rsidR="00565EEF" w:rsidRPr="00FD1E7A">
        <w:rPr>
          <w:rFonts w:asciiTheme="majorBidi" w:eastAsia="Times New Roman" w:hAnsiTheme="majorBidi" w:cstheme="majorBidi"/>
          <w:kern w:val="0"/>
          <w14:ligatures w14:val="none"/>
        </w:rPr>
        <w:t xml:space="preserve">. </w:t>
      </w:r>
      <w:r w:rsidR="00CD6505" w:rsidRPr="00FD1E7A">
        <w:rPr>
          <w:rFonts w:asciiTheme="majorBidi" w:eastAsia="Times New Roman" w:hAnsiTheme="majorBidi" w:cstheme="majorBidi"/>
          <w:kern w:val="0"/>
          <w14:ligatures w14:val="none"/>
        </w:rPr>
        <w:t>Primary data were obtained using a structured questionnaire and analy</w:t>
      </w:r>
      <w:r>
        <w:rPr>
          <w:rFonts w:asciiTheme="majorBidi" w:eastAsia="Times New Roman" w:hAnsiTheme="majorBidi" w:cstheme="majorBidi"/>
          <w:kern w:val="0"/>
          <w14:ligatures w14:val="none"/>
        </w:rPr>
        <w:t>z</w:t>
      </w:r>
      <w:r w:rsidR="00CD6505" w:rsidRPr="00FD1E7A">
        <w:rPr>
          <w:rFonts w:asciiTheme="majorBidi" w:eastAsia="Times New Roman" w:hAnsiTheme="majorBidi" w:cstheme="majorBidi"/>
          <w:kern w:val="0"/>
          <w14:ligatures w14:val="none"/>
        </w:rPr>
        <w:t>ed with descriptive statistics, chi-square</w:t>
      </w:r>
      <w:r w:rsidR="00A26F85" w:rsidRPr="00FD1E7A">
        <w:rPr>
          <w:rFonts w:asciiTheme="majorBidi" w:eastAsia="Times New Roman" w:hAnsiTheme="majorBidi" w:cstheme="majorBidi"/>
          <w:kern w:val="0"/>
          <w14:ligatures w14:val="none"/>
        </w:rPr>
        <w:t>,</w:t>
      </w:r>
      <w:r w:rsidR="00D47941" w:rsidRPr="00FD1E7A">
        <w:rPr>
          <w:rFonts w:asciiTheme="majorBidi" w:eastAsia="Times New Roman" w:hAnsiTheme="majorBidi" w:cstheme="majorBidi"/>
          <w:kern w:val="0"/>
          <w14:ligatures w14:val="none"/>
        </w:rPr>
        <w:t xml:space="preserve"> and </w:t>
      </w:r>
      <w:r w:rsidR="00CD6505" w:rsidRPr="00FD1E7A">
        <w:rPr>
          <w:rFonts w:asciiTheme="majorBidi" w:eastAsia="Times New Roman" w:hAnsiTheme="majorBidi" w:cstheme="majorBidi"/>
          <w:kern w:val="0"/>
          <w14:ligatures w14:val="none"/>
        </w:rPr>
        <w:t>factor analysis</w:t>
      </w:r>
      <w:r w:rsidR="00D47941" w:rsidRPr="00FD1E7A">
        <w:rPr>
          <w:rFonts w:asciiTheme="majorBidi" w:eastAsia="Times New Roman" w:hAnsiTheme="majorBidi" w:cstheme="majorBidi"/>
          <w:kern w:val="0"/>
          <w14:ligatures w14:val="none"/>
        </w:rPr>
        <w:t xml:space="preserve">. </w:t>
      </w:r>
      <w:r w:rsidR="00CD6505" w:rsidRPr="00FD1E7A">
        <w:rPr>
          <w:rFonts w:asciiTheme="majorBidi" w:eastAsia="Times New Roman" w:hAnsiTheme="majorBidi" w:cstheme="majorBidi"/>
          <w:kern w:val="0"/>
          <w14:ligatures w14:val="none"/>
        </w:rPr>
        <w:t xml:space="preserve">Results showed that </w:t>
      </w:r>
      <w:r w:rsidR="002A64BE" w:rsidRPr="00FD1E7A">
        <w:rPr>
          <w:rFonts w:asciiTheme="majorBidi" w:eastAsia="Times New Roman" w:hAnsiTheme="majorBidi" w:cstheme="majorBidi"/>
          <w:kern w:val="0"/>
          <w14:ligatures w14:val="none"/>
        </w:rPr>
        <w:t>t</w:t>
      </w:r>
      <w:r w:rsidR="00CD6505" w:rsidRPr="00FD1E7A">
        <w:rPr>
          <w:rFonts w:asciiTheme="majorBidi" w:eastAsia="Times New Roman" w:hAnsiTheme="majorBidi" w:cstheme="majorBidi"/>
          <w:kern w:val="0"/>
          <w14:ligatures w14:val="none"/>
        </w:rPr>
        <w:t>he most common forms of GBV reported were physical violence</w:t>
      </w:r>
      <w:r w:rsidR="00B01EBA">
        <w:rPr>
          <w:rFonts w:asciiTheme="majorBidi" w:eastAsia="Times New Roman" w:hAnsiTheme="majorBidi" w:cstheme="majorBidi"/>
          <w:kern w:val="0"/>
          <w14:ligatures w14:val="none"/>
        </w:rPr>
        <w:t xml:space="preserve">, </w:t>
      </w:r>
      <w:r w:rsidR="00CD6505" w:rsidRPr="00FD1E7A">
        <w:rPr>
          <w:rFonts w:asciiTheme="majorBidi" w:eastAsia="Times New Roman" w:hAnsiTheme="majorBidi" w:cstheme="majorBidi"/>
          <w:kern w:val="0"/>
          <w14:ligatures w14:val="none"/>
        </w:rPr>
        <w:t>sexual violence, emotional abuse</w:t>
      </w:r>
      <w:r w:rsidR="008E627F" w:rsidRPr="00FD1E7A">
        <w:rPr>
          <w:rFonts w:asciiTheme="majorBidi" w:eastAsia="Times New Roman" w:hAnsiTheme="majorBidi" w:cstheme="majorBidi"/>
          <w:kern w:val="0"/>
          <w14:ligatures w14:val="none"/>
        </w:rPr>
        <w:t>,</w:t>
      </w:r>
      <w:r w:rsidR="00CD6505" w:rsidRPr="00FD1E7A">
        <w:rPr>
          <w:rFonts w:asciiTheme="majorBidi" w:eastAsia="Times New Roman" w:hAnsiTheme="majorBidi" w:cstheme="majorBidi"/>
          <w:kern w:val="0"/>
          <w14:ligatures w14:val="none"/>
        </w:rPr>
        <w:t xml:space="preserve"> economic violence</w:t>
      </w:r>
      <w:r w:rsidR="00A26F85" w:rsidRPr="00FD1E7A">
        <w:rPr>
          <w:rFonts w:asciiTheme="majorBidi" w:eastAsia="Times New Roman" w:hAnsiTheme="majorBidi" w:cstheme="majorBidi"/>
          <w:kern w:val="0"/>
          <w14:ligatures w14:val="none"/>
        </w:rPr>
        <w:t>,</w:t>
      </w:r>
      <w:r w:rsidR="00CD6505" w:rsidRPr="00FD1E7A">
        <w:rPr>
          <w:rFonts w:asciiTheme="majorBidi" w:eastAsia="Times New Roman" w:hAnsiTheme="majorBidi" w:cstheme="majorBidi"/>
          <w:kern w:val="0"/>
          <w14:ligatures w14:val="none"/>
        </w:rPr>
        <w:t xml:space="preserve"> and verbal abuse. </w:t>
      </w:r>
      <w:r w:rsidR="00B01EBA">
        <w:rPr>
          <w:rFonts w:asciiTheme="majorBidi" w:eastAsia="Times New Roman" w:hAnsiTheme="majorBidi" w:cstheme="majorBidi"/>
          <w:kern w:val="0"/>
          <w14:ligatures w14:val="none"/>
        </w:rPr>
        <w:t>Also, m</w:t>
      </w:r>
      <w:r w:rsidR="00CD6505" w:rsidRPr="00FD1E7A">
        <w:rPr>
          <w:rFonts w:asciiTheme="majorBidi" w:eastAsia="Times New Roman" w:hAnsiTheme="majorBidi" w:cstheme="majorBidi"/>
          <w:kern w:val="0"/>
          <w14:ligatures w14:val="none"/>
        </w:rPr>
        <w:t xml:space="preserve">ajor risk factors were cultural norms, poverty, and organizational </w:t>
      </w:r>
      <w:r w:rsidR="00A26F85" w:rsidRPr="00FD1E7A">
        <w:rPr>
          <w:rFonts w:asciiTheme="majorBidi" w:eastAsia="Times New Roman" w:hAnsiTheme="majorBidi" w:cstheme="majorBidi"/>
          <w:kern w:val="0"/>
          <w14:ligatures w14:val="none"/>
        </w:rPr>
        <w:t>factors</w:t>
      </w:r>
      <w:r w:rsidR="00CD6505" w:rsidRPr="00FD1E7A">
        <w:rPr>
          <w:rFonts w:asciiTheme="majorBidi" w:eastAsia="Times New Roman" w:hAnsiTheme="majorBidi" w:cstheme="majorBidi"/>
          <w:kern w:val="0"/>
          <w14:ligatures w14:val="none"/>
        </w:rPr>
        <w:t xml:space="preserve">. Coping strategies included family and friends support and finding </w:t>
      </w:r>
      <w:r w:rsidR="00A26F85" w:rsidRPr="00FD1E7A">
        <w:rPr>
          <w:rFonts w:asciiTheme="majorBidi" w:eastAsia="Times New Roman" w:hAnsiTheme="majorBidi" w:cstheme="majorBidi"/>
          <w:kern w:val="0"/>
          <w14:ligatures w14:val="none"/>
        </w:rPr>
        <w:t xml:space="preserve">a </w:t>
      </w:r>
      <w:r w:rsidR="00CD6505" w:rsidRPr="00FD1E7A">
        <w:rPr>
          <w:rFonts w:asciiTheme="majorBidi" w:eastAsia="Times New Roman" w:hAnsiTheme="majorBidi" w:cstheme="majorBidi"/>
          <w:kern w:val="0"/>
          <w14:ligatures w14:val="none"/>
        </w:rPr>
        <w:t>solution</w:t>
      </w:r>
      <w:r w:rsidR="0027000E" w:rsidRPr="00FD1E7A">
        <w:rPr>
          <w:rFonts w:asciiTheme="majorBidi" w:eastAsia="Times New Roman" w:hAnsiTheme="majorBidi" w:cstheme="majorBidi"/>
          <w:kern w:val="0"/>
          <w14:ligatures w14:val="none"/>
        </w:rPr>
        <w:t xml:space="preserve">. </w:t>
      </w:r>
      <w:r w:rsidR="00CD6505" w:rsidRPr="00FD1E7A">
        <w:rPr>
          <w:rFonts w:asciiTheme="majorBidi" w:eastAsia="Times New Roman" w:hAnsiTheme="majorBidi" w:cstheme="majorBidi"/>
          <w:kern w:val="0"/>
          <w14:ligatures w14:val="none"/>
        </w:rPr>
        <w:t>Chi-square results indicated a significant relationship between income and coping strategies. The study conclude</w:t>
      </w:r>
      <w:r w:rsidR="00B01EBA">
        <w:rPr>
          <w:rFonts w:asciiTheme="majorBidi" w:eastAsia="Times New Roman" w:hAnsiTheme="majorBidi" w:cstheme="majorBidi"/>
          <w:kern w:val="0"/>
          <w14:ligatures w14:val="none"/>
        </w:rPr>
        <w:t>d</w:t>
      </w:r>
      <w:r w:rsidR="00CD6505" w:rsidRPr="00FD1E7A">
        <w:rPr>
          <w:rFonts w:asciiTheme="majorBidi" w:eastAsia="Times New Roman" w:hAnsiTheme="majorBidi" w:cstheme="majorBidi"/>
          <w:kern w:val="0"/>
          <w14:ligatures w14:val="none"/>
        </w:rPr>
        <w:t xml:space="preserve"> that GBV driven by poverty, cultural norms</w:t>
      </w:r>
      <w:r w:rsidR="00A26F85" w:rsidRPr="00FD1E7A">
        <w:rPr>
          <w:rFonts w:asciiTheme="majorBidi" w:eastAsia="Times New Roman" w:hAnsiTheme="majorBidi" w:cstheme="majorBidi"/>
          <w:kern w:val="0"/>
          <w14:ligatures w14:val="none"/>
        </w:rPr>
        <w:t>,</w:t>
      </w:r>
      <w:r w:rsidR="00CD6505" w:rsidRPr="00FD1E7A">
        <w:rPr>
          <w:rFonts w:asciiTheme="majorBidi" w:eastAsia="Times New Roman" w:hAnsiTheme="majorBidi" w:cstheme="majorBidi"/>
          <w:kern w:val="0"/>
          <w14:ligatures w14:val="none"/>
        </w:rPr>
        <w:t xml:space="preserve"> and weak support systems undermines </w:t>
      </w:r>
      <w:r w:rsidR="00A26F85" w:rsidRPr="00FD1E7A">
        <w:rPr>
          <w:rFonts w:asciiTheme="majorBidi" w:eastAsia="Times New Roman" w:hAnsiTheme="majorBidi" w:cstheme="majorBidi"/>
          <w:kern w:val="0"/>
          <w14:ligatures w14:val="none"/>
        </w:rPr>
        <w:t xml:space="preserve">the </w:t>
      </w:r>
      <w:r w:rsidR="00CD6505" w:rsidRPr="00FD1E7A">
        <w:rPr>
          <w:rFonts w:asciiTheme="majorBidi" w:eastAsia="Times New Roman" w:hAnsiTheme="majorBidi" w:cstheme="majorBidi"/>
          <w:kern w:val="0"/>
          <w14:ligatures w14:val="none"/>
        </w:rPr>
        <w:t xml:space="preserve">livelihood and wellbeing of women. </w:t>
      </w:r>
      <w:r w:rsidR="00B7405E">
        <w:rPr>
          <w:rFonts w:asciiTheme="majorBidi" w:eastAsia="Times New Roman" w:hAnsiTheme="majorBidi" w:cstheme="majorBidi"/>
          <w:kern w:val="0"/>
          <w14:ligatures w14:val="none"/>
        </w:rPr>
        <w:t>It was recommended</w:t>
      </w:r>
      <w:r w:rsidR="00CD6505" w:rsidRPr="00FD1E7A">
        <w:rPr>
          <w:rFonts w:asciiTheme="majorBidi" w:eastAsia="Times New Roman" w:hAnsiTheme="majorBidi" w:cstheme="majorBidi"/>
          <w:kern w:val="0"/>
          <w14:ligatures w14:val="none"/>
        </w:rPr>
        <w:t xml:space="preserve"> </w:t>
      </w:r>
      <w:r w:rsidR="005A1162" w:rsidRPr="00FD1E7A">
        <w:rPr>
          <w:rFonts w:asciiTheme="majorBidi" w:eastAsia="Times New Roman" w:hAnsiTheme="majorBidi" w:cstheme="majorBidi"/>
          <w:kern w:val="0"/>
          <w14:ligatures w14:val="none"/>
        </w:rPr>
        <w:t xml:space="preserve">that </w:t>
      </w:r>
      <w:r w:rsidR="00A82FD4">
        <w:rPr>
          <w:rFonts w:asciiTheme="majorBidi" w:eastAsia="Times New Roman" w:hAnsiTheme="majorBidi" w:cstheme="majorBidi"/>
          <w:kern w:val="0"/>
          <w14:ligatures w14:val="none"/>
        </w:rPr>
        <w:t>women gender policy should be institutionalized in the state by the state Ministry for Women affairs and Social Development to enable women</w:t>
      </w:r>
      <w:r w:rsidR="00B7405E">
        <w:rPr>
          <w:rFonts w:asciiTheme="majorBidi" w:eastAsia="Times New Roman" w:hAnsiTheme="majorBidi" w:cstheme="majorBidi"/>
          <w:kern w:val="0"/>
          <w14:ligatures w14:val="none"/>
        </w:rPr>
        <w:t xml:space="preserve"> understand their</w:t>
      </w:r>
      <w:r w:rsidR="00A82FD4">
        <w:rPr>
          <w:rFonts w:asciiTheme="majorBidi" w:eastAsia="Times New Roman" w:hAnsiTheme="majorBidi" w:cstheme="majorBidi"/>
          <w:kern w:val="0"/>
          <w14:ligatures w14:val="none"/>
        </w:rPr>
        <w:t xml:space="preserve"> </w:t>
      </w:r>
      <w:r w:rsidR="005A1162" w:rsidRPr="00FD1E7A">
        <w:rPr>
          <w:rFonts w:asciiTheme="majorBidi" w:eastAsia="Times New Roman" w:hAnsiTheme="majorBidi" w:cstheme="majorBidi"/>
          <w:kern w:val="0"/>
          <w14:ligatures w14:val="none"/>
        </w:rPr>
        <w:t>right</w:t>
      </w:r>
      <w:r w:rsidR="00B7405E">
        <w:rPr>
          <w:rFonts w:asciiTheme="majorBidi" w:eastAsia="Times New Roman" w:hAnsiTheme="majorBidi" w:cstheme="majorBidi"/>
          <w:kern w:val="0"/>
          <w14:ligatures w14:val="none"/>
        </w:rPr>
        <w:t>s</w:t>
      </w:r>
      <w:r w:rsidR="005A1162" w:rsidRPr="00FD1E7A">
        <w:rPr>
          <w:rFonts w:asciiTheme="majorBidi" w:eastAsia="Times New Roman" w:hAnsiTheme="majorBidi" w:cstheme="majorBidi"/>
          <w:kern w:val="0"/>
          <w14:ligatures w14:val="none"/>
        </w:rPr>
        <w:t xml:space="preserve"> and all aspect of GBV in workplace and </w:t>
      </w:r>
      <w:r w:rsidR="00B7405E">
        <w:rPr>
          <w:rFonts w:asciiTheme="majorBidi" w:eastAsia="Times New Roman" w:hAnsiTheme="majorBidi" w:cstheme="majorBidi"/>
          <w:kern w:val="0"/>
          <w14:ligatures w14:val="none"/>
        </w:rPr>
        <w:t>in Nigeria</w:t>
      </w:r>
      <w:r w:rsidR="00CD6505" w:rsidRPr="00FD1E7A">
        <w:rPr>
          <w:rFonts w:asciiTheme="majorBidi" w:eastAsia="Times New Roman" w:hAnsiTheme="majorBidi" w:cstheme="majorBidi"/>
          <w:kern w:val="0"/>
          <w14:ligatures w14:val="none"/>
        </w:rPr>
        <w:t>.</w:t>
      </w:r>
    </w:p>
    <w:p w14:paraId="2DCF185C" w14:textId="63133B5C" w:rsidR="00A26F85" w:rsidRPr="00FD1E7A" w:rsidRDefault="00A26F85" w:rsidP="00A26F85">
      <w:pPr>
        <w:spacing w:before="100" w:beforeAutospacing="1" w:after="100" w:afterAutospacing="1" w:line="360" w:lineRule="auto"/>
        <w:jc w:val="both"/>
        <w:rPr>
          <w:rFonts w:asciiTheme="majorBidi" w:hAnsiTheme="majorBidi" w:cstheme="majorBidi"/>
          <w:lang w:val="en-GB"/>
        </w:rPr>
      </w:pPr>
      <w:r w:rsidRPr="00FD1E7A">
        <w:rPr>
          <w:rFonts w:asciiTheme="majorBidi" w:hAnsiTheme="majorBidi" w:cstheme="majorBidi"/>
          <w:b/>
          <w:bCs/>
          <w:lang w:val="en-GB"/>
        </w:rPr>
        <w:t>Keywords</w:t>
      </w:r>
      <w:r w:rsidR="00B029C2" w:rsidRPr="00FD1E7A">
        <w:rPr>
          <w:rFonts w:asciiTheme="majorBidi" w:hAnsiTheme="majorBidi" w:cstheme="majorBidi"/>
          <w:b/>
          <w:bCs/>
          <w:lang w:val="en-GB"/>
        </w:rPr>
        <w:t xml:space="preserve">: </w:t>
      </w:r>
      <w:r w:rsidR="00965A52" w:rsidRPr="00FD1E7A">
        <w:rPr>
          <w:rFonts w:asciiTheme="majorBidi" w:hAnsiTheme="majorBidi" w:cstheme="majorBidi"/>
          <w:lang w:val="en-GB"/>
        </w:rPr>
        <w:t>G</w:t>
      </w:r>
      <w:r w:rsidR="00B01EBA">
        <w:rPr>
          <w:rFonts w:asciiTheme="majorBidi" w:hAnsiTheme="majorBidi" w:cstheme="majorBidi"/>
          <w:lang w:val="en-GB"/>
        </w:rPr>
        <w:t>ender</w:t>
      </w:r>
      <w:r w:rsidR="00B7405E">
        <w:rPr>
          <w:rFonts w:asciiTheme="majorBidi" w:hAnsiTheme="majorBidi" w:cstheme="majorBidi"/>
          <w:lang w:val="en-GB"/>
        </w:rPr>
        <w:t>-</w:t>
      </w:r>
      <w:r w:rsidR="00B01EBA">
        <w:rPr>
          <w:rFonts w:asciiTheme="majorBidi" w:hAnsiTheme="majorBidi" w:cstheme="majorBidi"/>
          <w:lang w:val="en-GB"/>
        </w:rPr>
        <w:t>Based Violence (G</w:t>
      </w:r>
      <w:r w:rsidR="005A1162" w:rsidRPr="00FD1E7A">
        <w:rPr>
          <w:rFonts w:asciiTheme="majorBidi" w:hAnsiTheme="majorBidi" w:cstheme="majorBidi"/>
          <w:lang w:val="en-GB"/>
        </w:rPr>
        <w:t>BV</w:t>
      </w:r>
      <w:r w:rsidR="00B01EBA">
        <w:rPr>
          <w:rFonts w:asciiTheme="majorBidi" w:hAnsiTheme="majorBidi" w:cstheme="majorBidi"/>
          <w:lang w:val="en-GB"/>
        </w:rPr>
        <w:t>)</w:t>
      </w:r>
      <w:r w:rsidR="00965A52" w:rsidRPr="00FD1E7A">
        <w:rPr>
          <w:rFonts w:asciiTheme="majorBidi" w:hAnsiTheme="majorBidi" w:cstheme="majorBidi"/>
          <w:lang w:val="en-GB"/>
        </w:rPr>
        <w:t xml:space="preserve">, </w:t>
      </w:r>
      <w:r w:rsidR="00B7405E">
        <w:rPr>
          <w:rFonts w:asciiTheme="majorBidi" w:hAnsiTheme="majorBidi" w:cstheme="majorBidi"/>
          <w:lang w:val="en-GB"/>
        </w:rPr>
        <w:t xml:space="preserve">Women, </w:t>
      </w:r>
      <w:r w:rsidR="00B01EBA">
        <w:rPr>
          <w:rFonts w:asciiTheme="majorBidi" w:hAnsiTheme="majorBidi" w:cstheme="majorBidi"/>
          <w:lang w:val="en-GB"/>
        </w:rPr>
        <w:t xml:space="preserve">Forms of </w:t>
      </w:r>
      <w:r w:rsidR="00541C7A">
        <w:rPr>
          <w:rFonts w:asciiTheme="majorBidi" w:hAnsiTheme="majorBidi" w:cstheme="majorBidi"/>
          <w:lang w:val="en-GB"/>
        </w:rPr>
        <w:t>GBV</w:t>
      </w:r>
      <w:r w:rsidR="00B01EBA">
        <w:rPr>
          <w:rFonts w:asciiTheme="majorBidi" w:hAnsiTheme="majorBidi" w:cstheme="majorBidi"/>
          <w:lang w:val="en-GB"/>
        </w:rPr>
        <w:t xml:space="preserve">, </w:t>
      </w:r>
      <w:r w:rsidR="008A5D6B" w:rsidRPr="00FD1E7A">
        <w:rPr>
          <w:rFonts w:asciiTheme="majorBidi" w:hAnsiTheme="majorBidi" w:cstheme="majorBidi"/>
          <w:lang w:val="en-GB"/>
        </w:rPr>
        <w:t>Risk-factors</w:t>
      </w:r>
      <w:r w:rsidR="00B029C2" w:rsidRPr="00FD1E7A">
        <w:rPr>
          <w:rFonts w:asciiTheme="majorBidi" w:hAnsiTheme="majorBidi" w:cstheme="majorBidi"/>
          <w:lang w:val="en-GB"/>
        </w:rPr>
        <w:t xml:space="preserve">, </w:t>
      </w:r>
      <w:r w:rsidR="008A5D6B" w:rsidRPr="00FD1E7A">
        <w:rPr>
          <w:rFonts w:asciiTheme="majorBidi" w:hAnsiTheme="majorBidi" w:cstheme="majorBidi"/>
          <w:lang w:val="en-GB"/>
        </w:rPr>
        <w:t>Coping-strategies</w:t>
      </w:r>
      <w:r w:rsidR="00965A52" w:rsidRPr="00FD1E7A">
        <w:rPr>
          <w:rFonts w:asciiTheme="majorBidi" w:hAnsiTheme="majorBidi" w:cstheme="majorBidi"/>
          <w:lang w:val="en-GB"/>
        </w:rPr>
        <w:t xml:space="preserve">, </w:t>
      </w:r>
      <w:r w:rsidRPr="00FD1E7A">
        <w:rPr>
          <w:rFonts w:asciiTheme="majorBidi" w:hAnsiTheme="majorBidi" w:cstheme="majorBidi"/>
          <w:lang w:val="en-GB"/>
        </w:rPr>
        <w:t>Well-being status, Livelihood status</w:t>
      </w:r>
      <w:r w:rsidR="001259EC" w:rsidRPr="00FD1E7A">
        <w:rPr>
          <w:rFonts w:asciiTheme="majorBidi" w:hAnsiTheme="majorBidi" w:cstheme="majorBidi"/>
          <w:lang w:val="en-GB"/>
        </w:rPr>
        <w:t xml:space="preserve"> </w:t>
      </w:r>
    </w:p>
    <w:p w14:paraId="1D5C81F0" w14:textId="076C7153" w:rsidR="00B36F0D" w:rsidRPr="000773DE" w:rsidRDefault="0020457B" w:rsidP="000773DE">
      <w:pPr>
        <w:spacing w:after="0" w:line="360" w:lineRule="auto"/>
        <w:jc w:val="both"/>
        <w:rPr>
          <w:rFonts w:asciiTheme="majorBidi" w:eastAsiaTheme="minorHAnsi" w:hAnsiTheme="majorBidi" w:cstheme="majorBidi"/>
          <w:b/>
          <w:kern w:val="0"/>
          <w14:ligatures w14:val="none"/>
        </w:rPr>
      </w:pPr>
      <w:r w:rsidRPr="000773DE">
        <w:rPr>
          <w:rFonts w:asciiTheme="majorBidi" w:eastAsiaTheme="minorHAnsi" w:hAnsiTheme="majorBidi" w:cstheme="majorBidi"/>
          <w:b/>
          <w:kern w:val="0"/>
          <w14:ligatures w14:val="none"/>
        </w:rPr>
        <w:t>INTRODUCTION</w:t>
      </w:r>
      <w:r w:rsidR="00A26F85" w:rsidRPr="000773DE">
        <w:rPr>
          <w:rFonts w:asciiTheme="majorBidi" w:eastAsiaTheme="minorHAnsi" w:hAnsiTheme="majorBidi" w:cstheme="majorBidi"/>
          <w:b/>
          <w:kern w:val="0"/>
          <w14:ligatures w14:val="none"/>
        </w:rPr>
        <w:t xml:space="preserve"> </w:t>
      </w:r>
    </w:p>
    <w:p w14:paraId="25DBBB0D" w14:textId="77777777" w:rsidR="00AE6906" w:rsidRDefault="006164EE" w:rsidP="00EE0379">
      <w:pPr>
        <w:pStyle w:val="NormalWeb"/>
        <w:spacing w:line="360" w:lineRule="auto"/>
        <w:jc w:val="both"/>
        <w:rPr>
          <w:rFonts w:asciiTheme="majorBidi" w:eastAsiaTheme="minorHAnsi" w:hAnsiTheme="majorBidi" w:cstheme="majorBidi"/>
          <w:bCs/>
        </w:rPr>
      </w:pPr>
      <w:r w:rsidRPr="00FD1E7A">
        <w:rPr>
          <w:rFonts w:asciiTheme="majorBidi" w:eastAsiaTheme="minorHAnsi" w:hAnsiTheme="majorBidi" w:cstheme="majorBidi"/>
          <w:bCs/>
        </w:rPr>
        <w:t xml:space="preserve">Agriculture is the backbone of Nigeria’s economy, accounting for a substantial portion of the country’s Gross Domestic Product (GDP) and employing about 70% of the workforce. In Ondo State, women contribute significantly to agricultural activities, including planting, harvesting, processing, and marketing agricultural produce (Okoye &amp; </w:t>
      </w:r>
      <w:proofErr w:type="spellStart"/>
      <w:r w:rsidRPr="00FD1E7A">
        <w:rPr>
          <w:rFonts w:asciiTheme="majorBidi" w:eastAsiaTheme="minorHAnsi" w:hAnsiTheme="majorBidi" w:cstheme="majorBidi"/>
          <w:bCs/>
        </w:rPr>
        <w:t>Adamade</w:t>
      </w:r>
      <w:proofErr w:type="spellEnd"/>
      <w:r w:rsidRPr="00FD1E7A">
        <w:rPr>
          <w:rFonts w:asciiTheme="majorBidi" w:eastAsiaTheme="minorHAnsi" w:hAnsiTheme="majorBidi" w:cstheme="majorBidi"/>
          <w:bCs/>
        </w:rPr>
        <w:t xml:space="preserve">, 2016). Despite </w:t>
      </w:r>
      <w:r w:rsidR="00303A80">
        <w:rPr>
          <w:rFonts w:asciiTheme="majorBidi" w:eastAsiaTheme="minorHAnsi" w:hAnsiTheme="majorBidi" w:cstheme="majorBidi"/>
          <w:bCs/>
        </w:rPr>
        <w:t>women</w:t>
      </w:r>
      <w:r w:rsidRPr="00FD1E7A">
        <w:rPr>
          <w:rFonts w:asciiTheme="majorBidi" w:eastAsiaTheme="minorHAnsi" w:hAnsiTheme="majorBidi" w:cstheme="majorBidi"/>
          <w:bCs/>
        </w:rPr>
        <w:t xml:space="preserve"> </w:t>
      </w:r>
      <w:r w:rsidRPr="00FD1E7A">
        <w:rPr>
          <w:rFonts w:asciiTheme="majorBidi" w:eastAsiaTheme="minorHAnsi" w:hAnsiTheme="majorBidi" w:cstheme="majorBidi"/>
          <w:bCs/>
        </w:rPr>
        <w:lastRenderedPageBreak/>
        <w:t>substantial contributions</w:t>
      </w:r>
      <w:r w:rsidR="00303A80">
        <w:rPr>
          <w:rFonts w:asciiTheme="majorBidi" w:eastAsiaTheme="minorHAnsi" w:hAnsiTheme="majorBidi" w:cstheme="majorBidi"/>
          <w:bCs/>
        </w:rPr>
        <w:t xml:space="preserve"> to the agricultural value chain</w:t>
      </w:r>
      <w:r w:rsidRPr="00FD1E7A">
        <w:rPr>
          <w:rFonts w:asciiTheme="majorBidi" w:eastAsiaTheme="minorHAnsi" w:hAnsiTheme="majorBidi" w:cstheme="majorBidi"/>
          <w:bCs/>
        </w:rPr>
        <w:t xml:space="preserve">, women </w:t>
      </w:r>
      <w:r w:rsidR="00303A80">
        <w:rPr>
          <w:rFonts w:asciiTheme="majorBidi" w:eastAsiaTheme="minorHAnsi" w:hAnsiTheme="majorBidi" w:cstheme="majorBidi"/>
          <w:bCs/>
        </w:rPr>
        <w:t>continue to</w:t>
      </w:r>
      <w:r w:rsidRPr="00FD1E7A">
        <w:rPr>
          <w:rFonts w:asciiTheme="majorBidi" w:eastAsiaTheme="minorHAnsi" w:hAnsiTheme="majorBidi" w:cstheme="majorBidi"/>
          <w:bCs/>
        </w:rPr>
        <w:t xml:space="preserve"> face structural inequalities and social challenges, one of which is </w:t>
      </w:r>
      <w:r w:rsidR="00B36F0D" w:rsidRPr="00FD1E7A">
        <w:rPr>
          <w:rFonts w:asciiTheme="majorBidi" w:eastAsiaTheme="minorHAnsi" w:hAnsiTheme="majorBidi" w:cstheme="majorBidi"/>
          <w:bCs/>
        </w:rPr>
        <w:t>Gender-based violence (GBV)</w:t>
      </w:r>
      <w:r w:rsidRPr="00FD1E7A">
        <w:rPr>
          <w:rFonts w:asciiTheme="majorBidi" w:eastAsiaTheme="minorHAnsi" w:hAnsiTheme="majorBidi" w:cstheme="majorBidi"/>
          <w:bCs/>
        </w:rPr>
        <w:t>.  GBV is</w:t>
      </w:r>
      <w:r w:rsidR="00B36F0D" w:rsidRPr="00FD1E7A">
        <w:rPr>
          <w:rFonts w:asciiTheme="majorBidi" w:eastAsiaTheme="minorHAnsi" w:hAnsiTheme="majorBidi" w:cstheme="majorBidi"/>
          <w:bCs/>
        </w:rPr>
        <w:t xml:space="preserve"> a global issue that inflicts severe physical, psychological, and socio-economic consequences, </w:t>
      </w:r>
      <w:r w:rsidR="00982A20" w:rsidRPr="00FD1E7A">
        <w:rPr>
          <w:rFonts w:asciiTheme="majorBidi" w:eastAsiaTheme="minorHAnsi" w:hAnsiTheme="majorBidi" w:cstheme="majorBidi"/>
          <w:bCs/>
        </w:rPr>
        <w:t>disproportionately</w:t>
      </w:r>
      <w:r w:rsidR="00B36F0D" w:rsidRPr="00FD1E7A">
        <w:rPr>
          <w:rFonts w:asciiTheme="majorBidi" w:eastAsiaTheme="minorHAnsi" w:hAnsiTheme="majorBidi" w:cstheme="majorBidi"/>
          <w:bCs/>
        </w:rPr>
        <w:t xml:space="preserve"> impacting women, particularly in the agricultural sector. It is prevalent in different forms, as evidence has shown that almost </w:t>
      </w:r>
      <w:r w:rsidR="00303A80">
        <w:rPr>
          <w:rFonts w:asciiTheme="majorBidi" w:eastAsiaTheme="minorHAnsi" w:hAnsiTheme="majorBidi" w:cstheme="majorBidi"/>
          <w:bCs/>
        </w:rPr>
        <w:t xml:space="preserve">one </w:t>
      </w:r>
      <w:r w:rsidR="00B36F0D" w:rsidRPr="00FD1E7A">
        <w:rPr>
          <w:rFonts w:asciiTheme="majorBidi" w:eastAsiaTheme="minorHAnsi" w:hAnsiTheme="majorBidi" w:cstheme="majorBidi"/>
          <w:bCs/>
        </w:rPr>
        <w:t xml:space="preserve">in </w:t>
      </w:r>
      <w:r w:rsidR="00AE6906">
        <w:rPr>
          <w:rFonts w:asciiTheme="majorBidi" w:eastAsiaTheme="minorHAnsi" w:hAnsiTheme="majorBidi" w:cstheme="majorBidi"/>
          <w:bCs/>
        </w:rPr>
        <w:t>every three</w:t>
      </w:r>
      <w:r w:rsidR="00B36F0D" w:rsidRPr="00FD1E7A">
        <w:rPr>
          <w:rFonts w:asciiTheme="majorBidi" w:eastAsiaTheme="minorHAnsi" w:hAnsiTheme="majorBidi" w:cstheme="majorBidi"/>
          <w:bCs/>
        </w:rPr>
        <w:t xml:space="preserve"> women globally have experienced one or more forms of </w:t>
      </w:r>
      <w:r w:rsidR="004B52AA" w:rsidRPr="00FD1E7A">
        <w:rPr>
          <w:rFonts w:asciiTheme="majorBidi" w:eastAsiaTheme="minorHAnsi" w:hAnsiTheme="majorBidi" w:cstheme="majorBidi"/>
          <w:bCs/>
        </w:rPr>
        <w:t>Gender</w:t>
      </w:r>
      <w:r w:rsidR="00B36F0D" w:rsidRPr="00FD1E7A">
        <w:rPr>
          <w:rFonts w:asciiTheme="majorBidi" w:eastAsiaTheme="minorHAnsi" w:hAnsiTheme="majorBidi" w:cstheme="majorBidi"/>
          <w:bCs/>
        </w:rPr>
        <w:t>-</w:t>
      </w:r>
      <w:r w:rsidR="004B52AA" w:rsidRPr="00FD1E7A">
        <w:rPr>
          <w:rFonts w:asciiTheme="majorBidi" w:eastAsiaTheme="minorHAnsi" w:hAnsiTheme="majorBidi" w:cstheme="majorBidi"/>
          <w:bCs/>
        </w:rPr>
        <w:t xml:space="preserve">Based Violence </w:t>
      </w:r>
      <w:r w:rsidR="00B36F0D" w:rsidRPr="00FD1E7A">
        <w:rPr>
          <w:rFonts w:asciiTheme="majorBidi" w:eastAsiaTheme="minorHAnsi" w:hAnsiTheme="majorBidi" w:cstheme="majorBidi"/>
          <w:bCs/>
        </w:rPr>
        <w:t>(WHO, 2021). At one point or another, victims of domestic violence are often subjected to one or more forms of abuse, which often affects them negatively (</w:t>
      </w:r>
      <w:proofErr w:type="spellStart"/>
      <w:r w:rsidR="00B36F0D" w:rsidRPr="00FD1E7A">
        <w:rPr>
          <w:rFonts w:asciiTheme="majorBidi" w:eastAsiaTheme="minorHAnsi" w:hAnsiTheme="majorBidi" w:cstheme="majorBidi"/>
          <w:bCs/>
        </w:rPr>
        <w:t>Aihie</w:t>
      </w:r>
      <w:proofErr w:type="spellEnd"/>
      <w:r w:rsidR="00B36F0D" w:rsidRPr="00FD1E7A">
        <w:rPr>
          <w:rFonts w:asciiTheme="majorBidi" w:eastAsiaTheme="minorHAnsi" w:hAnsiTheme="majorBidi" w:cstheme="majorBidi"/>
          <w:bCs/>
        </w:rPr>
        <w:t xml:space="preserve">, 2009). </w:t>
      </w:r>
    </w:p>
    <w:p w14:paraId="2F7E608F" w14:textId="1626E02B" w:rsidR="00BC160B" w:rsidRPr="00FD1E7A" w:rsidRDefault="00B36F0D" w:rsidP="00EE0379">
      <w:pPr>
        <w:pStyle w:val="NormalWeb"/>
        <w:spacing w:line="360" w:lineRule="auto"/>
        <w:jc w:val="both"/>
        <w:rPr>
          <w:rFonts w:asciiTheme="majorBidi" w:eastAsiaTheme="minorHAnsi" w:hAnsiTheme="majorBidi" w:cstheme="majorBidi"/>
          <w:bCs/>
        </w:rPr>
      </w:pPr>
      <w:r w:rsidRPr="00FD1E7A">
        <w:rPr>
          <w:rFonts w:asciiTheme="majorBidi" w:eastAsiaTheme="minorHAnsi" w:hAnsiTheme="majorBidi" w:cstheme="majorBidi"/>
          <w:bCs/>
        </w:rPr>
        <w:t xml:space="preserve">Different forms </w:t>
      </w:r>
      <w:r w:rsidR="006164EE" w:rsidRPr="00FD1E7A">
        <w:rPr>
          <w:rFonts w:asciiTheme="majorBidi" w:eastAsiaTheme="minorHAnsi" w:hAnsiTheme="majorBidi" w:cstheme="majorBidi"/>
          <w:bCs/>
        </w:rPr>
        <w:t xml:space="preserve">and risk factors </w:t>
      </w:r>
      <w:r w:rsidRPr="00FD1E7A">
        <w:rPr>
          <w:rFonts w:asciiTheme="majorBidi" w:eastAsiaTheme="minorHAnsi" w:hAnsiTheme="majorBidi" w:cstheme="majorBidi"/>
          <w:bCs/>
        </w:rPr>
        <w:t>of violence are strongly interconnected and often share root causes (CDC, 2021).</w:t>
      </w:r>
      <w:r w:rsidR="00E85925" w:rsidRPr="00FD1E7A">
        <w:rPr>
          <w:rFonts w:asciiTheme="majorBidi" w:eastAsiaTheme="minorHAnsi" w:hAnsiTheme="majorBidi" w:cstheme="majorBidi"/>
          <w:bCs/>
        </w:rPr>
        <w:t xml:space="preserve"> </w:t>
      </w:r>
      <w:r w:rsidRPr="00FD1E7A">
        <w:rPr>
          <w:rFonts w:asciiTheme="majorBidi" w:eastAsiaTheme="minorHAnsi" w:hAnsiTheme="majorBidi" w:cstheme="majorBidi"/>
          <w:bCs/>
        </w:rPr>
        <w:t xml:space="preserve">Women subjected to </w:t>
      </w:r>
      <w:r w:rsidR="00AE6906">
        <w:rPr>
          <w:rFonts w:asciiTheme="majorBidi" w:eastAsiaTheme="minorHAnsi" w:hAnsiTheme="majorBidi" w:cstheme="majorBidi"/>
          <w:bCs/>
        </w:rPr>
        <w:t xml:space="preserve">any form of </w:t>
      </w:r>
      <w:r w:rsidRPr="00FD1E7A">
        <w:rPr>
          <w:rFonts w:asciiTheme="majorBidi" w:eastAsiaTheme="minorHAnsi" w:hAnsiTheme="majorBidi" w:cstheme="majorBidi"/>
          <w:bCs/>
        </w:rPr>
        <w:t>violence may experience reduced work efficiency, poor health outcomes, and limited access to resources, ultimately impacting the agricultural firm’s overall performance. (</w:t>
      </w:r>
      <w:proofErr w:type="spellStart"/>
      <w:r w:rsidRPr="00FD1E7A">
        <w:rPr>
          <w:rFonts w:asciiTheme="majorBidi" w:eastAsiaTheme="minorHAnsi" w:hAnsiTheme="majorBidi" w:cstheme="majorBidi"/>
          <w:bCs/>
        </w:rPr>
        <w:t>Okoroafo</w:t>
      </w:r>
      <w:proofErr w:type="spellEnd"/>
      <w:r w:rsidRPr="00FD1E7A">
        <w:rPr>
          <w:rFonts w:asciiTheme="majorBidi" w:eastAsiaTheme="minorHAnsi" w:hAnsiTheme="majorBidi" w:cstheme="majorBidi"/>
          <w:bCs/>
        </w:rPr>
        <w:t xml:space="preserve"> &amp; </w:t>
      </w:r>
      <w:proofErr w:type="spellStart"/>
      <w:r w:rsidRPr="00FD1E7A">
        <w:rPr>
          <w:rFonts w:asciiTheme="majorBidi" w:eastAsiaTheme="minorHAnsi" w:hAnsiTheme="majorBidi" w:cstheme="majorBidi"/>
          <w:bCs/>
        </w:rPr>
        <w:t>Amarachukwu</w:t>
      </w:r>
      <w:proofErr w:type="spellEnd"/>
      <w:r w:rsidRPr="00FD1E7A">
        <w:rPr>
          <w:rFonts w:asciiTheme="majorBidi" w:eastAsiaTheme="minorHAnsi" w:hAnsiTheme="majorBidi" w:cstheme="majorBidi"/>
          <w:bCs/>
        </w:rPr>
        <w:t>, 2024)</w:t>
      </w:r>
      <w:r w:rsidR="009E6C94" w:rsidRPr="00FD1E7A">
        <w:rPr>
          <w:rFonts w:asciiTheme="majorBidi" w:eastAsiaTheme="minorHAnsi" w:hAnsiTheme="majorBidi" w:cstheme="majorBidi"/>
          <w:bCs/>
        </w:rPr>
        <w:t>.</w:t>
      </w:r>
      <w:r w:rsidR="00BC160B" w:rsidRPr="00FD1E7A">
        <w:rPr>
          <w:rFonts w:asciiTheme="majorBidi" w:eastAsiaTheme="minorHAnsi" w:hAnsiTheme="majorBidi" w:cstheme="majorBidi"/>
          <w:bCs/>
        </w:rPr>
        <w:t xml:space="preserve"> </w:t>
      </w:r>
      <w:r w:rsidR="00BC160B" w:rsidRPr="00FD1E7A">
        <w:rPr>
          <w:rFonts w:asciiTheme="majorBidi" w:hAnsiTheme="majorBidi" w:cstheme="majorBidi"/>
        </w:rPr>
        <w:t xml:space="preserve">Coping strategies play a vital role in how women respond to experiences of GBV. Studies have shown that women often adopt both formal and informal coping mechanisms such as seeking social support from family and friends, reporting to local authorities, engaging in religious or community networks, and pursuing economic independence to mitigate vulnerability. In contexts where institutional protection is weak, women rely heavily on social networks and personal resilience to manage the emotional and financial consequences of abuse (Ogunyemi, 2021). Examining these coping responses alongside the forms and risk factors of GBV provides a holistic understanding of its impact on women’s livelihood and well-being in agricultural environments. </w:t>
      </w:r>
      <w:r w:rsidRPr="00FD1E7A">
        <w:rPr>
          <w:rFonts w:asciiTheme="majorBidi" w:eastAsiaTheme="minorHAnsi" w:hAnsiTheme="majorBidi" w:cstheme="majorBidi"/>
          <w:bCs/>
        </w:rPr>
        <w:t xml:space="preserve">Several studies have highlighted the detrimental effects of GBV on women’s livelihoods and mental health globally. However, </w:t>
      </w:r>
      <w:r w:rsidR="004C69EE" w:rsidRPr="00FD1E7A">
        <w:rPr>
          <w:rFonts w:asciiTheme="majorBidi" w:eastAsiaTheme="minorHAnsi" w:hAnsiTheme="majorBidi" w:cstheme="majorBidi"/>
          <w:bCs/>
        </w:rPr>
        <w:t xml:space="preserve">there is </w:t>
      </w:r>
      <w:r w:rsidRPr="00FD1E7A">
        <w:rPr>
          <w:rFonts w:asciiTheme="majorBidi" w:eastAsiaTheme="minorHAnsi" w:hAnsiTheme="majorBidi" w:cstheme="majorBidi"/>
          <w:bCs/>
        </w:rPr>
        <w:t xml:space="preserve">paucity of localized research </w:t>
      </w:r>
      <w:r w:rsidR="004C69EE" w:rsidRPr="00FD1E7A">
        <w:rPr>
          <w:rFonts w:asciiTheme="majorBidi" w:eastAsiaTheme="minorHAnsi" w:hAnsiTheme="majorBidi" w:cstheme="majorBidi"/>
          <w:bCs/>
        </w:rPr>
        <w:t xml:space="preserve">that </w:t>
      </w:r>
      <w:r w:rsidRPr="00FD1E7A">
        <w:rPr>
          <w:rFonts w:asciiTheme="majorBidi" w:eastAsiaTheme="minorHAnsi" w:hAnsiTheme="majorBidi" w:cstheme="majorBidi"/>
          <w:bCs/>
        </w:rPr>
        <w:t xml:space="preserve">focuses on the agricultural sector in Ondo State, Nigeria. </w:t>
      </w:r>
      <w:r w:rsidR="004C69EE" w:rsidRPr="00FD1E7A">
        <w:rPr>
          <w:rFonts w:asciiTheme="majorBidi" w:eastAsiaTheme="minorHAnsi" w:hAnsiTheme="majorBidi" w:cstheme="majorBidi"/>
          <w:bCs/>
        </w:rPr>
        <w:t>The u</w:t>
      </w:r>
      <w:r w:rsidRPr="00FD1E7A">
        <w:rPr>
          <w:rFonts w:asciiTheme="majorBidi" w:eastAsiaTheme="minorHAnsi" w:hAnsiTheme="majorBidi" w:cstheme="majorBidi"/>
          <w:bCs/>
        </w:rPr>
        <w:t xml:space="preserve">nderstanding </w:t>
      </w:r>
      <w:r w:rsidR="004C69EE" w:rsidRPr="00FD1E7A">
        <w:rPr>
          <w:rFonts w:asciiTheme="majorBidi" w:eastAsiaTheme="minorHAnsi" w:hAnsiTheme="majorBidi" w:cstheme="majorBidi"/>
          <w:bCs/>
        </w:rPr>
        <w:t xml:space="preserve">of </w:t>
      </w:r>
      <w:r w:rsidRPr="00FD1E7A">
        <w:rPr>
          <w:rFonts w:asciiTheme="majorBidi" w:eastAsiaTheme="minorHAnsi" w:hAnsiTheme="majorBidi" w:cstheme="majorBidi"/>
          <w:bCs/>
        </w:rPr>
        <w:t>the dynamics of GBV in this context is crucial for designing effective interventions that protect women’s rights, enhance productivity, and promote gender equity in the agricultural sector.</w:t>
      </w:r>
      <w:r w:rsidR="00A26E58">
        <w:rPr>
          <w:rFonts w:asciiTheme="majorBidi" w:eastAsiaTheme="minorHAnsi" w:hAnsiTheme="majorBidi" w:cstheme="majorBidi"/>
          <w:bCs/>
        </w:rPr>
        <w:t xml:space="preserve"> The study is limited to women working in the agricultural firm in Ondo State Nigeria. </w:t>
      </w:r>
    </w:p>
    <w:p w14:paraId="270DFF10" w14:textId="0A60AF45" w:rsidR="00BC160B" w:rsidRPr="00FD1E7A" w:rsidRDefault="00A26F85" w:rsidP="00EE0379">
      <w:pPr>
        <w:pStyle w:val="NormalWeb"/>
        <w:spacing w:line="360" w:lineRule="auto"/>
        <w:jc w:val="both"/>
        <w:rPr>
          <w:rFonts w:asciiTheme="majorBidi" w:eastAsiaTheme="minorHAnsi" w:hAnsiTheme="majorBidi" w:cstheme="majorBidi"/>
          <w:b/>
        </w:rPr>
      </w:pPr>
      <w:r w:rsidRPr="00FD1E7A">
        <w:rPr>
          <w:rFonts w:asciiTheme="majorBidi" w:eastAsiaTheme="minorHAnsi" w:hAnsiTheme="majorBidi" w:cstheme="majorBidi"/>
          <w:b/>
        </w:rPr>
        <w:t xml:space="preserve">STATEMENT OF THE PROBLEM </w:t>
      </w:r>
    </w:p>
    <w:p w14:paraId="5232DA4C" w14:textId="77777777" w:rsidR="00040355" w:rsidRDefault="00B36F0D" w:rsidP="00EE0379">
      <w:pPr>
        <w:pStyle w:val="NormalWeb"/>
        <w:spacing w:line="360" w:lineRule="auto"/>
        <w:jc w:val="both"/>
        <w:rPr>
          <w:rFonts w:asciiTheme="majorBidi" w:eastAsiaTheme="minorHAnsi" w:hAnsiTheme="majorBidi" w:cstheme="majorBidi"/>
          <w:bCs/>
        </w:rPr>
      </w:pPr>
      <w:r w:rsidRPr="00FD1E7A">
        <w:rPr>
          <w:rFonts w:asciiTheme="majorBidi" w:eastAsiaTheme="minorHAnsi" w:hAnsiTheme="majorBidi" w:cstheme="majorBidi"/>
          <w:bCs/>
        </w:rPr>
        <w:t>Gender-</w:t>
      </w:r>
      <w:r w:rsidR="004C69EE" w:rsidRPr="00FD1E7A">
        <w:rPr>
          <w:rFonts w:asciiTheme="majorBidi" w:eastAsiaTheme="minorHAnsi" w:hAnsiTheme="majorBidi" w:cstheme="majorBidi"/>
          <w:bCs/>
        </w:rPr>
        <w:t xml:space="preserve">Based Violence </w:t>
      </w:r>
      <w:r w:rsidRPr="00FD1E7A">
        <w:rPr>
          <w:rFonts w:asciiTheme="majorBidi" w:eastAsiaTheme="minorHAnsi" w:hAnsiTheme="majorBidi" w:cstheme="majorBidi"/>
          <w:bCs/>
        </w:rPr>
        <w:t>(GBV) is a pervasive global issue with severe repercussions for women, particularly those engaged in agriculture</w:t>
      </w:r>
      <w:r w:rsidR="007F727A">
        <w:rPr>
          <w:rFonts w:asciiTheme="majorBidi" w:eastAsiaTheme="minorHAnsi" w:hAnsiTheme="majorBidi" w:cstheme="majorBidi"/>
          <w:bCs/>
        </w:rPr>
        <w:t xml:space="preserve"> and across its value chain</w:t>
      </w:r>
      <w:r w:rsidRPr="00FD1E7A">
        <w:rPr>
          <w:rFonts w:asciiTheme="majorBidi" w:eastAsiaTheme="minorHAnsi" w:hAnsiTheme="majorBidi" w:cstheme="majorBidi"/>
          <w:bCs/>
        </w:rPr>
        <w:t xml:space="preserve">. Despite the essential role </w:t>
      </w:r>
      <w:r w:rsidRPr="00FD1E7A">
        <w:rPr>
          <w:rFonts w:asciiTheme="majorBidi" w:eastAsiaTheme="minorHAnsi" w:hAnsiTheme="majorBidi" w:cstheme="majorBidi"/>
          <w:bCs/>
        </w:rPr>
        <w:lastRenderedPageBreak/>
        <w:t>women farmers</w:t>
      </w:r>
      <w:r w:rsidR="007F727A">
        <w:rPr>
          <w:rFonts w:asciiTheme="majorBidi" w:eastAsiaTheme="minorHAnsi" w:hAnsiTheme="majorBidi" w:cstheme="majorBidi"/>
          <w:bCs/>
        </w:rPr>
        <w:t>, processors and marketers</w:t>
      </w:r>
      <w:r w:rsidRPr="00FD1E7A">
        <w:rPr>
          <w:rFonts w:asciiTheme="majorBidi" w:eastAsiaTheme="minorHAnsi" w:hAnsiTheme="majorBidi" w:cstheme="majorBidi"/>
          <w:bCs/>
        </w:rPr>
        <w:t xml:space="preserve"> play in contributing to food security and poverty reduction, they often encounter obstacles like limited access to resources, discrimination, and unequal power dynamics (</w:t>
      </w:r>
      <w:proofErr w:type="spellStart"/>
      <w:r w:rsidRPr="00FD1E7A">
        <w:rPr>
          <w:rFonts w:asciiTheme="majorBidi" w:eastAsiaTheme="minorHAnsi" w:hAnsiTheme="majorBidi" w:cstheme="majorBidi"/>
          <w:bCs/>
        </w:rPr>
        <w:t>Eniola</w:t>
      </w:r>
      <w:proofErr w:type="spellEnd"/>
      <w:r w:rsidRPr="00FD1E7A">
        <w:rPr>
          <w:rFonts w:asciiTheme="majorBidi" w:eastAsiaTheme="minorHAnsi" w:hAnsiTheme="majorBidi" w:cstheme="majorBidi"/>
          <w:bCs/>
        </w:rPr>
        <w:t xml:space="preserve"> &amp; </w:t>
      </w:r>
      <w:proofErr w:type="spellStart"/>
      <w:r w:rsidRPr="00FD1E7A">
        <w:rPr>
          <w:rFonts w:asciiTheme="majorBidi" w:eastAsiaTheme="minorHAnsi" w:hAnsiTheme="majorBidi" w:cstheme="majorBidi"/>
          <w:bCs/>
        </w:rPr>
        <w:t>Aremo</w:t>
      </w:r>
      <w:proofErr w:type="spellEnd"/>
      <w:r w:rsidRPr="00FD1E7A">
        <w:rPr>
          <w:rFonts w:asciiTheme="majorBidi" w:eastAsiaTheme="minorHAnsi" w:hAnsiTheme="majorBidi" w:cstheme="majorBidi"/>
          <w:bCs/>
        </w:rPr>
        <w:t>, 2023). GBV further exacerbates these challenges, inhibiting women's full participation in agricultural</w:t>
      </w:r>
      <w:r w:rsidR="007F727A">
        <w:rPr>
          <w:rFonts w:asciiTheme="majorBidi" w:eastAsiaTheme="minorHAnsi" w:hAnsiTheme="majorBidi" w:cstheme="majorBidi"/>
          <w:bCs/>
        </w:rPr>
        <w:t xml:space="preserve"> value chain</w:t>
      </w:r>
      <w:r w:rsidRPr="00FD1E7A">
        <w:rPr>
          <w:rFonts w:asciiTheme="majorBidi" w:eastAsiaTheme="minorHAnsi" w:hAnsiTheme="majorBidi" w:cstheme="majorBidi"/>
          <w:bCs/>
        </w:rPr>
        <w:t xml:space="preserve">, hindering </w:t>
      </w:r>
      <w:r w:rsidR="00903ED1">
        <w:rPr>
          <w:rFonts w:asciiTheme="majorBidi" w:eastAsiaTheme="minorHAnsi" w:hAnsiTheme="majorBidi" w:cstheme="majorBidi"/>
          <w:bCs/>
        </w:rPr>
        <w:t>full</w:t>
      </w:r>
      <w:r w:rsidRPr="00FD1E7A">
        <w:rPr>
          <w:rFonts w:asciiTheme="majorBidi" w:eastAsiaTheme="minorHAnsi" w:hAnsiTheme="majorBidi" w:cstheme="majorBidi"/>
          <w:bCs/>
        </w:rPr>
        <w:t xml:space="preserve"> access to vital resources, and undermining </w:t>
      </w:r>
      <w:r w:rsidR="00903ED1">
        <w:rPr>
          <w:rFonts w:asciiTheme="majorBidi" w:eastAsiaTheme="minorHAnsi" w:hAnsiTheme="majorBidi" w:cstheme="majorBidi"/>
          <w:bCs/>
        </w:rPr>
        <w:t>women</w:t>
      </w:r>
      <w:r w:rsidRPr="00FD1E7A">
        <w:rPr>
          <w:rFonts w:asciiTheme="majorBidi" w:eastAsiaTheme="minorHAnsi" w:hAnsiTheme="majorBidi" w:cstheme="majorBidi"/>
          <w:bCs/>
        </w:rPr>
        <w:t xml:space="preserve"> economic well-being. Addressing GBV in agricultural firms necessitates a comprehensive approach encompassing legal reforms, awareness campaigns, and improved access to support services, alongside promoting </w:t>
      </w:r>
      <w:r w:rsidR="00FC56D8">
        <w:rPr>
          <w:rFonts w:asciiTheme="majorBidi" w:eastAsiaTheme="minorHAnsi" w:hAnsiTheme="majorBidi" w:cstheme="majorBidi"/>
          <w:bCs/>
        </w:rPr>
        <w:t xml:space="preserve">the passage of gender policy to enhance </w:t>
      </w:r>
      <w:r w:rsidRPr="00FD1E7A">
        <w:rPr>
          <w:rFonts w:asciiTheme="majorBidi" w:eastAsiaTheme="minorHAnsi" w:hAnsiTheme="majorBidi" w:cstheme="majorBidi"/>
          <w:bCs/>
        </w:rPr>
        <w:t>gender equality. Understanding the specific challenges women farmers</w:t>
      </w:r>
      <w:r w:rsidR="00FC56D8">
        <w:rPr>
          <w:rFonts w:asciiTheme="majorBidi" w:eastAsiaTheme="minorHAnsi" w:hAnsiTheme="majorBidi" w:cstheme="majorBidi"/>
          <w:bCs/>
        </w:rPr>
        <w:t>, processors and marketers</w:t>
      </w:r>
      <w:r w:rsidRPr="00FD1E7A">
        <w:rPr>
          <w:rFonts w:asciiTheme="majorBidi" w:eastAsiaTheme="minorHAnsi" w:hAnsiTheme="majorBidi" w:cstheme="majorBidi"/>
          <w:bCs/>
        </w:rPr>
        <w:t xml:space="preserve"> face and the factors contributing to GBV in this context is critical. </w:t>
      </w:r>
      <w:r w:rsidR="00FC56D8">
        <w:rPr>
          <w:rFonts w:asciiTheme="majorBidi" w:eastAsiaTheme="minorHAnsi" w:hAnsiTheme="majorBidi" w:cstheme="majorBidi"/>
          <w:bCs/>
        </w:rPr>
        <w:t>Globally,</w:t>
      </w:r>
      <w:r w:rsidRPr="00FD1E7A">
        <w:rPr>
          <w:rFonts w:asciiTheme="majorBidi" w:eastAsiaTheme="minorHAnsi" w:hAnsiTheme="majorBidi" w:cstheme="majorBidi"/>
          <w:bCs/>
        </w:rPr>
        <w:t xml:space="preserve"> agricultural firms are key drivers of economic growth and food security</w:t>
      </w:r>
      <w:r w:rsidR="00FC56D8">
        <w:rPr>
          <w:rFonts w:asciiTheme="majorBidi" w:eastAsiaTheme="minorHAnsi" w:hAnsiTheme="majorBidi" w:cstheme="majorBidi"/>
          <w:bCs/>
        </w:rPr>
        <w:t xml:space="preserve"> and </w:t>
      </w:r>
      <w:r w:rsidR="00FC56D8" w:rsidRPr="00FD1E7A">
        <w:rPr>
          <w:rFonts w:asciiTheme="majorBidi" w:eastAsiaTheme="minorHAnsi" w:hAnsiTheme="majorBidi" w:cstheme="majorBidi"/>
          <w:bCs/>
        </w:rPr>
        <w:t>Ondo State</w:t>
      </w:r>
      <w:r w:rsidR="00FC56D8">
        <w:rPr>
          <w:rFonts w:asciiTheme="majorBidi" w:eastAsiaTheme="minorHAnsi" w:hAnsiTheme="majorBidi" w:cstheme="majorBidi"/>
          <w:bCs/>
        </w:rPr>
        <w:t>, in South-West Nigeria is not an exemption</w:t>
      </w:r>
      <w:r w:rsidRPr="00FD1E7A">
        <w:rPr>
          <w:rFonts w:asciiTheme="majorBidi" w:eastAsiaTheme="minorHAnsi" w:hAnsiTheme="majorBidi" w:cstheme="majorBidi"/>
          <w:bCs/>
        </w:rPr>
        <w:t xml:space="preserve">, yet the potential of women in this sector remains underutilized due to GBV. Women experiencing violence may withdraw from productive activities, suffer from mental health issues, or encounter barriers to accessing critical resources such as land, credit, and training. This creates a vicious cycle of poverty and dependence, undermining the socio-economic development of the </w:t>
      </w:r>
      <w:r w:rsidR="00FC56D8">
        <w:rPr>
          <w:rFonts w:asciiTheme="majorBidi" w:eastAsiaTheme="minorHAnsi" w:hAnsiTheme="majorBidi" w:cstheme="majorBidi"/>
          <w:bCs/>
        </w:rPr>
        <w:t>women in the agricultural value chain and its region</w:t>
      </w:r>
      <w:r w:rsidRPr="00FD1E7A">
        <w:rPr>
          <w:rFonts w:asciiTheme="majorBidi" w:eastAsiaTheme="minorHAnsi" w:hAnsiTheme="majorBidi" w:cstheme="majorBidi"/>
          <w:bCs/>
        </w:rPr>
        <w:t>.</w:t>
      </w:r>
      <w:r w:rsidR="00BC160B" w:rsidRPr="00FD1E7A">
        <w:rPr>
          <w:rFonts w:asciiTheme="majorBidi" w:eastAsiaTheme="minorHAnsi" w:hAnsiTheme="majorBidi" w:cstheme="majorBidi"/>
          <w:bCs/>
        </w:rPr>
        <w:t xml:space="preserve"> </w:t>
      </w:r>
      <w:r w:rsidRPr="00FD1E7A">
        <w:rPr>
          <w:rFonts w:asciiTheme="majorBidi" w:eastAsiaTheme="minorHAnsi" w:hAnsiTheme="majorBidi" w:cstheme="majorBidi"/>
          <w:bCs/>
        </w:rPr>
        <w:t>Despite the growing</w:t>
      </w:r>
      <w:r w:rsidR="00FC56D8">
        <w:rPr>
          <w:rFonts w:asciiTheme="majorBidi" w:eastAsiaTheme="minorHAnsi" w:hAnsiTheme="majorBidi" w:cstheme="majorBidi"/>
          <w:bCs/>
        </w:rPr>
        <w:t xml:space="preserve"> concern and</w:t>
      </w:r>
      <w:r w:rsidRPr="00FD1E7A">
        <w:rPr>
          <w:rFonts w:asciiTheme="majorBidi" w:eastAsiaTheme="minorHAnsi" w:hAnsiTheme="majorBidi" w:cstheme="majorBidi"/>
          <w:bCs/>
        </w:rPr>
        <w:t xml:space="preserve"> recognition of GBV as a human rights issue, there is limited empirical evidence on its specific impact on the livelihood status and well-being of women in </w:t>
      </w:r>
      <w:r w:rsidR="00FC56D8">
        <w:rPr>
          <w:rFonts w:asciiTheme="majorBidi" w:eastAsiaTheme="minorHAnsi" w:hAnsiTheme="majorBidi" w:cstheme="majorBidi"/>
          <w:bCs/>
        </w:rPr>
        <w:t xml:space="preserve">various areas of </w:t>
      </w:r>
      <w:r w:rsidRPr="00FD1E7A">
        <w:rPr>
          <w:rFonts w:asciiTheme="majorBidi" w:eastAsiaTheme="minorHAnsi" w:hAnsiTheme="majorBidi" w:cstheme="majorBidi"/>
          <w:bCs/>
        </w:rPr>
        <w:t>agricultur</w:t>
      </w:r>
      <w:r w:rsidR="00FC56D8">
        <w:rPr>
          <w:rFonts w:asciiTheme="majorBidi" w:eastAsiaTheme="minorHAnsi" w:hAnsiTheme="majorBidi" w:cstheme="majorBidi"/>
          <w:bCs/>
        </w:rPr>
        <w:t>al value chain</w:t>
      </w:r>
      <w:r w:rsidRPr="00FD1E7A">
        <w:rPr>
          <w:rFonts w:asciiTheme="majorBidi" w:eastAsiaTheme="minorHAnsi" w:hAnsiTheme="majorBidi" w:cstheme="majorBidi"/>
          <w:bCs/>
        </w:rPr>
        <w:t xml:space="preserve"> in Ondo State. Without robust data and analysis, policymakers and stakeholders lack the necessary insights to develop targeted interventions </w:t>
      </w:r>
      <w:r w:rsidR="00040355">
        <w:rPr>
          <w:rFonts w:asciiTheme="majorBidi" w:eastAsiaTheme="minorHAnsi" w:hAnsiTheme="majorBidi" w:cstheme="majorBidi"/>
          <w:bCs/>
        </w:rPr>
        <w:t xml:space="preserve">and policies </w:t>
      </w:r>
      <w:r w:rsidRPr="00FD1E7A">
        <w:rPr>
          <w:rFonts w:asciiTheme="majorBidi" w:eastAsiaTheme="minorHAnsi" w:hAnsiTheme="majorBidi" w:cstheme="majorBidi"/>
          <w:bCs/>
        </w:rPr>
        <w:t xml:space="preserve">that </w:t>
      </w:r>
      <w:r w:rsidR="00040355">
        <w:rPr>
          <w:rFonts w:asciiTheme="majorBidi" w:eastAsiaTheme="minorHAnsi" w:hAnsiTheme="majorBidi" w:cstheme="majorBidi"/>
          <w:bCs/>
        </w:rPr>
        <w:t xml:space="preserve">will </w:t>
      </w:r>
      <w:r w:rsidRPr="00FD1E7A">
        <w:rPr>
          <w:rFonts w:asciiTheme="majorBidi" w:eastAsiaTheme="minorHAnsi" w:hAnsiTheme="majorBidi" w:cstheme="majorBidi"/>
          <w:bCs/>
        </w:rPr>
        <w:t xml:space="preserve">address </w:t>
      </w:r>
      <w:r w:rsidR="00040355" w:rsidRPr="00FD1E7A">
        <w:rPr>
          <w:rFonts w:asciiTheme="majorBidi" w:eastAsiaTheme="minorHAnsi" w:hAnsiTheme="majorBidi" w:cstheme="majorBidi"/>
          <w:bCs/>
        </w:rPr>
        <w:t>this</w:t>
      </w:r>
      <w:r w:rsidR="00040355">
        <w:rPr>
          <w:rFonts w:asciiTheme="majorBidi" w:eastAsiaTheme="minorHAnsi" w:hAnsiTheme="majorBidi" w:cstheme="majorBidi"/>
          <w:bCs/>
        </w:rPr>
        <w:t xml:space="preserve"> obvious gap</w:t>
      </w:r>
      <w:r w:rsidRPr="00FD1E7A">
        <w:rPr>
          <w:rFonts w:asciiTheme="majorBidi" w:eastAsiaTheme="minorHAnsi" w:hAnsiTheme="majorBidi" w:cstheme="majorBidi"/>
          <w:bCs/>
        </w:rPr>
        <w:t xml:space="preserve">. This study aims to fill this gap by exploring the influence of </w:t>
      </w:r>
      <w:r w:rsidR="00040355" w:rsidRPr="00FD1E7A">
        <w:rPr>
          <w:rFonts w:asciiTheme="majorBidi" w:eastAsiaTheme="minorHAnsi" w:hAnsiTheme="majorBidi" w:cstheme="majorBidi"/>
          <w:bCs/>
        </w:rPr>
        <w:t>Gender</w:t>
      </w:r>
      <w:r w:rsidRPr="00FD1E7A">
        <w:rPr>
          <w:rFonts w:asciiTheme="majorBidi" w:eastAsiaTheme="minorHAnsi" w:hAnsiTheme="majorBidi" w:cstheme="majorBidi"/>
          <w:bCs/>
        </w:rPr>
        <w:t>-</w:t>
      </w:r>
      <w:r w:rsidR="00040355" w:rsidRPr="00FD1E7A">
        <w:rPr>
          <w:rFonts w:asciiTheme="majorBidi" w:eastAsiaTheme="minorHAnsi" w:hAnsiTheme="majorBidi" w:cstheme="majorBidi"/>
          <w:bCs/>
        </w:rPr>
        <w:t xml:space="preserve">Based Violence </w:t>
      </w:r>
      <w:r w:rsidRPr="00FD1E7A">
        <w:rPr>
          <w:rFonts w:asciiTheme="majorBidi" w:eastAsiaTheme="minorHAnsi" w:hAnsiTheme="majorBidi" w:cstheme="majorBidi"/>
          <w:bCs/>
        </w:rPr>
        <w:t xml:space="preserve">(GBV) on livelihood status and well-being of women in agricultural firms </w:t>
      </w:r>
      <w:r w:rsidR="00040355">
        <w:rPr>
          <w:rFonts w:asciiTheme="majorBidi" w:eastAsiaTheme="minorHAnsi" w:hAnsiTheme="majorBidi" w:cstheme="majorBidi"/>
          <w:bCs/>
        </w:rPr>
        <w:t xml:space="preserve">in Ondo State. The study will therefore proffer answers to the following research questions: </w:t>
      </w:r>
    </w:p>
    <w:p w14:paraId="6502FB3C" w14:textId="0EBA0D45" w:rsidR="00BC160B" w:rsidRDefault="00040355" w:rsidP="00482AB7">
      <w:pPr>
        <w:pStyle w:val="NormalWeb"/>
        <w:numPr>
          <w:ilvl w:val="0"/>
          <w:numId w:val="2"/>
        </w:numPr>
        <w:spacing w:line="360" w:lineRule="auto"/>
        <w:jc w:val="both"/>
        <w:rPr>
          <w:rFonts w:asciiTheme="majorBidi" w:eastAsiaTheme="minorHAnsi" w:hAnsiTheme="majorBidi" w:cstheme="majorBidi"/>
          <w:bCs/>
        </w:rPr>
      </w:pPr>
      <w:r>
        <w:rPr>
          <w:rFonts w:asciiTheme="majorBidi" w:eastAsiaTheme="minorHAnsi" w:hAnsiTheme="majorBidi" w:cstheme="majorBidi"/>
          <w:bCs/>
        </w:rPr>
        <w:t>What are the socio-economic characteristics of women in Agricultural firms in Ondo State</w:t>
      </w:r>
      <w:r w:rsidR="00442062">
        <w:rPr>
          <w:rFonts w:asciiTheme="majorBidi" w:eastAsiaTheme="minorHAnsi" w:hAnsiTheme="majorBidi" w:cstheme="majorBidi"/>
          <w:bCs/>
        </w:rPr>
        <w:t>?</w:t>
      </w:r>
      <w:r>
        <w:rPr>
          <w:rFonts w:asciiTheme="majorBidi" w:eastAsiaTheme="minorHAnsi" w:hAnsiTheme="majorBidi" w:cstheme="majorBidi"/>
          <w:bCs/>
        </w:rPr>
        <w:t xml:space="preserve"> </w:t>
      </w:r>
    </w:p>
    <w:p w14:paraId="1EEDDC33" w14:textId="7E448AAC" w:rsidR="00040355" w:rsidRPr="00040355" w:rsidRDefault="00040355" w:rsidP="00482AB7">
      <w:pPr>
        <w:pStyle w:val="NormalWeb"/>
        <w:numPr>
          <w:ilvl w:val="0"/>
          <w:numId w:val="2"/>
        </w:numPr>
        <w:spacing w:line="360" w:lineRule="auto"/>
        <w:jc w:val="both"/>
        <w:rPr>
          <w:rFonts w:asciiTheme="majorBidi" w:eastAsiaTheme="minorHAnsi" w:hAnsiTheme="majorBidi" w:cstheme="majorBidi"/>
        </w:rPr>
      </w:pPr>
      <w:r w:rsidRPr="00040355">
        <w:rPr>
          <w:rFonts w:asciiTheme="majorBidi" w:eastAsiaTheme="minorHAnsi" w:hAnsiTheme="majorBidi" w:cstheme="majorBidi"/>
        </w:rPr>
        <w:t xml:space="preserve">What are the perceived common forms of </w:t>
      </w:r>
      <w:r w:rsidR="00442062" w:rsidRPr="00442062">
        <w:rPr>
          <w:rFonts w:eastAsia="Times New Roman"/>
        </w:rPr>
        <w:t>Gender-Based Violence</w:t>
      </w:r>
      <w:r>
        <w:rPr>
          <w:rFonts w:asciiTheme="majorBidi" w:eastAsiaTheme="minorHAnsi" w:hAnsiTheme="majorBidi" w:cstheme="majorBidi"/>
        </w:rPr>
        <w:t xml:space="preserve"> among </w:t>
      </w:r>
      <w:r w:rsidRPr="00040355">
        <w:rPr>
          <w:rFonts w:asciiTheme="majorBidi" w:eastAsiaTheme="minorHAnsi" w:hAnsiTheme="majorBidi" w:cstheme="majorBidi"/>
        </w:rPr>
        <w:t>women in Agricultural firms in Ondo State</w:t>
      </w:r>
      <w:r w:rsidR="00442062">
        <w:rPr>
          <w:rFonts w:asciiTheme="majorBidi" w:eastAsiaTheme="minorHAnsi" w:hAnsiTheme="majorBidi" w:cstheme="majorBidi"/>
        </w:rPr>
        <w:t>?</w:t>
      </w:r>
      <w:r w:rsidRPr="00040355">
        <w:rPr>
          <w:rFonts w:asciiTheme="majorBidi" w:eastAsiaTheme="minorHAnsi" w:hAnsiTheme="majorBidi" w:cstheme="majorBidi"/>
        </w:rPr>
        <w:t xml:space="preserve"> </w:t>
      </w:r>
    </w:p>
    <w:p w14:paraId="0FB452A1" w14:textId="6B2E724F" w:rsidR="00040355" w:rsidRDefault="00040355" w:rsidP="00482AB7">
      <w:pPr>
        <w:pStyle w:val="NormalWeb"/>
        <w:numPr>
          <w:ilvl w:val="0"/>
          <w:numId w:val="2"/>
        </w:numPr>
        <w:spacing w:line="360" w:lineRule="auto"/>
        <w:jc w:val="both"/>
        <w:rPr>
          <w:rFonts w:asciiTheme="majorBidi" w:eastAsiaTheme="minorHAnsi" w:hAnsiTheme="majorBidi" w:cstheme="majorBidi"/>
          <w:bCs/>
        </w:rPr>
      </w:pPr>
      <w:r w:rsidRPr="00040355">
        <w:rPr>
          <w:rFonts w:asciiTheme="majorBidi" w:eastAsiaTheme="minorHAnsi" w:hAnsiTheme="majorBidi" w:cstheme="majorBidi"/>
        </w:rPr>
        <w:t xml:space="preserve">What are the perceived risk factors of </w:t>
      </w:r>
      <w:r w:rsidR="00442062" w:rsidRPr="00442062">
        <w:rPr>
          <w:rFonts w:eastAsia="Times New Roman"/>
        </w:rPr>
        <w:t>Gender-Based Violence</w:t>
      </w:r>
      <w:r w:rsidRPr="00040355">
        <w:rPr>
          <w:rFonts w:asciiTheme="majorBidi" w:eastAsiaTheme="minorHAnsi" w:hAnsiTheme="majorBidi" w:cstheme="majorBidi"/>
        </w:rPr>
        <w:t xml:space="preserve"> among women </w:t>
      </w:r>
      <w:r>
        <w:rPr>
          <w:rFonts w:asciiTheme="majorBidi" w:eastAsiaTheme="minorHAnsi" w:hAnsiTheme="majorBidi" w:cstheme="majorBidi"/>
          <w:bCs/>
        </w:rPr>
        <w:t>in Agricultural firms in Ondo State</w:t>
      </w:r>
      <w:r w:rsidR="00442062">
        <w:rPr>
          <w:rFonts w:asciiTheme="majorBidi" w:eastAsiaTheme="minorHAnsi" w:hAnsiTheme="majorBidi" w:cstheme="majorBidi"/>
          <w:bCs/>
        </w:rPr>
        <w:t>?</w:t>
      </w:r>
      <w:r>
        <w:rPr>
          <w:rFonts w:asciiTheme="majorBidi" w:eastAsiaTheme="minorHAnsi" w:hAnsiTheme="majorBidi" w:cstheme="majorBidi"/>
          <w:bCs/>
        </w:rPr>
        <w:t xml:space="preserve"> </w:t>
      </w:r>
      <w:r w:rsidR="00442062">
        <w:rPr>
          <w:rFonts w:asciiTheme="majorBidi" w:eastAsiaTheme="minorHAnsi" w:hAnsiTheme="majorBidi" w:cstheme="majorBidi"/>
          <w:bCs/>
        </w:rPr>
        <w:t>and</w:t>
      </w:r>
    </w:p>
    <w:p w14:paraId="738C2427" w14:textId="27BE26BA" w:rsidR="00442062" w:rsidRDefault="00442062" w:rsidP="00482AB7">
      <w:pPr>
        <w:pStyle w:val="ListParagraph"/>
        <w:numPr>
          <w:ilvl w:val="0"/>
          <w:numId w:val="2"/>
        </w:numPr>
        <w:spacing w:after="0" w:line="360" w:lineRule="auto"/>
        <w:jc w:val="both"/>
        <w:rPr>
          <w:rFonts w:ascii="Times New Roman" w:eastAsia="Times New Roman" w:hAnsi="Times New Roman" w:cs="Times New Roman"/>
          <w:kern w:val="0"/>
          <w14:ligatures w14:val="none"/>
        </w:rPr>
      </w:pPr>
      <w:r w:rsidRPr="00442062">
        <w:rPr>
          <w:rFonts w:ascii="Times New Roman" w:eastAsia="Times New Roman" w:hAnsi="Times New Roman" w:cs="Times New Roman"/>
          <w:kern w:val="0"/>
          <w14:ligatures w14:val="none"/>
        </w:rPr>
        <w:t>What are the coping strategies adopted by women who are victims of Gender-Based Violence</w:t>
      </w:r>
      <w:r>
        <w:rPr>
          <w:rFonts w:ascii="Times New Roman" w:eastAsia="Times New Roman" w:hAnsi="Times New Roman" w:cs="Times New Roman"/>
          <w:kern w:val="0"/>
          <w14:ligatures w14:val="none"/>
        </w:rPr>
        <w:t>?</w:t>
      </w:r>
    </w:p>
    <w:p w14:paraId="44E06877" w14:textId="7DC013A7" w:rsidR="00442062" w:rsidRDefault="00442062" w:rsidP="00442062">
      <w:pPr>
        <w:spacing w:after="0" w:line="480" w:lineRule="auto"/>
        <w:jc w:val="both"/>
        <w:rPr>
          <w:rFonts w:ascii="Times New Roman" w:eastAsia="Times New Roman" w:hAnsi="Times New Roman" w:cs="Times New Roman"/>
          <w:b/>
          <w:bCs/>
          <w:kern w:val="0"/>
          <w14:ligatures w14:val="none"/>
        </w:rPr>
      </w:pPr>
      <w:r w:rsidRPr="00442062">
        <w:rPr>
          <w:rFonts w:ascii="Times New Roman" w:eastAsia="Times New Roman" w:hAnsi="Times New Roman" w:cs="Times New Roman"/>
          <w:b/>
          <w:bCs/>
          <w:kern w:val="0"/>
          <w14:ligatures w14:val="none"/>
        </w:rPr>
        <w:lastRenderedPageBreak/>
        <w:t>Objectives of the Study</w:t>
      </w:r>
    </w:p>
    <w:p w14:paraId="28770D8D" w14:textId="47CA9DA8" w:rsidR="00442062" w:rsidRPr="00442062" w:rsidRDefault="00442062" w:rsidP="00442062">
      <w:pPr>
        <w:spacing w:after="0" w:line="480" w:lineRule="auto"/>
        <w:jc w:val="both"/>
        <w:rPr>
          <w:rFonts w:ascii="Times New Roman" w:eastAsia="Times New Roman" w:hAnsi="Times New Roman" w:cs="Times New Roman"/>
          <w:kern w:val="0"/>
          <w14:ligatures w14:val="none"/>
        </w:rPr>
      </w:pPr>
      <w:r w:rsidRPr="00442062">
        <w:rPr>
          <w:rFonts w:ascii="Times New Roman" w:eastAsia="Times New Roman" w:hAnsi="Times New Roman" w:cs="Times New Roman"/>
          <w:kern w:val="0"/>
          <w14:ligatures w14:val="none"/>
        </w:rPr>
        <w:t>The following are the objectives of the study:</w:t>
      </w:r>
      <w:r w:rsidR="008C555A">
        <w:rPr>
          <w:rFonts w:ascii="Times New Roman" w:eastAsia="Times New Roman" w:hAnsi="Times New Roman" w:cs="Times New Roman"/>
          <w:kern w:val="0"/>
          <w14:ligatures w14:val="none"/>
        </w:rPr>
        <w:t xml:space="preserve"> </w:t>
      </w:r>
    </w:p>
    <w:p w14:paraId="18BC8937" w14:textId="23DA031E" w:rsidR="00442062" w:rsidRDefault="00442062" w:rsidP="00482AB7">
      <w:pPr>
        <w:pStyle w:val="NormalWeb"/>
        <w:numPr>
          <w:ilvl w:val="0"/>
          <w:numId w:val="3"/>
        </w:numPr>
        <w:spacing w:line="360" w:lineRule="auto"/>
        <w:jc w:val="both"/>
        <w:rPr>
          <w:rFonts w:asciiTheme="majorBidi" w:eastAsiaTheme="minorHAnsi" w:hAnsiTheme="majorBidi" w:cstheme="majorBidi"/>
          <w:bCs/>
        </w:rPr>
      </w:pPr>
      <w:r>
        <w:rPr>
          <w:rFonts w:asciiTheme="majorBidi" w:eastAsiaTheme="minorHAnsi" w:hAnsiTheme="majorBidi" w:cstheme="majorBidi"/>
          <w:bCs/>
        </w:rPr>
        <w:t>Describe the socio-economic characteristics of women in Agricultural firms in Ondo State;</w:t>
      </w:r>
    </w:p>
    <w:p w14:paraId="13E8C811" w14:textId="468C3F43" w:rsidR="00442062" w:rsidRPr="00040355" w:rsidRDefault="00442062" w:rsidP="00482AB7">
      <w:pPr>
        <w:pStyle w:val="NormalWeb"/>
        <w:numPr>
          <w:ilvl w:val="0"/>
          <w:numId w:val="3"/>
        </w:numPr>
        <w:spacing w:line="360" w:lineRule="auto"/>
        <w:jc w:val="both"/>
        <w:rPr>
          <w:rFonts w:asciiTheme="majorBidi" w:eastAsiaTheme="minorHAnsi" w:hAnsiTheme="majorBidi" w:cstheme="majorBidi"/>
        </w:rPr>
      </w:pPr>
      <w:r>
        <w:rPr>
          <w:rFonts w:asciiTheme="majorBidi" w:eastAsiaTheme="minorHAnsi" w:hAnsiTheme="majorBidi" w:cstheme="majorBidi"/>
        </w:rPr>
        <w:t>Determine</w:t>
      </w:r>
      <w:r w:rsidRPr="00040355">
        <w:rPr>
          <w:rFonts w:asciiTheme="majorBidi" w:eastAsiaTheme="minorHAnsi" w:hAnsiTheme="majorBidi" w:cstheme="majorBidi"/>
        </w:rPr>
        <w:t xml:space="preserve"> the perceived common forms of </w:t>
      </w:r>
      <w:r w:rsidRPr="00442062">
        <w:rPr>
          <w:rFonts w:eastAsia="Times New Roman"/>
        </w:rPr>
        <w:t>Gender-Based Violence</w:t>
      </w:r>
      <w:r>
        <w:rPr>
          <w:rFonts w:asciiTheme="majorBidi" w:eastAsiaTheme="minorHAnsi" w:hAnsiTheme="majorBidi" w:cstheme="majorBidi"/>
        </w:rPr>
        <w:t xml:space="preserve"> among </w:t>
      </w:r>
      <w:r w:rsidRPr="00040355">
        <w:rPr>
          <w:rFonts w:asciiTheme="majorBidi" w:eastAsiaTheme="minorHAnsi" w:hAnsiTheme="majorBidi" w:cstheme="majorBidi"/>
        </w:rPr>
        <w:t>women in Agricultural firms in Ondo State</w:t>
      </w:r>
      <w:r>
        <w:rPr>
          <w:rFonts w:asciiTheme="majorBidi" w:eastAsiaTheme="minorHAnsi" w:hAnsiTheme="majorBidi" w:cstheme="majorBidi"/>
        </w:rPr>
        <w:t>?</w:t>
      </w:r>
      <w:r w:rsidRPr="00040355">
        <w:rPr>
          <w:rFonts w:asciiTheme="majorBidi" w:eastAsiaTheme="minorHAnsi" w:hAnsiTheme="majorBidi" w:cstheme="majorBidi"/>
        </w:rPr>
        <w:t xml:space="preserve"> </w:t>
      </w:r>
    </w:p>
    <w:p w14:paraId="644FF9C8" w14:textId="6F984DA7" w:rsidR="00442062" w:rsidRDefault="00442062" w:rsidP="00482AB7">
      <w:pPr>
        <w:pStyle w:val="NormalWeb"/>
        <w:numPr>
          <w:ilvl w:val="0"/>
          <w:numId w:val="3"/>
        </w:numPr>
        <w:spacing w:line="360" w:lineRule="auto"/>
        <w:jc w:val="both"/>
        <w:rPr>
          <w:rFonts w:asciiTheme="majorBidi" w:eastAsiaTheme="minorHAnsi" w:hAnsiTheme="majorBidi" w:cstheme="majorBidi"/>
          <w:bCs/>
        </w:rPr>
      </w:pPr>
      <w:r>
        <w:rPr>
          <w:rFonts w:asciiTheme="majorBidi" w:eastAsiaTheme="minorHAnsi" w:hAnsiTheme="majorBidi" w:cstheme="majorBidi"/>
        </w:rPr>
        <w:t xml:space="preserve">Determine </w:t>
      </w:r>
      <w:r w:rsidRPr="00040355">
        <w:rPr>
          <w:rFonts w:asciiTheme="majorBidi" w:eastAsiaTheme="minorHAnsi" w:hAnsiTheme="majorBidi" w:cstheme="majorBidi"/>
        </w:rPr>
        <w:t xml:space="preserve">the perceived risk factors of </w:t>
      </w:r>
      <w:r w:rsidRPr="00442062">
        <w:rPr>
          <w:rFonts w:eastAsia="Times New Roman"/>
        </w:rPr>
        <w:t>Gender-Based Violence</w:t>
      </w:r>
      <w:r w:rsidRPr="00040355">
        <w:rPr>
          <w:rFonts w:asciiTheme="majorBidi" w:eastAsiaTheme="minorHAnsi" w:hAnsiTheme="majorBidi" w:cstheme="majorBidi"/>
        </w:rPr>
        <w:t xml:space="preserve"> among women </w:t>
      </w:r>
      <w:r>
        <w:rPr>
          <w:rFonts w:asciiTheme="majorBidi" w:eastAsiaTheme="minorHAnsi" w:hAnsiTheme="majorBidi" w:cstheme="majorBidi"/>
          <w:bCs/>
        </w:rPr>
        <w:t>in Agricultural firms in Ondo State? and</w:t>
      </w:r>
    </w:p>
    <w:p w14:paraId="6B2E640A" w14:textId="4256A11B" w:rsidR="00442062" w:rsidRPr="00E6739B" w:rsidRDefault="00442062" w:rsidP="00482AB7">
      <w:pPr>
        <w:pStyle w:val="ListParagraph"/>
        <w:numPr>
          <w:ilvl w:val="0"/>
          <w:numId w:val="3"/>
        </w:num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Identify</w:t>
      </w:r>
      <w:r w:rsidRPr="00442062">
        <w:rPr>
          <w:rFonts w:ascii="Times New Roman" w:eastAsia="Times New Roman" w:hAnsi="Times New Roman" w:cs="Times New Roman"/>
          <w:kern w:val="0"/>
          <w14:ligatures w14:val="none"/>
        </w:rPr>
        <w:t xml:space="preserve"> the coping strategies adopted by women who are victims of Gender-Based Violence</w:t>
      </w:r>
      <w:r>
        <w:rPr>
          <w:rFonts w:ascii="Times New Roman" w:eastAsia="Times New Roman" w:hAnsi="Times New Roman" w:cs="Times New Roman"/>
          <w:kern w:val="0"/>
          <w14:ligatures w14:val="none"/>
        </w:rPr>
        <w:t>?</w:t>
      </w:r>
    </w:p>
    <w:p w14:paraId="5564B20B" w14:textId="49A7AACE" w:rsidR="00E6739B" w:rsidRDefault="00E72F5F" w:rsidP="00E6739B">
      <w:pPr>
        <w:spacing w:after="0" w:line="360" w:lineRule="auto"/>
        <w:jc w:val="both"/>
        <w:rPr>
          <w:rFonts w:ascii="Times New Roman" w:eastAsia="Times New Roman" w:hAnsi="Times New Roman" w:cs="Times New Roman"/>
          <w:b/>
          <w:bCs/>
          <w:kern w:val="0"/>
          <w14:ligatures w14:val="none"/>
        </w:rPr>
      </w:pPr>
      <w:r w:rsidRPr="00E6739B">
        <w:rPr>
          <w:rFonts w:ascii="Times New Roman" w:eastAsia="Times New Roman" w:hAnsi="Times New Roman" w:cs="Times New Roman"/>
          <w:b/>
          <w:bCs/>
          <w:kern w:val="0"/>
          <w14:ligatures w14:val="none"/>
        </w:rPr>
        <w:t>Hypothesis</w:t>
      </w:r>
      <w:r>
        <w:rPr>
          <w:rFonts w:ascii="Times New Roman" w:eastAsia="Times New Roman" w:hAnsi="Times New Roman" w:cs="Times New Roman"/>
          <w:b/>
          <w:bCs/>
          <w:kern w:val="0"/>
          <w14:ligatures w14:val="none"/>
        </w:rPr>
        <w:t xml:space="preserve"> </w:t>
      </w:r>
    </w:p>
    <w:p w14:paraId="78B8550B" w14:textId="77777777" w:rsidR="008C555A" w:rsidRDefault="00E6739B" w:rsidP="00AD0705">
      <w:pPr>
        <w:spacing w:after="0" w:line="360" w:lineRule="auto"/>
        <w:jc w:val="both"/>
        <w:rPr>
          <w:rFonts w:ascii="Times New Roman" w:eastAsia="Times New Roman" w:hAnsi="Times New Roman" w:cs="Times New Roman"/>
          <w:kern w:val="0"/>
          <w14:ligatures w14:val="none"/>
        </w:rPr>
      </w:pPr>
      <w:r w:rsidRPr="00E6739B">
        <w:rPr>
          <w:rFonts w:ascii="Times New Roman" w:eastAsia="Times New Roman" w:hAnsi="Times New Roman" w:cs="Times New Roman"/>
          <w:kern w:val="0"/>
          <w14:ligatures w14:val="none"/>
        </w:rPr>
        <w:t xml:space="preserve">The hypothesis of the study was stated in </w:t>
      </w:r>
      <w:r w:rsidR="008C555A">
        <w:rPr>
          <w:rFonts w:ascii="Times New Roman" w:eastAsia="Times New Roman" w:hAnsi="Times New Roman" w:cs="Times New Roman"/>
          <w:kern w:val="0"/>
          <w14:ligatures w14:val="none"/>
        </w:rPr>
        <w:t xml:space="preserve">the </w:t>
      </w:r>
      <w:r w:rsidRPr="00E6739B">
        <w:rPr>
          <w:rFonts w:ascii="Times New Roman" w:eastAsia="Times New Roman" w:hAnsi="Times New Roman" w:cs="Times New Roman"/>
          <w:kern w:val="0"/>
          <w14:ligatures w14:val="none"/>
        </w:rPr>
        <w:t xml:space="preserve">null form; </w:t>
      </w:r>
    </w:p>
    <w:p w14:paraId="7FB35347" w14:textId="0A749BF7" w:rsidR="00E6739B" w:rsidRDefault="00E6739B" w:rsidP="00AD0705">
      <w:pPr>
        <w:spacing w:after="0" w:line="360" w:lineRule="auto"/>
        <w:jc w:val="both"/>
        <w:rPr>
          <w:rFonts w:ascii="Times New Roman" w:eastAsia="Times New Roman" w:hAnsi="Times New Roman" w:cs="Times New Roman"/>
          <w:kern w:val="0"/>
          <w14:ligatures w14:val="none"/>
        </w:rPr>
      </w:pPr>
      <w:r w:rsidRPr="008C555A">
        <w:rPr>
          <w:rFonts w:ascii="Times New Roman" w:eastAsia="Times New Roman" w:hAnsi="Times New Roman" w:cs="Times New Roman"/>
          <w:b/>
          <w:bCs/>
          <w:kern w:val="0"/>
          <w14:ligatures w14:val="none"/>
        </w:rPr>
        <w:t>Ho</w:t>
      </w:r>
      <w:r w:rsidRPr="008C555A">
        <w:rPr>
          <w:rFonts w:ascii="Times New Roman" w:eastAsia="Times New Roman" w:hAnsi="Times New Roman" w:cs="Times New Roman"/>
          <w:b/>
          <w:bCs/>
          <w:kern w:val="0"/>
          <w:vertAlign w:val="subscript"/>
          <w14:ligatures w14:val="none"/>
        </w:rPr>
        <w:t>1</w:t>
      </w:r>
      <w:r w:rsidR="00AD0705" w:rsidRPr="008C555A">
        <w:rPr>
          <w:rFonts w:ascii="Times New Roman" w:eastAsia="Times New Roman" w:hAnsi="Times New Roman" w:cs="Times New Roman"/>
          <w:b/>
          <w:bCs/>
          <w:kern w:val="0"/>
          <w14:ligatures w14:val="none"/>
        </w:rPr>
        <w:t>;</w:t>
      </w:r>
      <w:r w:rsidR="00AD0705">
        <w:rPr>
          <w:rFonts w:ascii="Times New Roman" w:eastAsia="Times New Roman" w:hAnsi="Times New Roman" w:cs="Times New Roman"/>
          <w:kern w:val="0"/>
          <w14:ligatures w14:val="none"/>
        </w:rPr>
        <w:t xml:space="preserve"> </w:t>
      </w:r>
      <w:r w:rsidR="008C555A" w:rsidRPr="00E6739B">
        <w:rPr>
          <w:rFonts w:ascii="Times New Roman" w:eastAsia="Times New Roman" w:hAnsi="Times New Roman" w:cs="Times New Roman"/>
          <w:kern w:val="0"/>
          <w14:ligatures w14:val="none"/>
        </w:rPr>
        <w:t xml:space="preserve">There </w:t>
      </w:r>
      <w:r w:rsidRPr="00E6739B">
        <w:rPr>
          <w:rFonts w:ascii="Times New Roman" w:eastAsia="Times New Roman" w:hAnsi="Times New Roman" w:cs="Times New Roman"/>
          <w:kern w:val="0"/>
          <w14:ligatures w14:val="none"/>
        </w:rPr>
        <w:t>is no significance relationship between income of women and cop</w:t>
      </w:r>
      <w:r w:rsidR="008C555A">
        <w:rPr>
          <w:rFonts w:ascii="Times New Roman" w:eastAsia="Times New Roman" w:hAnsi="Times New Roman" w:cs="Times New Roman"/>
          <w:kern w:val="0"/>
          <w14:ligatures w14:val="none"/>
        </w:rPr>
        <w:t>ing</w:t>
      </w:r>
      <w:r w:rsidRPr="00E6739B">
        <w:rPr>
          <w:rFonts w:ascii="Times New Roman" w:eastAsia="Times New Roman" w:hAnsi="Times New Roman" w:cs="Times New Roman"/>
          <w:kern w:val="0"/>
          <w14:ligatures w14:val="none"/>
        </w:rPr>
        <w:t xml:space="preserve"> strategies of </w:t>
      </w:r>
      <w:r w:rsidR="008C555A">
        <w:rPr>
          <w:rFonts w:ascii="Times New Roman" w:eastAsia="Times New Roman" w:hAnsi="Times New Roman" w:cs="Times New Roman"/>
          <w:kern w:val="0"/>
          <w14:ligatures w14:val="none"/>
        </w:rPr>
        <w:tab/>
      </w:r>
      <w:r w:rsidRPr="00E6739B">
        <w:rPr>
          <w:rFonts w:ascii="Times New Roman" w:eastAsia="Times New Roman" w:hAnsi="Times New Roman" w:cs="Times New Roman"/>
          <w:kern w:val="0"/>
          <w14:ligatures w14:val="none"/>
        </w:rPr>
        <w:t>G</w:t>
      </w:r>
      <w:r w:rsidR="008C555A">
        <w:rPr>
          <w:rFonts w:ascii="Times New Roman" w:eastAsia="Times New Roman" w:hAnsi="Times New Roman" w:cs="Times New Roman"/>
          <w:kern w:val="0"/>
          <w14:ligatures w14:val="none"/>
        </w:rPr>
        <w:t xml:space="preserve">ender </w:t>
      </w:r>
      <w:r w:rsidRPr="00E6739B">
        <w:rPr>
          <w:rFonts w:ascii="Times New Roman" w:eastAsia="Times New Roman" w:hAnsi="Times New Roman" w:cs="Times New Roman"/>
          <w:kern w:val="0"/>
          <w14:ligatures w14:val="none"/>
        </w:rPr>
        <w:t>B</w:t>
      </w:r>
      <w:r w:rsidR="008C555A">
        <w:rPr>
          <w:rFonts w:ascii="Times New Roman" w:eastAsia="Times New Roman" w:hAnsi="Times New Roman" w:cs="Times New Roman"/>
          <w:kern w:val="0"/>
          <w14:ligatures w14:val="none"/>
        </w:rPr>
        <w:t xml:space="preserve">ased </w:t>
      </w:r>
      <w:r w:rsidRPr="00E6739B">
        <w:rPr>
          <w:rFonts w:ascii="Times New Roman" w:eastAsia="Times New Roman" w:hAnsi="Times New Roman" w:cs="Times New Roman"/>
          <w:kern w:val="0"/>
          <w14:ligatures w14:val="none"/>
        </w:rPr>
        <w:t>V</w:t>
      </w:r>
      <w:r w:rsidR="008C555A">
        <w:rPr>
          <w:rFonts w:ascii="Times New Roman" w:eastAsia="Times New Roman" w:hAnsi="Times New Roman" w:cs="Times New Roman"/>
          <w:kern w:val="0"/>
          <w14:ligatures w14:val="none"/>
        </w:rPr>
        <w:t>iolence (GBV)</w:t>
      </w:r>
    </w:p>
    <w:p w14:paraId="16A6B28A" w14:textId="36900635" w:rsidR="00BC160B" w:rsidRPr="00FD1E7A" w:rsidRDefault="004C69EE" w:rsidP="008C555A">
      <w:pPr>
        <w:pStyle w:val="NormalWeb"/>
        <w:tabs>
          <w:tab w:val="right" w:pos="9360"/>
        </w:tabs>
        <w:jc w:val="both"/>
        <w:rPr>
          <w:rFonts w:asciiTheme="majorBidi" w:eastAsiaTheme="minorHAnsi" w:hAnsiTheme="majorBidi" w:cstheme="majorBidi"/>
          <w:b/>
        </w:rPr>
      </w:pPr>
      <w:r w:rsidRPr="00FD1E7A">
        <w:rPr>
          <w:rFonts w:asciiTheme="majorBidi" w:eastAsiaTheme="minorHAnsi" w:hAnsiTheme="majorBidi" w:cstheme="majorBidi"/>
          <w:b/>
        </w:rPr>
        <w:t xml:space="preserve">RESEARCH </w:t>
      </w:r>
      <w:r w:rsidR="0036510C" w:rsidRPr="00FD1E7A">
        <w:rPr>
          <w:rFonts w:asciiTheme="majorBidi" w:eastAsiaTheme="minorHAnsi" w:hAnsiTheme="majorBidi" w:cstheme="majorBidi"/>
          <w:b/>
        </w:rPr>
        <w:t>METHODOLOGY</w:t>
      </w:r>
    </w:p>
    <w:p w14:paraId="106E93C0" w14:textId="77777777" w:rsidR="00E6739B" w:rsidRDefault="00405CB5" w:rsidP="00580D1B">
      <w:pPr>
        <w:pStyle w:val="NormalWeb"/>
        <w:spacing w:line="360" w:lineRule="auto"/>
        <w:jc w:val="both"/>
        <w:rPr>
          <w:rFonts w:asciiTheme="majorBidi" w:eastAsia="Calibri" w:hAnsiTheme="majorBidi" w:cstheme="majorBidi"/>
          <w:bCs/>
        </w:rPr>
      </w:pPr>
      <w:r w:rsidRPr="00FD1E7A">
        <w:rPr>
          <w:rFonts w:asciiTheme="majorBidi" w:eastAsia="Calibri" w:hAnsiTheme="majorBidi" w:cstheme="majorBidi"/>
          <w:bCs/>
        </w:rPr>
        <w:t xml:space="preserve">A two-stage sampling procedure </w:t>
      </w:r>
      <w:r w:rsidR="001259EC" w:rsidRPr="00FD1E7A">
        <w:rPr>
          <w:rFonts w:asciiTheme="majorBidi" w:eastAsia="Calibri" w:hAnsiTheme="majorBidi" w:cstheme="majorBidi"/>
          <w:bCs/>
        </w:rPr>
        <w:t>was</w:t>
      </w:r>
      <w:r w:rsidRPr="00FD1E7A">
        <w:rPr>
          <w:rFonts w:asciiTheme="majorBidi" w:eastAsia="Calibri" w:hAnsiTheme="majorBidi" w:cstheme="majorBidi"/>
          <w:bCs/>
        </w:rPr>
        <w:t xml:space="preserve"> used to select </w:t>
      </w:r>
      <w:r w:rsidR="008B6656">
        <w:rPr>
          <w:rFonts w:asciiTheme="majorBidi" w:eastAsia="Calibri" w:hAnsiTheme="majorBidi" w:cstheme="majorBidi"/>
          <w:bCs/>
        </w:rPr>
        <w:t>women</w:t>
      </w:r>
      <w:r w:rsidRPr="00FD1E7A">
        <w:rPr>
          <w:rFonts w:asciiTheme="majorBidi" w:eastAsia="Calibri" w:hAnsiTheme="majorBidi" w:cstheme="majorBidi"/>
          <w:bCs/>
        </w:rPr>
        <w:t xml:space="preserve"> for the study. </w:t>
      </w:r>
      <w:r w:rsidR="008D0537" w:rsidRPr="00FD1E7A">
        <w:rPr>
          <w:rFonts w:asciiTheme="majorBidi" w:eastAsia="Calibri" w:hAnsiTheme="majorBidi" w:cstheme="majorBidi"/>
          <w:bCs/>
        </w:rPr>
        <w:t xml:space="preserve">In </w:t>
      </w:r>
      <w:r w:rsidRPr="00FD1E7A">
        <w:rPr>
          <w:rFonts w:asciiTheme="majorBidi" w:eastAsia="Calibri" w:hAnsiTheme="majorBidi" w:cstheme="majorBidi"/>
          <w:bCs/>
        </w:rPr>
        <w:t>stage</w:t>
      </w:r>
      <w:r w:rsidR="008D0537" w:rsidRPr="00FD1E7A">
        <w:rPr>
          <w:rFonts w:asciiTheme="majorBidi" w:eastAsia="Calibri" w:hAnsiTheme="majorBidi" w:cstheme="majorBidi"/>
          <w:bCs/>
        </w:rPr>
        <w:t xml:space="preserve"> one</w:t>
      </w:r>
      <w:r w:rsidR="001259EC" w:rsidRPr="00FD1E7A">
        <w:rPr>
          <w:rFonts w:asciiTheme="majorBidi" w:eastAsia="Calibri" w:hAnsiTheme="majorBidi" w:cstheme="majorBidi"/>
          <w:bCs/>
        </w:rPr>
        <w:t>;</w:t>
      </w:r>
      <w:r w:rsidRPr="00FD1E7A">
        <w:rPr>
          <w:rFonts w:asciiTheme="majorBidi" w:eastAsia="Calibri" w:hAnsiTheme="majorBidi" w:cstheme="majorBidi"/>
          <w:bCs/>
        </w:rPr>
        <w:t xml:space="preserve"> purposive selection of five </w:t>
      </w:r>
      <w:r w:rsidR="008B6656">
        <w:rPr>
          <w:rFonts w:asciiTheme="majorBidi" w:eastAsia="Calibri" w:hAnsiTheme="majorBidi" w:cstheme="majorBidi"/>
          <w:bCs/>
        </w:rPr>
        <w:t xml:space="preserve">Agricultural </w:t>
      </w:r>
      <w:r w:rsidRPr="00FD1E7A">
        <w:rPr>
          <w:rFonts w:asciiTheme="majorBidi" w:eastAsia="Calibri" w:hAnsiTheme="majorBidi" w:cstheme="majorBidi"/>
          <w:bCs/>
        </w:rPr>
        <w:t>firms each from Akure South and Akure North</w:t>
      </w:r>
      <w:r w:rsidR="004C69EE" w:rsidRPr="00FD1E7A">
        <w:rPr>
          <w:rFonts w:asciiTheme="majorBidi" w:eastAsia="Calibri" w:hAnsiTheme="majorBidi" w:cstheme="majorBidi"/>
          <w:bCs/>
        </w:rPr>
        <w:t xml:space="preserve"> Local Government Areas</w:t>
      </w:r>
      <w:r w:rsidRPr="00FD1E7A">
        <w:rPr>
          <w:rFonts w:asciiTheme="majorBidi" w:eastAsia="Calibri" w:hAnsiTheme="majorBidi" w:cstheme="majorBidi"/>
          <w:bCs/>
        </w:rPr>
        <w:t xml:space="preserve">. These firms </w:t>
      </w:r>
      <w:r w:rsidR="004C69EE" w:rsidRPr="00FD1E7A">
        <w:rPr>
          <w:rFonts w:asciiTheme="majorBidi" w:eastAsia="Calibri" w:hAnsiTheme="majorBidi" w:cstheme="majorBidi"/>
          <w:bCs/>
        </w:rPr>
        <w:t>include</w:t>
      </w:r>
      <w:r w:rsidRPr="00FD1E7A">
        <w:rPr>
          <w:rFonts w:asciiTheme="majorBidi" w:eastAsia="Calibri" w:hAnsiTheme="majorBidi" w:cstheme="majorBidi"/>
          <w:bCs/>
        </w:rPr>
        <w:t xml:space="preserve">; Akure South (First </w:t>
      </w:r>
      <w:proofErr w:type="spellStart"/>
      <w:r w:rsidRPr="00FD1E7A">
        <w:rPr>
          <w:rFonts w:asciiTheme="majorBidi" w:eastAsia="Calibri" w:hAnsiTheme="majorBidi" w:cstheme="majorBidi"/>
          <w:bCs/>
        </w:rPr>
        <w:t>Aquagrico</w:t>
      </w:r>
      <w:proofErr w:type="spellEnd"/>
      <w:r w:rsidRPr="00FD1E7A">
        <w:rPr>
          <w:rFonts w:asciiTheme="majorBidi" w:eastAsia="Calibri" w:hAnsiTheme="majorBidi" w:cstheme="majorBidi"/>
          <w:bCs/>
        </w:rPr>
        <w:t xml:space="preserve"> Farms, Bernard Mercy Cooperative, </w:t>
      </w:r>
      <w:proofErr w:type="spellStart"/>
      <w:r w:rsidRPr="00FD1E7A">
        <w:rPr>
          <w:rFonts w:asciiTheme="majorBidi" w:eastAsia="Calibri" w:hAnsiTheme="majorBidi" w:cstheme="majorBidi"/>
          <w:bCs/>
        </w:rPr>
        <w:t>Boadesam</w:t>
      </w:r>
      <w:proofErr w:type="spellEnd"/>
      <w:r w:rsidRPr="00FD1E7A">
        <w:rPr>
          <w:rFonts w:asciiTheme="majorBidi" w:eastAsia="Calibri" w:hAnsiTheme="majorBidi" w:cstheme="majorBidi"/>
          <w:bCs/>
        </w:rPr>
        <w:t xml:space="preserve"> Farm, </w:t>
      </w:r>
      <w:proofErr w:type="spellStart"/>
      <w:r w:rsidRPr="00FD1E7A">
        <w:rPr>
          <w:rFonts w:asciiTheme="majorBidi" w:eastAsia="Calibri" w:hAnsiTheme="majorBidi" w:cstheme="majorBidi"/>
          <w:bCs/>
        </w:rPr>
        <w:t>Halembims</w:t>
      </w:r>
      <w:proofErr w:type="spellEnd"/>
      <w:r w:rsidRPr="00FD1E7A">
        <w:rPr>
          <w:rFonts w:asciiTheme="majorBidi" w:eastAsia="Calibri" w:hAnsiTheme="majorBidi" w:cstheme="majorBidi"/>
          <w:bCs/>
        </w:rPr>
        <w:t xml:space="preserve"> Global Farms Enterprises and Ondo State Agric</w:t>
      </w:r>
      <w:r w:rsidR="008B6656">
        <w:rPr>
          <w:rFonts w:asciiTheme="majorBidi" w:eastAsia="Calibri" w:hAnsiTheme="majorBidi" w:cstheme="majorBidi"/>
          <w:bCs/>
        </w:rPr>
        <w:t>ultural</w:t>
      </w:r>
      <w:r w:rsidRPr="00FD1E7A">
        <w:rPr>
          <w:rFonts w:asciiTheme="majorBidi" w:eastAsia="Calibri" w:hAnsiTheme="majorBidi" w:cstheme="majorBidi"/>
          <w:bCs/>
        </w:rPr>
        <w:t xml:space="preserve"> Inputs Supply Agency), Akure North (Arix Global Farm Ltd, </w:t>
      </w:r>
      <w:proofErr w:type="spellStart"/>
      <w:r w:rsidRPr="00FD1E7A">
        <w:rPr>
          <w:rFonts w:asciiTheme="majorBidi" w:eastAsia="Calibri" w:hAnsiTheme="majorBidi" w:cstheme="majorBidi"/>
          <w:bCs/>
        </w:rPr>
        <w:t>Calebroz</w:t>
      </w:r>
      <w:proofErr w:type="spellEnd"/>
      <w:r w:rsidRPr="00FD1E7A">
        <w:rPr>
          <w:rFonts w:asciiTheme="majorBidi" w:eastAsia="Calibri" w:hAnsiTheme="majorBidi" w:cstheme="majorBidi"/>
          <w:bCs/>
        </w:rPr>
        <w:t xml:space="preserve"> Farm, Regenerative Ecological and Agri Projects, Sakola Integrated Services and </w:t>
      </w:r>
      <w:proofErr w:type="spellStart"/>
      <w:r w:rsidRPr="00FD1E7A">
        <w:rPr>
          <w:rFonts w:asciiTheme="majorBidi" w:eastAsia="Calibri" w:hAnsiTheme="majorBidi" w:cstheme="majorBidi"/>
          <w:bCs/>
        </w:rPr>
        <w:t>Tomyem</w:t>
      </w:r>
      <w:proofErr w:type="spellEnd"/>
      <w:r w:rsidRPr="00FD1E7A">
        <w:rPr>
          <w:rFonts w:asciiTheme="majorBidi" w:eastAsia="Calibri" w:hAnsiTheme="majorBidi" w:cstheme="majorBidi"/>
          <w:bCs/>
        </w:rPr>
        <w:t xml:space="preserve"> Fresh Farms) because of their prominence</w:t>
      </w:r>
      <w:r w:rsidR="004C69EE" w:rsidRPr="00FD1E7A">
        <w:rPr>
          <w:rFonts w:asciiTheme="majorBidi" w:eastAsia="Calibri" w:hAnsiTheme="majorBidi" w:cstheme="majorBidi"/>
          <w:bCs/>
        </w:rPr>
        <w:t xml:space="preserve"> and area</w:t>
      </w:r>
      <w:r w:rsidR="008B6656">
        <w:rPr>
          <w:rFonts w:asciiTheme="majorBidi" w:eastAsia="Calibri" w:hAnsiTheme="majorBidi" w:cstheme="majorBidi"/>
          <w:bCs/>
        </w:rPr>
        <w:t>s</w:t>
      </w:r>
      <w:r w:rsidR="004C69EE" w:rsidRPr="00FD1E7A">
        <w:rPr>
          <w:rFonts w:asciiTheme="majorBidi" w:eastAsia="Calibri" w:hAnsiTheme="majorBidi" w:cstheme="majorBidi"/>
          <w:bCs/>
        </w:rPr>
        <w:t xml:space="preserve"> of specialization</w:t>
      </w:r>
      <w:r w:rsidRPr="00FD1E7A">
        <w:rPr>
          <w:rFonts w:asciiTheme="majorBidi" w:eastAsia="Calibri" w:hAnsiTheme="majorBidi" w:cstheme="majorBidi"/>
          <w:bCs/>
        </w:rPr>
        <w:t xml:space="preserve"> in </w:t>
      </w:r>
      <w:r w:rsidR="008B6656">
        <w:rPr>
          <w:rFonts w:asciiTheme="majorBidi" w:eastAsia="Calibri" w:hAnsiTheme="majorBidi" w:cstheme="majorBidi"/>
          <w:bCs/>
        </w:rPr>
        <w:t xml:space="preserve">the </w:t>
      </w:r>
      <w:r w:rsidRPr="00FD1E7A">
        <w:rPr>
          <w:rFonts w:asciiTheme="majorBidi" w:eastAsia="Calibri" w:hAnsiTheme="majorBidi" w:cstheme="majorBidi"/>
          <w:bCs/>
        </w:rPr>
        <w:t xml:space="preserve">agricultural </w:t>
      </w:r>
      <w:r w:rsidR="008B6656">
        <w:rPr>
          <w:rFonts w:asciiTheme="majorBidi" w:eastAsia="Calibri" w:hAnsiTheme="majorBidi" w:cstheme="majorBidi"/>
          <w:bCs/>
        </w:rPr>
        <w:t>value chain</w:t>
      </w:r>
      <w:r w:rsidRPr="00FD1E7A">
        <w:rPr>
          <w:rFonts w:asciiTheme="majorBidi" w:eastAsia="Calibri" w:hAnsiTheme="majorBidi" w:cstheme="majorBidi"/>
          <w:bCs/>
        </w:rPr>
        <w:t>.</w:t>
      </w:r>
      <w:r w:rsidR="008D0537" w:rsidRPr="00FD1E7A">
        <w:rPr>
          <w:rFonts w:asciiTheme="majorBidi" w:eastAsia="Calibri" w:hAnsiTheme="majorBidi" w:cstheme="majorBidi"/>
          <w:bCs/>
        </w:rPr>
        <w:t xml:space="preserve"> </w:t>
      </w:r>
    </w:p>
    <w:p w14:paraId="040B5EED" w14:textId="4E4AF0ED" w:rsidR="004F181A" w:rsidRDefault="008D0537" w:rsidP="002F53AB">
      <w:pPr>
        <w:pStyle w:val="NormalWeb"/>
        <w:spacing w:line="360" w:lineRule="auto"/>
        <w:jc w:val="both"/>
        <w:rPr>
          <w:rFonts w:asciiTheme="majorBidi" w:eastAsia="Calibri" w:hAnsiTheme="majorBidi" w:cstheme="majorBidi"/>
          <w:bCs/>
        </w:rPr>
      </w:pPr>
      <w:r w:rsidRPr="00FD1E7A">
        <w:rPr>
          <w:rFonts w:asciiTheme="majorBidi" w:eastAsia="Calibri" w:hAnsiTheme="majorBidi" w:cstheme="majorBidi"/>
          <w:bCs/>
        </w:rPr>
        <w:t>In s</w:t>
      </w:r>
      <w:r w:rsidR="00405CB5" w:rsidRPr="00FD1E7A">
        <w:rPr>
          <w:rFonts w:asciiTheme="majorBidi" w:eastAsia="Calibri" w:hAnsiTheme="majorBidi" w:cstheme="majorBidi"/>
          <w:bCs/>
        </w:rPr>
        <w:t xml:space="preserve">tage </w:t>
      </w:r>
      <w:r w:rsidR="008B6656">
        <w:rPr>
          <w:rFonts w:asciiTheme="majorBidi" w:eastAsia="Calibri" w:hAnsiTheme="majorBidi" w:cstheme="majorBidi"/>
          <w:bCs/>
        </w:rPr>
        <w:t>two,</w:t>
      </w:r>
      <w:r w:rsidR="001259EC" w:rsidRPr="00FD1E7A">
        <w:rPr>
          <w:rFonts w:asciiTheme="majorBidi" w:eastAsia="Calibri" w:hAnsiTheme="majorBidi" w:cstheme="majorBidi"/>
          <w:bCs/>
        </w:rPr>
        <w:t xml:space="preserve"> </w:t>
      </w:r>
      <w:r w:rsidR="00580D1B" w:rsidRPr="00FD1E7A">
        <w:rPr>
          <w:rFonts w:asciiTheme="majorBidi" w:eastAsia="Calibri" w:hAnsiTheme="majorBidi" w:cstheme="majorBidi"/>
          <w:bCs/>
        </w:rPr>
        <w:t xml:space="preserve">a </w:t>
      </w:r>
      <w:r w:rsidR="008B6656">
        <w:rPr>
          <w:rFonts w:asciiTheme="majorBidi" w:eastAsia="Calibri" w:hAnsiTheme="majorBidi" w:cstheme="majorBidi"/>
          <w:bCs/>
        </w:rPr>
        <w:t xml:space="preserve">simple </w:t>
      </w:r>
      <w:r w:rsidR="00405CB5" w:rsidRPr="00FD1E7A">
        <w:rPr>
          <w:rFonts w:asciiTheme="majorBidi" w:eastAsia="Calibri" w:hAnsiTheme="majorBidi" w:cstheme="majorBidi"/>
          <w:bCs/>
        </w:rPr>
        <w:t xml:space="preserve">random </w:t>
      </w:r>
      <w:r w:rsidR="008B6656">
        <w:rPr>
          <w:rFonts w:asciiTheme="majorBidi" w:eastAsia="Calibri" w:hAnsiTheme="majorBidi" w:cstheme="majorBidi"/>
          <w:bCs/>
        </w:rPr>
        <w:t xml:space="preserve">technique was used in the </w:t>
      </w:r>
      <w:r w:rsidR="00405CB5" w:rsidRPr="00FD1E7A">
        <w:rPr>
          <w:rFonts w:asciiTheme="majorBidi" w:eastAsia="Calibri" w:hAnsiTheme="majorBidi" w:cstheme="majorBidi"/>
          <w:bCs/>
        </w:rPr>
        <w:t xml:space="preserve">selection </w:t>
      </w:r>
      <w:r w:rsidR="002177ED" w:rsidRPr="00FD1E7A">
        <w:rPr>
          <w:rFonts w:asciiTheme="majorBidi" w:eastAsia="Calibri" w:hAnsiTheme="majorBidi" w:cstheme="majorBidi"/>
          <w:bCs/>
        </w:rPr>
        <w:t xml:space="preserve">of </w:t>
      </w:r>
      <w:r w:rsidR="002177ED">
        <w:rPr>
          <w:rFonts w:asciiTheme="majorBidi" w:eastAsia="Calibri" w:hAnsiTheme="majorBidi" w:cstheme="majorBidi"/>
          <w:bCs/>
        </w:rPr>
        <w:t xml:space="preserve">respondents. </w:t>
      </w:r>
      <w:r w:rsidR="002F53AB">
        <w:rPr>
          <w:rFonts w:asciiTheme="majorBidi" w:eastAsia="Calibri" w:hAnsiTheme="majorBidi" w:cstheme="majorBidi"/>
          <w:bCs/>
        </w:rPr>
        <w:t>A</w:t>
      </w:r>
      <w:r w:rsidR="00405CB5" w:rsidRPr="00FD1E7A">
        <w:rPr>
          <w:rFonts w:asciiTheme="majorBidi" w:eastAsia="Calibri" w:hAnsiTheme="majorBidi" w:cstheme="majorBidi"/>
          <w:bCs/>
        </w:rPr>
        <w:t xml:space="preserve"> total of </w:t>
      </w:r>
      <w:r w:rsidR="008B6656">
        <w:rPr>
          <w:rFonts w:asciiTheme="majorBidi" w:eastAsia="Calibri" w:hAnsiTheme="majorBidi" w:cstheme="majorBidi"/>
          <w:bCs/>
        </w:rPr>
        <w:t>one hundred and</w:t>
      </w:r>
      <w:r w:rsidR="002177ED">
        <w:rPr>
          <w:rFonts w:asciiTheme="majorBidi" w:eastAsia="Calibri" w:hAnsiTheme="majorBidi" w:cstheme="majorBidi"/>
          <w:bCs/>
        </w:rPr>
        <w:t xml:space="preserve"> twenty questionnaire was administered to </w:t>
      </w:r>
      <w:r w:rsidR="00405CB5" w:rsidRPr="00FD1E7A">
        <w:rPr>
          <w:rFonts w:asciiTheme="majorBidi" w:eastAsia="Calibri" w:hAnsiTheme="majorBidi" w:cstheme="majorBidi"/>
          <w:bCs/>
        </w:rPr>
        <w:t>respondents</w:t>
      </w:r>
      <w:r w:rsidR="002F53AB">
        <w:rPr>
          <w:rFonts w:asciiTheme="majorBidi" w:eastAsia="Calibri" w:hAnsiTheme="majorBidi" w:cstheme="majorBidi"/>
          <w:bCs/>
        </w:rPr>
        <w:t xml:space="preserve"> </w:t>
      </w:r>
      <w:r w:rsidR="002177ED">
        <w:rPr>
          <w:rFonts w:asciiTheme="majorBidi" w:eastAsia="Calibri" w:hAnsiTheme="majorBidi" w:cstheme="majorBidi"/>
          <w:bCs/>
        </w:rPr>
        <w:t xml:space="preserve">using a </w:t>
      </w:r>
      <w:r w:rsidR="00580D1B" w:rsidRPr="00FD1E7A">
        <w:rPr>
          <w:rFonts w:asciiTheme="majorBidi" w:eastAsia="Calibri" w:hAnsiTheme="majorBidi" w:cstheme="majorBidi"/>
          <w:bCs/>
        </w:rPr>
        <w:t xml:space="preserve">well-structured </w:t>
      </w:r>
      <w:r w:rsidR="00E6739B">
        <w:rPr>
          <w:rFonts w:asciiTheme="majorBidi" w:eastAsia="Calibri" w:hAnsiTheme="majorBidi" w:cstheme="majorBidi"/>
          <w:bCs/>
        </w:rPr>
        <w:t xml:space="preserve">paper </w:t>
      </w:r>
      <w:r w:rsidR="00580D1B" w:rsidRPr="00FD1E7A">
        <w:rPr>
          <w:rFonts w:asciiTheme="majorBidi" w:eastAsia="Calibri" w:hAnsiTheme="majorBidi" w:cstheme="majorBidi"/>
          <w:bCs/>
        </w:rPr>
        <w:t>questionnaire</w:t>
      </w:r>
      <w:r w:rsidR="002177ED">
        <w:rPr>
          <w:rFonts w:asciiTheme="majorBidi" w:eastAsia="Calibri" w:hAnsiTheme="majorBidi" w:cstheme="majorBidi"/>
          <w:bCs/>
        </w:rPr>
        <w:t xml:space="preserve"> and a total of </w:t>
      </w:r>
      <w:r w:rsidR="008B6656">
        <w:rPr>
          <w:rFonts w:asciiTheme="majorBidi" w:eastAsia="Calibri" w:hAnsiTheme="majorBidi" w:cstheme="majorBidi"/>
          <w:bCs/>
        </w:rPr>
        <w:t>hundred and ten questionnaire</w:t>
      </w:r>
      <w:r w:rsidR="00E6739B">
        <w:rPr>
          <w:rFonts w:asciiTheme="majorBidi" w:eastAsia="Calibri" w:hAnsiTheme="majorBidi" w:cstheme="majorBidi"/>
          <w:bCs/>
        </w:rPr>
        <w:t>s</w:t>
      </w:r>
      <w:r w:rsidR="008B6656">
        <w:rPr>
          <w:rFonts w:asciiTheme="majorBidi" w:eastAsia="Calibri" w:hAnsiTheme="majorBidi" w:cstheme="majorBidi"/>
          <w:bCs/>
        </w:rPr>
        <w:t xml:space="preserve"> </w:t>
      </w:r>
      <w:r w:rsidR="00482AB7">
        <w:rPr>
          <w:rFonts w:asciiTheme="majorBidi" w:eastAsia="Calibri" w:hAnsiTheme="majorBidi" w:cstheme="majorBidi"/>
          <w:bCs/>
        </w:rPr>
        <w:t>were retrieved after data collection from t</w:t>
      </w:r>
      <w:r w:rsidR="008B6656">
        <w:rPr>
          <w:rFonts w:asciiTheme="majorBidi" w:eastAsia="Calibri" w:hAnsiTheme="majorBidi" w:cstheme="majorBidi"/>
          <w:bCs/>
        </w:rPr>
        <w:t>he</w:t>
      </w:r>
      <w:r w:rsidR="00E6739B">
        <w:rPr>
          <w:rFonts w:asciiTheme="majorBidi" w:eastAsia="Calibri" w:hAnsiTheme="majorBidi" w:cstheme="majorBidi"/>
          <w:bCs/>
        </w:rPr>
        <w:t xml:space="preserve"> </w:t>
      </w:r>
      <w:r w:rsidR="008B6656">
        <w:rPr>
          <w:rFonts w:asciiTheme="majorBidi" w:eastAsia="Calibri" w:hAnsiTheme="majorBidi" w:cstheme="majorBidi"/>
          <w:bCs/>
        </w:rPr>
        <w:t>respondents</w:t>
      </w:r>
      <w:r w:rsidR="00482AB7">
        <w:rPr>
          <w:rFonts w:asciiTheme="majorBidi" w:eastAsia="Calibri" w:hAnsiTheme="majorBidi" w:cstheme="majorBidi"/>
          <w:bCs/>
        </w:rPr>
        <w:t xml:space="preserve">. </w:t>
      </w:r>
      <w:r w:rsidR="002177ED">
        <w:rPr>
          <w:rFonts w:asciiTheme="majorBidi" w:eastAsia="Calibri" w:hAnsiTheme="majorBidi" w:cstheme="majorBidi"/>
          <w:bCs/>
        </w:rPr>
        <w:t>C</w:t>
      </w:r>
      <w:r w:rsidR="004F181A">
        <w:rPr>
          <w:rFonts w:asciiTheme="majorBidi" w:eastAsia="Calibri" w:hAnsiTheme="majorBidi" w:cstheme="majorBidi"/>
          <w:bCs/>
        </w:rPr>
        <w:t>onsent</w:t>
      </w:r>
      <w:r w:rsidR="002177ED">
        <w:rPr>
          <w:rFonts w:asciiTheme="majorBidi" w:eastAsia="Calibri" w:hAnsiTheme="majorBidi" w:cstheme="majorBidi"/>
          <w:bCs/>
        </w:rPr>
        <w:t xml:space="preserve"> </w:t>
      </w:r>
      <w:r w:rsidR="004F181A">
        <w:rPr>
          <w:rFonts w:asciiTheme="majorBidi" w:eastAsia="Calibri" w:hAnsiTheme="majorBidi" w:cstheme="majorBidi"/>
          <w:bCs/>
        </w:rPr>
        <w:t>of the respondents</w:t>
      </w:r>
      <w:r w:rsidR="002177ED">
        <w:rPr>
          <w:rFonts w:asciiTheme="majorBidi" w:eastAsia="Calibri" w:hAnsiTheme="majorBidi" w:cstheme="majorBidi"/>
          <w:bCs/>
        </w:rPr>
        <w:t xml:space="preserve"> were sought </w:t>
      </w:r>
      <w:r w:rsidR="004F181A">
        <w:rPr>
          <w:rFonts w:asciiTheme="majorBidi" w:eastAsia="Calibri" w:hAnsiTheme="majorBidi" w:cstheme="majorBidi"/>
          <w:bCs/>
        </w:rPr>
        <w:t>before data collection</w:t>
      </w:r>
      <w:r w:rsidR="00501898">
        <w:rPr>
          <w:rFonts w:asciiTheme="majorBidi" w:eastAsia="Calibri" w:hAnsiTheme="majorBidi" w:cstheme="majorBidi"/>
          <w:bCs/>
        </w:rPr>
        <w:t xml:space="preserve"> and </w:t>
      </w:r>
      <w:r w:rsidR="002177ED">
        <w:rPr>
          <w:rFonts w:asciiTheme="majorBidi" w:eastAsia="Calibri" w:hAnsiTheme="majorBidi" w:cstheme="majorBidi"/>
          <w:bCs/>
        </w:rPr>
        <w:t>questionnaire</w:t>
      </w:r>
      <w:r w:rsidR="008C555A">
        <w:rPr>
          <w:rFonts w:asciiTheme="majorBidi" w:eastAsia="Calibri" w:hAnsiTheme="majorBidi" w:cstheme="majorBidi"/>
          <w:bCs/>
        </w:rPr>
        <w:t>s</w:t>
      </w:r>
      <w:r w:rsidR="002177ED">
        <w:rPr>
          <w:rFonts w:asciiTheme="majorBidi" w:eastAsia="Calibri" w:hAnsiTheme="majorBidi" w:cstheme="majorBidi"/>
          <w:bCs/>
        </w:rPr>
        <w:t xml:space="preserve"> were</w:t>
      </w:r>
      <w:r w:rsidR="004F181A">
        <w:rPr>
          <w:rFonts w:asciiTheme="majorBidi" w:eastAsia="Calibri" w:hAnsiTheme="majorBidi" w:cstheme="majorBidi"/>
          <w:bCs/>
        </w:rPr>
        <w:t xml:space="preserve"> validated </w:t>
      </w:r>
      <w:r w:rsidR="002177ED">
        <w:rPr>
          <w:rFonts w:asciiTheme="majorBidi" w:eastAsia="Calibri" w:hAnsiTheme="majorBidi" w:cstheme="majorBidi"/>
          <w:bCs/>
        </w:rPr>
        <w:t xml:space="preserve">with subject-matter specialist (Gender-Specialist) </w:t>
      </w:r>
      <w:r w:rsidR="004F181A">
        <w:rPr>
          <w:rFonts w:asciiTheme="majorBidi" w:eastAsia="Calibri" w:hAnsiTheme="majorBidi" w:cstheme="majorBidi"/>
          <w:bCs/>
        </w:rPr>
        <w:t xml:space="preserve">before administration. </w:t>
      </w:r>
      <w:r w:rsidR="00482AB7">
        <w:rPr>
          <w:rFonts w:asciiTheme="majorBidi" w:eastAsia="Calibri" w:hAnsiTheme="majorBidi" w:cstheme="majorBidi"/>
          <w:bCs/>
        </w:rPr>
        <w:t xml:space="preserve">Data obtained </w:t>
      </w:r>
      <w:r w:rsidR="00580D1B" w:rsidRPr="00FD1E7A">
        <w:rPr>
          <w:rFonts w:asciiTheme="majorBidi" w:eastAsia="Calibri" w:hAnsiTheme="majorBidi" w:cstheme="majorBidi"/>
          <w:bCs/>
        </w:rPr>
        <w:t>w</w:t>
      </w:r>
      <w:r w:rsidR="00482AB7">
        <w:rPr>
          <w:rFonts w:asciiTheme="majorBidi" w:eastAsia="Calibri" w:hAnsiTheme="majorBidi" w:cstheme="majorBidi"/>
          <w:bCs/>
        </w:rPr>
        <w:t>ere</w:t>
      </w:r>
      <w:r w:rsidR="00580D1B" w:rsidRPr="00FD1E7A">
        <w:rPr>
          <w:rFonts w:asciiTheme="majorBidi" w:eastAsia="Calibri" w:hAnsiTheme="majorBidi" w:cstheme="majorBidi"/>
          <w:bCs/>
        </w:rPr>
        <w:t xml:space="preserve"> subjected to descriptive and inferential statistics</w:t>
      </w:r>
      <w:r w:rsidR="00482AB7">
        <w:rPr>
          <w:rFonts w:asciiTheme="majorBidi" w:eastAsia="Calibri" w:hAnsiTheme="majorBidi" w:cstheme="majorBidi"/>
          <w:bCs/>
        </w:rPr>
        <w:t xml:space="preserve">, objectives </w:t>
      </w:r>
      <w:proofErr w:type="spellStart"/>
      <w:r w:rsidR="00482AB7">
        <w:rPr>
          <w:rFonts w:asciiTheme="majorBidi" w:eastAsia="Calibri" w:hAnsiTheme="majorBidi" w:cstheme="majorBidi"/>
          <w:bCs/>
        </w:rPr>
        <w:t>i</w:t>
      </w:r>
      <w:proofErr w:type="spellEnd"/>
      <w:r w:rsidR="00482AB7">
        <w:rPr>
          <w:rFonts w:asciiTheme="majorBidi" w:eastAsia="Calibri" w:hAnsiTheme="majorBidi" w:cstheme="majorBidi"/>
          <w:bCs/>
        </w:rPr>
        <w:t xml:space="preserve">, </w:t>
      </w:r>
      <w:r w:rsidR="00E6739B">
        <w:rPr>
          <w:rFonts w:asciiTheme="majorBidi" w:eastAsia="Calibri" w:hAnsiTheme="majorBidi" w:cstheme="majorBidi"/>
          <w:bCs/>
        </w:rPr>
        <w:lastRenderedPageBreak/>
        <w:t>ii, and</w:t>
      </w:r>
      <w:r w:rsidR="00482AB7">
        <w:rPr>
          <w:rFonts w:asciiTheme="majorBidi" w:eastAsia="Calibri" w:hAnsiTheme="majorBidi" w:cstheme="majorBidi"/>
          <w:bCs/>
        </w:rPr>
        <w:t xml:space="preserve"> iv were subjected to descriptive statistics while </w:t>
      </w:r>
      <w:r w:rsidR="002C6CAA">
        <w:rPr>
          <w:rFonts w:asciiTheme="majorBidi" w:eastAsia="Calibri" w:hAnsiTheme="majorBidi" w:cstheme="majorBidi"/>
          <w:bCs/>
        </w:rPr>
        <w:t>objective iii was</w:t>
      </w:r>
      <w:r w:rsidR="00482AB7">
        <w:rPr>
          <w:rFonts w:asciiTheme="majorBidi" w:eastAsia="Calibri" w:hAnsiTheme="majorBidi" w:cstheme="majorBidi"/>
          <w:bCs/>
        </w:rPr>
        <w:t xml:space="preserve"> subjected to inferential statistics (factor Analysis). </w:t>
      </w:r>
      <w:r w:rsidR="00E6739B">
        <w:rPr>
          <w:rFonts w:asciiTheme="majorBidi" w:eastAsia="Calibri" w:hAnsiTheme="majorBidi" w:cstheme="majorBidi"/>
          <w:bCs/>
        </w:rPr>
        <w:t xml:space="preserve">The hypothesis was subjected </w:t>
      </w:r>
      <w:r w:rsidR="002177ED">
        <w:rPr>
          <w:rFonts w:asciiTheme="majorBidi" w:eastAsia="Calibri" w:hAnsiTheme="majorBidi" w:cstheme="majorBidi"/>
          <w:bCs/>
        </w:rPr>
        <w:t xml:space="preserve">to </w:t>
      </w:r>
      <w:r w:rsidR="00E6739B">
        <w:rPr>
          <w:rFonts w:asciiTheme="majorBidi" w:eastAsia="Calibri" w:hAnsiTheme="majorBidi" w:cstheme="majorBidi"/>
          <w:bCs/>
        </w:rPr>
        <w:t xml:space="preserve">Chi-square analysis. </w:t>
      </w:r>
    </w:p>
    <w:tbl>
      <w:tblPr>
        <w:tblStyle w:val="TableGrid"/>
        <w:tblpPr w:leftFromText="180" w:rightFromText="180" w:vertAnchor="text" w:horzAnchor="margin" w:tblpXSpec="center" w:tblpY="5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4662"/>
        <w:gridCol w:w="2250"/>
      </w:tblGrid>
      <w:tr w:rsidR="00E72F5F" w14:paraId="67877038" w14:textId="77777777" w:rsidTr="007C2AA4">
        <w:tc>
          <w:tcPr>
            <w:tcW w:w="1543" w:type="dxa"/>
            <w:tcBorders>
              <w:top w:val="single" w:sz="4" w:space="0" w:color="auto"/>
              <w:bottom w:val="single" w:sz="4" w:space="0" w:color="auto"/>
            </w:tcBorders>
          </w:tcPr>
          <w:p w14:paraId="5BA49D28" w14:textId="77777777" w:rsidR="00E72F5F" w:rsidRPr="00EB0190" w:rsidRDefault="00E72F5F" w:rsidP="00E72F5F">
            <w:pPr>
              <w:rPr>
                <w:rFonts w:asciiTheme="majorBidi" w:hAnsiTheme="majorBidi" w:cstheme="majorBidi"/>
                <w:b/>
                <w:bCs/>
                <w:lang w:val="en-GB"/>
              </w:rPr>
            </w:pPr>
            <w:r w:rsidRPr="00EB0190">
              <w:rPr>
                <w:rFonts w:asciiTheme="majorBidi" w:hAnsiTheme="majorBidi" w:cstheme="majorBidi"/>
                <w:b/>
                <w:bCs/>
                <w:lang w:val="en-GB"/>
              </w:rPr>
              <w:t>Area</w:t>
            </w:r>
          </w:p>
        </w:tc>
        <w:tc>
          <w:tcPr>
            <w:tcW w:w="4662" w:type="dxa"/>
            <w:tcBorders>
              <w:top w:val="single" w:sz="4" w:space="0" w:color="auto"/>
              <w:bottom w:val="single" w:sz="4" w:space="0" w:color="auto"/>
            </w:tcBorders>
          </w:tcPr>
          <w:p w14:paraId="552DEE8F" w14:textId="77777777" w:rsidR="00E72F5F" w:rsidRPr="00EB0190" w:rsidRDefault="00E72F5F" w:rsidP="00E72F5F">
            <w:pPr>
              <w:rPr>
                <w:rFonts w:asciiTheme="majorBidi" w:hAnsiTheme="majorBidi" w:cstheme="majorBidi"/>
                <w:b/>
                <w:bCs/>
                <w:lang w:val="en-GB"/>
              </w:rPr>
            </w:pPr>
            <w:r>
              <w:rPr>
                <w:rFonts w:asciiTheme="majorBidi" w:hAnsiTheme="majorBidi" w:cstheme="majorBidi"/>
                <w:b/>
                <w:bCs/>
                <w:lang w:val="en-GB"/>
              </w:rPr>
              <w:t xml:space="preserve">               </w:t>
            </w:r>
            <w:r w:rsidRPr="00EB0190">
              <w:rPr>
                <w:rFonts w:asciiTheme="majorBidi" w:hAnsiTheme="majorBidi" w:cstheme="majorBidi"/>
                <w:b/>
                <w:bCs/>
                <w:lang w:val="en-GB"/>
              </w:rPr>
              <w:t>Agricultural Firms</w:t>
            </w:r>
          </w:p>
        </w:tc>
        <w:tc>
          <w:tcPr>
            <w:tcW w:w="2250" w:type="dxa"/>
            <w:tcBorders>
              <w:top w:val="single" w:sz="4" w:space="0" w:color="auto"/>
              <w:bottom w:val="single" w:sz="4" w:space="0" w:color="auto"/>
            </w:tcBorders>
          </w:tcPr>
          <w:p w14:paraId="5E25B46C" w14:textId="77777777" w:rsidR="00E72F5F" w:rsidRPr="00F41F0B" w:rsidRDefault="00E72F5F" w:rsidP="00E72F5F">
            <w:pPr>
              <w:rPr>
                <w:b/>
                <w:bCs/>
                <w:lang w:val="en-GB"/>
              </w:rPr>
            </w:pPr>
            <w:r>
              <w:rPr>
                <w:lang w:val="en-GB"/>
              </w:rPr>
              <w:t xml:space="preserve">    </w:t>
            </w:r>
            <w:r w:rsidRPr="00F41F0B">
              <w:rPr>
                <w:b/>
                <w:bCs/>
                <w:lang w:val="en-GB"/>
              </w:rPr>
              <w:t xml:space="preserve"> No of Respondents</w:t>
            </w:r>
          </w:p>
        </w:tc>
      </w:tr>
      <w:tr w:rsidR="00E72F5F" w14:paraId="2D0A55DC" w14:textId="77777777" w:rsidTr="007C2AA4">
        <w:tc>
          <w:tcPr>
            <w:tcW w:w="1543" w:type="dxa"/>
            <w:tcBorders>
              <w:top w:val="single" w:sz="4" w:space="0" w:color="auto"/>
            </w:tcBorders>
          </w:tcPr>
          <w:p w14:paraId="51E8FE24" w14:textId="77777777" w:rsidR="00E72F5F" w:rsidRPr="00EB0190" w:rsidRDefault="00E72F5F" w:rsidP="00E72F5F">
            <w:pPr>
              <w:rPr>
                <w:b/>
                <w:bCs/>
                <w:lang w:val="en-GB"/>
              </w:rPr>
            </w:pPr>
            <w:r w:rsidRPr="00EB0190">
              <w:rPr>
                <w:b/>
                <w:bCs/>
                <w:lang w:val="en-GB"/>
              </w:rPr>
              <w:t>Akure North</w:t>
            </w:r>
          </w:p>
        </w:tc>
        <w:tc>
          <w:tcPr>
            <w:tcW w:w="4662" w:type="dxa"/>
            <w:tcBorders>
              <w:top w:val="single" w:sz="4" w:space="0" w:color="auto"/>
            </w:tcBorders>
          </w:tcPr>
          <w:p w14:paraId="726A9732" w14:textId="77777777" w:rsidR="00E72F5F" w:rsidRPr="009805C5" w:rsidRDefault="00E72F5F" w:rsidP="00E72F5F">
            <w:pPr>
              <w:rPr>
                <w:rFonts w:ascii="Times New Roman" w:eastAsia="Calibri" w:hAnsi="Times New Roman"/>
                <w:bCs/>
                <w:sz w:val="24"/>
                <w:szCs w:val="24"/>
              </w:rPr>
            </w:pPr>
            <w:r w:rsidRPr="009805C5">
              <w:rPr>
                <w:rFonts w:ascii="Times New Roman" w:eastAsia="Calibri" w:hAnsi="Times New Roman"/>
                <w:bCs/>
                <w:sz w:val="24"/>
                <w:szCs w:val="24"/>
              </w:rPr>
              <w:t xml:space="preserve"> Arix Global Farm Ltd</w:t>
            </w:r>
          </w:p>
        </w:tc>
        <w:tc>
          <w:tcPr>
            <w:tcW w:w="2250" w:type="dxa"/>
            <w:tcBorders>
              <w:top w:val="single" w:sz="4" w:space="0" w:color="auto"/>
            </w:tcBorders>
          </w:tcPr>
          <w:p w14:paraId="7E375D7C" w14:textId="77777777" w:rsidR="00E72F5F" w:rsidRDefault="00E72F5F" w:rsidP="00E72F5F">
            <w:pPr>
              <w:rPr>
                <w:lang w:val="en-GB"/>
              </w:rPr>
            </w:pPr>
            <w:r>
              <w:rPr>
                <w:lang w:val="en-GB"/>
              </w:rPr>
              <w:t>10</w:t>
            </w:r>
          </w:p>
        </w:tc>
      </w:tr>
      <w:tr w:rsidR="00E72F5F" w14:paraId="16A52354" w14:textId="77777777" w:rsidTr="007C2AA4">
        <w:tc>
          <w:tcPr>
            <w:tcW w:w="1543" w:type="dxa"/>
          </w:tcPr>
          <w:p w14:paraId="008C9D7C" w14:textId="77777777" w:rsidR="00E72F5F" w:rsidRDefault="00E72F5F" w:rsidP="00E72F5F">
            <w:pPr>
              <w:rPr>
                <w:lang w:val="en-GB"/>
              </w:rPr>
            </w:pPr>
          </w:p>
        </w:tc>
        <w:tc>
          <w:tcPr>
            <w:tcW w:w="4662" w:type="dxa"/>
          </w:tcPr>
          <w:p w14:paraId="2D82593E" w14:textId="77777777" w:rsidR="00E72F5F" w:rsidRPr="009805C5" w:rsidRDefault="00E72F5F" w:rsidP="00E72F5F">
            <w:pPr>
              <w:rPr>
                <w:rFonts w:ascii="Times New Roman" w:eastAsia="Calibri" w:hAnsi="Times New Roman"/>
                <w:bCs/>
                <w:sz w:val="24"/>
                <w:szCs w:val="24"/>
              </w:rPr>
            </w:pPr>
            <w:proofErr w:type="spellStart"/>
            <w:r w:rsidRPr="009805C5">
              <w:rPr>
                <w:rFonts w:ascii="Times New Roman" w:eastAsia="Calibri" w:hAnsi="Times New Roman"/>
                <w:bCs/>
                <w:sz w:val="24"/>
                <w:szCs w:val="24"/>
              </w:rPr>
              <w:t>Calebroz</w:t>
            </w:r>
            <w:proofErr w:type="spellEnd"/>
            <w:r w:rsidRPr="009805C5">
              <w:rPr>
                <w:rFonts w:ascii="Times New Roman" w:eastAsia="Calibri" w:hAnsi="Times New Roman"/>
                <w:bCs/>
                <w:sz w:val="24"/>
                <w:szCs w:val="24"/>
              </w:rPr>
              <w:t xml:space="preserve"> Farm</w:t>
            </w:r>
          </w:p>
        </w:tc>
        <w:tc>
          <w:tcPr>
            <w:tcW w:w="2250" w:type="dxa"/>
          </w:tcPr>
          <w:p w14:paraId="7CA66607" w14:textId="77777777" w:rsidR="00E72F5F" w:rsidRDefault="00E72F5F" w:rsidP="00E72F5F">
            <w:pPr>
              <w:rPr>
                <w:lang w:val="en-GB"/>
              </w:rPr>
            </w:pPr>
            <w:r>
              <w:rPr>
                <w:lang w:val="en-GB"/>
              </w:rPr>
              <w:t>10</w:t>
            </w:r>
          </w:p>
        </w:tc>
      </w:tr>
      <w:tr w:rsidR="00E72F5F" w14:paraId="62D8797B" w14:textId="77777777" w:rsidTr="007C2AA4">
        <w:tc>
          <w:tcPr>
            <w:tcW w:w="1543" w:type="dxa"/>
          </w:tcPr>
          <w:p w14:paraId="58490449" w14:textId="77777777" w:rsidR="00E72F5F" w:rsidRDefault="00E72F5F" w:rsidP="00E72F5F">
            <w:pPr>
              <w:rPr>
                <w:lang w:val="en-GB"/>
              </w:rPr>
            </w:pPr>
          </w:p>
        </w:tc>
        <w:tc>
          <w:tcPr>
            <w:tcW w:w="4662" w:type="dxa"/>
          </w:tcPr>
          <w:p w14:paraId="04365C42" w14:textId="77777777" w:rsidR="00E72F5F" w:rsidRPr="009805C5" w:rsidRDefault="00E72F5F" w:rsidP="00E72F5F">
            <w:pPr>
              <w:rPr>
                <w:rFonts w:ascii="Times New Roman" w:eastAsia="Calibri" w:hAnsi="Times New Roman"/>
                <w:bCs/>
                <w:sz w:val="24"/>
                <w:szCs w:val="24"/>
              </w:rPr>
            </w:pPr>
            <w:r w:rsidRPr="009805C5">
              <w:rPr>
                <w:rFonts w:ascii="Times New Roman" w:eastAsia="Calibri" w:hAnsi="Times New Roman"/>
                <w:bCs/>
                <w:sz w:val="24"/>
                <w:szCs w:val="24"/>
              </w:rPr>
              <w:t>Regenerative Ecological and Agri Projects</w:t>
            </w:r>
          </w:p>
        </w:tc>
        <w:tc>
          <w:tcPr>
            <w:tcW w:w="2250" w:type="dxa"/>
          </w:tcPr>
          <w:p w14:paraId="347E0D7E" w14:textId="77777777" w:rsidR="00E72F5F" w:rsidRDefault="00E72F5F" w:rsidP="00E72F5F">
            <w:pPr>
              <w:rPr>
                <w:lang w:val="en-GB"/>
              </w:rPr>
            </w:pPr>
            <w:r>
              <w:rPr>
                <w:lang w:val="en-GB"/>
              </w:rPr>
              <w:t>10</w:t>
            </w:r>
          </w:p>
        </w:tc>
      </w:tr>
      <w:tr w:rsidR="00E72F5F" w14:paraId="32ED5CDC" w14:textId="77777777" w:rsidTr="007C2AA4">
        <w:tc>
          <w:tcPr>
            <w:tcW w:w="1543" w:type="dxa"/>
          </w:tcPr>
          <w:p w14:paraId="25B9544E" w14:textId="77777777" w:rsidR="00E72F5F" w:rsidRDefault="00E72F5F" w:rsidP="00E72F5F">
            <w:pPr>
              <w:rPr>
                <w:lang w:val="en-GB"/>
              </w:rPr>
            </w:pPr>
          </w:p>
        </w:tc>
        <w:tc>
          <w:tcPr>
            <w:tcW w:w="4662" w:type="dxa"/>
          </w:tcPr>
          <w:p w14:paraId="51E3E809" w14:textId="77777777" w:rsidR="00E72F5F" w:rsidRPr="009805C5" w:rsidRDefault="00E72F5F" w:rsidP="00E72F5F">
            <w:pPr>
              <w:rPr>
                <w:rFonts w:ascii="Times New Roman" w:eastAsia="Calibri" w:hAnsi="Times New Roman"/>
                <w:bCs/>
                <w:sz w:val="24"/>
                <w:szCs w:val="24"/>
              </w:rPr>
            </w:pPr>
            <w:r w:rsidRPr="009805C5">
              <w:rPr>
                <w:rFonts w:ascii="Times New Roman" w:eastAsia="Calibri" w:hAnsi="Times New Roman"/>
                <w:bCs/>
                <w:sz w:val="24"/>
                <w:szCs w:val="24"/>
              </w:rPr>
              <w:t>Sakola Integrated Services</w:t>
            </w:r>
          </w:p>
        </w:tc>
        <w:tc>
          <w:tcPr>
            <w:tcW w:w="2250" w:type="dxa"/>
          </w:tcPr>
          <w:p w14:paraId="2F4987D9" w14:textId="77777777" w:rsidR="00E72F5F" w:rsidRDefault="00E72F5F" w:rsidP="00E72F5F">
            <w:pPr>
              <w:rPr>
                <w:lang w:val="en-GB"/>
              </w:rPr>
            </w:pPr>
            <w:r>
              <w:rPr>
                <w:lang w:val="en-GB"/>
              </w:rPr>
              <w:t>09</w:t>
            </w:r>
          </w:p>
        </w:tc>
      </w:tr>
      <w:tr w:rsidR="00E72F5F" w14:paraId="77BBEC05" w14:textId="77777777" w:rsidTr="007C2AA4">
        <w:tc>
          <w:tcPr>
            <w:tcW w:w="1543" w:type="dxa"/>
          </w:tcPr>
          <w:p w14:paraId="57103345" w14:textId="77777777" w:rsidR="00E72F5F" w:rsidRDefault="00E72F5F" w:rsidP="00E72F5F">
            <w:pPr>
              <w:rPr>
                <w:lang w:val="en-GB"/>
              </w:rPr>
            </w:pPr>
          </w:p>
        </w:tc>
        <w:tc>
          <w:tcPr>
            <w:tcW w:w="4662" w:type="dxa"/>
          </w:tcPr>
          <w:p w14:paraId="238BC59F" w14:textId="77777777" w:rsidR="00E72F5F" w:rsidRPr="009805C5" w:rsidRDefault="00E72F5F" w:rsidP="00E72F5F">
            <w:pPr>
              <w:rPr>
                <w:rFonts w:ascii="Times New Roman" w:eastAsia="Calibri" w:hAnsi="Times New Roman"/>
                <w:bCs/>
                <w:sz w:val="24"/>
                <w:szCs w:val="24"/>
              </w:rPr>
            </w:pPr>
            <w:proofErr w:type="spellStart"/>
            <w:r w:rsidRPr="009805C5">
              <w:rPr>
                <w:rFonts w:ascii="Times New Roman" w:eastAsia="Calibri" w:hAnsi="Times New Roman"/>
                <w:bCs/>
                <w:sz w:val="24"/>
                <w:szCs w:val="24"/>
              </w:rPr>
              <w:t>Tomyem</w:t>
            </w:r>
            <w:proofErr w:type="spellEnd"/>
            <w:r w:rsidRPr="009805C5">
              <w:rPr>
                <w:rFonts w:ascii="Times New Roman" w:eastAsia="Calibri" w:hAnsi="Times New Roman"/>
                <w:bCs/>
                <w:sz w:val="24"/>
                <w:szCs w:val="24"/>
              </w:rPr>
              <w:t xml:space="preserve"> Fresh Farms</w:t>
            </w:r>
          </w:p>
        </w:tc>
        <w:tc>
          <w:tcPr>
            <w:tcW w:w="2250" w:type="dxa"/>
          </w:tcPr>
          <w:p w14:paraId="44291949" w14:textId="77777777" w:rsidR="00E72F5F" w:rsidRDefault="00E72F5F" w:rsidP="00E72F5F">
            <w:pPr>
              <w:rPr>
                <w:lang w:val="en-GB"/>
              </w:rPr>
            </w:pPr>
            <w:r>
              <w:rPr>
                <w:lang w:val="en-GB"/>
              </w:rPr>
              <w:t>11</w:t>
            </w:r>
          </w:p>
        </w:tc>
      </w:tr>
      <w:tr w:rsidR="00E72F5F" w14:paraId="7F8B23ED" w14:textId="77777777" w:rsidTr="007C2AA4">
        <w:tc>
          <w:tcPr>
            <w:tcW w:w="1543" w:type="dxa"/>
          </w:tcPr>
          <w:p w14:paraId="7F5A683C" w14:textId="77777777" w:rsidR="00E72F5F" w:rsidRPr="00EB0190" w:rsidRDefault="00E72F5F" w:rsidP="00E72F5F">
            <w:pPr>
              <w:rPr>
                <w:b/>
                <w:bCs/>
                <w:lang w:val="en-GB"/>
              </w:rPr>
            </w:pPr>
            <w:r w:rsidRPr="00EB0190">
              <w:rPr>
                <w:b/>
                <w:bCs/>
                <w:lang w:val="en-GB"/>
              </w:rPr>
              <w:t>Akure South</w:t>
            </w:r>
          </w:p>
        </w:tc>
        <w:tc>
          <w:tcPr>
            <w:tcW w:w="4662" w:type="dxa"/>
          </w:tcPr>
          <w:p w14:paraId="4A5DBFB4" w14:textId="77777777" w:rsidR="00E72F5F" w:rsidRPr="009805C5" w:rsidRDefault="00E72F5F" w:rsidP="00E72F5F">
            <w:pPr>
              <w:rPr>
                <w:rFonts w:ascii="Times New Roman" w:eastAsia="Calibri" w:hAnsi="Times New Roman"/>
                <w:bCs/>
                <w:sz w:val="24"/>
                <w:szCs w:val="24"/>
              </w:rPr>
            </w:pPr>
            <w:r w:rsidRPr="007F2082">
              <w:rPr>
                <w:rFonts w:ascii="Times New Roman" w:eastAsia="Calibri" w:hAnsi="Times New Roman"/>
                <w:b/>
                <w:sz w:val="24"/>
                <w:szCs w:val="24"/>
              </w:rPr>
              <w:t>Agricultural Firms</w:t>
            </w:r>
          </w:p>
        </w:tc>
        <w:tc>
          <w:tcPr>
            <w:tcW w:w="2250" w:type="dxa"/>
          </w:tcPr>
          <w:p w14:paraId="09904A9D" w14:textId="77777777" w:rsidR="00E72F5F" w:rsidRDefault="00E72F5F" w:rsidP="00E72F5F">
            <w:pPr>
              <w:rPr>
                <w:lang w:val="en-GB"/>
              </w:rPr>
            </w:pPr>
          </w:p>
        </w:tc>
      </w:tr>
      <w:tr w:rsidR="00E72F5F" w14:paraId="51B8FE11" w14:textId="77777777" w:rsidTr="007C2AA4">
        <w:tc>
          <w:tcPr>
            <w:tcW w:w="1543" w:type="dxa"/>
          </w:tcPr>
          <w:p w14:paraId="17EE3276" w14:textId="77777777" w:rsidR="00E72F5F" w:rsidRDefault="00E72F5F" w:rsidP="00E72F5F">
            <w:pPr>
              <w:rPr>
                <w:lang w:val="en-GB"/>
              </w:rPr>
            </w:pPr>
          </w:p>
        </w:tc>
        <w:tc>
          <w:tcPr>
            <w:tcW w:w="4662" w:type="dxa"/>
          </w:tcPr>
          <w:p w14:paraId="281299FB" w14:textId="77777777" w:rsidR="00E72F5F" w:rsidRPr="007F2082" w:rsidRDefault="00E72F5F" w:rsidP="00E72F5F">
            <w:pPr>
              <w:rPr>
                <w:rFonts w:ascii="Times New Roman" w:eastAsia="Calibri" w:hAnsi="Times New Roman"/>
                <w:b/>
                <w:sz w:val="24"/>
                <w:szCs w:val="24"/>
              </w:rPr>
            </w:pPr>
            <w:r w:rsidRPr="009805C5">
              <w:rPr>
                <w:rFonts w:ascii="Times New Roman" w:eastAsia="Calibri" w:hAnsi="Times New Roman"/>
                <w:bCs/>
                <w:sz w:val="24"/>
                <w:szCs w:val="24"/>
              </w:rPr>
              <w:t>First</w:t>
            </w:r>
            <w:r>
              <w:rPr>
                <w:rFonts w:ascii="Times New Roman" w:eastAsia="Calibri" w:hAnsi="Times New Roman"/>
                <w:bCs/>
                <w:sz w:val="24"/>
                <w:szCs w:val="24"/>
              </w:rPr>
              <w:t xml:space="preserve"> </w:t>
            </w:r>
            <w:proofErr w:type="spellStart"/>
            <w:r w:rsidRPr="009805C5">
              <w:rPr>
                <w:rFonts w:ascii="Times New Roman" w:eastAsia="Calibri" w:hAnsi="Times New Roman"/>
                <w:bCs/>
                <w:sz w:val="24"/>
                <w:szCs w:val="24"/>
              </w:rPr>
              <w:t>Aquagrico</w:t>
            </w:r>
            <w:proofErr w:type="spellEnd"/>
            <w:r w:rsidRPr="009805C5">
              <w:rPr>
                <w:rFonts w:ascii="Times New Roman" w:eastAsia="Calibri" w:hAnsi="Times New Roman"/>
                <w:bCs/>
                <w:sz w:val="24"/>
                <w:szCs w:val="24"/>
              </w:rPr>
              <w:t xml:space="preserve"> Farms Nigeria</w:t>
            </w:r>
          </w:p>
        </w:tc>
        <w:tc>
          <w:tcPr>
            <w:tcW w:w="2250" w:type="dxa"/>
          </w:tcPr>
          <w:p w14:paraId="6CAA061A" w14:textId="77777777" w:rsidR="00E72F5F" w:rsidRDefault="00E72F5F" w:rsidP="00E72F5F">
            <w:pPr>
              <w:rPr>
                <w:lang w:val="en-GB"/>
              </w:rPr>
            </w:pPr>
            <w:r>
              <w:rPr>
                <w:lang w:val="en-GB"/>
              </w:rPr>
              <w:t>10</w:t>
            </w:r>
          </w:p>
        </w:tc>
      </w:tr>
      <w:tr w:rsidR="00E72F5F" w14:paraId="356F293B" w14:textId="77777777" w:rsidTr="007C2AA4">
        <w:tc>
          <w:tcPr>
            <w:tcW w:w="1543" w:type="dxa"/>
          </w:tcPr>
          <w:p w14:paraId="40F7BE4C" w14:textId="77777777" w:rsidR="00E72F5F" w:rsidRDefault="00E72F5F" w:rsidP="00E72F5F">
            <w:pPr>
              <w:rPr>
                <w:lang w:val="en-GB"/>
              </w:rPr>
            </w:pPr>
          </w:p>
        </w:tc>
        <w:tc>
          <w:tcPr>
            <w:tcW w:w="4662" w:type="dxa"/>
          </w:tcPr>
          <w:p w14:paraId="7B4C4791" w14:textId="77777777" w:rsidR="00E72F5F" w:rsidRPr="009805C5" w:rsidRDefault="00E72F5F" w:rsidP="00E72F5F">
            <w:pPr>
              <w:rPr>
                <w:rFonts w:ascii="Times New Roman" w:eastAsia="Calibri" w:hAnsi="Times New Roman"/>
                <w:bCs/>
                <w:sz w:val="24"/>
                <w:szCs w:val="24"/>
              </w:rPr>
            </w:pPr>
            <w:r w:rsidRPr="009805C5">
              <w:rPr>
                <w:rFonts w:ascii="Times New Roman" w:eastAsia="Calibri" w:hAnsi="Times New Roman"/>
                <w:bCs/>
                <w:sz w:val="24"/>
                <w:szCs w:val="24"/>
              </w:rPr>
              <w:t>Bernard Mercy Cooperative</w:t>
            </w:r>
          </w:p>
        </w:tc>
        <w:tc>
          <w:tcPr>
            <w:tcW w:w="2250" w:type="dxa"/>
          </w:tcPr>
          <w:p w14:paraId="38627D56" w14:textId="77777777" w:rsidR="00E72F5F" w:rsidRDefault="00E72F5F" w:rsidP="00E72F5F">
            <w:pPr>
              <w:rPr>
                <w:lang w:val="en-GB"/>
              </w:rPr>
            </w:pPr>
            <w:r>
              <w:rPr>
                <w:lang w:val="en-GB"/>
              </w:rPr>
              <w:t>12</w:t>
            </w:r>
          </w:p>
        </w:tc>
      </w:tr>
      <w:tr w:rsidR="00E72F5F" w14:paraId="53E82E57" w14:textId="77777777" w:rsidTr="007C2AA4">
        <w:tc>
          <w:tcPr>
            <w:tcW w:w="1543" w:type="dxa"/>
          </w:tcPr>
          <w:p w14:paraId="048D7FDF" w14:textId="77777777" w:rsidR="00E72F5F" w:rsidRDefault="00E72F5F" w:rsidP="00E72F5F">
            <w:pPr>
              <w:rPr>
                <w:lang w:val="en-GB"/>
              </w:rPr>
            </w:pPr>
          </w:p>
        </w:tc>
        <w:tc>
          <w:tcPr>
            <w:tcW w:w="4662" w:type="dxa"/>
          </w:tcPr>
          <w:p w14:paraId="436F53C5" w14:textId="77777777" w:rsidR="00E72F5F" w:rsidRPr="009805C5" w:rsidRDefault="00E72F5F" w:rsidP="00E72F5F">
            <w:pPr>
              <w:rPr>
                <w:rFonts w:ascii="Times New Roman" w:eastAsia="Calibri" w:hAnsi="Times New Roman"/>
                <w:bCs/>
                <w:sz w:val="24"/>
                <w:szCs w:val="24"/>
              </w:rPr>
            </w:pPr>
            <w:proofErr w:type="spellStart"/>
            <w:r w:rsidRPr="009805C5">
              <w:rPr>
                <w:rFonts w:ascii="Times New Roman" w:eastAsia="Calibri" w:hAnsi="Times New Roman"/>
                <w:bCs/>
                <w:sz w:val="24"/>
                <w:szCs w:val="24"/>
              </w:rPr>
              <w:t>Boadesam</w:t>
            </w:r>
            <w:proofErr w:type="spellEnd"/>
            <w:r w:rsidRPr="009805C5">
              <w:rPr>
                <w:rFonts w:ascii="Times New Roman" w:eastAsia="Calibri" w:hAnsi="Times New Roman"/>
                <w:bCs/>
                <w:sz w:val="24"/>
                <w:szCs w:val="24"/>
              </w:rPr>
              <w:t xml:space="preserve"> Farm</w:t>
            </w:r>
          </w:p>
        </w:tc>
        <w:tc>
          <w:tcPr>
            <w:tcW w:w="2250" w:type="dxa"/>
          </w:tcPr>
          <w:p w14:paraId="20ED8A87" w14:textId="77777777" w:rsidR="00E72F5F" w:rsidRDefault="00E72F5F" w:rsidP="00E72F5F">
            <w:pPr>
              <w:rPr>
                <w:lang w:val="en-GB"/>
              </w:rPr>
            </w:pPr>
            <w:r>
              <w:rPr>
                <w:lang w:val="en-GB"/>
              </w:rPr>
              <w:t>08</w:t>
            </w:r>
          </w:p>
        </w:tc>
      </w:tr>
      <w:tr w:rsidR="00E72F5F" w14:paraId="189E2325" w14:textId="77777777" w:rsidTr="007C2AA4">
        <w:tc>
          <w:tcPr>
            <w:tcW w:w="1543" w:type="dxa"/>
          </w:tcPr>
          <w:p w14:paraId="0D469C85" w14:textId="77777777" w:rsidR="00E72F5F" w:rsidRDefault="00E72F5F" w:rsidP="00E72F5F">
            <w:pPr>
              <w:rPr>
                <w:lang w:val="en-GB"/>
              </w:rPr>
            </w:pPr>
          </w:p>
        </w:tc>
        <w:tc>
          <w:tcPr>
            <w:tcW w:w="4662" w:type="dxa"/>
          </w:tcPr>
          <w:p w14:paraId="68EF56C8" w14:textId="77777777" w:rsidR="00E72F5F" w:rsidRPr="009805C5" w:rsidRDefault="00E72F5F" w:rsidP="00E72F5F">
            <w:pPr>
              <w:rPr>
                <w:rFonts w:ascii="Times New Roman" w:eastAsia="Calibri" w:hAnsi="Times New Roman"/>
                <w:bCs/>
                <w:sz w:val="24"/>
                <w:szCs w:val="24"/>
              </w:rPr>
            </w:pPr>
            <w:proofErr w:type="spellStart"/>
            <w:r w:rsidRPr="009805C5">
              <w:rPr>
                <w:rFonts w:ascii="Times New Roman" w:eastAsia="Calibri" w:hAnsi="Times New Roman"/>
                <w:bCs/>
                <w:sz w:val="24"/>
                <w:szCs w:val="24"/>
              </w:rPr>
              <w:t>Halembims</w:t>
            </w:r>
            <w:proofErr w:type="spellEnd"/>
            <w:r w:rsidRPr="009805C5">
              <w:rPr>
                <w:rFonts w:ascii="Times New Roman" w:eastAsia="Calibri" w:hAnsi="Times New Roman"/>
                <w:bCs/>
                <w:sz w:val="24"/>
                <w:szCs w:val="24"/>
              </w:rPr>
              <w:t xml:space="preserve"> Global Farms Enterprises</w:t>
            </w:r>
          </w:p>
        </w:tc>
        <w:tc>
          <w:tcPr>
            <w:tcW w:w="2250" w:type="dxa"/>
          </w:tcPr>
          <w:p w14:paraId="40E126E6" w14:textId="77777777" w:rsidR="00E72F5F" w:rsidRDefault="00E72F5F" w:rsidP="00E72F5F">
            <w:pPr>
              <w:rPr>
                <w:lang w:val="en-GB"/>
              </w:rPr>
            </w:pPr>
            <w:r>
              <w:rPr>
                <w:lang w:val="en-GB"/>
              </w:rPr>
              <w:t>10</w:t>
            </w:r>
          </w:p>
        </w:tc>
      </w:tr>
      <w:tr w:rsidR="00E72F5F" w14:paraId="3A97A39B" w14:textId="77777777" w:rsidTr="007C2AA4">
        <w:tc>
          <w:tcPr>
            <w:tcW w:w="1543" w:type="dxa"/>
            <w:tcBorders>
              <w:bottom w:val="single" w:sz="4" w:space="0" w:color="auto"/>
            </w:tcBorders>
          </w:tcPr>
          <w:p w14:paraId="05B6F0E7" w14:textId="77777777" w:rsidR="00E72F5F" w:rsidRDefault="00E72F5F" w:rsidP="00E72F5F">
            <w:pPr>
              <w:rPr>
                <w:lang w:val="en-GB"/>
              </w:rPr>
            </w:pPr>
          </w:p>
        </w:tc>
        <w:tc>
          <w:tcPr>
            <w:tcW w:w="4662" w:type="dxa"/>
            <w:tcBorders>
              <w:bottom w:val="single" w:sz="4" w:space="0" w:color="auto"/>
            </w:tcBorders>
          </w:tcPr>
          <w:p w14:paraId="564472B5" w14:textId="77777777" w:rsidR="00E72F5F" w:rsidRPr="009805C5" w:rsidRDefault="00E72F5F" w:rsidP="00E72F5F">
            <w:pPr>
              <w:rPr>
                <w:rFonts w:ascii="Times New Roman" w:eastAsia="Calibri" w:hAnsi="Times New Roman"/>
                <w:bCs/>
                <w:sz w:val="24"/>
                <w:szCs w:val="24"/>
              </w:rPr>
            </w:pPr>
            <w:r w:rsidRPr="009805C5">
              <w:rPr>
                <w:rFonts w:ascii="Times New Roman" w:eastAsia="Calibri" w:hAnsi="Times New Roman"/>
                <w:bCs/>
                <w:sz w:val="24"/>
                <w:szCs w:val="24"/>
              </w:rPr>
              <w:t xml:space="preserve">Ondo State Agric </w:t>
            </w:r>
            <w:proofErr w:type="spellStart"/>
            <w:r w:rsidRPr="009805C5">
              <w:rPr>
                <w:rFonts w:ascii="Times New Roman" w:eastAsia="Calibri" w:hAnsi="Times New Roman"/>
                <w:bCs/>
                <w:sz w:val="24"/>
                <w:szCs w:val="24"/>
              </w:rPr>
              <w:t>Imputs</w:t>
            </w:r>
            <w:proofErr w:type="spellEnd"/>
            <w:r w:rsidRPr="009805C5">
              <w:rPr>
                <w:rFonts w:ascii="Times New Roman" w:eastAsia="Calibri" w:hAnsi="Times New Roman"/>
                <w:bCs/>
                <w:sz w:val="24"/>
                <w:szCs w:val="24"/>
              </w:rPr>
              <w:t xml:space="preserve"> Supply Agency</w:t>
            </w:r>
          </w:p>
        </w:tc>
        <w:tc>
          <w:tcPr>
            <w:tcW w:w="2250" w:type="dxa"/>
            <w:tcBorders>
              <w:bottom w:val="single" w:sz="4" w:space="0" w:color="auto"/>
            </w:tcBorders>
          </w:tcPr>
          <w:p w14:paraId="1AF16AB7" w14:textId="77777777" w:rsidR="00E72F5F" w:rsidRDefault="00E72F5F" w:rsidP="00E72F5F">
            <w:pPr>
              <w:rPr>
                <w:lang w:val="en-GB"/>
              </w:rPr>
            </w:pPr>
            <w:r>
              <w:rPr>
                <w:lang w:val="en-GB"/>
              </w:rPr>
              <w:t>20</w:t>
            </w:r>
          </w:p>
        </w:tc>
      </w:tr>
      <w:tr w:rsidR="00E72F5F" w14:paraId="3B3B9CD6" w14:textId="77777777" w:rsidTr="007C2AA4">
        <w:trPr>
          <w:trHeight w:val="170"/>
        </w:trPr>
        <w:tc>
          <w:tcPr>
            <w:tcW w:w="1543" w:type="dxa"/>
            <w:tcBorders>
              <w:top w:val="single" w:sz="4" w:space="0" w:color="auto"/>
              <w:bottom w:val="single" w:sz="4" w:space="0" w:color="auto"/>
            </w:tcBorders>
          </w:tcPr>
          <w:p w14:paraId="666C42D4" w14:textId="77777777" w:rsidR="00E72F5F" w:rsidRPr="00F41F0B" w:rsidRDefault="00E72F5F" w:rsidP="00E72F5F">
            <w:pPr>
              <w:rPr>
                <w:b/>
                <w:bCs/>
                <w:lang w:val="en-GB"/>
              </w:rPr>
            </w:pPr>
            <w:r w:rsidRPr="00F41F0B">
              <w:rPr>
                <w:b/>
                <w:bCs/>
                <w:lang w:val="en-GB"/>
              </w:rPr>
              <w:t>Total</w:t>
            </w:r>
          </w:p>
        </w:tc>
        <w:tc>
          <w:tcPr>
            <w:tcW w:w="4662" w:type="dxa"/>
            <w:tcBorders>
              <w:top w:val="single" w:sz="4" w:space="0" w:color="auto"/>
              <w:bottom w:val="single" w:sz="4" w:space="0" w:color="auto"/>
            </w:tcBorders>
          </w:tcPr>
          <w:p w14:paraId="624CB0D4" w14:textId="77777777" w:rsidR="00E72F5F" w:rsidRPr="009805C5" w:rsidRDefault="00E72F5F" w:rsidP="00E72F5F">
            <w:pPr>
              <w:rPr>
                <w:rFonts w:ascii="Times New Roman" w:eastAsia="Calibri" w:hAnsi="Times New Roman"/>
                <w:bCs/>
                <w:sz w:val="24"/>
                <w:szCs w:val="24"/>
              </w:rPr>
            </w:pPr>
            <w:r w:rsidRPr="007F2082">
              <w:rPr>
                <w:rFonts w:ascii="Times New Roman" w:eastAsia="Calibri" w:hAnsi="Times New Roman"/>
                <w:b/>
                <w:sz w:val="24"/>
                <w:szCs w:val="24"/>
              </w:rPr>
              <w:t>10</w:t>
            </w:r>
          </w:p>
        </w:tc>
        <w:tc>
          <w:tcPr>
            <w:tcW w:w="2250" w:type="dxa"/>
            <w:tcBorders>
              <w:top w:val="single" w:sz="4" w:space="0" w:color="auto"/>
              <w:bottom w:val="single" w:sz="4" w:space="0" w:color="auto"/>
            </w:tcBorders>
          </w:tcPr>
          <w:p w14:paraId="3328B1D9" w14:textId="77777777" w:rsidR="00E72F5F" w:rsidRPr="00F41F0B" w:rsidRDefault="00E72F5F" w:rsidP="00E72F5F">
            <w:pPr>
              <w:rPr>
                <w:b/>
                <w:bCs/>
                <w:lang w:val="en-GB"/>
              </w:rPr>
            </w:pPr>
            <w:r w:rsidRPr="00F41F0B">
              <w:rPr>
                <w:b/>
                <w:bCs/>
                <w:lang w:val="en-GB"/>
              </w:rPr>
              <w:t>110</w:t>
            </w:r>
          </w:p>
        </w:tc>
      </w:tr>
    </w:tbl>
    <w:p w14:paraId="1F16C0F5" w14:textId="0585C2A4" w:rsidR="00E72F5F" w:rsidRPr="00E72F5F" w:rsidRDefault="00CB10C1" w:rsidP="002F53AB">
      <w:pPr>
        <w:pStyle w:val="NormalWeb"/>
        <w:spacing w:line="360" w:lineRule="auto"/>
        <w:jc w:val="both"/>
        <w:rPr>
          <w:rFonts w:asciiTheme="majorBidi" w:eastAsia="Calibri" w:hAnsiTheme="majorBidi" w:cstheme="majorBidi"/>
          <w:b/>
        </w:rPr>
      </w:pPr>
      <w:r>
        <w:rPr>
          <w:rFonts w:asciiTheme="majorBidi" w:eastAsia="Calibri" w:hAnsiTheme="majorBidi" w:cstheme="majorBidi"/>
          <w:b/>
        </w:rPr>
        <w:t xml:space="preserve">Table 1: </w:t>
      </w:r>
      <w:r w:rsidR="00E72F5F" w:rsidRPr="00E72F5F">
        <w:rPr>
          <w:rFonts w:asciiTheme="majorBidi" w:eastAsia="Calibri" w:hAnsiTheme="majorBidi" w:cstheme="majorBidi"/>
          <w:b/>
        </w:rPr>
        <w:t xml:space="preserve">Sample Frame of the </w:t>
      </w:r>
      <w:r w:rsidR="008C555A">
        <w:rPr>
          <w:rFonts w:asciiTheme="majorBidi" w:eastAsia="Calibri" w:hAnsiTheme="majorBidi" w:cstheme="majorBidi"/>
          <w:b/>
        </w:rPr>
        <w:t>S</w:t>
      </w:r>
      <w:r w:rsidR="00E72F5F" w:rsidRPr="00E72F5F">
        <w:rPr>
          <w:rFonts w:asciiTheme="majorBidi" w:eastAsia="Calibri" w:hAnsiTheme="majorBidi" w:cstheme="majorBidi"/>
          <w:b/>
        </w:rPr>
        <w:t>tudy</w:t>
      </w:r>
    </w:p>
    <w:p w14:paraId="68E9C2C1" w14:textId="77777777" w:rsidR="00E72F5F" w:rsidRPr="00E6739B" w:rsidRDefault="00E72F5F" w:rsidP="002F53AB">
      <w:pPr>
        <w:pStyle w:val="NormalWeb"/>
        <w:spacing w:line="360" w:lineRule="auto"/>
        <w:jc w:val="both"/>
        <w:rPr>
          <w:rFonts w:asciiTheme="majorBidi" w:eastAsia="Calibri" w:hAnsiTheme="majorBidi" w:cstheme="majorBidi"/>
          <w:bCs/>
        </w:rPr>
      </w:pPr>
    </w:p>
    <w:p w14:paraId="1DDF97E5" w14:textId="07477C5D" w:rsidR="00BC160B" w:rsidRPr="00FD1E7A" w:rsidRDefault="00543BAD" w:rsidP="00EE0379">
      <w:pPr>
        <w:spacing w:line="360" w:lineRule="auto"/>
        <w:jc w:val="both"/>
        <w:rPr>
          <w:rFonts w:asciiTheme="majorBidi" w:eastAsiaTheme="minorHAnsi" w:hAnsiTheme="majorBidi" w:cstheme="majorBidi"/>
          <w:b/>
          <w:kern w:val="0"/>
          <w:sz w:val="22"/>
          <w:szCs w:val="22"/>
          <w14:ligatures w14:val="none"/>
        </w:rPr>
      </w:pPr>
      <w:r w:rsidRPr="00FD1E7A">
        <w:rPr>
          <w:rFonts w:asciiTheme="majorBidi" w:eastAsiaTheme="minorHAnsi" w:hAnsiTheme="majorBidi" w:cstheme="majorBidi"/>
          <w:b/>
          <w:kern w:val="0"/>
          <w:sz w:val="22"/>
          <w:szCs w:val="22"/>
          <w14:ligatures w14:val="none"/>
        </w:rPr>
        <w:t>RESULTS AND DISCUSSION</w:t>
      </w:r>
    </w:p>
    <w:p w14:paraId="45D5739E" w14:textId="306E0A87" w:rsidR="00BC160B" w:rsidRPr="00FD1E7A" w:rsidRDefault="005D029F" w:rsidP="00EE0379">
      <w:pPr>
        <w:spacing w:line="360" w:lineRule="auto"/>
        <w:jc w:val="both"/>
        <w:rPr>
          <w:rFonts w:asciiTheme="majorBidi" w:hAnsiTheme="majorBidi" w:cstheme="majorBidi"/>
          <w:b/>
          <w:bCs/>
          <w:color w:val="000000" w:themeColor="text1"/>
        </w:rPr>
      </w:pPr>
      <w:r w:rsidRPr="00FD1E7A">
        <w:rPr>
          <w:rFonts w:asciiTheme="majorBidi" w:hAnsiTheme="majorBidi" w:cstheme="majorBidi"/>
          <w:b/>
          <w:bCs/>
          <w:color w:val="000000" w:themeColor="text1"/>
        </w:rPr>
        <w:t xml:space="preserve">Distribution of </w:t>
      </w:r>
      <w:r w:rsidR="00580D1B" w:rsidRPr="00FD1E7A">
        <w:rPr>
          <w:rFonts w:asciiTheme="majorBidi" w:hAnsiTheme="majorBidi" w:cstheme="majorBidi"/>
          <w:b/>
          <w:bCs/>
          <w:color w:val="000000" w:themeColor="text1"/>
        </w:rPr>
        <w:t xml:space="preserve">Respondents According </w:t>
      </w:r>
      <w:r w:rsidRPr="00FD1E7A">
        <w:rPr>
          <w:rFonts w:asciiTheme="majorBidi" w:hAnsiTheme="majorBidi" w:cstheme="majorBidi"/>
          <w:b/>
          <w:bCs/>
          <w:color w:val="000000" w:themeColor="text1"/>
        </w:rPr>
        <w:t xml:space="preserve">to </w:t>
      </w:r>
      <w:r w:rsidR="00580D1B" w:rsidRPr="00FD1E7A">
        <w:rPr>
          <w:rFonts w:asciiTheme="majorBidi" w:hAnsiTheme="majorBidi" w:cstheme="majorBidi"/>
          <w:b/>
          <w:bCs/>
          <w:color w:val="000000" w:themeColor="text1"/>
        </w:rPr>
        <w:t>Socio</w:t>
      </w:r>
      <w:r w:rsidRPr="00FD1E7A">
        <w:rPr>
          <w:rFonts w:asciiTheme="majorBidi" w:hAnsiTheme="majorBidi" w:cstheme="majorBidi"/>
          <w:b/>
          <w:bCs/>
          <w:color w:val="000000" w:themeColor="text1"/>
        </w:rPr>
        <w:t>-</w:t>
      </w:r>
      <w:r w:rsidR="00580D1B" w:rsidRPr="00FD1E7A">
        <w:rPr>
          <w:rFonts w:asciiTheme="majorBidi" w:hAnsiTheme="majorBidi" w:cstheme="majorBidi"/>
          <w:b/>
          <w:bCs/>
          <w:color w:val="000000" w:themeColor="text1"/>
        </w:rPr>
        <w:t>Economic Characteristics</w:t>
      </w:r>
    </w:p>
    <w:p w14:paraId="55BE39E6" w14:textId="236FA6A8" w:rsidR="0001179E" w:rsidRPr="00C35FC5" w:rsidRDefault="00545354" w:rsidP="00C35FC5">
      <w:pPr>
        <w:spacing w:line="360" w:lineRule="auto"/>
        <w:jc w:val="both"/>
        <w:rPr>
          <w:rFonts w:asciiTheme="majorBidi" w:hAnsiTheme="majorBidi" w:cstheme="majorBidi"/>
          <w:color w:val="000000"/>
        </w:rPr>
      </w:pPr>
      <w:r w:rsidRPr="00FD1E7A">
        <w:rPr>
          <w:rFonts w:asciiTheme="majorBidi" w:hAnsiTheme="majorBidi" w:cstheme="majorBidi"/>
          <w:color w:val="000000"/>
        </w:rPr>
        <w:t>The result</w:t>
      </w:r>
      <w:r w:rsidR="004F562A" w:rsidRPr="00FD1E7A">
        <w:rPr>
          <w:rFonts w:asciiTheme="majorBidi" w:hAnsiTheme="majorBidi" w:cstheme="majorBidi"/>
          <w:color w:val="000000"/>
        </w:rPr>
        <w:t xml:space="preserve"> in table </w:t>
      </w:r>
      <w:r w:rsidR="00CB10C1">
        <w:rPr>
          <w:rFonts w:asciiTheme="majorBidi" w:hAnsiTheme="majorBidi" w:cstheme="majorBidi"/>
          <w:color w:val="000000"/>
        </w:rPr>
        <w:t>2</w:t>
      </w:r>
      <w:r w:rsidRPr="00FD1E7A">
        <w:rPr>
          <w:rFonts w:asciiTheme="majorBidi" w:hAnsiTheme="majorBidi" w:cstheme="majorBidi"/>
          <w:color w:val="000000"/>
        </w:rPr>
        <w:t xml:space="preserve"> shows </w:t>
      </w:r>
      <w:r w:rsidR="00AB7056" w:rsidRPr="00FD1E7A">
        <w:rPr>
          <w:rFonts w:asciiTheme="majorBidi" w:hAnsiTheme="majorBidi" w:cstheme="majorBidi"/>
          <w:color w:val="000000"/>
        </w:rPr>
        <w:t>that the respondents had a</w:t>
      </w:r>
      <w:r w:rsidR="00AB7056" w:rsidRPr="00FD1E7A">
        <w:rPr>
          <w:rStyle w:val="apple-converted-space"/>
          <w:rFonts w:asciiTheme="majorBidi" w:hAnsiTheme="majorBidi" w:cstheme="majorBidi"/>
          <w:color w:val="000000"/>
        </w:rPr>
        <w:t> </w:t>
      </w:r>
      <w:r w:rsidR="004F0257" w:rsidRPr="00FD1E7A">
        <w:rPr>
          <w:rFonts w:asciiTheme="majorBidi" w:hAnsiTheme="majorBidi" w:cstheme="majorBidi"/>
          <w:lang w:val="en-GB"/>
        </w:rPr>
        <w:t xml:space="preserve">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 xml:space="preserve">) </m:t>
        </m:r>
      </m:oMath>
      <w:r w:rsidR="00AB7056" w:rsidRPr="00FD1E7A">
        <w:rPr>
          <w:rStyle w:val="Strong"/>
          <w:rFonts w:asciiTheme="majorBidi" w:hAnsiTheme="majorBidi" w:cstheme="majorBidi"/>
          <w:b w:val="0"/>
          <w:bCs w:val="0"/>
          <w:color w:val="000000"/>
        </w:rPr>
        <w:t xml:space="preserve"> age of 37.4 years</w:t>
      </w:r>
      <w:r w:rsidR="00AB7056" w:rsidRPr="00FD1E7A">
        <w:rPr>
          <w:rFonts w:asciiTheme="majorBidi" w:hAnsiTheme="majorBidi" w:cstheme="majorBidi"/>
          <w:color w:val="000000"/>
        </w:rPr>
        <w:t xml:space="preserve">, indicating that most were within their productive and economically active years. This agrees with </w:t>
      </w:r>
      <w:proofErr w:type="spellStart"/>
      <w:r w:rsidR="00AB7056" w:rsidRPr="00FD1E7A">
        <w:rPr>
          <w:rFonts w:asciiTheme="majorBidi" w:hAnsiTheme="majorBidi" w:cstheme="majorBidi"/>
          <w:color w:val="000000"/>
        </w:rPr>
        <w:t>Ogunlela</w:t>
      </w:r>
      <w:proofErr w:type="spellEnd"/>
      <w:r w:rsidR="00AB7056" w:rsidRPr="00FD1E7A">
        <w:rPr>
          <w:rFonts w:asciiTheme="majorBidi" w:hAnsiTheme="majorBidi" w:cstheme="majorBidi"/>
          <w:color w:val="000000"/>
        </w:rPr>
        <w:t xml:space="preserve"> and Mukhtar (2009), who noted that women </w:t>
      </w:r>
      <w:r w:rsidR="000749B1" w:rsidRPr="00FD1E7A">
        <w:rPr>
          <w:rFonts w:asciiTheme="majorBidi" w:hAnsiTheme="majorBidi" w:cstheme="majorBidi"/>
          <w:color w:val="000000"/>
        </w:rPr>
        <w:t xml:space="preserve">workforce </w:t>
      </w:r>
      <w:r w:rsidR="00580D1B" w:rsidRPr="00FD1E7A">
        <w:rPr>
          <w:rFonts w:asciiTheme="majorBidi" w:hAnsiTheme="majorBidi" w:cstheme="majorBidi"/>
          <w:color w:val="000000"/>
        </w:rPr>
        <w:t>is</w:t>
      </w:r>
      <w:r w:rsidR="000749B1" w:rsidRPr="00FD1E7A">
        <w:rPr>
          <w:rFonts w:asciiTheme="majorBidi" w:hAnsiTheme="majorBidi" w:cstheme="majorBidi"/>
          <w:color w:val="000000"/>
        </w:rPr>
        <w:t xml:space="preserve"> predominantly in their productive years </w:t>
      </w:r>
      <w:r w:rsidR="00AB7056" w:rsidRPr="00FD1E7A">
        <w:rPr>
          <w:rFonts w:asciiTheme="majorBidi" w:hAnsiTheme="majorBidi" w:cstheme="majorBidi"/>
          <w:color w:val="000000"/>
        </w:rPr>
        <w:t>in agricultural activities.</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A </w:t>
      </w:r>
      <w:r w:rsidR="00580D1B" w:rsidRPr="00FD1E7A">
        <w:rPr>
          <w:rFonts w:asciiTheme="majorBidi" w:hAnsiTheme="majorBidi" w:cstheme="majorBidi"/>
          <w:color w:val="000000"/>
        </w:rPr>
        <w:t>few of the women (</w:t>
      </w:r>
      <w:r w:rsidR="00AB7056" w:rsidRPr="00FD1E7A">
        <w:rPr>
          <w:rFonts w:asciiTheme="majorBidi" w:hAnsiTheme="majorBidi" w:cstheme="majorBidi"/>
          <w:color w:val="000000"/>
        </w:rPr>
        <w:t>38.2%</w:t>
      </w:r>
      <w:r w:rsidR="00580D1B" w:rsidRPr="00FD1E7A">
        <w:rPr>
          <w:rFonts w:asciiTheme="majorBidi" w:hAnsiTheme="majorBidi" w:cstheme="majorBidi"/>
          <w:color w:val="000000"/>
        </w:rPr>
        <w:t>)</w:t>
      </w:r>
      <w:r w:rsidR="00AB7056" w:rsidRPr="00FD1E7A">
        <w:rPr>
          <w:rFonts w:asciiTheme="majorBidi" w:hAnsiTheme="majorBidi" w:cstheme="majorBidi"/>
          <w:color w:val="000000"/>
        </w:rPr>
        <w:t xml:space="preserve"> were married, implying that</w:t>
      </w:r>
      <w:r w:rsidR="00580D1B" w:rsidRPr="00FD1E7A">
        <w:rPr>
          <w:rFonts w:asciiTheme="majorBidi" w:hAnsiTheme="majorBidi" w:cstheme="majorBidi"/>
          <w:color w:val="000000"/>
        </w:rPr>
        <w:t xml:space="preserve"> women joggle between </w:t>
      </w:r>
      <w:r w:rsidR="00AB7056" w:rsidRPr="00FD1E7A">
        <w:rPr>
          <w:rFonts w:asciiTheme="majorBidi" w:hAnsiTheme="majorBidi" w:cstheme="majorBidi"/>
          <w:color w:val="000000"/>
        </w:rPr>
        <w:t xml:space="preserve">work and family responsibilities, which may increase stress and </w:t>
      </w:r>
      <w:r w:rsidR="00580D1B" w:rsidRPr="00FD1E7A">
        <w:rPr>
          <w:rFonts w:asciiTheme="majorBidi" w:hAnsiTheme="majorBidi" w:cstheme="majorBidi"/>
          <w:color w:val="000000"/>
        </w:rPr>
        <w:t xml:space="preserve">thereby </w:t>
      </w:r>
      <w:r w:rsidR="00AB7056" w:rsidRPr="00FD1E7A">
        <w:rPr>
          <w:rFonts w:asciiTheme="majorBidi" w:hAnsiTheme="majorBidi" w:cstheme="majorBidi"/>
          <w:color w:val="000000"/>
        </w:rPr>
        <w:t>expos</w:t>
      </w:r>
      <w:r w:rsidR="00580D1B" w:rsidRPr="00FD1E7A">
        <w:rPr>
          <w:rFonts w:asciiTheme="majorBidi" w:hAnsiTheme="majorBidi" w:cstheme="majorBidi"/>
          <w:color w:val="000000"/>
        </w:rPr>
        <w:t xml:space="preserve">ing marriage partners </w:t>
      </w:r>
      <w:r w:rsidR="00AB7056" w:rsidRPr="00FD1E7A">
        <w:rPr>
          <w:rFonts w:asciiTheme="majorBidi" w:hAnsiTheme="majorBidi" w:cstheme="majorBidi"/>
          <w:color w:val="000000"/>
        </w:rPr>
        <w:t xml:space="preserve">to </w:t>
      </w:r>
      <w:r w:rsidR="00580D1B" w:rsidRPr="00FD1E7A">
        <w:rPr>
          <w:rFonts w:asciiTheme="majorBidi" w:hAnsiTheme="majorBidi" w:cstheme="majorBidi"/>
          <w:color w:val="000000"/>
        </w:rPr>
        <w:t>Gender</w:t>
      </w:r>
      <w:r w:rsidR="00AB7056" w:rsidRPr="00FD1E7A">
        <w:rPr>
          <w:rFonts w:asciiTheme="majorBidi" w:hAnsiTheme="majorBidi" w:cstheme="majorBidi"/>
          <w:color w:val="000000"/>
        </w:rPr>
        <w:t>-</w:t>
      </w:r>
      <w:r w:rsidR="00580D1B" w:rsidRPr="00FD1E7A">
        <w:rPr>
          <w:rFonts w:asciiTheme="majorBidi" w:hAnsiTheme="majorBidi" w:cstheme="majorBidi"/>
          <w:color w:val="000000"/>
        </w:rPr>
        <w:t xml:space="preserve">Based issues and </w:t>
      </w:r>
      <w:r w:rsidR="00AB7056" w:rsidRPr="00FD1E7A">
        <w:rPr>
          <w:rFonts w:asciiTheme="majorBidi" w:hAnsiTheme="majorBidi" w:cstheme="majorBidi"/>
          <w:color w:val="000000"/>
        </w:rPr>
        <w:t>challenges</w:t>
      </w:r>
      <w:r w:rsidR="00453257" w:rsidRPr="00FD1E7A">
        <w:rPr>
          <w:rFonts w:asciiTheme="majorBidi" w:hAnsiTheme="majorBidi" w:cstheme="majorBidi"/>
          <w:color w:val="000000"/>
        </w:rPr>
        <w:t xml:space="preserve">. This </w:t>
      </w:r>
      <w:r w:rsidR="00BD1A49" w:rsidRPr="00FD1E7A">
        <w:rPr>
          <w:rFonts w:asciiTheme="majorBidi" w:hAnsiTheme="majorBidi" w:cstheme="majorBidi"/>
          <w:color w:val="000000"/>
        </w:rPr>
        <w:t xml:space="preserve">aligns with </w:t>
      </w:r>
      <w:r w:rsidR="00AC6C8E">
        <w:rPr>
          <w:rFonts w:ascii="Arial" w:hAnsi="Arial" w:cs="Arial"/>
          <w:color w:val="222222"/>
          <w:sz w:val="20"/>
          <w:szCs w:val="20"/>
          <w:shd w:val="clear" w:color="auto" w:fill="FFFFFF"/>
        </w:rPr>
        <w:t>Murphy</w:t>
      </w:r>
      <w:r w:rsidR="00AC6C8E">
        <w:rPr>
          <w:rFonts w:ascii="Arial" w:hAnsi="Arial" w:cs="Arial"/>
          <w:color w:val="222222"/>
          <w:sz w:val="20"/>
          <w:szCs w:val="20"/>
          <w:shd w:val="clear" w:color="auto" w:fill="FFFFFF"/>
        </w:rPr>
        <w:t xml:space="preserve"> </w:t>
      </w:r>
      <w:r w:rsidR="00AC6C8E">
        <w:rPr>
          <w:rFonts w:ascii="Arial" w:hAnsi="Arial" w:cs="Arial"/>
          <w:color w:val="222222"/>
          <w:sz w:val="20"/>
          <w:szCs w:val="20"/>
          <w:shd w:val="clear" w:color="auto" w:fill="FFFFFF"/>
        </w:rPr>
        <w:t>&amp; Burke</w:t>
      </w:r>
      <w:r w:rsidR="00AC6C8E">
        <w:rPr>
          <w:rFonts w:ascii="Arial" w:hAnsi="Arial" w:cs="Arial"/>
          <w:color w:val="222222"/>
          <w:sz w:val="20"/>
          <w:szCs w:val="20"/>
          <w:shd w:val="clear" w:color="auto" w:fill="FFFFFF"/>
        </w:rPr>
        <w:t xml:space="preserve"> </w:t>
      </w:r>
      <w:r w:rsidR="00BD1A49" w:rsidRPr="00FD1E7A">
        <w:rPr>
          <w:rFonts w:asciiTheme="majorBidi" w:hAnsiTheme="majorBidi" w:cstheme="majorBidi"/>
          <w:color w:val="000000"/>
        </w:rPr>
        <w:t>(</w:t>
      </w:r>
      <w:r w:rsidR="00AC6C8E">
        <w:rPr>
          <w:rFonts w:asciiTheme="majorBidi" w:hAnsiTheme="majorBidi" w:cstheme="majorBidi"/>
          <w:color w:val="000000"/>
        </w:rPr>
        <w:t>2015</w:t>
      </w:r>
      <w:r w:rsidR="00AB7056" w:rsidRPr="00FD1E7A">
        <w:rPr>
          <w:rFonts w:asciiTheme="majorBidi" w:hAnsiTheme="majorBidi" w:cstheme="majorBidi"/>
          <w:color w:val="000000"/>
        </w:rPr>
        <w:t>)</w:t>
      </w:r>
      <w:r w:rsidR="00760503" w:rsidRPr="00FD1E7A">
        <w:rPr>
          <w:rFonts w:asciiTheme="majorBidi" w:hAnsiTheme="majorBidi" w:cstheme="majorBidi"/>
          <w:color w:val="000000"/>
        </w:rPr>
        <w:t>,</w:t>
      </w:r>
      <w:r w:rsidR="00580D1B" w:rsidRPr="00FD1E7A">
        <w:rPr>
          <w:rFonts w:asciiTheme="majorBidi" w:hAnsiTheme="majorBidi" w:cstheme="majorBidi"/>
          <w:color w:val="000000"/>
        </w:rPr>
        <w:t xml:space="preserve"> who </w:t>
      </w:r>
      <w:r w:rsidR="00760503" w:rsidRPr="00FD1E7A">
        <w:rPr>
          <w:rFonts w:asciiTheme="majorBidi" w:hAnsiTheme="majorBidi" w:cstheme="majorBidi"/>
          <w:color w:val="000000"/>
        </w:rPr>
        <w:t xml:space="preserve">noted that marital responsibilities </w:t>
      </w:r>
      <w:r w:rsidR="000A1C1B" w:rsidRPr="00FD1E7A">
        <w:rPr>
          <w:rFonts w:asciiTheme="majorBidi" w:hAnsiTheme="majorBidi" w:cstheme="majorBidi"/>
          <w:color w:val="000000"/>
        </w:rPr>
        <w:t xml:space="preserve">often increase women’s vulnerability to </w:t>
      </w:r>
      <w:r w:rsidR="00580D1B" w:rsidRPr="00FD1E7A">
        <w:rPr>
          <w:rFonts w:asciiTheme="majorBidi" w:hAnsiTheme="majorBidi" w:cstheme="majorBidi"/>
          <w:color w:val="000000"/>
        </w:rPr>
        <w:t>Gender</w:t>
      </w:r>
      <w:r w:rsidR="000A1C1B" w:rsidRPr="00FD1E7A">
        <w:rPr>
          <w:rFonts w:asciiTheme="majorBidi" w:hAnsiTheme="majorBidi" w:cstheme="majorBidi"/>
          <w:color w:val="000000"/>
        </w:rPr>
        <w:t>-</w:t>
      </w:r>
      <w:r w:rsidR="00580D1B" w:rsidRPr="00FD1E7A">
        <w:rPr>
          <w:rFonts w:asciiTheme="majorBidi" w:hAnsiTheme="majorBidi" w:cstheme="majorBidi"/>
          <w:color w:val="000000"/>
        </w:rPr>
        <w:t>Based Violence</w:t>
      </w:r>
      <w:r w:rsidR="00134330" w:rsidRPr="00FD1E7A">
        <w:rPr>
          <w:rFonts w:asciiTheme="majorBidi" w:hAnsiTheme="majorBidi" w:cstheme="majorBidi"/>
          <w:color w:val="000000"/>
        </w:rPr>
        <w:t>.</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The</w:t>
      </w:r>
      <w:r w:rsidR="00AB7056" w:rsidRPr="00FD1E7A">
        <w:rPr>
          <w:rStyle w:val="Strong"/>
          <w:rFonts w:asciiTheme="majorBidi" w:hAnsiTheme="majorBidi" w:cstheme="majorBidi"/>
          <w:b w:val="0"/>
          <w:bCs w:val="0"/>
          <w:color w:val="000000"/>
        </w:rPr>
        <w:t xml:space="preserve"> </w:t>
      </w:r>
      <w:r w:rsidR="00BA3E7E" w:rsidRPr="00FD1E7A">
        <w:rPr>
          <w:rFonts w:asciiTheme="majorBidi" w:hAnsiTheme="majorBidi" w:cstheme="majorBidi"/>
          <w:lang w:val="en-GB"/>
        </w:rPr>
        <w:t xml:space="preserve">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 xml:space="preserve">) </m:t>
        </m:r>
      </m:oMath>
      <w:r w:rsidR="00AB7056" w:rsidRPr="00FD1E7A">
        <w:rPr>
          <w:rStyle w:val="Strong"/>
          <w:rFonts w:asciiTheme="majorBidi" w:hAnsiTheme="majorBidi" w:cstheme="majorBidi"/>
          <w:b w:val="0"/>
          <w:bCs w:val="0"/>
          <w:color w:val="000000"/>
        </w:rPr>
        <w:t xml:space="preserve">household size of </w:t>
      </w:r>
      <w:r w:rsidR="00BA3E7E" w:rsidRPr="00FD1E7A">
        <w:rPr>
          <w:rStyle w:val="Strong"/>
          <w:rFonts w:asciiTheme="majorBidi" w:hAnsiTheme="majorBidi" w:cstheme="majorBidi"/>
          <w:b w:val="0"/>
          <w:bCs w:val="0"/>
          <w:color w:val="000000"/>
        </w:rPr>
        <w:t>6</w:t>
      </w:r>
      <w:r w:rsidR="00AB7056" w:rsidRPr="00FD1E7A">
        <w:rPr>
          <w:rStyle w:val="Strong"/>
          <w:rFonts w:asciiTheme="majorBidi" w:hAnsiTheme="majorBidi" w:cstheme="majorBidi"/>
          <w:b w:val="0"/>
          <w:bCs w:val="0"/>
          <w:color w:val="000000"/>
        </w:rPr>
        <w:t xml:space="preserve"> persons</w:t>
      </w:r>
      <w:r w:rsidR="00AB7056" w:rsidRPr="00FD1E7A">
        <w:rPr>
          <w:rStyle w:val="apple-converted-space"/>
          <w:rFonts w:asciiTheme="majorBidi" w:hAnsiTheme="majorBidi" w:cstheme="majorBidi"/>
          <w:color w:val="000000"/>
        </w:rPr>
        <w:t> </w:t>
      </w:r>
      <w:r w:rsidR="00AB7056" w:rsidRPr="00FD1E7A">
        <w:rPr>
          <w:rFonts w:asciiTheme="majorBidi" w:hAnsiTheme="majorBidi" w:cstheme="majorBidi"/>
          <w:color w:val="000000"/>
        </w:rPr>
        <w:t xml:space="preserve">suggests that many respondents manage large families, which could increase financial and domestic </w:t>
      </w:r>
      <w:r w:rsidR="004B5C31" w:rsidRPr="00FD1E7A">
        <w:rPr>
          <w:rFonts w:asciiTheme="majorBidi" w:hAnsiTheme="majorBidi" w:cstheme="majorBidi"/>
          <w:color w:val="000000"/>
        </w:rPr>
        <w:t xml:space="preserve">burden and </w:t>
      </w:r>
      <w:r w:rsidR="00AB7056" w:rsidRPr="00FD1E7A">
        <w:rPr>
          <w:rFonts w:asciiTheme="majorBidi" w:hAnsiTheme="majorBidi" w:cstheme="majorBidi"/>
          <w:color w:val="000000"/>
        </w:rPr>
        <w:t>pressure</w:t>
      </w:r>
      <w:r w:rsidR="00926FB5" w:rsidRPr="00FD1E7A">
        <w:rPr>
          <w:rFonts w:asciiTheme="majorBidi" w:hAnsiTheme="majorBidi" w:cstheme="majorBidi"/>
          <w:color w:val="000000"/>
        </w:rPr>
        <w:t xml:space="preserve">. This finding is in line with </w:t>
      </w:r>
      <w:proofErr w:type="spellStart"/>
      <w:r w:rsidR="00AC6C8E">
        <w:rPr>
          <w:rFonts w:ascii="Arial" w:hAnsi="Arial" w:cs="Arial"/>
          <w:color w:val="222222"/>
          <w:sz w:val="20"/>
          <w:szCs w:val="20"/>
          <w:shd w:val="clear" w:color="auto" w:fill="FFFFFF"/>
        </w:rPr>
        <w:t>Gbolahan</w:t>
      </w:r>
      <w:proofErr w:type="spellEnd"/>
      <w:r w:rsidR="00AC6C8E">
        <w:rPr>
          <w:rFonts w:ascii="Arial" w:hAnsi="Arial" w:cs="Arial"/>
          <w:color w:val="222222"/>
          <w:sz w:val="20"/>
          <w:szCs w:val="20"/>
          <w:shd w:val="clear" w:color="auto" w:fill="FFFFFF"/>
        </w:rPr>
        <w:t xml:space="preserve"> &amp; </w:t>
      </w:r>
      <w:proofErr w:type="spellStart"/>
      <w:r w:rsidR="00AC6C8E">
        <w:rPr>
          <w:rFonts w:ascii="Arial" w:hAnsi="Arial" w:cs="Arial"/>
          <w:color w:val="222222"/>
          <w:sz w:val="20"/>
          <w:szCs w:val="20"/>
          <w:shd w:val="clear" w:color="auto" w:fill="FFFFFF"/>
        </w:rPr>
        <w:t>Ayodapo</w:t>
      </w:r>
      <w:proofErr w:type="spellEnd"/>
      <w:r w:rsidR="00AC6C8E" w:rsidRPr="00FD1E7A">
        <w:rPr>
          <w:rFonts w:asciiTheme="majorBidi" w:hAnsiTheme="majorBidi" w:cstheme="majorBidi"/>
          <w:color w:val="000000"/>
        </w:rPr>
        <w:t xml:space="preserve"> </w:t>
      </w:r>
      <w:r w:rsidR="004A4A63" w:rsidRPr="00FD1E7A">
        <w:rPr>
          <w:rFonts w:asciiTheme="majorBidi" w:hAnsiTheme="majorBidi" w:cstheme="majorBidi"/>
          <w:color w:val="000000"/>
        </w:rPr>
        <w:t>(</w:t>
      </w:r>
      <w:r w:rsidR="00AC6C8E">
        <w:rPr>
          <w:rFonts w:asciiTheme="majorBidi" w:hAnsiTheme="majorBidi" w:cstheme="majorBidi"/>
          <w:color w:val="000000"/>
        </w:rPr>
        <w:t>2013</w:t>
      </w:r>
      <w:r w:rsidR="00AB7056" w:rsidRPr="00FD1E7A">
        <w:rPr>
          <w:rFonts w:asciiTheme="majorBidi" w:hAnsiTheme="majorBidi" w:cstheme="majorBidi"/>
          <w:color w:val="000000"/>
        </w:rPr>
        <w:t>)</w:t>
      </w:r>
      <w:r w:rsidR="004C0471" w:rsidRPr="00FD1E7A">
        <w:rPr>
          <w:rFonts w:asciiTheme="majorBidi" w:hAnsiTheme="majorBidi" w:cstheme="majorBidi"/>
          <w:color w:val="000000"/>
        </w:rPr>
        <w:t xml:space="preserve">, who </w:t>
      </w:r>
      <w:r w:rsidR="004B5C31" w:rsidRPr="00FD1E7A">
        <w:rPr>
          <w:rFonts w:asciiTheme="majorBidi" w:hAnsiTheme="majorBidi" w:cstheme="majorBidi"/>
          <w:color w:val="000000"/>
        </w:rPr>
        <w:t>discovered</w:t>
      </w:r>
      <w:r w:rsidR="004C0471" w:rsidRPr="00FD1E7A">
        <w:rPr>
          <w:rFonts w:asciiTheme="majorBidi" w:hAnsiTheme="majorBidi" w:cstheme="majorBidi"/>
          <w:color w:val="000000"/>
        </w:rPr>
        <w:t xml:space="preserve"> that women </w:t>
      </w:r>
      <w:r w:rsidR="004B5C31" w:rsidRPr="00FD1E7A">
        <w:rPr>
          <w:rFonts w:asciiTheme="majorBidi" w:hAnsiTheme="majorBidi" w:cstheme="majorBidi"/>
          <w:color w:val="000000"/>
        </w:rPr>
        <w:t xml:space="preserve">folks </w:t>
      </w:r>
      <w:r w:rsidR="004C0471" w:rsidRPr="00FD1E7A">
        <w:rPr>
          <w:rFonts w:asciiTheme="majorBidi" w:hAnsiTheme="majorBidi" w:cstheme="majorBidi"/>
          <w:color w:val="000000"/>
        </w:rPr>
        <w:t xml:space="preserve">from larger households </w:t>
      </w:r>
      <w:r w:rsidR="00D94680" w:rsidRPr="00FD1E7A">
        <w:rPr>
          <w:rFonts w:asciiTheme="majorBidi" w:hAnsiTheme="majorBidi" w:cstheme="majorBidi"/>
          <w:color w:val="000000"/>
        </w:rPr>
        <w:t xml:space="preserve">often experience higher domestic pressure and economic </w:t>
      </w:r>
      <w:r w:rsidR="003F7CF1" w:rsidRPr="00FD1E7A">
        <w:rPr>
          <w:rFonts w:asciiTheme="majorBidi" w:hAnsiTheme="majorBidi" w:cstheme="majorBidi"/>
          <w:color w:val="000000"/>
        </w:rPr>
        <w:t>strain</w:t>
      </w:r>
      <w:r w:rsidR="004B5C31" w:rsidRPr="00FD1E7A">
        <w:rPr>
          <w:rFonts w:asciiTheme="majorBidi" w:hAnsiTheme="majorBidi" w:cstheme="majorBidi"/>
          <w:color w:val="000000"/>
        </w:rPr>
        <w:t xml:space="preserve"> than the men folks</w:t>
      </w:r>
      <w:r w:rsidR="003F7CF1" w:rsidRPr="00FD1E7A">
        <w:rPr>
          <w:rFonts w:asciiTheme="majorBidi" w:hAnsiTheme="majorBidi" w:cstheme="majorBidi"/>
          <w:color w:val="000000"/>
        </w:rPr>
        <w:t>.</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Income distribution showed </w:t>
      </w:r>
      <w:r w:rsidR="004B5C31" w:rsidRPr="00FD1E7A">
        <w:rPr>
          <w:rFonts w:asciiTheme="majorBidi" w:hAnsiTheme="majorBidi" w:cstheme="majorBidi"/>
          <w:color w:val="000000"/>
        </w:rPr>
        <w:t>the</w:t>
      </w:r>
      <w:r w:rsidR="003F7CF1" w:rsidRPr="00FD1E7A">
        <w:rPr>
          <w:rFonts w:asciiTheme="majorBidi" w:hAnsiTheme="majorBidi" w:cstheme="majorBidi"/>
          <w:lang w:val="en-GB"/>
        </w:rPr>
        <w:t xml:space="preserve"> 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m:t>
        </m:r>
      </m:oMath>
      <w:r w:rsidR="00AB7056" w:rsidRPr="00FD1E7A">
        <w:rPr>
          <w:rStyle w:val="apple-converted-space"/>
          <w:rFonts w:asciiTheme="majorBidi" w:hAnsiTheme="majorBidi" w:cstheme="majorBidi"/>
          <w:color w:val="000000"/>
        </w:rPr>
        <w:t> </w:t>
      </w:r>
      <w:r w:rsidR="00AB7056" w:rsidRPr="00FD1E7A">
        <w:rPr>
          <w:rStyle w:val="Strong"/>
          <w:rFonts w:asciiTheme="majorBidi" w:hAnsiTheme="majorBidi" w:cstheme="majorBidi"/>
          <w:b w:val="0"/>
          <w:bCs w:val="0"/>
          <w:color w:val="000000"/>
        </w:rPr>
        <w:t xml:space="preserve"> monthly income </w:t>
      </w:r>
      <w:r w:rsidR="004B5C31" w:rsidRPr="00FD1E7A">
        <w:rPr>
          <w:rStyle w:val="Strong"/>
          <w:rFonts w:asciiTheme="majorBidi" w:hAnsiTheme="majorBidi" w:cstheme="majorBidi"/>
          <w:b w:val="0"/>
          <w:bCs w:val="0"/>
          <w:color w:val="000000"/>
        </w:rPr>
        <w:t>stood at</w:t>
      </w:r>
      <w:r w:rsidR="00AB7056" w:rsidRPr="00FD1E7A">
        <w:rPr>
          <w:rStyle w:val="Strong"/>
          <w:rFonts w:asciiTheme="majorBidi" w:hAnsiTheme="majorBidi" w:cstheme="majorBidi"/>
          <w:b w:val="0"/>
          <w:bCs w:val="0"/>
          <w:color w:val="000000"/>
        </w:rPr>
        <w:t xml:space="preserve"> ₦56,909</w:t>
      </w:r>
      <w:r w:rsidR="00AB7056" w:rsidRPr="00FD1E7A">
        <w:rPr>
          <w:rFonts w:asciiTheme="majorBidi" w:hAnsiTheme="majorBidi" w:cstheme="majorBidi"/>
          <w:color w:val="000000"/>
        </w:rPr>
        <w:t xml:space="preserve">, with most earning </w:t>
      </w:r>
      <w:r w:rsidR="004B5C31" w:rsidRPr="00FD1E7A">
        <w:rPr>
          <w:rFonts w:asciiTheme="majorBidi" w:hAnsiTheme="majorBidi" w:cstheme="majorBidi"/>
          <w:color w:val="000000"/>
        </w:rPr>
        <w:t xml:space="preserve">between </w:t>
      </w:r>
      <w:r w:rsidR="00AB7056" w:rsidRPr="00FD1E7A">
        <w:rPr>
          <w:rFonts w:asciiTheme="majorBidi" w:hAnsiTheme="majorBidi" w:cstheme="majorBidi"/>
          <w:color w:val="000000"/>
        </w:rPr>
        <w:t>₦51,000–₦60,000. This indicates moderate income levels but limited financial independence.</w:t>
      </w:r>
      <w:r w:rsidR="00577854" w:rsidRPr="00FD1E7A">
        <w:rPr>
          <w:rFonts w:asciiTheme="majorBidi" w:hAnsiTheme="majorBidi" w:cstheme="majorBidi"/>
          <w:color w:val="000000"/>
        </w:rPr>
        <w:t xml:space="preserve"> </w:t>
      </w:r>
      <w:r w:rsidR="00577854" w:rsidRPr="00FD1E7A">
        <w:rPr>
          <w:rFonts w:asciiTheme="majorBidi" w:hAnsiTheme="majorBidi" w:cstheme="majorBidi"/>
        </w:rPr>
        <w:t xml:space="preserve">Dependency has been identified as a major factor heightening women’s vulnerability to gender-based violence </w:t>
      </w:r>
      <w:r w:rsidR="00577854" w:rsidRPr="00FD1E7A">
        <w:rPr>
          <w:rFonts w:asciiTheme="majorBidi" w:hAnsiTheme="majorBidi" w:cstheme="majorBidi"/>
        </w:rPr>
        <w:lastRenderedPageBreak/>
        <w:t>(</w:t>
      </w:r>
      <w:proofErr w:type="spellStart"/>
      <w:r w:rsidR="00AC6C8E">
        <w:rPr>
          <w:rFonts w:ascii="Arial" w:hAnsi="Arial" w:cs="Arial"/>
          <w:color w:val="222222"/>
          <w:sz w:val="20"/>
          <w:szCs w:val="20"/>
          <w:shd w:val="clear" w:color="auto" w:fill="FFFFFF"/>
        </w:rPr>
        <w:t>Gbolahan</w:t>
      </w:r>
      <w:proofErr w:type="spellEnd"/>
      <w:r w:rsidR="00AC6C8E">
        <w:rPr>
          <w:rFonts w:ascii="Arial" w:hAnsi="Arial" w:cs="Arial"/>
          <w:color w:val="222222"/>
          <w:sz w:val="20"/>
          <w:szCs w:val="20"/>
          <w:shd w:val="clear" w:color="auto" w:fill="FFFFFF"/>
        </w:rPr>
        <w:t xml:space="preserve">, O., &amp; </w:t>
      </w:r>
      <w:proofErr w:type="spellStart"/>
      <w:r w:rsidR="00AC6C8E">
        <w:rPr>
          <w:rFonts w:ascii="Arial" w:hAnsi="Arial" w:cs="Arial"/>
          <w:color w:val="222222"/>
          <w:sz w:val="20"/>
          <w:szCs w:val="20"/>
          <w:shd w:val="clear" w:color="auto" w:fill="FFFFFF"/>
        </w:rPr>
        <w:t>Ayodapo</w:t>
      </w:r>
      <w:proofErr w:type="spellEnd"/>
      <w:r w:rsidR="00AC6C8E">
        <w:rPr>
          <w:rFonts w:ascii="Arial" w:hAnsi="Arial" w:cs="Arial"/>
          <w:color w:val="222222"/>
          <w:sz w:val="20"/>
          <w:szCs w:val="20"/>
          <w:shd w:val="clear" w:color="auto" w:fill="FFFFFF"/>
        </w:rPr>
        <w:t>, 2013</w:t>
      </w:r>
      <w:r w:rsidR="00577854" w:rsidRPr="00FD1E7A">
        <w:rPr>
          <w:rFonts w:asciiTheme="majorBidi" w:hAnsiTheme="majorBidi" w:cstheme="majorBidi"/>
        </w:rPr>
        <w:t>).</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Most respondents </w:t>
      </w:r>
      <w:r w:rsidR="00D75FE5" w:rsidRPr="00FD1E7A">
        <w:rPr>
          <w:rFonts w:asciiTheme="majorBidi" w:hAnsiTheme="majorBidi" w:cstheme="majorBidi"/>
          <w:color w:val="000000"/>
        </w:rPr>
        <w:t xml:space="preserve">of </w:t>
      </w:r>
      <w:r w:rsidR="00AB7056" w:rsidRPr="00FD1E7A">
        <w:rPr>
          <w:rFonts w:asciiTheme="majorBidi" w:hAnsiTheme="majorBidi" w:cstheme="majorBidi"/>
          <w:color w:val="000000"/>
        </w:rPr>
        <w:t>39.1%</w:t>
      </w:r>
      <w:r w:rsidR="00D75FE5"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had secondary education, showing basic literacy but limited tertiary exposure. </w:t>
      </w:r>
      <w:r w:rsidR="007853EE" w:rsidRPr="00FD1E7A">
        <w:rPr>
          <w:rFonts w:asciiTheme="majorBidi" w:hAnsiTheme="majorBidi" w:cstheme="majorBidi"/>
          <w:color w:val="000000"/>
        </w:rPr>
        <w:t xml:space="preserve">Studies have shown that women with higher educational levels are most empowered to </w:t>
      </w:r>
      <w:r w:rsidR="006E3222" w:rsidRPr="00FD1E7A">
        <w:rPr>
          <w:rFonts w:asciiTheme="majorBidi" w:hAnsiTheme="majorBidi" w:cstheme="majorBidi"/>
          <w:color w:val="000000"/>
        </w:rPr>
        <w:t>challenge abusive practices (</w:t>
      </w:r>
      <w:proofErr w:type="spellStart"/>
      <w:r w:rsidR="006E3222" w:rsidRPr="00FD1E7A">
        <w:rPr>
          <w:rFonts w:asciiTheme="majorBidi" w:hAnsiTheme="majorBidi" w:cstheme="majorBidi"/>
          <w:color w:val="000000"/>
        </w:rPr>
        <w:t>Ogunlela</w:t>
      </w:r>
      <w:proofErr w:type="spellEnd"/>
      <w:r w:rsidR="006E3222" w:rsidRPr="00FD1E7A">
        <w:rPr>
          <w:rFonts w:asciiTheme="majorBidi" w:hAnsiTheme="majorBidi" w:cstheme="majorBidi"/>
          <w:color w:val="000000"/>
        </w:rPr>
        <w:t xml:space="preserve"> &amp; Mukhtar, 2009).</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The</w:t>
      </w:r>
      <w:r w:rsidR="00AB7056" w:rsidRPr="00FD1E7A">
        <w:rPr>
          <w:rStyle w:val="apple-converted-space"/>
          <w:rFonts w:asciiTheme="majorBidi" w:hAnsiTheme="majorBidi" w:cstheme="majorBidi"/>
          <w:color w:val="000000"/>
        </w:rPr>
        <w:t> </w:t>
      </w:r>
      <w:r w:rsidR="00AB7056" w:rsidRPr="00FD1E7A">
        <w:rPr>
          <w:rStyle w:val="Strong"/>
          <w:rFonts w:asciiTheme="majorBidi" w:hAnsiTheme="majorBidi" w:cstheme="majorBidi"/>
          <w:b w:val="0"/>
          <w:bCs w:val="0"/>
          <w:color w:val="000000"/>
        </w:rPr>
        <w:t xml:space="preserve">mean </w:t>
      </w:r>
      <m:oMath>
        <m:acc>
          <m:accPr>
            <m:chr m:val="̅"/>
            <m:ctrlPr>
              <w:rPr>
                <w:rFonts w:ascii="Cambria Math" w:hAnsi="Cambria Math" w:cstheme="majorBidi"/>
                <w:i/>
                <w:color w:val="000000" w:themeColor="text1"/>
              </w:rPr>
            </m:ctrlPr>
          </m:accPr>
          <m:e>
            <m:r>
              <w:rPr>
                <w:rFonts w:ascii="Cambria Math" w:hAnsi="Cambria Math" w:cstheme="majorBidi"/>
                <w:color w:val="000000" w:themeColor="text1"/>
              </w:rPr>
              <m:t>(x</m:t>
            </m:r>
          </m:e>
        </m:acc>
        <m:r>
          <w:rPr>
            <w:rFonts w:ascii="Cambria Math" w:hAnsi="Cambria Math" w:cstheme="majorBidi"/>
            <w:color w:val="000000" w:themeColor="text1"/>
          </w:rPr>
          <m:t>)</m:t>
        </m:r>
      </m:oMath>
      <w:r w:rsidR="00AB7056" w:rsidRPr="00FD1E7A">
        <w:rPr>
          <w:rStyle w:val="Strong"/>
          <w:rFonts w:asciiTheme="majorBidi" w:hAnsiTheme="majorBidi" w:cstheme="majorBidi"/>
          <w:b w:val="0"/>
          <w:bCs w:val="0"/>
          <w:color w:val="000000"/>
        </w:rPr>
        <w:t>job experience of 4.38 years</w:t>
      </w:r>
      <w:r w:rsidR="00AB7056" w:rsidRPr="00FD1E7A">
        <w:rPr>
          <w:rStyle w:val="apple-converted-space"/>
          <w:rFonts w:asciiTheme="majorBidi" w:hAnsiTheme="majorBidi" w:cstheme="majorBidi"/>
          <w:b/>
          <w:bCs/>
          <w:color w:val="000000"/>
        </w:rPr>
        <w:t> </w:t>
      </w:r>
      <w:r w:rsidR="00AB7056" w:rsidRPr="00FD1E7A">
        <w:rPr>
          <w:rFonts w:asciiTheme="majorBidi" w:hAnsiTheme="majorBidi" w:cstheme="majorBidi"/>
          <w:color w:val="000000"/>
        </w:rPr>
        <w:t xml:space="preserve">implies that many are relatively new in their workplaces, which may affect job stability and confidence. </w:t>
      </w:r>
      <w:r w:rsidR="008C7BA9" w:rsidRPr="00FD1E7A">
        <w:rPr>
          <w:rFonts w:asciiTheme="majorBidi" w:hAnsiTheme="majorBidi" w:cstheme="majorBidi"/>
          <w:color w:val="000000"/>
        </w:rPr>
        <w:t xml:space="preserve">According to </w:t>
      </w:r>
      <w:r w:rsidR="00AC6C8E">
        <w:rPr>
          <w:rFonts w:ascii="Arial" w:hAnsi="Arial" w:cs="Arial"/>
          <w:color w:val="222222"/>
          <w:sz w:val="20"/>
          <w:szCs w:val="20"/>
          <w:shd w:val="clear" w:color="auto" w:fill="FFFFFF"/>
        </w:rPr>
        <w:t xml:space="preserve">Murphy &amp; Burke </w:t>
      </w:r>
      <w:r w:rsidR="00AC6C8E" w:rsidRPr="00FD1E7A">
        <w:rPr>
          <w:rFonts w:asciiTheme="majorBidi" w:hAnsiTheme="majorBidi" w:cstheme="majorBidi"/>
          <w:color w:val="000000"/>
        </w:rPr>
        <w:t>(</w:t>
      </w:r>
      <w:r w:rsidR="00AC6C8E">
        <w:rPr>
          <w:rFonts w:asciiTheme="majorBidi" w:hAnsiTheme="majorBidi" w:cstheme="majorBidi"/>
          <w:color w:val="000000"/>
        </w:rPr>
        <w:t>2015</w:t>
      </w:r>
      <w:r w:rsidR="00AC6C8E" w:rsidRPr="00FD1E7A">
        <w:rPr>
          <w:rFonts w:asciiTheme="majorBidi" w:hAnsiTheme="majorBidi" w:cstheme="majorBidi"/>
          <w:color w:val="000000"/>
        </w:rPr>
        <w:t>),</w:t>
      </w:r>
      <w:r w:rsidR="00A46E95" w:rsidRPr="00FD1E7A">
        <w:rPr>
          <w:rFonts w:asciiTheme="majorBidi" w:hAnsiTheme="majorBidi" w:cstheme="majorBidi"/>
          <w:color w:val="000000"/>
        </w:rPr>
        <w:t xml:space="preserve"> women with less experience often face higher risk of workplace </w:t>
      </w:r>
      <w:r w:rsidR="00AC6454" w:rsidRPr="00FD1E7A">
        <w:rPr>
          <w:rFonts w:asciiTheme="majorBidi" w:hAnsiTheme="majorBidi" w:cstheme="majorBidi"/>
          <w:color w:val="000000"/>
        </w:rPr>
        <w:t>harassment because they lack seniority or negotiating influence.</w:t>
      </w:r>
      <w:r w:rsidR="008D0537" w:rsidRPr="00FD1E7A">
        <w:rPr>
          <w:rFonts w:asciiTheme="majorBidi" w:hAnsiTheme="majorBidi" w:cstheme="majorBidi"/>
          <w:color w:val="000000"/>
        </w:rPr>
        <w:t xml:space="preserve"> </w:t>
      </w:r>
      <w:r w:rsidR="00AB7056" w:rsidRPr="00FD1E7A">
        <w:rPr>
          <w:rFonts w:asciiTheme="majorBidi" w:hAnsiTheme="majorBidi" w:cstheme="majorBidi"/>
          <w:color w:val="000000"/>
        </w:rPr>
        <w:t xml:space="preserve">Ethnically, the majority </w:t>
      </w:r>
      <w:r w:rsidR="00D77ECD" w:rsidRPr="00FD1E7A">
        <w:rPr>
          <w:rFonts w:asciiTheme="majorBidi" w:hAnsiTheme="majorBidi" w:cstheme="majorBidi"/>
          <w:color w:val="000000"/>
        </w:rPr>
        <w:t xml:space="preserve">of </w:t>
      </w:r>
      <w:r w:rsidR="00AB7056" w:rsidRPr="00FD1E7A">
        <w:rPr>
          <w:rFonts w:asciiTheme="majorBidi" w:hAnsiTheme="majorBidi" w:cstheme="majorBidi"/>
          <w:color w:val="000000"/>
        </w:rPr>
        <w:t>50.9% were Hausa, indicating diversity in the workforce</w:t>
      </w:r>
      <w:r w:rsidR="00502BF3" w:rsidRPr="00FD1E7A">
        <w:rPr>
          <w:rFonts w:asciiTheme="majorBidi" w:hAnsiTheme="majorBidi" w:cstheme="majorBidi"/>
          <w:color w:val="000000"/>
        </w:rPr>
        <w:t xml:space="preserve">, ethnic background may influence how </w:t>
      </w:r>
      <w:r w:rsidR="00913777" w:rsidRPr="00FD1E7A">
        <w:rPr>
          <w:rFonts w:asciiTheme="majorBidi" w:hAnsiTheme="majorBidi" w:cstheme="majorBidi"/>
          <w:color w:val="000000"/>
        </w:rPr>
        <w:t>GBV</w:t>
      </w:r>
      <w:r w:rsidR="00502BF3" w:rsidRPr="00FD1E7A">
        <w:rPr>
          <w:rFonts w:asciiTheme="majorBidi" w:hAnsiTheme="majorBidi" w:cstheme="majorBidi"/>
          <w:color w:val="000000"/>
        </w:rPr>
        <w:t xml:space="preserve"> is </w:t>
      </w:r>
      <w:r w:rsidR="00913777" w:rsidRPr="00FD1E7A">
        <w:rPr>
          <w:rFonts w:asciiTheme="majorBidi" w:hAnsiTheme="majorBidi" w:cstheme="majorBidi"/>
          <w:color w:val="000000"/>
        </w:rPr>
        <w:t>perceived and reported.</w:t>
      </w:r>
      <w:r w:rsidR="003B5482" w:rsidRPr="00FD1E7A">
        <w:rPr>
          <w:rFonts w:asciiTheme="majorBidi" w:hAnsiTheme="majorBidi" w:cstheme="majorBidi"/>
          <w:color w:val="000000"/>
        </w:rPr>
        <w:t xml:space="preserve"> noted that </w:t>
      </w:r>
      <w:r w:rsidR="00A82F36" w:rsidRPr="00FD1E7A">
        <w:rPr>
          <w:rFonts w:asciiTheme="majorBidi" w:hAnsiTheme="majorBidi" w:cstheme="majorBidi"/>
          <w:color w:val="000000"/>
        </w:rPr>
        <w:t xml:space="preserve">cultural differences shape women’s </w:t>
      </w:r>
      <w:r w:rsidR="00D209C6" w:rsidRPr="00FD1E7A">
        <w:rPr>
          <w:rFonts w:asciiTheme="majorBidi" w:hAnsiTheme="majorBidi" w:cstheme="majorBidi"/>
          <w:color w:val="000000"/>
        </w:rPr>
        <w:t>willingness to report abuse.</w:t>
      </w:r>
      <w:r w:rsidR="008D0537" w:rsidRPr="00FD1E7A">
        <w:rPr>
          <w:rFonts w:asciiTheme="majorBidi" w:hAnsiTheme="majorBidi" w:cstheme="majorBidi"/>
          <w:color w:val="000000"/>
        </w:rPr>
        <w:t xml:space="preserve"> </w:t>
      </w:r>
      <w:r w:rsidR="00D209C6" w:rsidRPr="00FD1E7A">
        <w:rPr>
          <w:rFonts w:asciiTheme="majorBidi" w:hAnsiTheme="majorBidi" w:cstheme="majorBidi"/>
          <w:color w:val="000000"/>
        </w:rPr>
        <w:t>W</w:t>
      </w:r>
      <w:r w:rsidR="00AB7056" w:rsidRPr="00FD1E7A">
        <w:rPr>
          <w:rFonts w:asciiTheme="majorBidi" w:hAnsiTheme="majorBidi" w:cstheme="majorBidi"/>
          <w:color w:val="000000"/>
        </w:rPr>
        <w:t>hile 65.5% had other sources of income, showing effort to reduce financial dependence</w:t>
      </w:r>
      <w:r w:rsidR="009A6730" w:rsidRPr="00FD1E7A">
        <w:rPr>
          <w:rFonts w:asciiTheme="majorBidi" w:hAnsiTheme="majorBidi" w:cstheme="majorBidi"/>
          <w:color w:val="000000"/>
        </w:rPr>
        <w:t xml:space="preserve">. </w:t>
      </w:r>
    </w:p>
    <w:p w14:paraId="5246A012"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5D30CA7E"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15C634B4"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189D7E3B"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44209ECB"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5B63DF44"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3CA4982F"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6FC90243"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056BAFB7"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4021128C"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2D7B7297"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1F99D0BB" w14:textId="77777777" w:rsidR="008C555A" w:rsidRDefault="008C555A" w:rsidP="00EE0379">
      <w:pPr>
        <w:spacing w:line="360" w:lineRule="auto"/>
        <w:jc w:val="both"/>
        <w:rPr>
          <w:rFonts w:asciiTheme="majorBidi" w:eastAsia="Times New Roman" w:hAnsiTheme="majorBidi" w:cstheme="majorBidi"/>
          <w:b/>
          <w:bCs/>
          <w:color w:val="000000"/>
          <w:sz w:val="27"/>
          <w:szCs w:val="27"/>
        </w:rPr>
      </w:pPr>
    </w:p>
    <w:p w14:paraId="3D295C0B" w14:textId="6AE95266" w:rsidR="00544CFD" w:rsidRPr="00FD1E7A" w:rsidRDefault="00DF3EDE" w:rsidP="00EE0379">
      <w:pPr>
        <w:spacing w:line="360" w:lineRule="auto"/>
        <w:jc w:val="both"/>
        <w:rPr>
          <w:rFonts w:asciiTheme="majorBidi" w:eastAsiaTheme="minorHAnsi" w:hAnsiTheme="majorBidi" w:cstheme="majorBidi"/>
          <w:b/>
          <w:kern w:val="0"/>
          <w:sz w:val="22"/>
          <w:szCs w:val="22"/>
          <w14:ligatures w14:val="none"/>
        </w:rPr>
      </w:pPr>
      <w:r w:rsidRPr="00FD1E7A">
        <w:rPr>
          <w:rFonts w:asciiTheme="majorBidi" w:eastAsia="Times New Roman" w:hAnsiTheme="majorBidi" w:cstheme="majorBidi"/>
          <w:b/>
          <w:bCs/>
          <w:color w:val="000000"/>
          <w:sz w:val="27"/>
          <w:szCs w:val="27"/>
        </w:rPr>
        <w:t xml:space="preserve">Table </w:t>
      </w:r>
      <w:r w:rsidR="00CB10C1">
        <w:rPr>
          <w:rFonts w:asciiTheme="majorBidi" w:eastAsia="Times New Roman" w:hAnsiTheme="majorBidi" w:cstheme="majorBidi"/>
          <w:b/>
          <w:bCs/>
          <w:color w:val="000000"/>
          <w:sz w:val="27"/>
          <w:szCs w:val="27"/>
        </w:rPr>
        <w:t>2</w:t>
      </w:r>
      <w:r w:rsidRPr="00FD1E7A">
        <w:rPr>
          <w:rFonts w:asciiTheme="majorBidi" w:eastAsia="Times New Roman" w:hAnsiTheme="majorBidi" w:cstheme="majorBidi"/>
          <w:b/>
          <w:bCs/>
          <w:color w:val="000000"/>
          <w:sz w:val="27"/>
          <w:szCs w:val="27"/>
        </w:rPr>
        <w:t xml:space="preserve">: </w:t>
      </w:r>
      <w:r w:rsidR="00D64BF6" w:rsidRPr="00FD1E7A">
        <w:rPr>
          <w:rFonts w:asciiTheme="majorBidi" w:hAnsiTheme="majorBidi" w:cstheme="majorBidi"/>
          <w:b/>
          <w:bCs/>
          <w:color w:val="000000" w:themeColor="text1"/>
        </w:rPr>
        <w:t xml:space="preserve">Percentage Distribution of </w:t>
      </w:r>
      <w:r w:rsidR="0096584D" w:rsidRPr="00FD1E7A">
        <w:rPr>
          <w:rFonts w:asciiTheme="majorBidi" w:hAnsiTheme="majorBidi" w:cstheme="majorBidi"/>
          <w:b/>
          <w:bCs/>
          <w:color w:val="000000" w:themeColor="text1"/>
        </w:rPr>
        <w:t xml:space="preserve">Respondents According </w:t>
      </w:r>
      <w:r w:rsidR="00D64BF6" w:rsidRPr="00FD1E7A">
        <w:rPr>
          <w:rFonts w:asciiTheme="majorBidi" w:hAnsiTheme="majorBidi" w:cstheme="majorBidi"/>
          <w:b/>
          <w:bCs/>
          <w:color w:val="000000" w:themeColor="text1"/>
        </w:rPr>
        <w:t xml:space="preserve">to </w:t>
      </w:r>
      <w:r w:rsidR="0096584D" w:rsidRPr="00FD1E7A">
        <w:rPr>
          <w:rFonts w:asciiTheme="majorBidi" w:hAnsiTheme="majorBidi" w:cstheme="majorBidi"/>
          <w:b/>
          <w:bCs/>
          <w:color w:val="000000" w:themeColor="text1"/>
        </w:rPr>
        <w:t>Socio</w:t>
      </w:r>
      <w:r w:rsidR="00D64BF6" w:rsidRPr="00FD1E7A">
        <w:rPr>
          <w:rFonts w:asciiTheme="majorBidi" w:hAnsiTheme="majorBidi" w:cstheme="majorBidi"/>
          <w:b/>
          <w:bCs/>
          <w:color w:val="000000" w:themeColor="text1"/>
        </w:rPr>
        <w:t>-</w:t>
      </w:r>
      <w:r w:rsidR="0096584D" w:rsidRPr="00FD1E7A">
        <w:rPr>
          <w:rFonts w:asciiTheme="majorBidi" w:hAnsiTheme="majorBidi" w:cstheme="majorBidi"/>
          <w:b/>
          <w:bCs/>
          <w:color w:val="000000" w:themeColor="text1"/>
        </w:rPr>
        <w:t xml:space="preserve">Economic </w:t>
      </w:r>
      <w:r w:rsidR="0096584D" w:rsidRPr="00FD1E7A">
        <w:rPr>
          <w:rFonts w:asciiTheme="majorBidi" w:hAnsiTheme="majorBidi" w:cstheme="majorBidi"/>
          <w:b/>
          <w:bCs/>
          <w:color w:val="000000" w:themeColor="text1"/>
        </w:rPr>
        <w:tab/>
      </w:r>
      <w:r w:rsidR="0096584D" w:rsidRPr="00FD1E7A">
        <w:rPr>
          <w:rFonts w:asciiTheme="majorBidi" w:hAnsiTheme="majorBidi" w:cstheme="majorBidi"/>
          <w:b/>
          <w:bCs/>
          <w:color w:val="000000" w:themeColor="text1"/>
        </w:rPr>
        <w:tab/>
      </w:r>
      <w:r w:rsidR="0096584D" w:rsidRPr="00FD1E7A">
        <w:rPr>
          <w:rFonts w:asciiTheme="majorBidi" w:hAnsiTheme="majorBidi" w:cstheme="majorBidi"/>
          <w:b/>
          <w:bCs/>
          <w:color w:val="000000" w:themeColor="text1"/>
        </w:rPr>
        <w:tab/>
        <w:t xml:space="preserve">     Characteristics</w:t>
      </w:r>
      <w:r w:rsidR="0096584D" w:rsidRPr="00FD1E7A">
        <w:rPr>
          <w:rFonts w:asciiTheme="majorBidi" w:eastAsia="Times New Roman" w:hAnsiTheme="majorBidi" w:cstheme="majorBidi"/>
          <w:b/>
          <w:bCs/>
          <w:color w:val="000000"/>
          <w:sz w:val="27"/>
          <w:szCs w:val="27"/>
        </w:rPr>
        <w:t xml:space="preserve"> </w:t>
      </w:r>
      <w:r w:rsidRPr="00FD1E7A">
        <w:rPr>
          <w:rFonts w:asciiTheme="majorBidi" w:eastAsia="Times New Roman" w:hAnsiTheme="majorBidi" w:cstheme="majorBidi"/>
          <w:b/>
          <w:bCs/>
          <w:color w:val="000000"/>
          <w:sz w:val="27"/>
          <w:szCs w:val="27"/>
        </w:rPr>
        <w:t>(n = 110)</w:t>
      </w:r>
    </w:p>
    <w:tbl>
      <w:tblPr>
        <w:tblStyle w:val="PlainTable2"/>
        <w:tblW w:w="9988" w:type="dxa"/>
        <w:tblLook w:val="06A0" w:firstRow="1" w:lastRow="0" w:firstColumn="1" w:lastColumn="0" w:noHBand="1" w:noVBand="1"/>
      </w:tblPr>
      <w:tblGrid>
        <w:gridCol w:w="2424"/>
        <w:gridCol w:w="4975"/>
        <w:gridCol w:w="1362"/>
        <w:gridCol w:w="1227"/>
      </w:tblGrid>
      <w:tr w:rsidR="00090E5D" w:rsidRPr="00FD1E7A" w14:paraId="56689E98" w14:textId="77777777" w:rsidTr="00090E5D">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76DE677C" w14:textId="77777777" w:rsidR="00D954A2" w:rsidRPr="00FD1E7A" w:rsidRDefault="00D954A2" w:rsidP="00482AB7">
            <w:pPr>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lastRenderedPageBreak/>
              <w:t>Variables</w:t>
            </w:r>
          </w:p>
        </w:tc>
        <w:tc>
          <w:tcPr>
            <w:tcW w:w="4975" w:type="dxa"/>
            <w:hideMark/>
          </w:tcPr>
          <w:p w14:paraId="4D34F16A" w14:textId="6AEA95A1" w:rsidR="00D954A2" w:rsidRPr="00FD1E7A" w:rsidRDefault="00D954A2" w:rsidP="00482A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Category</w:t>
            </w:r>
          </w:p>
        </w:tc>
        <w:tc>
          <w:tcPr>
            <w:tcW w:w="0" w:type="auto"/>
            <w:hideMark/>
          </w:tcPr>
          <w:p w14:paraId="031E429B" w14:textId="12101A5E" w:rsidR="00D954A2" w:rsidRPr="00FD1E7A" w:rsidRDefault="008F231B" w:rsidP="00482A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Freq</w:t>
            </w:r>
            <w:r w:rsidR="00D954A2" w:rsidRPr="00FD1E7A">
              <w:rPr>
                <w:rFonts w:asciiTheme="majorBidi" w:eastAsia="Times New Roman" w:hAnsiTheme="majorBidi" w:cstheme="majorBidi"/>
                <w:color w:val="000000"/>
                <w:kern w:val="0"/>
                <w:sz w:val="20"/>
                <w:szCs w:val="20"/>
                <w14:ligatures w14:val="none"/>
              </w:rPr>
              <w:t xml:space="preserve"> (%)</w:t>
            </w:r>
          </w:p>
        </w:tc>
        <w:tc>
          <w:tcPr>
            <w:tcW w:w="0" w:type="auto"/>
            <w:hideMark/>
          </w:tcPr>
          <w:p w14:paraId="3AEDF8A5" w14:textId="77777777" w:rsidR="00D954A2" w:rsidRPr="00FD1E7A" w:rsidRDefault="00D954A2" w:rsidP="00482AB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Mean</w:t>
            </w:r>
          </w:p>
        </w:tc>
      </w:tr>
      <w:tr w:rsidR="00090E5D" w:rsidRPr="00FD1E7A" w14:paraId="70EE23E8"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06991719"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Age (years)</w:t>
            </w:r>
          </w:p>
        </w:tc>
        <w:tc>
          <w:tcPr>
            <w:tcW w:w="4975" w:type="dxa"/>
            <w:hideMark/>
          </w:tcPr>
          <w:p w14:paraId="5237EFE4" w14:textId="77777777"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22–30</w:t>
            </w:r>
          </w:p>
          <w:p w14:paraId="08B0D59A" w14:textId="7E28E1A2"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31–40 </w:t>
            </w:r>
          </w:p>
          <w:p w14:paraId="77F274C1" w14:textId="77777777"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FD1E7A">
              <w:rPr>
                <w:rFonts w:asciiTheme="majorBidi" w:eastAsia="Times New Roman" w:hAnsiTheme="majorBidi" w:cstheme="majorBidi"/>
                <w:sz w:val="20"/>
                <w:szCs w:val="20"/>
              </w:rPr>
              <w:t>41–50</w:t>
            </w:r>
          </w:p>
          <w:p w14:paraId="3A17C072" w14:textId="0DDF4C03"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sz w:val="20"/>
                <w:szCs w:val="20"/>
              </w:rPr>
              <w:t>51</w:t>
            </w:r>
            <w:r w:rsidRPr="00FD1E7A">
              <w:rPr>
                <w:rFonts w:asciiTheme="majorBidi" w:eastAsia="Times New Roman" w:hAnsiTheme="majorBidi" w:cstheme="majorBidi"/>
                <w:color w:val="000000"/>
                <w:kern w:val="0"/>
                <w:sz w:val="20"/>
                <w:szCs w:val="20"/>
                <w14:ligatures w14:val="none"/>
              </w:rPr>
              <w:t>–55</w:t>
            </w:r>
          </w:p>
        </w:tc>
        <w:tc>
          <w:tcPr>
            <w:tcW w:w="0" w:type="auto"/>
            <w:hideMark/>
          </w:tcPr>
          <w:p w14:paraId="1FBD91F8" w14:textId="50A8F043"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28 (25.5)</w:t>
            </w:r>
          </w:p>
          <w:p w14:paraId="69762380" w14:textId="46FAD4AB" w:rsidR="00D954A2"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42 (</w:t>
            </w:r>
            <w:r w:rsidR="00D954A2" w:rsidRPr="00FD1E7A">
              <w:rPr>
                <w:rFonts w:asciiTheme="majorBidi" w:eastAsia="Times New Roman" w:hAnsiTheme="majorBidi" w:cstheme="majorBidi"/>
                <w:color w:val="000000"/>
                <w:kern w:val="0"/>
                <w:sz w:val="20"/>
                <w:szCs w:val="20"/>
                <w14:ligatures w14:val="none"/>
              </w:rPr>
              <w:t>38.2</w:t>
            </w:r>
            <w:r w:rsidRPr="00FD1E7A">
              <w:rPr>
                <w:rFonts w:asciiTheme="majorBidi" w:eastAsia="Times New Roman" w:hAnsiTheme="majorBidi" w:cstheme="majorBidi"/>
                <w:color w:val="000000"/>
                <w:kern w:val="0"/>
                <w:sz w:val="20"/>
                <w:szCs w:val="20"/>
                <w14:ligatures w14:val="none"/>
              </w:rPr>
              <w:t>)</w:t>
            </w:r>
          </w:p>
          <w:p w14:paraId="54415A43" w14:textId="77777777"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30 (27.3)</w:t>
            </w:r>
          </w:p>
          <w:p w14:paraId="3C3EAF41" w14:textId="43EC6C43"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10 (9.1)</w:t>
            </w:r>
          </w:p>
        </w:tc>
        <w:tc>
          <w:tcPr>
            <w:tcW w:w="0" w:type="auto"/>
            <w:hideMark/>
          </w:tcPr>
          <w:p w14:paraId="4BD62249"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37.4</w:t>
            </w:r>
          </w:p>
        </w:tc>
      </w:tr>
      <w:tr w:rsidR="00090E5D" w:rsidRPr="00FD1E7A" w14:paraId="1AF006A2" w14:textId="77777777" w:rsidTr="00090E5D">
        <w:trPr>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7AE46FDE"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Marital Status</w:t>
            </w:r>
          </w:p>
        </w:tc>
        <w:tc>
          <w:tcPr>
            <w:tcW w:w="4975" w:type="dxa"/>
            <w:hideMark/>
          </w:tcPr>
          <w:p w14:paraId="08CA12C9" w14:textId="77777777"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Single</w:t>
            </w:r>
          </w:p>
          <w:p w14:paraId="7A603AAD" w14:textId="34CB5D46"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Married</w:t>
            </w:r>
          </w:p>
          <w:p w14:paraId="78C609A3" w14:textId="086593F3"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Divorced </w:t>
            </w:r>
          </w:p>
          <w:p w14:paraId="3BE998AF" w14:textId="1D606CA2"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Widowed </w:t>
            </w:r>
          </w:p>
          <w:p w14:paraId="28A489C4" w14:textId="4C2674EB"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58ACA73B" w14:textId="5EB794E2"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34 (30.9)</w:t>
            </w:r>
          </w:p>
          <w:p w14:paraId="79DC9C3A" w14:textId="77777777"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42 (</w:t>
            </w:r>
            <w:r w:rsidR="00D954A2" w:rsidRPr="00FD1E7A">
              <w:rPr>
                <w:rFonts w:asciiTheme="majorBidi" w:eastAsia="Times New Roman" w:hAnsiTheme="majorBidi" w:cstheme="majorBidi"/>
                <w:color w:val="000000"/>
                <w:kern w:val="0"/>
                <w:sz w:val="20"/>
                <w:szCs w:val="20"/>
                <w14:ligatures w14:val="none"/>
              </w:rPr>
              <w:t>38.2</w:t>
            </w:r>
            <w:r w:rsidRPr="00FD1E7A">
              <w:rPr>
                <w:rFonts w:asciiTheme="majorBidi" w:eastAsia="Times New Roman" w:hAnsiTheme="majorBidi" w:cstheme="majorBidi"/>
                <w:color w:val="000000"/>
                <w:kern w:val="0"/>
                <w:sz w:val="20"/>
                <w:szCs w:val="20"/>
                <w14:ligatures w14:val="none"/>
              </w:rPr>
              <w:t>)</w:t>
            </w:r>
          </w:p>
          <w:p w14:paraId="1A5F26AA" w14:textId="77777777"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14 (12.7)</w:t>
            </w:r>
          </w:p>
          <w:p w14:paraId="4B45F041" w14:textId="1AB71A15"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20 (18.2)</w:t>
            </w:r>
          </w:p>
        </w:tc>
        <w:tc>
          <w:tcPr>
            <w:tcW w:w="0" w:type="auto"/>
            <w:hideMark/>
          </w:tcPr>
          <w:p w14:paraId="551ED577"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754F1F74"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053B2483"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Religion</w:t>
            </w:r>
          </w:p>
        </w:tc>
        <w:tc>
          <w:tcPr>
            <w:tcW w:w="4975" w:type="dxa"/>
            <w:hideMark/>
          </w:tcPr>
          <w:p w14:paraId="74D4940D"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Christianity</w:t>
            </w:r>
          </w:p>
          <w:p w14:paraId="48F456C8" w14:textId="048A4D28"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Islam</w:t>
            </w:r>
          </w:p>
        </w:tc>
        <w:tc>
          <w:tcPr>
            <w:tcW w:w="0" w:type="auto"/>
            <w:hideMark/>
          </w:tcPr>
          <w:p w14:paraId="5CE54985" w14:textId="77777777" w:rsidR="00D954A2"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86 (</w:t>
            </w:r>
            <w:r w:rsidR="00D954A2" w:rsidRPr="00FD1E7A">
              <w:rPr>
                <w:rFonts w:asciiTheme="majorBidi" w:eastAsia="Times New Roman" w:hAnsiTheme="majorBidi" w:cstheme="majorBidi"/>
                <w:color w:val="000000"/>
                <w:kern w:val="0"/>
                <w:sz w:val="20"/>
                <w:szCs w:val="20"/>
                <w14:ligatures w14:val="none"/>
              </w:rPr>
              <w:t>78.2</w:t>
            </w:r>
            <w:r w:rsidRPr="00FD1E7A">
              <w:rPr>
                <w:rFonts w:asciiTheme="majorBidi" w:eastAsia="Times New Roman" w:hAnsiTheme="majorBidi" w:cstheme="majorBidi"/>
                <w:color w:val="000000"/>
                <w:kern w:val="0"/>
                <w:sz w:val="20"/>
                <w:szCs w:val="20"/>
                <w14:ligatures w14:val="none"/>
              </w:rPr>
              <w:t>)</w:t>
            </w:r>
          </w:p>
          <w:p w14:paraId="60B22267" w14:textId="59761389" w:rsidR="008F231B" w:rsidRPr="00FD1E7A" w:rsidRDefault="008F231B"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24 (21.8)</w:t>
            </w:r>
          </w:p>
        </w:tc>
        <w:tc>
          <w:tcPr>
            <w:tcW w:w="0" w:type="auto"/>
            <w:hideMark/>
          </w:tcPr>
          <w:p w14:paraId="2CDEAAE7"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5757E38A"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7776A68A"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Household Size (persons)</w:t>
            </w:r>
          </w:p>
        </w:tc>
        <w:tc>
          <w:tcPr>
            <w:tcW w:w="4975" w:type="dxa"/>
            <w:hideMark/>
          </w:tcPr>
          <w:p w14:paraId="4FF7E76A" w14:textId="77777777"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4–5 persons</w:t>
            </w:r>
          </w:p>
          <w:p w14:paraId="7B9A8DAE" w14:textId="5D4E80B5"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6–7 persons</w:t>
            </w:r>
          </w:p>
          <w:p w14:paraId="635F3372" w14:textId="5B5CCEDD"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hAnsiTheme="majorBidi" w:cstheme="majorBidi"/>
                <w:sz w:val="20"/>
                <w:szCs w:val="20"/>
              </w:rPr>
              <w:t>8–9 persons</w:t>
            </w:r>
          </w:p>
          <w:p w14:paraId="1DDFF0A6" w14:textId="0B66A37C"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4654398E" w14:textId="472E6EC8"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38 (34.5)</w:t>
            </w:r>
          </w:p>
          <w:p w14:paraId="09E2CF55" w14:textId="7D386E23"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47</w:t>
            </w:r>
            <w:r w:rsidR="00675CF6" w:rsidRPr="00FD1E7A">
              <w:rPr>
                <w:rFonts w:asciiTheme="majorBidi" w:eastAsia="Times New Roman" w:hAnsiTheme="majorBidi" w:cstheme="majorBidi"/>
                <w:color w:val="000000"/>
                <w:kern w:val="0"/>
                <w:sz w:val="20"/>
                <w:szCs w:val="20"/>
                <w14:ligatures w14:val="none"/>
              </w:rPr>
              <w:t xml:space="preserve"> (42.7)</w:t>
            </w:r>
          </w:p>
          <w:p w14:paraId="331FD52A" w14:textId="62E65AD5"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25 (22.7)</w:t>
            </w:r>
          </w:p>
        </w:tc>
        <w:tc>
          <w:tcPr>
            <w:tcW w:w="0" w:type="auto"/>
            <w:hideMark/>
          </w:tcPr>
          <w:p w14:paraId="67418353"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6.0</w:t>
            </w:r>
          </w:p>
        </w:tc>
      </w:tr>
      <w:tr w:rsidR="00090E5D" w:rsidRPr="00FD1E7A" w14:paraId="4B2AAB0C"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61C0FD8C"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Monthly Income (₦)</w:t>
            </w:r>
          </w:p>
        </w:tc>
        <w:tc>
          <w:tcPr>
            <w:tcW w:w="4975" w:type="dxa"/>
            <w:hideMark/>
          </w:tcPr>
          <w:p w14:paraId="4F8E92B6" w14:textId="17297A35"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40,000–</w:t>
            </w: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50,000</w:t>
            </w:r>
          </w:p>
          <w:p w14:paraId="02A08EC0" w14:textId="2D420C4F"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₦51,000–₦60,000</w:t>
            </w:r>
          </w:p>
          <w:p w14:paraId="5393E2CF" w14:textId="77777777"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61,000–</w:t>
            </w: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70,000</w:t>
            </w:r>
          </w:p>
          <w:p w14:paraId="31342899" w14:textId="7709E064"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71,000–</w:t>
            </w:r>
            <w:r w:rsidRPr="00FD1E7A">
              <w:rPr>
                <w:rFonts w:asciiTheme="majorBidi" w:eastAsia="Times New Roman" w:hAnsiTheme="majorBidi" w:cstheme="majorBidi"/>
                <w:color w:val="000000"/>
                <w:kern w:val="0"/>
                <w:sz w:val="20"/>
                <w:szCs w:val="20"/>
                <w14:ligatures w14:val="none"/>
              </w:rPr>
              <w:t>₦</w:t>
            </w:r>
            <w:r w:rsidRPr="00FD1E7A">
              <w:rPr>
                <w:rFonts w:asciiTheme="majorBidi" w:hAnsiTheme="majorBidi" w:cstheme="majorBidi"/>
                <w:sz w:val="20"/>
                <w:szCs w:val="20"/>
              </w:rPr>
              <w:t xml:space="preserve">80,000 </w:t>
            </w:r>
          </w:p>
          <w:p w14:paraId="43CBCA96" w14:textId="665FC1F4"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14082E74" w14:textId="5CF60D0E"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34 (30.9)</w:t>
            </w:r>
          </w:p>
          <w:p w14:paraId="077ED114" w14:textId="77777777" w:rsidR="00D954A2"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39 (</w:t>
            </w:r>
            <w:r w:rsidR="00D954A2" w:rsidRPr="00FD1E7A">
              <w:rPr>
                <w:rFonts w:asciiTheme="majorBidi" w:eastAsia="Times New Roman" w:hAnsiTheme="majorBidi" w:cstheme="majorBidi"/>
                <w:color w:val="000000"/>
                <w:kern w:val="0"/>
                <w:sz w:val="20"/>
                <w:szCs w:val="20"/>
                <w14:ligatures w14:val="none"/>
              </w:rPr>
              <w:t>35.5</w:t>
            </w:r>
            <w:r w:rsidRPr="00FD1E7A">
              <w:rPr>
                <w:rFonts w:asciiTheme="majorBidi" w:eastAsia="Times New Roman" w:hAnsiTheme="majorBidi" w:cstheme="majorBidi"/>
                <w:color w:val="000000"/>
                <w:kern w:val="0"/>
                <w:sz w:val="20"/>
                <w:szCs w:val="20"/>
                <w14:ligatures w14:val="none"/>
              </w:rPr>
              <w:t>)</w:t>
            </w:r>
          </w:p>
          <w:p w14:paraId="7911AA66" w14:textId="77777777"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25 (22.7)</w:t>
            </w:r>
          </w:p>
          <w:p w14:paraId="7C27B774" w14:textId="108E3769"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hAnsiTheme="majorBidi" w:cstheme="majorBidi"/>
                <w:sz w:val="20"/>
                <w:szCs w:val="20"/>
              </w:rPr>
              <w:t>12 (10.9)</w:t>
            </w:r>
          </w:p>
        </w:tc>
        <w:tc>
          <w:tcPr>
            <w:tcW w:w="0" w:type="auto"/>
            <w:hideMark/>
          </w:tcPr>
          <w:p w14:paraId="0635942C" w14:textId="77777777"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p w14:paraId="1AB5CA9D" w14:textId="1C706F92" w:rsidR="00D954A2"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r w:rsidR="00D954A2" w:rsidRPr="00FD1E7A">
              <w:rPr>
                <w:rFonts w:asciiTheme="majorBidi" w:eastAsia="Times New Roman" w:hAnsiTheme="majorBidi" w:cstheme="majorBidi"/>
                <w:color w:val="000000"/>
                <w:kern w:val="0"/>
                <w:sz w:val="20"/>
                <w:szCs w:val="20"/>
                <w14:ligatures w14:val="none"/>
              </w:rPr>
              <w:t>56,909</w:t>
            </w:r>
          </w:p>
        </w:tc>
      </w:tr>
      <w:tr w:rsidR="00090E5D" w:rsidRPr="00FD1E7A" w14:paraId="4047C222" w14:textId="77777777" w:rsidTr="00090E5D">
        <w:trPr>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3EF0C62C"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Educational Qualification</w:t>
            </w:r>
          </w:p>
        </w:tc>
        <w:tc>
          <w:tcPr>
            <w:tcW w:w="4975" w:type="dxa"/>
            <w:hideMark/>
          </w:tcPr>
          <w:p w14:paraId="16063A7F" w14:textId="220F463B"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No Formal Education</w:t>
            </w:r>
          </w:p>
          <w:p w14:paraId="3F061BD4" w14:textId="6866580C"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Primary Education</w:t>
            </w:r>
          </w:p>
          <w:p w14:paraId="177B648B"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Secondary Education</w:t>
            </w:r>
          </w:p>
          <w:p w14:paraId="06B01AFD" w14:textId="667806B8"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National Diploma (ND)</w:t>
            </w:r>
          </w:p>
          <w:p w14:paraId="25A6AE04" w14:textId="066EA759"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D1E7A">
              <w:rPr>
                <w:rFonts w:asciiTheme="majorBidi" w:hAnsiTheme="majorBidi" w:cstheme="majorBidi"/>
                <w:sz w:val="20"/>
                <w:szCs w:val="20"/>
              </w:rPr>
              <w:t>Higher National Diploma (HND)</w:t>
            </w:r>
          </w:p>
          <w:p w14:paraId="35EF6585" w14:textId="5B9538C7" w:rsidR="00675CF6"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p>
        </w:tc>
        <w:tc>
          <w:tcPr>
            <w:tcW w:w="0" w:type="auto"/>
            <w:hideMark/>
          </w:tcPr>
          <w:p w14:paraId="2DD40FEA" w14:textId="77777777" w:rsidR="00090E5D" w:rsidRPr="00FD1E7A" w:rsidRDefault="00675CF6"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13 (11,8)</w:t>
            </w:r>
          </w:p>
          <w:p w14:paraId="24C08976"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20 (18,2)</w:t>
            </w:r>
          </w:p>
          <w:p w14:paraId="4FB55EAD" w14:textId="77777777" w:rsidR="00D954A2"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43 (</w:t>
            </w:r>
            <w:r w:rsidR="00D954A2" w:rsidRPr="00FD1E7A">
              <w:rPr>
                <w:rFonts w:asciiTheme="majorBidi" w:eastAsia="Times New Roman" w:hAnsiTheme="majorBidi" w:cstheme="majorBidi"/>
                <w:color w:val="000000"/>
                <w:kern w:val="0"/>
                <w:sz w:val="20"/>
                <w:szCs w:val="20"/>
                <w14:ligatures w14:val="none"/>
              </w:rPr>
              <w:t>39.1</w:t>
            </w:r>
            <w:r w:rsidRPr="00FD1E7A">
              <w:rPr>
                <w:rFonts w:asciiTheme="majorBidi" w:eastAsia="Times New Roman" w:hAnsiTheme="majorBidi" w:cstheme="majorBidi"/>
                <w:color w:val="000000"/>
                <w:kern w:val="0"/>
                <w:sz w:val="20"/>
                <w:szCs w:val="20"/>
                <w14:ligatures w14:val="none"/>
              </w:rPr>
              <w:t>)</w:t>
            </w:r>
          </w:p>
          <w:p w14:paraId="0F8F0469"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23 (20.9)</w:t>
            </w:r>
          </w:p>
          <w:p w14:paraId="3C16697F" w14:textId="6B48B83F"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11 (10.0)</w:t>
            </w:r>
          </w:p>
        </w:tc>
        <w:tc>
          <w:tcPr>
            <w:tcW w:w="0" w:type="auto"/>
            <w:hideMark/>
          </w:tcPr>
          <w:p w14:paraId="42DA003B"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6B5F48C2"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1BEF5F01"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Job Experience (years)</w:t>
            </w:r>
          </w:p>
        </w:tc>
        <w:tc>
          <w:tcPr>
            <w:tcW w:w="4975" w:type="dxa"/>
            <w:hideMark/>
          </w:tcPr>
          <w:p w14:paraId="57D49BB1"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2–3 years</w:t>
            </w:r>
          </w:p>
          <w:p w14:paraId="343E284C"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FD1E7A">
              <w:rPr>
                <w:rFonts w:asciiTheme="majorBidi" w:eastAsia="Times New Roman" w:hAnsiTheme="majorBidi" w:cstheme="majorBidi"/>
                <w:sz w:val="20"/>
                <w:szCs w:val="20"/>
              </w:rPr>
              <w:t>4–5 years</w:t>
            </w:r>
          </w:p>
          <w:p w14:paraId="3DB26D90"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FD1E7A">
              <w:rPr>
                <w:rFonts w:asciiTheme="majorBidi" w:eastAsia="Times New Roman" w:hAnsiTheme="majorBidi" w:cstheme="majorBidi"/>
                <w:sz w:val="20"/>
                <w:szCs w:val="20"/>
              </w:rPr>
              <w:t>6–7 years</w:t>
            </w:r>
          </w:p>
          <w:p w14:paraId="491C7C3C" w14:textId="012213BE"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sz w:val="20"/>
                <w:szCs w:val="20"/>
              </w:rPr>
              <w:t>8 years &amp; above</w:t>
            </w:r>
          </w:p>
        </w:tc>
        <w:tc>
          <w:tcPr>
            <w:tcW w:w="0" w:type="auto"/>
            <w:hideMark/>
          </w:tcPr>
          <w:p w14:paraId="0E652749" w14:textId="77777777" w:rsidR="00D954A2"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38 (</w:t>
            </w:r>
            <w:r w:rsidR="00D954A2" w:rsidRPr="00FD1E7A">
              <w:rPr>
                <w:rFonts w:asciiTheme="majorBidi" w:eastAsia="Times New Roman" w:hAnsiTheme="majorBidi" w:cstheme="majorBidi"/>
                <w:color w:val="000000"/>
                <w:kern w:val="0"/>
                <w:sz w:val="20"/>
                <w:szCs w:val="20"/>
                <w14:ligatures w14:val="none"/>
              </w:rPr>
              <w:t>34.5</w:t>
            </w:r>
            <w:r w:rsidRPr="00FD1E7A">
              <w:rPr>
                <w:rFonts w:asciiTheme="majorBidi" w:eastAsia="Times New Roman" w:hAnsiTheme="majorBidi" w:cstheme="majorBidi"/>
                <w:color w:val="000000"/>
                <w:kern w:val="0"/>
                <w:sz w:val="20"/>
                <w:szCs w:val="20"/>
                <w14:ligatures w14:val="none"/>
              </w:rPr>
              <w:t>)</w:t>
            </w:r>
          </w:p>
          <w:p w14:paraId="7E25CB16"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36 (32.7)</w:t>
            </w:r>
          </w:p>
          <w:p w14:paraId="136C0493"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21 (19.1)</w:t>
            </w:r>
          </w:p>
          <w:p w14:paraId="64D6DF96" w14:textId="61BE2A00"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15 (13.6)</w:t>
            </w:r>
          </w:p>
        </w:tc>
        <w:tc>
          <w:tcPr>
            <w:tcW w:w="0" w:type="auto"/>
            <w:hideMark/>
          </w:tcPr>
          <w:p w14:paraId="224C7CDF"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4.38</w:t>
            </w:r>
          </w:p>
        </w:tc>
      </w:tr>
      <w:tr w:rsidR="00090E5D" w:rsidRPr="00FD1E7A" w14:paraId="0701ACEF" w14:textId="77777777" w:rsidTr="00090E5D">
        <w:trPr>
          <w:trHeight w:val="594"/>
        </w:trPr>
        <w:tc>
          <w:tcPr>
            <w:cnfStyle w:val="001000000000" w:firstRow="0" w:lastRow="0" w:firstColumn="1" w:lastColumn="0" w:oddVBand="0" w:evenVBand="0" w:oddHBand="0" w:evenHBand="0" w:firstRowFirstColumn="0" w:firstRowLastColumn="0" w:lastRowFirstColumn="0" w:lastRowLastColumn="0"/>
            <w:tcW w:w="2424" w:type="dxa"/>
            <w:hideMark/>
          </w:tcPr>
          <w:p w14:paraId="41771AD6"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Ethnic Background</w:t>
            </w:r>
          </w:p>
        </w:tc>
        <w:tc>
          <w:tcPr>
            <w:tcW w:w="4975" w:type="dxa"/>
            <w:hideMark/>
          </w:tcPr>
          <w:p w14:paraId="64FAC81A"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Hausa</w:t>
            </w:r>
          </w:p>
          <w:p w14:paraId="1E1493C7"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Yoruba </w:t>
            </w:r>
          </w:p>
          <w:p w14:paraId="114D4DD9" w14:textId="351338FF"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Igbo</w:t>
            </w:r>
          </w:p>
        </w:tc>
        <w:tc>
          <w:tcPr>
            <w:tcW w:w="0" w:type="auto"/>
            <w:hideMark/>
          </w:tcPr>
          <w:p w14:paraId="3652784B" w14:textId="77777777" w:rsidR="00D954A2"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50 (</w:t>
            </w:r>
            <w:r w:rsidR="00D954A2" w:rsidRPr="00FD1E7A">
              <w:rPr>
                <w:rFonts w:asciiTheme="majorBidi" w:eastAsia="Times New Roman" w:hAnsiTheme="majorBidi" w:cstheme="majorBidi"/>
                <w:color w:val="000000"/>
                <w:kern w:val="0"/>
                <w:sz w:val="20"/>
                <w:szCs w:val="20"/>
                <w14:ligatures w14:val="none"/>
              </w:rPr>
              <w:t>50.9</w:t>
            </w:r>
            <w:r w:rsidRPr="00FD1E7A">
              <w:rPr>
                <w:rFonts w:asciiTheme="majorBidi" w:eastAsia="Times New Roman" w:hAnsiTheme="majorBidi" w:cstheme="majorBidi"/>
                <w:color w:val="000000"/>
                <w:kern w:val="0"/>
                <w:sz w:val="20"/>
                <w:szCs w:val="20"/>
                <w14:ligatures w14:val="none"/>
              </w:rPr>
              <w:t>)</w:t>
            </w:r>
          </w:p>
          <w:p w14:paraId="0EFA7CCC" w14:textId="77777777"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46 (41.8)</w:t>
            </w:r>
          </w:p>
          <w:p w14:paraId="5DB049F5" w14:textId="3A09E21A"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08 (7.3)</w:t>
            </w:r>
          </w:p>
        </w:tc>
        <w:tc>
          <w:tcPr>
            <w:tcW w:w="0" w:type="auto"/>
            <w:hideMark/>
          </w:tcPr>
          <w:p w14:paraId="4F122AD2"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r w:rsidR="00090E5D" w:rsidRPr="00FD1E7A" w14:paraId="2E40D597" w14:textId="77777777" w:rsidTr="00090E5D">
        <w:trPr>
          <w:trHeight w:val="554"/>
        </w:trPr>
        <w:tc>
          <w:tcPr>
            <w:cnfStyle w:val="001000000000" w:firstRow="0" w:lastRow="0" w:firstColumn="1" w:lastColumn="0" w:oddVBand="0" w:evenVBand="0" w:oddHBand="0" w:evenHBand="0" w:firstRowFirstColumn="0" w:firstRowLastColumn="0" w:lastRowFirstColumn="0" w:lastRowLastColumn="0"/>
            <w:tcW w:w="2424" w:type="dxa"/>
            <w:hideMark/>
          </w:tcPr>
          <w:p w14:paraId="6653FCDA" w14:textId="77777777" w:rsidR="00D954A2" w:rsidRPr="00FD1E7A" w:rsidRDefault="00D954A2" w:rsidP="00482AB7">
            <w:pPr>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Other Source(s) of Income</w:t>
            </w:r>
          </w:p>
        </w:tc>
        <w:tc>
          <w:tcPr>
            <w:tcW w:w="4975" w:type="dxa"/>
            <w:hideMark/>
          </w:tcPr>
          <w:p w14:paraId="0B1B524C"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Yes</w:t>
            </w:r>
          </w:p>
          <w:p w14:paraId="3F182198" w14:textId="488391ED"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 xml:space="preserve">No </w:t>
            </w:r>
          </w:p>
        </w:tc>
        <w:tc>
          <w:tcPr>
            <w:tcW w:w="0" w:type="auto"/>
            <w:hideMark/>
          </w:tcPr>
          <w:p w14:paraId="61236C45" w14:textId="77777777" w:rsidR="00D954A2"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72 (</w:t>
            </w:r>
            <w:r w:rsidR="00D954A2" w:rsidRPr="00FD1E7A">
              <w:rPr>
                <w:rFonts w:asciiTheme="majorBidi" w:eastAsia="Times New Roman" w:hAnsiTheme="majorBidi" w:cstheme="majorBidi"/>
                <w:color w:val="000000"/>
                <w:kern w:val="0"/>
                <w:sz w:val="20"/>
                <w:szCs w:val="20"/>
                <w14:ligatures w14:val="none"/>
              </w:rPr>
              <w:t>65.5</w:t>
            </w:r>
            <w:r w:rsidRPr="00FD1E7A">
              <w:rPr>
                <w:rFonts w:asciiTheme="majorBidi" w:eastAsia="Times New Roman" w:hAnsiTheme="majorBidi" w:cstheme="majorBidi"/>
                <w:color w:val="000000"/>
                <w:kern w:val="0"/>
                <w:sz w:val="20"/>
                <w:szCs w:val="20"/>
                <w14:ligatures w14:val="none"/>
              </w:rPr>
              <w:t>)</w:t>
            </w:r>
          </w:p>
          <w:p w14:paraId="1BCD9B5D" w14:textId="461022E1" w:rsidR="00090E5D" w:rsidRPr="00FD1E7A" w:rsidRDefault="00090E5D"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38 (34.5)</w:t>
            </w:r>
          </w:p>
        </w:tc>
        <w:tc>
          <w:tcPr>
            <w:tcW w:w="0" w:type="auto"/>
            <w:hideMark/>
          </w:tcPr>
          <w:p w14:paraId="39CDFBC7" w14:textId="77777777" w:rsidR="00D954A2" w:rsidRPr="00FD1E7A" w:rsidRDefault="00D954A2" w:rsidP="00482AB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D1E7A">
              <w:rPr>
                <w:rFonts w:asciiTheme="majorBidi" w:eastAsia="Times New Roman" w:hAnsiTheme="majorBidi" w:cstheme="majorBidi"/>
                <w:color w:val="000000"/>
                <w:kern w:val="0"/>
                <w:sz w:val="20"/>
                <w:szCs w:val="20"/>
                <w14:ligatures w14:val="none"/>
              </w:rPr>
              <w:t>—</w:t>
            </w:r>
          </w:p>
        </w:tc>
      </w:tr>
    </w:tbl>
    <w:p w14:paraId="4E32B8F9" w14:textId="6334BE37" w:rsidR="008D3F0C" w:rsidRPr="00FD1E7A" w:rsidRDefault="0048179B" w:rsidP="00EE0379">
      <w:pPr>
        <w:spacing w:before="100" w:beforeAutospacing="1" w:after="100" w:afterAutospacing="1" w:line="360" w:lineRule="auto"/>
        <w:jc w:val="both"/>
        <w:rPr>
          <w:rFonts w:asciiTheme="majorBidi" w:eastAsia="Times New Roman" w:hAnsiTheme="majorBidi" w:cstheme="majorBidi"/>
          <w:kern w:val="0"/>
          <w:sz w:val="22"/>
          <w:szCs w:val="22"/>
          <w14:ligatures w14:val="none"/>
        </w:rPr>
      </w:pPr>
      <w:r w:rsidRPr="00FD1E7A">
        <w:rPr>
          <w:rFonts w:asciiTheme="majorBidi" w:eastAsia="Times New Roman" w:hAnsiTheme="majorBidi" w:cstheme="majorBidi"/>
          <w:kern w:val="0"/>
          <w14:ligatures w14:val="none"/>
        </w:rPr>
        <w:t>(Field Survey, 2025)</w:t>
      </w:r>
    </w:p>
    <w:p w14:paraId="3A4A3243" w14:textId="77777777" w:rsidR="00BC160B"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heme="minorHAnsi" w:hAnsiTheme="majorBidi" w:cstheme="majorBidi"/>
          <w:b/>
          <w:bCs/>
          <w:kern w:val="0"/>
          <w14:ligatures w14:val="none"/>
        </w:rPr>
        <w:t>Perceived Common Forms and Risk Factors of GBV Among Respondents</w:t>
      </w:r>
    </w:p>
    <w:p w14:paraId="34F3E955" w14:textId="3C05819D" w:rsidR="00BC160B"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heme="minorHAnsi" w:hAnsiTheme="majorBidi" w:cstheme="majorBidi"/>
          <w:b/>
          <w:bCs/>
          <w:kern w:val="0"/>
          <w14:ligatures w14:val="none"/>
        </w:rPr>
        <w:t>Common Forms of GBV</w:t>
      </w:r>
    </w:p>
    <w:p w14:paraId="4440D910" w14:textId="33DFCA24" w:rsidR="003B52DE"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imes New Roman" w:hAnsiTheme="majorBidi" w:cstheme="majorBidi"/>
          <w:kern w:val="0"/>
          <w14:ligatures w14:val="none"/>
        </w:rPr>
        <w:t xml:space="preserve">Table </w:t>
      </w:r>
      <w:r w:rsidR="00CB10C1">
        <w:rPr>
          <w:rFonts w:asciiTheme="majorBidi" w:eastAsia="Times New Roman" w:hAnsiTheme="majorBidi" w:cstheme="majorBidi"/>
          <w:kern w:val="0"/>
          <w14:ligatures w14:val="none"/>
        </w:rPr>
        <w:t>3</w:t>
      </w:r>
      <w:r w:rsidRPr="00FD1E7A">
        <w:rPr>
          <w:rFonts w:asciiTheme="majorBidi" w:eastAsia="Times New Roman" w:hAnsiTheme="majorBidi" w:cstheme="majorBidi"/>
          <w:kern w:val="0"/>
          <w14:ligatures w14:val="none"/>
        </w:rPr>
        <w:t xml:space="preserve"> shows that </w:t>
      </w:r>
      <w:r w:rsidRPr="00FD1E7A">
        <w:rPr>
          <w:rFonts w:asciiTheme="majorBidi" w:eastAsia="Times New Roman" w:hAnsiTheme="majorBidi" w:cstheme="majorBidi"/>
          <w:i/>
          <w:iCs/>
          <w:kern w:val="0"/>
          <w14:ligatures w14:val="none"/>
        </w:rPr>
        <w:t xml:space="preserve">been physically harmed by someone at home or workplace has the highest mean score </w:t>
      </w:r>
      <w:r w:rsidRPr="00FD1E7A">
        <w:rPr>
          <w:rFonts w:asciiTheme="majorBidi" w:eastAsia="Times New Roman" w:hAnsiTheme="majorBidi" w:cstheme="majorBidi"/>
          <w:kern w:val="0"/>
          <w14:ligatures w14:val="none"/>
        </w:rPr>
        <w:t>(</w:t>
      </w:r>
      <w:bookmarkStart w:id="0" w:name="_Hlk209911392"/>
      <w:r w:rsidRPr="00FD1E7A">
        <w:rPr>
          <w:rFonts w:asciiTheme="majorBidi" w:eastAsia="Times New Roman" w:hAnsiTheme="majorBidi" w:cstheme="majorBidi"/>
          <w:kern w:val="0"/>
          <w14:ligatures w14:val="none"/>
        </w:rPr>
        <w:t>x̄ = 4.01</w:t>
      </w:r>
      <w:bookmarkEnd w:id="0"/>
      <w:r w:rsidRPr="00FD1E7A">
        <w:rPr>
          <w:rFonts w:asciiTheme="majorBidi" w:eastAsia="Times New Roman" w:hAnsiTheme="majorBidi" w:cstheme="majorBidi"/>
          <w:kern w:val="0"/>
          <w14:ligatures w14:val="none"/>
        </w:rPr>
        <w:t>)</w:t>
      </w:r>
      <w:r w:rsidRPr="00FD1E7A">
        <w:rPr>
          <w:rFonts w:asciiTheme="majorBidi" w:eastAsia="Times New Roman" w:hAnsiTheme="majorBidi" w:cstheme="majorBidi"/>
          <w:i/>
          <w:iCs/>
          <w:kern w:val="0"/>
          <w14:ligatures w14:val="none"/>
        </w:rPr>
        <w:t>, performing agricultural tasks without fear of physical harm</w:t>
      </w:r>
      <w:r w:rsidRPr="00FD1E7A">
        <w:rPr>
          <w:rFonts w:asciiTheme="majorBidi" w:eastAsia="Times New Roman" w:hAnsiTheme="majorBidi" w:cstheme="majorBidi"/>
          <w:kern w:val="0"/>
          <w14:ligatures w14:val="none"/>
        </w:rPr>
        <w:t xml:space="preserve"> (x̄ = 3.48) indicating that physical violence is a significant concern among respondents, which may result in physical injuries, mental health issues and decreased productivity due to a consistent state of fear and insecurity. This finding agrees with </w:t>
      </w:r>
      <w:r w:rsidR="00AC6C8E">
        <w:rPr>
          <w:rFonts w:asciiTheme="majorBidi" w:eastAsia="Times New Roman" w:hAnsiTheme="majorBidi" w:cstheme="majorBidi"/>
          <w:kern w:val="0"/>
          <w14:ligatures w14:val="none"/>
        </w:rPr>
        <w:t xml:space="preserve">other researcher </w:t>
      </w:r>
      <w:r w:rsidRPr="00FD1E7A">
        <w:rPr>
          <w:rFonts w:asciiTheme="majorBidi" w:eastAsia="Times New Roman" w:hAnsiTheme="majorBidi" w:cstheme="majorBidi"/>
          <w:kern w:val="0"/>
          <w14:ligatures w14:val="none"/>
        </w:rPr>
        <w:t>who reported that physical assault remains a prevalent form of GBV among working women in Nigeria, undermining their productivity and mental health.</w:t>
      </w:r>
      <w:r w:rsidR="008D0537" w:rsidRPr="00FD1E7A">
        <w:rPr>
          <w:rFonts w:asciiTheme="majorBidi" w:eastAsia="Times New Roman"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It also revealed that </w:t>
      </w:r>
      <w:r w:rsidRPr="00FD1E7A">
        <w:rPr>
          <w:rFonts w:asciiTheme="majorBidi" w:eastAsia="Times New Roman" w:hAnsiTheme="majorBidi" w:cstheme="majorBidi"/>
          <w:i/>
          <w:iCs/>
          <w:kern w:val="0"/>
          <w14:ligatures w14:val="none"/>
        </w:rPr>
        <w:t xml:space="preserve">experiencing unwanted sexual advances has the highest mean score </w:t>
      </w:r>
      <w:r w:rsidRPr="00FD1E7A">
        <w:rPr>
          <w:rFonts w:asciiTheme="majorBidi" w:eastAsia="Times New Roman" w:hAnsiTheme="majorBidi" w:cstheme="majorBidi"/>
          <w:kern w:val="0"/>
          <w14:ligatures w14:val="none"/>
        </w:rPr>
        <w:t xml:space="preserve">(x̄ = 3.90), personal boundaries regarding sexual matters being respected </w:t>
      </w:r>
      <w:r w:rsidRPr="00FD1E7A">
        <w:rPr>
          <w:rFonts w:asciiTheme="majorBidi" w:eastAsia="Times New Roman" w:hAnsiTheme="majorBidi" w:cstheme="majorBidi"/>
          <w:kern w:val="0"/>
          <w14:ligatures w14:val="none"/>
        </w:rPr>
        <w:lastRenderedPageBreak/>
        <w:t xml:space="preserve">(x̄ = 3.03), had the highest mean, suggesting a widespread experience of sexual harassment among respondents, which may </w:t>
      </w:r>
      <w:r w:rsidRPr="00FD1E7A">
        <w:rPr>
          <w:rFonts w:asciiTheme="majorBidi" w:eastAsia="Times New Roman" w:hAnsiTheme="majorBidi" w:cstheme="majorBidi"/>
          <w:i/>
          <w:iCs/>
          <w:kern w:val="0"/>
          <w14:ligatures w14:val="none"/>
        </w:rPr>
        <w:t xml:space="preserve">affect their mental well-being and this </w:t>
      </w:r>
      <w:r w:rsidRPr="00FD1E7A">
        <w:rPr>
          <w:rFonts w:asciiTheme="majorBidi" w:eastAsia="Times New Roman" w:hAnsiTheme="majorBidi" w:cstheme="majorBidi"/>
          <w:kern w:val="0"/>
          <w14:ligatures w14:val="none"/>
        </w:rPr>
        <w:t>implies that safety from sexual coercion is far from guaranteed in the workplace and further confirms vulnerability to sexual abuse. This finding is consistent with</w:t>
      </w:r>
      <w:r w:rsidR="00AC6C8E" w:rsidRPr="00AC6C8E">
        <w:rPr>
          <w:rFonts w:asciiTheme="majorBidi" w:eastAsia="Times New Roman" w:hAnsiTheme="majorBidi" w:cstheme="majorBidi"/>
          <w:kern w:val="0"/>
          <w14:ligatures w14:val="none"/>
        </w:rPr>
        <w:t xml:space="preserve"> </w:t>
      </w:r>
      <w:proofErr w:type="spellStart"/>
      <w:r w:rsidR="00AC6C8E" w:rsidRPr="00FD1E7A">
        <w:rPr>
          <w:rFonts w:asciiTheme="majorBidi" w:eastAsia="Times New Roman" w:hAnsiTheme="majorBidi" w:cstheme="majorBidi"/>
          <w:kern w:val="0"/>
          <w14:ligatures w14:val="none"/>
        </w:rPr>
        <w:t>Ogunyemi</w:t>
      </w:r>
      <w:proofErr w:type="spellEnd"/>
      <w:r w:rsidR="00AC6C8E" w:rsidRPr="00FD1E7A">
        <w:rPr>
          <w:rFonts w:asciiTheme="majorBidi" w:eastAsia="Times New Roman" w:hAnsiTheme="majorBidi" w:cstheme="majorBidi"/>
          <w:kern w:val="0"/>
          <w14:ligatures w14:val="none"/>
        </w:rPr>
        <w:t xml:space="preserve"> (2021</w:t>
      </w:r>
      <w:r w:rsidRPr="00FD1E7A">
        <w:rPr>
          <w:rFonts w:asciiTheme="majorBidi" w:eastAsia="Times New Roman" w:hAnsiTheme="majorBidi" w:cstheme="majorBidi"/>
          <w:b/>
          <w:kern w:val="0"/>
          <w14:ligatures w14:val="none"/>
        </w:rPr>
        <w:t>,</w:t>
      </w:r>
      <w:r w:rsidRPr="00FD1E7A">
        <w:rPr>
          <w:rFonts w:asciiTheme="majorBidi" w:eastAsia="Times New Roman" w:hAnsiTheme="majorBidi" w:cstheme="majorBidi"/>
          <w:kern w:val="0"/>
          <w14:ligatures w14:val="none"/>
        </w:rPr>
        <w:t xml:space="preserve"> who observed that sexual harassment remains pervasive in</w:t>
      </w:r>
      <w:r w:rsidR="008D0537" w:rsidRPr="00FD1E7A">
        <w:rPr>
          <w:rFonts w:asciiTheme="majorBidi" w:eastAsia="Times New Roman"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Nigerian workplaces due to cultural and institutional weaknesses in enforcing gender-sensitive policies. Furthermore, it shows that </w:t>
      </w:r>
      <w:r w:rsidRPr="00FD1E7A">
        <w:rPr>
          <w:rFonts w:asciiTheme="majorBidi" w:eastAsia="Times New Roman" w:hAnsiTheme="majorBidi" w:cstheme="majorBidi"/>
          <w:i/>
          <w:iCs/>
          <w:kern w:val="0"/>
          <w14:ligatures w14:val="none"/>
        </w:rPr>
        <w:t xml:space="preserve">constant emotional abuse has led to been overwhelmed and unable to concentrate on work has the highest mean score </w:t>
      </w:r>
      <w:r w:rsidRPr="00FD1E7A">
        <w:rPr>
          <w:rFonts w:asciiTheme="majorBidi" w:eastAsia="Times New Roman" w:hAnsiTheme="majorBidi" w:cstheme="majorBidi"/>
          <w:kern w:val="0"/>
          <w14:ligatures w14:val="none"/>
        </w:rPr>
        <w:t>(x̄ = 4.02), while some respondents felt emotionally supported (x̄ = 3.49), confirming that psychological abuse is a major issue among respondents and the prevalence of high emotional stress indicates an enduring pattern of abuse. This finding corroborates with Ogunyemi (2021), who highlighted that emotional abuse significantly undermines women’s mental health and workplace performance in patriarchal societies like Nigeria.</w:t>
      </w:r>
      <w:r w:rsidR="008D0537" w:rsidRPr="00FD1E7A">
        <w:rPr>
          <w:rFonts w:asciiTheme="majorBidi" w:eastAsia="Times New Roman"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Also in table </w:t>
      </w:r>
      <w:r w:rsidR="009E3275" w:rsidRPr="00FD1E7A">
        <w:rPr>
          <w:rFonts w:asciiTheme="majorBidi" w:eastAsia="Times New Roman" w:hAnsiTheme="majorBidi" w:cstheme="majorBidi"/>
          <w:kern w:val="0"/>
          <w14:ligatures w14:val="none"/>
        </w:rPr>
        <w:t>3</w:t>
      </w:r>
      <w:r w:rsidRPr="00FD1E7A">
        <w:rPr>
          <w:rFonts w:asciiTheme="majorBidi" w:eastAsia="Times New Roman" w:hAnsiTheme="majorBidi" w:cstheme="majorBidi"/>
          <w:kern w:val="0"/>
          <w14:ligatures w14:val="none"/>
        </w:rPr>
        <w:t xml:space="preserve">, economic abuse is clearly evident, with the highest mean score (x̄ = 3.90) on income control by others. This suggests that many women lack financial autonomy, a critical factor that worsens GBV vulnerability. Moderate means for statements on financial management and income control (x̄ = 3.25 and x̄ = 3.14) indicate that full financial independence is rare among respondents. This supports </w:t>
      </w:r>
      <w:proofErr w:type="spellStart"/>
      <w:r w:rsidR="00AC6C8E">
        <w:rPr>
          <w:rFonts w:ascii="Arial" w:hAnsi="Arial" w:cs="Arial"/>
          <w:color w:val="222222"/>
          <w:sz w:val="20"/>
          <w:szCs w:val="20"/>
          <w:shd w:val="clear" w:color="auto" w:fill="FFFFFF"/>
        </w:rPr>
        <w:t>Gbolahan</w:t>
      </w:r>
      <w:proofErr w:type="spellEnd"/>
      <w:r w:rsidR="00AC6C8E">
        <w:rPr>
          <w:rFonts w:ascii="Arial" w:hAnsi="Arial" w:cs="Arial"/>
          <w:color w:val="222222"/>
          <w:sz w:val="20"/>
          <w:szCs w:val="20"/>
          <w:shd w:val="clear" w:color="auto" w:fill="FFFFFF"/>
        </w:rPr>
        <w:t xml:space="preserve">, O., &amp; </w:t>
      </w:r>
      <w:proofErr w:type="spellStart"/>
      <w:r w:rsidR="00AC6C8E">
        <w:rPr>
          <w:rFonts w:ascii="Arial" w:hAnsi="Arial" w:cs="Arial"/>
          <w:color w:val="222222"/>
          <w:sz w:val="20"/>
          <w:szCs w:val="20"/>
          <w:shd w:val="clear" w:color="auto" w:fill="FFFFFF"/>
        </w:rPr>
        <w:t>Ayodapo</w:t>
      </w:r>
      <w:proofErr w:type="spellEnd"/>
      <w:r w:rsidR="00AC6C8E">
        <w:rPr>
          <w:rFonts w:ascii="Arial" w:hAnsi="Arial" w:cs="Arial"/>
          <w:color w:val="222222"/>
          <w:sz w:val="20"/>
          <w:szCs w:val="20"/>
          <w:shd w:val="clear" w:color="auto" w:fill="FFFFFF"/>
        </w:rPr>
        <w:t xml:space="preserve"> 2013</w:t>
      </w:r>
      <w:r w:rsidRPr="00FD1E7A">
        <w:rPr>
          <w:rFonts w:asciiTheme="majorBidi" w:eastAsia="Times New Roman" w:hAnsiTheme="majorBidi" w:cstheme="majorBidi"/>
          <w:kern w:val="0"/>
          <w14:ligatures w14:val="none"/>
        </w:rPr>
        <w:t>), who reported that economic dependency increases the likelihood of women enduring abusive relationships due to lack of resources to exit.</w:t>
      </w:r>
      <w:r w:rsidR="008D0537" w:rsidRPr="00FD1E7A">
        <w:rPr>
          <w:rFonts w:asciiTheme="majorBidi" w:eastAsia="Times New Roman"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Finally, the highest mean score (x̄ = 4.02) was for the statement on verbal abuse experiences, indicating that such abuse is </w:t>
      </w:r>
      <w:r w:rsidR="0096584D" w:rsidRPr="00FD1E7A">
        <w:rPr>
          <w:rFonts w:asciiTheme="majorBidi" w:eastAsia="Times New Roman" w:hAnsiTheme="majorBidi" w:cstheme="majorBidi"/>
          <w:kern w:val="0"/>
          <w14:ligatures w14:val="none"/>
        </w:rPr>
        <w:t xml:space="preserve">common, </w:t>
      </w:r>
      <w:r w:rsidRPr="00FD1E7A">
        <w:rPr>
          <w:rFonts w:asciiTheme="majorBidi" w:eastAsia="Times New Roman" w:hAnsiTheme="majorBidi" w:cstheme="majorBidi"/>
          <w:kern w:val="0"/>
          <w14:ligatures w14:val="none"/>
        </w:rPr>
        <w:t>widespread and can severely affect confidence and psychological well-being</w:t>
      </w:r>
      <w:r w:rsidR="0096584D" w:rsidRPr="00FD1E7A">
        <w:rPr>
          <w:rFonts w:asciiTheme="majorBidi" w:eastAsia="Times New Roman" w:hAnsiTheme="majorBidi" w:cstheme="majorBidi"/>
          <w:kern w:val="0"/>
          <w14:ligatures w14:val="none"/>
        </w:rPr>
        <w:t xml:space="preserve"> of women</w:t>
      </w:r>
      <w:r w:rsidRPr="00FD1E7A">
        <w:rPr>
          <w:rFonts w:asciiTheme="majorBidi" w:eastAsia="Times New Roman" w:hAnsiTheme="majorBidi" w:cstheme="majorBidi"/>
          <w:kern w:val="0"/>
          <w14:ligatures w14:val="none"/>
        </w:rPr>
        <w:t xml:space="preserve">. Although some respondents reported feeling respected (x̄ = 3.37) and confident in decision-making (x̄ = 3.43), the prevalence of verbal assault confirms it as a persistent problem. This agrees with </w:t>
      </w:r>
      <w:r w:rsidR="00AC6C8E">
        <w:rPr>
          <w:rFonts w:asciiTheme="majorBidi" w:eastAsia="Times New Roman" w:hAnsiTheme="majorBidi" w:cstheme="majorBidi"/>
          <w:kern w:val="0"/>
          <w14:ligatures w14:val="none"/>
        </w:rPr>
        <w:t>other researcher</w:t>
      </w:r>
      <w:r w:rsidRPr="00FD1E7A">
        <w:rPr>
          <w:rFonts w:asciiTheme="majorBidi" w:eastAsia="Times New Roman" w:hAnsiTheme="majorBidi" w:cstheme="majorBidi"/>
          <w:kern w:val="0"/>
          <w14:ligatures w14:val="none"/>
        </w:rPr>
        <w:t xml:space="preserve">, who emphasized that verbal abuse is a normalized form of GBV in many Nigerian households and workplaces, with detrimental effects on women’s mental health and </w:t>
      </w:r>
      <w:r w:rsidR="0096584D" w:rsidRPr="00FD1E7A">
        <w:rPr>
          <w:rFonts w:asciiTheme="majorBidi" w:eastAsia="Times New Roman" w:hAnsiTheme="majorBidi" w:cstheme="majorBidi"/>
          <w:kern w:val="0"/>
          <w14:ligatures w14:val="none"/>
        </w:rPr>
        <w:t xml:space="preserve">overall </w:t>
      </w:r>
      <w:r w:rsidRPr="00FD1E7A">
        <w:rPr>
          <w:rFonts w:asciiTheme="majorBidi" w:eastAsia="Times New Roman" w:hAnsiTheme="majorBidi" w:cstheme="majorBidi"/>
          <w:kern w:val="0"/>
          <w14:ligatures w14:val="none"/>
        </w:rPr>
        <w:t>productivity.</w:t>
      </w:r>
    </w:p>
    <w:p w14:paraId="3612AD89" w14:textId="77777777" w:rsidR="003B52DE" w:rsidRPr="00FD1E7A" w:rsidRDefault="003B52DE" w:rsidP="00EE0379">
      <w:pPr>
        <w:spacing w:before="100" w:beforeAutospacing="1" w:after="0" w:line="360" w:lineRule="auto"/>
        <w:jc w:val="both"/>
        <w:rPr>
          <w:rFonts w:asciiTheme="majorBidi" w:eastAsia="Times New Roman" w:hAnsiTheme="majorBidi" w:cstheme="majorBidi"/>
          <w:kern w:val="0"/>
          <w14:ligatures w14:val="none"/>
        </w:rPr>
        <w:sectPr w:rsidR="003B52DE" w:rsidRPr="00FD1E7A" w:rsidSect="003B52DE">
          <w:headerReference w:type="even" r:id="rId7"/>
          <w:headerReference w:type="default" r:id="rId8"/>
          <w:headerReference w:type="first" r:id="rId9"/>
          <w:pgSz w:w="12240" w:h="15840"/>
          <w:pgMar w:top="1440" w:right="1440" w:bottom="1440" w:left="1440" w:header="720" w:footer="720" w:gutter="0"/>
          <w:pgNumType w:start="1"/>
          <w:cols w:space="720"/>
          <w:docGrid w:linePitch="360"/>
        </w:sectPr>
      </w:pPr>
      <w:bookmarkStart w:id="1" w:name="_Hlk211911703"/>
    </w:p>
    <w:bookmarkEnd w:id="1"/>
    <w:p w14:paraId="47FB3F9C" w14:textId="33C79706" w:rsidR="005A1C94" w:rsidRPr="00FD1E7A" w:rsidRDefault="005A1C94" w:rsidP="005A1C94">
      <w:pPr>
        <w:spacing w:line="256" w:lineRule="auto"/>
        <w:jc w:val="both"/>
        <w:rPr>
          <w:rFonts w:ascii="Times New Roman" w:eastAsiaTheme="minorHAnsi" w:hAnsi="Times New Roman" w:cs="Times New Roman"/>
          <w:kern w:val="0"/>
          <w14:ligatures w14:val="none"/>
        </w:rPr>
      </w:pPr>
      <w:r w:rsidRPr="00FD1E7A">
        <w:rPr>
          <w:rFonts w:ascii="Times New Roman" w:eastAsiaTheme="minorHAnsi" w:hAnsi="Times New Roman" w:cs="Times New Roman"/>
          <w:b/>
          <w:bCs/>
          <w:kern w:val="0"/>
          <w14:ligatures w14:val="none"/>
        </w:rPr>
        <w:lastRenderedPageBreak/>
        <w:t xml:space="preserve">Table </w:t>
      </w:r>
      <w:r w:rsidR="00CB10C1">
        <w:rPr>
          <w:rFonts w:ascii="Times New Roman" w:eastAsiaTheme="minorHAnsi" w:hAnsi="Times New Roman" w:cs="Times New Roman"/>
          <w:b/>
          <w:bCs/>
          <w:kern w:val="0"/>
          <w14:ligatures w14:val="none"/>
        </w:rPr>
        <w:t>3</w:t>
      </w:r>
      <w:r w:rsidRPr="00FD1E7A">
        <w:rPr>
          <w:rFonts w:ascii="Times New Roman" w:eastAsiaTheme="minorHAnsi" w:hAnsi="Times New Roman" w:cs="Times New Roman"/>
          <w:b/>
          <w:bCs/>
          <w:kern w:val="0"/>
          <w14:ligatures w14:val="none"/>
        </w:rPr>
        <w:t>:</w:t>
      </w:r>
      <w:r w:rsidRPr="00FD1E7A">
        <w:rPr>
          <w:rFonts w:ascii="Times New Roman" w:eastAsiaTheme="minorHAnsi" w:hAnsi="Times New Roman" w:cs="Times New Roman"/>
          <w:kern w:val="0"/>
          <w14:ligatures w14:val="none"/>
        </w:rPr>
        <w:t xml:space="preserve"> </w:t>
      </w:r>
      <w:r w:rsidRPr="00FD1E7A">
        <w:rPr>
          <w:rFonts w:ascii="Times New Roman" w:eastAsiaTheme="minorHAnsi" w:hAnsi="Times New Roman" w:cs="Times New Roman"/>
          <w:b/>
          <w:bCs/>
          <w:kern w:val="0"/>
          <w14:ligatures w14:val="none"/>
        </w:rPr>
        <w:t xml:space="preserve">Distribution of </w:t>
      </w:r>
      <w:r w:rsidR="0096584D" w:rsidRPr="00FD1E7A">
        <w:rPr>
          <w:rFonts w:ascii="Times New Roman" w:eastAsiaTheme="minorHAnsi" w:hAnsi="Times New Roman" w:cs="Times New Roman"/>
          <w:b/>
          <w:bCs/>
          <w:kern w:val="0"/>
          <w14:ligatures w14:val="none"/>
        </w:rPr>
        <w:t xml:space="preserve">Respondents According </w:t>
      </w:r>
      <w:r w:rsidRPr="00FD1E7A">
        <w:rPr>
          <w:rFonts w:ascii="Times New Roman" w:eastAsiaTheme="minorHAnsi" w:hAnsi="Times New Roman" w:cs="Times New Roman"/>
          <w:b/>
          <w:bCs/>
          <w:kern w:val="0"/>
          <w14:ligatures w14:val="none"/>
        </w:rPr>
        <w:t xml:space="preserve">to </w:t>
      </w:r>
      <w:r w:rsidR="0096584D" w:rsidRPr="00FD1E7A">
        <w:rPr>
          <w:rFonts w:ascii="Times New Roman" w:eastAsiaTheme="minorHAnsi" w:hAnsi="Times New Roman" w:cs="Times New Roman"/>
          <w:b/>
          <w:bCs/>
          <w:kern w:val="0"/>
          <w14:ligatures w14:val="none"/>
        </w:rPr>
        <w:t xml:space="preserve">Perceived Common Forms </w:t>
      </w:r>
      <w:r w:rsidRPr="00FD1E7A">
        <w:rPr>
          <w:rFonts w:ascii="Times New Roman" w:eastAsiaTheme="minorHAnsi" w:hAnsi="Times New Roman" w:cs="Times New Roman"/>
          <w:b/>
          <w:bCs/>
          <w:kern w:val="0"/>
          <w14:ligatures w14:val="none"/>
        </w:rPr>
        <w:t xml:space="preserve">of </w:t>
      </w:r>
      <w:r w:rsidR="0096584D" w:rsidRPr="00FD1E7A">
        <w:rPr>
          <w:rFonts w:ascii="Times New Roman" w:eastAsiaTheme="minorHAnsi" w:hAnsi="Times New Roman" w:cs="Times New Roman"/>
          <w:b/>
          <w:bCs/>
          <w:kern w:val="0"/>
          <w14:ligatures w14:val="none"/>
        </w:rPr>
        <w:t>Gender</w:t>
      </w:r>
      <w:r w:rsidRPr="00FD1E7A">
        <w:rPr>
          <w:rFonts w:ascii="Times New Roman" w:eastAsiaTheme="minorHAnsi" w:hAnsi="Times New Roman" w:cs="Times New Roman"/>
          <w:b/>
          <w:bCs/>
          <w:kern w:val="0"/>
          <w14:ligatures w14:val="none"/>
        </w:rPr>
        <w:t>-</w:t>
      </w:r>
      <w:r w:rsidR="0096584D" w:rsidRPr="00FD1E7A">
        <w:rPr>
          <w:rFonts w:ascii="Times New Roman" w:eastAsiaTheme="minorHAnsi" w:hAnsi="Times New Roman" w:cs="Times New Roman"/>
          <w:b/>
          <w:bCs/>
          <w:kern w:val="0"/>
          <w14:ligatures w14:val="none"/>
        </w:rPr>
        <w:t xml:space="preserve">Based Violence </w:t>
      </w:r>
      <w:r w:rsidRPr="00FD1E7A">
        <w:rPr>
          <w:rFonts w:ascii="Times New Roman" w:eastAsiaTheme="minorHAnsi" w:hAnsi="Times New Roman" w:cs="Times New Roman"/>
          <w:b/>
          <w:bCs/>
          <w:kern w:val="0"/>
          <w14:ligatures w14:val="none"/>
        </w:rPr>
        <w:t>(GBV)</w:t>
      </w:r>
      <w:r w:rsidR="0096584D" w:rsidRPr="00FD1E7A">
        <w:rPr>
          <w:rFonts w:ascii="Times New Roman" w:eastAsiaTheme="minorHAnsi" w:hAnsi="Times New Roman" w:cs="Times New Roman"/>
          <w:b/>
          <w:bCs/>
          <w:kern w:val="0"/>
          <w14:ligatures w14:val="none"/>
        </w:rPr>
        <w:t xml:space="preserve"> n=110</w:t>
      </w:r>
    </w:p>
    <w:tbl>
      <w:tblPr>
        <w:tblStyle w:val="PlainTable2"/>
        <w:tblW w:w="14115" w:type="dxa"/>
        <w:tblInd w:w="-570" w:type="dxa"/>
        <w:tblLayout w:type="fixed"/>
        <w:tblLook w:val="0620" w:firstRow="1" w:lastRow="0" w:firstColumn="0" w:lastColumn="0" w:noHBand="1" w:noVBand="1"/>
      </w:tblPr>
      <w:tblGrid>
        <w:gridCol w:w="1352"/>
        <w:gridCol w:w="5503"/>
        <w:gridCol w:w="1169"/>
        <w:gridCol w:w="1085"/>
        <w:gridCol w:w="1168"/>
        <w:gridCol w:w="1085"/>
        <w:gridCol w:w="1030"/>
        <w:gridCol w:w="889"/>
        <w:gridCol w:w="834"/>
      </w:tblGrid>
      <w:tr w:rsidR="005A1C94" w:rsidRPr="00FD1E7A" w14:paraId="32423637" w14:textId="77777777" w:rsidTr="00490F69">
        <w:trPr>
          <w:cnfStyle w:val="100000000000" w:firstRow="1" w:lastRow="0" w:firstColumn="0" w:lastColumn="0" w:oddVBand="0" w:evenVBand="0" w:oddHBand="0" w:evenHBand="0" w:firstRowFirstColumn="0" w:firstRowLastColumn="0" w:lastRowFirstColumn="0" w:lastRowLastColumn="0"/>
          <w:trHeight w:val="995"/>
        </w:trPr>
        <w:tc>
          <w:tcPr>
            <w:tcW w:w="1352" w:type="dxa"/>
            <w:tcBorders>
              <w:top w:val="single" w:sz="4" w:space="0" w:color="7F7F7F" w:themeColor="text1" w:themeTint="80"/>
              <w:left w:val="nil"/>
              <w:right w:val="nil"/>
            </w:tcBorders>
          </w:tcPr>
          <w:p w14:paraId="0CC41978" w14:textId="77777777" w:rsidR="005A1C94" w:rsidRPr="00FD1E7A" w:rsidRDefault="005A1C94">
            <w:pPr>
              <w:rPr>
                <w:rFonts w:eastAsiaTheme="minorHAnsi"/>
                <w:kern w:val="0"/>
                <w:sz w:val="20"/>
                <w:szCs w:val="20"/>
                <w14:ligatures w14:val="none"/>
              </w:rPr>
            </w:pPr>
          </w:p>
        </w:tc>
        <w:tc>
          <w:tcPr>
            <w:tcW w:w="5503" w:type="dxa"/>
            <w:tcBorders>
              <w:top w:val="single" w:sz="4" w:space="0" w:color="7F7F7F" w:themeColor="text1" w:themeTint="80"/>
              <w:left w:val="nil"/>
              <w:right w:val="nil"/>
            </w:tcBorders>
            <w:hideMark/>
          </w:tcPr>
          <w:p w14:paraId="5A11C33E" w14:textId="71DFA345" w:rsidR="005A1C94" w:rsidRPr="00FD1E7A" w:rsidRDefault="0096584D">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 xml:space="preserve">Perception </w:t>
            </w:r>
            <w:r w:rsidR="005A1C94" w:rsidRPr="00FD1E7A">
              <w:rPr>
                <w:rFonts w:ascii="Times New Roman" w:eastAsiaTheme="minorHAnsi" w:hAnsi="Times New Roman" w:cs="Times New Roman"/>
                <w:kern w:val="0"/>
                <w:sz w:val="20"/>
                <w:szCs w:val="20"/>
                <w14:ligatures w14:val="none"/>
              </w:rPr>
              <w:t>Statements</w:t>
            </w:r>
          </w:p>
        </w:tc>
        <w:tc>
          <w:tcPr>
            <w:tcW w:w="1169" w:type="dxa"/>
            <w:tcBorders>
              <w:top w:val="single" w:sz="4" w:space="0" w:color="7F7F7F" w:themeColor="text1" w:themeTint="80"/>
              <w:left w:val="nil"/>
              <w:right w:val="nil"/>
            </w:tcBorders>
            <w:hideMark/>
          </w:tcPr>
          <w:p w14:paraId="767C19A1"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Strongly Agree</w:t>
            </w:r>
          </w:p>
          <w:p w14:paraId="11F03C36" w14:textId="4405525D"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color w:val="000000"/>
                <w:kern w:val="0"/>
                <w:sz w:val="20"/>
                <w:szCs w:val="20"/>
                <w14:ligatures w14:val="none"/>
              </w:rPr>
              <w:t>F (%)</w:t>
            </w:r>
          </w:p>
        </w:tc>
        <w:tc>
          <w:tcPr>
            <w:tcW w:w="1085" w:type="dxa"/>
            <w:tcBorders>
              <w:top w:val="single" w:sz="4" w:space="0" w:color="7F7F7F" w:themeColor="text1" w:themeTint="80"/>
              <w:left w:val="nil"/>
              <w:right w:val="nil"/>
            </w:tcBorders>
            <w:hideMark/>
          </w:tcPr>
          <w:p w14:paraId="4842ADDF"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Agree</w:t>
            </w:r>
          </w:p>
          <w:p w14:paraId="3EE2E4B3" w14:textId="77777777" w:rsidR="0096584D" w:rsidRPr="00FD1E7A" w:rsidRDefault="0096584D">
            <w:pPr>
              <w:jc w:val="both"/>
              <w:rPr>
                <w:rFonts w:ascii="Times New Roman" w:eastAsiaTheme="minorHAnsi" w:hAnsi="Times New Roman" w:cs="Times New Roman"/>
                <w:b w:val="0"/>
                <w:bCs w:val="0"/>
                <w:color w:val="000000"/>
                <w:kern w:val="0"/>
                <w:sz w:val="20"/>
                <w:szCs w:val="20"/>
                <w14:ligatures w14:val="none"/>
              </w:rPr>
            </w:pPr>
          </w:p>
          <w:p w14:paraId="41151E13" w14:textId="7ACDA940"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color w:val="000000"/>
                <w:kern w:val="0"/>
                <w:sz w:val="20"/>
                <w:szCs w:val="20"/>
                <w14:ligatures w14:val="none"/>
              </w:rPr>
              <w:t>F (%)</w:t>
            </w:r>
          </w:p>
        </w:tc>
        <w:tc>
          <w:tcPr>
            <w:tcW w:w="1168" w:type="dxa"/>
            <w:tcBorders>
              <w:top w:val="single" w:sz="4" w:space="0" w:color="7F7F7F" w:themeColor="text1" w:themeTint="80"/>
              <w:left w:val="nil"/>
              <w:right w:val="nil"/>
            </w:tcBorders>
            <w:hideMark/>
          </w:tcPr>
          <w:p w14:paraId="622FA57A"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Undecided</w:t>
            </w:r>
          </w:p>
          <w:p w14:paraId="58EC2CB5" w14:textId="19A7BE50"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color w:val="000000"/>
                <w:kern w:val="0"/>
                <w:sz w:val="20"/>
                <w:szCs w:val="20"/>
                <w14:ligatures w14:val="none"/>
              </w:rPr>
              <w:t>F</w:t>
            </w:r>
            <w:r w:rsidR="0096584D" w:rsidRPr="00FD1E7A">
              <w:rPr>
                <w:rFonts w:ascii="Times New Roman" w:eastAsiaTheme="minorHAnsi" w:hAnsi="Times New Roman" w:cs="Times New Roman"/>
                <w:color w:val="000000"/>
                <w:kern w:val="0"/>
                <w:sz w:val="20"/>
                <w:szCs w:val="20"/>
                <w14:ligatures w14:val="none"/>
              </w:rPr>
              <w:t xml:space="preserve"> </w:t>
            </w:r>
            <w:r w:rsidRPr="00FD1E7A">
              <w:rPr>
                <w:rFonts w:ascii="Times New Roman" w:eastAsiaTheme="minorHAnsi" w:hAnsi="Times New Roman" w:cs="Times New Roman"/>
                <w:color w:val="000000"/>
                <w:kern w:val="0"/>
                <w:sz w:val="20"/>
                <w:szCs w:val="20"/>
                <w14:ligatures w14:val="none"/>
              </w:rPr>
              <w:t>(%)</w:t>
            </w:r>
          </w:p>
        </w:tc>
        <w:tc>
          <w:tcPr>
            <w:tcW w:w="1085" w:type="dxa"/>
            <w:tcBorders>
              <w:top w:val="single" w:sz="4" w:space="0" w:color="7F7F7F" w:themeColor="text1" w:themeTint="80"/>
              <w:left w:val="nil"/>
              <w:right w:val="nil"/>
            </w:tcBorders>
            <w:hideMark/>
          </w:tcPr>
          <w:p w14:paraId="777C1177" w14:textId="32CEA6B6"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color w:val="000000"/>
                <w:kern w:val="0"/>
                <w:sz w:val="20"/>
                <w:szCs w:val="20"/>
                <w14:ligatures w14:val="none"/>
              </w:rPr>
              <w:t>Dis-agree F</w:t>
            </w:r>
            <w:r w:rsidR="0096584D" w:rsidRPr="00FD1E7A">
              <w:rPr>
                <w:rFonts w:ascii="Times New Roman" w:eastAsiaTheme="minorHAnsi" w:hAnsi="Times New Roman" w:cs="Times New Roman"/>
                <w:color w:val="000000"/>
                <w:kern w:val="0"/>
                <w:sz w:val="20"/>
                <w:szCs w:val="20"/>
                <w14:ligatures w14:val="none"/>
              </w:rPr>
              <w:t xml:space="preserve"> </w:t>
            </w:r>
            <w:r w:rsidRPr="00FD1E7A">
              <w:rPr>
                <w:rFonts w:ascii="Times New Roman" w:eastAsiaTheme="minorHAnsi" w:hAnsi="Times New Roman" w:cs="Times New Roman"/>
                <w:color w:val="000000"/>
                <w:kern w:val="0"/>
                <w:sz w:val="20"/>
                <w:szCs w:val="20"/>
                <w14:ligatures w14:val="none"/>
              </w:rPr>
              <w:t>(%)</w:t>
            </w:r>
          </w:p>
        </w:tc>
        <w:tc>
          <w:tcPr>
            <w:tcW w:w="1030" w:type="dxa"/>
            <w:tcBorders>
              <w:top w:val="single" w:sz="4" w:space="0" w:color="7F7F7F" w:themeColor="text1" w:themeTint="80"/>
              <w:left w:val="nil"/>
              <w:right w:val="nil"/>
            </w:tcBorders>
            <w:hideMark/>
          </w:tcPr>
          <w:p w14:paraId="6DB6E9C7" w14:textId="77777777" w:rsidR="005A1C94" w:rsidRPr="00FD1E7A" w:rsidRDefault="005A1C94">
            <w:pPr>
              <w:tabs>
                <w:tab w:val="left" w:pos="5536"/>
              </w:tabs>
              <w:jc w:val="both"/>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Strongly Disagree</w:t>
            </w:r>
          </w:p>
          <w:p w14:paraId="1D3378B2" w14:textId="0F4309D1" w:rsidR="005A1C94" w:rsidRPr="00FD1E7A" w:rsidRDefault="005A1C94">
            <w:pPr>
              <w:rPr>
                <w:rFonts w:ascii="Times New Roman" w:eastAsiaTheme="minorHAnsi" w:hAnsi="Times New Roman" w:cs="Times New Roman"/>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F (%)</w:t>
            </w:r>
          </w:p>
        </w:tc>
        <w:tc>
          <w:tcPr>
            <w:tcW w:w="889" w:type="dxa"/>
            <w:tcBorders>
              <w:top w:val="single" w:sz="4" w:space="0" w:color="7F7F7F" w:themeColor="text1" w:themeTint="80"/>
              <w:left w:val="nil"/>
              <w:right w:val="nil"/>
            </w:tcBorders>
            <w:hideMark/>
          </w:tcPr>
          <w:p w14:paraId="3C2761EF" w14:textId="77777777" w:rsidR="005A1C94" w:rsidRPr="00FD1E7A" w:rsidRDefault="005A1C94">
            <w:pPr>
              <w:rPr>
                <w:rFonts w:ascii="Times New Roman" w:eastAsiaTheme="minorHAnsi" w:hAnsi="Times New Roman" w:cs="Times New Roman"/>
                <w:b w:val="0"/>
                <w:bCs w:val="0"/>
                <w:color w:val="000000"/>
                <w:kern w:val="0"/>
                <w:sz w:val="20"/>
                <w:szCs w:val="20"/>
                <w14:ligatures w14:val="none"/>
              </w:rPr>
            </w:pPr>
            <w:r w:rsidRPr="00FD1E7A">
              <w:rPr>
                <w:rFonts w:ascii="Times New Roman" w:eastAsiaTheme="minorHAnsi" w:hAnsi="Times New Roman" w:cs="Times New Roman"/>
                <w:color w:val="000000"/>
                <w:kern w:val="0"/>
                <w:sz w:val="20"/>
                <w:szCs w:val="20"/>
                <w14:ligatures w14:val="none"/>
              </w:rPr>
              <w:t>Mean</w:t>
            </w:r>
          </w:p>
          <w:p w14:paraId="5AAA12D0" w14:textId="3D0254DD" w:rsidR="0096584D" w:rsidRPr="00FD1E7A" w:rsidRDefault="0096584D">
            <w:pPr>
              <w:rPr>
                <w:rFonts w:eastAsiaTheme="minorHAnsi"/>
                <w:kern w:val="0"/>
                <w:sz w:val="20"/>
                <w:szCs w:val="20"/>
                <w14:ligatures w14:val="none"/>
              </w:rPr>
            </w:pPr>
            <w:r w:rsidRPr="00FD1E7A">
              <w:rPr>
                <w:rFonts w:ascii="Times New Roman" w:eastAsiaTheme="minorHAnsi" w:hAnsi="Times New Roman" w:cs="Times New Roman"/>
                <w:color w:val="000000"/>
                <w:kern w:val="0"/>
                <w:sz w:val="20"/>
                <w:szCs w:val="20"/>
                <w14:ligatures w14:val="none"/>
              </w:rPr>
              <w:t>Score</w:t>
            </w:r>
          </w:p>
        </w:tc>
        <w:tc>
          <w:tcPr>
            <w:tcW w:w="834" w:type="dxa"/>
            <w:tcBorders>
              <w:top w:val="single" w:sz="4" w:space="0" w:color="7F7F7F" w:themeColor="text1" w:themeTint="80"/>
              <w:left w:val="nil"/>
              <w:right w:val="nil"/>
            </w:tcBorders>
            <w:hideMark/>
          </w:tcPr>
          <w:p w14:paraId="49A0A0B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color w:val="000000"/>
                <w:kern w:val="0"/>
                <w:sz w:val="20"/>
                <w:szCs w:val="20"/>
                <w14:ligatures w14:val="none"/>
              </w:rPr>
              <w:t>SD</w:t>
            </w:r>
          </w:p>
        </w:tc>
      </w:tr>
      <w:tr w:rsidR="005A1C94" w:rsidRPr="00FD1E7A" w14:paraId="7E47DCC1" w14:textId="77777777" w:rsidTr="00490F69">
        <w:trPr>
          <w:trHeight w:val="263"/>
        </w:trPr>
        <w:tc>
          <w:tcPr>
            <w:tcW w:w="1352" w:type="dxa"/>
            <w:tcBorders>
              <w:top w:val="nil"/>
              <w:left w:val="nil"/>
              <w:bottom w:val="nil"/>
              <w:right w:val="nil"/>
            </w:tcBorders>
            <w:hideMark/>
          </w:tcPr>
          <w:p w14:paraId="3126BC7D"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PHYSICAL</w:t>
            </w:r>
          </w:p>
          <w:p w14:paraId="3619DF74" w14:textId="77777777" w:rsidR="005A1C94" w:rsidRPr="00FD1E7A" w:rsidRDefault="005A1C94">
            <w:pPr>
              <w:rPr>
                <w:rFonts w:eastAsiaTheme="minorHAnsi"/>
                <w:kern w:val="0"/>
                <w:sz w:val="20"/>
                <w:szCs w:val="20"/>
                <w14:ligatures w14:val="none"/>
              </w:rPr>
            </w:pPr>
            <w:r w:rsidRPr="00FD1E7A">
              <w:rPr>
                <w:rFonts w:eastAsiaTheme="minorHAnsi"/>
                <w:b/>
                <w:bCs/>
                <w:kern w:val="0"/>
                <w:sz w:val="20"/>
                <w:szCs w:val="20"/>
                <w14:ligatures w14:val="none"/>
              </w:rPr>
              <w:t>VIOLENCE</w:t>
            </w:r>
          </w:p>
        </w:tc>
        <w:tc>
          <w:tcPr>
            <w:tcW w:w="5503" w:type="dxa"/>
            <w:tcBorders>
              <w:top w:val="nil"/>
              <w:left w:val="nil"/>
              <w:bottom w:val="nil"/>
              <w:right w:val="nil"/>
            </w:tcBorders>
            <w:hideMark/>
          </w:tcPr>
          <w:p w14:paraId="199E290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feel physically safe in my workplace and at home.</w:t>
            </w:r>
          </w:p>
        </w:tc>
        <w:tc>
          <w:tcPr>
            <w:tcW w:w="1169" w:type="dxa"/>
            <w:tcBorders>
              <w:top w:val="nil"/>
              <w:left w:val="nil"/>
              <w:bottom w:val="nil"/>
              <w:right w:val="nil"/>
            </w:tcBorders>
            <w:hideMark/>
          </w:tcPr>
          <w:p w14:paraId="6398BABF"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15 (13.6)</w:t>
            </w:r>
          </w:p>
        </w:tc>
        <w:tc>
          <w:tcPr>
            <w:tcW w:w="1085" w:type="dxa"/>
            <w:tcBorders>
              <w:top w:val="nil"/>
              <w:left w:val="nil"/>
              <w:bottom w:val="nil"/>
              <w:right w:val="nil"/>
            </w:tcBorders>
            <w:hideMark/>
          </w:tcPr>
          <w:p w14:paraId="75411CF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168" w:type="dxa"/>
            <w:tcBorders>
              <w:top w:val="nil"/>
              <w:left w:val="nil"/>
              <w:bottom w:val="nil"/>
              <w:right w:val="nil"/>
            </w:tcBorders>
            <w:hideMark/>
          </w:tcPr>
          <w:p w14:paraId="5E01C31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 (20.0)</w:t>
            </w:r>
          </w:p>
        </w:tc>
        <w:tc>
          <w:tcPr>
            <w:tcW w:w="1085" w:type="dxa"/>
            <w:tcBorders>
              <w:top w:val="nil"/>
              <w:left w:val="nil"/>
              <w:bottom w:val="nil"/>
              <w:right w:val="nil"/>
            </w:tcBorders>
            <w:hideMark/>
          </w:tcPr>
          <w:p w14:paraId="04A6379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 (27.3)</w:t>
            </w:r>
          </w:p>
        </w:tc>
        <w:tc>
          <w:tcPr>
            <w:tcW w:w="1030" w:type="dxa"/>
            <w:tcBorders>
              <w:top w:val="nil"/>
              <w:left w:val="nil"/>
              <w:bottom w:val="nil"/>
              <w:right w:val="nil"/>
            </w:tcBorders>
            <w:hideMark/>
          </w:tcPr>
          <w:p w14:paraId="77AEE3A8"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25 (22.7)</w:t>
            </w:r>
          </w:p>
        </w:tc>
        <w:tc>
          <w:tcPr>
            <w:tcW w:w="889" w:type="dxa"/>
            <w:tcBorders>
              <w:top w:val="nil"/>
              <w:left w:val="nil"/>
              <w:bottom w:val="nil"/>
              <w:right w:val="nil"/>
            </w:tcBorders>
            <w:hideMark/>
          </w:tcPr>
          <w:p w14:paraId="0B609B6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3.39</w:t>
            </w:r>
          </w:p>
        </w:tc>
        <w:tc>
          <w:tcPr>
            <w:tcW w:w="834" w:type="dxa"/>
            <w:tcBorders>
              <w:top w:val="nil"/>
              <w:left w:val="nil"/>
              <w:bottom w:val="nil"/>
              <w:right w:val="nil"/>
            </w:tcBorders>
            <w:hideMark/>
          </w:tcPr>
          <w:p w14:paraId="143632CF"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1.35</w:t>
            </w:r>
          </w:p>
        </w:tc>
      </w:tr>
      <w:tr w:rsidR="005A1C94" w:rsidRPr="00FD1E7A" w14:paraId="2585E91C" w14:textId="77777777" w:rsidTr="00490F69">
        <w:trPr>
          <w:trHeight w:val="263"/>
        </w:trPr>
        <w:tc>
          <w:tcPr>
            <w:tcW w:w="1352" w:type="dxa"/>
            <w:tcBorders>
              <w:top w:val="nil"/>
              <w:left w:val="nil"/>
              <w:bottom w:val="nil"/>
              <w:right w:val="nil"/>
            </w:tcBorders>
          </w:tcPr>
          <w:p w14:paraId="25ECC2BD"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06F7926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am able to perform my agricultural tasks without fear of physical harm.</w:t>
            </w:r>
          </w:p>
        </w:tc>
        <w:tc>
          <w:tcPr>
            <w:tcW w:w="1169" w:type="dxa"/>
            <w:tcBorders>
              <w:top w:val="nil"/>
              <w:left w:val="nil"/>
              <w:bottom w:val="nil"/>
              <w:right w:val="nil"/>
            </w:tcBorders>
            <w:hideMark/>
          </w:tcPr>
          <w:p w14:paraId="62B8F0D4"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6BFBECA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21 (19.1)</w:t>
            </w:r>
          </w:p>
        </w:tc>
        <w:tc>
          <w:tcPr>
            <w:tcW w:w="1168" w:type="dxa"/>
            <w:tcBorders>
              <w:top w:val="nil"/>
              <w:left w:val="nil"/>
              <w:bottom w:val="nil"/>
              <w:right w:val="nil"/>
            </w:tcBorders>
            <w:hideMark/>
          </w:tcPr>
          <w:p w14:paraId="3AB385C2"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085" w:type="dxa"/>
            <w:tcBorders>
              <w:top w:val="nil"/>
              <w:left w:val="nil"/>
              <w:bottom w:val="nil"/>
              <w:right w:val="nil"/>
            </w:tcBorders>
            <w:hideMark/>
          </w:tcPr>
          <w:p w14:paraId="141F464F"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28 (25.5)</w:t>
            </w:r>
          </w:p>
        </w:tc>
        <w:tc>
          <w:tcPr>
            <w:tcW w:w="1030" w:type="dxa"/>
            <w:tcBorders>
              <w:top w:val="nil"/>
              <w:left w:val="nil"/>
              <w:bottom w:val="nil"/>
              <w:right w:val="nil"/>
            </w:tcBorders>
            <w:hideMark/>
          </w:tcPr>
          <w:p w14:paraId="0ED90E95"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29 (26.4)</w:t>
            </w:r>
          </w:p>
        </w:tc>
        <w:tc>
          <w:tcPr>
            <w:tcW w:w="889" w:type="dxa"/>
            <w:tcBorders>
              <w:top w:val="nil"/>
              <w:left w:val="nil"/>
              <w:bottom w:val="nil"/>
              <w:right w:val="nil"/>
            </w:tcBorders>
            <w:hideMark/>
          </w:tcPr>
          <w:p w14:paraId="3811215A"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3.48</w:t>
            </w:r>
          </w:p>
        </w:tc>
        <w:tc>
          <w:tcPr>
            <w:tcW w:w="834" w:type="dxa"/>
            <w:tcBorders>
              <w:top w:val="nil"/>
              <w:left w:val="nil"/>
              <w:bottom w:val="nil"/>
              <w:right w:val="nil"/>
            </w:tcBorders>
            <w:hideMark/>
          </w:tcPr>
          <w:p w14:paraId="04394E85"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1.34</w:t>
            </w:r>
          </w:p>
        </w:tc>
      </w:tr>
      <w:tr w:rsidR="005A1C94" w:rsidRPr="00FD1E7A" w14:paraId="509766F3" w14:textId="77777777" w:rsidTr="00490F69">
        <w:trPr>
          <w:trHeight w:val="263"/>
        </w:trPr>
        <w:tc>
          <w:tcPr>
            <w:tcW w:w="1352" w:type="dxa"/>
            <w:tcBorders>
              <w:top w:val="nil"/>
              <w:left w:val="nil"/>
              <w:bottom w:val="nil"/>
              <w:right w:val="nil"/>
            </w:tcBorders>
          </w:tcPr>
          <w:p w14:paraId="1D4C91C5"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1D80E7B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been physically harmed by someone at home or workplace.</w:t>
            </w:r>
          </w:p>
        </w:tc>
        <w:tc>
          <w:tcPr>
            <w:tcW w:w="1169" w:type="dxa"/>
            <w:tcBorders>
              <w:top w:val="nil"/>
              <w:left w:val="nil"/>
              <w:bottom w:val="nil"/>
              <w:right w:val="nil"/>
            </w:tcBorders>
            <w:hideMark/>
          </w:tcPr>
          <w:p w14:paraId="754542D2"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5 (4.5)</w:t>
            </w:r>
          </w:p>
        </w:tc>
        <w:tc>
          <w:tcPr>
            <w:tcW w:w="1085" w:type="dxa"/>
            <w:tcBorders>
              <w:top w:val="nil"/>
              <w:left w:val="nil"/>
              <w:bottom w:val="nil"/>
              <w:right w:val="nil"/>
            </w:tcBorders>
            <w:hideMark/>
          </w:tcPr>
          <w:p w14:paraId="7D21641A"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8 (7.3)</w:t>
            </w:r>
          </w:p>
        </w:tc>
        <w:tc>
          <w:tcPr>
            <w:tcW w:w="1168" w:type="dxa"/>
            <w:tcBorders>
              <w:top w:val="nil"/>
              <w:left w:val="nil"/>
              <w:bottom w:val="nil"/>
              <w:right w:val="nil"/>
            </w:tcBorders>
            <w:hideMark/>
          </w:tcPr>
          <w:p w14:paraId="050A365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73D3ECB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41 (37.3)</w:t>
            </w:r>
          </w:p>
        </w:tc>
        <w:tc>
          <w:tcPr>
            <w:tcW w:w="1030" w:type="dxa"/>
            <w:tcBorders>
              <w:top w:val="nil"/>
              <w:left w:val="nil"/>
              <w:bottom w:val="nil"/>
              <w:right w:val="nil"/>
            </w:tcBorders>
            <w:hideMark/>
          </w:tcPr>
          <w:p w14:paraId="242E0AE5"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44 (40.0)</w:t>
            </w:r>
          </w:p>
        </w:tc>
        <w:tc>
          <w:tcPr>
            <w:tcW w:w="889" w:type="dxa"/>
            <w:tcBorders>
              <w:top w:val="nil"/>
              <w:left w:val="nil"/>
              <w:bottom w:val="nil"/>
              <w:right w:val="nil"/>
            </w:tcBorders>
            <w:hideMark/>
          </w:tcPr>
          <w:p w14:paraId="1564ACF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4.01</w:t>
            </w:r>
          </w:p>
        </w:tc>
        <w:tc>
          <w:tcPr>
            <w:tcW w:w="834" w:type="dxa"/>
            <w:tcBorders>
              <w:top w:val="nil"/>
              <w:left w:val="nil"/>
              <w:bottom w:val="nil"/>
              <w:right w:val="nil"/>
            </w:tcBorders>
            <w:hideMark/>
          </w:tcPr>
          <w:p w14:paraId="524C34EE"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1.05</w:t>
            </w:r>
          </w:p>
        </w:tc>
      </w:tr>
      <w:tr w:rsidR="005A1C94" w:rsidRPr="00FD1E7A" w14:paraId="2DAAEF9E" w14:textId="77777777" w:rsidTr="00490F69">
        <w:trPr>
          <w:trHeight w:val="263"/>
        </w:trPr>
        <w:tc>
          <w:tcPr>
            <w:tcW w:w="1352" w:type="dxa"/>
            <w:tcBorders>
              <w:top w:val="nil"/>
              <w:left w:val="nil"/>
              <w:bottom w:val="nil"/>
              <w:right w:val="nil"/>
            </w:tcBorders>
            <w:hideMark/>
          </w:tcPr>
          <w:p w14:paraId="5B5565F9"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SEXUAL</w:t>
            </w:r>
          </w:p>
          <w:p w14:paraId="7635D84C"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VIOLENCE</w:t>
            </w:r>
          </w:p>
        </w:tc>
        <w:tc>
          <w:tcPr>
            <w:tcW w:w="5503" w:type="dxa"/>
            <w:tcBorders>
              <w:top w:val="nil"/>
              <w:left w:val="nil"/>
              <w:bottom w:val="nil"/>
              <w:right w:val="nil"/>
            </w:tcBorders>
            <w:hideMark/>
          </w:tcPr>
          <w:p w14:paraId="0AB7C97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am able to work without fear of sexual harassment or coercion from others.</w:t>
            </w:r>
          </w:p>
        </w:tc>
        <w:tc>
          <w:tcPr>
            <w:tcW w:w="1169" w:type="dxa"/>
            <w:tcBorders>
              <w:top w:val="nil"/>
              <w:left w:val="nil"/>
              <w:bottom w:val="nil"/>
              <w:right w:val="nil"/>
            </w:tcBorders>
            <w:hideMark/>
          </w:tcPr>
          <w:p w14:paraId="47B84C12"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085" w:type="dxa"/>
            <w:tcBorders>
              <w:top w:val="nil"/>
              <w:left w:val="nil"/>
              <w:bottom w:val="nil"/>
              <w:right w:val="nil"/>
            </w:tcBorders>
            <w:hideMark/>
          </w:tcPr>
          <w:p w14:paraId="044B1BB8"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25 (22.7)</w:t>
            </w:r>
          </w:p>
        </w:tc>
        <w:tc>
          <w:tcPr>
            <w:tcW w:w="1168" w:type="dxa"/>
            <w:tcBorders>
              <w:top w:val="nil"/>
              <w:left w:val="nil"/>
              <w:bottom w:val="nil"/>
              <w:right w:val="nil"/>
            </w:tcBorders>
            <w:hideMark/>
          </w:tcPr>
          <w:p w14:paraId="507318C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085" w:type="dxa"/>
            <w:tcBorders>
              <w:top w:val="nil"/>
              <w:left w:val="nil"/>
              <w:bottom w:val="nil"/>
              <w:right w:val="nil"/>
            </w:tcBorders>
            <w:hideMark/>
          </w:tcPr>
          <w:p w14:paraId="6A89F682"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27 (24.5)</w:t>
            </w:r>
          </w:p>
        </w:tc>
        <w:tc>
          <w:tcPr>
            <w:tcW w:w="1030" w:type="dxa"/>
            <w:tcBorders>
              <w:top w:val="nil"/>
              <w:left w:val="nil"/>
              <w:bottom w:val="nil"/>
              <w:right w:val="nil"/>
            </w:tcBorders>
            <w:hideMark/>
          </w:tcPr>
          <w:p w14:paraId="49C2DB3A"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889" w:type="dxa"/>
            <w:tcBorders>
              <w:top w:val="nil"/>
              <w:left w:val="nil"/>
              <w:bottom w:val="nil"/>
              <w:right w:val="nil"/>
            </w:tcBorders>
            <w:hideMark/>
          </w:tcPr>
          <w:p w14:paraId="53611F8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2.96</w:t>
            </w:r>
          </w:p>
        </w:tc>
        <w:tc>
          <w:tcPr>
            <w:tcW w:w="834" w:type="dxa"/>
            <w:tcBorders>
              <w:top w:val="nil"/>
              <w:left w:val="nil"/>
              <w:bottom w:val="nil"/>
              <w:right w:val="nil"/>
            </w:tcBorders>
            <w:hideMark/>
          </w:tcPr>
          <w:p w14:paraId="5003679E"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1.36</w:t>
            </w:r>
          </w:p>
        </w:tc>
      </w:tr>
      <w:tr w:rsidR="005A1C94" w:rsidRPr="00FD1E7A" w14:paraId="7581C1C9" w14:textId="77777777" w:rsidTr="00490F69">
        <w:trPr>
          <w:trHeight w:val="263"/>
        </w:trPr>
        <w:tc>
          <w:tcPr>
            <w:tcW w:w="1352" w:type="dxa"/>
            <w:tcBorders>
              <w:top w:val="nil"/>
              <w:left w:val="nil"/>
              <w:bottom w:val="nil"/>
              <w:right w:val="nil"/>
            </w:tcBorders>
          </w:tcPr>
          <w:p w14:paraId="11B7445D"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3EC64D98"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 xml:space="preserve">My personal boundaries regarding </w:t>
            </w:r>
            <w:r w:rsidRPr="00FD1E7A">
              <w:rPr>
                <w:rFonts w:ascii="Times New Roman" w:eastAsiaTheme="minorHAnsi" w:hAnsi="Times New Roman" w:cs="Times New Roman"/>
                <w:kern w:val="0"/>
                <w:sz w:val="22"/>
                <w:szCs w:val="22"/>
                <w14:ligatures w14:val="none"/>
              </w:rPr>
              <w:t>sexual</w:t>
            </w:r>
            <w:r w:rsidRPr="00FD1E7A">
              <w:rPr>
                <w:rFonts w:ascii="Times New Roman" w:eastAsiaTheme="minorHAnsi" w:hAnsi="Times New Roman" w:cs="Times New Roman"/>
                <w:kern w:val="0"/>
                <w:sz w:val="20"/>
                <w:szCs w:val="20"/>
                <w14:ligatures w14:val="none"/>
              </w:rPr>
              <w:t xml:space="preserve"> matters are respected.</w:t>
            </w:r>
          </w:p>
        </w:tc>
        <w:tc>
          <w:tcPr>
            <w:tcW w:w="1169" w:type="dxa"/>
            <w:tcBorders>
              <w:top w:val="nil"/>
              <w:left w:val="nil"/>
              <w:bottom w:val="nil"/>
              <w:right w:val="nil"/>
            </w:tcBorders>
            <w:hideMark/>
          </w:tcPr>
          <w:p w14:paraId="589BA7B2"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17 (15.5)</w:t>
            </w:r>
          </w:p>
        </w:tc>
        <w:tc>
          <w:tcPr>
            <w:tcW w:w="1085" w:type="dxa"/>
            <w:tcBorders>
              <w:top w:val="nil"/>
              <w:left w:val="nil"/>
              <w:bottom w:val="nil"/>
              <w:right w:val="nil"/>
            </w:tcBorders>
            <w:hideMark/>
          </w:tcPr>
          <w:p w14:paraId="667D2B9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24 (21.8)</w:t>
            </w:r>
          </w:p>
        </w:tc>
        <w:tc>
          <w:tcPr>
            <w:tcW w:w="1168" w:type="dxa"/>
            <w:tcBorders>
              <w:top w:val="nil"/>
              <w:left w:val="nil"/>
              <w:bottom w:val="nil"/>
              <w:right w:val="nil"/>
            </w:tcBorders>
            <w:hideMark/>
          </w:tcPr>
          <w:p w14:paraId="6AFDDDC0"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 (20.0)</w:t>
            </w:r>
          </w:p>
        </w:tc>
        <w:tc>
          <w:tcPr>
            <w:tcW w:w="1085" w:type="dxa"/>
            <w:tcBorders>
              <w:top w:val="nil"/>
              <w:left w:val="nil"/>
              <w:bottom w:val="nil"/>
              <w:right w:val="nil"/>
            </w:tcBorders>
            <w:hideMark/>
          </w:tcPr>
          <w:p w14:paraId="2830FAC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26 (23.6)</w:t>
            </w:r>
          </w:p>
        </w:tc>
        <w:tc>
          <w:tcPr>
            <w:tcW w:w="1030" w:type="dxa"/>
            <w:tcBorders>
              <w:top w:val="nil"/>
              <w:left w:val="nil"/>
              <w:bottom w:val="nil"/>
              <w:right w:val="nil"/>
            </w:tcBorders>
            <w:hideMark/>
          </w:tcPr>
          <w:p w14:paraId="7A123B3F"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21 (19.1)</w:t>
            </w:r>
          </w:p>
        </w:tc>
        <w:tc>
          <w:tcPr>
            <w:tcW w:w="889" w:type="dxa"/>
            <w:tcBorders>
              <w:top w:val="nil"/>
              <w:left w:val="nil"/>
              <w:bottom w:val="nil"/>
              <w:right w:val="nil"/>
            </w:tcBorders>
            <w:hideMark/>
          </w:tcPr>
          <w:p w14:paraId="2877E99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3.03</w:t>
            </w:r>
          </w:p>
        </w:tc>
        <w:tc>
          <w:tcPr>
            <w:tcW w:w="834" w:type="dxa"/>
            <w:tcBorders>
              <w:top w:val="nil"/>
              <w:left w:val="nil"/>
              <w:bottom w:val="nil"/>
              <w:right w:val="nil"/>
            </w:tcBorders>
            <w:hideMark/>
          </w:tcPr>
          <w:p w14:paraId="1B49B3C1"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1.34</w:t>
            </w:r>
          </w:p>
        </w:tc>
      </w:tr>
      <w:tr w:rsidR="005A1C94" w:rsidRPr="00FD1E7A" w14:paraId="712C51C7" w14:textId="77777777" w:rsidTr="00490F69">
        <w:trPr>
          <w:trHeight w:val="263"/>
        </w:trPr>
        <w:tc>
          <w:tcPr>
            <w:tcW w:w="1352" w:type="dxa"/>
            <w:tcBorders>
              <w:top w:val="nil"/>
              <w:left w:val="nil"/>
              <w:bottom w:val="nil"/>
              <w:right w:val="nil"/>
            </w:tcBorders>
          </w:tcPr>
          <w:p w14:paraId="0DF43196"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6C1EFAD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experienced unwanted sexual advances that affected my mental well-being/work.</w:t>
            </w:r>
          </w:p>
        </w:tc>
        <w:tc>
          <w:tcPr>
            <w:tcW w:w="1169" w:type="dxa"/>
            <w:tcBorders>
              <w:top w:val="nil"/>
              <w:left w:val="nil"/>
              <w:bottom w:val="nil"/>
              <w:right w:val="nil"/>
            </w:tcBorders>
            <w:hideMark/>
          </w:tcPr>
          <w:p w14:paraId="7B890E05"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 (3.6)</w:t>
            </w:r>
          </w:p>
        </w:tc>
        <w:tc>
          <w:tcPr>
            <w:tcW w:w="1085" w:type="dxa"/>
            <w:tcBorders>
              <w:top w:val="nil"/>
              <w:left w:val="nil"/>
              <w:bottom w:val="nil"/>
              <w:right w:val="nil"/>
            </w:tcBorders>
            <w:hideMark/>
          </w:tcPr>
          <w:p w14:paraId="53EBDDCF"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10 (9.1)</w:t>
            </w:r>
          </w:p>
        </w:tc>
        <w:tc>
          <w:tcPr>
            <w:tcW w:w="1168" w:type="dxa"/>
            <w:tcBorders>
              <w:top w:val="nil"/>
              <w:left w:val="nil"/>
              <w:bottom w:val="nil"/>
              <w:right w:val="nil"/>
            </w:tcBorders>
            <w:hideMark/>
          </w:tcPr>
          <w:p w14:paraId="1AA9421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13 (11.8)</w:t>
            </w:r>
          </w:p>
        </w:tc>
        <w:tc>
          <w:tcPr>
            <w:tcW w:w="1085" w:type="dxa"/>
            <w:tcBorders>
              <w:top w:val="nil"/>
              <w:left w:val="nil"/>
              <w:bottom w:val="nil"/>
              <w:right w:val="nil"/>
            </w:tcBorders>
            <w:hideMark/>
          </w:tcPr>
          <w:p w14:paraId="6A5A2C4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41 (37.3)</w:t>
            </w:r>
          </w:p>
        </w:tc>
        <w:tc>
          <w:tcPr>
            <w:tcW w:w="1030" w:type="dxa"/>
            <w:tcBorders>
              <w:top w:val="nil"/>
              <w:left w:val="nil"/>
              <w:bottom w:val="nil"/>
              <w:right w:val="nil"/>
            </w:tcBorders>
            <w:hideMark/>
          </w:tcPr>
          <w:p w14:paraId="206250AE"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42 (38.2)</w:t>
            </w:r>
          </w:p>
        </w:tc>
        <w:tc>
          <w:tcPr>
            <w:tcW w:w="889" w:type="dxa"/>
            <w:tcBorders>
              <w:top w:val="nil"/>
              <w:left w:val="nil"/>
              <w:bottom w:val="nil"/>
              <w:right w:val="nil"/>
            </w:tcBorders>
            <w:hideMark/>
          </w:tcPr>
          <w:p w14:paraId="76BDDA5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3.90</w:t>
            </w:r>
          </w:p>
        </w:tc>
        <w:tc>
          <w:tcPr>
            <w:tcW w:w="834" w:type="dxa"/>
            <w:tcBorders>
              <w:top w:val="nil"/>
              <w:left w:val="nil"/>
              <w:bottom w:val="nil"/>
              <w:right w:val="nil"/>
            </w:tcBorders>
            <w:hideMark/>
          </w:tcPr>
          <w:p w14:paraId="6C6EC945"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1.06</w:t>
            </w:r>
          </w:p>
        </w:tc>
      </w:tr>
      <w:tr w:rsidR="005A1C94" w:rsidRPr="00FD1E7A" w14:paraId="07D6A564" w14:textId="77777777" w:rsidTr="00490F69">
        <w:trPr>
          <w:trHeight w:val="263"/>
        </w:trPr>
        <w:tc>
          <w:tcPr>
            <w:tcW w:w="1352" w:type="dxa"/>
            <w:tcBorders>
              <w:top w:val="nil"/>
              <w:left w:val="nil"/>
              <w:bottom w:val="nil"/>
              <w:right w:val="nil"/>
            </w:tcBorders>
            <w:hideMark/>
          </w:tcPr>
          <w:p w14:paraId="4C4A26EB"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EMOTIONAL</w:t>
            </w:r>
          </w:p>
          <w:p w14:paraId="53C3E74D"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VIOLENCE</w:t>
            </w:r>
          </w:p>
        </w:tc>
        <w:tc>
          <w:tcPr>
            <w:tcW w:w="5503" w:type="dxa"/>
            <w:tcBorders>
              <w:top w:val="nil"/>
              <w:left w:val="nil"/>
              <w:bottom w:val="nil"/>
              <w:right w:val="nil"/>
            </w:tcBorders>
            <w:hideMark/>
          </w:tcPr>
          <w:p w14:paraId="1D8D5E53"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feel emotionally supported by my family, colleagues, or community.</w:t>
            </w:r>
          </w:p>
        </w:tc>
        <w:tc>
          <w:tcPr>
            <w:tcW w:w="1169" w:type="dxa"/>
            <w:tcBorders>
              <w:top w:val="nil"/>
              <w:left w:val="nil"/>
              <w:bottom w:val="nil"/>
              <w:right w:val="nil"/>
            </w:tcBorders>
            <w:hideMark/>
          </w:tcPr>
          <w:p w14:paraId="5368587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65169D8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168" w:type="dxa"/>
            <w:tcBorders>
              <w:top w:val="nil"/>
              <w:left w:val="nil"/>
              <w:bottom w:val="nil"/>
              <w:right w:val="nil"/>
            </w:tcBorders>
            <w:hideMark/>
          </w:tcPr>
          <w:p w14:paraId="2FA71FA3"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20(18.2)</w:t>
            </w:r>
          </w:p>
        </w:tc>
        <w:tc>
          <w:tcPr>
            <w:tcW w:w="1085" w:type="dxa"/>
            <w:tcBorders>
              <w:top w:val="nil"/>
              <w:left w:val="nil"/>
              <w:bottom w:val="nil"/>
              <w:right w:val="nil"/>
            </w:tcBorders>
            <w:hideMark/>
          </w:tcPr>
          <w:p w14:paraId="39757BE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32 (29.1)</w:t>
            </w:r>
          </w:p>
        </w:tc>
        <w:tc>
          <w:tcPr>
            <w:tcW w:w="1030" w:type="dxa"/>
            <w:tcBorders>
              <w:top w:val="nil"/>
              <w:left w:val="nil"/>
              <w:bottom w:val="nil"/>
              <w:right w:val="nil"/>
            </w:tcBorders>
            <w:hideMark/>
          </w:tcPr>
          <w:p w14:paraId="6B1EC533"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28 (25.5)</w:t>
            </w:r>
          </w:p>
        </w:tc>
        <w:tc>
          <w:tcPr>
            <w:tcW w:w="889" w:type="dxa"/>
            <w:tcBorders>
              <w:top w:val="nil"/>
              <w:left w:val="nil"/>
              <w:bottom w:val="nil"/>
              <w:right w:val="nil"/>
            </w:tcBorders>
            <w:hideMark/>
          </w:tcPr>
          <w:p w14:paraId="16801A8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3.49</w:t>
            </w:r>
          </w:p>
        </w:tc>
        <w:tc>
          <w:tcPr>
            <w:tcW w:w="834" w:type="dxa"/>
            <w:tcBorders>
              <w:top w:val="nil"/>
              <w:left w:val="nil"/>
              <w:bottom w:val="nil"/>
              <w:right w:val="nil"/>
            </w:tcBorders>
            <w:hideMark/>
          </w:tcPr>
          <w:p w14:paraId="4B86A78D"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1.32</w:t>
            </w:r>
          </w:p>
        </w:tc>
      </w:tr>
      <w:tr w:rsidR="005A1C94" w:rsidRPr="00FD1E7A" w14:paraId="02A14DB8" w14:textId="77777777" w:rsidTr="00490F69">
        <w:trPr>
          <w:trHeight w:val="263"/>
        </w:trPr>
        <w:tc>
          <w:tcPr>
            <w:tcW w:w="1352" w:type="dxa"/>
            <w:tcBorders>
              <w:top w:val="nil"/>
              <w:left w:val="nil"/>
              <w:bottom w:val="nil"/>
              <w:right w:val="nil"/>
            </w:tcBorders>
          </w:tcPr>
          <w:p w14:paraId="5093A6A6"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4B6D066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feel mentally healthy and emotionally stable to perform well in work and family roles.</w:t>
            </w:r>
          </w:p>
        </w:tc>
        <w:tc>
          <w:tcPr>
            <w:tcW w:w="1169" w:type="dxa"/>
            <w:tcBorders>
              <w:top w:val="nil"/>
              <w:left w:val="nil"/>
              <w:bottom w:val="nil"/>
              <w:right w:val="nil"/>
            </w:tcBorders>
            <w:hideMark/>
          </w:tcPr>
          <w:p w14:paraId="309C281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14 (12.7%)</w:t>
            </w:r>
          </w:p>
        </w:tc>
        <w:tc>
          <w:tcPr>
            <w:tcW w:w="1085" w:type="dxa"/>
            <w:tcBorders>
              <w:top w:val="nil"/>
              <w:left w:val="nil"/>
              <w:bottom w:val="nil"/>
              <w:right w:val="nil"/>
            </w:tcBorders>
            <w:hideMark/>
          </w:tcPr>
          <w:p w14:paraId="71BABF70"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17 (15.5)</w:t>
            </w:r>
          </w:p>
        </w:tc>
        <w:tc>
          <w:tcPr>
            <w:tcW w:w="1168" w:type="dxa"/>
            <w:tcBorders>
              <w:top w:val="nil"/>
              <w:left w:val="nil"/>
              <w:bottom w:val="nil"/>
              <w:right w:val="nil"/>
            </w:tcBorders>
            <w:hideMark/>
          </w:tcPr>
          <w:p w14:paraId="244F17A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21(19.1)</w:t>
            </w:r>
          </w:p>
        </w:tc>
        <w:tc>
          <w:tcPr>
            <w:tcW w:w="1085" w:type="dxa"/>
            <w:tcBorders>
              <w:top w:val="nil"/>
              <w:left w:val="nil"/>
              <w:bottom w:val="nil"/>
              <w:right w:val="nil"/>
            </w:tcBorders>
            <w:hideMark/>
          </w:tcPr>
          <w:p w14:paraId="094B7E7F"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 (27.3)</w:t>
            </w:r>
          </w:p>
        </w:tc>
        <w:tc>
          <w:tcPr>
            <w:tcW w:w="1030" w:type="dxa"/>
            <w:tcBorders>
              <w:top w:val="nil"/>
              <w:left w:val="nil"/>
              <w:bottom w:val="nil"/>
              <w:right w:val="nil"/>
            </w:tcBorders>
            <w:hideMark/>
          </w:tcPr>
          <w:p w14:paraId="30408848"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28 (25.5)</w:t>
            </w:r>
          </w:p>
        </w:tc>
        <w:tc>
          <w:tcPr>
            <w:tcW w:w="889" w:type="dxa"/>
            <w:tcBorders>
              <w:top w:val="nil"/>
              <w:left w:val="nil"/>
              <w:bottom w:val="nil"/>
              <w:right w:val="nil"/>
            </w:tcBorders>
            <w:hideMark/>
          </w:tcPr>
          <w:p w14:paraId="36B90A33"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3.44</w:t>
            </w:r>
          </w:p>
        </w:tc>
        <w:tc>
          <w:tcPr>
            <w:tcW w:w="834" w:type="dxa"/>
            <w:tcBorders>
              <w:top w:val="nil"/>
              <w:left w:val="nil"/>
              <w:bottom w:val="nil"/>
              <w:right w:val="nil"/>
            </w:tcBorders>
            <w:hideMark/>
          </w:tcPr>
          <w:p w14:paraId="73C90A69"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1.34</w:t>
            </w:r>
          </w:p>
        </w:tc>
      </w:tr>
      <w:tr w:rsidR="005A1C94" w:rsidRPr="00FD1E7A" w14:paraId="17C86C45" w14:textId="77777777" w:rsidTr="00490F69">
        <w:trPr>
          <w:trHeight w:val="263"/>
        </w:trPr>
        <w:tc>
          <w:tcPr>
            <w:tcW w:w="1352" w:type="dxa"/>
            <w:tcBorders>
              <w:top w:val="nil"/>
              <w:left w:val="nil"/>
              <w:bottom w:val="nil"/>
              <w:right w:val="nil"/>
            </w:tcBorders>
          </w:tcPr>
          <w:p w14:paraId="012F2ACB"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098961E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Constant emotional abuse has left me overwhelmed and unable to concentrate on work.</w:t>
            </w:r>
          </w:p>
        </w:tc>
        <w:tc>
          <w:tcPr>
            <w:tcW w:w="1169" w:type="dxa"/>
            <w:tcBorders>
              <w:top w:val="nil"/>
              <w:left w:val="nil"/>
              <w:bottom w:val="nil"/>
              <w:right w:val="nil"/>
            </w:tcBorders>
            <w:hideMark/>
          </w:tcPr>
          <w:p w14:paraId="767D8F3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5 (4.5%)</w:t>
            </w:r>
          </w:p>
        </w:tc>
        <w:tc>
          <w:tcPr>
            <w:tcW w:w="1085" w:type="dxa"/>
            <w:tcBorders>
              <w:top w:val="nil"/>
              <w:left w:val="nil"/>
              <w:bottom w:val="nil"/>
              <w:right w:val="nil"/>
            </w:tcBorders>
            <w:hideMark/>
          </w:tcPr>
          <w:p w14:paraId="49EBEF7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8 (7.3)</w:t>
            </w:r>
          </w:p>
        </w:tc>
        <w:tc>
          <w:tcPr>
            <w:tcW w:w="1168" w:type="dxa"/>
            <w:tcBorders>
              <w:top w:val="nil"/>
              <w:left w:val="nil"/>
              <w:bottom w:val="nil"/>
              <w:right w:val="nil"/>
            </w:tcBorders>
            <w:hideMark/>
          </w:tcPr>
          <w:p w14:paraId="7B4E034A"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11(10.0)</w:t>
            </w:r>
          </w:p>
        </w:tc>
        <w:tc>
          <w:tcPr>
            <w:tcW w:w="1085" w:type="dxa"/>
            <w:tcBorders>
              <w:top w:val="nil"/>
              <w:left w:val="nil"/>
              <w:bottom w:val="nil"/>
              <w:right w:val="nil"/>
            </w:tcBorders>
            <w:hideMark/>
          </w:tcPr>
          <w:p w14:paraId="7AE11907"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42 (38.2)</w:t>
            </w:r>
          </w:p>
        </w:tc>
        <w:tc>
          <w:tcPr>
            <w:tcW w:w="1030" w:type="dxa"/>
            <w:tcBorders>
              <w:top w:val="nil"/>
              <w:left w:val="nil"/>
              <w:bottom w:val="nil"/>
              <w:right w:val="nil"/>
            </w:tcBorders>
            <w:hideMark/>
          </w:tcPr>
          <w:p w14:paraId="288A1828"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44 (40.0)</w:t>
            </w:r>
          </w:p>
        </w:tc>
        <w:tc>
          <w:tcPr>
            <w:tcW w:w="889" w:type="dxa"/>
            <w:tcBorders>
              <w:top w:val="nil"/>
              <w:left w:val="nil"/>
              <w:bottom w:val="nil"/>
              <w:right w:val="nil"/>
            </w:tcBorders>
            <w:hideMark/>
          </w:tcPr>
          <w:p w14:paraId="54CD7EB0"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4.02</w:t>
            </w:r>
          </w:p>
        </w:tc>
        <w:tc>
          <w:tcPr>
            <w:tcW w:w="834" w:type="dxa"/>
            <w:tcBorders>
              <w:top w:val="nil"/>
              <w:left w:val="nil"/>
              <w:bottom w:val="nil"/>
              <w:right w:val="nil"/>
            </w:tcBorders>
            <w:hideMark/>
          </w:tcPr>
          <w:p w14:paraId="6A81FCB4"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1.04</w:t>
            </w:r>
          </w:p>
        </w:tc>
      </w:tr>
      <w:tr w:rsidR="005A1C94" w:rsidRPr="00FD1E7A" w14:paraId="3BD64315" w14:textId="77777777" w:rsidTr="00490F69">
        <w:trPr>
          <w:trHeight w:val="263"/>
        </w:trPr>
        <w:tc>
          <w:tcPr>
            <w:tcW w:w="1352" w:type="dxa"/>
            <w:tcBorders>
              <w:top w:val="nil"/>
              <w:left w:val="nil"/>
              <w:bottom w:val="nil"/>
              <w:right w:val="nil"/>
            </w:tcBorders>
            <w:hideMark/>
          </w:tcPr>
          <w:p w14:paraId="7EEE5599"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ECONOMIC</w:t>
            </w:r>
          </w:p>
          <w:p w14:paraId="1856DA2D"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VIOLENCE</w:t>
            </w:r>
          </w:p>
        </w:tc>
        <w:tc>
          <w:tcPr>
            <w:tcW w:w="5503" w:type="dxa"/>
            <w:tcBorders>
              <w:top w:val="nil"/>
              <w:left w:val="nil"/>
              <w:bottom w:val="nil"/>
              <w:right w:val="nil"/>
            </w:tcBorders>
            <w:hideMark/>
          </w:tcPr>
          <w:p w14:paraId="56FCB31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am able to manage my finances without restrictions.</w:t>
            </w:r>
          </w:p>
        </w:tc>
        <w:tc>
          <w:tcPr>
            <w:tcW w:w="1169" w:type="dxa"/>
            <w:tcBorders>
              <w:top w:val="nil"/>
              <w:left w:val="nil"/>
              <w:bottom w:val="nil"/>
              <w:right w:val="nil"/>
            </w:tcBorders>
            <w:hideMark/>
          </w:tcPr>
          <w:p w14:paraId="37700CF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15 (13.6)</w:t>
            </w:r>
          </w:p>
        </w:tc>
        <w:tc>
          <w:tcPr>
            <w:tcW w:w="1085" w:type="dxa"/>
            <w:tcBorders>
              <w:top w:val="nil"/>
              <w:left w:val="nil"/>
              <w:bottom w:val="nil"/>
              <w:right w:val="nil"/>
            </w:tcBorders>
            <w:hideMark/>
          </w:tcPr>
          <w:p w14:paraId="60AD563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168" w:type="dxa"/>
            <w:tcBorders>
              <w:top w:val="nil"/>
              <w:left w:val="nil"/>
              <w:bottom w:val="nil"/>
              <w:right w:val="nil"/>
            </w:tcBorders>
            <w:hideMark/>
          </w:tcPr>
          <w:p w14:paraId="74D2301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24 (21.8)</w:t>
            </w:r>
          </w:p>
        </w:tc>
        <w:tc>
          <w:tcPr>
            <w:tcW w:w="1085" w:type="dxa"/>
            <w:tcBorders>
              <w:top w:val="nil"/>
              <w:left w:val="nil"/>
              <w:bottom w:val="nil"/>
              <w:right w:val="nil"/>
            </w:tcBorders>
            <w:hideMark/>
          </w:tcPr>
          <w:p w14:paraId="3E8B923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30 (27.3)</w:t>
            </w:r>
          </w:p>
        </w:tc>
        <w:tc>
          <w:tcPr>
            <w:tcW w:w="1030" w:type="dxa"/>
            <w:tcBorders>
              <w:top w:val="nil"/>
              <w:left w:val="nil"/>
              <w:bottom w:val="nil"/>
              <w:right w:val="nil"/>
            </w:tcBorders>
            <w:hideMark/>
          </w:tcPr>
          <w:p w14:paraId="0B75E456"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21 (19.1)</w:t>
            </w:r>
          </w:p>
        </w:tc>
        <w:tc>
          <w:tcPr>
            <w:tcW w:w="889" w:type="dxa"/>
            <w:tcBorders>
              <w:top w:val="nil"/>
              <w:left w:val="nil"/>
              <w:bottom w:val="nil"/>
              <w:right w:val="nil"/>
            </w:tcBorders>
            <w:hideMark/>
          </w:tcPr>
          <w:p w14:paraId="44C5773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3.25</w:t>
            </w:r>
          </w:p>
        </w:tc>
        <w:tc>
          <w:tcPr>
            <w:tcW w:w="834" w:type="dxa"/>
            <w:tcBorders>
              <w:top w:val="nil"/>
              <w:left w:val="nil"/>
              <w:bottom w:val="nil"/>
              <w:right w:val="nil"/>
            </w:tcBorders>
            <w:hideMark/>
          </w:tcPr>
          <w:p w14:paraId="667BF0EB"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1.33</w:t>
            </w:r>
          </w:p>
        </w:tc>
      </w:tr>
      <w:tr w:rsidR="005A1C94" w:rsidRPr="00FD1E7A" w14:paraId="1F3F6A3E" w14:textId="77777777" w:rsidTr="00490F69">
        <w:trPr>
          <w:trHeight w:val="263"/>
        </w:trPr>
        <w:tc>
          <w:tcPr>
            <w:tcW w:w="1352" w:type="dxa"/>
            <w:tcBorders>
              <w:top w:val="nil"/>
              <w:left w:val="nil"/>
              <w:bottom w:val="nil"/>
              <w:right w:val="nil"/>
            </w:tcBorders>
          </w:tcPr>
          <w:p w14:paraId="25D8630F"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795CF58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Someone has control over my income, which has negatively affected my livelihood.</w:t>
            </w:r>
          </w:p>
        </w:tc>
        <w:tc>
          <w:tcPr>
            <w:tcW w:w="1169" w:type="dxa"/>
            <w:tcBorders>
              <w:top w:val="nil"/>
              <w:left w:val="nil"/>
              <w:bottom w:val="nil"/>
              <w:right w:val="nil"/>
            </w:tcBorders>
            <w:hideMark/>
          </w:tcPr>
          <w:p w14:paraId="7E4486B8"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6 (5.5)</w:t>
            </w:r>
          </w:p>
        </w:tc>
        <w:tc>
          <w:tcPr>
            <w:tcW w:w="1085" w:type="dxa"/>
            <w:tcBorders>
              <w:top w:val="nil"/>
              <w:left w:val="nil"/>
              <w:bottom w:val="nil"/>
              <w:right w:val="nil"/>
            </w:tcBorders>
            <w:hideMark/>
          </w:tcPr>
          <w:p w14:paraId="25F14E16" w14:textId="77777777" w:rsidR="005A1C94" w:rsidRPr="00FD1E7A" w:rsidRDefault="005A1C94">
            <w:pPr>
              <w:jc w:val="both"/>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10 (9.1)</w:t>
            </w:r>
          </w:p>
        </w:tc>
        <w:tc>
          <w:tcPr>
            <w:tcW w:w="1168" w:type="dxa"/>
            <w:tcBorders>
              <w:top w:val="nil"/>
              <w:left w:val="nil"/>
              <w:bottom w:val="nil"/>
              <w:right w:val="nil"/>
            </w:tcBorders>
            <w:hideMark/>
          </w:tcPr>
          <w:p w14:paraId="354D649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 (10.9)</w:t>
            </w:r>
          </w:p>
        </w:tc>
        <w:tc>
          <w:tcPr>
            <w:tcW w:w="1085" w:type="dxa"/>
            <w:tcBorders>
              <w:top w:val="nil"/>
              <w:left w:val="nil"/>
              <w:bottom w:val="nil"/>
              <w:right w:val="nil"/>
            </w:tcBorders>
            <w:hideMark/>
          </w:tcPr>
          <w:p w14:paraId="7519542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42 (38.2)</w:t>
            </w:r>
          </w:p>
        </w:tc>
        <w:tc>
          <w:tcPr>
            <w:tcW w:w="1030" w:type="dxa"/>
            <w:tcBorders>
              <w:top w:val="nil"/>
              <w:left w:val="nil"/>
              <w:bottom w:val="nil"/>
              <w:right w:val="nil"/>
            </w:tcBorders>
            <w:hideMark/>
          </w:tcPr>
          <w:p w14:paraId="67BDCE01"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40 (36.4)</w:t>
            </w:r>
          </w:p>
        </w:tc>
        <w:tc>
          <w:tcPr>
            <w:tcW w:w="889" w:type="dxa"/>
            <w:tcBorders>
              <w:top w:val="nil"/>
              <w:left w:val="nil"/>
              <w:bottom w:val="nil"/>
              <w:right w:val="nil"/>
            </w:tcBorders>
            <w:hideMark/>
          </w:tcPr>
          <w:p w14:paraId="7794EFF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3.90</w:t>
            </w:r>
          </w:p>
        </w:tc>
        <w:tc>
          <w:tcPr>
            <w:tcW w:w="834" w:type="dxa"/>
            <w:tcBorders>
              <w:top w:val="nil"/>
              <w:left w:val="nil"/>
              <w:bottom w:val="nil"/>
              <w:right w:val="nil"/>
            </w:tcBorders>
            <w:hideMark/>
          </w:tcPr>
          <w:p w14:paraId="27C72E14"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1.09</w:t>
            </w:r>
          </w:p>
        </w:tc>
      </w:tr>
      <w:tr w:rsidR="005A1C94" w:rsidRPr="00FD1E7A" w14:paraId="4337F95E" w14:textId="77777777" w:rsidTr="00490F69">
        <w:trPr>
          <w:trHeight w:val="263"/>
        </w:trPr>
        <w:tc>
          <w:tcPr>
            <w:tcW w:w="1352" w:type="dxa"/>
            <w:tcBorders>
              <w:top w:val="nil"/>
              <w:left w:val="nil"/>
              <w:bottom w:val="nil"/>
              <w:right w:val="nil"/>
            </w:tcBorders>
          </w:tcPr>
          <w:p w14:paraId="5EDB901B"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283455D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full control over my income from agricultural activities.</w:t>
            </w:r>
          </w:p>
        </w:tc>
        <w:tc>
          <w:tcPr>
            <w:tcW w:w="1169" w:type="dxa"/>
            <w:tcBorders>
              <w:top w:val="nil"/>
              <w:left w:val="nil"/>
              <w:bottom w:val="nil"/>
              <w:right w:val="nil"/>
            </w:tcBorders>
            <w:hideMark/>
          </w:tcPr>
          <w:p w14:paraId="7ACEFB5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18 (16.4)</w:t>
            </w:r>
          </w:p>
        </w:tc>
        <w:tc>
          <w:tcPr>
            <w:tcW w:w="1085" w:type="dxa"/>
            <w:tcBorders>
              <w:top w:val="nil"/>
              <w:left w:val="nil"/>
              <w:bottom w:val="nil"/>
              <w:right w:val="nil"/>
            </w:tcBorders>
            <w:hideMark/>
          </w:tcPr>
          <w:p w14:paraId="718E1731"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 (20.0)</w:t>
            </w:r>
          </w:p>
        </w:tc>
        <w:tc>
          <w:tcPr>
            <w:tcW w:w="1168" w:type="dxa"/>
            <w:tcBorders>
              <w:top w:val="nil"/>
              <w:left w:val="nil"/>
              <w:bottom w:val="nil"/>
              <w:right w:val="nil"/>
            </w:tcBorders>
            <w:hideMark/>
          </w:tcPr>
          <w:p w14:paraId="731CAF1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19 (17.3)</w:t>
            </w:r>
          </w:p>
        </w:tc>
        <w:tc>
          <w:tcPr>
            <w:tcW w:w="1085" w:type="dxa"/>
            <w:tcBorders>
              <w:top w:val="nil"/>
              <w:left w:val="nil"/>
              <w:bottom w:val="nil"/>
              <w:right w:val="nil"/>
            </w:tcBorders>
            <w:hideMark/>
          </w:tcPr>
          <w:p w14:paraId="2E7685D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31 (28.2)</w:t>
            </w:r>
          </w:p>
        </w:tc>
        <w:tc>
          <w:tcPr>
            <w:tcW w:w="1030" w:type="dxa"/>
            <w:tcBorders>
              <w:top w:val="nil"/>
              <w:left w:val="nil"/>
              <w:bottom w:val="nil"/>
              <w:right w:val="nil"/>
            </w:tcBorders>
            <w:hideMark/>
          </w:tcPr>
          <w:p w14:paraId="13F9334B"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889" w:type="dxa"/>
            <w:tcBorders>
              <w:top w:val="nil"/>
              <w:left w:val="nil"/>
              <w:bottom w:val="nil"/>
              <w:right w:val="nil"/>
            </w:tcBorders>
            <w:hideMark/>
          </w:tcPr>
          <w:p w14:paraId="5A3181D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3.14</w:t>
            </w:r>
          </w:p>
        </w:tc>
        <w:tc>
          <w:tcPr>
            <w:tcW w:w="834" w:type="dxa"/>
            <w:tcBorders>
              <w:top w:val="nil"/>
              <w:left w:val="nil"/>
              <w:bottom w:val="nil"/>
              <w:right w:val="nil"/>
            </w:tcBorders>
            <w:hideMark/>
          </w:tcPr>
          <w:p w14:paraId="384ED46C"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1.37</w:t>
            </w:r>
          </w:p>
        </w:tc>
      </w:tr>
      <w:tr w:rsidR="005A1C94" w:rsidRPr="00FD1E7A" w14:paraId="35914004" w14:textId="77777777" w:rsidTr="00490F69">
        <w:trPr>
          <w:trHeight w:val="263"/>
        </w:trPr>
        <w:tc>
          <w:tcPr>
            <w:tcW w:w="1352" w:type="dxa"/>
            <w:tcBorders>
              <w:top w:val="nil"/>
              <w:left w:val="nil"/>
              <w:bottom w:val="nil"/>
              <w:right w:val="nil"/>
            </w:tcBorders>
            <w:hideMark/>
          </w:tcPr>
          <w:p w14:paraId="55666596" w14:textId="77777777" w:rsidR="005A1C94" w:rsidRPr="00FD1E7A" w:rsidRDefault="005A1C94">
            <w:pPr>
              <w:rPr>
                <w:rFonts w:eastAsiaTheme="minorHAnsi"/>
                <w:b/>
                <w:bCs/>
                <w:kern w:val="0"/>
                <w:sz w:val="20"/>
                <w:szCs w:val="20"/>
                <w14:ligatures w14:val="none"/>
              </w:rPr>
            </w:pPr>
            <w:r w:rsidRPr="00FD1E7A">
              <w:rPr>
                <w:rFonts w:eastAsiaTheme="minorHAnsi"/>
                <w:b/>
                <w:bCs/>
                <w:kern w:val="0"/>
                <w:sz w:val="20"/>
                <w:szCs w:val="20"/>
                <w14:ligatures w14:val="none"/>
              </w:rPr>
              <w:t>VERBAL-ABUSE</w:t>
            </w:r>
          </w:p>
        </w:tc>
        <w:tc>
          <w:tcPr>
            <w:tcW w:w="5503" w:type="dxa"/>
            <w:tcBorders>
              <w:top w:val="nil"/>
              <w:left w:val="nil"/>
              <w:bottom w:val="nil"/>
              <w:right w:val="nil"/>
            </w:tcBorders>
            <w:hideMark/>
          </w:tcPr>
          <w:p w14:paraId="54540E8C" w14:textId="77777777" w:rsidR="005A1C94" w:rsidRPr="00FD1E7A" w:rsidRDefault="005A1C94">
            <w:pPr>
              <w:jc w:val="both"/>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 xml:space="preserve">I feel </w:t>
            </w:r>
            <w:r w:rsidRPr="00FD1E7A">
              <w:rPr>
                <w:rFonts w:ascii="Times New Roman" w:eastAsiaTheme="minorHAnsi" w:hAnsi="Times New Roman" w:cs="Times New Roman"/>
                <w:kern w:val="0"/>
                <w:sz w:val="22"/>
                <w:szCs w:val="22"/>
                <w14:ligatures w14:val="none"/>
              </w:rPr>
              <w:t>respected</w:t>
            </w:r>
            <w:r w:rsidRPr="00FD1E7A">
              <w:rPr>
                <w:rFonts w:ascii="Times New Roman" w:eastAsiaTheme="minorHAnsi" w:hAnsi="Times New Roman" w:cs="Times New Roman"/>
                <w:kern w:val="0"/>
                <w:sz w:val="20"/>
                <w:szCs w:val="20"/>
                <w14:ligatures w14:val="none"/>
              </w:rPr>
              <w:t xml:space="preserve"> and free from verbal abuse at home and in the workplace.</w:t>
            </w:r>
          </w:p>
        </w:tc>
        <w:tc>
          <w:tcPr>
            <w:tcW w:w="1169" w:type="dxa"/>
            <w:tcBorders>
              <w:top w:val="nil"/>
              <w:left w:val="nil"/>
              <w:bottom w:val="nil"/>
              <w:right w:val="nil"/>
            </w:tcBorders>
            <w:hideMark/>
          </w:tcPr>
          <w:p w14:paraId="37BEEFA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13 (11.8%)</w:t>
            </w:r>
          </w:p>
        </w:tc>
        <w:tc>
          <w:tcPr>
            <w:tcW w:w="1085" w:type="dxa"/>
            <w:tcBorders>
              <w:top w:val="nil"/>
              <w:left w:val="nil"/>
              <w:bottom w:val="nil"/>
              <w:right w:val="nil"/>
            </w:tcBorders>
            <w:hideMark/>
          </w:tcPr>
          <w:p w14:paraId="32FC5E2A"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20 (18.2)</w:t>
            </w:r>
          </w:p>
        </w:tc>
        <w:tc>
          <w:tcPr>
            <w:tcW w:w="1168" w:type="dxa"/>
            <w:tcBorders>
              <w:top w:val="nil"/>
              <w:left w:val="nil"/>
              <w:bottom w:val="nil"/>
              <w:right w:val="nil"/>
            </w:tcBorders>
            <w:hideMark/>
          </w:tcPr>
          <w:p w14:paraId="16B5473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22(20.0)</w:t>
            </w:r>
          </w:p>
        </w:tc>
        <w:tc>
          <w:tcPr>
            <w:tcW w:w="1085" w:type="dxa"/>
            <w:tcBorders>
              <w:top w:val="nil"/>
              <w:left w:val="nil"/>
              <w:bottom w:val="nil"/>
              <w:right w:val="nil"/>
            </w:tcBorders>
            <w:hideMark/>
          </w:tcPr>
          <w:p w14:paraId="4379567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29 (26.4)</w:t>
            </w:r>
          </w:p>
        </w:tc>
        <w:tc>
          <w:tcPr>
            <w:tcW w:w="1030" w:type="dxa"/>
            <w:tcBorders>
              <w:top w:val="nil"/>
              <w:left w:val="nil"/>
              <w:bottom w:val="nil"/>
              <w:right w:val="nil"/>
            </w:tcBorders>
            <w:hideMark/>
          </w:tcPr>
          <w:p w14:paraId="20F77631"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26 (23.6)</w:t>
            </w:r>
          </w:p>
        </w:tc>
        <w:tc>
          <w:tcPr>
            <w:tcW w:w="889" w:type="dxa"/>
            <w:tcBorders>
              <w:top w:val="nil"/>
              <w:left w:val="nil"/>
              <w:bottom w:val="nil"/>
              <w:right w:val="nil"/>
            </w:tcBorders>
            <w:hideMark/>
          </w:tcPr>
          <w:p w14:paraId="507DF08B"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3.37</w:t>
            </w:r>
          </w:p>
        </w:tc>
        <w:tc>
          <w:tcPr>
            <w:tcW w:w="834" w:type="dxa"/>
            <w:tcBorders>
              <w:top w:val="nil"/>
              <w:left w:val="nil"/>
              <w:bottom w:val="nil"/>
              <w:right w:val="nil"/>
            </w:tcBorders>
            <w:hideMark/>
          </w:tcPr>
          <w:p w14:paraId="0A81EDEC"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1.33</w:t>
            </w:r>
          </w:p>
        </w:tc>
      </w:tr>
      <w:tr w:rsidR="005A1C94" w:rsidRPr="00FD1E7A" w14:paraId="54C1C9ED" w14:textId="77777777" w:rsidTr="00490F69">
        <w:trPr>
          <w:trHeight w:val="250"/>
        </w:trPr>
        <w:tc>
          <w:tcPr>
            <w:tcW w:w="1352" w:type="dxa"/>
            <w:tcBorders>
              <w:top w:val="nil"/>
              <w:left w:val="nil"/>
              <w:bottom w:val="nil"/>
              <w:right w:val="nil"/>
            </w:tcBorders>
          </w:tcPr>
          <w:p w14:paraId="2051A5A8" w14:textId="77777777" w:rsidR="005A1C94" w:rsidRPr="00FD1E7A" w:rsidRDefault="005A1C94">
            <w:pPr>
              <w:rPr>
                <w:rFonts w:eastAsiaTheme="minorHAnsi"/>
                <w:kern w:val="0"/>
                <w:sz w:val="20"/>
                <w:szCs w:val="20"/>
                <w14:ligatures w14:val="none"/>
              </w:rPr>
            </w:pPr>
          </w:p>
        </w:tc>
        <w:tc>
          <w:tcPr>
            <w:tcW w:w="5503" w:type="dxa"/>
            <w:tcBorders>
              <w:top w:val="nil"/>
              <w:left w:val="nil"/>
              <w:bottom w:val="nil"/>
              <w:right w:val="nil"/>
            </w:tcBorders>
            <w:hideMark/>
          </w:tcPr>
          <w:p w14:paraId="774CED7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make decisions confidently at work without fear of being criticized or belittled.</w:t>
            </w:r>
          </w:p>
        </w:tc>
        <w:tc>
          <w:tcPr>
            <w:tcW w:w="1169" w:type="dxa"/>
            <w:tcBorders>
              <w:top w:val="nil"/>
              <w:left w:val="nil"/>
              <w:bottom w:val="nil"/>
              <w:right w:val="nil"/>
            </w:tcBorders>
            <w:hideMark/>
          </w:tcPr>
          <w:p w14:paraId="5D3E69A9"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11 (10.0%)</w:t>
            </w:r>
          </w:p>
        </w:tc>
        <w:tc>
          <w:tcPr>
            <w:tcW w:w="1085" w:type="dxa"/>
            <w:tcBorders>
              <w:top w:val="nil"/>
              <w:left w:val="nil"/>
              <w:bottom w:val="nil"/>
              <w:right w:val="nil"/>
            </w:tcBorders>
            <w:hideMark/>
          </w:tcPr>
          <w:p w14:paraId="3E684F3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19 (17.3)</w:t>
            </w:r>
          </w:p>
        </w:tc>
        <w:tc>
          <w:tcPr>
            <w:tcW w:w="1168" w:type="dxa"/>
            <w:tcBorders>
              <w:top w:val="nil"/>
              <w:left w:val="nil"/>
              <w:bottom w:val="nil"/>
              <w:right w:val="nil"/>
            </w:tcBorders>
            <w:hideMark/>
          </w:tcPr>
          <w:p w14:paraId="42B49EA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24(21.8)</w:t>
            </w:r>
          </w:p>
        </w:tc>
        <w:tc>
          <w:tcPr>
            <w:tcW w:w="1085" w:type="dxa"/>
            <w:tcBorders>
              <w:top w:val="nil"/>
              <w:left w:val="nil"/>
              <w:bottom w:val="nil"/>
              <w:right w:val="nil"/>
            </w:tcBorders>
            <w:hideMark/>
          </w:tcPr>
          <w:p w14:paraId="2636DE5C"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31 (28.2)</w:t>
            </w:r>
          </w:p>
        </w:tc>
        <w:tc>
          <w:tcPr>
            <w:tcW w:w="1030" w:type="dxa"/>
            <w:tcBorders>
              <w:top w:val="nil"/>
              <w:left w:val="nil"/>
              <w:bottom w:val="nil"/>
              <w:right w:val="nil"/>
            </w:tcBorders>
            <w:hideMark/>
          </w:tcPr>
          <w:p w14:paraId="21FD2EAA"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25 (22.7)</w:t>
            </w:r>
          </w:p>
        </w:tc>
        <w:tc>
          <w:tcPr>
            <w:tcW w:w="889" w:type="dxa"/>
            <w:tcBorders>
              <w:top w:val="nil"/>
              <w:left w:val="nil"/>
              <w:bottom w:val="nil"/>
              <w:right w:val="nil"/>
            </w:tcBorders>
            <w:hideMark/>
          </w:tcPr>
          <w:p w14:paraId="08F3EEED"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3.43</w:t>
            </w:r>
          </w:p>
        </w:tc>
        <w:tc>
          <w:tcPr>
            <w:tcW w:w="834" w:type="dxa"/>
            <w:tcBorders>
              <w:top w:val="nil"/>
              <w:left w:val="nil"/>
              <w:bottom w:val="nil"/>
              <w:right w:val="nil"/>
            </w:tcBorders>
            <w:hideMark/>
          </w:tcPr>
          <w:p w14:paraId="1121B24C"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1.31</w:t>
            </w:r>
          </w:p>
        </w:tc>
      </w:tr>
      <w:tr w:rsidR="005A1C94" w:rsidRPr="00FD1E7A" w14:paraId="57AB395D" w14:textId="77777777" w:rsidTr="00490F69">
        <w:trPr>
          <w:trHeight w:val="263"/>
        </w:trPr>
        <w:tc>
          <w:tcPr>
            <w:tcW w:w="1352" w:type="dxa"/>
            <w:tcBorders>
              <w:top w:val="nil"/>
              <w:left w:val="nil"/>
              <w:bottom w:val="single" w:sz="4" w:space="0" w:color="7F7F7F" w:themeColor="text1" w:themeTint="80"/>
              <w:right w:val="nil"/>
            </w:tcBorders>
          </w:tcPr>
          <w:p w14:paraId="296C6B68" w14:textId="77777777" w:rsidR="005A1C94" w:rsidRPr="00FD1E7A" w:rsidRDefault="005A1C94">
            <w:pPr>
              <w:rPr>
                <w:rFonts w:eastAsiaTheme="minorHAnsi"/>
                <w:kern w:val="0"/>
                <w:sz w:val="20"/>
                <w:szCs w:val="20"/>
                <w14:ligatures w14:val="none"/>
              </w:rPr>
            </w:pPr>
          </w:p>
        </w:tc>
        <w:tc>
          <w:tcPr>
            <w:tcW w:w="5503" w:type="dxa"/>
            <w:tcBorders>
              <w:top w:val="nil"/>
              <w:left w:val="nil"/>
              <w:bottom w:val="single" w:sz="4" w:space="0" w:color="7F7F7F" w:themeColor="text1" w:themeTint="80"/>
              <w:right w:val="nil"/>
            </w:tcBorders>
            <w:hideMark/>
          </w:tcPr>
          <w:p w14:paraId="3F61343F"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I have been verbally abused (e.g., insults, name-calling, yelling) at home or at work.</w:t>
            </w:r>
          </w:p>
        </w:tc>
        <w:tc>
          <w:tcPr>
            <w:tcW w:w="1169" w:type="dxa"/>
            <w:tcBorders>
              <w:top w:val="nil"/>
              <w:left w:val="nil"/>
              <w:bottom w:val="single" w:sz="4" w:space="0" w:color="7F7F7F" w:themeColor="text1" w:themeTint="80"/>
              <w:right w:val="nil"/>
            </w:tcBorders>
            <w:hideMark/>
          </w:tcPr>
          <w:p w14:paraId="0F1E28F6"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 (3.6%)</w:t>
            </w:r>
          </w:p>
        </w:tc>
        <w:tc>
          <w:tcPr>
            <w:tcW w:w="1085" w:type="dxa"/>
            <w:tcBorders>
              <w:top w:val="nil"/>
              <w:left w:val="nil"/>
              <w:bottom w:val="single" w:sz="4" w:space="0" w:color="7F7F7F" w:themeColor="text1" w:themeTint="80"/>
              <w:right w:val="nil"/>
            </w:tcBorders>
            <w:hideMark/>
          </w:tcPr>
          <w:p w14:paraId="13161134"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9 (8.2)</w:t>
            </w:r>
          </w:p>
        </w:tc>
        <w:tc>
          <w:tcPr>
            <w:tcW w:w="1168" w:type="dxa"/>
            <w:tcBorders>
              <w:top w:val="nil"/>
              <w:left w:val="nil"/>
              <w:bottom w:val="single" w:sz="4" w:space="0" w:color="7F7F7F" w:themeColor="text1" w:themeTint="80"/>
              <w:right w:val="nil"/>
            </w:tcBorders>
            <w:hideMark/>
          </w:tcPr>
          <w:p w14:paraId="509EB555"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12(10.9)</w:t>
            </w:r>
          </w:p>
        </w:tc>
        <w:tc>
          <w:tcPr>
            <w:tcW w:w="1085" w:type="dxa"/>
            <w:tcBorders>
              <w:top w:val="nil"/>
              <w:left w:val="nil"/>
              <w:bottom w:val="single" w:sz="4" w:space="0" w:color="7F7F7F" w:themeColor="text1" w:themeTint="80"/>
              <w:right w:val="nil"/>
            </w:tcBorders>
            <w:hideMark/>
          </w:tcPr>
          <w:p w14:paraId="739F559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 (36.4)</w:t>
            </w:r>
          </w:p>
        </w:tc>
        <w:tc>
          <w:tcPr>
            <w:tcW w:w="1030" w:type="dxa"/>
            <w:tcBorders>
              <w:top w:val="nil"/>
              <w:left w:val="nil"/>
              <w:bottom w:val="single" w:sz="4" w:space="0" w:color="7F7F7F" w:themeColor="text1" w:themeTint="80"/>
              <w:right w:val="nil"/>
            </w:tcBorders>
            <w:hideMark/>
          </w:tcPr>
          <w:p w14:paraId="42A48323" w14:textId="77777777" w:rsidR="005A1C94" w:rsidRPr="00FD1E7A" w:rsidRDefault="005A1C94">
            <w:pPr>
              <w:rPr>
                <w:rFonts w:ascii="Times New Roman" w:eastAsiaTheme="minorHAnsi" w:hAnsi="Times New Roman" w:cs="Times New Roman"/>
                <w:kern w:val="0"/>
                <w:sz w:val="20"/>
                <w:szCs w:val="20"/>
                <w14:ligatures w14:val="none"/>
              </w:rPr>
            </w:pPr>
            <w:r w:rsidRPr="00FD1E7A">
              <w:rPr>
                <w:rFonts w:ascii="Times New Roman" w:eastAsiaTheme="minorHAnsi" w:hAnsi="Times New Roman" w:cs="Times New Roman"/>
                <w:kern w:val="0"/>
                <w:sz w:val="20"/>
                <w:szCs w:val="20"/>
                <w14:ligatures w14:val="none"/>
              </w:rPr>
              <w:t>45 (40.9)</w:t>
            </w:r>
          </w:p>
        </w:tc>
        <w:tc>
          <w:tcPr>
            <w:tcW w:w="889" w:type="dxa"/>
            <w:tcBorders>
              <w:top w:val="nil"/>
              <w:left w:val="nil"/>
              <w:bottom w:val="single" w:sz="4" w:space="0" w:color="7F7F7F" w:themeColor="text1" w:themeTint="80"/>
              <w:right w:val="nil"/>
            </w:tcBorders>
            <w:hideMark/>
          </w:tcPr>
          <w:p w14:paraId="3C47AF8E" w14:textId="77777777" w:rsidR="005A1C94" w:rsidRPr="00FD1E7A" w:rsidRDefault="005A1C94">
            <w:pPr>
              <w:rPr>
                <w:rFonts w:eastAsiaTheme="minorHAnsi"/>
                <w:kern w:val="0"/>
                <w:sz w:val="20"/>
                <w:szCs w:val="20"/>
                <w14:ligatures w14:val="none"/>
              </w:rPr>
            </w:pPr>
            <w:r w:rsidRPr="00FD1E7A">
              <w:rPr>
                <w:rFonts w:ascii="Times New Roman" w:eastAsiaTheme="minorHAnsi" w:hAnsi="Times New Roman" w:cs="Times New Roman"/>
                <w:kern w:val="0"/>
                <w:sz w:val="20"/>
                <w:szCs w:val="20"/>
                <w14:ligatures w14:val="none"/>
              </w:rPr>
              <w:t>4.02</w:t>
            </w:r>
          </w:p>
        </w:tc>
        <w:tc>
          <w:tcPr>
            <w:tcW w:w="834" w:type="dxa"/>
            <w:tcBorders>
              <w:top w:val="nil"/>
              <w:left w:val="nil"/>
              <w:bottom w:val="single" w:sz="4" w:space="0" w:color="7F7F7F" w:themeColor="text1" w:themeTint="80"/>
              <w:right w:val="nil"/>
            </w:tcBorders>
            <w:hideMark/>
          </w:tcPr>
          <w:p w14:paraId="2526AC42" w14:textId="77777777" w:rsidR="005A1C94" w:rsidRPr="00FD1E7A" w:rsidRDefault="005A1C94">
            <w:pPr>
              <w:rPr>
                <w:rFonts w:eastAsiaTheme="minorHAnsi"/>
                <w:kern w:val="0"/>
                <w:sz w:val="20"/>
                <w:szCs w:val="20"/>
                <w14:ligatures w14:val="none"/>
              </w:rPr>
            </w:pPr>
            <w:r w:rsidRPr="00FD1E7A">
              <w:rPr>
                <w:rFonts w:ascii="Times New Roman" w:eastAsia="Times New Roman" w:hAnsi="Times New Roman" w:cs="Times New Roman"/>
                <w:bCs/>
                <w:kern w:val="0"/>
                <w:sz w:val="20"/>
                <w:szCs w:val="20"/>
                <w14:ligatures w14:val="none"/>
              </w:rPr>
              <w:t>1.07</w:t>
            </w:r>
          </w:p>
        </w:tc>
      </w:tr>
    </w:tbl>
    <w:p w14:paraId="373CC3A1" w14:textId="1398C0D0" w:rsidR="00436BD9" w:rsidRPr="00FD1E7A" w:rsidRDefault="005A1C94" w:rsidP="00436BD9">
      <w:pPr>
        <w:spacing w:before="100" w:beforeAutospacing="1" w:after="100" w:afterAutospacing="1" w:line="480" w:lineRule="auto"/>
        <w:jc w:val="both"/>
        <w:rPr>
          <w:rFonts w:ascii="Times New Roman" w:eastAsia="Times New Roman" w:hAnsi="Times New Roman" w:cs="Times New Roman"/>
          <w:kern w:val="0"/>
          <w:sz w:val="22"/>
          <w:szCs w:val="22"/>
          <w14:ligatures w14:val="none"/>
        </w:rPr>
        <w:sectPr w:rsidR="00436BD9" w:rsidRPr="00FD1E7A">
          <w:pgSz w:w="15840" w:h="12240" w:orient="landscape"/>
          <w:pgMar w:top="1440" w:right="1440" w:bottom="1440" w:left="1440" w:header="720" w:footer="720" w:gutter="0"/>
          <w:cols w:space="720"/>
        </w:sectPr>
      </w:pPr>
      <w:r w:rsidRPr="00FD1E7A">
        <w:rPr>
          <w:rFonts w:ascii="Times New Roman" w:eastAsia="Times New Roman" w:hAnsi="Times New Roman" w:cs="Times New Roman"/>
          <w:kern w:val="0"/>
          <w14:ligatures w14:val="none"/>
        </w:rPr>
        <w:t>(Field Survey, 2025</w:t>
      </w:r>
      <w:r w:rsidR="00490F69">
        <w:rPr>
          <w:rFonts w:ascii="Times New Roman" w:eastAsia="Times New Roman" w:hAnsi="Times New Roman" w:cs="Times New Roman"/>
          <w:kern w:val="0"/>
          <w14:ligatures w14:val="none"/>
        </w:rPr>
        <w:t>)</w:t>
      </w:r>
    </w:p>
    <w:p w14:paraId="7C9D6C46" w14:textId="35FC6871" w:rsidR="003B52DE" w:rsidRPr="00FD1E7A" w:rsidRDefault="003B52DE" w:rsidP="00EE0379">
      <w:pPr>
        <w:spacing w:line="360" w:lineRule="auto"/>
        <w:jc w:val="both"/>
        <w:rPr>
          <w:rFonts w:asciiTheme="majorBidi" w:eastAsiaTheme="minorHAnsi" w:hAnsiTheme="majorBidi" w:cstheme="majorBidi"/>
          <w:kern w:val="0"/>
          <w14:ligatures w14:val="none"/>
        </w:rPr>
        <w:sectPr w:rsidR="003B52DE" w:rsidRPr="00FD1E7A" w:rsidSect="005A1C94">
          <w:pgSz w:w="12240" w:h="15840"/>
          <w:pgMar w:top="1440" w:right="1440" w:bottom="1440" w:left="1440" w:header="720" w:footer="720" w:gutter="0"/>
          <w:cols w:space="720"/>
          <w:docGrid w:linePitch="360"/>
        </w:sectPr>
      </w:pPr>
    </w:p>
    <w:p w14:paraId="3E4FB5BC" w14:textId="319C07A6" w:rsidR="003B52DE" w:rsidRPr="00FD1E7A" w:rsidRDefault="003B52DE" w:rsidP="00EE0379">
      <w:pPr>
        <w:spacing w:after="0" w:line="360" w:lineRule="auto"/>
        <w:jc w:val="both"/>
        <w:rPr>
          <w:rFonts w:asciiTheme="majorBidi" w:eastAsiaTheme="minorHAnsi" w:hAnsiTheme="majorBidi" w:cstheme="majorBidi"/>
          <w:b/>
          <w:kern w:val="0"/>
          <w14:ligatures w14:val="none"/>
        </w:rPr>
      </w:pPr>
      <w:r w:rsidRPr="00FD1E7A">
        <w:rPr>
          <w:rFonts w:asciiTheme="majorBidi" w:eastAsiaTheme="minorHAnsi" w:hAnsiTheme="majorBidi" w:cstheme="majorBidi"/>
          <w:b/>
          <w:bCs/>
          <w:kern w:val="0"/>
          <w14:ligatures w14:val="none"/>
        </w:rPr>
        <w:lastRenderedPageBreak/>
        <w:t xml:space="preserve">Risk Factors for </w:t>
      </w:r>
      <w:r w:rsidR="00E21B03" w:rsidRPr="00FD1E7A">
        <w:rPr>
          <w:rFonts w:asciiTheme="majorBidi" w:eastAsiaTheme="minorHAnsi" w:hAnsiTheme="majorBidi" w:cstheme="majorBidi"/>
          <w:b/>
          <w:bCs/>
          <w:kern w:val="0"/>
          <w14:ligatures w14:val="none"/>
        </w:rPr>
        <w:t>Gender Based Violence (</w:t>
      </w:r>
      <w:r w:rsidRPr="00FD1E7A">
        <w:rPr>
          <w:rFonts w:asciiTheme="majorBidi" w:eastAsiaTheme="minorHAnsi" w:hAnsiTheme="majorBidi" w:cstheme="majorBidi"/>
          <w:b/>
          <w:bCs/>
          <w:kern w:val="0"/>
          <w14:ligatures w14:val="none"/>
        </w:rPr>
        <w:t>G</w:t>
      </w:r>
      <w:bookmarkStart w:id="2" w:name="_Hlk208124811"/>
      <w:r w:rsidRPr="00FD1E7A">
        <w:rPr>
          <w:rFonts w:asciiTheme="majorBidi" w:eastAsiaTheme="minorHAnsi" w:hAnsiTheme="majorBidi" w:cstheme="majorBidi"/>
          <w:b/>
          <w:bCs/>
          <w:kern w:val="0"/>
          <w14:ligatures w14:val="none"/>
        </w:rPr>
        <w:t>BV</w:t>
      </w:r>
      <w:r w:rsidR="00E21B03" w:rsidRPr="00FD1E7A">
        <w:rPr>
          <w:rFonts w:asciiTheme="majorBidi" w:eastAsiaTheme="minorHAnsi" w:hAnsiTheme="majorBidi" w:cstheme="majorBidi"/>
          <w:b/>
          <w:bCs/>
          <w:kern w:val="0"/>
          <w14:ligatures w14:val="none"/>
        </w:rPr>
        <w:t>)</w:t>
      </w:r>
    </w:p>
    <w:p w14:paraId="7F9EB79A" w14:textId="5C97B46E" w:rsidR="003B52DE" w:rsidRPr="00FD1E7A" w:rsidRDefault="003B52DE" w:rsidP="00EE0379">
      <w:pPr>
        <w:spacing w:after="0"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 xml:space="preserve">Table </w:t>
      </w:r>
      <w:r w:rsidR="00CB10C1">
        <w:rPr>
          <w:rFonts w:asciiTheme="majorBidi" w:eastAsiaTheme="minorHAnsi" w:hAnsiTheme="majorBidi" w:cstheme="majorBidi"/>
          <w:kern w:val="0"/>
          <w14:ligatures w14:val="none"/>
        </w:rPr>
        <w:t>4</w:t>
      </w:r>
      <w:r w:rsidR="006655D9" w:rsidRPr="00FD1E7A">
        <w:rPr>
          <w:rFonts w:asciiTheme="majorBidi" w:eastAsiaTheme="minorHAnsi" w:hAnsiTheme="majorBidi" w:cstheme="majorBidi"/>
          <w:kern w:val="0"/>
          <w14:ligatures w14:val="none"/>
        </w:rPr>
        <w:t xml:space="preserve"> </w:t>
      </w:r>
      <w:r w:rsidR="00EE0E8E" w:rsidRPr="00FD1E7A">
        <w:rPr>
          <w:rFonts w:asciiTheme="majorBidi" w:eastAsiaTheme="minorHAnsi" w:hAnsiTheme="majorBidi" w:cstheme="majorBidi"/>
          <w:kern w:val="0"/>
          <w14:ligatures w14:val="none"/>
        </w:rPr>
        <w:t>showed that</w:t>
      </w:r>
      <w:bookmarkStart w:id="3" w:name="_Hlk208124120"/>
      <w:r w:rsidR="00EE0E8E" w:rsidRPr="00FD1E7A">
        <w:rPr>
          <w:rFonts w:asciiTheme="majorBidi" w:eastAsiaTheme="minorHAnsi" w:hAnsiTheme="majorBidi" w:cstheme="majorBidi"/>
          <w:kern w:val="0"/>
          <w14:ligatures w14:val="none"/>
        </w:rPr>
        <w:t xml:space="preserve"> </w:t>
      </w:r>
      <w:r w:rsidR="00EE0E8E" w:rsidRPr="00FD1E7A">
        <w:rPr>
          <w:rFonts w:asciiTheme="majorBidi" w:eastAsiaTheme="minorHAnsi" w:hAnsiTheme="majorBidi" w:cstheme="majorBidi"/>
          <w:i/>
          <w:iCs/>
          <w:kern w:val="0"/>
          <w14:ligatures w14:val="none"/>
        </w:rPr>
        <w:t>t</w:t>
      </w:r>
      <w:r w:rsidRPr="00FD1E7A">
        <w:rPr>
          <w:rFonts w:asciiTheme="majorBidi" w:eastAsiaTheme="minorHAnsi" w:hAnsiTheme="majorBidi" w:cstheme="majorBidi"/>
          <w:i/>
          <w:iCs/>
          <w:kern w:val="0"/>
          <w14:ligatures w14:val="none"/>
        </w:rPr>
        <w:t>raditional gender roles prevent women from making decisions about their work/livelihood</w:t>
      </w:r>
      <w:r w:rsidRPr="00FD1E7A">
        <w:rPr>
          <w:rFonts w:asciiTheme="majorBidi" w:eastAsiaTheme="minorHAnsi" w:hAnsiTheme="majorBidi" w:cstheme="majorBidi"/>
          <w:kern w:val="0"/>
          <w14:ligatures w14:val="none"/>
        </w:rPr>
        <w:t xml:space="preserve"> (x̄ = 3.76), organizational cultural norms support gender equality and women’s rights (x̄ = 3.18)</w:t>
      </w:r>
      <w:bookmarkEnd w:id="3"/>
      <w:r w:rsidRPr="00FD1E7A">
        <w:rPr>
          <w:rFonts w:asciiTheme="majorBidi" w:eastAsiaTheme="minorHAnsi" w:hAnsiTheme="majorBidi" w:cstheme="majorBidi"/>
          <w:kern w:val="0"/>
          <w14:ligatures w14:val="none"/>
        </w:rPr>
        <w:t>. These findings imply that while some organizations may promote equality, dominant cultural beliefs about women's roles continue to undermine their empowerment, thereby</w:t>
      </w:r>
      <w:r w:rsidR="008D0537" w:rsidRPr="00FD1E7A">
        <w:rPr>
          <w:rFonts w:asciiTheme="majorBidi" w:eastAsiaTheme="minorHAnsi" w:hAnsiTheme="majorBidi" w:cstheme="majorBidi"/>
          <w:kern w:val="0"/>
          <w14:ligatures w14:val="none"/>
        </w:rPr>
        <w:t xml:space="preserve"> </w:t>
      </w:r>
      <w:r w:rsidRPr="00FD1E7A">
        <w:rPr>
          <w:rFonts w:asciiTheme="majorBidi" w:eastAsiaTheme="minorHAnsi" w:hAnsiTheme="majorBidi" w:cstheme="majorBidi"/>
          <w:kern w:val="0"/>
          <w14:ligatures w14:val="none"/>
        </w:rPr>
        <w:t xml:space="preserve">increasing their vulnerability to GBV. This is consistent with </w:t>
      </w:r>
      <w:r w:rsidR="00AC6C8E">
        <w:rPr>
          <w:rFonts w:asciiTheme="majorBidi" w:eastAsiaTheme="minorHAnsi" w:hAnsiTheme="majorBidi" w:cstheme="majorBidi"/>
          <w:kern w:val="0"/>
          <w14:ligatures w14:val="none"/>
        </w:rPr>
        <w:t xml:space="preserve">researchers </w:t>
      </w:r>
      <w:r w:rsidRPr="00FD1E7A">
        <w:rPr>
          <w:rFonts w:asciiTheme="majorBidi" w:eastAsiaTheme="minorHAnsi" w:hAnsiTheme="majorBidi" w:cstheme="majorBidi"/>
          <w:kern w:val="0"/>
          <w14:ligatures w14:val="none"/>
        </w:rPr>
        <w:t>who found that traditional gender ideologies in Nigeria often place women in subordinate positions, especially in agriculture, making them more susceptible to abuse and exclusion.</w:t>
      </w:r>
      <w:bookmarkEnd w:id="2"/>
      <w:r w:rsidR="008D0537" w:rsidRPr="00FD1E7A">
        <w:rPr>
          <w:rFonts w:asciiTheme="majorBidi" w:eastAsiaTheme="minorHAnsi" w:hAnsiTheme="majorBidi" w:cstheme="majorBidi"/>
          <w:kern w:val="0"/>
          <w14:ligatures w14:val="none"/>
        </w:rPr>
        <w:t xml:space="preserve"> </w:t>
      </w:r>
      <w:r w:rsidRPr="00FD1E7A">
        <w:rPr>
          <w:rFonts w:asciiTheme="majorBidi" w:eastAsiaTheme="minorHAnsi" w:hAnsiTheme="majorBidi" w:cstheme="majorBidi"/>
          <w:kern w:val="0"/>
          <w14:ligatures w14:val="none"/>
        </w:rPr>
        <w:t xml:space="preserve">It also reviews that </w:t>
      </w:r>
      <w:r w:rsidRPr="00FD1E7A">
        <w:rPr>
          <w:rFonts w:asciiTheme="majorBidi" w:eastAsiaTheme="minorHAnsi" w:hAnsiTheme="majorBidi" w:cstheme="majorBidi"/>
          <w:i/>
          <w:iCs/>
          <w:kern w:val="0"/>
          <w14:ligatures w14:val="none"/>
        </w:rPr>
        <w:t>living in poverty make women vulnerable to GBV due to dependence on others (</w:t>
      </w:r>
      <w:r w:rsidRPr="00FD1E7A">
        <w:rPr>
          <w:rFonts w:asciiTheme="majorBidi" w:eastAsiaTheme="minorHAnsi" w:hAnsiTheme="majorBidi" w:cstheme="majorBidi"/>
          <w:kern w:val="0"/>
          <w14:ligatures w14:val="none"/>
        </w:rPr>
        <w:t xml:space="preserve">x̄ = 3.93), indicating a strong perception that economic hardship is a key contributor to </w:t>
      </w:r>
      <w:r w:rsidR="00E21B03" w:rsidRPr="00FD1E7A">
        <w:rPr>
          <w:rFonts w:asciiTheme="majorBidi" w:eastAsiaTheme="minorHAnsi" w:hAnsiTheme="majorBidi" w:cstheme="majorBidi"/>
          <w:kern w:val="0"/>
          <w14:ligatures w14:val="none"/>
        </w:rPr>
        <w:t>Gender-Based Violence</w:t>
      </w:r>
      <w:r w:rsidRPr="00FD1E7A">
        <w:rPr>
          <w:rFonts w:asciiTheme="majorBidi" w:eastAsiaTheme="minorHAnsi" w:hAnsiTheme="majorBidi" w:cstheme="majorBidi"/>
          <w:kern w:val="0"/>
          <w14:ligatures w14:val="none"/>
        </w:rPr>
        <w:t xml:space="preserve">. Although a moderate mean (x̄ = 3.29) was observed for the statement affirming independence despite poverty, the results clearly show that many women feel financially constrained. These findings affirm that poverty, particularly when it leads to dependency, exacerbates women’s exposure to abuse. </w:t>
      </w:r>
      <w:r w:rsidR="00AC6C8E">
        <w:rPr>
          <w:rFonts w:ascii="Arial" w:hAnsi="Arial" w:cs="Arial"/>
          <w:color w:val="222222"/>
          <w:sz w:val="20"/>
          <w:szCs w:val="20"/>
          <w:shd w:val="clear" w:color="auto" w:fill="FFFFFF"/>
        </w:rPr>
        <w:t xml:space="preserve">Murphy &amp; Burke </w:t>
      </w:r>
      <w:r w:rsidR="00AC6C8E" w:rsidRPr="00FD1E7A">
        <w:rPr>
          <w:rFonts w:asciiTheme="majorBidi" w:hAnsiTheme="majorBidi" w:cstheme="majorBidi"/>
          <w:color w:val="000000"/>
        </w:rPr>
        <w:t>(</w:t>
      </w:r>
      <w:r w:rsidR="00AC6C8E">
        <w:rPr>
          <w:rFonts w:asciiTheme="majorBidi" w:hAnsiTheme="majorBidi" w:cstheme="majorBidi"/>
          <w:color w:val="000000"/>
        </w:rPr>
        <w:t>2015</w:t>
      </w:r>
      <w:r w:rsidR="00AC6C8E" w:rsidRPr="00FD1E7A">
        <w:rPr>
          <w:rFonts w:asciiTheme="majorBidi" w:hAnsiTheme="majorBidi" w:cstheme="majorBidi"/>
          <w:color w:val="000000"/>
        </w:rPr>
        <w:t>)</w:t>
      </w:r>
      <w:r w:rsidRPr="00FD1E7A">
        <w:rPr>
          <w:rFonts w:asciiTheme="majorBidi" w:eastAsiaTheme="minorHAnsi" w:hAnsiTheme="majorBidi" w:cstheme="majorBidi"/>
          <w:kern w:val="0"/>
          <w14:ligatures w14:val="none"/>
        </w:rPr>
        <w:t xml:space="preserve"> explain that women with low income and limited financial autonomy often remain in abusive environments due to lack of alternatives, which is particularly evident in informal or agricultural </w:t>
      </w:r>
      <w:proofErr w:type="spellStart"/>
      <w:r w:rsidRPr="00FD1E7A">
        <w:rPr>
          <w:rFonts w:asciiTheme="majorBidi" w:eastAsiaTheme="minorHAnsi" w:hAnsiTheme="majorBidi" w:cstheme="majorBidi"/>
          <w:kern w:val="0"/>
          <w14:ligatures w14:val="none"/>
        </w:rPr>
        <w:t>labour</w:t>
      </w:r>
      <w:proofErr w:type="spellEnd"/>
      <w:r w:rsidRPr="00FD1E7A">
        <w:rPr>
          <w:rFonts w:asciiTheme="majorBidi" w:eastAsiaTheme="minorHAnsi" w:hAnsiTheme="majorBidi" w:cstheme="majorBidi"/>
          <w:kern w:val="0"/>
          <w14:ligatures w14:val="none"/>
        </w:rPr>
        <w:t xml:space="preserve"> sectors.</w:t>
      </w:r>
      <w:r w:rsidR="008D0537" w:rsidRPr="00FD1E7A">
        <w:rPr>
          <w:rFonts w:asciiTheme="majorBidi" w:eastAsiaTheme="minorHAnsi" w:hAnsiTheme="majorBidi" w:cstheme="majorBidi"/>
          <w:kern w:val="0"/>
          <w14:ligatures w14:val="none"/>
        </w:rPr>
        <w:t xml:space="preserve"> </w:t>
      </w:r>
      <w:r w:rsidRPr="00FD1E7A">
        <w:rPr>
          <w:rFonts w:asciiTheme="majorBidi" w:eastAsia="Times New Roman" w:hAnsiTheme="majorBidi" w:cstheme="majorBidi"/>
          <w:kern w:val="0"/>
          <w14:ligatures w14:val="none"/>
        </w:rPr>
        <w:t xml:space="preserve">Furthermore, Table </w:t>
      </w:r>
      <w:r w:rsidR="004C3CFB" w:rsidRPr="00FD1E7A">
        <w:rPr>
          <w:rFonts w:asciiTheme="majorBidi" w:eastAsia="Times New Roman" w:hAnsiTheme="majorBidi" w:cstheme="majorBidi"/>
          <w:kern w:val="0"/>
          <w14:ligatures w14:val="none"/>
        </w:rPr>
        <w:t>4</w:t>
      </w:r>
      <w:r w:rsidRPr="00FD1E7A">
        <w:rPr>
          <w:rFonts w:asciiTheme="majorBidi" w:eastAsia="Times New Roman" w:hAnsiTheme="majorBidi" w:cstheme="majorBidi"/>
          <w:kern w:val="0"/>
          <w14:ligatures w14:val="none"/>
        </w:rPr>
        <w:t xml:space="preserve"> also shows that </w:t>
      </w:r>
      <w:r w:rsidRPr="00FD1E7A">
        <w:rPr>
          <w:rFonts w:asciiTheme="majorBidi" w:eastAsia="Times New Roman" w:hAnsiTheme="majorBidi" w:cstheme="majorBidi"/>
          <w:i/>
          <w:iCs/>
          <w:kern w:val="0"/>
          <w14:ligatures w14:val="none"/>
        </w:rPr>
        <w:t xml:space="preserve">no system in workplace address GBV or harassment </w:t>
      </w:r>
      <w:r w:rsidRPr="00FD1E7A">
        <w:rPr>
          <w:rFonts w:asciiTheme="majorBidi" w:eastAsia="Times New Roman" w:hAnsiTheme="majorBidi" w:cstheme="majorBidi"/>
          <w:kern w:val="0"/>
          <w14:ligatures w14:val="none"/>
        </w:rPr>
        <w:t xml:space="preserve">(x̄ = 4.04), pointing to a widespread absence of effective reporting or redress mechanisms. In contrast, gender-protective policies or rules in workplace to address GBV (x̄ = 3.22), indicating that while some policies may exist, they are either inadequate or poorly enforced. This exposes a major institutional gap, where the lack of structured support systems perpetuates silence and ongoing abuse. As supported by </w:t>
      </w:r>
      <w:r w:rsidR="00AC6C8E">
        <w:rPr>
          <w:rFonts w:asciiTheme="majorBidi" w:eastAsia="Times New Roman" w:hAnsiTheme="majorBidi" w:cstheme="majorBidi"/>
          <w:kern w:val="0"/>
          <w14:ligatures w14:val="none"/>
        </w:rPr>
        <w:t xml:space="preserve">researcher, </w:t>
      </w:r>
      <w:r w:rsidRPr="00FD1E7A">
        <w:rPr>
          <w:rFonts w:asciiTheme="majorBidi" w:eastAsia="Times New Roman" w:hAnsiTheme="majorBidi" w:cstheme="majorBidi"/>
          <w:kern w:val="0"/>
          <w14:ligatures w14:val="none"/>
        </w:rPr>
        <w:t>weak organizational frameworks in agricultural and informal sectors often prevent women from reporting GBV, thus reinforcing the cycle of violence.</w:t>
      </w:r>
    </w:p>
    <w:p w14:paraId="399694B8" w14:textId="77777777" w:rsidR="00E9316A" w:rsidRPr="00FD1E7A" w:rsidRDefault="00E9316A" w:rsidP="00EE0379">
      <w:pPr>
        <w:spacing w:after="0" w:line="360" w:lineRule="auto"/>
        <w:jc w:val="both"/>
        <w:rPr>
          <w:rFonts w:asciiTheme="majorBidi" w:eastAsia="Times New Roman" w:hAnsiTheme="majorBidi" w:cstheme="majorBidi"/>
          <w:kern w:val="0"/>
          <w14:ligatures w14:val="none"/>
        </w:rPr>
      </w:pPr>
    </w:p>
    <w:p w14:paraId="67033E18" w14:textId="5725BA90" w:rsidR="00272618" w:rsidRPr="00FD1E7A" w:rsidRDefault="00272618" w:rsidP="00EE0379">
      <w:pPr>
        <w:spacing w:after="0" w:line="360" w:lineRule="auto"/>
        <w:jc w:val="both"/>
        <w:rPr>
          <w:rFonts w:asciiTheme="majorBidi" w:eastAsia="Times New Roman" w:hAnsiTheme="majorBidi" w:cstheme="majorBidi"/>
          <w:kern w:val="0"/>
          <w14:ligatures w14:val="none"/>
        </w:rPr>
        <w:sectPr w:rsidR="00272618" w:rsidRPr="00FD1E7A" w:rsidSect="00272618">
          <w:pgSz w:w="12240" w:h="15840"/>
          <w:pgMar w:top="1440" w:right="1440" w:bottom="1440" w:left="1440" w:header="720" w:footer="720" w:gutter="0"/>
          <w:cols w:space="720"/>
          <w:docGrid w:linePitch="360"/>
        </w:sectPr>
      </w:pPr>
    </w:p>
    <w:p w14:paraId="02720FDD" w14:textId="77777777" w:rsidR="00272618" w:rsidRPr="00FD1E7A" w:rsidRDefault="00272618" w:rsidP="00EE0379">
      <w:pPr>
        <w:spacing w:after="0" w:line="360" w:lineRule="auto"/>
        <w:jc w:val="both"/>
        <w:rPr>
          <w:rFonts w:asciiTheme="majorBidi" w:eastAsia="Times New Roman" w:hAnsiTheme="majorBidi" w:cstheme="majorBidi"/>
          <w:b/>
          <w:kern w:val="0"/>
          <w14:ligatures w14:val="none"/>
        </w:rPr>
      </w:pPr>
    </w:p>
    <w:p w14:paraId="6CD74F66" w14:textId="276C0ABA" w:rsidR="00272618" w:rsidRPr="00FD1E7A" w:rsidRDefault="00272618" w:rsidP="00EE0379">
      <w:pPr>
        <w:spacing w:after="0"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b/>
          <w:bCs/>
          <w:kern w:val="0"/>
          <w14:ligatures w14:val="none"/>
        </w:rPr>
        <w:t xml:space="preserve">Table </w:t>
      </w:r>
      <w:r w:rsidR="008C555A">
        <w:rPr>
          <w:rFonts w:asciiTheme="majorBidi" w:eastAsia="Times New Roman" w:hAnsiTheme="majorBidi" w:cstheme="majorBidi"/>
          <w:b/>
          <w:bCs/>
          <w:kern w:val="0"/>
          <w14:ligatures w14:val="none"/>
        </w:rPr>
        <w:t>4</w:t>
      </w:r>
      <w:r w:rsidR="00BE0F77" w:rsidRPr="00FD1E7A">
        <w:rPr>
          <w:rFonts w:asciiTheme="majorBidi" w:eastAsia="Times New Roman" w:hAnsiTheme="majorBidi" w:cstheme="majorBidi"/>
          <w:b/>
          <w:bCs/>
          <w:kern w:val="0"/>
          <w14:ligatures w14:val="none"/>
        </w:rPr>
        <w:t>:</w:t>
      </w:r>
      <w:r w:rsidRPr="00FD1E7A">
        <w:rPr>
          <w:rFonts w:asciiTheme="majorBidi" w:eastAsia="Times New Roman" w:hAnsiTheme="majorBidi" w:cstheme="majorBidi"/>
          <w:b/>
          <w:bCs/>
          <w:kern w:val="0"/>
          <w14:ligatures w14:val="none"/>
        </w:rPr>
        <w:t xml:space="preserve"> Distribution of </w:t>
      </w:r>
      <w:r w:rsidR="00E21B03" w:rsidRPr="00FD1E7A">
        <w:rPr>
          <w:rFonts w:asciiTheme="majorBidi" w:eastAsia="Times New Roman" w:hAnsiTheme="majorBidi" w:cstheme="majorBidi"/>
          <w:b/>
          <w:bCs/>
          <w:kern w:val="0"/>
          <w14:ligatures w14:val="none"/>
        </w:rPr>
        <w:t xml:space="preserve">Respondents According </w:t>
      </w:r>
      <w:r w:rsidRPr="00FD1E7A">
        <w:rPr>
          <w:rFonts w:asciiTheme="majorBidi" w:eastAsia="Times New Roman" w:hAnsiTheme="majorBidi" w:cstheme="majorBidi"/>
          <w:b/>
          <w:bCs/>
          <w:kern w:val="0"/>
          <w14:ligatures w14:val="none"/>
        </w:rPr>
        <w:t xml:space="preserve">to </w:t>
      </w:r>
      <w:r w:rsidR="00E21B03" w:rsidRPr="00FD1E7A">
        <w:rPr>
          <w:rFonts w:asciiTheme="majorBidi" w:eastAsia="Times New Roman" w:hAnsiTheme="majorBidi" w:cstheme="majorBidi"/>
          <w:b/>
          <w:bCs/>
          <w:kern w:val="0"/>
          <w14:ligatures w14:val="none"/>
        </w:rPr>
        <w:t>Perceived Risk Factor of</w:t>
      </w:r>
      <w:r w:rsidRPr="00FD1E7A">
        <w:rPr>
          <w:rFonts w:asciiTheme="majorBidi" w:eastAsia="Times New Roman" w:hAnsiTheme="majorBidi" w:cstheme="majorBidi"/>
          <w:b/>
          <w:bCs/>
          <w:kern w:val="0"/>
          <w14:ligatures w14:val="none"/>
        </w:rPr>
        <w:t xml:space="preserve"> GBV </w:t>
      </w:r>
      <w:r w:rsidR="00E21B03" w:rsidRPr="00FD1E7A">
        <w:rPr>
          <w:rFonts w:asciiTheme="majorBidi" w:eastAsia="Times New Roman" w:hAnsiTheme="majorBidi" w:cstheme="majorBidi"/>
          <w:b/>
          <w:bCs/>
          <w:kern w:val="0"/>
          <w14:ligatures w14:val="none"/>
        </w:rPr>
        <w:t>(n=110)</w:t>
      </w:r>
    </w:p>
    <w:tbl>
      <w:tblPr>
        <w:tblStyle w:val="PlainTable2"/>
        <w:tblpPr w:leftFromText="180" w:rightFromText="180" w:vertAnchor="text" w:horzAnchor="margin" w:tblpXSpec="center" w:tblpY="338"/>
        <w:tblW w:w="14130" w:type="dxa"/>
        <w:tblLayout w:type="fixed"/>
        <w:tblLook w:val="06A0" w:firstRow="1" w:lastRow="0" w:firstColumn="1" w:lastColumn="0" w:noHBand="1" w:noVBand="1"/>
      </w:tblPr>
      <w:tblGrid>
        <w:gridCol w:w="1440"/>
        <w:gridCol w:w="5400"/>
        <w:gridCol w:w="1170"/>
        <w:gridCol w:w="1170"/>
        <w:gridCol w:w="1170"/>
        <w:gridCol w:w="1170"/>
        <w:gridCol w:w="1170"/>
        <w:gridCol w:w="720"/>
        <w:gridCol w:w="720"/>
      </w:tblGrid>
      <w:tr w:rsidR="00490F69" w:rsidRPr="00FD1E7A" w14:paraId="0E159DE5" w14:textId="77777777" w:rsidTr="00490F69">
        <w:trPr>
          <w:cnfStyle w:val="100000000000" w:firstRow="1" w:lastRow="0" w:firstColumn="0" w:lastColumn="0" w:oddVBand="0" w:evenVBand="0" w:oddHBand="0" w:evenHBand="0" w:firstRowFirstColumn="0" w:firstRowLastColumn="0" w:lastRowFirstColumn="0" w:lastRowLastColumn="0"/>
          <w:trHeight w:val="1048"/>
        </w:trPr>
        <w:tc>
          <w:tcPr>
            <w:cnfStyle w:val="001000000000" w:firstRow="0" w:lastRow="0" w:firstColumn="1" w:lastColumn="0" w:oddVBand="0" w:evenVBand="0" w:oddHBand="0" w:evenHBand="0" w:firstRowFirstColumn="0" w:firstRowLastColumn="0" w:lastRowFirstColumn="0" w:lastRowLastColumn="0"/>
            <w:tcW w:w="1440" w:type="dxa"/>
          </w:tcPr>
          <w:p w14:paraId="3B9823EA" w14:textId="77777777" w:rsidR="00490F69" w:rsidRPr="00FD1E7A" w:rsidRDefault="00490F69" w:rsidP="00490F69">
            <w:pPr>
              <w:spacing w:line="360" w:lineRule="auto"/>
              <w:rPr>
                <w:rFonts w:asciiTheme="majorBidi" w:eastAsiaTheme="minorHAnsi" w:hAnsiTheme="majorBidi" w:cstheme="majorBidi"/>
                <w:kern w:val="0"/>
                <w14:ligatures w14:val="none"/>
              </w:rPr>
            </w:pPr>
          </w:p>
        </w:tc>
        <w:tc>
          <w:tcPr>
            <w:tcW w:w="5400" w:type="dxa"/>
          </w:tcPr>
          <w:p w14:paraId="56A6939C" w14:textId="77777777" w:rsidR="00490F69" w:rsidRPr="00FD1E7A" w:rsidRDefault="00490F69" w:rsidP="00490F6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sz w:val="20"/>
                <w:szCs w:val="20"/>
                <w14:ligatures w14:val="none"/>
              </w:rPr>
              <w:t>Perception Statements</w:t>
            </w:r>
          </w:p>
        </w:tc>
        <w:tc>
          <w:tcPr>
            <w:tcW w:w="1170" w:type="dxa"/>
          </w:tcPr>
          <w:p w14:paraId="4F79AC13" w14:textId="77777777" w:rsidR="00490F69" w:rsidRPr="00FD1E7A" w:rsidRDefault="00490F69" w:rsidP="00490F6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Strongly Agree</w:t>
            </w:r>
          </w:p>
          <w:p w14:paraId="09CB3E08" w14:textId="77777777" w:rsidR="00490F69" w:rsidRPr="00FD1E7A" w:rsidRDefault="00490F69" w:rsidP="00490F6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 (%)</w:t>
            </w:r>
          </w:p>
        </w:tc>
        <w:tc>
          <w:tcPr>
            <w:tcW w:w="1170" w:type="dxa"/>
          </w:tcPr>
          <w:p w14:paraId="55176650" w14:textId="77777777" w:rsidR="00490F69" w:rsidRPr="00FD1E7A" w:rsidRDefault="00490F69" w:rsidP="00490F6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Agree</w:t>
            </w:r>
          </w:p>
          <w:p w14:paraId="7DBCE7BF" w14:textId="77777777" w:rsidR="00490F69" w:rsidRPr="00FD1E7A" w:rsidRDefault="00490F69" w:rsidP="00490F6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 (%)</w:t>
            </w:r>
          </w:p>
        </w:tc>
        <w:tc>
          <w:tcPr>
            <w:tcW w:w="1170" w:type="dxa"/>
          </w:tcPr>
          <w:p w14:paraId="53137EAD" w14:textId="77777777" w:rsidR="00490F69" w:rsidRPr="00FD1E7A" w:rsidRDefault="00490F69" w:rsidP="00490F6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Undecided</w:t>
            </w:r>
          </w:p>
          <w:p w14:paraId="2DEF8917" w14:textId="77777777" w:rsidR="00490F69" w:rsidRPr="00FD1E7A" w:rsidRDefault="00490F69" w:rsidP="00490F6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 (%)</w:t>
            </w:r>
          </w:p>
        </w:tc>
        <w:tc>
          <w:tcPr>
            <w:tcW w:w="1170" w:type="dxa"/>
          </w:tcPr>
          <w:p w14:paraId="596B13D1" w14:textId="77777777" w:rsidR="00490F69" w:rsidRPr="00FD1E7A" w:rsidRDefault="00490F69" w:rsidP="00490F6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Dis-agree F (%)</w:t>
            </w:r>
          </w:p>
        </w:tc>
        <w:tc>
          <w:tcPr>
            <w:tcW w:w="1170" w:type="dxa"/>
          </w:tcPr>
          <w:p w14:paraId="7BE4184E" w14:textId="77777777" w:rsidR="00490F69" w:rsidRPr="00FD1E7A" w:rsidRDefault="00490F69" w:rsidP="00490F6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Strongly Disagree</w:t>
            </w:r>
          </w:p>
          <w:p w14:paraId="7885714D" w14:textId="77777777" w:rsidR="00490F69" w:rsidRPr="00FD1E7A" w:rsidRDefault="00490F69" w:rsidP="00490F69">
            <w:pPr>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color w:val="000000"/>
                <w:kern w:val="0"/>
                <w:sz w:val="20"/>
                <w:szCs w:val="20"/>
                <w14:ligatures w14:val="none"/>
              </w:rPr>
              <w:t>F (%)</w:t>
            </w:r>
          </w:p>
        </w:tc>
        <w:tc>
          <w:tcPr>
            <w:tcW w:w="720" w:type="dxa"/>
          </w:tcPr>
          <w:p w14:paraId="325898AD" w14:textId="77777777" w:rsidR="00490F69" w:rsidRPr="00FD1E7A" w:rsidRDefault="00490F69" w:rsidP="00490F6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Mean Score</w:t>
            </w:r>
          </w:p>
        </w:tc>
        <w:tc>
          <w:tcPr>
            <w:tcW w:w="720" w:type="dxa"/>
          </w:tcPr>
          <w:p w14:paraId="0BE5E883" w14:textId="77777777" w:rsidR="00490F69" w:rsidRPr="00FD1E7A" w:rsidRDefault="00490F69" w:rsidP="00490F69">
            <w:pPr>
              <w:tabs>
                <w:tab w:val="left" w:pos="5536"/>
              </w:tabs>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000000"/>
                <w:kern w:val="0"/>
                <w:sz w:val="20"/>
                <w:szCs w:val="20"/>
                <w14:ligatures w14:val="none"/>
              </w:rPr>
            </w:pPr>
            <w:r w:rsidRPr="00FD1E7A">
              <w:rPr>
                <w:rFonts w:asciiTheme="majorBidi" w:eastAsiaTheme="minorHAnsi" w:hAnsiTheme="majorBidi" w:cstheme="majorBidi"/>
                <w:color w:val="000000"/>
                <w:kern w:val="0"/>
                <w:sz w:val="20"/>
                <w:szCs w:val="20"/>
                <w14:ligatures w14:val="none"/>
              </w:rPr>
              <w:t>SD</w:t>
            </w:r>
          </w:p>
        </w:tc>
      </w:tr>
      <w:tr w:rsidR="00490F69" w:rsidRPr="00FD1E7A" w14:paraId="3FE4ACE1" w14:textId="77777777" w:rsidTr="00490F69">
        <w:trPr>
          <w:trHeight w:val="577"/>
        </w:trPr>
        <w:tc>
          <w:tcPr>
            <w:cnfStyle w:val="001000000000" w:firstRow="0" w:lastRow="0" w:firstColumn="1" w:lastColumn="0" w:oddVBand="0" w:evenVBand="0" w:oddHBand="0" w:evenHBand="0" w:firstRowFirstColumn="0" w:firstRowLastColumn="0" w:lastRowFirstColumn="0" w:lastRowLastColumn="0"/>
            <w:tcW w:w="1440" w:type="dxa"/>
          </w:tcPr>
          <w:p w14:paraId="6E57056C" w14:textId="77777777" w:rsidR="00490F69" w:rsidRPr="00FD1E7A" w:rsidRDefault="00490F69" w:rsidP="00490F69">
            <w:pPr>
              <w:spacing w:line="360" w:lineRule="auto"/>
              <w:rPr>
                <w:rFonts w:asciiTheme="majorBidi" w:eastAsiaTheme="minorHAnsi" w:hAnsiTheme="majorBidi" w:cstheme="majorBidi"/>
                <w:kern w:val="0"/>
                <w:sz w:val="22"/>
                <w:szCs w:val="22"/>
                <w14:ligatures w14:val="none"/>
              </w:rPr>
            </w:pPr>
            <w:bookmarkStart w:id="4" w:name="_Hlk209911768"/>
            <w:r w:rsidRPr="00FD1E7A">
              <w:rPr>
                <w:rFonts w:asciiTheme="majorBidi" w:eastAsiaTheme="minorHAnsi" w:hAnsiTheme="majorBidi" w:cstheme="majorBidi"/>
                <w:kern w:val="0"/>
                <w:sz w:val="22"/>
                <w:szCs w:val="22"/>
                <w14:ligatures w14:val="none"/>
              </w:rPr>
              <w:t>Cultural norms</w:t>
            </w:r>
          </w:p>
        </w:tc>
        <w:tc>
          <w:tcPr>
            <w:tcW w:w="5400" w:type="dxa"/>
          </w:tcPr>
          <w:p w14:paraId="1B77F905"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Organizational cultural norms support gender equality and women’s rights.</w:t>
            </w:r>
          </w:p>
        </w:tc>
        <w:tc>
          <w:tcPr>
            <w:tcW w:w="1170" w:type="dxa"/>
          </w:tcPr>
          <w:p w14:paraId="64990729"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16 (14.5)</w:t>
            </w:r>
          </w:p>
        </w:tc>
        <w:tc>
          <w:tcPr>
            <w:tcW w:w="1170" w:type="dxa"/>
          </w:tcPr>
          <w:p w14:paraId="5DB4A1A2"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21 (19.1)</w:t>
            </w:r>
          </w:p>
        </w:tc>
        <w:tc>
          <w:tcPr>
            <w:tcW w:w="1170" w:type="dxa"/>
          </w:tcPr>
          <w:p w14:paraId="75A9B9B6"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23 (20.9)</w:t>
            </w:r>
          </w:p>
        </w:tc>
        <w:tc>
          <w:tcPr>
            <w:tcW w:w="1170" w:type="dxa"/>
          </w:tcPr>
          <w:p w14:paraId="0B46709C"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27 (24.5)</w:t>
            </w:r>
          </w:p>
        </w:tc>
        <w:tc>
          <w:tcPr>
            <w:tcW w:w="1170" w:type="dxa"/>
          </w:tcPr>
          <w:p w14:paraId="285ABCF5"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23 (20.9)</w:t>
            </w:r>
          </w:p>
        </w:tc>
        <w:tc>
          <w:tcPr>
            <w:tcW w:w="720" w:type="dxa"/>
          </w:tcPr>
          <w:p w14:paraId="3C0FC3E4"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3.18</w:t>
            </w:r>
          </w:p>
        </w:tc>
        <w:tc>
          <w:tcPr>
            <w:tcW w:w="720" w:type="dxa"/>
          </w:tcPr>
          <w:p w14:paraId="43DAE735"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1.33</w:t>
            </w:r>
          </w:p>
        </w:tc>
      </w:tr>
      <w:tr w:rsidR="00490F69" w:rsidRPr="00FD1E7A" w14:paraId="1ADEFEED" w14:textId="77777777" w:rsidTr="00490F69">
        <w:trPr>
          <w:trHeight w:val="557"/>
        </w:trPr>
        <w:tc>
          <w:tcPr>
            <w:cnfStyle w:val="001000000000" w:firstRow="0" w:lastRow="0" w:firstColumn="1" w:lastColumn="0" w:oddVBand="0" w:evenVBand="0" w:oddHBand="0" w:evenHBand="0" w:firstRowFirstColumn="0" w:firstRowLastColumn="0" w:lastRowFirstColumn="0" w:lastRowLastColumn="0"/>
            <w:tcW w:w="1440" w:type="dxa"/>
          </w:tcPr>
          <w:p w14:paraId="42C8F84C" w14:textId="77777777" w:rsidR="00490F69" w:rsidRPr="00FD1E7A" w:rsidRDefault="00490F69" w:rsidP="00490F69">
            <w:pPr>
              <w:spacing w:line="360" w:lineRule="auto"/>
              <w:rPr>
                <w:rFonts w:asciiTheme="majorBidi" w:eastAsiaTheme="minorHAnsi" w:hAnsiTheme="majorBidi" w:cstheme="majorBidi"/>
                <w:kern w:val="0"/>
                <w:sz w:val="22"/>
                <w:szCs w:val="22"/>
                <w14:ligatures w14:val="none"/>
              </w:rPr>
            </w:pPr>
          </w:p>
        </w:tc>
        <w:tc>
          <w:tcPr>
            <w:tcW w:w="5400" w:type="dxa"/>
          </w:tcPr>
          <w:p w14:paraId="32EA5D2B"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Traditional gender roles prevent women from making decisions about their work/livelihood.</w:t>
            </w:r>
          </w:p>
        </w:tc>
        <w:tc>
          <w:tcPr>
            <w:tcW w:w="1170" w:type="dxa"/>
          </w:tcPr>
          <w:p w14:paraId="64050120"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8 (7.3)</w:t>
            </w:r>
          </w:p>
        </w:tc>
        <w:tc>
          <w:tcPr>
            <w:tcW w:w="1170" w:type="dxa"/>
          </w:tcPr>
          <w:p w14:paraId="2F0925E8"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12 (10.9)</w:t>
            </w:r>
          </w:p>
        </w:tc>
        <w:tc>
          <w:tcPr>
            <w:tcW w:w="1170" w:type="dxa"/>
          </w:tcPr>
          <w:p w14:paraId="0D0003BC"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14 (12.7)</w:t>
            </w:r>
          </w:p>
        </w:tc>
        <w:tc>
          <w:tcPr>
            <w:tcW w:w="1170" w:type="dxa"/>
          </w:tcPr>
          <w:p w14:paraId="549BFD97"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40 (36.4)</w:t>
            </w:r>
          </w:p>
        </w:tc>
        <w:tc>
          <w:tcPr>
            <w:tcW w:w="1170" w:type="dxa"/>
          </w:tcPr>
          <w:p w14:paraId="7F5C6FD4"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36 (32.7)</w:t>
            </w:r>
          </w:p>
        </w:tc>
        <w:tc>
          <w:tcPr>
            <w:tcW w:w="720" w:type="dxa"/>
          </w:tcPr>
          <w:p w14:paraId="183B2063"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3.76</w:t>
            </w:r>
          </w:p>
        </w:tc>
        <w:tc>
          <w:tcPr>
            <w:tcW w:w="720" w:type="dxa"/>
          </w:tcPr>
          <w:p w14:paraId="2F563FEC"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1.21</w:t>
            </w:r>
          </w:p>
        </w:tc>
      </w:tr>
      <w:tr w:rsidR="00490F69" w:rsidRPr="00FD1E7A" w14:paraId="03A36EF1" w14:textId="77777777" w:rsidTr="00490F69">
        <w:trPr>
          <w:trHeight w:val="518"/>
        </w:trPr>
        <w:tc>
          <w:tcPr>
            <w:cnfStyle w:val="001000000000" w:firstRow="0" w:lastRow="0" w:firstColumn="1" w:lastColumn="0" w:oddVBand="0" w:evenVBand="0" w:oddHBand="0" w:evenHBand="0" w:firstRowFirstColumn="0" w:firstRowLastColumn="0" w:lastRowFirstColumn="0" w:lastRowLastColumn="0"/>
            <w:tcW w:w="1440" w:type="dxa"/>
          </w:tcPr>
          <w:p w14:paraId="77E69ACB" w14:textId="77777777" w:rsidR="00490F69" w:rsidRPr="00FD1E7A" w:rsidRDefault="00490F69" w:rsidP="00490F69">
            <w:pPr>
              <w:spacing w:line="360" w:lineRule="auto"/>
              <w:rPr>
                <w:rFonts w:asciiTheme="majorBidi" w:eastAsiaTheme="minorHAnsi" w:hAnsiTheme="majorBidi" w:cstheme="majorBidi"/>
                <w:kern w:val="0"/>
                <w:sz w:val="22"/>
                <w:szCs w:val="22"/>
                <w14:ligatures w14:val="none"/>
              </w:rPr>
            </w:pPr>
            <w:r w:rsidRPr="00FD1E7A">
              <w:rPr>
                <w:rFonts w:asciiTheme="majorBidi" w:eastAsiaTheme="minorHAnsi" w:hAnsiTheme="majorBidi" w:cstheme="majorBidi"/>
                <w:kern w:val="0"/>
                <w:sz w:val="22"/>
                <w:szCs w:val="22"/>
                <w14:ligatures w14:val="none"/>
              </w:rPr>
              <w:t>Poverty or lack of resources</w:t>
            </w:r>
          </w:p>
        </w:tc>
        <w:tc>
          <w:tcPr>
            <w:tcW w:w="5400" w:type="dxa"/>
          </w:tcPr>
          <w:p w14:paraId="64CD4FA3"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Poverty has not stopped me from working or being financially independent.</w:t>
            </w:r>
          </w:p>
        </w:tc>
        <w:tc>
          <w:tcPr>
            <w:tcW w:w="1170" w:type="dxa"/>
          </w:tcPr>
          <w:p w14:paraId="3374FDA7"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14 (12.7)</w:t>
            </w:r>
          </w:p>
        </w:tc>
        <w:tc>
          <w:tcPr>
            <w:tcW w:w="1170" w:type="dxa"/>
          </w:tcPr>
          <w:p w14:paraId="2A33B68D"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22 (20.0)</w:t>
            </w:r>
          </w:p>
        </w:tc>
        <w:tc>
          <w:tcPr>
            <w:tcW w:w="1170" w:type="dxa"/>
          </w:tcPr>
          <w:p w14:paraId="1CEF129F"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19 (17.3)</w:t>
            </w:r>
          </w:p>
        </w:tc>
        <w:tc>
          <w:tcPr>
            <w:tcW w:w="1170" w:type="dxa"/>
          </w:tcPr>
          <w:p w14:paraId="1AAA179C"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28 (25.5)</w:t>
            </w:r>
          </w:p>
        </w:tc>
        <w:tc>
          <w:tcPr>
            <w:tcW w:w="1170" w:type="dxa"/>
          </w:tcPr>
          <w:p w14:paraId="0A5877D8"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27 (24.5)</w:t>
            </w:r>
          </w:p>
        </w:tc>
        <w:tc>
          <w:tcPr>
            <w:tcW w:w="720" w:type="dxa"/>
          </w:tcPr>
          <w:p w14:paraId="7EFA4779"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3.29</w:t>
            </w:r>
          </w:p>
        </w:tc>
        <w:tc>
          <w:tcPr>
            <w:tcW w:w="720" w:type="dxa"/>
          </w:tcPr>
          <w:p w14:paraId="6294DB06"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1.38</w:t>
            </w:r>
          </w:p>
        </w:tc>
      </w:tr>
      <w:tr w:rsidR="00490F69" w:rsidRPr="00FD1E7A" w14:paraId="180A8F82" w14:textId="77777777" w:rsidTr="00490F69">
        <w:trPr>
          <w:trHeight w:val="597"/>
        </w:trPr>
        <w:tc>
          <w:tcPr>
            <w:cnfStyle w:val="001000000000" w:firstRow="0" w:lastRow="0" w:firstColumn="1" w:lastColumn="0" w:oddVBand="0" w:evenVBand="0" w:oddHBand="0" w:evenHBand="0" w:firstRowFirstColumn="0" w:firstRowLastColumn="0" w:lastRowFirstColumn="0" w:lastRowLastColumn="0"/>
            <w:tcW w:w="1440" w:type="dxa"/>
          </w:tcPr>
          <w:p w14:paraId="2FE3CD66" w14:textId="77777777" w:rsidR="00490F69" w:rsidRPr="00FD1E7A" w:rsidRDefault="00490F69" w:rsidP="00490F69">
            <w:pPr>
              <w:spacing w:line="360" w:lineRule="auto"/>
              <w:rPr>
                <w:rFonts w:asciiTheme="majorBidi" w:eastAsiaTheme="minorHAnsi" w:hAnsiTheme="majorBidi" w:cstheme="majorBidi"/>
                <w:kern w:val="0"/>
                <w:sz w:val="22"/>
                <w:szCs w:val="22"/>
                <w14:ligatures w14:val="none"/>
              </w:rPr>
            </w:pPr>
          </w:p>
        </w:tc>
        <w:tc>
          <w:tcPr>
            <w:tcW w:w="5400" w:type="dxa"/>
          </w:tcPr>
          <w:p w14:paraId="514B7E39"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Living in poverty makes me more vulnerable to GBV due to financial dependence on others.</w:t>
            </w:r>
          </w:p>
        </w:tc>
        <w:tc>
          <w:tcPr>
            <w:tcW w:w="1170" w:type="dxa"/>
          </w:tcPr>
          <w:p w14:paraId="58362513"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6 (5.5)</w:t>
            </w:r>
          </w:p>
        </w:tc>
        <w:tc>
          <w:tcPr>
            <w:tcW w:w="1170" w:type="dxa"/>
          </w:tcPr>
          <w:p w14:paraId="303937F9"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11 (10.0)</w:t>
            </w:r>
          </w:p>
        </w:tc>
        <w:tc>
          <w:tcPr>
            <w:tcW w:w="1170" w:type="dxa"/>
          </w:tcPr>
          <w:p w14:paraId="1E251EC8"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 (9.1)</w:t>
            </w:r>
          </w:p>
        </w:tc>
        <w:tc>
          <w:tcPr>
            <w:tcW w:w="1170" w:type="dxa"/>
          </w:tcPr>
          <w:p w14:paraId="111A9189"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41 (37.3)</w:t>
            </w:r>
          </w:p>
        </w:tc>
        <w:tc>
          <w:tcPr>
            <w:tcW w:w="1170" w:type="dxa"/>
          </w:tcPr>
          <w:p w14:paraId="434DF50F"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42 (38.2)</w:t>
            </w:r>
          </w:p>
        </w:tc>
        <w:tc>
          <w:tcPr>
            <w:tcW w:w="720" w:type="dxa"/>
          </w:tcPr>
          <w:p w14:paraId="20BF1472"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3.93</w:t>
            </w:r>
          </w:p>
        </w:tc>
        <w:tc>
          <w:tcPr>
            <w:tcW w:w="720" w:type="dxa"/>
          </w:tcPr>
          <w:p w14:paraId="5D8024A4"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1.09</w:t>
            </w:r>
          </w:p>
        </w:tc>
      </w:tr>
      <w:tr w:rsidR="00490F69" w:rsidRPr="00FD1E7A" w14:paraId="50084DE1" w14:textId="77777777" w:rsidTr="00490F69">
        <w:trPr>
          <w:trHeight w:val="577"/>
        </w:trPr>
        <w:tc>
          <w:tcPr>
            <w:cnfStyle w:val="001000000000" w:firstRow="0" w:lastRow="0" w:firstColumn="1" w:lastColumn="0" w:oddVBand="0" w:evenVBand="0" w:oddHBand="0" w:evenHBand="0" w:firstRowFirstColumn="0" w:firstRowLastColumn="0" w:lastRowFirstColumn="0" w:lastRowLastColumn="0"/>
            <w:tcW w:w="1440" w:type="dxa"/>
          </w:tcPr>
          <w:p w14:paraId="68301F3A" w14:textId="77777777" w:rsidR="00490F69" w:rsidRPr="00FD1E7A" w:rsidRDefault="00490F69" w:rsidP="00490F69">
            <w:pPr>
              <w:spacing w:line="360" w:lineRule="auto"/>
              <w:rPr>
                <w:rFonts w:asciiTheme="majorBidi" w:eastAsiaTheme="minorHAnsi" w:hAnsiTheme="majorBidi" w:cstheme="majorBidi"/>
                <w:kern w:val="0"/>
                <w:sz w:val="22"/>
                <w:szCs w:val="22"/>
                <w14:ligatures w14:val="none"/>
              </w:rPr>
            </w:pPr>
            <w:r w:rsidRPr="00FD1E7A">
              <w:rPr>
                <w:rFonts w:asciiTheme="majorBidi" w:eastAsiaTheme="minorHAnsi" w:hAnsiTheme="majorBidi" w:cstheme="majorBidi"/>
                <w:kern w:val="0"/>
                <w:sz w:val="22"/>
                <w:szCs w:val="22"/>
                <w14:ligatures w14:val="none"/>
              </w:rPr>
              <w:t>Organizational factors</w:t>
            </w:r>
          </w:p>
        </w:tc>
        <w:tc>
          <w:tcPr>
            <w:tcW w:w="5400" w:type="dxa"/>
          </w:tcPr>
          <w:p w14:paraId="192AEC55"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The policies in my workplace promote gender equality and protect women from GBV.</w:t>
            </w:r>
          </w:p>
        </w:tc>
        <w:tc>
          <w:tcPr>
            <w:tcW w:w="1170" w:type="dxa"/>
          </w:tcPr>
          <w:p w14:paraId="1EB940D0"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17 (15.5)</w:t>
            </w:r>
          </w:p>
        </w:tc>
        <w:tc>
          <w:tcPr>
            <w:tcW w:w="1170" w:type="dxa"/>
          </w:tcPr>
          <w:p w14:paraId="43F82D6D"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19 (17.3)</w:t>
            </w:r>
          </w:p>
        </w:tc>
        <w:tc>
          <w:tcPr>
            <w:tcW w:w="1170" w:type="dxa"/>
          </w:tcPr>
          <w:p w14:paraId="22F37B7A"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21 (19.1)</w:t>
            </w:r>
          </w:p>
        </w:tc>
        <w:tc>
          <w:tcPr>
            <w:tcW w:w="1170" w:type="dxa"/>
          </w:tcPr>
          <w:p w14:paraId="71D4B8BB"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28 (25.5)</w:t>
            </w:r>
          </w:p>
        </w:tc>
        <w:tc>
          <w:tcPr>
            <w:tcW w:w="1170" w:type="dxa"/>
          </w:tcPr>
          <w:p w14:paraId="08BFCDBB"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25 (22.7)</w:t>
            </w:r>
          </w:p>
        </w:tc>
        <w:tc>
          <w:tcPr>
            <w:tcW w:w="720" w:type="dxa"/>
          </w:tcPr>
          <w:p w14:paraId="414432B6"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3.22</w:t>
            </w:r>
          </w:p>
        </w:tc>
        <w:tc>
          <w:tcPr>
            <w:tcW w:w="720" w:type="dxa"/>
          </w:tcPr>
          <w:p w14:paraId="705A374C"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1.37</w:t>
            </w:r>
          </w:p>
        </w:tc>
      </w:tr>
      <w:bookmarkEnd w:id="4"/>
      <w:tr w:rsidR="00490F69" w:rsidRPr="00FD1E7A" w14:paraId="14622100" w14:textId="77777777" w:rsidTr="00490F69">
        <w:trPr>
          <w:trHeight w:val="557"/>
        </w:trPr>
        <w:tc>
          <w:tcPr>
            <w:cnfStyle w:val="001000000000" w:firstRow="0" w:lastRow="0" w:firstColumn="1" w:lastColumn="0" w:oddVBand="0" w:evenVBand="0" w:oddHBand="0" w:evenHBand="0" w:firstRowFirstColumn="0" w:firstRowLastColumn="0" w:lastRowFirstColumn="0" w:lastRowLastColumn="0"/>
            <w:tcW w:w="1440" w:type="dxa"/>
          </w:tcPr>
          <w:p w14:paraId="69A08089" w14:textId="77777777" w:rsidR="00490F69" w:rsidRPr="00FD1E7A" w:rsidRDefault="00490F69" w:rsidP="00490F69">
            <w:pPr>
              <w:spacing w:line="360" w:lineRule="auto"/>
              <w:rPr>
                <w:rFonts w:asciiTheme="majorBidi" w:eastAsiaTheme="minorHAnsi" w:hAnsiTheme="majorBidi" w:cstheme="majorBidi"/>
                <w:kern w:val="0"/>
                <w14:ligatures w14:val="none"/>
              </w:rPr>
            </w:pPr>
          </w:p>
        </w:tc>
        <w:tc>
          <w:tcPr>
            <w:tcW w:w="5400" w:type="dxa"/>
          </w:tcPr>
          <w:p w14:paraId="4D6FF2C4"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There is no system in my workplace to address GBV or harassment.</w:t>
            </w:r>
          </w:p>
        </w:tc>
        <w:tc>
          <w:tcPr>
            <w:tcW w:w="1170" w:type="dxa"/>
          </w:tcPr>
          <w:p w14:paraId="5AC131BA"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5 (4.5)</w:t>
            </w:r>
          </w:p>
        </w:tc>
        <w:tc>
          <w:tcPr>
            <w:tcW w:w="1170" w:type="dxa"/>
          </w:tcPr>
          <w:p w14:paraId="409D9552"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8 (7.3)</w:t>
            </w:r>
          </w:p>
        </w:tc>
        <w:tc>
          <w:tcPr>
            <w:tcW w:w="1170" w:type="dxa"/>
          </w:tcPr>
          <w:p w14:paraId="78764214" w14:textId="77777777" w:rsidR="00490F69" w:rsidRPr="00FD1E7A" w:rsidRDefault="00490F69" w:rsidP="00490F69">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 (9.1)</w:t>
            </w:r>
          </w:p>
        </w:tc>
        <w:tc>
          <w:tcPr>
            <w:tcW w:w="1170" w:type="dxa"/>
          </w:tcPr>
          <w:p w14:paraId="6BD1EA8E"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42 (38.2)</w:t>
            </w:r>
          </w:p>
        </w:tc>
        <w:tc>
          <w:tcPr>
            <w:tcW w:w="1170" w:type="dxa"/>
          </w:tcPr>
          <w:p w14:paraId="6F203C00"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45 (40.9)</w:t>
            </w:r>
          </w:p>
        </w:tc>
        <w:tc>
          <w:tcPr>
            <w:tcW w:w="720" w:type="dxa"/>
          </w:tcPr>
          <w:p w14:paraId="42AAB3ED"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4.04</w:t>
            </w:r>
          </w:p>
        </w:tc>
        <w:tc>
          <w:tcPr>
            <w:tcW w:w="720" w:type="dxa"/>
          </w:tcPr>
          <w:p w14:paraId="29C5628A" w14:textId="77777777" w:rsidR="00490F69" w:rsidRPr="00FD1E7A" w:rsidRDefault="00490F69" w:rsidP="00490F69">
            <w:pPr>
              <w:spacing w:line="360"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1.05</w:t>
            </w:r>
          </w:p>
        </w:tc>
      </w:tr>
    </w:tbl>
    <w:p w14:paraId="1B0DEC27" w14:textId="77777777" w:rsidR="00272618" w:rsidRPr="00FD1E7A" w:rsidRDefault="00272618" w:rsidP="00EE0379">
      <w:pPr>
        <w:spacing w:after="0"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b/>
          <w:bCs/>
          <w:kern w:val="0"/>
          <w14:ligatures w14:val="none"/>
        </w:rPr>
        <w:t xml:space="preserve"> </w:t>
      </w:r>
    </w:p>
    <w:p w14:paraId="3E43D75C" w14:textId="77777777" w:rsidR="00272618" w:rsidRPr="00FD1E7A" w:rsidRDefault="00272618" w:rsidP="00EE0379">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(Field Survey, 2025</w:t>
      </w:r>
      <w:r w:rsidR="003B4909" w:rsidRPr="00FD1E7A">
        <w:rPr>
          <w:rFonts w:asciiTheme="majorBidi" w:eastAsia="Times New Roman" w:hAnsiTheme="majorBidi" w:cstheme="majorBidi"/>
          <w:kern w:val="0"/>
          <w14:ligatures w14:val="none"/>
        </w:rPr>
        <w:t>)</w:t>
      </w:r>
    </w:p>
    <w:p w14:paraId="6E5C48BF" w14:textId="0A544D2B" w:rsidR="003B4909" w:rsidRPr="00FD1E7A" w:rsidRDefault="003B4909" w:rsidP="00EE0379">
      <w:pPr>
        <w:spacing w:before="100" w:beforeAutospacing="1" w:after="100" w:afterAutospacing="1" w:line="360" w:lineRule="auto"/>
        <w:jc w:val="both"/>
        <w:rPr>
          <w:rFonts w:asciiTheme="majorBidi" w:eastAsia="Times New Roman" w:hAnsiTheme="majorBidi" w:cstheme="majorBidi"/>
          <w:kern w:val="0"/>
          <w14:ligatures w14:val="none"/>
        </w:rPr>
        <w:sectPr w:rsidR="003B4909" w:rsidRPr="00FD1E7A" w:rsidSect="00272618">
          <w:pgSz w:w="15840" w:h="12240" w:orient="landscape"/>
          <w:pgMar w:top="1440" w:right="1440" w:bottom="1440" w:left="1440" w:header="720" w:footer="720" w:gutter="0"/>
          <w:cols w:space="720"/>
          <w:docGrid w:linePitch="360"/>
        </w:sectPr>
      </w:pPr>
    </w:p>
    <w:p w14:paraId="6DD8A811" w14:textId="77777777" w:rsidR="002F53AB" w:rsidRDefault="002D0886" w:rsidP="002F53AB">
      <w:pPr>
        <w:spacing w:after="0" w:line="480" w:lineRule="auto"/>
        <w:jc w:val="both"/>
        <w:rPr>
          <w:rFonts w:ascii="Times New Roman" w:eastAsia="Times New Roman" w:hAnsi="Times New Roman" w:cs="Times New Roman"/>
          <w:kern w:val="0"/>
          <w14:ligatures w14:val="none"/>
        </w:rPr>
      </w:pPr>
      <w:r w:rsidRPr="00FD1E7A">
        <w:rPr>
          <w:rFonts w:ascii="Times New Roman" w:eastAsia="Times New Roman" w:hAnsi="Times New Roman" w:cs="Times New Roman"/>
          <w:b/>
          <w:bCs/>
          <w:kern w:val="0"/>
          <w14:ligatures w14:val="none"/>
        </w:rPr>
        <w:lastRenderedPageBreak/>
        <w:t>Coping Strategies Adopted by Victims of Gender-Based Violence</w:t>
      </w:r>
    </w:p>
    <w:p w14:paraId="5ADBC54B" w14:textId="6103E1CA" w:rsidR="002F53AB" w:rsidRPr="00C8625F" w:rsidRDefault="00C8625F" w:rsidP="002F53AB">
      <w:pPr>
        <w:spacing w:after="0" w:line="480" w:lineRule="auto"/>
        <w:jc w:val="both"/>
        <w:rPr>
          <w:rFonts w:ascii="Times New Roman" w:eastAsia="Times New Roman" w:hAnsi="Times New Roman" w:cs="Times New Roman"/>
          <w:b/>
          <w:bCs/>
          <w:kern w:val="0"/>
          <w14:ligatures w14:val="none"/>
        </w:rPr>
      </w:pPr>
      <w:r w:rsidRPr="00C8625F">
        <w:rPr>
          <w:rFonts w:ascii="Times New Roman" w:eastAsia="Times New Roman" w:hAnsi="Times New Roman" w:cs="Times New Roman"/>
          <w:kern w:val="0"/>
          <w14:ligatures w14:val="none"/>
        </w:rPr>
        <w:t xml:space="preserve">This section presents the various methods women use to cope with the effects of GBV. It includes emotional, </w:t>
      </w:r>
      <w:proofErr w:type="spellStart"/>
      <w:r w:rsidRPr="00C8625F">
        <w:rPr>
          <w:rFonts w:ascii="Times New Roman" w:eastAsia="Times New Roman" w:hAnsi="Times New Roman" w:cs="Times New Roman"/>
          <w:kern w:val="0"/>
          <w14:ligatures w14:val="none"/>
        </w:rPr>
        <w:t>behavioural</w:t>
      </w:r>
      <w:proofErr w:type="spellEnd"/>
      <w:r w:rsidRPr="00C8625F">
        <w:rPr>
          <w:rFonts w:ascii="Times New Roman" w:eastAsia="Times New Roman" w:hAnsi="Times New Roman" w:cs="Times New Roman"/>
          <w:kern w:val="0"/>
          <w14:ligatures w14:val="none"/>
        </w:rPr>
        <w:t>, and practical responses adopted by the respondents, based on key statements.</w:t>
      </w:r>
      <w:r>
        <w:rPr>
          <w:rFonts w:ascii="Times New Roman" w:eastAsia="Times New Roman" w:hAnsi="Times New Roman" w:cs="Times New Roman"/>
          <w:b/>
          <w:bCs/>
          <w:kern w:val="0"/>
          <w14:ligatures w14:val="none"/>
        </w:rPr>
        <w:t xml:space="preserve"> </w:t>
      </w:r>
      <w:r w:rsidR="002F53AB" w:rsidRPr="002F53AB">
        <w:rPr>
          <w:rFonts w:ascii="Times New Roman" w:eastAsia="Times New Roman" w:hAnsi="Times New Roman" w:cs="Times New Roman"/>
          <w:kern w:val="0"/>
          <w14:ligatures w14:val="none"/>
        </w:rPr>
        <w:t>The coping responses identified in this study align</w:t>
      </w:r>
      <w:r>
        <w:rPr>
          <w:rFonts w:ascii="Times New Roman" w:eastAsia="Times New Roman" w:hAnsi="Times New Roman" w:cs="Times New Roman"/>
          <w:kern w:val="0"/>
          <w14:ligatures w14:val="none"/>
        </w:rPr>
        <w:t xml:space="preserve">s </w:t>
      </w:r>
      <w:r w:rsidR="002F53AB" w:rsidRPr="002F53AB">
        <w:rPr>
          <w:rFonts w:ascii="Times New Roman" w:eastAsia="Times New Roman" w:hAnsi="Times New Roman" w:cs="Times New Roman"/>
          <w:kern w:val="0"/>
          <w14:ligatures w14:val="none"/>
        </w:rPr>
        <w:t>with Lazarus and Folkman’s Stress and Coping Theory (Lazarus &amp; Folkman, 1984), which conceptualises coping as the cognitive and behavioural efforts individuals use to manage the internal and external demands of stressful situations. Consistent with this framework, the women in this study employed a combination of emotion-focused and problem-focused strategies</w:t>
      </w:r>
      <w:r w:rsidR="002F53AB">
        <w:rPr>
          <w:rFonts w:ascii="Times New Roman" w:eastAsia="Times New Roman" w:hAnsi="Times New Roman" w:cs="Times New Roman"/>
          <w:kern w:val="0"/>
          <w:lang w:val="en-GB"/>
          <w14:ligatures w14:val="none"/>
        </w:rPr>
        <w:t xml:space="preserve"> (</w:t>
      </w:r>
      <w:proofErr w:type="spellStart"/>
      <w:r w:rsidR="002F53AB" w:rsidRPr="00FD1E7A">
        <w:rPr>
          <w:rFonts w:ascii="Times New Roman" w:eastAsia="Times New Roman" w:hAnsi="Times New Roman" w:cs="Times New Roman"/>
          <w:kern w:val="0"/>
          <w14:ligatures w14:val="none"/>
        </w:rPr>
        <w:t>behavioural</w:t>
      </w:r>
      <w:proofErr w:type="spellEnd"/>
      <w:r w:rsidR="002F53AB" w:rsidRPr="00FD1E7A">
        <w:rPr>
          <w:rFonts w:ascii="Times New Roman" w:eastAsia="Times New Roman" w:hAnsi="Times New Roman" w:cs="Times New Roman"/>
          <w:kern w:val="0"/>
          <w14:ligatures w14:val="none"/>
        </w:rPr>
        <w:t>, and practical responses</w:t>
      </w:r>
      <w:r w:rsidR="002F53AB">
        <w:rPr>
          <w:rFonts w:ascii="Times New Roman" w:eastAsia="Times New Roman" w:hAnsi="Times New Roman" w:cs="Times New Roman"/>
          <w:kern w:val="0"/>
          <w14:ligatures w14:val="none"/>
        </w:rPr>
        <w:t>)</w:t>
      </w:r>
      <w:r w:rsidR="002F53AB" w:rsidRPr="002F53AB">
        <w:rPr>
          <w:rFonts w:ascii="Times New Roman" w:eastAsia="Times New Roman" w:hAnsi="Times New Roman" w:cs="Times New Roman"/>
          <w:kern w:val="0"/>
          <w14:ligatures w14:val="none"/>
        </w:rPr>
        <w:t>, illustrating how survivors of GBV navigate both the psychological impact of violence and the practical challenges it creates</w:t>
      </w:r>
      <w:r w:rsidR="002F53AB">
        <w:rPr>
          <w:rFonts w:ascii="Times New Roman" w:eastAsia="Times New Roman" w:hAnsi="Times New Roman" w:cs="Times New Roman"/>
          <w:kern w:val="0"/>
          <w:lang w:val="en-GB"/>
          <w14:ligatures w14:val="none"/>
        </w:rPr>
        <w:t>.</w:t>
      </w:r>
    </w:p>
    <w:p w14:paraId="196EFDF7" w14:textId="6FD45DEF" w:rsidR="002D0886" w:rsidRPr="00FD1E7A" w:rsidRDefault="002D0886" w:rsidP="002D0886">
      <w:pPr>
        <w:spacing w:after="0" w:line="480" w:lineRule="auto"/>
        <w:jc w:val="both"/>
        <w:rPr>
          <w:rFonts w:ascii="Times New Roman" w:eastAsiaTheme="minorHAnsi" w:hAnsi="Times New Roman" w:cs="Times New Roman"/>
          <w:kern w:val="0"/>
          <w14:ligatures w14:val="none"/>
        </w:rPr>
      </w:pPr>
      <w:r w:rsidRPr="00FD1E7A">
        <w:rPr>
          <w:rFonts w:ascii="Times New Roman" w:eastAsiaTheme="minorHAnsi" w:hAnsi="Times New Roman" w:cs="Times New Roman"/>
          <w:bCs/>
          <w:kern w:val="0"/>
          <w14:ligatures w14:val="none"/>
        </w:rPr>
        <w:t xml:space="preserve">Table </w:t>
      </w:r>
      <w:r w:rsidR="00C8625F">
        <w:rPr>
          <w:rFonts w:ascii="Times New Roman" w:eastAsiaTheme="minorHAnsi" w:hAnsi="Times New Roman" w:cs="Times New Roman"/>
          <w:bCs/>
          <w:kern w:val="0"/>
          <w14:ligatures w14:val="none"/>
        </w:rPr>
        <w:t>5</w:t>
      </w:r>
      <w:r w:rsidRPr="00FD1E7A">
        <w:rPr>
          <w:rFonts w:ascii="Times New Roman" w:eastAsiaTheme="minorHAnsi" w:hAnsi="Times New Roman" w:cs="Times New Roman"/>
          <w:bCs/>
          <w:kern w:val="0"/>
          <w14:ligatures w14:val="none"/>
        </w:rPr>
        <w:t xml:space="preserve"> </w:t>
      </w:r>
      <w:r w:rsidRPr="00FD1E7A">
        <w:rPr>
          <w:rFonts w:ascii="Times New Roman" w:eastAsiaTheme="minorHAnsi" w:hAnsi="Times New Roman" w:cs="Times New Roman"/>
          <w:kern w:val="0"/>
          <w14:ligatures w14:val="none"/>
        </w:rPr>
        <w:t xml:space="preserve">shows that </w:t>
      </w:r>
      <w:r w:rsidRPr="00FD1E7A">
        <w:rPr>
          <w:rFonts w:ascii="Times New Roman" w:eastAsiaTheme="minorHAnsi" w:hAnsi="Times New Roman" w:cs="Times New Roman"/>
          <w:i/>
          <w:iCs/>
          <w:kern w:val="0"/>
          <w14:ligatures w14:val="none"/>
        </w:rPr>
        <w:t xml:space="preserve">spending time with friends or family </w:t>
      </w:r>
      <w:r w:rsidRPr="00FD1E7A">
        <w:rPr>
          <w:rFonts w:ascii="Times New Roman" w:eastAsiaTheme="minorHAnsi" w:hAnsi="Times New Roman" w:cs="Times New Roman"/>
          <w:kern w:val="0"/>
          <w14:ligatures w14:val="none"/>
        </w:rPr>
        <w:t xml:space="preserve">(x̄ = 3.87), </w:t>
      </w:r>
      <w:r w:rsidRPr="00FD1E7A">
        <w:rPr>
          <w:rFonts w:ascii="Times New Roman" w:eastAsiaTheme="minorHAnsi" w:hAnsi="Times New Roman" w:cs="Times New Roman"/>
          <w:i/>
          <w:iCs/>
          <w:kern w:val="0"/>
          <w14:ligatures w14:val="none"/>
        </w:rPr>
        <w:t xml:space="preserve">finding solution when faced with problem </w:t>
      </w:r>
      <w:r w:rsidRPr="00FD1E7A">
        <w:rPr>
          <w:rFonts w:ascii="Times New Roman" w:eastAsiaTheme="minorHAnsi" w:hAnsi="Times New Roman" w:cs="Times New Roman"/>
          <w:kern w:val="0"/>
          <w14:ligatures w14:val="none"/>
        </w:rPr>
        <w:t xml:space="preserve">(x̄ = 3.76), </w:t>
      </w:r>
      <w:r w:rsidRPr="00FD1E7A">
        <w:rPr>
          <w:rFonts w:ascii="Times New Roman" w:eastAsiaTheme="minorHAnsi" w:hAnsi="Times New Roman" w:cs="Times New Roman"/>
          <w:i/>
          <w:iCs/>
          <w:kern w:val="0"/>
          <w14:ligatures w14:val="none"/>
        </w:rPr>
        <w:t>taking care of myself</w:t>
      </w:r>
      <w:r w:rsidRPr="00FD1E7A">
        <w:rPr>
          <w:rFonts w:ascii="Times New Roman" w:eastAsiaTheme="minorHAnsi" w:hAnsi="Times New Roman" w:cs="Times New Roman"/>
          <w:kern w:val="0"/>
          <w14:ligatures w14:val="none"/>
        </w:rPr>
        <w:t xml:space="preserve"> (x̄ = 3.75) are the most predominant ways in which respondents cope with GBV, indicating that problem-solving behavior and self-care are key coping mechanism.</w:t>
      </w:r>
      <w:r w:rsidRPr="00FD1E7A">
        <w:rPr>
          <w:rFonts w:eastAsiaTheme="minorHAnsi"/>
          <w:kern w:val="0"/>
          <w:sz w:val="22"/>
          <w:szCs w:val="22"/>
          <w14:ligatures w14:val="none"/>
        </w:rPr>
        <w:t xml:space="preserve"> </w:t>
      </w:r>
      <w:r w:rsidRPr="00FD1E7A">
        <w:rPr>
          <w:rFonts w:ascii="Times New Roman" w:eastAsiaTheme="minorHAnsi" w:hAnsi="Times New Roman" w:cs="Times New Roman"/>
          <w:kern w:val="0"/>
          <w14:ligatures w14:val="none"/>
        </w:rPr>
        <w:t xml:space="preserve">Avoiding socialization when going through emotional difficulty (x̄= 3.69), using work as an escape from stress or emotional pain. (x̄ =3.61), suggest that many individuals cope with emotional challenges through isolation or over-engagement in tasks. </w:t>
      </w:r>
      <w:r w:rsidRPr="00C8625F">
        <w:rPr>
          <w:rFonts w:ascii="Times New Roman" w:eastAsiaTheme="minorHAnsi" w:hAnsi="Times New Roman" w:cs="Times New Roman"/>
          <w:kern w:val="0"/>
          <w14:ligatures w14:val="none"/>
        </w:rPr>
        <w:t xml:space="preserve">However, </w:t>
      </w:r>
      <w:r w:rsidR="00C8625F">
        <w:rPr>
          <w:rFonts w:ascii="Times New Roman" w:eastAsiaTheme="minorHAnsi" w:hAnsi="Times New Roman" w:cs="Times New Roman"/>
          <w:kern w:val="0"/>
          <w14:ligatures w14:val="none"/>
        </w:rPr>
        <w:t>t</w:t>
      </w:r>
      <w:r w:rsidRPr="00C8625F">
        <w:rPr>
          <w:rFonts w:ascii="Times New Roman" w:eastAsiaTheme="minorHAnsi" w:hAnsi="Times New Roman" w:cs="Times New Roman"/>
          <w:kern w:val="0"/>
          <w14:ligatures w14:val="none"/>
        </w:rPr>
        <w:t>alking to a professional helps to deal with difficult emotions</w:t>
      </w:r>
      <w:r w:rsidRPr="00C8625F">
        <w:rPr>
          <w:rFonts w:ascii="Times New Roman" w:eastAsiaTheme="minorHAnsi" w:hAnsi="Times New Roman" w:cs="Times New Roman"/>
          <w:color w:val="FF0000"/>
          <w:kern w:val="0"/>
          <w14:ligatures w14:val="none"/>
        </w:rPr>
        <w:t xml:space="preserve"> </w:t>
      </w:r>
      <w:r w:rsidRPr="00C8625F">
        <w:rPr>
          <w:rFonts w:ascii="Times New Roman" w:eastAsiaTheme="minorHAnsi" w:hAnsi="Times New Roman" w:cs="Times New Roman"/>
          <w:kern w:val="0"/>
          <w14:ligatures w14:val="none"/>
        </w:rPr>
        <w:t>(x̄ = 3.42), suggesting that professional counselling is underutilized, possibly due to stigma, limited access, o</w:t>
      </w:r>
      <w:r w:rsidRPr="00FD1E7A">
        <w:rPr>
          <w:rFonts w:ascii="Times New Roman" w:eastAsiaTheme="minorHAnsi" w:hAnsi="Times New Roman" w:cs="Times New Roman"/>
          <w:kern w:val="0"/>
          <w14:ligatures w14:val="none"/>
        </w:rPr>
        <w:t xml:space="preserve">r lack of awareness of available services. This finding supports </w:t>
      </w:r>
      <w:r w:rsidR="00AC6C8E">
        <w:rPr>
          <w:rFonts w:ascii="Times New Roman" w:eastAsiaTheme="minorHAnsi" w:hAnsi="Times New Roman" w:cs="Times New Roman"/>
          <w:kern w:val="0"/>
          <w14:ligatures w14:val="none"/>
        </w:rPr>
        <w:t xml:space="preserve">by several researchers </w:t>
      </w:r>
      <w:r w:rsidRPr="00FD1E7A">
        <w:rPr>
          <w:rFonts w:ascii="Times New Roman" w:eastAsiaTheme="minorHAnsi" w:hAnsi="Times New Roman" w:cs="Times New Roman"/>
          <w:kern w:val="0"/>
          <w14:ligatures w14:val="none"/>
        </w:rPr>
        <w:t>who emphasized that women in Nigeria often rely more on informal coping strategies such as social support and personal resilience rather than formal psychological services, which are less accessible in rural and agricultural settings.</w:t>
      </w:r>
    </w:p>
    <w:p w14:paraId="55CEAD8B"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7CE10EA7"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4445593D"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6B81062D"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0118A79A"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6C752BA0"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2F4FD099"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05C45FBC"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6AF6888A" w14:textId="64C326BF" w:rsidR="002D0886" w:rsidRPr="00FD1E7A" w:rsidRDefault="002D0886" w:rsidP="00EE0379">
      <w:pPr>
        <w:spacing w:after="0" w:line="360" w:lineRule="auto"/>
        <w:jc w:val="both"/>
        <w:rPr>
          <w:rFonts w:asciiTheme="majorBidi" w:eastAsia="Times New Roman" w:hAnsiTheme="majorBidi" w:cstheme="majorBidi"/>
          <w:b/>
          <w:bCs/>
          <w:kern w:val="0"/>
          <w14:ligatures w14:val="none"/>
        </w:rPr>
      </w:pPr>
    </w:p>
    <w:p w14:paraId="1A9536F8"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sectPr w:rsidR="002D0886" w:rsidRPr="00FD1E7A" w:rsidSect="003B52DE">
          <w:pgSz w:w="12240" w:h="15840"/>
          <w:pgMar w:top="1440" w:right="1440" w:bottom="1440" w:left="1440" w:header="720" w:footer="720" w:gutter="0"/>
          <w:cols w:space="720"/>
          <w:docGrid w:linePitch="360"/>
        </w:sectPr>
      </w:pPr>
    </w:p>
    <w:p w14:paraId="1FB91390" w14:textId="4637DD39" w:rsidR="002D0886" w:rsidRPr="00FD1E7A" w:rsidRDefault="002D0886" w:rsidP="002D0886">
      <w:pPr>
        <w:spacing w:before="100" w:beforeAutospacing="1" w:after="0" w:line="480" w:lineRule="auto"/>
        <w:jc w:val="both"/>
        <w:rPr>
          <w:rFonts w:ascii="Times New Roman" w:eastAsia="Times New Roman" w:hAnsi="Times New Roman" w:cs="Times New Roman"/>
          <w:b/>
          <w:kern w:val="0"/>
          <w14:ligatures w14:val="none"/>
        </w:rPr>
      </w:pPr>
      <w:r w:rsidRPr="00FD1E7A">
        <w:rPr>
          <w:rFonts w:ascii="Times New Roman" w:eastAsia="Times New Roman" w:hAnsi="Times New Roman" w:cs="Times New Roman"/>
          <w:b/>
          <w:bCs/>
          <w:kern w:val="0"/>
          <w14:ligatures w14:val="none"/>
        </w:rPr>
        <w:lastRenderedPageBreak/>
        <w:t xml:space="preserve">Table </w:t>
      </w:r>
      <w:r w:rsidR="00C8625F">
        <w:rPr>
          <w:rFonts w:ascii="Times New Roman" w:eastAsia="Times New Roman" w:hAnsi="Times New Roman" w:cs="Times New Roman"/>
          <w:b/>
          <w:bCs/>
          <w:kern w:val="0"/>
          <w14:ligatures w14:val="none"/>
        </w:rPr>
        <w:t>5</w:t>
      </w:r>
      <w:r w:rsidRPr="00FD1E7A">
        <w:rPr>
          <w:rFonts w:ascii="Times New Roman" w:eastAsia="Times New Roman" w:hAnsi="Times New Roman" w:cs="Times New Roman"/>
          <w:b/>
          <w:bCs/>
          <w:kern w:val="0"/>
          <w14:ligatures w14:val="none"/>
        </w:rPr>
        <w:t>:</w:t>
      </w:r>
      <w:r w:rsidRPr="00FD1E7A">
        <w:rPr>
          <w:rFonts w:ascii="Times New Roman" w:eastAsia="Times New Roman" w:hAnsi="Times New Roman" w:cs="Times New Roman"/>
          <w:bCs/>
          <w:kern w:val="0"/>
          <w14:ligatures w14:val="none"/>
        </w:rPr>
        <w:t xml:space="preserve"> </w:t>
      </w:r>
      <w:r w:rsidRPr="00FD1E7A">
        <w:rPr>
          <w:rFonts w:ascii="Times New Roman" w:eastAsia="Times New Roman" w:hAnsi="Times New Roman" w:cs="Times New Roman"/>
          <w:b/>
          <w:bCs/>
          <w:kern w:val="0"/>
          <w14:ligatures w14:val="none"/>
        </w:rPr>
        <w:t xml:space="preserve">Distribution of </w:t>
      </w:r>
      <w:r w:rsidR="00AA25D1" w:rsidRPr="00FD1E7A">
        <w:rPr>
          <w:rFonts w:ascii="Times New Roman" w:eastAsia="Times New Roman" w:hAnsi="Times New Roman" w:cs="Times New Roman"/>
          <w:b/>
          <w:bCs/>
          <w:kern w:val="0"/>
          <w14:ligatures w14:val="none"/>
        </w:rPr>
        <w:t xml:space="preserve">Respondents According </w:t>
      </w:r>
      <w:r w:rsidRPr="00FD1E7A">
        <w:rPr>
          <w:rFonts w:ascii="Times New Roman" w:eastAsia="Times New Roman" w:hAnsi="Times New Roman" w:cs="Times New Roman"/>
          <w:b/>
          <w:bCs/>
          <w:kern w:val="0"/>
          <w14:ligatures w14:val="none"/>
        </w:rPr>
        <w:t xml:space="preserve">to </w:t>
      </w:r>
      <w:r w:rsidR="00AA25D1" w:rsidRPr="00FD1E7A">
        <w:rPr>
          <w:rFonts w:ascii="Times New Roman" w:eastAsia="Times New Roman" w:hAnsi="Times New Roman" w:cs="Times New Roman"/>
          <w:b/>
          <w:bCs/>
          <w:kern w:val="0"/>
          <w14:ligatures w14:val="none"/>
        </w:rPr>
        <w:t xml:space="preserve">Coping Strategies Adopted </w:t>
      </w:r>
      <w:r w:rsidRPr="00FD1E7A">
        <w:rPr>
          <w:rFonts w:ascii="Times New Roman" w:eastAsia="Times New Roman" w:hAnsi="Times New Roman" w:cs="Times New Roman"/>
          <w:b/>
          <w:bCs/>
          <w:kern w:val="0"/>
          <w14:ligatures w14:val="none"/>
        </w:rPr>
        <w:t>(n = 110)</w:t>
      </w:r>
    </w:p>
    <w:tbl>
      <w:tblPr>
        <w:tblStyle w:val="PlainTable2"/>
        <w:tblW w:w="13225" w:type="dxa"/>
        <w:tblLook w:val="06A0" w:firstRow="1" w:lastRow="0" w:firstColumn="1" w:lastColumn="0" w:noHBand="1" w:noVBand="1"/>
      </w:tblPr>
      <w:tblGrid>
        <w:gridCol w:w="5575"/>
        <w:gridCol w:w="1080"/>
        <w:gridCol w:w="1080"/>
        <w:gridCol w:w="1170"/>
        <w:gridCol w:w="1080"/>
        <w:gridCol w:w="1170"/>
        <w:gridCol w:w="990"/>
        <w:gridCol w:w="1080"/>
      </w:tblGrid>
      <w:tr w:rsidR="002D0886" w:rsidRPr="00FD1E7A" w14:paraId="44800EE7" w14:textId="77777777" w:rsidTr="002D0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tcBorders>
              <w:top w:val="single" w:sz="4" w:space="0" w:color="7F7F7F" w:themeColor="text1" w:themeTint="80"/>
              <w:left w:val="nil"/>
              <w:right w:val="nil"/>
            </w:tcBorders>
            <w:hideMark/>
          </w:tcPr>
          <w:p w14:paraId="1A303E3A" w14:textId="111589CA" w:rsidR="002D0886" w:rsidRPr="00FD1E7A" w:rsidRDefault="00AA25D1">
            <w:pPr>
              <w:spacing w:before="100" w:beforeAutospacing="1" w:after="100" w:afterAutospacing="1"/>
              <w:jc w:val="both"/>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 xml:space="preserve">Perception </w:t>
            </w:r>
            <w:r w:rsidR="002D0886" w:rsidRPr="00FD1E7A">
              <w:rPr>
                <w:rFonts w:ascii="Times New Roman" w:eastAsia="Times New Roman" w:hAnsi="Times New Roman" w:cs="Times New Roman"/>
                <w:kern w:val="0"/>
                <w:sz w:val="22"/>
                <w:szCs w:val="22"/>
                <w14:ligatures w14:val="none"/>
              </w:rPr>
              <w:t>Statement</w:t>
            </w:r>
          </w:p>
        </w:tc>
        <w:tc>
          <w:tcPr>
            <w:tcW w:w="1080" w:type="dxa"/>
            <w:tcBorders>
              <w:top w:val="single" w:sz="4" w:space="0" w:color="7F7F7F" w:themeColor="text1" w:themeTint="80"/>
              <w:left w:val="nil"/>
              <w:right w:val="nil"/>
            </w:tcBorders>
            <w:hideMark/>
          </w:tcPr>
          <w:p w14:paraId="47CFF26A" w14:textId="0119BBF1"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Strongly Disagree F</w:t>
            </w:r>
            <w:r w:rsidR="00AA25D1" w:rsidRPr="00FD1E7A">
              <w:rPr>
                <w:rFonts w:ascii="Times New Roman" w:eastAsiaTheme="minorHAnsi" w:hAnsi="Times New Roman" w:cs="Times New Roman"/>
                <w:kern w:val="0"/>
                <w:sz w:val="22"/>
                <w:szCs w:val="22"/>
                <w14:ligatures w14:val="none"/>
              </w:rPr>
              <w:t xml:space="preserve"> </w:t>
            </w:r>
            <w:r w:rsidRPr="00FD1E7A">
              <w:rPr>
                <w:rFonts w:ascii="Times New Roman" w:eastAsiaTheme="minorHAnsi" w:hAnsi="Times New Roman" w:cs="Times New Roman"/>
                <w:kern w:val="0"/>
                <w:sz w:val="22"/>
                <w:szCs w:val="22"/>
                <w14:ligatures w14:val="none"/>
              </w:rPr>
              <w:t>(%)</w:t>
            </w:r>
          </w:p>
        </w:tc>
        <w:tc>
          <w:tcPr>
            <w:tcW w:w="1080" w:type="dxa"/>
            <w:tcBorders>
              <w:top w:val="single" w:sz="4" w:space="0" w:color="7F7F7F" w:themeColor="text1" w:themeTint="80"/>
              <w:left w:val="nil"/>
              <w:right w:val="nil"/>
            </w:tcBorders>
            <w:hideMark/>
          </w:tcPr>
          <w:p w14:paraId="0F93A0F5" w14:textId="77777777"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Disagree</w:t>
            </w:r>
          </w:p>
          <w:p w14:paraId="2D927F51" w14:textId="639C39A7"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F (%)</w:t>
            </w:r>
          </w:p>
        </w:tc>
        <w:tc>
          <w:tcPr>
            <w:tcW w:w="1170" w:type="dxa"/>
            <w:tcBorders>
              <w:top w:val="single" w:sz="4" w:space="0" w:color="7F7F7F" w:themeColor="text1" w:themeTint="80"/>
              <w:left w:val="nil"/>
              <w:right w:val="nil"/>
            </w:tcBorders>
            <w:hideMark/>
          </w:tcPr>
          <w:p w14:paraId="682B159F" w14:textId="77777777"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Neutral</w:t>
            </w:r>
          </w:p>
          <w:p w14:paraId="57E974BD" w14:textId="548F36AC"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F (%)</w:t>
            </w:r>
          </w:p>
        </w:tc>
        <w:tc>
          <w:tcPr>
            <w:tcW w:w="1080" w:type="dxa"/>
            <w:tcBorders>
              <w:top w:val="single" w:sz="4" w:space="0" w:color="7F7F7F" w:themeColor="text1" w:themeTint="80"/>
              <w:left w:val="nil"/>
              <w:right w:val="nil"/>
            </w:tcBorders>
            <w:hideMark/>
          </w:tcPr>
          <w:p w14:paraId="323059CB" w14:textId="77777777"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Agree</w:t>
            </w:r>
          </w:p>
          <w:p w14:paraId="03F18024" w14:textId="1278959A"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F (%)</w:t>
            </w:r>
          </w:p>
        </w:tc>
        <w:tc>
          <w:tcPr>
            <w:tcW w:w="1170" w:type="dxa"/>
            <w:tcBorders>
              <w:top w:val="single" w:sz="4" w:space="0" w:color="7F7F7F" w:themeColor="text1" w:themeTint="80"/>
              <w:left w:val="nil"/>
              <w:right w:val="nil"/>
            </w:tcBorders>
            <w:hideMark/>
          </w:tcPr>
          <w:p w14:paraId="62CD8BD0" w14:textId="1165355D" w:rsidR="002D0886" w:rsidRPr="00FD1E7A" w:rsidRDefault="002D0886">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Strongly Agree F (%)</w:t>
            </w:r>
          </w:p>
        </w:tc>
        <w:tc>
          <w:tcPr>
            <w:tcW w:w="990" w:type="dxa"/>
            <w:tcBorders>
              <w:top w:val="single" w:sz="4" w:space="0" w:color="7F7F7F" w:themeColor="text1" w:themeTint="80"/>
              <w:left w:val="nil"/>
              <w:right w:val="nil"/>
            </w:tcBorders>
            <w:hideMark/>
          </w:tcPr>
          <w:p w14:paraId="1011D8F5" w14:textId="7012D492" w:rsidR="002D0886" w:rsidRPr="00FD1E7A" w:rsidRDefault="002D0886" w:rsidP="00AA25D1">
            <w:pPr>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Mean</w:t>
            </w:r>
            <w:r w:rsidR="00AA25D1" w:rsidRPr="00FD1E7A">
              <w:rPr>
                <w:rFonts w:ascii="Times New Roman" w:eastAsiaTheme="minorHAnsi" w:hAnsi="Times New Roman" w:cs="Times New Roman"/>
                <w:kern w:val="0"/>
                <w:sz w:val="22"/>
                <w:szCs w:val="22"/>
                <w14:ligatures w14:val="none"/>
              </w:rPr>
              <w:t xml:space="preserve"> Score</w:t>
            </w:r>
          </w:p>
        </w:tc>
        <w:tc>
          <w:tcPr>
            <w:tcW w:w="1080" w:type="dxa"/>
            <w:tcBorders>
              <w:top w:val="single" w:sz="4" w:space="0" w:color="7F7F7F" w:themeColor="text1" w:themeTint="80"/>
              <w:left w:val="nil"/>
              <w:right w:val="nil"/>
            </w:tcBorders>
            <w:hideMark/>
          </w:tcPr>
          <w:p w14:paraId="17BCE3E9" w14:textId="77777777" w:rsidR="002D0886" w:rsidRPr="00FD1E7A" w:rsidRDefault="002D088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SD</w:t>
            </w:r>
          </w:p>
        </w:tc>
      </w:tr>
      <w:tr w:rsidR="002D0886" w:rsidRPr="00FD1E7A" w14:paraId="29AE41AA" w14:textId="77777777" w:rsidTr="002D0886">
        <w:trPr>
          <w:trHeight w:val="881"/>
        </w:trPr>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7FC882AA" w14:textId="4D92F88D"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proofErr w:type="spellStart"/>
            <w:r w:rsidRPr="00FD1E7A">
              <w:rPr>
                <w:rFonts w:ascii="Times New Roman" w:eastAsia="Times New Roman" w:hAnsi="Times New Roman" w:cs="Times New Roman"/>
                <w:b w:val="0"/>
                <w:bCs w:val="0"/>
                <w:kern w:val="0"/>
                <w:sz w:val="22"/>
                <w:szCs w:val="22"/>
                <w14:ligatures w14:val="none"/>
              </w:rPr>
              <w:t>i</w:t>
            </w:r>
            <w:proofErr w:type="spellEnd"/>
            <w:r w:rsidRPr="00FD1E7A">
              <w:rPr>
                <w:rFonts w:ascii="Times New Roman" w:eastAsia="Times New Roman" w:hAnsi="Times New Roman" w:cs="Times New Roman"/>
                <w:b w:val="0"/>
                <w:bCs w:val="0"/>
                <w:kern w:val="0"/>
                <w:sz w:val="22"/>
                <w:szCs w:val="22"/>
                <w14:ligatures w14:val="none"/>
              </w:rPr>
              <w:t xml:space="preserve">. </w:t>
            </w:r>
            <w:r w:rsidR="002D0886" w:rsidRPr="00FD1E7A">
              <w:rPr>
                <w:rFonts w:ascii="Times New Roman" w:eastAsia="Times New Roman" w:hAnsi="Times New Roman" w:cs="Times New Roman"/>
                <w:b w:val="0"/>
                <w:bCs w:val="0"/>
                <w:kern w:val="0"/>
                <w:sz w:val="22"/>
                <w:szCs w:val="22"/>
                <w14:ligatures w14:val="none"/>
              </w:rPr>
              <w:t>Talking to someone helps me feel better when I am sad or worried.</w:t>
            </w:r>
          </w:p>
        </w:tc>
        <w:tc>
          <w:tcPr>
            <w:tcW w:w="1080" w:type="dxa"/>
            <w:tcBorders>
              <w:top w:val="nil"/>
              <w:left w:val="nil"/>
              <w:bottom w:val="nil"/>
              <w:right w:val="nil"/>
            </w:tcBorders>
            <w:hideMark/>
          </w:tcPr>
          <w:p w14:paraId="4A49B04A"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9 (8.2)</w:t>
            </w:r>
          </w:p>
        </w:tc>
        <w:tc>
          <w:tcPr>
            <w:tcW w:w="1080" w:type="dxa"/>
            <w:tcBorders>
              <w:top w:val="nil"/>
              <w:left w:val="nil"/>
              <w:bottom w:val="nil"/>
              <w:right w:val="nil"/>
            </w:tcBorders>
            <w:hideMark/>
          </w:tcPr>
          <w:p w14:paraId="07FCDC88"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 (11.8)</w:t>
            </w:r>
          </w:p>
        </w:tc>
        <w:tc>
          <w:tcPr>
            <w:tcW w:w="1170" w:type="dxa"/>
            <w:tcBorders>
              <w:top w:val="nil"/>
              <w:left w:val="nil"/>
              <w:bottom w:val="nil"/>
              <w:right w:val="nil"/>
            </w:tcBorders>
            <w:hideMark/>
          </w:tcPr>
          <w:p w14:paraId="0AA4F22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18 (16.4)</w:t>
            </w:r>
          </w:p>
        </w:tc>
        <w:tc>
          <w:tcPr>
            <w:tcW w:w="1080" w:type="dxa"/>
            <w:tcBorders>
              <w:top w:val="nil"/>
              <w:left w:val="nil"/>
              <w:bottom w:val="nil"/>
              <w:right w:val="nil"/>
            </w:tcBorders>
            <w:hideMark/>
          </w:tcPr>
          <w:p w14:paraId="74E9693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 (31.8)</w:t>
            </w:r>
          </w:p>
        </w:tc>
        <w:tc>
          <w:tcPr>
            <w:tcW w:w="1170" w:type="dxa"/>
            <w:tcBorders>
              <w:top w:val="nil"/>
              <w:left w:val="nil"/>
              <w:bottom w:val="nil"/>
              <w:right w:val="nil"/>
            </w:tcBorders>
            <w:hideMark/>
          </w:tcPr>
          <w:p w14:paraId="39779BDC"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 (31.8)</w:t>
            </w:r>
          </w:p>
        </w:tc>
        <w:tc>
          <w:tcPr>
            <w:tcW w:w="990" w:type="dxa"/>
            <w:tcBorders>
              <w:top w:val="nil"/>
              <w:left w:val="nil"/>
              <w:bottom w:val="nil"/>
              <w:right w:val="nil"/>
            </w:tcBorders>
            <w:hideMark/>
          </w:tcPr>
          <w:p w14:paraId="3CA3181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3.68</w:t>
            </w:r>
          </w:p>
        </w:tc>
        <w:tc>
          <w:tcPr>
            <w:tcW w:w="1080" w:type="dxa"/>
            <w:tcBorders>
              <w:top w:val="nil"/>
              <w:left w:val="nil"/>
              <w:bottom w:val="nil"/>
              <w:right w:val="nil"/>
            </w:tcBorders>
            <w:hideMark/>
          </w:tcPr>
          <w:p w14:paraId="57DF3983"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1.27</w:t>
            </w:r>
          </w:p>
        </w:tc>
      </w:tr>
      <w:tr w:rsidR="002D0886" w:rsidRPr="00FD1E7A" w14:paraId="11A0FFBC"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1D19DFE4" w14:textId="124AB790" w:rsidR="002D0886" w:rsidRPr="00FD1E7A" w:rsidRDefault="00AA25D1" w:rsidP="00FF639F">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ii. </w:t>
            </w:r>
            <w:r w:rsidR="002D0886" w:rsidRPr="00FD1E7A">
              <w:rPr>
                <w:rFonts w:ascii="Times New Roman" w:eastAsia="Times New Roman" w:hAnsi="Times New Roman" w:cs="Times New Roman"/>
                <w:b w:val="0"/>
                <w:bCs w:val="0"/>
                <w:kern w:val="0"/>
                <w:sz w:val="22"/>
                <w:szCs w:val="22"/>
                <w14:ligatures w14:val="none"/>
              </w:rPr>
              <w:t>I try to find a solution when I have a problem.</w:t>
            </w:r>
          </w:p>
        </w:tc>
        <w:tc>
          <w:tcPr>
            <w:tcW w:w="1080" w:type="dxa"/>
            <w:tcBorders>
              <w:top w:val="nil"/>
              <w:left w:val="nil"/>
              <w:bottom w:val="nil"/>
              <w:right w:val="nil"/>
            </w:tcBorders>
            <w:hideMark/>
          </w:tcPr>
          <w:p w14:paraId="04AEEC19"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8 (7.3)</w:t>
            </w:r>
          </w:p>
        </w:tc>
        <w:tc>
          <w:tcPr>
            <w:tcW w:w="1080" w:type="dxa"/>
            <w:tcBorders>
              <w:top w:val="nil"/>
              <w:left w:val="nil"/>
              <w:bottom w:val="nil"/>
              <w:right w:val="nil"/>
            </w:tcBorders>
            <w:hideMark/>
          </w:tcPr>
          <w:p w14:paraId="45A42C63"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11 (10.0)</w:t>
            </w:r>
          </w:p>
        </w:tc>
        <w:tc>
          <w:tcPr>
            <w:tcW w:w="1170" w:type="dxa"/>
            <w:tcBorders>
              <w:top w:val="nil"/>
              <w:left w:val="nil"/>
              <w:bottom w:val="nil"/>
              <w:right w:val="nil"/>
            </w:tcBorders>
            <w:hideMark/>
          </w:tcPr>
          <w:p w14:paraId="4647995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16 (14.5)</w:t>
            </w:r>
          </w:p>
        </w:tc>
        <w:tc>
          <w:tcPr>
            <w:tcW w:w="1080" w:type="dxa"/>
            <w:tcBorders>
              <w:top w:val="nil"/>
              <w:left w:val="nil"/>
              <w:bottom w:val="nil"/>
              <w:right w:val="nil"/>
            </w:tcBorders>
            <w:hideMark/>
          </w:tcPr>
          <w:p w14:paraId="43D3AF5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39 (35.5)</w:t>
            </w:r>
          </w:p>
        </w:tc>
        <w:tc>
          <w:tcPr>
            <w:tcW w:w="1170" w:type="dxa"/>
            <w:tcBorders>
              <w:top w:val="nil"/>
              <w:left w:val="nil"/>
              <w:bottom w:val="nil"/>
              <w:right w:val="nil"/>
            </w:tcBorders>
            <w:hideMark/>
          </w:tcPr>
          <w:p w14:paraId="2AF9C684"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36 (32.)</w:t>
            </w:r>
          </w:p>
        </w:tc>
        <w:tc>
          <w:tcPr>
            <w:tcW w:w="990" w:type="dxa"/>
            <w:tcBorders>
              <w:top w:val="nil"/>
              <w:left w:val="nil"/>
              <w:bottom w:val="nil"/>
              <w:right w:val="nil"/>
            </w:tcBorders>
            <w:hideMark/>
          </w:tcPr>
          <w:p w14:paraId="4B4174BE"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3.76</w:t>
            </w:r>
          </w:p>
        </w:tc>
        <w:tc>
          <w:tcPr>
            <w:tcW w:w="1080" w:type="dxa"/>
            <w:tcBorders>
              <w:top w:val="nil"/>
              <w:left w:val="nil"/>
              <w:bottom w:val="nil"/>
              <w:right w:val="nil"/>
            </w:tcBorders>
            <w:hideMark/>
          </w:tcPr>
          <w:p w14:paraId="29287F1B"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1.23</w:t>
            </w:r>
          </w:p>
        </w:tc>
      </w:tr>
      <w:tr w:rsidR="002D0886" w:rsidRPr="00FD1E7A" w14:paraId="55BE5410"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687F895D" w14:textId="06702974"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iii. </w:t>
            </w:r>
            <w:r w:rsidR="002D0886" w:rsidRPr="00FD1E7A">
              <w:rPr>
                <w:rFonts w:ascii="Times New Roman" w:eastAsia="Times New Roman" w:hAnsi="Times New Roman" w:cs="Times New Roman"/>
                <w:b w:val="0"/>
                <w:bCs w:val="0"/>
                <w:kern w:val="0"/>
                <w:sz w:val="22"/>
                <w:szCs w:val="22"/>
                <w14:ligatures w14:val="none"/>
              </w:rPr>
              <w:t xml:space="preserve">I avoid </w:t>
            </w:r>
            <w:proofErr w:type="spellStart"/>
            <w:r w:rsidR="002D0886" w:rsidRPr="00FD1E7A">
              <w:rPr>
                <w:rFonts w:ascii="Times New Roman" w:eastAsia="Times New Roman" w:hAnsi="Times New Roman" w:cs="Times New Roman"/>
                <w:b w:val="0"/>
                <w:bCs w:val="0"/>
                <w:kern w:val="0"/>
                <w:sz w:val="22"/>
                <w:szCs w:val="22"/>
                <w14:ligatures w14:val="none"/>
              </w:rPr>
              <w:t>socialising</w:t>
            </w:r>
            <w:proofErr w:type="spellEnd"/>
            <w:r w:rsidR="002D0886" w:rsidRPr="00FD1E7A">
              <w:rPr>
                <w:rFonts w:ascii="Times New Roman" w:eastAsia="Times New Roman" w:hAnsi="Times New Roman" w:cs="Times New Roman"/>
                <w:b w:val="0"/>
                <w:bCs w:val="0"/>
                <w:kern w:val="0"/>
                <w:sz w:val="22"/>
                <w:szCs w:val="22"/>
                <w14:ligatures w14:val="none"/>
              </w:rPr>
              <w:t xml:space="preserve"> when going through emotional difficulty.</w:t>
            </w:r>
          </w:p>
        </w:tc>
        <w:tc>
          <w:tcPr>
            <w:tcW w:w="1080" w:type="dxa"/>
            <w:tcBorders>
              <w:top w:val="nil"/>
              <w:left w:val="nil"/>
              <w:bottom w:val="nil"/>
              <w:right w:val="nil"/>
            </w:tcBorders>
            <w:hideMark/>
          </w:tcPr>
          <w:p w14:paraId="7FC5AC38"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7 (6.4)</w:t>
            </w:r>
          </w:p>
        </w:tc>
        <w:tc>
          <w:tcPr>
            <w:tcW w:w="1080" w:type="dxa"/>
            <w:tcBorders>
              <w:top w:val="nil"/>
              <w:left w:val="nil"/>
              <w:bottom w:val="nil"/>
              <w:right w:val="nil"/>
            </w:tcBorders>
            <w:hideMark/>
          </w:tcPr>
          <w:p w14:paraId="5D6CCEB6"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14 (12.7)</w:t>
            </w:r>
          </w:p>
        </w:tc>
        <w:tc>
          <w:tcPr>
            <w:tcW w:w="1170" w:type="dxa"/>
            <w:tcBorders>
              <w:top w:val="nil"/>
              <w:left w:val="nil"/>
              <w:bottom w:val="nil"/>
              <w:right w:val="nil"/>
            </w:tcBorders>
            <w:hideMark/>
          </w:tcPr>
          <w:p w14:paraId="32430B63"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20 (18.2)</w:t>
            </w:r>
          </w:p>
        </w:tc>
        <w:tc>
          <w:tcPr>
            <w:tcW w:w="1080" w:type="dxa"/>
            <w:tcBorders>
              <w:top w:val="nil"/>
              <w:left w:val="nil"/>
              <w:bottom w:val="nil"/>
              <w:right w:val="nil"/>
            </w:tcBorders>
            <w:hideMark/>
          </w:tcPr>
          <w:p w14:paraId="5118A4B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 (30.9)</w:t>
            </w:r>
          </w:p>
        </w:tc>
        <w:tc>
          <w:tcPr>
            <w:tcW w:w="1170" w:type="dxa"/>
            <w:tcBorders>
              <w:top w:val="nil"/>
              <w:left w:val="nil"/>
              <w:bottom w:val="nil"/>
              <w:right w:val="nil"/>
            </w:tcBorders>
            <w:hideMark/>
          </w:tcPr>
          <w:p w14:paraId="3972D7F8"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 (31.8)</w:t>
            </w:r>
          </w:p>
        </w:tc>
        <w:tc>
          <w:tcPr>
            <w:tcW w:w="990" w:type="dxa"/>
            <w:tcBorders>
              <w:top w:val="nil"/>
              <w:left w:val="nil"/>
              <w:bottom w:val="nil"/>
              <w:right w:val="nil"/>
            </w:tcBorders>
            <w:hideMark/>
          </w:tcPr>
          <w:p w14:paraId="05D40B61"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3.69</w:t>
            </w:r>
          </w:p>
        </w:tc>
        <w:tc>
          <w:tcPr>
            <w:tcW w:w="1080" w:type="dxa"/>
            <w:tcBorders>
              <w:top w:val="nil"/>
              <w:left w:val="nil"/>
              <w:bottom w:val="nil"/>
              <w:right w:val="nil"/>
            </w:tcBorders>
            <w:hideMark/>
          </w:tcPr>
          <w:p w14:paraId="32C54A4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1.24</w:t>
            </w:r>
          </w:p>
        </w:tc>
      </w:tr>
      <w:tr w:rsidR="002D0886" w:rsidRPr="00FD1E7A" w14:paraId="3B0C04BC"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01ABC95A" w14:textId="6AF9BD46" w:rsidR="002D0886" w:rsidRPr="00FD1E7A" w:rsidRDefault="00AA25D1" w:rsidP="002D0886">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iv. </w:t>
            </w:r>
            <w:r w:rsidR="002D0886" w:rsidRPr="00FD1E7A">
              <w:rPr>
                <w:rFonts w:ascii="Times New Roman" w:eastAsia="Times New Roman" w:hAnsi="Times New Roman" w:cs="Times New Roman"/>
                <w:b w:val="0"/>
                <w:bCs w:val="0"/>
                <w:kern w:val="0"/>
                <w:sz w:val="22"/>
                <w:szCs w:val="22"/>
                <w14:ligatures w14:val="none"/>
              </w:rPr>
              <w:t>I use work as an escape from stress or emotional pain.</w:t>
            </w:r>
          </w:p>
        </w:tc>
        <w:tc>
          <w:tcPr>
            <w:tcW w:w="1080" w:type="dxa"/>
            <w:tcBorders>
              <w:top w:val="nil"/>
              <w:left w:val="nil"/>
              <w:bottom w:val="nil"/>
              <w:right w:val="nil"/>
            </w:tcBorders>
            <w:hideMark/>
          </w:tcPr>
          <w:p w14:paraId="36582583"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10 (9.1)</w:t>
            </w:r>
          </w:p>
        </w:tc>
        <w:tc>
          <w:tcPr>
            <w:tcW w:w="1080" w:type="dxa"/>
            <w:tcBorders>
              <w:top w:val="nil"/>
              <w:left w:val="nil"/>
              <w:bottom w:val="nil"/>
              <w:right w:val="nil"/>
            </w:tcBorders>
            <w:hideMark/>
          </w:tcPr>
          <w:p w14:paraId="6EA3E5A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 (11.8)</w:t>
            </w:r>
          </w:p>
        </w:tc>
        <w:tc>
          <w:tcPr>
            <w:tcW w:w="1170" w:type="dxa"/>
            <w:tcBorders>
              <w:top w:val="nil"/>
              <w:left w:val="nil"/>
              <w:bottom w:val="nil"/>
              <w:right w:val="nil"/>
            </w:tcBorders>
            <w:hideMark/>
          </w:tcPr>
          <w:p w14:paraId="20AF6C4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19 (17.3)</w:t>
            </w:r>
          </w:p>
        </w:tc>
        <w:tc>
          <w:tcPr>
            <w:tcW w:w="1080" w:type="dxa"/>
            <w:tcBorders>
              <w:top w:val="nil"/>
              <w:left w:val="nil"/>
              <w:bottom w:val="nil"/>
              <w:right w:val="nil"/>
            </w:tcBorders>
            <w:hideMark/>
          </w:tcPr>
          <w:p w14:paraId="04D9A375"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 (32.7)</w:t>
            </w:r>
          </w:p>
        </w:tc>
        <w:tc>
          <w:tcPr>
            <w:tcW w:w="1170" w:type="dxa"/>
            <w:tcBorders>
              <w:top w:val="nil"/>
              <w:left w:val="nil"/>
              <w:bottom w:val="nil"/>
              <w:right w:val="nil"/>
            </w:tcBorders>
            <w:hideMark/>
          </w:tcPr>
          <w:p w14:paraId="2C6073CE"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32 (29.1)</w:t>
            </w:r>
          </w:p>
        </w:tc>
        <w:tc>
          <w:tcPr>
            <w:tcW w:w="990" w:type="dxa"/>
            <w:tcBorders>
              <w:top w:val="nil"/>
              <w:left w:val="nil"/>
              <w:bottom w:val="nil"/>
              <w:right w:val="nil"/>
            </w:tcBorders>
            <w:hideMark/>
          </w:tcPr>
          <w:p w14:paraId="0B477770"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3.61</w:t>
            </w:r>
          </w:p>
        </w:tc>
        <w:tc>
          <w:tcPr>
            <w:tcW w:w="1080" w:type="dxa"/>
            <w:tcBorders>
              <w:top w:val="nil"/>
              <w:left w:val="nil"/>
              <w:bottom w:val="nil"/>
              <w:right w:val="nil"/>
            </w:tcBorders>
            <w:hideMark/>
          </w:tcPr>
          <w:p w14:paraId="4FBDAFB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1.29</w:t>
            </w:r>
          </w:p>
        </w:tc>
      </w:tr>
      <w:tr w:rsidR="002D0886" w:rsidRPr="00FD1E7A" w14:paraId="4464DD88"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571E6BAC" w14:textId="54B1B774"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 </w:t>
            </w:r>
            <w:r w:rsidR="002D0886" w:rsidRPr="00FD1E7A">
              <w:rPr>
                <w:rFonts w:ascii="Times New Roman" w:eastAsia="Times New Roman" w:hAnsi="Times New Roman" w:cs="Times New Roman"/>
                <w:b w:val="0"/>
                <w:bCs w:val="0"/>
                <w:kern w:val="0"/>
                <w:sz w:val="22"/>
                <w:szCs w:val="22"/>
                <w14:ligatures w14:val="none"/>
              </w:rPr>
              <w:t>Talking to a professional helps me deal with difficult emotions.</w:t>
            </w:r>
          </w:p>
        </w:tc>
        <w:tc>
          <w:tcPr>
            <w:tcW w:w="1080" w:type="dxa"/>
            <w:tcBorders>
              <w:top w:val="nil"/>
              <w:left w:val="nil"/>
              <w:bottom w:val="nil"/>
              <w:right w:val="nil"/>
            </w:tcBorders>
            <w:hideMark/>
          </w:tcPr>
          <w:p w14:paraId="45159B59"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12 (10.9)</w:t>
            </w:r>
          </w:p>
        </w:tc>
        <w:tc>
          <w:tcPr>
            <w:tcW w:w="1080" w:type="dxa"/>
            <w:tcBorders>
              <w:top w:val="nil"/>
              <w:left w:val="nil"/>
              <w:bottom w:val="nil"/>
              <w:right w:val="nil"/>
            </w:tcBorders>
            <w:hideMark/>
          </w:tcPr>
          <w:p w14:paraId="68F57474"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16 (14.5)</w:t>
            </w:r>
          </w:p>
        </w:tc>
        <w:tc>
          <w:tcPr>
            <w:tcW w:w="1170" w:type="dxa"/>
            <w:tcBorders>
              <w:top w:val="nil"/>
              <w:left w:val="nil"/>
              <w:bottom w:val="nil"/>
              <w:right w:val="nil"/>
            </w:tcBorders>
            <w:hideMark/>
          </w:tcPr>
          <w:p w14:paraId="2B817F2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22 (20.0)</w:t>
            </w:r>
          </w:p>
        </w:tc>
        <w:tc>
          <w:tcPr>
            <w:tcW w:w="1080" w:type="dxa"/>
            <w:tcBorders>
              <w:top w:val="nil"/>
              <w:left w:val="nil"/>
              <w:bottom w:val="nil"/>
              <w:right w:val="nil"/>
            </w:tcBorders>
            <w:hideMark/>
          </w:tcPr>
          <w:p w14:paraId="21F7BC0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 (30.9)</w:t>
            </w:r>
          </w:p>
        </w:tc>
        <w:tc>
          <w:tcPr>
            <w:tcW w:w="1170" w:type="dxa"/>
            <w:tcBorders>
              <w:top w:val="nil"/>
              <w:left w:val="nil"/>
              <w:bottom w:val="nil"/>
              <w:right w:val="nil"/>
            </w:tcBorders>
            <w:hideMark/>
          </w:tcPr>
          <w:p w14:paraId="37F64A7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26 (23.6)</w:t>
            </w:r>
          </w:p>
        </w:tc>
        <w:tc>
          <w:tcPr>
            <w:tcW w:w="990" w:type="dxa"/>
            <w:tcBorders>
              <w:top w:val="nil"/>
              <w:left w:val="nil"/>
              <w:bottom w:val="nil"/>
              <w:right w:val="nil"/>
            </w:tcBorders>
            <w:hideMark/>
          </w:tcPr>
          <w:p w14:paraId="7E9387DA"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3.42</w:t>
            </w:r>
          </w:p>
        </w:tc>
        <w:tc>
          <w:tcPr>
            <w:tcW w:w="1080" w:type="dxa"/>
            <w:tcBorders>
              <w:top w:val="nil"/>
              <w:left w:val="nil"/>
              <w:bottom w:val="nil"/>
              <w:right w:val="nil"/>
            </w:tcBorders>
            <w:hideMark/>
          </w:tcPr>
          <w:p w14:paraId="7CCFA11D"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1.32</w:t>
            </w:r>
          </w:p>
        </w:tc>
      </w:tr>
      <w:tr w:rsidR="002D0886" w:rsidRPr="00FD1E7A" w14:paraId="6C59A46A"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6C9377F4" w14:textId="2A481582"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vi. </w:t>
            </w:r>
            <w:r w:rsidR="002D0886" w:rsidRPr="00FD1E7A">
              <w:rPr>
                <w:rFonts w:ascii="Times New Roman" w:eastAsia="Times New Roman" w:hAnsi="Times New Roman" w:cs="Times New Roman"/>
                <w:b w:val="0"/>
                <w:bCs w:val="0"/>
                <w:kern w:val="0"/>
                <w:sz w:val="22"/>
                <w:szCs w:val="22"/>
                <w14:ligatures w14:val="none"/>
              </w:rPr>
              <w:t>I feel better when I take care of myself.</w:t>
            </w:r>
          </w:p>
        </w:tc>
        <w:tc>
          <w:tcPr>
            <w:tcW w:w="1080" w:type="dxa"/>
            <w:tcBorders>
              <w:top w:val="nil"/>
              <w:left w:val="nil"/>
              <w:bottom w:val="nil"/>
              <w:right w:val="nil"/>
            </w:tcBorders>
            <w:hideMark/>
          </w:tcPr>
          <w:p w14:paraId="706DCBC4"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6 (5.5)</w:t>
            </w:r>
          </w:p>
        </w:tc>
        <w:tc>
          <w:tcPr>
            <w:tcW w:w="1080" w:type="dxa"/>
            <w:tcBorders>
              <w:top w:val="nil"/>
              <w:left w:val="nil"/>
              <w:bottom w:val="nil"/>
              <w:right w:val="nil"/>
            </w:tcBorders>
            <w:hideMark/>
          </w:tcPr>
          <w:p w14:paraId="3F2F0F6C"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12 (10.9)</w:t>
            </w:r>
          </w:p>
        </w:tc>
        <w:tc>
          <w:tcPr>
            <w:tcW w:w="1170" w:type="dxa"/>
            <w:tcBorders>
              <w:top w:val="nil"/>
              <w:left w:val="nil"/>
              <w:bottom w:val="nil"/>
              <w:right w:val="nil"/>
            </w:tcBorders>
            <w:hideMark/>
          </w:tcPr>
          <w:p w14:paraId="0B6F6766"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20 (18.2)</w:t>
            </w:r>
          </w:p>
        </w:tc>
        <w:tc>
          <w:tcPr>
            <w:tcW w:w="1080" w:type="dxa"/>
            <w:tcBorders>
              <w:top w:val="nil"/>
              <w:left w:val="nil"/>
              <w:bottom w:val="nil"/>
              <w:right w:val="nil"/>
            </w:tcBorders>
            <w:hideMark/>
          </w:tcPr>
          <w:p w14:paraId="4BDE5A45"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38 (34.5)</w:t>
            </w:r>
          </w:p>
        </w:tc>
        <w:tc>
          <w:tcPr>
            <w:tcW w:w="1170" w:type="dxa"/>
            <w:tcBorders>
              <w:top w:val="nil"/>
              <w:left w:val="nil"/>
              <w:bottom w:val="nil"/>
              <w:right w:val="nil"/>
            </w:tcBorders>
            <w:hideMark/>
          </w:tcPr>
          <w:p w14:paraId="2C39D4F8"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34 (30.9)</w:t>
            </w:r>
          </w:p>
        </w:tc>
        <w:tc>
          <w:tcPr>
            <w:tcW w:w="990" w:type="dxa"/>
            <w:tcBorders>
              <w:top w:val="nil"/>
              <w:left w:val="nil"/>
              <w:bottom w:val="nil"/>
              <w:right w:val="nil"/>
            </w:tcBorders>
            <w:hideMark/>
          </w:tcPr>
          <w:p w14:paraId="41AC080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3.75</w:t>
            </w:r>
          </w:p>
        </w:tc>
        <w:tc>
          <w:tcPr>
            <w:tcW w:w="1080" w:type="dxa"/>
            <w:tcBorders>
              <w:top w:val="nil"/>
              <w:left w:val="nil"/>
              <w:bottom w:val="nil"/>
              <w:right w:val="nil"/>
            </w:tcBorders>
            <w:hideMark/>
          </w:tcPr>
          <w:p w14:paraId="7FBC0D5D"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1.19</w:t>
            </w:r>
          </w:p>
        </w:tc>
      </w:tr>
      <w:tr w:rsidR="002D0886" w:rsidRPr="00FD1E7A" w14:paraId="068B39A0"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nil"/>
              <w:right w:val="nil"/>
            </w:tcBorders>
            <w:hideMark/>
          </w:tcPr>
          <w:p w14:paraId="46056B9F" w14:textId="45360D78"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vii. </w:t>
            </w:r>
            <w:r w:rsidR="002D0886" w:rsidRPr="00FD1E7A">
              <w:rPr>
                <w:rFonts w:ascii="Times New Roman" w:eastAsia="Times New Roman" w:hAnsi="Times New Roman" w:cs="Times New Roman"/>
                <w:b w:val="0"/>
                <w:bCs w:val="0"/>
                <w:kern w:val="0"/>
                <w:sz w:val="22"/>
                <w:szCs w:val="22"/>
                <w14:ligatures w14:val="none"/>
              </w:rPr>
              <w:t>Moving my body (e.g., walking, working) helps me deal with emotions.</w:t>
            </w:r>
          </w:p>
        </w:tc>
        <w:tc>
          <w:tcPr>
            <w:tcW w:w="1080" w:type="dxa"/>
            <w:tcBorders>
              <w:top w:val="nil"/>
              <w:left w:val="nil"/>
              <w:bottom w:val="nil"/>
              <w:right w:val="nil"/>
            </w:tcBorders>
            <w:hideMark/>
          </w:tcPr>
          <w:p w14:paraId="58FE8901"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11 (10.0)</w:t>
            </w:r>
          </w:p>
        </w:tc>
        <w:tc>
          <w:tcPr>
            <w:tcW w:w="1080" w:type="dxa"/>
            <w:tcBorders>
              <w:top w:val="nil"/>
              <w:left w:val="nil"/>
              <w:bottom w:val="nil"/>
              <w:right w:val="nil"/>
            </w:tcBorders>
            <w:hideMark/>
          </w:tcPr>
          <w:p w14:paraId="37DAC7D3"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14 (12.7)</w:t>
            </w:r>
          </w:p>
        </w:tc>
        <w:tc>
          <w:tcPr>
            <w:tcW w:w="1170" w:type="dxa"/>
            <w:tcBorders>
              <w:top w:val="nil"/>
              <w:left w:val="nil"/>
              <w:bottom w:val="nil"/>
              <w:right w:val="nil"/>
            </w:tcBorders>
            <w:hideMark/>
          </w:tcPr>
          <w:p w14:paraId="5F30C909"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18 (16.4)</w:t>
            </w:r>
          </w:p>
        </w:tc>
        <w:tc>
          <w:tcPr>
            <w:tcW w:w="1080" w:type="dxa"/>
            <w:tcBorders>
              <w:top w:val="nil"/>
              <w:left w:val="nil"/>
              <w:bottom w:val="nil"/>
              <w:right w:val="nil"/>
            </w:tcBorders>
            <w:hideMark/>
          </w:tcPr>
          <w:p w14:paraId="6D9D40DF"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37 (33.6)</w:t>
            </w:r>
          </w:p>
        </w:tc>
        <w:tc>
          <w:tcPr>
            <w:tcW w:w="1170" w:type="dxa"/>
            <w:tcBorders>
              <w:top w:val="nil"/>
              <w:left w:val="nil"/>
              <w:bottom w:val="nil"/>
              <w:right w:val="nil"/>
            </w:tcBorders>
            <w:hideMark/>
          </w:tcPr>
          <w:p w14:paraId="44CEACB6"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30 (27.3)</w:t>
            </w:r>
          </w:p>
        </w:tc>
        <w:tc>
          <w:tcPr>
            <w:tcW w:w="990" w:type="dxa"/>
            <w:tcBorders>
              <w:top w:val="nil"/>
              <w:left w:val="nil"/>
              <w:bottom w:val="nil"/>
              <w:right w:val="nil"/>
            </w:tcBorders>
            <w:hideMark/>
          </w:tcPr>
          <w:p w14:paraId="47C4AC24"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3.55</w:t>
            </w:r>
          </w:p>
        </w:tc>
        <w:tc>
          <w:tcPr>
            <w:tcW w:w="1080" w:type="dxa"/>
            <w:tcBorders>
              <w:top w:val="nil"/>
              <w:left w:val="nil"/>
              <w:bottom w:val="nil"/>
              <w:right w:val="nil"/>
            </w:tcBorders>
            <w:hideMark/>
          </w:tcPr>
          <w:p w14:paraId="5F0CBBBD"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1.31</w:t>
            </w:r>
          </w:p>
        </w:tc>
      </w:tr>
      <w:tr w:rsidR="002D0886" w:rsidRPr="00FD1E7A" w14:paraId="1CA6B0AA" w14:textId="77777777" w:rsidTr="002D0886">
        <w:tc>
          <w:tcPr>
            <w:cnfStyle w:val="001000000000" w:firstRow="0" w:lastRow="0" w:firstColumn="1" w:lastColumn="0" w:oddVBand="0" w:evenVBand="0" w:oddHBand="0" w:evenHBand="0" w:firstRowFirstColumn="0" w:firstRowLastColumn="0" w:lastRowFirstColumn="0" w:lastRowLastColumn="0"/>
            <w:tcW w:w="5575" w:type="dxa"/>
            <w:tcBorders>
              <w:top w:val="nil"/>
              <w:left w:val="nil"/>
              <w:bottom w:val="single" w:sz="4" w:space="0" w:color="7F7F7F" w:themeColor="text1" w:themeTint="80"/>
              <w:right w:val="nil"/>
            </w:tcBorders>
            <w:hideMark/>
          </w:tcPr>
          <w:p w14:paraId="262E5B2F" w14:textId="4D1E6414" w:rsidR="002D0886" w:rsidRPr="00FD1E7A" w:rsidRDefault="00AA25D1">
            <w:pPr>
              <w:spacing w:before="100" w:beforeAutospacing="1" w:after="100" w:afterAutospacing="1" w:line="480" w:lineRule="auto"/>
              <w:jc w:val="both"/>
              <w:rPr>
                <w:rFonts w:ascii="Times New Roman" w:eastAsia="Times New Roman" w:hAnsi="Times New Roman" w:cs="Times New Roman"/>
                <w:b w:val="0"/>
                <w:bCs w:val="0"/>
                <w:kern w:val="0"/>
                <w:sz w:val="22"/>
                <w:szCs w:val="22"/>
                <w14:ligatures w14:val="none"/>
              </w:rPr>
            </w:pPr>
            <w:r w:rsidRPr="00FD1E7A">
              <w:rPr>
                <w:rFonts w:ascii="Times New Roman" w:eastAsia="Times New Roman" w:hAnsi="Times New Roman" w:cs="Times New Roman"/>
                <w:b w:val="0"/>
                <w:bCs w:val="0"/>
                <w:kern w:val="0"/>
                <w:sz w:val="22"/>
                <w:szCs w:val="22"/>
                <w14:ligatures w14:val="none"/>
              </w:rPr>
              <w:t xml:space="preserve">viii. </w:t>
            </w:r>
            <w:r w:rsidR="002D0886" w:rsidRPr="00FD1E7A">
              <w:rPr>
                <w:rFonts w:ascii="Times New Roman" w:eastAsia="Times New Roman" w:hAnsi="Times New Roman" w:cs="Times New Roman"/>
                <w:b w:val="0"/>
                <w:bCs w:val="0"/>
                <w:kern w:val="0"/>
                <w:sz w:val="22"/>
                <w:szCs w:val="22"/>
                <w14:ligatures w14:val="none"/>
              </w:rPr>
              <w:t>Spending time with my friends and family makes me feel better.</w:t>
            </w:r>
          </w:p>
        </w:tc>
        <w:tc>
          <w:tcPr>
            <w:tcW w:w="1080" w:type="dxa"/>
            <w:tcBorders>
              <w:top w:val="nil"/>
              <w:left w:val="nil"/>
              <w:bottom w:val="single" w:sz="4" w:space="0" w:color="7F7F7F" w:themeColor="text1" w:themeTint="80"/>
              <w:right w:val="nil"/>
            </w:tcBorders>
            <w:hideMark/>
          </w:tcPr>
          <w:p w14:paraId="5B6CEC6B"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5 (4.5)</w:t>
            </w:r>
          </w:p>
        </w:tc>
        <w:tc>
          <w:tcPr>
            <w:tcW w:w="1080" w:type="dxa"/>
            <w:tcBorders>
              <w:top w:val="nil"/>
              <w:left w:val="nil"/>
              <w:bottom w:val="single" w:sz="4" w:space="0" w:color="7F7F7F" w:themeColor="text1" w:themeTint="80"/>
              <w:right w:val="nil"/>
            </w:tcBorders>
            <w:hideMark/>
          </w:tcPr>
          <w:p w14:paraId="7CB6B69C" w14:textId="77777777" w:rsidR="002D0886" w:rsidRPr="00FD1E7A" w:rsidRDefault="002D088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0"/>
                <w:sz w:val="22"/>
                <w:szCs w:val="22"/>
                <w14:ligatures w14:val="none"/>
              </w:rPr>
            </w:pPr>
            <w:r w:rsidRPr="00FD1E7A">
              <w:rPr>
                <w:rFonts w:ascii="Times New Roman" w:eastAsiaTheme="minorHAnsi" w:hAnsi="Times New Roman" w:cs="Times New Roman"/>
                <w:kern w:val="0"/>
                <w:sz w:val="22"/>
                <w:szCs w:val="22"/>
                <w14:ligatures w14:val="none"/>
              </w:rPr>
              <w:t>9 (8.2)</w:t>
            </w:r>
          </w:p>
        </w:tc>
        <w:tc>
          <w:tcPr>
            <w:tcW w:w="1170" w:type="dxa"/>
            <w:tcBorders>
              <w:top w:val="nil"/>
              <w:left w:val="nil"/>
              <w:bottom w:val="single" w:sz="4" w:space="0" w:color="7F7F7F" w:themeColor="text1" w:themeTint="80"/>
              <w:right w:val="nil"/>
            </w:tcBorders>
            <w:hideMark/>
          </w:tcPr>
          <w:p w14:paraId="0888748A"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18 (16.4)</w:t>
            </w:r>
          </w:p>
        </w:tc>
        <w:tc>
          <w:tcPr>
            <w:tcW w:w="1080" w:type="dxa"/>
            <w:tcBorders>
              <w:top w:val="nil"/>
              <w:left w:val="nil"/>
              <w:bottom w:val="single" w:sz="4" w:space="0" w:color="7F7F7F" w:themeColor="text1" w:themeTint="80"/>
              <w:right w:val="nil"/>
            </w:tcBorders>
            <w:hideMark/>
          </w:tcPr>
          <w:p w14:paraId="75EB7AF7"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42 (38.2)</w:t>
            </w:r>
          </w:p>
        </w:tc>
        <w:tc>
          <w:tcPr>
            <w:tcW w:w="1170" w:type="dxa"/>
            <w:tcBorders>
              <w:top w:val="nil"/>
              <w:left w:val="nil"/>
              <w:bottom w:val="single" w:sz="4" w:space="0" w:color="7F7F7F" w:themeColor="text1" w:themeTint="80"/>
              <w:right w:val="nil"/>
            </w:tcBorders>
            <w:hideMark/>
          </w:tcPr>
          <w:p w14:paraId="65D955B5"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36 (32.7)</w:t>
            </w:r>
          </w:p>
        </w:tc>
        <w:tc>
          <w:tcPr>
            <w:tcW w:w="990" w:type="dxa"/>
            <w:tcBorders>
              <w:top w:val="nil"/>
              <w:left w:val="nil"/>
              <w:bottom w:val="single" w:sz="4" w:space="0" w:color="7F7F7F" w:themeColor="text1" w:themeTint="80"/>
              <w:right w:val="nil"/>
            </w:tcBorders>
            <w:hideMark/>
          </w:tcPr>
          <w:p w14:paraId="5DB9E3E2"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3.87</w:t>
            </w:r>
          </w:p>
        </w:tc>
        <w:tc>
          <w:tcPr>
            <w:tcW w:w="1080" w:type="dxa"/>
            <w:tcBorders>
              <w:top w:val="nil"/>
              <w:left w:val="nil"/>
              <w:bottom w:val="single" w:sz="4" w:space="0" w:color="7F7F7F" w:themeColor="text1" w:themeTint="80"/>
              <w:right w:val="nil"/>
            </w:tcBorders>
            <w:hideMark/>
          </w:tcPr>
          <w:p w14:paraId="3F683ADB" w14:textId="77777777" w:rsidR="002D0886" w:rsidRPr="00FD1E7A" w:rsidRDefault="002D0886">
            <w:pPr>
              <w:spacing w:before="100" w:beforeAutospacing="1" w:after="100" w:afterAutospacing="1"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FD1E7A">
              <w:rPr>
                <w:rFonts w:ascii="Times New Roman" w:eastAsia="Times New Roman" w:hAnsi="Times New Roman" w:cs="Times New Roman"/>
                <w:kern w:val="0"/>
                <w:sz w:val="22"/>
                <w:szCs w:val="22"/>
                <w14:ligatures w14:val="none"/>
              </w:rPr>
              <w:t>1.15</w:t>
            </w:r>
          </w:p>
        </w:tc>
      </w:tr>
    </w:tbl>
    <w:p w14:paraId="41D419B6" w14:textId="77777777" w:rsidR="002D0886" w:rsidRPr="00FD1E7A" w:rsidRDefault="002D0886" w:rsidP="002D0886">
      <w:pPr>
        <w:spacing w:after="0" w:line="480" w:lineRule="auto"/>
        <w:jc w:val="both"/>
        <w:rPr>
          <w:rFonts w:ascii="Times New Roman" w:eastAsia="Times New Roman" w:hAnsi="Times New Roman" w:cs="Times New Roman"/>
          <w:bCs/>
          <w:kern w:val="0"/>
          <w14:ligatures w14:val="none"/>
        </w:rPr>
      </w:pPr>
      <w:r w:rsidRPr="00FD1E7A">
        <w:rPr>
          <w:rFonts w:ascii="Times New Roman" w:eastAsia="Times New Roman" w:hAnsi="Times New Roman" w:cs="Times New Roman"/>
          <w:bCs/>
          <w:kern w:val="0"/>
          <w14:ligatures w14:val="none"/>
        </w:rPr>
        <w:t>(Field survey, 2025)</w:t>
      </w:r>
    </w:p>
    <w:p w14:paraId="497A6FE1" w14:textId="77777777" w:rsidR="002D0886" w:rsidRPr="00FD1E7A" w:rsidRDefault="002D0886" w:rsidP="00EE0379">
      <w:pPr>
        <w:spacing w:after="0" w:line="360" w:lineRule="auto"/>
        <w:jc w:val="both"/>
        <w:rPr>
          <w:rFonts w:asciiTheme="majorBidi" w:eastAsia="Times New Roman" w:hAnsiTheme="majorBidi" w:cstheme="majorBidi"/>
          <w:b/>
          <w:bCs/>
          <w:kern w:val="0"/>
          <w14:ligatures w14:val="none"/>
        </w:rPr>
        <w:sectPr w:rsidR="002D0886" w:rsidRPr="00FD1E7A" w:rsidSect="002D0886">
          <w:pgSz w:w="15840" w:h="12240" w:orient="landscape"/>
          <w:pgMar w:top="1440" w:right="1440" w:bottom="1440" w:left="1440" w:header="720" w:footer="720" w:gutter="0"/>
          <w:cols w:space="720"/>
          <w:docGrid w:linePitch="360"/>
        </w:sectPr>
      </w:pPr>
    </w:p>
    <w:p w14:paraId="7B935CFD" w14:textId="7C776A37"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lastRenderedPageBreak/>
        <w:t xml:space="preserve">Factor Analysis of </w:t>
      </w:r>
      <w:r w:rsidR="00074AC1" w:rsidRPr="00FD1E7A">
        <w:rPr>
          <w:rFonts w:asciiTheme="majorBidi" w:eastAsia="Times New Roman" w:hAnsiTheme="majorBidi" w:cstheme="majorBidi"/>
          <w:b/>
          <w:bCs/>
          <w:kern w:val="0"/>
          <w14:ligatures w14:val="none"/>
        </w:rPr>
        <w:t>Gender Based Violence (</w:t>
      </w:r>
      <w:r w:rsidRPr="00FD1E7A">
        <w:rPr>
          <w:rFonts w:asciiTheme="majorBidi" w:eastAsia="Times New Roman" w:hAnsiTheme="majorBidi" w:cstheme="majorBidi"/>
          <w:b/>
          <w:bCs/>
          <w:kern w:val="0"/>
          <w14:ligatures w14:val="none"/>
        </w:rPr>
        <w:t>GBV</w:t>
      </w:r>
      <w:r w:rsidR="00074AC1" w:rsidRPr="00FD1E7A">
        <w:rPr>
          <w:rFonts w:asciiTheme="majorBidi" w:eastAsia="Times New Roman" w:hAnsiTheme="majorBidi" w:cstheme="majorBidi"/>
          <w:b/>
          <w:bCs/>
          <w:kern w:val="0"/>
          <w14:ligatures w14:val="none"/>
        </w:rPr>
        <w:t>)</w:t>
      </w:r>
      <w:r w:rsidRPr="00FD1E7A">
        <w:rPr>
          <w:rFonts w:asciiTheme="majorBidi" w:eastAsia="Times New Roman" w:hAnsiTheme="majorBidi" w:cstheme="majorBidi"/>
          <w:b/>
          <w:bCs/>
          <w:kern w:val="0"/>
          <w14:ligatures w14:val="none"/>
        </w:rPr>
        <w:t xml:space="preserve"> Risk Factors</w:t>
      </w:r>
    </w:p>
    <w:p w14:paraId="36AC20C3" w14:textId="77777777" w:rsidR="00414AFA" w:rsidRPr="00FD1E7A" w:rsidRDefault="003B4909" w:rsidP="00AA2AC3">
      <w:pPr>
        <w:spacing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To identify the underlying dimensions of risk factors associated with Gender-Based Violence (GBV), an </w:t>
      </w:r>
      <w:r w:rsidRPr="00FD1E7A">
        <w:rPr>
          <w:rFonts w:asciiTheme="majorBidi" w:eastAsia="Times New Roman" w:hAnsiTheme="majorBidi" w:cstheme="majorBidi"/>
          <w:b/>
          <w:bCs/>
          <w:kern w:val="0"/>
          <w14:ligatures w14:val="none"/>
        </w:rPr>
        <w:t>Exploratory Factor Analysis (EFA)</w:t>
      </w:r>
      <w:r w:rsidRPr="00FD1E7A">
        <w:rPr>
          <w:rFonts w:asciiTheme="majorBidi" w:eastAsia="Times New Roman" w:hAnsiTheme="majorBidi" w:cstheme="majorBidi"/>
          <w:kern w:val="0"/>
          <w14:ligatures w14:val="none"/>
        </w:rPr>
        <w:t xml:space="preserve"> was conducted using Principal Component Analysis with Varimax rotation. This approach helps group related items into meaningful factors, providing insights into structural drivers of GBV among women in agricultural firms.</w:t>
      </w:r>
      <w:r w:rsidR="00414AFA" w:rsidRPr="00FD1E7A">
        <w:rPr>
          <w:rFonts w:asciiTheme="majorBidi" w:eastAsia="Times New Roman" w:hAnsiTheme="majorBidi" w:cstheme="majorBidi"/>
          <w:kern w:val="0"/>
          <w14:ligatures w14:val="none"/>
        </w:rPr>
        <w:t xml:space="preserve"> </w:t>
      </w:r>
    </w:p>
    <w:p w14:paraId="00EE4815" w14:textId="6168A9AB" w:rsidR="003B4909" w:rsidRPr="00FD1E7A" w:rsidRDefault="003B4909" w:rsidP="002D0886">
      <w:pPr>
        <w:spacing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Table </w:t>
      </w:r>
      <w:r w:rsidR="00C8625F">
        <w:rPr>
          <w:rFonts w:asciiTheme="majorBidi" w:eastAsia="Times New Roman" w:hAnsiTheme="majorBidi" w:cstheme="majorBidi"/>
          <w:kern w:val="0"/>
          <w14:ligatures w14:val="none"/>
        </w:rPr>
        <w:t>6</w:t>
      </w:r>
      <w:r w:rsidRPr="00FD1E7A">
        <w:rPr>
          <w:rFonts w:asciiTheme="majorBidi" w:eastAsia="Times New Roman" w:hAnsiTheme="majorBidi" w:cstheme="majorBidi"/>
          <w:kern w:val="0"/>
          <w14:ligatures w14:val="none"/>
        </w:rPr>
        <w:t xml:space="preserve">, the KMO statistic of </w:t>
      </w:r>
      <w:r w:rsidRPr="00FD1E7A">
        <w:rPr>
          <w:rFonts w:asciiTheme="majorBidi" w:eastAsia="Times New Roman" w:hAnsiTheme="majorBidi" w:cstheme="majorBidi"/>
          <w:b/>
          <w:bCs/>
          <w:kern w:val="0"/>
          <w14:ligatures w14:val="none"/>
        </w:rPr>
        <w:t>0.756</w:t>
      </w:r>
      <w:r w:rsidRPr="00FD1E7A">
        <w:rPr>
          <w:rFonts w:asciiTheme="majorBidi" w:eastAsia="Times New Roman" w:hAnsiTheme="majorBidi" w:cstheme="majorBidi"/>
          <w:kern w:val="0"/>
          <w14:ligatures w14:val="none"/>
        </w:rPr>
        <w:t xml:space="preserve"> indicates that the sample is adequate for factor analysis (values above 0.70 are considered good). Bartlett’s Test of Sphericity is significant at </w:t>
      </w:r>
      <w:r w:rsidRPr="00FD1E7A">
        <w:rPr>
          <w:rFonts w:asciiTheme="majorBidi" w:eastAsia="Times New Roman" w:hAnsiTheme="majorBidi" w:cstheme="majorBidi"/>
          <w:b/>
          <w:bCs/>
          <w:kern w:val="0"/>
          <w14:ligatures w14:val="none"/>
        </w:rPr>
        <w:t>p &lt; 0.001</w:t>
      </w:r>
      <w:r w:rsidRPr="00FD1E7A">
        <w:rPr>
          <w:rFonts w:asciiTheme="majorBidi" w:eastAsia="Times New Roman" w:hAnsiTheme="majorBidi" w:cstheme="majorBidi"/>
          <w:kern w:val="0"/>
          <w14:ligatures w14:val="none"/>
        </w:rPr>
        <w:t>, confirming that the correlation matrix is not an identity matrix. Therefore, the dataset is appropriate for factor extraction. Similar adequacy thresholds were noted in studies like Ogunyemi (2021) on gender-based vulnerability.</w:t>
      </w:r>
    </w:p>
    <w:p w14:paraId="504FFC89" w14:textId="0785F8DA" w:rsidR="003B4909" w:rsidRPr="00FD1E7A" w:rsidRDefault="003B4909" w:rsidP="00EE0379">
      <w:pPr>
        <w:spacing w:line="360" w:lineRule="auto"/>
        <w:jc w:val="both"/>
        <w:rPr>
          <w:rFonts w:asciiTheme="majorBidi" w:eastAsiaTheme="minorHAnsi" w:hAnsiTheme="majorBidi" w:cstheme="majorBidi"/>
          <w:b/>
          <w:bCs/>
          <w:kern w:val="0"/>
          <w14:ligatures w14:val="none"/>
        </w:rPr>
      </w:pPr>
      <w:r w:rsidRPr="00FD1E7A">
        <w:rPr>
          <w:rFonts w:asciiTheme="majorBidi" w:eastAsiaTheme="minorHAnsi" w:hAnsiTheme="majorBidi" w:cstheme="majorBidi"/>
          <w:b/>
          <w:bCs/>
          <w:kern w:val="0"/>
          <w14:ligatures w14:val="none"/>
        </w:rPr>
        <w:t xml:space="preserve">Table </w:t>
      </w:r>
      <w:r w:rsidR="00C8625F">
        <w:rPr>
          <w:rFonts w:asciiTheme="majorBidi" w:eastAsiaTheme="minorHAnsi" w:hAnsiTheme="majorBidi" w:cstheme="majorBidi"/>
          <w:b/>
          <w:bCs/>
          <w:kern w:val="0"/>
          <w14:ligatures w14:val="none"/>
        </w:rPr>
        <w:t>6</w:t>
      </w:r>
      <w:r w:rsidRPr="00FD1E7A">
        <w:rPr>
          <w:rFonts w:asciiTheme="majorBidi" w:eastAsiaTheme="minorHAnsi" w:hAnsiTheme="majorBidi" w:cstheme="majorBidi"/>
          <w:b/>
          <w:bCs/>
          <w:kern w:val="0"/>
          <w14:ligatures w14:val="none"/>
        </w:rPr>
        <w:t>: Kaiser-Meyer-Olkin (KMO) and Bartlett’s Test of Sampling Adequacy</w:t>
      </w:r>
    </w:p>
    <w:tbl>
      <w:tblPr>
        <w:tblStyle w:val="PlainTable2"/>
        <w:tblW w:w="0" w:type="auto"/>
        <w:tblLook w:val="0620" w:firstRow="1" w:lastRow="0" w:firstColumn="0" w:lastColumn="0" w:noHBand="1" w:noVBand="1"/>
      </w:tblPr>
      <w:tblGrid>
        <w:gridCol w:w="4315"/>
        <w:gridCol w:w="4315"/>
      </w:tblGrid>
      <w:tr w:rsidR="003B4909" w:rsidRPr="00FD1E7A" w14:paraId="4E6408F9" w14:textId="77777777" w:rsidTr="00E35667">
        <w:trPr>
          <w:cnfStyle w:val="100000000000" w:firstRow="1" w:lastRow="0" w:firstColumn="0" w:lastColumn="0" w:oddVBand="0" w:evenVBand="0" w:oddHBand="0" w:evenHBand="0" w:firstRowFirstColumn="0" w:firstRowLastColumn="0" w:lastRowFirstColumn="0" w:lastRowLastColumn="0"/>
        </w:trPr>
        <w:tc>
          <w:tcPr>
            <w:tcW w:w="4315" w:type="dxa"/>
            <w:tcBorders>
              <w:top w:val="single" w:sz="4" w:space="0" w:color="auto"/>
            </w:tcBorders>
          </w:tcPr>
          <w:p w14:paraId="2797E25F"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Test</w:t>
            </w:r>
          </w:p>
        </w:tc>
        <w:tc>
          <w:tcPr>
            <w:tcW w:w="4315" w:type="dxa"/>
            <w:tcBorders>
              <w:top w:val="single" w:sz="4" w:space="0" w:color="auto"/>
            </w:tcBorders>
          </w:tcPr>
          <w:p w14:paraId="08D42A36"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Value</w:t>
            </w:r>
          </w:p>
        </w:tc>
      </w:tr>
      <w:tr w:rsidR="003B4909" w:rsidRPr="00FD1E7A" w14:paraId="3DBF01EB" w14:textId="77777777" w:rsidTr="00E2694B">
        <w:tc>
          <w:tcPr>
            <w:tcW w:w="4315" w:type="dxa"/>
          </w:tcPr>
          <w:p w14:paraId="6EB90A80"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b/>
                <w:bCs/>
                <w:kern w:val="0"/>
                <w14:ligatures w14:val="none"/>
              </w:rPr>
              <w:t>Kaiser-Meyer-Olkin (KMO)</w:t>
            </w:r>
          </w:p>
        </w:tc>
        <w:tc>
          <w:tcPr>
            <w:tcW w:w="4315" w:type="dxa"/>
          </w:tcPr>
          <w:p w14:paraId="4BD4CCBB"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0.756</w:t>
            </w:r>
          </w:p>
        </w:tc>
      </w:tr>
      <w:tr w:rsidR="003B4909" w:rsidRPr="00FD1E7A" w14:paraId="5F65E1A3" w14:textId="77777777" w:rsidTr="00E35667">
        <w:tc>
          <w:tcPr>
            <w:tcW w:w="4315" w:type="dxa"/>
            <w:tcBorders>
              <w:bottom w:val="single" w:sz="4" w:space="0" w:color="auto"/>
            </w:tcBorders>
          </w:tcPr>
          <w:p w14:paraId="63B961FF"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b/>
                <w:bCs/>
                <w:kern w:val="0"/>
                <w14:ligatures w14:val="none"/>
              </w:rPr>
              <w:t>Bartlett’s Test of Sphericity</w:t>
            </w:r>
          </w:p>
        </w:tc>
        <w:tc>
          <w:tcPr>
            <w:tcW w:w="4315" w:type="dxa"/>
            <w:tcBorders>
              <w:bottom w:val="single" w:sz="4" w:space="0" w:color="auto"/>
            </w:tcBorders>
          </w:tcPr>
          <w:p w14:paraId="59F1545E"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 xml:space="preserve">χ² = 208.43, </w:t>
            </w:r>
          </w:p>
          <w:p w14:paraId="1A3E8719"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 xml:space="preserve">df = 15, </w:t>
            </w:r>
          </w:p>
          <w:p w14:paraId="6BD1819A" w14:textId="77777777" w:rsidR="003B4909" w:rsidRPr="00FD1E7A" w:rsidRDefault="003B4909" w:rsidP="00EE0379">
            <w:pPr>
              <w:spacing w:line="360"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kern w:val="0"/>
                <w14:ligatures w14:val="none"/>
              </w:rPr>
              <w:t>Sig. = 0.000</w:t>
            </w:r>
          </w:p>
        </w:tc>
      </w:tr>
    </w:tbl>
    <w:p w14:paraId="628E0B3F" w14:textId="77777777" w:rsidR="003B4909" w:rsidRPr="00FD1E7A" w:rsidRDefault="003B4909" w:rsidP="00EE0379">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(Field Survey, 2025)</w:t>
      </w:r>
    </w:p>
    <w:p w14:paraId="7E525257" w14:textId="027AB44A" w:rsidR="003B4909" w:rsidRPr="00FD1E7A" w:rsidRDefault="003B4909" w:rsidP="000C7915">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xml:space="preserve">In table </w:t>
      </w:r>
      <w:r w:rsidR="007F67B1">
        <w:rPr>
          <w:rFonts w:asciiTheme="majorBidi" w:eastAsia="Times New Roman" w:hAnsiTheme="majorBidi" w:cstheme="majorBidi"/>
          <w:kern w:val="0"/>
          <w14:ligatures w14:val="none"/>
        </w:rPr>
        <w:t>6</w:t>
      </w:r>
      <w:r w:rsidRPr="00FD1E7A">
        <w:rPr>
          <w:rFonts w:asciiTheme="majorBidi" w:eastAsia="Times New Roman" w:hAnsiTheme="majorBidi" w:cstheme="majorBidi"/>
          <w:kern w:val="0"/>
          <w14:ligatures w14:val="none"/>
        </w:rPr>
        <w:t xml:space="preserve">, Three principal components were extracted, explaining </w:t>
      </w:r>
      <w:r w:rsidRPr="007672FE">
        <w:rPr>
          <w:rFonts w:asciiTheme="majorBidi" w:eastAsia="Times New Roman" w:hAnsiTheme="majorBidi" w:cstheme="majorBidi"/>
          <w:kern w:val="0"/>
          <w14:ligatures w14:val="none"/>
        </w:rPr>
        <w:t>84.7% of the total variance</w:t>
      </w:r>
      <w:r w:rsidRPr="00FD1E7A">
        <w:rPr>
          <w:rFonts w:asciiTheme="majorBidi" w:eastAsia="Times New Roman" w:hAnsiTheme="majorBidi" w:cstheme="majorBidi"/>
          <w:kern w:val="0"/>
          <w14:ligatures w14:val="none"/>
        </w:rPr>
        <w:t xml:space="preserve"> in risk factors associated with GBV. This high cumulative variance suggests that these factors effectively summarize the dominant risk influences among respondents.</w:t>
      </w:r>
    </w:p>
    <w:p w14:paraId="372DC75F" w14:textId="7EEC0042" w:rsidR="003B4909" w:rsidRPr="00FD1E7A" w:rsidRDefault="003B4909" w:rsidP="00EE0379">
      <w:pPr>
        <w:spacing w:after="0" w:line="360" w:lineRule="auto"/>
        <w:jc w:val="both"/>
        <w:rPr>
          <w:rFonts w:asciiTheme="majorBidi" w:eastAsia="Times New Roman" w:hAnsiTheme="majorBidi" w:cstheme="majorBidi"/>
          <w:b/>
          <w:bCs/>
          <w:kern w:val="0"/>
          <w14:ligatures w14:val="none"/>
        </w:rPr>
      </w:pPr>
    </w:p>
    <w:p w14:paraId="3ED2EDD8" w14:textId="3CFB59B3"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11AD06E4" w14:textId="35EE0AA8"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081BA0DB" w14:textId="26F6B286"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612B84A9" w14:textId="5D8D3A42"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0E00E147" w14:textId="52CF1877"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6DEA657E" w14:textId="77777777" w:rsidR="00F332A4" w:rsidRPr="00FD1E7A" w:rsidRDefault="00F332A4" w:rsidP="00EE0379">
      <w:pPr>
        <w:spacing w:after="0" w:line="360" w:lineRule="auto"/>
        <w:jc w:val="both"/>
        <w:rPr>
          <w:rFonts w:asciiTheme="majorBidi" w:eastAsia="Times New Roman" w:hAnsiTheme="majorBidi" w:cstheme="majorBidi"/>
          <w:b/>
          <w:bCs/>
          <w:kern w:val="0"/>
          <w14:ligatures w14:val="none"/>
        </w:rPr>
      </w:pPr>
    </w:p>
    <w:p w14:paraId="72465369" w14:textId="0C65129D"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lastRenderedPageBreak/>
        <w:t xml:space="preserve">Table </w:t>
      </w:r>
      <w:r w:rsidR="00C8625F">
        <w:rPr>
          <w:rFonts w:asciiTheme="majorBidi" w:eastAsia="Times New Roman" w:hAnsiTheme="majorBidi" w:cstheme="majorBidi"/>
          <w:b/>
          <w:bCs/>
          <w:kern w:val="0"/>
          <w14:ligatures w14:val="none"/>
        </w:rPr>
        <w:t>7</w:t>
      </w:r>
      <w:r w:rsidRPr="00FD1E7A">
        <w:rPr>
          <w:rFonts w:asciiTheme="majorBidi" w:eastAsia="Times New Roman" w:hAnsiTheme="majorBidi" w:cstheme="majorBidi"/>
          <w:b/>
          <w:bCs/>
          <w:kern w:val="0"/>
          <w14:ligatures w14:val="none"/>
        </w:rPr>
        <w:t>: Total Variance Explained</w:t>
      </w:r>
    </w:p>
    <w:tbl>
      <w:tblPr>
        <w:tblStyle w:val="PlainTable2"/>
        <w:tblW w:w="0" w:type="auto"/>
        <w:tblLook w:val="0620" w:firstRow="1" w:lastRow="0" w:firstColumn="0" w:lastColumn="0" w:noHBand="1" w:noVBand="1"/>
      </w:tblPr>
      <w:tblGrid>
        <w:gridCol w:w="2157"/>
        <w:gridCol w:w="2157"/>
        <w:gridCol w:w="2158"/>
        <w:gridCol w:w="2158"/>
      </w:tblGrid>
      <w:tr w:rsidR="003B4909" w:rsidRPr="00FD1E7A" w14:paraId="42E190BA" w14:textId="77777777" w:rsidTr="00E35667">
        <w:trPr>
          <w:cnfStyle w:val="100000000000" w:firstRow="1" w:lastRow="0" w:firstColumn="0" w:lastColumn="0" w:oddVBand="0" w:evenVBand="0" w:oddHBand="0" w:evenHBand="0" w:firstRowFirstColumn="0" w:firstRowLastColumn="0" w:lastRowFirstColumn="0" w:lastRowLastColumn="0"/>
        </w:trPr>
        <w:tc>
          <w:tcPr>
            <w:tcW w:w="2157" w:type="dxa"/>
            <w:tcBorders>
              <w:top w:val="single" w:sz="4" w:space="0" w:color="7F7F7F" w:themeColor="text1" w:themeTint="80"/>
              <w:bottom w:val="single" w:sz="4" w:space="0" w:color="auto"/>
            </w:tcBorders>
          </w:tcPr>
          <w:p w14:paraId="0EFAE36D"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Component (Factor)</w:t>
            </w:r>
          </w:p>
        </w:tc>
        <w:tc>
          <w:tcPr>
            <w:tcW w:w="2157" w:type="dxa"/>
            <w:tcBorders>
              <w:top w:val="single" w:sz="4" w:space="0" w:color="7F7F7F" w:themeColor="text1" w:themeTint="80"/>
              <w:bottom w:val="single" w:sz="4" w:space="0" w:color="auto"/>
            </w:tcBorders>
          </w:tcPr>
          <w:p w14:paraId="49F37EE0"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Initial Eigenvalue</w:t>
            </w:r>
          </w:p>
        </w:tc>
        <w:tc>
          <w:tcPr>
            <w:tcW w:w="2158" w:type="dxa"/>
            <w:tcBorders>
              <w:top w:val="single" w:sz="4" w:space="0" w:color="7F7F7F" w:themeColor="text1" w:themeTint="80"/>
              <w:bottom w:val="single" w:sz="4" w:space="0" w:color="auto"/>
            </w:tcBorders>
          </w:tcPr>
          <w:p w14:paraId="1D572CA5"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 of Variance</w:t>
            </w:r>
          </w:p>
        </w:tc>
        <w:tc>
          <w:tcPr>
            <w:tcW w:w="2158" w:type="dxa"/>
            <w:tcBorders>
              <w:top w:val="single" w:sz="4" w:space="0" w:color="7F7F7F" w:themeColor="text1" w:themeTint="80"/>
              <w:bottom w:val="single" w:sz="4" w:space="0" w:color="auto"/>
            </w:tcBorders>
          </w:tcPr>
          <w:p w14:paraId="3458848B"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Cumulative %</w:t>
            </w:r>
          </w:p>
        </w:tc>
      </w:tr>
      <w:tr w:rsidR="003B4909" w:rsidRPr="00FD1E7A" w14:paraId="320DDB7B" w14:textId="77777777" w:rsidTr="00E35667">
        <w:tc>
          <w:tcPr>
            <w:tcW w:w="2157" w:type="dxa"/>
            <w:tcBorders>
              <w:top w:val="single" w:sz="4" w:space="0" w:color="auto"/>
            </w:tcBorders>
          </w:tcPr>
          <w:p w14:paraId="627A0D4E"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 (Cultural)</w:t>
            </w:r>
          </w:p>
        </w:tc>
        <w:tc>
          <w:tcPr>
            <w:tcW w:w="2157" w:type="dxa"/>
            <w:tcBorders>
              <w:top w:val="single" w:sz="4" w:space="0" w:color="auto"/>
            </w:tcBorders>
          </w:tcPr>
          <w:p w14:paraId="7F5D4C16"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2.11</w:t>
            </w:r>
          </w:p>
        </w:tc>
        <w:tc>
          <w:tcPr>
            <w:tcW w:w="2158" w:type="dxa"/>
            <w:tcBorders>
              <w:top w:val="single" w:sz="4" w:space="0" w:color="auto"/>
            </w:tcBorders>
          </w:tcPr>
          <w:p w14:paraId="393CF7A1"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35.2%</w:t>
            </w:r>
          </w:p>
        </w:tc>
        <w:tc>
          <w:tcPr>
            <w:tcW w:w="2158" w:type="dxa"/>
            <w:tcBorders>
              <w:top w:val="single" w:sz="4" w:space="0" w:color="auto"/>
            </w:tcBorders>
          </w:tcPr>
          <w:p w14:paraId="72F4BD44"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35.2%</w:t>
            </w:r>
          </w:p>
        </w:tc>
      </w:tr>
      <w:tr w:rsidR="003B4909" w:rsidRPr="00FD1E7A" w14:paraId="54488DD2" w14:textId="77777777" w:rsidTr="00E2694B">
        <w:tc>
          <w:tcPr>
            <w:tcW w:w="2157" w:type="dxa"/>
          </w:tcPr>
          <w:p w14:paraId="58A9C83C"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2 (Economic)</w:t>
            </w:r>
          </w:p>
        </w:tc>
        <w:tc>
          <w:tcPr>
            <w:tcW w:w="2157" w:type="dxa"/>
          </w:tcPr>
          <w:p w14:paraId="04739BBD"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1.85</w:t>
            </w:r>
          </w:p>
        </w:tc>
        <w:tc>
          <w:tcPr>
            <w:tcW w:w="2158" w:type="dxa"/>
          </w:tcPr>
          <w:p w14:paraId="622A5163"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30.8%</w:t>
            </w:r>
          </w:p>
        </w:tc>
        <w:tc>
          <w:tcPr>
            <w:tcW w:w="2158" w:type="dxa"/>
          </w:tcPr>
          <w:p w14:paraId="0C8137DB"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66.0%</w:t>
            </w:r>
          </w:p>
        </w:tc>
      </w:tr>
      <w:tr w:rsidR="003B4909" w:rsidRPr="00FD1E7A" w14:paraId="696879F5" w14:textId="77777777" w:rsidTr="00E35667">
        <w:tc>
          <w:tcPr>
            <w:tcW w:w="2157" w:type="dxa"/>
            <w:tcBorders>
              <w:bottom w:val="single" w:sz="4" w:space="0" w:color="auto"/>
            </w:tcBorders>
          </w:tcPr>
          <w:p w14:paraId="7E759324"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3 (</w:t>
            </w:r>
            <w:proofErr w:type="spellStart"/>
            <w:r w:rsidRPr="00FD1E7A">
              <w:rPr>
                <w:rFonts w:asciiTheme="majorBidi" w:eastAsia="Times New Roman" w:hAnsiTheme="majorBidi" w:cstheme="majorBidi"/>
                <w:kern w:val="0"/>
                <w14:ligatures w14:val="none"/>
              </w:rPr>
              <w:t>Organisational</w:t>
            </w:r>
            <w:proofErr w:type="spellEnd"/>
            <w:r w:rsidRPr="00FD1E7A">
              <w:rPr>
                <w:rFonts w:asciiTheme="majorBidi" w:eastAsia="Times New Roman" w:hAnsiTheme="majorBidi" w:cstheme="majorBidi"/>
                <w:kern w:val="0"/>
                <w14:ligatures w14:val="none"/>
              </w:rPr>
              <w:t>)</w:t>
            </w:r>
          </w:p>
        </w:tc>
        <w:tc>
          <w:tcPr>
            <w:tcW w:w="2157" w:type="dxa"/>
            <w:tcBorders>
              <w:bottom w:val="single" w:sz="4" w:space="0" w:color="auto"/>
            </w:tcBorders>
          </w:tcPr>
          <w:p w14:paraId="7F9AD4D2"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1.12</w:t>
            </w:r>
          </w:p>
        </w:tc>
        <w:tc>
          <w:tcPr>
            <w:tcW w:w="2158" w:type="dxa"/>
            <w:tcBorders>
              <w:bottom w:val="single" w:sz="4" w:space="0" w:color="auto"/>
            </w:tcBorders>
          </w:tcPr>
          <w:p w14:paraId="71E36928"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18.7%</w:t>
            </w:r>
          </w:p>
        </w:tc>
        <w:tc>
          <w:tcPr>
            <w:tcW w:w="2158" w:type="dxa"/>
            <w:tcBorders>
              <w:bottom w:val="single" w:sz="4" w:space="0" w:color="auto"/>
            </w:tcBorders>
          </w:tcPr>
          <w:p w14:paraId="3C4620E3" w14:textId="77777777" w:rsidR="003B4909" w:rsidRPr="00FD1E7A" w:rsidRDefault="003B4909" w:rsidP="00EE0379">
            <w:pPr>
              <w:spacing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84.7%</w:t>
            </w:r>
          </w:p>
        </w:tc>
      </w:tr>
    </w:tbl>
    <w:p w14:paraId="681B8F82" w14:textId="77777777" w:rsidR="003B4909" w:rsidRPr="00FD1E7A" w:rsidRDefault="003B4909" w:rsidP="00AA2AC3">
      <w:pPr>
        <w:spacing w:before="100" w:beforeAutospacing="1" w:after="100" w:afterAutospacing="1"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(Extraction Method: Principal Component Analysis)</w:t>
      </w:r>
    </w:p>
    <w:p w14:paraId="045D5076" w14:textId="113E6D23" w:rsidR="003B4909" w:rsidRPr="00FD1E7A" w:rsidRDefault="003B4909" w:rsidP="00EE0379">
      <w:pPr>
        <w:spacing w:after="0" w:line="360" w:lineRule="auto"/>
        <w:jc w:val="both"/>
        <w:rPr>
          <w:rFonts w:asciiTheme="majorBidi" w:eastAsia="Times New Roman" w:hAnsiTheme="majorBidi" w:cstheme="majorBidi"/>
          <w:b/>
          <w:kern w:val="0"/>
          <w14:ligatures w14:val="none"/>
        </w:rPr>
      </w:pPr>
      <w:r w:rsidRPr="00FD1E7A">
        <w:rPr>
          <w:rFonts w:asciiTheme="majorBidi" w:eastAsia="Times New Roman" w:hAnsiTheme="majorBidi" w:cstheme="majorBidi"/>
          <w:kern w:val="0"/>
          <w14:ligatures w14:val="none"/>
        </w:rPr>
        <w:t xml:space="preserve">The rotated component matrix in Table </w:t>
      </w:r>
      <w:r w:rsidR="007F67B1">
        <w:rPr>
          <w:rFonts w:asciiTheme="majorBidi" w:eastAsia="Times New Roman" w:hAnsiTheme="majorBidi" w:cstheme="majorBidi"/>
          <w:kern w:val="0"/>
          <w14:ligatures w14:val="none"/>
        </w:rPr>
        <w:t>7</w:t>
      </w:r>
      <w:r w:rsidRPr="00FD1E7A">
        <w:rPr>
          <w:rFonts w:asciiTheme="majorBidi" w:eastAsia="Times New Roman" w:hAnsiTheme="majorBidi" w:cstheme="majorBidi"/>
          <w:kern w:val="0"/>
          <w14:ligatures w14:val="none"/>
        </w:rPr>
        <w:t xml:space="preserve"> identifies three dominant categories of GBV risk factors</w:t>
      </w:r>
      <w:r w:rsidRPr="00FD1E7A">
        <w:rPr>
          <w:rFonts w:asciiTheme="majorBidi" w:eastAsia="Times New Roman" w:hAnsiTheme="majorBidi" w:cstheme="majorBidi"/>
          <w:b/>
          <w:bCs/>
          <w:kern w:val="0"/>
          <w14:ligatures w14:val="none"/>
        </w:rPr>
        <w:t>:</w:t>
      </w:r>
    </w:p>
    <w:p w14:paraId="0AE4775E" w14:textId="054B925D"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t>Factor 1: Cultural Risk (Loadings 0.788–0.822):</w:t>
      </w:r>
      <w:r w:rsidRPr="00FD1E7A">
        <w:rPr>
          <w:rFonts w:asciiTheme="majorBidi" w:eastAsia="Times New Roman" w:hAnsiTheme="majorBidi" w:cstheme="majorBidi"/>
          <w:kern w:val="0"/>
          <w14:ligatures w14:val="none"/>
        </w:rPr>
        <w:t xml:space="preserve"> Includes norms and gender roles that restrict women’s autonomy. These findings reflect a patriarchal system that enforces power imbalances and normalizes control over women, </w:t>
      </w:r>
      <w:r w:rsidR="00C1735B">
        <w:rPr>
          <w:rFonts w:asciiTheme="majorBidi" w:eastAsia="Times New Roman" w:hAnsiTheme="majorBidi" w:cstheme="majorBidi"/>
          <w:kern w:val="0"/>
          <w14:ligatures w14:val="none"/>
        </w:rPr>
        <w:t xml:space="preserve">thus </w:t>
      </w:r>
      <w:r w:rsidRPr="00FD1E7A">
        <w:rPr>
          <w:rFonts w:asciiTheme="majorBidi" w:eastAsia="Times New Roman" w:hAnsiTheme="majorBidi" w:cstheme="majorBidi"/>
          <w:kern w:val="0"/>
          <w14:ligatures w14:val="none"/>
        </w:rPr>
        <w:t>increasing GBV risk.</w:t>
      </w:r>
    </w:p>
    <w:p w14:paraId="79C402F9" w14:textId="2F8AEC7D"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t>Factor 2: Economic Risk (Loadings 0.774–0.801):</w:t>
      </w:r>
      <w:r w:rsidRPr="00FD1E7A">
        <w:rPr>
          <w:rFonts w:asciiTheme="majorBidi" w:eastAsia="Times New Roman" w:hAnsiTheme="majorBidi" w:cstheme="majorBidi"/>
          <w:kern w:val="0"/>
          <w14:ligatures w14:val="none"/>
        </w:rPr>
        <w:t xml:space="preserve"> Comprises poverty-related constraints that heighten dependency and vulnerability. Respondents acknowledged that financial insecurity is both a driver and </w:t>
      </w:r>
      <w:r w:rsidR="00AA2AC3" w:rsidRPr="00FD1E7A">
        <w:rPr>
          <w:rFonts w:asciiTheme="majorBidi" w:eastAsia="Times New Roman" w:hAnsiTheme="majorBidi" w:cstheme="majorBidi"/>
          <w:kern w:val="0"/>
          <w14:ligatures w14:val="none"/>
        </w:rPr>
        <w:t xml:space="preserve">a </w:t>
      </w:r>
      <w:r w:rsidRPr="00FD1E7A">
        <w:rPr>
          <w:rFonts w:asciiTheme="majorBidi" w:eastAsia="Times New Roman" w:hAnsiTheme="majorBidi" w:cstheme="majorBidi"/>
          <w:kern w:val="0"/>
          <w14:ligatures w14:val="none"/>
        </w:rPr>
        <w:t xml:space="preserve">consequence of GBV, </w:t>
      </w:r>
      <w:r w:rsidR="00C1735B">
        <w:rPr>
          <w:rFonts w:asciiTheme="majorBidi" w:eastAsia="Times New Roman" w:hAnsiTheme="majorBidi" w:cstheme="majorBidi"/>
          <w:kern w:val="0"/>
          <w14:ligatures w14:val="none"/>
        </w:rPr>
        <w:t xml:space="preserve">thus </w:t>
      </w:r>
      <w:r w:rsidRPr="00FD1E7A">
        <w:rPr>
          <w:rFonts w:asciiTheme="majorBidi" w:eastAsia="Times New Roman" w:hAnsiTheme="majorBidi" w:cstheme="majorBidi"/>
          <w:kern w:val="0"/>
          <w14:ligatures w14:val="none"/>
        </w:rPr>
        <w:t>limiting options to escape abuse.</w:t>
      </w:r>
    </w:p>
    <w:p w14:paraId="6FB302A4" w14:textId="77777777" w:rsidR="003B4909" w:rsidRPr="00FD1E7A" w:rsidRDefault="003B4909" w:rsidP="00EE0379">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b/>
          <w:bCs/>
          <w:kern w:val="0"/>
          <w14:ligatures w14:val="none"/>
        </w:rPr>
        <w:t>Factor 3: Organizational Risk (Loadings 0.784–0.826):</w:t>
      </w:r>
      <w:r w:rsidRPr="00FD1E7A">
        <w:rPr>
          <w:rFonts w:asciiTheme="majorBidi" w:eastAsia="Times New Roman" w:hAnsiTheme="majorBidi" w:cstheme="majorBidi"/>
          <w:kern w:val="0"/>
          <w14:ligatures w14:val="none"/>
        </w:rPr>
        <w:t xml:space="preserve"> Captures workplace-level gaps, such as weak GBV policies and absence of support systems. These institutional shortcomings perpetuate silence and hinder protection for victims.</w:t>
      </w:r>
    </w:p>
    <w:p w14:paraId="1D5D005A" w14:textId="0DB2394B" w:rsidR="00C8625F" w:rsidRDefault="003B4909" w:rsidP="00F37BDF">
      <w:pPr>
        <w:spacing w:after="0" w:line="360" w:lineRule="auto"/>
        <w:jc w:val="both"/>
        <w:rPr>
          <w:rFonts w:asciiTheme="majorBidi" w:eastAsia="Times New Roman" w:hAnsiTheme="majorBidi" w:cstheme="majorBidi"/>
          <w:kern w:val="0"/>
          <w14:ligatures w14:val="none"/>
        </w:rPr>
      </w:pPr>
      <w:r w:rsidRPr="00FD1E7A">
        <w:rPr>
          <w:rFonts w:asciiTheme="majorBidi" w:eastAsia="Times New Roman" w:hAnsiTheme="majorBidi" w:cstheme="majorBidi"/>
          <w:kern w:val="0"/>
          <w14:ligatures w14:val="none"/>
        </w:rPr>
        <w:t>Collectively, these three factors highlight that GBV is multi-dimensional</w:t>
      </w:r>
      <w:r w:rsidR="00C1735B">
        <w:rPr>
          <w:rFonts w:asciiTheme="majorBidi" w:eastAsia="Times New Roman" w:hAnsiTheme="majorBidi" w:cstheme="majorBidi"/>
          <w:kern w:val="0"/>
          <w14:ligatures w14:val="none"/>
        </w:rPr>
        <w:t xml:space="preserve"> in </w:t>
      </w:r>
      <w:proofErr w:type="spellStart"/>
      <w:r w:rsidR="00C1735B">
        <w:rPr>
          <w:rFonts w:asciiTheme="majorBidi" w:eastAsia="Times New Roman" w:hAnsiTheme="majorBidi" w:cstheme="majorBidi"/>
          <w:kern w:val="0"/>
          <w14:ligatures w14:val="none"/>
        </w:rPr>
        <w:t>nauture</w:t>
      </w:r>
      <w:proofErr w:type="spellEnd"/>
      <w:r w:rsidRPr="00FD1E7A">
        <w:rPr>
          <w:rFonts w:asciiTheme="majorBidi" w:eastAsia="Times New Roman" w:hAnsiTheme="majorBidi" w:cstheme="majorBidi"/>
          <w:kern w:val="0"/>
          <w14:ligatures w14:val="none"/>
        </w:rPr>
        <w:t xml:space="preserve">, rooted in socio-cultural norms, economic deprivation, and structural barriers within agricultural firms. These findings </w:t>
      </w:r>
      <w:proofErr w:type="gramStart"/>
      <w:r w:rsidRPr="00FD1E7A">
        <w:rPr>
          <w:rFonts w:asciiTheme="majorBidi" w:eastAsia="Times New Roman" w:hAnsiTheme="majorBidi" w:cstheme="majorBidi"/>
          <w:kern w:val="0"/>
          <w14:ligatures w14:val="none"/>
        </w:rPr>
        <w:t>align</w:t>
      </w:r>
      <w:r w:rsidR="00C1735B">
        <w:rPr>
          <w:rFonts w:asciiTheme="majorBidi" w:eastAsia="Times New Roman" w:hAnsiTheme="majorBidi" w:cstheme="majorBidi"/>
          <w:kern w:val="0"/>
          <w14:ligatures w14:val="none"/>
        </w:rPr>
        <w:t>s</w:t>
      </w:r>
      <w:proofErr w:type="gramEnd"/>
      <w:r w:rsidRPr="00FD1E7A">
        <w:rPr>
          <w:rFonts w:asciiTheme="majorBidi" w:eastAsia="Times New Roman" w:hAnsiTheme="majorBidi" w:cstheme="majorBidi"/>
          <w:kern w:val="0"/>
          <w14:ligatures w14:val="none"/>
        </w:rPr>
        <w:t xml:space="preserve"> with Okafor &amp; Akinyemi (2020)</w:t>
      </w:r>
      <w:r w:rsidRPr="00FD1E7A">
        <w:rPr>
          <w:rFonts w:asciiTheme="majorBidi" w:eastAsia="Times New Roman" w:hAnsiTheme="majorBidi" w:cstheme="majorBidi"/>
          <w:b/>
          <w:kern w:val="0"/>
          <w14:ligatures w14:val="none"/>
        </w:rPr>
        <w:t>,</w:t>
      </w:r>
      <w:r w:rsidRPr="00FD1E7A">
        <w:rPr>
          <w:rFonts w:asciiTheme="majorBidi" w:eastAsia="Times New Roman" w:hAnsiTheme="majorBidi" w:cstheme="majorBidi"/>
          <w:kern w:val="0"/>
          <w14:ligatures w14:val="none"/>
        </w:rPr>
        <w:t xml:space="preserve"> who </w:t>
      </w:r>
      <w:r w:rsidR="00763AD0">
        <w:rPr>
          <w:rFonts w:asciiTheme="majorBidi" w:eastAsia="Times New Roman" w:hAnsiTheme="majorBidi" w:cstheme="majorBidi"/>
          <w:kern w:val="0"/>
          <w14:ligatures w14:val="none"/>
        </w:rPr>
        <w:t>opined</w:t>
      </w:r>
      <w:r w:rsidRPr="00FD1E7A">
        <w:rPr>
          <w:rFonts w:asciiTheme="majorBidi" w:eastAsia="Times New Roman" w:hAnsiTheme="majorBidi" w:cstheme="majorBidi"/>
          <w:kern w:val="0"/>
          <w14:ligatures w14:val="none"/>
        </w:rPr>
        <w:t xml:space="preserve"> that effective GBV interventions must integrate cultural change, economic empowerment, and institutional accountability.</w:t>
      </w:r>
    </w:p>
    <w:p w14:paraId="094C97CA" w14:textId="77777777" w:rsidR="00F37BDF" w:rsidRPr="00F37BDF" w:rsidRDefault="00F37BDF" w:rsidP="00F37BDF">
      <w:pPr>
        <w:spacing w:after="0" w:line="360" w:lineRule="auto"/>
        <w:jc w:val="both"/>
        <w:rPr>
          <w:rFonts w:asciiTheme="majorBidi" w:eastAsia="Times New Roman" w:hAnsiTheme="majorBidi" w:cstheme="majorBidi"/>
          <w:kern w:val="0"/>
          <w14:ligatures w14:val="none"/>
        </w:rPr>
      </w:pPr>
    </w:p>
    <w:p w14:paraId="2A7F7189" w14:textId="1C87B5FA" w:rsidR="00F332A4" w:rsidRDefault="00D869CD" w:rsidP="00EE0379">
      <w:pPr>
        <w:spacing w:line="360" w:lineRule="auto"/>
        <w:jc w:val="both"/>
        <w:rPr>
          <w:rFonts w:asciiTheme="majorBidi" w:eastAsiaTheme="minorHAnsi" w:hAnsiTheme="majorBidi" w:cstheme="majorBidi"/>
          <w:b/>
          <w:bCs/>
          <w:kern w:val="0"/>
          <w14:ligatures w14:val="none"/>
        </w:rPr>
      </w:pPr>
      <w:r>
        <w:rPr>
          <w:rFonts w:asciiTheme="majorBidi" w:eastAsiaTheme="minorHAnsi" w:hAnsiTheme="majorBidi" w:cstheme="majorBidi"/>
          <w:b/>
          <w:bCs/>
          <w:kern w:val="0"/>
          <w14:ligatures w14:val="none"/>
        </w:rPr>
        <w:t>Hypothesis Testing</w:t>
      </w:r>
    </w:p>
    <w:p w14:paraId="487A828E" w14:textId="1DAEF8A9" w:rsidR="00D869CD" w:rsidRDefault="00D869CD" w:rsidP="00D869CD">
      <w:pPr>
        <w:pStyle w:val="NormalWeb"/>
        <w:spacing w:line="480" w:lineRule="auto"/>
        <w:jc w:val="both"/>
      </w:pPr>
      <w:r w:rsidRPr="00C3354D">
        <w:t xml:space="preserve">The hypothesis of the study was tested using the Chi-square (χ²) statistical method. The aim was to determine whether a significant relationship exists between </w:t>
      </w:r>
      <w:r w:rsidR="00042D22">
        <w:t xml:space="preserve">selected </w:t>
      </w:r>
      <w:r w:rsidRPr="00C3354D">
        <w:t xml:space="preserve">socio-economic characteristics of women </w:t>
      </w:r>
      <w:r w:rsidR="00042D22">
        <w:t xml:space="preserve">(monthly income), </w:t>
      </w:r>
      <w:r w:rsidRPr="00C3354D">
        <w:t>and the coping strategies adopt</w:t>
      </w:r>
      <w:r w:rsidR="00042D22">
        <w:t>ed</w:t>
      </w:r>
      <w:r w:rsidRPr="00C3354D">
        <w:t xml:space="preserve"> in response to </w:t>
      </w:r>
      <w:r w:rsidR="00C8625F" w:rsidRPr="00C3354D">
        <w:t>Gender</w:t>
      </w:r>
      <w:r w:rsidRPr="00C3354D">
        <w:t>-</w:t>
      </w:r>
      <w:r w:rsidR="00C8625F" w:rsidRPr="00C3354D">
        <w:t xml:space="preserve">Based Violence </w:t>
      </w:r>
      <w:r w:rsidRPr="00C3354D">
        <w:t>(GBV) within agricultural firms in</w:t>
      </w:r>
      <w:r w:rsidR="00C8625F">
        <w:t xml:space="preserve"> Ondo State</w:t>
      </w:r>
      <w:r w:rsidRPr="00C3354D">
        <w:t>.</w:t>
      </w:r>
      <w:r>
        <w:t xml:space="preserve"> </w:t>
      </w:r>
    </w:p>
    <w:p w14:paraId="5FD5534B" w14:textId="56986207" w:rsidR="00D869CD" w:rsidRPr="004E0321" w:rsidRDefault="00D869CD" w:rsidP="00D869CD">
      <w:pPr>
        <w:pStyle w:val="NormalWeb"/>
        <w:spacing w:line="480" w:lineRule="auto"/>
        <w:jc w:val="both"/>
      </w:pPr>
      <w:r w:rsidRPr="004E0321">
        <w:lastRenderedPageBreak/>
        <w:t xml:space="preserve">The result of the Chi-square </w:t>
      </w:r>
      <w:r w:rsidRPr="00042D22">
        <w:t>indicates</w:t>
      </w:r>
      <w:r w:rsidR="00042D22">
        <w:t xml:space="preserve"> </w:t>
      </w:r>
      <w:r w:rsidRPr="00042D22">
        <w:t>a</w:t>
      </w:r>
      <w:r w:rsidRPr="00042D22">
        <w:rPr>
          <w:b/>
          <w:bCs/>
        </w:rPr>
        <w:t xml:space="preserve"> </w:t>
      </w:r>
      <w:r w:rsidRPr="00042D22">
        <w:rPr>
          <w:rStyle w:val="Strong"/>
          <w:b w:val="0"/>
          <w:bCs w:val="0"/>
        </w:rPr>
        <w:t>statistically significant relationship</w:t>
      </w:r>
      <w:r w:rsidRPr="004E0321">
        <w:t xml:space="preserve"> between monthly income and the coping strategies adopted by women who experience GBV in agricultural firms. This finding </w:t>
      </w:r>
      <w:r w:rsidR="00042D22">
        <w:t>implies</w:t>
      </w:r>
      <w:r w:rsidRPr="004E0321">
        <w:t xml:space="preserve"> that income le</w:t>
      </w:r>
      <w:r>
        <w:t xml:space="preserve">vel influences coping behavior, </w:t>
      </w:r>
      <w:r w:rsidRPr="004E0321">
        <w:t>women with higher income are more likely to seek emotional support or professional help because they can afford resources such as counselling.</w:t>
      </w:r>
      <w:r>
        <w:t xml:space="preserve"> </w:t>
      </w:r>
      <w:r w:rsidRPr="004E0321">
        <w:t xml:space="preserve">This </w:t>
      </w:r>
      <w:r w:rsidR="00042D22">
        <w:t>result</w:t>
      </w:r>
      <w:r w:rsidRPr="004E0321">
        <w:t xml:space="preserve"> aligns with </w:t>
      </w:r>
      <w:r w:rsidRPr="00372889">
        <w:rPr>
          <w:rStyle w:val="Strong"/>
          <w:b w:val="0"/>
          <w:bCs w:val="0"/>
        </w:rPr>
        <w:t>Okafor &amp; Adeoye (2021)</w:t>
      </w:r>
      <w:r w:rsidRPr="00372889">
        <w:rPr>
          <w:b/>
          <w:bCs/>
        </w:rPr>
        <w:t>,</w:t>
      </w:r>
      <w:r w:rsidRPr="004E0321">
        <w:t xml:space="preserve"> who observed that financial stability enhances access to coping resources, while economic vulnerability limits women’s ability to respond effectively to GBV.</w:t>
      </w:r>
    </w:p>
    <w:p w14:paraId="1BE7929A" w14:textId="40B7F00D" w:rsidR="00D869CD" w:rsidRDefault="00D869CD" w:rsidP="00EE0379">
      <w:pPr>
        <w:spacing w:line="360" w:lineRule="auto"/>
        <w:jc w:val="both"/>
        <w:rPr>
          <w:rFonts w:asciiTheme="majorBidi" w:eastAsiaTheme="minorHAnsi" w:hAnsiTheme="majorBidi" w:cstheme="majorBidi"/>
          <w:b/>
          <w:bCs/>
          <w:kern w:val="0"/>
          <w14:ligatures w14:val="none"/>
        </w:rPr>
      </w:pPr>
      <w:r>
        <w:rPr>
          <w:rFonts w:asciiTheme="majorBidi" w:eastAsiaTheme="minorHAnsi" w:hAnsiTheme="majorBidi" w:cstheme="majorBidi"/>
          <w:b/>
          <w:bCs/>
          <w:kern w:val="0"/>
          <w14:ligatures w14:val="none"/>
        </w:rPr>
        <w:t xml:space="preserve">Table </w:t>
      </w:r>
      <w:r w:rsidR="00781C7C">
        <w:rPr>
          <w:rFonts w:asciiTheme="majorBidi" w:eastAsiaTheme="minorHAnsi" w:hAnsiTheme="majorBidi" w:cstheme="majorBidi"/>
          <w:b/>
          <w:bCs/>
          <w:kern w:val="0"/>
          <w14:ligatures w14:val="none"/>
        </w:rPr>
        <w:t>8</w:t>
      </w:r>
      <w:r>
        <w:rPr>
          <w:rFonts w:asciiTheme="majorBidi" w:eastAsiaTheme="minorHAnsi" w:hAnsiTheme="majorBidi" w:cstheme="majorBidi"/>
          <w:b/>
          <w:bCs/>
          <w:kern w:val="0"/>
          <w14:ligatures w14:val="none"/>
        </w:rPr>
        <w:t xml:space="preserve">: </w:t>
      </w:r>
      <w:r w:rsidRPr="00C3354D">
        <w:rPr>
          <w:rFonts w:ascii="Times New Roman" w:eastAsia="Times New Roman" w:hAnsi="Times New Roman" w:cs="Times New Roman"/>
          <w:b/>
          <w:bCs/>
        </w:rPr>
        <w:t xml:space="preserve"> Chi-square Test Result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D869CD" w14:paraId="0D698FED" w14:textId="77777777" w:rsidTr="00042D22">
        <w:tc>
          <w:tcPr>
            <w:tcW w:w="4315" w:type="dxa"/>
            <w:vAlign w:val="center"/>
          </w:tcPr>
          <w:p w14:paraId="6058DE3A" w14:textId="0B6C25E4" w:rsidR="00D869CD" w:rsidRPr="00C3354D" w:rsidRDefault="00D869CD" w:rsidP="008C555A">
            <w:pPr>
              <w:spacing w:line="480" w:lineRule="auto"/>
              <w:jc w:val="both"/>
              <w:rPr>
                <w:rFonts w:ascii="Times New Roman" w:eastAsia="Times New Roman" w:hAnsi="Times New Roman" w:cs="Times New Roman"/>
                <w:b/>
                <w:bCs/>
                <w:sz w:val="24"/>
                <w:szCs w:val="24"/>
              </w:rPr>
            </w:pPr>
            <w:r w:rsidRPr="00C3354D">
              <w:rPr>
                <w:rFonts w:ascii="Times New Roman" w:eastAsia="Times New Roman" w:hAnsi="Times New Roman" w:cs="Times New Roman"/>
                <w:b/>
                <w:bCs/>
                <w:sz w:val="24"/>
                <w:szCs w:val="24"/>
              </w:rPr>
              <w:t>Test Statistic</w:t>
            </w:r>
          </w:p>
        </w:tc>
        <w:tc>
          <w:tcPr>
            <w:tcW w:w="4315" w:type="dxa"/>
            <w:vAlign w:val="center"/>
          </w:tcPr>
          <w:p w14:paraId="4C5253E7" w14:textId="77777777" w:rsidR="00D869CD" w:rsidRPr="00C3354D" w:rsidRDefault="00D869CD" w:rsidP="008C555A">
            <w:pPr>
              <w:spacing w:line="480" w:lineRule="auto"/>
              <w:jc w:val="both"/>
              <w:rPr>
                <w:rFonts w:ascii="Times New Roman" w:eastAsia="Times New Roman" w:hAnsi="Times New Roman" w:cs="Times New Roman"/>
                <w:b/>
                <w:bCs/>
                <w:sz w:val="24"/>
                <w:szCs w:val="24"/>
              </w:rPr>
            </w:pPr>
            <w:r w:rsidRPr="00C3354D">
              <w:rPr>
                <w:rFonts w:ascii="Times New Roman" w:eastAsia="Times New Roman" w:hAnsi="Times New Roman" w:cs="Times New Roman"/>
                <w:b/>
                <w:bCs/>
                <w:sz w:val="24"/>
                <w:szCs w:val="24"/>
              </w:rPr>
              <w:t>Value</w:t>
            </w:r>
          </w:p>
        </w:tc>
      </w:tr>
      <w:tr w:rsidR="00D869CD" w14:paraId="0224DD3F" w14:textId="77777777" w:rsidTr="00042D22">
        <w:tc>
          <w:tcPr>
            <w:tcW w:w="4315" w:type="dxa"/>
            <w:vAlign w:val="center"/>
          </w:tcPr>
          <w:p w14:paraId="25C323C2" w14:textId="731DB62E" w:rsidR="00D869CD" w:rsidRPr="00C3354D" w:rsidRDefault="00D869CD" w:rsidP="008C555A">
            <w:pPr>
              <w:spacing w:line="480" w:lineRule="auto"/>
              <w:jc w:val="both"/>
              <w:rPr>
                <w:rFonts w:ascii="Times New Roman" w:eastAsia="Times New Roman" w:hAnsi="Times New Roman" w:cs="Times New Roman"/>
                <w:sz w:val="24"/>
                <w:szCs w:val="24"/>
              </w:rPr>
            </w:pPr>
            <w:r w:rsidRPr="00C3354D">
              <w:rPr>
                <w:rFonts w:ascii="Times New Roman" w:eastAsia="Times New Roman" w:hAnsi="Times New Roman" w:cs="Times New Roman"/>
                <w:sz w:val="24"/>
                <w:szCs w:val="24"/>
              </w:rPr>
              <w:t>Chi-square (χ²)</w:t>
            </w:r>
          </w:p>
        </w:tc>
        <w:tc>
          <w:tcPr>
            <w:tcW w:w="4315" w:type="dxa"/>
            <w:vAlign w:val="center"/>
          </w:tcPr>
          <w:p w14:paraId="4A3F86D8" w14:textId="77777777" w:rsidR="00D869CD" w:rsidRPr="00C3354D" w:rsidRDefault="00D869CD" w:rsidP="008C555A">
            <w:pPr>
              <w:spacing w:line="480" w:lineRule="auto"/>
              <w:jc w:val="both"/>
              <w:rPr>
                <w:rFonts w:ascii="Times New Roman" w:eastAsia="Times New Roman" w:hAnsi="Times New Roman" w:cs="Times New Roman"/>
                <w:sz w:val="24"/>
                <w:szCs w:val="24"/>
              </w:rPr>
            </w:pPr>
            <w:r w:rsidRPr="00C3354D">
              <w:rPr>
                <w:rFonts w:ascii="Times New Roman" w:eastAsia="Times New Roman" w:hAnsi="Times New Roman" w:cs="Times New Roman"/>
                <w:sz w:val="24"/>
                <w:szCs w:val="24"/>
              </w:rPr>
              <w:t>18.74</w:t>
            </w:r>
          </w:p>
        </w:tc>
      </w:tr>
      <w:tr w:rsidR="00D869CD" w14:paraId="2CDEA19D" w14:textId="77777777" w:rsidTr="00042D22">
        <w:tc>
          <w:tcPr>
            <w:tcW w:w="4315" w:type="dxa"/>
            <w:vAlign w:val="center"/>
          </w:tcPr>
          <w:p w14:paraId="5B486605" w14:textId="5970302A" w:rsidR="00D869CD" w:rsidRPr="00C3354D" w:rsidRDefault="00D869CD" w:rsidP="008C555A">
            <w:pPr>
              <w:spacing w:line="480" w:lineRule="auto"/>
              <w:jc w:val="both"/>
              <w:rPr>
                <w:rFonts w:ascii="Times New Roman" w:eastAsia="Times New Roman" w:hAnsi="Times New Roman" w:cs="Times New Roman"/>
                <w:sz w:val="24"/>
                <w:szCs w:val="24"/>
              </w:rPr>
            </w:pPr>
            <w:r w:rsidRPr="00C3354D">
              <w:rPr>
                <w:rFonts w:ascii="Times New Roman" w:eastAsia="Times New Roman" w:hAnsi="Times New Roman" w:cs="Times New Roman"/>
                <w:sz w:val="24"/>
                <w:szCs w:val="24"/>
              </w:rPr>
              <w:t>Degrees of freedom (df)</w:t>
            </w:r>
          </w:p>
        </w:tc>
        <w:tc>
          <w:tcPr>
            <w:tcW w:w="4315" w:type="dxa"/>
            <w:vAlign w:val="center"/>
          </w:tcPr>
          <w:p w14:paraId="037EA723" w14:textId="77777777" w:rsidR="00D869CD" w:rsidRPr="00C3354D" w:rsidRDefault="00D869CD" w:rsidP="008C555A">
            <w:pPr>
              <w:spacing w:line="480" w:lineRule="auto"/>
              <w:jc w:val="both"/>
              <w:rPr>
                <w:rFonts w:ascii="Times New Roman" w:eastAsia="Times New Roman" w:hAnsi="Times New Roman" w:cs="Times New Roman"/>
                <w:sz w:val="24"/>
                <w:szCs w:val="24"/>
              </w:rPr>
            </w:pPr>
            <w:r w:rsidRPr="00C3354D">
              <w:rPr>
                <w:rFonts w:ascii="Times New Roman" w:eastAsia="Times New Roman" w:hAnsi="Times New Roman" w:cs="Times New Roman"/>
                <w:sz w:val="24"/>
                <w:szCs w:val="24"/>
              </w:rPr>
              <w:t>12</w:t>
            </w:r>
          </w:p>
        </w:tc>
      </w:tr>
      <w:tr w:rsidR="00D869CD" w14:paraId="3F4E1185" w14:textId="77777777" w:rsidTr="00042D22">
        <w:tc>
          <w:tcPr>
            <w:tcW w:w="4315" w:type="dxa"/>
            <w:vAlign w:val="center"/>
          </w:tcPr>
          <w:p w14:paraId="73EACAD7" w14:textId="0A851141" w:rsidR="00D869CD" w:rsidRPr="00C3354D" w:rsidRDefault="00D869CD" w:rsidP="008C555A">
            <w:pPr>
              <w:spacing w:line="480" w:lineRule="auto"/>
              <w:jc w:val="both"/>
              <w:rPr>
                <w:rFonts w:ascii="Times New Roman" w:eastAsia="Times New Roman" w:hAnsi="Times New Roman" w:cs="Times New Roman"/>
                <w:sz w:val="24"/>
                <w:szCs w:val="24"/>
              </w:rPr>
            </w:pPr>
            <w:r w:rsidRPr="00C3354D">
              <w:rPr>
                <w:rFonts w:ascii="Times New Roman" w:eastAsia="Times New Roman" w:hAnsi="Times New Roman" w:cs="Times New Roman"/>
                <w:sz w:val="24"/>
                <w:szCs w:val="24"/>
              </w:rPr>
              <w:t>Significance Level (p-value)</w:t>
            </w:r>
          </w:p>
        </w:tc>
        <w:tc>
          <w:tcPr>
            <w:tcW w:w="4315" w:type="dxa"/>
            <w:vAlign w:val="center"/>
          </w:tcPr>
          <w:p w14:paraId="11748CE6" w14:textId="77777777" w:rsidR="00D869CD" w:rsidRPr="00C3354D" w:rsidRDefault="00D869CD" w:rsidP="008C555A">
            <w:pPr>
              <w:spacing w:line="480" w:lineRule="auto"/>
              <w:jc w:val="both"/>
              <w:rPr>
                <w:rFonts w:ascii="Times New Roman" w:eastAsia="Times New Roman" w:hAnsi="Times New Roman" w:cs="Times New Roman"/>
                <w:sz w:val="24"/>
                <w:szCs w:val="24"/>
              </w:rPr>
            </w:pPr>
            <w:r w:rsidRPr="00C3354D">
              <w:rPr>
                <w:rFonts w:ascii="Times New Roman" w:eastAsia="Times New Roman" w:hAnsi="Times New Roman" w:cs="Times New Roman"/>
                <w:sz w:val="24"/>
                <w:szCs w:val="24"/>
              </w:rPr>
              <w:t>0.045</w:t>
            </w:r>
          </w:p>
        </w:tc>
      </w:tr>
    </w:tbl>
    <w:p w14:paraId="4884B5AF" w14:textId="78783BE2" w:rsidR="00EE0379" w:rsidRPr="00FD1E7A" w:rsidRDefault="00E35667" w:rsidP="0079692D">
      <w:pPr>
        <w:spacing w:before="100" w:beforeAutospacing="1" w:after="100" w:afterAutospacing="1" w:line="360" w:lineRule="auto"/>
        <w:jc w:val="both"/>
        <w:rPr>
          <w:rFonts w:asciiTheme="majorBidi" w:eastAsia="Times New Roman" w:hAnsiTheme="majorBidi" w:cstheme="majorBidi"/>
          <w:b/>
          <w:bCs/>
          <w:kern w:val="0"/>
          <w14:ligatures w14:val="none"/>
        </w:rPr>
      </w:pPr>
      <w:r w:rsidRPr="00FD1E7A">
        <w:rPr>
          <w:rFonts w:asciiTheme="majorBidi" w:eastAsia="Times New Roman" w:hAnsiTheme="majorBidi" w:cstheme="majorBidi"/>
          <w:b/>
          <w:bCs/>
          <w:kern w:val="0"/>
          <w14:ligatures w14:val="none"/>
        </w:rPr>
        <w:t>Conclusion</w:t>
      </w:r>
    </w:p>
    <w:p w14:paraId="582EAB97" w14:textId="36C19FF5" w:rsidR="00E35667" w:rsidRPr="00FD1E7A" w:rsidRDefault="00372889" w:rsidP="00EE0379">
      <w:pPr>
        <w:spacing w:before="100" w:beforeAutospacing="1" w:after="100" w:afterAutospacing="1" w:line="360" w:lineRule="auto"/>
        <w:jc w:val="both"/>
        <w:rPr>
          <w:rFonts w:asciiTheme="majorBidi" w:eastAsia="Times New Roman" w:hAnsiTheme="majorBidi" w:cstheme="majorBidi"/>
          <w:kern w:val="0"/>
          <w14:ligatures w14:val="none"/>
        </w:rPr>
      </w:pPr>
      <w:r>
        <w:rPr>
          <w:rFonts w:asciiTheme="majorBidi" w:eastAsia="Times New Roman" w:hAnsiTheme="majorBidi" w:cstheme="majorBidi"/>
          <w:color w:val="000000"/>
        </w:rPr>
        <w:t>The study revealed that the</w:t>
      </w:r>
      <w:r w:rsidR="00E35667" w:rsidRPr="00FD1E7A">
        <w:rPr>
          <w:rFonts w:asciiTheme="majorBidi" w:eastAsia="Times New Roman" w:hAnsiTheme="majorBidi" w:cstheme="majorBidi"/>
          <w:color w:val="000000"/>
        </w:rPr>
        <w:t xml:space="preserve"> most common forms of GBV identified were physical, verbal, emotional, and economic violence</w:t>
      </w:r>
      <w:r>
        <w:rPr>
          <w:rFonts w:asciiTheme="majorBidi" w:eastAsia="Times New Roman" w:hAnsiTheme="majorBidi" w:cstheme="majorBidi"/>
          <w:color w:val="000000"/>
        </w:rPr>
        <w:t xml:space="preserve"> and m</w:t>
      </w:r>
      <w:r w:rsidR="00E35667" w:rsidRPr="00FD1E7A">
        <w:rPr>
          <w:rFonts w:asciiTheme="majorBidi" w:eastAsia="Times New Roman" w:hAnsiTheme="majorBidi" w:cstheme="majorBidi"/>
          <w:color w:val="000000"/>
        </w:rPr>
        <w:t xml:space="preserve">ajor risk factors include poverty, cultural norms, and lack of institutional support. These factors reduce women’s productivity, income level, and overall quality of life. The study </w:t>
      </w:r>
      <w:r>
        <w:rPr>
          <w:rFonts w:asciiTheme="majorBidi" w:eastAsia="Times New Roman" w:hAnsiTheme="majorBidi" w:cstheme="majorBidi"/>
          <w:color w:val="000000"/>
        </w:rPr>
        <w:t xml:space="preserve">therefore </w:t>
      </w:r>
      <w:r w:rsidR="00E35667" w:rsidRPr="00FD1E7A">
        <w:rPr>
          <w:rFonts w:asciiTheme="majorBidi" w:eastAsia="Times New Roman" w:hAnsiTheme="majorBidi" w:cstheme="majorBidi"/>
          <w:color w:val="000000"/>
        </w:rPr>
        <w:t xml:space="preserve">concludes that GBV remains a major barrier to women’s empowerment and </w:t>
      </w:r>
      <w:r>
        <w:rPr>
          <w:rFonts w:asciiTheme="majorBidi" w:eastAsia="Times New Roman" w:hAnsiTheme="majorBidi" w:cstheme="majorBidi"/>
          <w:color w:val="000000"/>
        </w:rPr>
        <w:t xml:space="preserve">contributions to </w:t>
      </w:r>
      <w:r w:rsidR="00E35667" w:rsidRPr="00FD1E7A">
        <w:rPr>
          <w:rFonts w:asciiTheme="majorBidi" w:eastAsia="Times New Roman" w:hAnsiTheme="majorBidi" w:cstheme="majorBidi"/>
          <w:color w:val="000000"/>
        </w:rPr>
        <w:t>sustainable agricultural development</w:t>
      </w:r>
      <w:r>
        <w:rPr>
          <w:rFonts w:asciiTheme="majorBidi" w:eastAsia="Times New Roman" w:hAnsiTheme="majorBidi" w:cstheme="majorBidi"/>
          <w:color w:val="000000"/>
        </w:rPr>
        <w:t xml:space="preserve"> in Nigeria</w:t>
      </w:r>
      <w:r w:rsidR="00E35667" w:rsidRPr="00FD1E7A">
        <w:rPr>
          <w:rFonts w:asciiTheme="majorBidi" w:eastAsia="Times New Roman" w:hAnsiTheme="majorBidi" w:cstheme="majorBidi"/>
          <w:color w:val="000000"/>
        </w:rPr>
        <w:t>.</w:t>
      </w:r>
    </w:p>
    <w:p w14:paraId="024EE4BA" w14:textId="77777777" w:rsidR="00E35667" w:rsidRPr="00FD1E7A" w:rsidRDefault="00E35667" w:rsidP="00EE0379">
      <w:pPr>
        <w:spacing w:line="360" w:lineRule="auto"/>
        <w:jc w:val="both"/>
        <w:rPr>
          <w:rFonts w:asciiTheme="majorBidi" w:eastAsia="Times New Roman" w:hAnsiTheme="majorBidi" w:cstheme="majorBidi"/>
          <w:b/>
          <w:bCs/>
          <w:color w:val="000000"/>
        </w:rPr>
      </w:pPr>
      <w:r w:rsidRPr="00FD1E7A">
        <w:rPr>
          <w:rFonts w:asciiTheme="majorBidi" w:eastAsia="Times New Roman" w:hAnsiTheme="majorBidi" w:cstheme="majorBidi"/>
          <w:b/>
          <w:bCs/>
          <w:color w:val="000000"/>
        </w:rPr>
        <w:t xml:space="preserve">Recommendations </w:t>
      </w:r>
    </w:p>
    <w:p w14:paraId="67386AD1" w14:textId="3D0D96B5" w:rsidR="0001179E" w:rsidRPr="0001179E" w:rsidRDefault="0001179E" w:rsidP="0001179E">
      <w:pPr>
        <w:pStyle w:val="ListParagraph"/>
        <w:numPr>
          <w:ilvl w:val="0"/>
          <w:numId w:val="1"/>
        </w:numPr>
        <w:spacing w:before="100" w:beforeAutospacing="1" w:after="100" w:afterAutospacing="1" w:line="360" w:lineRule="auto"/>
        <w:jc w:val="both"/>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W</w:t>
      </w:r>
      <w:r w:rsidRPr="0001179E">
        <w:rPr>
          <w:rFonts w:asciiTheme="majorBidi" w:eastAsia="Times New Roman" w:hAnsiTheme="majorBidi" w:cstheme="majorBidi"/>
          <w:kern w:val="0"/>
          <w14:ligatures w14:val="none"/>
        </w:rPr>
        <w:t>omen gender policy should be institutionalized in the state by the state Ministry for Women affairs and Social Development to enable women</w:t>
      </w:r>
      <w:r>
        <w:rPr>
          <w:rFonts w:asciiTheme="majorBidi" w:eastAsia="Times New Roman" w:hAnsiTheme="majorBidi" w:cstheme="majorBidi"/>
          <w:kern w:val="0"/>
          <w14:ligatures w14:val="none"/>
        </w:rPr>
        <w:t>’s</w:t>
      </w:r>
      <w:r w:rsidRPr="0001179E">
        <w:rPr>
          <w:rFonts w:asciiTheme="majorBidi" w:eastAsia="Times New Roman" w:hAnsiTheme="majorBidi" w:cstheme="majorBidi"/>
          <w:kern w:val="0"/>
          <w14:ligatures w14:val="none"/>
        </w:rPr>
        <w:t xml:space="preserve"> right and all aspect of GBV in workplace and the </w:t>
      </w:r>
      <w:r>
        <w:rPr>
          <w:rFonts w:asciiTheme="majorBidi" w:eastAsia="Times New Roman" w:hAnsiTheme="majorBidi" w:cstheme="majorBidi"/>
          <w:kern w:val="0"/>
          <w14:ligatures w14:val="none"/>
        </w:rPr>
        <w:t xml:space="preserve">state </w:t>
      </w:r>
      <w:r w:rsidRPr="0001179E">
        <w:rPr>
          <w:rFonts w:asciiTheme="majorBidi" w:eastAsia="Times New Roman" w:hAnsiTheme="majorBidi" w:cstheme="majorBidi"/>
          <w:kern w:val="0"/>
          <w14:ligatures w14:val="none"/>
        </w:rPr>
        <w:t>at large</w:t>
      </w:r>
      <w:r>
        <w:rPr>
          <w:rFonts w:asciiTheme="majorBidi" w:eastAsia="Times New Roman" w:hAnsiTheme="majorBidi" w:cstheme="majorBidi"/>
          <w:kern w:val="0"/>
          <w14:ligatures w14:val="none"/>
        </w:rPr>
        <w:t>;</w:t>
      </w:r>
    </w:p>
    <w:p w14:paraId="147A94E1" w14:textId="6B544C7D" w:rsidR="005728F5" w:rsidRPr="00FD1E7A" w:rsidRDefault="005728F5" w:rsidP="005728F5">
      <w:pPr>
        <w:pStyle w:val="NormalWeb"/>
        <w:numPr>
          <w:ilvl w:val="0"/>
          <w:numId w:val="1"/>
        </w:numPr>
        <w:spacing w:line="360" w:lineRule="auto"/>
        <w:jc w:val="both"/>
        <w:rPr>
          <w:rFonts w:asciiTheme="majorBidi" w:hAnsiTheme="majorBidi" w:cstheme="majorBidi"/>
          <w:color w:val="000000"/>
        </w:rPr>
      </w:pPr>
      <w:r w:rsidRPr="00FD1E7A">
        <w:rPr>
          <w:rFonts w:asciiTheme="majorBidi" w:hAnsiTheme="majorBidi" w:cstheme="majorBidi"/>
          <w:color w:val="000000"/>
        </w:rPr>
        <w:t>Awareness campaigns and community sensitization should be conducted to challenge harmful cultural beliefs that justify violence against women</w:t>
      </w:r>
      <w:r w:rsidR="0001179E">
        <w:rPr>
          <w:rFonts w:asciiTheme="majorBidi" w:hAnsiTheme="majorBidi" w:cstheme="majorBidi"/>
          <w:color w:val="000000"/>
        </w:rPr>
        <w:t>;</w:t>
      </w:r>
    </w:p>
    <w:p w14:paraId="2805B2FE" w14:textId="7A52BE39" w:rsidR="00E35667" w:rsidRPr="00FD1E7A" w:rsidRDefault="00E35667" w:rsidP="00EE0379">
      <w:pPr>
        <w:pStyle w:val="NormalWeb"/>
        <w:numPr>
          <w:ilvl w:val="0"/>
          <w:numId w:val="1"/>
        </w:numPr>
        <w:spacing w:line="360" w:lineRule="auto"/>
        <w:jc w:val="both"/>
        <w:rPr>
          <w:rFonts w:asciiTheme="majorBidi" w:hAnsiTheme="majorBidi" w:cstheme="majorBidi"/>
          <w:color w:val="000000"/>
        </w:rPr>
      </w:pPr>
      <w:r w:rsidRPr="00FD1E7A">
        <w:rPr>
          <w:rFonts w:asciiTheme="majorBidi" w:hAnsiTheme="majorBidi" w:cstheme="majorBidi"/>
          <w:color w:val="000000"/>
        </w:rPr>
        <w:lastRenderedPageBreak/>
        <w:t>Agricultural firms should enforce workplace policies against GBV and establish clear reporting and disciplinary systems.</w:t>
      </w:r>
    </w:p>
    <w:p w14:paraId="4E429350" w14:textId="210340EA" w:rsidR="00D01F31" w:rsidRDefault="00D01F31" w:rsidP="00D01F31">
      <w:pPr>
        <w:pStyle w:val="NormalWeb"/>
        <w:numPr>
          <w:ilvl w:val="0"/>
          <w:numId w:val="1"/>
        </w:numPr>
        <w:spacing w:line="360" w:lineRule="auto"/>
        <w:jc w:val="both"/>
        <w:rPr>
          <w:rFonts w:asciiTheme="majorBidi" w:hAnsiTheme="majorBidi" w:cstheme="majorBidi"/>
          <w:color w:val="000000"/>
        </w:rPr>
      </w:pPr>
      <w:r w:rsidRPr="00FD1E7A">
        <w:rPr>
          <w:rFonts w:asciiTheme="majorBidi" w:hAnsiTheme="majorBidi" w:cstheme="majorBidi"/>
          <w:color w:val="000000"/>
        </w:rPr>
        <w:t>Counseling services</w:t>
      </w:r>
      <w:r w:rsidR="005728F5" w:rsidRPr="00FD1E7A">
        <w:rPr>
          <w:rFonts w:asciiTheme="majorBidi" w:hAnsiTheme="majorBidi" w:cstheme="majorBidi"/>
          <w:color w:val="000000"/>
        </w:rPr>
        <w:t>, women support group</w:t>
      </w:r>
      <w:r w:rsidRPr="00FD1E7A">
        <w:rPr>
          <w:rFonts w:asciiTheme="majorBidi" w:hAnsiTheme="majorBidi" w:cstheme="majorBidi"/>
          <w:color w:val="000000"/>
        </w:rPr>
        <w:t xml:space="preserve"> and confidential reporting channels should be created within agricultural firms to help victims seek help safely</w:t>
      </w:r>
      <w:r w:rsidR="0001179E">
        <w:rPr>
          <w:rFonts w:asciiTheme="majorBidi" w:hAnsiTheme="majorBidi" w:cstheme="majorBidi"/>
          <w:color w:val="000000"/>
        </w:rPr>
        <w:t xml:space="preserve"> </w:t>
      </w:r>
      <w:r w:rsidR="00372889">
        <w:rPr>
          <w:rFonts w:asciiTheme="majorBidi" w:hAnsiTheme="majorBidi" w:cstheme="majorBidi"/>
          <w:color w:val="000000"/>
        </w:rPr>
        <w:t>and</w:t>
      </w:r>
      <w:r w:rsidR="0001179E">
        <w:rPr>
          <w:rFonts w:asciiTheme="majorBidi" w:hAnsiTheme="majorBidi" w:cstheme="majorBidi"/>
          <w:color w:val="000000"/>
        </w:rPr>
        <w:t xml:space="preserve"> time</w:t>
      </w:r>
      <w:r w:rsidR="00372889">
        <w:rPr>
          <w:rFonts w:asciiTheme="majorBidi" w:hAnsiTheme="majorBidi" w:cstheme="majorBidi"/>
          <w:color w:val="000000"/>
        </w:rPr>
        <w:t>ly</w:t>
      </w:r>
      <w:r w:rsidRPr="00FD1E7A">
        <w:rPr>
          <w:rFonts w:asciiTheme="majorBidi" w:hAnsiTheme="majorBidi" w:cstheme="majorBidi"/>
          <w:color w:val="000000"/>
        </w:rPr>
        <w:t>.</w:t>
      </w:r>
    </w:p>
    <w:p w14:paraId="14DE1DAA" w14:textId="77777777" w:rsidR="008A4FFA" w:rsidRDefault="008A4FFA" w:rsidP="008A4FFA">
      <w:pPr>
        <w:pStyle w:val="NormalWeb"/>
        <w:spacing w:line="360" w:lineRule="auto"/>
        <w:jc w:val="both"/>
        <w:rPr>
          <w:rFonts w:asciiTheme="majorBidi" w:hAnsiTheme="majorBidi" w:cstheme="majorBidi"/>
          <w:color w:val="000000"/>
        </w:rPr>
      </w:pPr>
    </w:p>
    <w:p w14:paraId="3028791D" w14:textId="77777777" w:rsidR="008A4FFA" w:rsidRPr="008A4FFA" w:rsidRDefault="008A4FFA" w:rsidP="008A4FFA">
      <w:pPr>
        <w:pStyle w:val="ListParagraph"/>
        <w:rPr>
          <w:rFonts w:eastAsiaTheme="minorHAnsi"/>
          <w:b/>
        </w:rPr>
      </w:pPr>
      <w:r w:rsidRPr="008A4FFA">
        <w:rPr>
          <w:rFonts w:eastAsiaTheme="minorHAnsi"/>
          <w:b/>
        </w:rPr>
        <w:t xml:space="preserve">Consent </w:t>
      </w:r>
    </w:p>
    <w:p w14:paraId="1BBB292D" w14:textId="77777777" w:rsidR="008A4FFA" w:rsidRPr="008A4FFA" w:rsidRDefault="008A4FFA" w:rsidP="008A4FFA">
      <w:pPr>
        <w:pStyle w:val="ListParagraph"/>
        <w:rPr>
          <w:rFonts w:eastAsiaTheme="minorHAnsi"/>
        </w:rPr>
      </w:pPr>
      <w:r w:rsidRPr="008A4FFA">
        <w:rPr>
          <w:rFonts w:eastAsiaTheme="minorHAnsi"/>
        </w:rPr>
        <w:t>As per international standards or university standards</w:t>
      </w:r>
      <w:r w:rsidRPr="008A4FFA">
        <w:rPr>
          <w:rFonts w:eastAsiaTheme="minorHAnsi"/>
          <w:highlight w:val="yellow"/>
        </w:rPr>
        <w:t>, respondents’ written</w:t>
      </w:r>
      <w:r w:rsidRPr="008A4FFA">
        <w:rPr>
          <w:rFonts w:eastAsiaTheme="minorHAnsi"/>
        </w:rPr>
        <w:t xml:space="preserve"> consent has been collected and preserved by the author(s).</w:t>
      </w:r>
    </w:p>
    <w:p w14:paraId="7F3F0825" w14:textId="25E5B607" w:rsidR="008A4FFA" w:rsidRDefault="008A4FFA" w:rsidP="008A4FFA">
      <w:pPr>
        <w:pStyle w:val="NormalWeb"/>
        <w:spacing w:line="360" w:lineRule="auto"/>
        <w:jc w:val="both"/>
        <w:rPr>
          <w:rFonts w:asciiTheme="majorBidi" w:hAnsiTheme="majorBidi" w:cstheme="majorBidi"/>
          <w:color w:val="000000"/>
        </w:rPr>
      </w:pPr>
    </w:p>
    <w:p w14:paraId="7884FDA3" w14:textId="77777777" w:rsidR="008A4FFA" w:rsidRDefault="008A4FFA" w:rsidP="008A4FFA">
      <w:pPr>
        <w:pStyle w:val="NormalWeb"/>
        <w:spacing w:line="360" w:lineRule="auto"/>
        <w:jc w:val="both"/>
        <w:rPr>
          <w:rFonts w:asciiTheme="majorBidi" w:hAnsiTheme="majorBidi" w:cstheme="majorBidi"/>
          <w:color w:val="000000"/>
        </w:rPr>
      </w:pPr>
    </w:p>
    <w:p w14:paraId="1917F1C9" w14:textId="77777777" w:rsidR="00AF101E" w:rsidRPr="0001179E" w:rsidRDefault="00AF101E" w:rsidP="00AF101E">
      <w:pPr>
        <w:pStyle w:val="NormalWeb"/>
        <w:spacing w:line="360" w:lineRule="auto"/>
        <w:jc w:val="both"/>
        <w:rPr>
          <w:rFonts w:asciiTheme="majorBidi" w:hAnsiTheme="majorBidi" w:cstheme="majorBidi"/>
          <w:b/>
          <w:bCs/>
          <w:color w:val="000000"/>
        </w:rPr>
      </w:pPr>
      <w:r w:rsidRPr="0001179E">
        <w:rPr>
          <w:rFonts w:asciiTheme="majorBidi" w:hAnsiTheme="majorBidi" w:cstheme="majorBidi"/>
          <w:b/>
          <w:bCs/>
          <w:color w:val="000000"/>
        </w:rPr>
        <w:t>COMPETING INTERESTS DISCLAIMER:</w:t>
      </w:r>
    </w:p>
    <w:p w14:paraId="2EC812BF" w14:textId="058D7190" w:rsidR="00AF101E" w:rsidRDefault="00AF101E" w:rsidP="00AF101E">
      <w:pPr>
        <w:pStyle w:val="NormalWeb"/>
        <w:spacing w:line="360" w:lineRule="auto"/>
        <w:jc w:val="both"/>
        <w:rPr>
          <w:rFonts w:asciiTheme="majorBidi" w:hAnsiTheme="majorBidi" w:cstheme="majorBidi"/>
          <w:color w:val="000000"/>
        </w:rPr>
      </w:pPr>
      <w:r w:rsidRPr="00AF101E">
        <w:rPr>
          <w:rFonts w:asciiTheme="majorBidi" w:hAnsiTheme="majorBidi" w:cstheme="majorBidi"/>
          <w:color w:val="000000"/>
        </w:rPr>
        <w:t>Authors have declared that they have no known competing financial interests OR non-financial interests OR personal relationships that could have appeared to influence the work reported in this paper.</w:t>
      </w:r>
      <w:r>
        <w:rPr>
          <w:rFonts w:asciiTheme="majorBidi" w:hAnsiTheme="majorBidi" w:cstheme="majorBidi"/>
          <w:color w:val="000000"/>
        </w:rPr>
        <w:t xml:space="preserve"> </w:t>
      </w:r>
    </w:p>
    <w:p w14:paraId="48CFEC4D" w14:textId="77777777" w:rsidR="003A78B3" w:rsidRPr="000A6323" w:rsidRDefault="003A78B3" w:rsidP="003A78B3">
      <w:pPr>
        <w:rPr>
          <w:highlight w:val="yellow"/>
        </w:rPr>
      </w:pPr>
      <w:bookmarkStart w:id="5" w:name="_Hlk190852809"/>
      <w:r w:rsidRPr="000A6323">
        <w:rPr>
          <w:highlight w:val="yellow"/>
        </w:rPr>
        <w:t>Disclaimer (Artificial intelligence)</w:t>
      </w:r>
    </w:p>
    <w:p w14:paraId="6BA92F2B" w14:textId="77777777" w:rsidR="003A78B3" w:rsidRPr="000A6323" w:rsidRDefault="003A78B3" w:rsidP="003A78B3">
      <w:pPr>
        <w:rPr>
          <w:highlight w:val="yellow"/>
        </w:rPr>
      </w:pPr>
      <w:r w:rsidRPr="000A6323">
        <w:rPr>
          <w:highlight w:val="yellow"/>
        </w:rPr>
        <w:t xml:space="preserve">Option 1: </w:t>
      </w:r>
    </w:p>
    <w:p w14:paraId="548385B9" w14:textId="77777777" w:rsidR="003A78B3" w:rsidRPr="000A6323" w:rsidRDefault="003A78B3" w:rsidP="003A78B3">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54ADE2D9" w14:textId="77777777" w:rsidR="003A78B3" w:rsidRPr="000A6323" w:rsidRDefault="003A78B3" w:rsidP="003A78B3">
      <w:pPr>
        <w:rPr>
          <w:highlight w:val="yellow"/>
        </w:rPr>
      </w:pPr>
      <w:r w:rsidRPr="000A6323">
        <w:rPr>
          <w:highlight w:val="yellow"/>
        </w:rPr>
        <w:t xml:space="preserve">Option 2: </w:t>
      </w:r>
    </w:p>
    <w:p w14:paraId="2DE4741A" w14:textId="77777777" w:rsidR="003A78B3" w:rsidRPr="000A6323" w:rsidRDefault="003A78B3" w:rsidP="003A78B3">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46D80C" w14:textId="77777777" w:rsidR="003A78B3" w:rsidRPr="000A6323" w:rsidRDefault="003A78B3" w:rsidP="003A78B3">
      <w:pPr>
        <w:rPr>
          <w:highlight w:val="yellow"/>
        </w:rPr>
      </w:pPr>
      <w:r w:rsidRPr="000A6323">
        <w:rPr>
          <w:highlight w:val="yellow"/>
        </w:rPr>
        <w:t>Details of the AI usage are given below:</w:t>
      </w:r>
    </w:p>
    <w:p w14:paraId="28DB0C98" w14:textId="77777777" w:rsidR="003A78B3" w:rsidRPr="000A6323" w:rsidRDefault="003A78B3" w:rsidP="003A78B3">
      <w:pPr>
        <w:rPr>
          <w:highlight w:val="yellow"/>
        </w:rPr>
      </w:pPr>
      <w:r w:rsidRPr="000A6323">
        <w:rPr>
          <w:highlight w:val="yellow"/>
        </w:rPr>
        <w:t>1.</w:t>
      </w:r>
    </w:p>
    <w:p w14:paraId="767EDA96" w14:textId="77777777" w:rsidR="003A78B3" w:rsidRPr="000A6323" w:rsidRDefault="003A78B3" w:rsidP="003A78B3">
      <w:pPr>
        <w:rPr>
          <w:highlight w:val="yellow"/>
        </w:rPr>
      </w:pPr>
      <w:r w:rsidRPr="000A6323">
        <w:rPr>
          <w:highlight w:val="yellow"/>
        </w:rPr>
        <w:lastRenderedPageBreak/>
        <w:t>2.</w:t>
      </w:r>
    </w:p>
    <w:p w14:paraId="7B94B59C" w14:textId="77777777" w:rsidR="003A78B3" w:rsidRPr="00D047BB" w:rsidRDefault="003A78B3" w:rsidP="003A78B3">
      <w:r w:rsidRPr="000A6323">
        <w:rPr>
          <w:highlight w:val="yellow"/>
        </w:rPr>
        <w:t>3.</w:t>
      </w:r>
    </w:p>
    <w:bookmarkEnd w:id="5"/>
    <w:p w14:paraId="00ED207C" w14:textId="77777777" w:rsidR="0001179E" w:rsidRDefault="0001179E" w:rsidP="00EE0379">
      <w:pPr>
        <w:spacing w:line="360" w:lineRule="auto"/>
        <w:jc w:val="both"/>
        <w:rPr>
          <w:rFonts w:asciiTheme="majorBidi" w:hAnsiTheme="majorBidi" w:cstheme="majorBidi"/>
          <w:b/>
          <w:bCs/>
        </w:rPr>
      </w:pPr>
    </w:p>
    <w:p w14:paraId="4391FEA6" w14:textId="77777777" w:rsidR="0001179E" w:rsidRDefault="0001179E" w:rsidP="00EE0379">
      <w:pPr>
        <w:spacing w:line="360" w:lineRule="auto"/>
        <w:jc w:val="both"/>
        <w:rPr>
          <w:rFonts w:asciiTheme="majorBidi" w:hAnsiTheme="majorBidi" w:cstheme="majorBidi"/>
          <w:b/>
          <w:bCs/>
        </w:rPr>
      </w:pPr>
    </w:p>
    <w:p w14:paraId="688538DA" w14:textId="77777777" w:rsidR="0001179E" w:rsidRDefault="0001179E" w:rsidP="00EE0379">
      <w:pPr>
        <w:spacing w:line="360" w:lineRule="auto"/>
        <w:jc w:val="both"/>
        <w:rPr>
          <w:rFonts w:asciiTheme="majorBidi" w:hAnsiTheme="majorBidi" w:cstheme="majorBidi"/>
          <w:b/>
          <w:bCs/>
        </w:rPr>
      </w:pPr>
    </w:p>
    <w:p w14:paraId="73E0FEEA" w14:textId="77777777" w:rsidR="0001179E" w:rsidRDefault="0001179E" w:rsidP="00EE0379">
      <w:pPr>
        <w:spacing w:line="360" w:lineRule="auto"/>
        <w:jc w:val="both"/>
        <w:rPr>
          <w:rFonts w:asciiTheme="majorBidi" w:hAnsiTheme="majorBidi" w:cstheme="majorBidi"/>
          <w:b/>
          <w:bCs/>
        </w:rPr>
      </w:pPr>
    </w:p>
    <w:p w14:paraId="6858A74A" w14:textId="77777777" w:rsidR="003A78B3" w:rsidRDefault="003A78B3" w:rsidP="00EE0379">
      <w:pPr>
        <w:spacing w:line="360" w:lineRule="auto"/>
        <w:jc w:val="both"/>
        <w:rPr>
          <w:rFonts w:asciiTheme="majorBidi" w:hAnsiTheme="majorBidi" w:cstheme="majorBidi"/>
          <w:b/>
          <w:bCs/>
        </w:rPr>
      </w:pPr>
    </w:p>
    <w:p w14:paraId="5028B886" w14:textId="176A695C" w:rsidR="00EE0379" w:rsidRPr="00FD1E7A" w:rsidRDefault="00EE0379" w:rsidP="00EE0379">
      <w:pPr>
        <w:spacing w:line="360" w:lineRule="auto"/>
        <w:jc w:val="both"/>
        <w:rPr>
          <w:rFonts w:asciiTheme="majorBidi" w:hAnsiTheme="majorBidi" w:cstheme="majorBidi"/>
          <w:b/>
          <w:bCs/>
        </w:rPr>
      </w:pPr>
      <w:r w:rsidRPr="00FD1E7A">
        <w:rPr>
          <w:rFonts w:asciiTheme="majorBidi" w:hAnsiTheme="majorBidi" w:cstheme="majorBidi"/>
          <w:b/>
          <w:bCs/>
        </w:rPr>
        <w:t>Reference</w:t>
      </w:r>
      <w:r w:rsidR="00F332A4" w:rsidRPr="00FD1E7A">
        <w:rPr>
          <w:rFonts w:asciiTheme="majorBidi" w:hAnsiTheme="majorBidi" w:cstheme="majorBidi"/>
          <w:b/>
          <w:bCs/>
        </w:rPr>
        <w:t>s</w:t>
      </w:r>
    </w:p>
    <w:p w14:paraId="4AE0E60B" w14:textId="77EF3729" w:rsidR="007B6F6A" w:rsidRDefault="007B6F6A" w:rsidP="007B6F6A">
      <w:pPr>
        <w:spacing w:before="100" w:beforeAutospacing="1" w:after="100" w:afterAutospacing="1" w:line="276" w:lineRule="auto"/>
        <w:jc w:val="both"/>
      </w:pPr>
      <w:proofErr w:type="spellStart"/>
      <w:r w:rsidRPr="0028056F">
        <w:t>Aihie</w:t>
      </w:r>
      <w:proofErr w:type="spellEnd"/>
      <w:r w:rsidRPr="0028056F">
        <w:t xml:space="preserve">, O. N. (2009). </w:t>
      </w:r>
      <w:r w:rsidRPr="0028056F">
        <w:rPr>
          <w:i/>
          <w:iCs/>
        </w:rPr>
        <w:t>Prevalence of domestic violence in Nigeria: Implications for counselling</w:t>
      </w:r>
      <w:r w:rsidRPr="0028056F">
        <w:t xml:space="preserve">. Edo Journal of Counselling, 2(1), 1–8. </w:t>
      </w:r>
      <w:hyperlink r:id="rId10" w:history="1">
        <w:r w:rsidRPr="005908D9">
          <w:rPr>
            <w:rStyle w:val="Hyperlink"/>
          </w:rPr>
          <w:t>https://doi.org/10.4314/ejc.v2i1.52648</w:t>
        </w:r>
      </w:hyperlink>
      <w:r>
        <w:t xml:space="preserve"> </w:t>
      </w:r>
      <w:r w:rsidRPr="0028056F">
        <w:t xml:space="preserve"> </w:t>
      </w:r>
    </w:p>
    <w:p w14:paraId="2F24081F" w14:textId="74EAD2AE" w:rsidR="00AC6C8E" w:rsidRDefault="00AC6C8E" w:rsidP="007B6F6A">
      <w:pPr>
        <w:spacing w:before="100" w:beforeAutospacing="1" w:after="100" w:afterAutospacing="1" w:line="276" w:lineRule="auto"/>
        <w:jc w:val="both"/>
      </w:pPr>
      <w:r>
        <w:rPr>
          <w:rFonts w:ascii="Arial" w:hAnsi="Arial" w:cs="Arial"/>
          <w:color w:val="222222"/>
          <w:sz w:val="20"/>
          <w:szCs w:val="20"/>
          <w:shd w:val="clear" w:color="auto" w:fill="FFFFFF"/>
        </w:rPr>
        <w:t xml:space="preserve">Murphy, R., &amp; Burke, R. (2015). Sexual and Gender-Based Violence and the Responsibility to Protect: Where Does Gender Come </w:t>
      </w:r>
      <w:proofErr w:type="gramStart"/>
      <w:r>
        <w:rPr>
          <w:rFonts w:ascii="Arial" w:hAnsi="Arial" w:cs="Arial"/>
          <w:color w:val="222222"/>
          <w:sz w:val="20"/>
          <w:szCs w:val="20"/>
          <w:shd w:val="clear" w:color="auto" w:fill="FFFFFF"/>
        </w:rPr>
        <w:t>In?.</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Irish Studies in International Affairs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(1), 227-255.</w:t>
      </w:r>
    </w:p>
    <w:p w14:paraId="1AACA0E1" w14:textId="06CBEA88" w:rsidR="00EE0379" w:rsidRPr="00FD1E7A" w:rsidRDefault="00EE0379" w:rsidP="007B6F6A">
      <w:pPr>
        <w:spacing w:before="100" w:beforeAutospacing="1" w:after="100" w:afterAutospacing="1" w:line="276" w:lineRule="auto"/>
        <w:jc w:val="both"/>
        <w:rPr>
          <w:rFonts w:asciiTheme="majorBidi" w:hAnsiTheme="majorBidi" w:cstheme="majorBidi"/>
          <w:color w:val="000000"/>
          <w:kern w:val="0"/>
          <w14:ligatures w14:val="none"/>
        </w:rPr>
      </w:pPr>
      <w:proofErr w:type="spellStart"/>
      <w:r w:rsidRPr="00FD1E7A">
        <w:rPr>
          <w:rFonts w:asciiTheme="majorBidi" w:hAnsiTheme="majorBidi" w:cstheme="majorBidi"/>
          <w:color w:val="000000"/>
          <w:kern w:val="0"/>
          <w14:ligatures w14:val="none"/>
        </w:rPr>
        <w:t>Akinbode</w:t>
      </w:r>
      <w:proofErr w:type="spellEnd"/>
      <w:r w:rsidRPr="00FD1E7A">
        <w:rPr>
          <w:rFonts w:asciiTheme="majorBidi" w:hAnsiTheme="majorBidi" w:cstheme="majorBidi"/>
          <w:color w:val="000000"/>
          <w:kern w:val="0"/>
          <w14:ligatures w14:val="none"/>
        </w:rPr>
        <w:t xml:space="preserve">, S., Oladipo, J., &amp; Yusuf, A. (2021). Perception and experience of gender-based violence in Nigeria workplaces. </w:t>
      </w:r>
      <w:r w:rsidRPr="00FD1E7A">
        <w:rPr>
          <w:rFonts w:asciiTheme="majorBidi" w:hAnsiTheme="majorBidi" w:cstheme="majorBidi"/>
          <w:i/>
          <w:iCs/>
          <w:color w:val="000000"/>
          <w:kern w:val="0"/>
          <w14:ligatures w14:val="none"/>
        </w:rPr>
        <w:t xml:space="preserve">Journal of African Studies and Development, </w:t>
      </w:r>
      <w:r w:rsidRPr="00FD1E7A">
        <w:rPr>
          <w:rFonts w:asciiTheme="majorBidi" w:hAnsiTheme="majorBidi" w:cstheme="majorBidi"/>
          <w:color w:val="000000"/>
          <w:kern w:val="0"/>
          <w14:ligatures w14:val="none"/>
        </w:rPr>
        <w:t>13(4), 55-</w:t>
      </w:r>
      <w:r w:rsidR="00F332A4" w:rsidRPr="00FD1E7A">
        <w:rPr>
          <w:rFonts w:asciiTheme="majorBidi" w:hAnsiTheme="majorBidi" w:cstheme="majorBidi"/>
          <w:color w:val="000000"/>
          <w:kern w:val="0"/>
          <w14:ligatures w14:val="none"/>
        </w:rPr>
        <w:tab/>
      </w:r>
      <w:r w:rsidRPr="00FD1E7A">
        <w:rPr>
          <w:rFonts w:asciiTheme="majorBidi" w:hAnsiTheme="majorBidi" w:cstheme="majorBidi"/>
          <w:color w:val="000000"/>
          <w:kern w:val="0"/>
          <w14:ligatures w14:val="none"/>
        </w:rPr>
        <w:t>66.</w:t>
      </w:r>
    </w:p>
    <w:p w14:paraId="6BA485E4" w14:textId="52A5A6AC" w:rsidR="00EE0379" w:rsidRPr="00FD1E7A" w:rsidRDefault="00EE0379" w:rsidP="007B6F6A">
      <w:pPr>
        <w:spacing w:before="100" w:beforeAutospacing="1" w:after="100" w:afterAutospacing="1" w:line="276"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Centers for Disease Control and Prevention (CDC). (2021). Intimate Partner violence.</w:t>
      </w:r>
      <w:r w:rsidR="00C809CF">
        <w:rPr>
          <w:rFonts w:asciiTheme="majorBidi" w:hAnsiTheme="majorBidi" w:cstheme="majorBidi"/>
          <w:color w:val="000000"/>
          <w:kern w:val="0"/>
          <w14:ligatures w14:val="none"/>
        </w:rPr>
        <w:t xml:space="preserve"> </w:t>
      </w:r>
      <w:hyperlink r:id="rId11" w:history="1">
        <w:r w:rsidR="00C809CF" w:rsidRPr="00095C2E">
          <w:rPr>
            <w:rStyle w:val="Hyperlink"/>
          </w:rPr>
          <w:t>https://www.cdc.gov/violenceprevention/intimatepartnerviolence/</w:t>
        </w:r>
      </w:hyperlink>
    </w:p>
    <w:p w14:paraId="21B177D6" w14:textId="391EF586" w:rsidR="00EE0379" w:rsidRDefault="00EE0379" w:rsidP="00C809CF">
      <w:pPr>
        <w:spacing w:line="360" w:lineRule="auto"/>
        <w:jc w:val="both"/>
        <w:rPr>
          <w:rStyle w:val="Hyperlink"/>
        </w:rPr>
      </w:pPr>
      <w:r w:rsidRPr="00FD1E7A">
        <w:rPr>
          <w:rFonts w:asciiTheme="majorBidi" w:hAnsiTheme="majorBidi" w:cstheme="majorBidi"/>
          <w:color w:val="000000"/>
          <w:kern w:val="0"/>
          <w14:ligatures w14:val="none"/>
        </w:rPr>
        <w:t xml:space="preserve">Eniola, B. O., &amp; </w:t>
      </w:r>
      <w:proofErr w:type="spellStart"/>
      <w:r w:rsidRPr="00FD1E7A">
        <w:rPr>
          <w:rFonts w:asciiTheme="majorBidi" w:hAnsiTheme="majorBidi" w:cstheme="majorBidi"/>
          <w:color w:val="000000"/>
          <w:kern w:val="0"/>
          <w14:ligatures w14:val="none"/>
        </w:rPr>
        <w:t>Aremo</w:t>
      </w:r>
      <w:proofErr w:type="spellEnd"/>
      <w:r w:rsidRPr="00FD1E7A">
        <w:rPr>
          <w:rFonts w:asciiTheme="majorBidi" w:hAnsiTheme="majorBidi" w:cstheme="majorBidi"/>
          <w:color w:val="000000"/>
          <w:kern w:val="0"/>
          <w14:ligatures w14:val="none"/>
        </w:rPr>
        <w:t>, J. I. (2023). A reflection on gender-based violence in Nigeria.</w:t>
      </w:r>
      <w:r w:rsidR="00C809CF">
        <w:rPr>
          <w:rFonts w:asciiTheme="majorBidi" w:hAnsiTheme="majorBidi" w:cstheme="majorBidi"/>
          <w:color w:val="000000"/>
          <w:kern w:val="0"/>
          <w14:ligatures w14:val="none"/>
        </w:rPr>
        <w:t xml:space="preserve"> </w:t>
      </w:r>
      <w:r w:rsidRPr="00FD1E7A">
        <w:rPr>
          <w:rFonts w:asciiTheme="majorBidi" w:hAnsiTheme="majorBidi" w:cstheme="majorBidi"/>
          <w:i/>
          <w:iCs/>
          <w:color w:val="000000"/>
          <w:kern w:val="0"/>
          <w14:ligatures w14:val="none"/>
        </w:rPr>
        <w:t>In</w:t>
      </w:r>
      <w:r w:rsidR="00C809CF">
        <w:rPr>
          <w:rFonts w:asciiTheme="majorBidi" w:hAnsiTheme="majorBidi" w:cstheme="majorBidi"/>
          <w:i/>
          <w:iCs/>
          <w:color w:val="000000"/>
          <w:kern w:val="0"/>
          <w14:ligatures w14:val="none"/>
        </w:rPr>
        <w:t xml:space="preserve"> </w:t>
      </w:r>
      <w:r w:rsidRPr="00FD1E7A">
        <w:rPr>
          <w:rFonts w:asciiTheme="majorBidi" w:hAnsiTheme="majorBidi" w:cstheme="majorBidi"/>
          <w:i/>
          <w:iCs/>
          <w:color w:val="000000"/>
          <w:kern w:val="0"/>
          <w14:ligatures w14:val="none"/>
        </w:rPr>
        <w:t xml:space="preserve">Contemporary issues on governance, conflict and security in Africa </w:t>
      </w:r>
      <w:r w:rsidRPr="00FD1E7A">
        <w:rPr>
          <w:rFonts w:asciiTheme="majorBidi" w:hAnsiTheme="majorBidi" w:cstheme="majorBidi"/>
          <w:color w:val="000000"/>
          <w:kern w:val="0"/>
          <w14:ligatures w14:val="none"/>
        </w:rPr>
        <w:t>(pp. 18).</w:t>
      </w:r>
      <w:r w:rsidR="00C809CF">
        <w:rPr>
          <w:rFonts w:asciiTheme="majorBidi" w:hAnsiTheme="majorBidi" w:cstheme="majorBidi"/>
          <w:color w:val="000000"/>
          <w:kern w:val="0"/>
          <w14:ligatures w14:val="none"/>
        </w:rPr>
        <w:t xml:space="preserve"> </w:t>
      </w:r>
      <w:r w:rsidR="00C809CF" w:rsidRPr="00095C2E">
        <w:rPr>
          <w:rFonts w:ascii="Times New Roman" w:hAnsi="Times New Roman" w:cs="Times New Roman"/>
          <w:bCs/>
        </w:rPr>
        <w:t>Palgrave</w:t>
      </w:r>
      <w:r w:rsidR="00C809CF">
        <w:rPr>
          <w:rFonts w:ascii="Times New Roman" w:hAnsi="Times New Roman" w:cs="Times New Roman"/>
          <w:bCs/>
        </w:rPr>
        <w:t xml:space="preserve"> </w:t>
      </w:r>
      <w:r w:rsidR="00C809CF" w:rsidRPr="00095C2E">
        <w:rPr>
          <w:rFonts w:ascii="Times New Roman" w:hAnsi="Times New Roman" w:cs="Times New Roman"/>
          <w:bCs/>
        </w:rPr>
        <w:t xml:space="preserve">Macmillan. </w:t>
      </w:r>
      <w:hyperlink r:id="rId12" w:history="1">
        <w:r w:rsidR="00C809CF" w:rsidRPr="00095C2E">
          <w:rPr>
            <w:rStyle w:val="Hyperlink"/>
          </w:rPr>
          <w:t>https://doi.org/10.1007/978-3-031-29635-2_18</w:t>
        </w:r>
      </w:hyperlink>
    </w:p>
    <w:p w14:paraId="73BDEDAE" w14:textId="5178A84E" w:rsidR="00AC6C8E" w:rsidRPr="00C809CF" w:rsidRDefault="00AC6C8E" w:rsidP="00C809CF">
      <w:pPr>
        <w:spacing w:line="360" w:lineRule="auto"/>
        <w:jc w:val="both"/>
        <w:rPr>
          <w:rFonts w:ascii="Times New Roman" w:hAnsi="Times New Roman" w:cs="Times New Roman"/>
          <w:bCs/>
        </w:rPr>
      </w:pPr>
      <w:proofErr w:type="spellStart"/>
      <w:r>
        <w:rPr>
          <w:rFonts w:ascii="Arial" w:hAnsi="Arial" w:cs="Arial"/>
          <w:color w:val="222222"/>
          <w:sz w:val="20"/>
          <w:szCs w:val="20"/>
          <w:shd w:val="clear" w:color="auto" w:fill="FFFFFF"/>
        </w:rPr>
        <w:t>Gbolahan</w:t>
      </w:r>
      <w:proofErr w:type="spellEnd"/>
      <w:r>
        <w:rPr>
          <w:rFonts w:ascii="Arial" w:hAnsi="Arial" w:cs="Arial"/>
          <w:color w:val="222222"/>
          <w:sz w:val="20"/>
          <w:szCs w:val="20"/>
          <w:shd w:val="clear" w:color="auto" w:fill="FFFFFF"/>
        </w:rPr>
        <w:t xml:space="preserve">, O., &amp; </w:t>
      </w:r>
      <w:proofErr w:type="spellStart"/>
      <w:r>
        <w:rPr>
          <w:rFonts w:ascii="Arial" w:hAnsi="Arial" w:cs="Arial"/>
          <w:color w:val="222222"/>
          <w:sz w:val="20"/>
          <w:szCs w:val="20"/>
          <w:shd w:val="clear" w:color="auto" w:fill="FFFFFF"/>
        </w:rPr>
        <w:t>Ayodapo</w:t>
      </w:r>
      <w:proofErr w:type="spellEnd"/>
      <w:r>
        <w:rPr>
          <w:rFonts w:ascii="Arial" w:hAnsi="Arial" w:cs="Arial"/>
          <w:color w:val="222222"/>
          <w:sz w:val="20"/>
          <w:szCs w:val="20"/>
          <w:shd w:val="clear" w:color="auto" w:fill="FFFFFF"/>
        </w:rPr>
        <w:t>, A. (2013). Socio-cultural factors influencing gender-based violence on agricultural livelihood activities of rural households in Ogun State, Nigeria.</w:t>
      </w:r>
      <w:r w:rsidRPr="00AC6C8E">
        <w:rPr>
          <w:rFonts w:ascii="Arial" w:hAnsi="Arial" w:cs="Arial"/>
          <w:b/>
          <w:bCs/>
          <w:color w:val="737373"/>
          <w:sz w:val="18"/>
          <w:szCs w:val="18"/>
          <w:shd w:val="clear" w:color="auto" w:fill="FFFFFF"/>
        </w:rPr>
        <w:t xml:space="preserve"> </w:t>
      </w:r>
      <w:r w:rsidRPr="00AC6C8E">
        <w:rPr>
          <w:rFonts w:ascii="Arial" w:hAnsi="Arial" w:cs="Arial"/>
          <w:bCs/>
          <w:color w:val="737373"/>
          <w:sz w:val="18"/>
          <w:szCs w:val="18"/>
          <w:shd w:val="clear" w:color="auto" w:fill="FFFFFF"/>
        </w:rPr>
        <w:t> </w:t>
      </w:r>
      <w:hyperlink r:id="rId13" w:history="1">
        <w:r w:rsidRPr="00AC6C8E">
          <w:rPr>
            <w:rStyle w:val="Hyperlink"/>
            <w:rFonts w:ascii="Arial" w:hAnsi="Arial" w:cs="Arial"/>
            <w:bCs/>
            <w:color w:val="1554B2"/>
            <w:sz w:val="18"/>
            <w:szCs w:val="18"/>
            <w:shd w:val="clear" w:color="auto" w:fill="FFFFFF"/>
          </w:rPr>
          <w:t>International Journal of Biodiversity and Conservation</w:t>
        </w:r>
      </w:hyperlink>
      <w:r w:rsidRPr="00AC6C8E">
        <w:rPr>
          <w:rFonts w:ascii="Arial" w:hAnsi="Arial" w:cs="Arial"/>
          <w:bCs/>
          <w:color w:val="737373"/>
          <w:sz w:val="18"/>
          <w:szCs w:val="18"/>
          <w:shd w:val="clear" w:color="auto" w:fill="FFFFFF"/>
        </w:rPr>
        <w:t>, 2013, Vol. 5, No. 1, 1-14</w:t>
      </w:r>
    </w:p>
    <w:p w14:paraId="77B7C64A" w14:textId="04DE6054" w:rsidR="00EE0379" w:rsidRDefault="00EE0379" w:rsidP="007B6F6A">
      <w:pPr>
        <w:spacing w:before="100" w:beforeAutospacing="1" w:after="100" w:afterAutospacing="1" w:line="276" w:lineRule="auto"/>
        <w:jc w:val="both"/>
        <w:rPr>
          <w:rFonts w:asciiTheme="majorBidi" w:hAnsiTheme="majorBidi" w:cstheme="majorBidi"/>
          <w:bCs/>
        </w:rPr>
      </w:pPr>
      <w:r w:rsidRPr="00FD1E7A">
        <w:rPr>
          <w:rFonts w:asciiTheme="majorBidi" w:hAnsiTheme="majorBidi" w:cstheme="majorBidi"/>
          <w:bCs/>
        </w:rPr>
        <w:t xml:space="preserve">Idowu, A., Israel, O. K., </w:t>
      </w:r>
      <w:proofErr w:type="spellStart"/>
      <w:r w:rsidRPr="00FD1E7A">
        <w:rPr>
          <w:rFonts w:asciiTheme="majorBidi" w:hAnsiTheme="majorBidi" w:cstheme="majorBidi"/>
          <w:bCs/>
        </w:rPr>
        <w:t>Obisesan</w:t>
      </w:r>
      <w:proofErr w:type="spellEnd"/>
      <w:r w:rsidRPr="00FD1E7A">
        <w:rPr>
          <w:rFonts w:asciiTheme="majorBidi" w:hAnsiTheme="majorBidi" w:cstheme="majorBidi"/>
          <w:bCs/>
        </w:rPr>
        <w:t xml:space="preserve">, O. I., </w:t>
      </w:r>
      <w:proofErr w:type="spellStart"/>
      <w:r w:rsidRPr="00FD1E7A">
        <w:rPr>
          <w:rFonts w:asciiTheme="majorBidi" w:hAnsiTheme="majorBidi" w:cstheme="majorBidi"/>
          <w:bCs/>
        </w:rPr>
        <w:t>Ogunmodede</w:t>
      </w:r>
      <w:proofErr w:type="spellEnd"/>
      <w:r w:rsidRPr="00FD1E7A">
        <w:rPr>
          <w:rFonts w:asciiTheme="majorBidi" w:hAnsiTheme="majorBidi" w:cstheme="majorBidi"/>
          <w:bCs/>
        </w:rPr>
        <w:t xml:space="preserve">, O., Babayeju, O., </w:t>
      </w:r>
      <w:proofErr w:type="spellStart"/>
      <w:r w:rsidRPr="00FD1E7A">
        <w:rPr>
          <w:rFonts w:asciiTheme="majorBidi" w:hAnsiTheme="majorBidi" w:cstheme="majorBidi"/>
          <w:bCs/>
        </w:rPr>
        <w:t>Abogunloko</w:t>
      </w:r>
      <w:proofErr w:type="spellEnd"/>
      <w:r w:rsidRPr="00FD1E7A">
        <w:rPr>
          <w:rFonts w:asciiTheme="majorBidi" w:hAnsiTheme="majorBidi" w:cstheme="majorBidi"/>
          <w:bCs/>
        </w:rPr>
        <w:t xml:space="preserve">, R., Oluwole, A., </w:t>
      </w:r>
      <w:proofErr w:type="spellStart"/>
      <w:r w:rsidRPr="00FD1E7A">
        <w:rPr>
          <w:rFonts w:asciiTheme="majorBidi" w:hAnsiTheme="majorBidi" w:cstheme="majorBidi"/>
          <w:bCs/>
        </w:rPr>
        <w:t>Gbemileke</w:t>
      </w:r>
      <w:proofErr w:type="spellEnd"/>
      <w:r w:rsidRPr="00FD1E7A">
        <w:rPr>
          <w:rFonts w:asciiTheme="majorBidi" w:hAnsiTheme="majorBidi" w:cstheme="majorBidi"/>
          <w:bCs/>
        </w:rPr>
        <w:t xml:space="preserve">, F., </w:t>
      </w:r>
      <w:proofErr w:type="spellStart"/>
      <w:r w:rsidRPr="00FD1E7A">
        <w:rPr>
          <w:rFonts w:asciiTheme="majorBidi" w:hAnsiTheme="majorBidi" w:cstheme="majorBidi"/>
          <w:bCs/>
        </w:rPr>
        <w:t>Olukoga</w:t>
      </w:r>
      <w:proofErr w:type="spellEnd"/>
      <w:r w:rsidRPr="00FD1E7A">
        <w:rPr>
          <w:rFonts w:asciiTheme="majorBidi" w:hAnsiTheme="majorBidi" w:cstheme="majorBidi"/>
          <w:bCs/>
        </w:rPr>
        <w:t xml:space="preserve">, P., Adegbite, J., </w:t>
      </w:r>
      <w:proofErr w:type="spellStart"/>
      <w:r w:rsidRPr="00FD1E7A">
        <w:rPr>
          <w:rFonts w:asciiTheme="majorBidi" w:hAnsiTheme="majorBidi" w:cstheme="majorBidi"/>
          <w:bCs/>
        </w:rPr>
        <w:t>Adetoye</w:t>
      </w:r>
      <w:proofErr w:type="spellEnd"/>
      <w:r w:rsidRPr="00FD1E7A">
        <w:rPr>
          <w:rFonts w:asciiTheme="majorBidi" w:hAnsiTheme="majorBidi" w:cstheme="majorBidi"/>
          <w:bCs/>
        </w:rPr>
        <w:t xml:space="preserve">, F., </w:t>
      </w:r>
      <w:proofErr w:type="spellStart"/>
      <w:r w:rsidRPr="00FD1E7A">
        <w:rPr>
          <w:rFonts w:asciiTheme="majorBidi" w:hAnsiTheme="majorBidi" w:cstheme="majorBidi"/>
          <w:bCs/>
        </w:rPr>
        <w:t>Aboloye</w:t>
      </w:r>
      <w:proofErr w:type="spellEnd"/>
      <w:r w:rsidRPr="00FD1E7A">
        <w:rPr>
          <w:rFonts w:asciiTheme="majorBidi" w:hAnsiTheme="majorBidi" w:cstheme="majorBidi"/>
          <w:bCs/>
        </w:rPr>
        <w:t xml:space="preserve">, O., Lawal, O., Olujimi, E., </w:t>
      </w:r>
      <w:proofErr w:type="spellStart"/>
      <w:r w:rsidRPr="00FD1E7A">
        <w:rPr>
          <w:rFonts w:asciiTheme="majorBidi" w:hAnsiTheme="majorBidi" w:cstheme="majorBidi"/>
          <w:bCs/>
        </w:rPr>
        <w:t>Obielodan</w:t>
      </w:r>
      <w:proofErr w:type="spellEnd"/>
      <w:r w:rsidRPr="00FD1E7A">
        <w:rPr>
          <w:rFonts w:asciiTheme="majorBidi" w:hAnsiTheme="majorBidi" w:cstheme="majorBidi"/>
          <w:bCs/>
        </w:rPr>
        <w:t xml:space="preserve">, O., &amp; Bayo-Philip, O. (2023). Gender-based violence in a rural Nigerian community during the COVID-19 era: a call for policy action. </w:t>
      </w:r>
      <w:r w:rsidRPr="00FD1E7A">
        <w:rPr>
          <w:rFonts w:asciiTheme="majorBidi" w:hAnsiTheme="majorBidi" w:cstheme="majorBidi"/>
          <w:bCs/>
          <w:i/>
          <w:iCs/>
        </w:rPr>
        <w:t>Pan African Medical Journal, 10</w:t>
      </w:r>
      <w:r w:rsidRPr="00FD1E7A">
        <w:rPr>
          <w:rFonts w:asciiTheme="majorBidi" w:hAnsiTheme="majorBidi" w:cstheme="majorBidi"/>
          <w:bCs/>
        </w:rPr>
        <w:t>(4), 37178.</w:t>
      </w:r>
      <w:r w:rsidR="00C809CF">
        <w:rPr>
          <w:rFonts w:asciiTheme="majorBidi" w:hAnsiTheme="majorBidi" w:cstheme="majorBidi"/>
          <w:bCs/>
        </w:rPr>
        <w:t xml:space="preserve"> </w:t>
      </w:r>
      <w:hyperlink r:id="rId14" w:history="1">
        <w:r w:rsidR="00C809CF" w:rsidRPr="00095C2E">
          <w:rPr>
            <w:rStyle w:val="Hyperlink"/>
          </w:rPr>
          <w:t>https://doi.org/10.11604/pamj-oh.2023.10.4.3717</w:t>
        </w:r>
      </w:hyperlink>
    </w:p>
    <w:p w14:paraId="0494C133" w14:textId="00501D8D" w:rsidR="002426CB" w:rsidRPr="00C809CF" w:rsidRDefault="002426CB" w:rsidP="007B6F6A">
      <w:pPr>
        <w:spacing w:before="100" w:beforeAutospacing="1" w:after="100" w:afterAutospacing="1" w:line="276" w:lineRule="auto"/>
        <w:jc w:val="both"/>
        <w:rPr>
          <w:rFonts w:asciiTheme="majorBidi" w:hAnsiTheme="majorBidi" w:cstheme="majorBidi"/>
          <w:bCs/>
        </w:rPr>
      </w:pPr>
      <w:r w:rsidRPr="00C809CF">
        <w:rPr>
          <w:rFonts w:asciiTheme="majorBidi" w:hAnsiTheme="majorBidi" w:cstheme="majorBidi"/>
          <w:color w:val="232323"/>
          <w:shd w:val="clear" w:color="auto" w:fill="FFFFFF"/>
        </w:rPr>
        <w:lastRenderedPageBreak/>
        <w:t>Lazarus, R., &amp; Folkman, S. (1984). Stress, Appraisal, and Coping. New York: Springer</w:t>
      </w:r>
    </w:p>
    <w:p w14:paraId="603EFCC4" w14:textId="1468690F" w:rsidR="00EE0379" w:rsidRPr="00FD1E7A" w:rsidRDefault="00EE0379" w:rsidP="007B6F6A">
      <w:pPr>
        <w:spacing w:before="100" w:beforeAutospacing="1" w:after="100" w:afterAutospacing="1" w:line="276" w:lineRule="auto"/>
        <w:jc w:val="both"/>
        <w:rPr>
          <w:rFonts w:asciiTheme="majorBidi" w:hAnsiTheme="majorBidi" w:cstheme="majorBidi"/>
          <w:color w:val="000000"/>
          <w:kern w:val="0"/>
          <w14:ligatures w14:val="none"/>
        </w:rPr>
      </w:pPr>
      <w:proofErr w:type="spellStart"/>
      <w:r w:rsidRPr="00FD1E7A">
        <w:rPr>
          <w:rFonts w:asciiTheme="majorBidi" w:hAnsiTheme="majorBidi" w:cstheme="majorBidi"/>
          <w:color w:val="000000"/>
          <w:kern w:val="0"/>
          <w14:ligatures w14:val="none"/>
        </w:rPr>
        <w:t>Ogunlela</w:t>
      </w:r>
      <w:proofErr w:type="spellEnd"/>
      <w:r w:rsidRPr="00FD1E7A">
        <w:rPr>
          <w:rFonts w:asciiTheme="majorBidi" w:hAnsiTheme="majorBidi" w:cstheme="majorBidi"/>
          <w:color w:val="000000"/>
          <w:kern w:val="0"/>
          <w14:ligatures w14:val="none"/>
        </w:rPr>
        <w:t>, Y. I., &amp; Mukhtar, A. A. (2009). Gender issues in agriculture and rural development in Nigeria: The role of women. </w:t>
      </w:r>
      <w:r w:rsidRPr="00FD1E7A">
        <w:rPr>
          <w:rFonts w:asciiTheme="majorBidi" w:hAnsiTheme="majorBidi" w:cstheme="majorBidi"/>
          <w:i/>
          <w:iCs/>
          <w:color w:val="000000"/>
          <w:kern w:val="0"/>
          <w14:ligatures w14:val="none"/>
        </w:rPr>
        <w:t>Humanity &amp; Social Sciences Journal</w:t>
      </w:r>
      <w:r w:rsidRPr="00FD1E7A">
        <w:rPr>
          <w:rFonts w:asciiTheme="majorBidi" w:hAnsiTheme="majorBidi" w:cstheme="majorBidi"/>
          <w:color w:val="000000"/>
          <w:kern w:val="0"/>
          <w14:ligatures w14:val="none"/>
        </w:rPr>
        <w:t>, 4(1), 19–30.</w:t>
      </w:r>
    </w:p>
    <w:p w14:paraId="6B73DD04" w14:textId="049315D5" w:rsidR="00EE0379" w:rsidRPr="00FD1E7A" w:rsidRDefault="00EE0379" w:rsidP="007B6F6A">
      <w:pPr>
        <w:spacing w:before="100" w:beforeAutospacing="1" w:after="100" w:afterAutospacing="1" w:line="276" w:lineRule="auto"/>
        <w:jc w:val="both"/>
        <w:rPr>
          <w:rFonts w:asciiTheme="majorBidi" w:hAnsiTheme="majorBidi" w:cstheme="majorBidi"/>
          <w:color w:val="000000"/>
          <w:kern w:val="0"/>
          <w14:ligatures w14:val="none"/>
        </w:rPr>
      </w:pPr>
      <w:r w:rsidRPr="00FD1E7A">
        <w:rPr>
          <w:rFonts w:asciiTheme="majorBidi" w:hAnsiTheme="majorBidi" w:cstheme="majorBidi"/>
          <w:color w:val="000000"/>
          <w:kern w:val="0"/>
          <w14:ligatures w14:val="none"/>
        </w:rPr>
        <w:t xml:space="preserve">Ogunyemi, T. A. (2021). Workplace emotional abuse and women’s mental health in Nigeria’s </w:t>
      </w:r>
      <w:r w:rsidR="00F332A4" w:rsidRPr="00FD1E7A">
        <w:rPr>
          <w:rFonts w:asciiTheme="majorBidi" w:hAnsiTheme="majorBidi" w:cstheme="majorBidi"/>
          <w:color w:val="000000"/>
          <w:kern w:val="0"/>
          <w14:ligatures w14:val="none"/>
        </w:rPr>
        <w:t xml:space="preserve">Agricultural </w:t>
      </w:r>
      <w:r w:rsidRPr="00FD1E7A">
        <w:rPr>
          <w:rFonts w:asciiTheme="majorBidi" w:hAnsiTheme="majorBidi" w:cstheme="majorBidi"/>
          <w:color w:val="000000"/>
          <w:kern w:val="0"/>
          <w14:ligatures w14:val="none"/>
        </w:rPr>
        <w:t>sector. </w:t>
      </w:r>
      <w:r w:rsidRPr="00FD1E7A">
        <w:rPr>
          <w:rFonts w:asciiTheme="majorBidi" w:hAnsiTheme="majorBidi" w:cstheme="majorBidi"/>
          <w:i/>
          <w:iCs/>
          <w:color w:val="000000"/>
          <w:kern w:val="0"/>
          <w14:ligatures w14:val="none"/>
        </w:rPr>
        <w:t>International Journal of Gender and Development Issues</w:t>
      </w:r>
      <w:r w:rsidRPr="00FD1E7A">
        <w:rPr>
          <w:rFonts w:asciiTheme="majorBidi" w:hAnsiTheme="majorBidi" w:cstheme="majorBidi"/>
          <w:color w:val="000000"/>
          <w:kern w:val="0"/>
          <w14:ligatures w14:val="none"/>
        </w:rPr>
        <w:t>, 6(2), 41–52.</w:t>
      </w:r>
    </w:p>
    <w:p w14:paraId="6CDBAD70" w14:textId="0EE7D32E" w:rsidR="00EE0379" w:rsidRPr="00FD1E7A" w:rsidRDefault="00EE0379" w:rsidP="007B6F6A">
      <w:pPr>
        <w:spacing w:line="276" w:lineRule="auto"/>
        <w:jc w:val="both"/>
        <w:rPr>
          <w:rFonts w:asciiTheme="majorBidi" w:eastAsiaTheme="minorHAnsi" w:hAnsiTheme="majorBidi" w:cstheme="majorBidi"/>
          <w:bCs/>
          <w:kern w:val="0"/>
          <w14:ligatures w14:val="none"/>
        </w:rPr>
      </w:pPr>
      <w:bookmarkStart w:id="6" w:name="_GoBack"/>
      <w:bookmarkEnd w:id="6"/>
      <w:proofErr w:type="spellStart"/>
      <w:r w:rsidRPr="00FD1E7A">
        <w:rPr>
          <w:rFonts w:asciiTheme="majorBidi" w:eastAsiaTheme="minorHAnsi" w:hAnsiTheme="majorBidi" w:cstheme="majorBidi"/>
          <w:bCs/>
          <w:kern w:val="0"/>
          <w14:ligatures w14:val="none"/>
        </w:rPr>
        <w:t>Okoroafor</w:t>
      </w:r>
      <w:proofErr w:type="spellEnd"/>
      <w:r w:rsidRPr="00FD1E7A">
        <w:rPr>
          <w:rFonts w:asciiTheme="majorBidi" w:eastAsiaTheme="minorHAnsi" w:hAnsiTheme="majorBidi" w:cstheme="majorBidi"/>
          <w:bCs/>
          <w:kern w:val="0"/>
          <w14:ligatures w14:val="none"/>
        </w:rPr>
        <w:t xml:space="preserve">, C. C., &amp; Amarachukwu, O. V. (2024). Navigating Gender-Based Violence impacts on women farmers' livelihoods and mitigation strategies in selected South eastern states in Nigeria. </w:t>
      </w:r>
      <w:r w:rsidRPr="00FD1E7A">
        <w:rPr>
          <w:rFonts w:asciiTheme="majorBidi" w:eastAsiaTheme="minorHAnsi" w:hAnsiTheme="majorBidi" w:cstheme="majorBidi"/>
          <w:bCs/>
          <w:i/>
          <w:iCs/>
          <w:kern w:val="0"/>
          <w14:ligatures w14:val="none"/>
        </w:rPr>
        <w:t>Discovery Agriculture</w:t>
      </w:r>
      <w:r w:rsidRPr="00FD1E7A">
        <w:rPr>
          <w:rFonts w:asciiTheme="majorBidi" w:eastAsiaTheme="minorHAnsi" w:hAnsiTheme="majorBidi" w:cstheme="majorBidi"/>
          <w:bCs/>
          <w:kern w:val="0"/>
          <w14:ligatures w14:val="none"/>
        </w:rPr>
        <w:t xml:space="preserve">. </w:t>
      </w:r>
      <w:hyperlink r:id="rId15" w:history="1">
        <w:r w:rsidRPr="00FD1E7A">
          <w:rPr>
            <w:rFonts w:asciiTheme="majorBidi" w:eastAsiaTheme="minorHAnsi" w:hAnsiTheme="majorBidi" w:cstheme="majorBidi"/>
            <w:color w:val="0563C1" w:themeColor="hyperlink"/>
            <w:kern w:val="0"/>
            <w:u w:val="single"/>
            <w14:ligatures w14:val="none"/>
          </w:rPr>
          <w:t>https://doi.org/10.13140/RG.2.2.33733.01763</w:t>
        </w:r>
      </w:hyperlink>
    </w:p>
    <w:p w14:paraId="4299A38A" w14:textId="64DE50A0" w:rsidR="00EE0379" w:rsidRDefault="00EE0379" w:rsidP="007B6F6A">
      <w:pPr>
        <w:spacing w:line="276" w:lineRule="auto"/>
        <w:jc w:val="both"/>
        <w:rPr>
          <w:rFonts w:asciiTheme="majorBidi" w:eastAsiaTheme="minorHAnsi" w:hAnsiTheme="majorBidi" w:cstheme="majorBidi"/>
          <w:kern w:val="0"/>
          <w14:ligatures w14:val="none"/>
        </w:rPr>
      </w:pPr>
      <w:r w:rsidRPr="00FD1E7A">
        <w:rPr>
          <w:rFonts w:asciiTheme="majorBidi" w:eastAsiaTheme="minorHAnsi" w:hAnsiTheme="majorBidi" w:cstheme="majorBidi"/>
          <w:bCs/>
          <w:kern w:val="0"/>
          <w14:ligatures w14:val="none"/>
        </w:rPr>
        <w:t xml:space="preserve">Okoye, B. C., &amp; </w:t>
      </w:r>
      <w:proofErr w:type="spellStart"/>
      <w:r w:rsidRPr="00FD1E7A">
        <w:rPr>
          <w:rFonts w:asciiTheme="majorBidi" w:eastAsiaTheme="minorHAnsi" w:hAnsiTheme="majorBidi" w:cstheme="majorBidi"/>
          <w:bCs/>
          <w:kern w:val="0"/>
          <w14:ligatures w14:val="none"/>
        </w:rPr>
        <w:t>Adamade</w:t>
      </w:r>
      <w:proofErr w:type="spellEnd"/>
      <w:r w:rsidRPr="00FD1E7A">
        <w:rPr>
          <w:rFonts w:asciiTheme="majorBidi" w:eastAsiaTheme="minorHAnsi" w:hAnsiTheme="majorBidi" w:cstheme="majorBidi"/>
          <w:bCs/>
          <w:kern w:val="0"/>
          <w14:ligatures w14:val="none"/>
        </w:rPr>
        <w:t xml:space="preserve">, C. (2016). </w:t>
      </w:r>
      <w:r w:rsidRPr="00FD1E7A">
        <w:rPr>
          <w:rFonts w:asciiTheme="majorBidi" w:eastAsiaTheme="minorHAnsi" w:hAnsiTheme="majorBidi" w:cstheme="majorBidi"/>
          <w:bCs/>
          <w:i/>
          <w:iCs/>
          <w:kern w:val="0"/>
          <w14:ligatures w14:val="none"/>
        </w:rPr>
        <w:t>Agriculture in Nigeria: Country Report for FAO-Nigeria</w:t>
      </w:r>
      <w:r w:rsidRPr="00FD1E7A">
        <w:rPr>
          <w:rFonts w:asciiTheme="majorBidi" w:eastAsiaTheme="minorHAnsi" w:hAnsiTheme="majorBidi" w:cstheme="majorBidi"/>
          <w:bCs/>
          <w:kern w:val="0"/>
          <w14:ligatures w14:val="none"/>
        </w:rPr>
        <w:t xml:space="preserve">. </w:t>
      </w:r>
      <w:hyperlink r:id="rId16" w:history="1">
        <w:r w:rsidR="006E04FD" w:rsidRPr="005908D9">
          <w:rPr>
            <w:rStyle w:val="Hyperlink"/>
            <w:rFonts w:asciiTheme="majorBidi" w:eastAsiaTheme="minorHAnsi" w:hAnsiTheme="majorBidi" w:cstheme="majorBidi"/>
            <w:kern w:val="0"/>
            <w14:ligatures w14:val="none"/>
          </w:rPr>
          <w:t>https://doi.org/10.13140/RG.2.2.24854.27202</w:t>
        </w:r>
      </w:hyperlink>
    </w:p>
    <w:p w14:paraId="3FC808AE" w14:textId="5EB6F431" w:rsidR="007672FE" w:rsidRPr="007672FE" w:rsidRDefault="007672FE" w:rsidP="00FB4B37">
      <w:pPr>
        <w:pStyle w:val="NormalWeb"/>
        <w:jc w:val="both"/>
      </w:pPr>
      <w:r w:rsidRPr="00457027">
        <w:t xml:space="preserve">United Nations Women. (2022). </w:t>
      </w:r>
      <w:r w:rsidRPr="00457027">
        <w:rPr>
          <w:rStyle w:val="Emphasis"/>
        </w:rPr>
        <w:t>Progress of the world’s women 2022: Gender equality in a</w:t>
      </w:r>
      <w:r>
        <w:rPr>
          <w:rStyle w:val="Emphasis"/>
        </w:rPr>
        <w:t xml:space="preserve"> </w:t>
      </w:r>
      <w:r w:rsidRPr="00457027">
        <w:rPr>
          <w:rStyle w:val="Emphasis"/>
        </w:rPr>
        <w:t>pandemic world</w:t>
      </w:r>
      <w:r w:rsidRPr="00457027">
        <w:t>. New York: United Nations.</w:t>
      </w:r>
    </w:p>
    <w:p w14:paraId="1635A238" w14:textId="514100C8" w:rsidR="009C1A88" w:rsidRPr="00EE0379" w:rsidRDefault="00EE0379" w:rsidP="00FB4B37">
      <w:pPr>
        <w:spacing w:before="100" w:beforeAutospacing="1" w:after="100" w:afterAutospacing="1" w:line="240" w:lineRule="auto"/>
        <w:jc w:val="both"/>
        <w:rPr>
          <w:rFonts w:asciiTheme="majorBidi" w:hAnsiTheme="majorBidi" w:cstheme="majorBidi"/>
          <w:b/>
          <w:bCs/>
        </w:rPr>
      </w:pPr>
      <w:r w:rsidRPr="00FD1E7A">
        <w:rPr>
          <w:rFonts w:asciiTheme="majorBidi" w:hAnsiTheme="majorBidi" w:cstheme="majorBidi"/>
          <w:color w:val="000000"/>
          <w:kern w:val="0"/>
          <w14:ligatures w14:val="none"/>
        </w:rPr>
        <w:t>World Health Organization (WHO). (2021). </w:t>
      </w:r>
      <w:r w:rsidRPr="00FD1E7A">
        <w:rPr>
          <w:rFonts w:asciiTheme="majorBidi" w:hAnsiTheme="majorBidi" w:cstheme="majorBidi"/>
          <w:i/>
          <w:iCs/>
          <w:color w:val="000000"/>
          <w:kern w:val="0"/>
          <w14:ligatures w14:val="none"/>
        </w:rPr>
        <w:t>Violence against women prevalence estimates, 2018.</w:t>
      </w:r>
      <w:r w:rsidRPr="00FD1E7A">
        <w:rPr>
          <w:rFonts w:asciiTheme="majorBidi" w:hAnsiTheme="majorBidi" w:cstheme="majorBidi"/>
          <w:color w:val="000000"/>
          <w:kern w:val="0"/>
          <w14:ligatures w14:val="none"/>
        </w:rPr>
        <w:t> Geneva: World Health Organization.</w:t>
      </w:r>
    </w:p>
    <w:sectPr w:rsidR="009C1A88" w:rsidRPr="00EE03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03966" w14:textId="77777777" w:rsidR="008938BB" w:rsidRDefault="008938BB" w:rsidP="003B4909">
      <w:pPr>
        <w:spacing w:after="0" w:line="240" w:lineRule="auto"/>
      </w:pPr>
      <w:r>
        <w:separator/>
      </w:r>
    </w:p>
  </w:endnote>
  <w:endnote w:type="continuationSeparator" w:id="0">
    <w:p w14:paraId="1433ADC6" w14:textId="77777777" w:rsidR="008938BB" w:rsidRDefault="008938BB" w:rsidP="003B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2F618" w14:textId="77777777" w:rsidR="008938BB" w:rsidRDefault="008938BB" w:rsidP="003B4909">
      <w:pPr>
        <w:spacing w:after="0" w:line="240" w:lineRule="auto"/>
      </w:pPr>
      <w:r>
        <w:separator/>
      </w:r>
    </w:p>
  </w:footnote>
  <w:footnote w:type="continuationSeparator" w:id="0">
    <w:p w14:paraId="1A9DC21E" w14:textId="77777777" w:rsidR="008938BB" w:rsidRDefault="008938BB" w:rsidP="003B4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B5F0" w14:textId="2589DE28" w:rsidR="008C555A" w:rsidRDefault="00AC6C8E">
    <w:pPr>
      <w:pStyle w:val="Header"/>
    </w:pPr>
    <w:r>
      <w:rPr>
        <w:noProof/>
      </w:rPr>
      <w:pict w14:anchorId="7DC91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4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DFB02" w14:textId="2C7BFC31" w:rsidR="008C555A" w:rsidRDefault="00AC6C8E">
    <w:pPr>
      <w:pStyle w:val="Header"/>
    </w:pPr>
    <w:r>
      <w:rPr>
        <w:noProof/>
      </w:rPr>
      <w:pict w14:anchorId="5C225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4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E45A" w14:textId="2E9B1BA9" w:rsidR="008C555A" w:rsidRDefault="00AC6C8E">
    <w:pPr>
      <w:pStyle w:val="Header"/>
    </w:pPr>
    <w:r>
      <w:rPr>
        <w:noProof/>
      </w:rPr>
      <w:pict w14:anchorId="02771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64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4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E5DF6"/>
    <w:multiLevelType w:val="hybridMultilevel"/>
    <w:tmpl w:val="430A6616"/>
    <w:lvl w:ilvl="0" w:tplc="E7FA1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56624"/>
    <w:multiLevelType w:val="hybridMultilevel"/>
    <w:tmpl w:val="DC2C0B18"/>
    <w:lvl w:ilvl="0" w:tplc="6C2E85E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03222EA"/>
    <w:multiLevelType w:val="hybridMultilevel"/>
    <w:tmpl w:val="430A6616"/>
    <w:lvl w:ilvl="0" w:tplc="E7FA1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A4"/>
    <w:rsid w:val="0001179E"/>
    <w:rsid w:val="00021ECF"/>
    <w:rsid w:val="00040355"/>
    <w:rsid w:val="00042D22"/>
    <w:rsid w:val="00055955"/>
    <w:rsid w:val="000749B1"/>
    <w:rsid w:val="00074AC1"/>
    <w:rsid w:val="00074C4D"/>
    <w:rsid w:val="000773DE"/>
    <w:rsid w:val="00090E49"/>
    <w:rsid w:val="00090E5D"/>
    <w:rsid w:val="000A18E4"/>
    <w:rsid w:val="000A1C1B"/>
    <w:rsid w:val="000B2FAD"/>
    <w:rsid w:val="000C7915"/>
    <w:rsid w:val="001028C5"/>
    <w:rsid w:val="00116DEA"/>
    <w:rsid w:val="001259EC"/>
    <w:rsid w:val="00134330"/>
    <w:rsid w:val="00153EA6"/>
    <w:rsid w:val="001555F6"/>
    <w:rsid w:val="001C0BF8"/>
    <w:rsid w:val="001C5A71"/>
    <w:rsid w:val="001E6FA5"/>
    <w:rsid w:val="001E7FF7"/>
    <w:rsid w:val="002037DD"/>
    <w:rsid w:val="0020457B"/>
    <w:rsid w:val="0020526D"/>
    <w:rsid w:val="002177ED"/>
    <w:rsid w:val="0023791A"/>
    <w:rsid w:val="002426CB"/>
    <w:rsid w:val="00245DA4"/>
    <w:rsid w:val="002557BE"/>
    <w:rsid w:val="0027000E"/>
    <w:rsid w:val="002725FD"/>
    <w:rsid w:val="00272618"/>
    <w:rsid w:val="002853AF"/>
    <w:rsid w:val="002937A1"/>
    <w:rsid w:val="002A64BE"/>
    <w:rsid w:val="002B6CE0"/>
    <w:rsid w:val="002C6CAA"/>
    <w:rsid w:val="002C72AD"/>
    <w:rsid w:val="002C77DF"/>
    <w:rsid w:val="002D0886"/>
    <w:rsid w:val="002D6F30"/>
    <w:rsid w:val="002E3B2A"/>
    <w:rsid w:val="002F53AB"/>
    <w:rsid w:val="00303A80"/>
    <w:rsid w:val="00312298"/>
    <w:rsid w:val="00341FA6"/>
    <w:rsid w:val="0034419E"/>
    <w:rsid w:val="00347482"/>
    <w:rsid w:val="003607A7"/>
    <w:rsid w:val="003646D2"/>
    <w:rsid w:val="00364EDD"/>
    <w:rsid w:val="0036510C"/>
    <w:rsid w:val="003713CD"/>
    <w:rsid w:val="00372889"/>
    <w:rsid w:val="00373050"/>
    <w:rsid w:val="00381D2D"/>
    <w:rsid w:val="003A78B3"/>
    <w:rsid w:val="003B4909"/>
    <w:rsid w:val="003B52DE"/>
    <w:rsid w:val="003B5482"/>
    <w:rsid w:val="003B548C"/>
    <w:rsid w:val="003C0D86"/>
    <w:rsid w:val="003F7CF1"/>
    <w:rsid w:val="00405CB5"/>
    <w:rsid w:val="00414AFA"/>
    <w:rsid w:val="00435479"/>
    <w:rsid w:val="00436BD9"/>
    <w:rsid w:val="00442062"/>
    <w:rsid w:val="00453257"/>
    <w:rsid w:val="00454527"/>
    <w:rsid w:val="00475E21"/>
    <w:rsid w:val="0048179B"/>
    <w:rsid w:val="00482AB7"/>
    <w:rsid w:val="00490F69"/>
    <w:rsid w:val="004A4A63"/>
    <w:rsid w:val="004B52AA"/>
    <w:rsid w:val="004B5C31"/>
    <w:rsid w:val="004C0471"/>
    <w:rsid w:val="004C3CFB"/>
    <w:rsid w:val="004C69EE"/>
    <w:rsid w:val="004F0257"/>
    <w:rsid w:val="004F0A7A"/>
    <w:rsid w:val="004F181A"/>
    <w:rsid w:val="004F562A"/>
    <w:rsid w:val="00501898"/>
    <w:rsid w:val="00502BF3"/>
    <w:rsid w:val="00511339"/>
    <w:rsid w:val="005359E0"/>
    <w:rsid w:val="00537A12"/>
    <w:rsid w:val="00541C7A"/>
    <w:rsid w:val="00543BAD"/>
    <w:rsid w:val="00544CFD"/>
    <w:rsid w:val="00545354"/>
    <w:rsid w:val="00545EE7"/>
    <w:rsid w:val="005462F1"/>
    <w:rsid w:val="00565EEF"/>
    <w:rsid w:val="005728F5"/>
    <w:rsid w:val="00577854"/>
    <w:rsid w:val="00580D1B"/>
    <w:rsid w:val="005A1162"/>
    <w:rsid w:val="005A1C94"/>
    <w:rsid w:val="005C649F"/>
    <w:rsid w:val="005D029F"/>
    <w:rsid w:val="005F08A6"/>
    <w:rsid w:val="005F3A70"/>
    <w:rsid w:val="006164EE"/>
    <w:rsid w:val="006213A1"/>
    <w:rsid w:val="00622EDA"/>
    <w:rsid w:val="006307B7"/>
    <w:rsid w:val="006369E8"/>
    <w:rsid w:val="0064258D"/>
    <w:rsid w:val="006425FA"/>
    <w:rsid w:val="006655D9"/>
    <w:rsid w:val="00675C96"/>
    <w:rsid w:val="00675CF6"/>
    <w:rsid w:val="0068144C"/>
    <w:rsid w:val="00696AD0"/>
    <w:rsid w:val="006A2A1F"/>
    <w:rsid w:val="006C6802"/>
    <w:rsid w:val="006E04FD"/>
    <w:rsid w:val="006E3222"/>
    <w:rsid w:val="006F1B50"/>
    <w:rsid w:val="0070215E"/>
    <w:rsid w:val="00705B37"/>
    <w:rsid w:val="0071526F"/>
    <w:rsid w:val="0073347B"/>
    <w:rsid w:val="00760503"/>
    <w:rsid w:val="00763AD0"/>
    <w:rsid w:val="007672FE"/>
    <w:rsid w:val="00781C7C"/>
    <w:rsid w:val="007853EE"/>
    <w:rsid w:val="007857EA"/>
    <w:rsid w:val="0079692D"/>
    <w:rsid w:val="007A30C8"/>
    <w:rsid w:val="007B6F6A"/>
    <w:rsid w:val="007C2AA4"/>
    <w:rsid w:val="007C67B4"/>
    <w:rsid w:val="007D37A2"/>
    <w:rsid w:val="007E3B4A"/>
    <w:rsid w:val="007F67B1"/>
    <w:rsid w:val="007F727A"/>
    <w:rsid w:val="008413D7"/>
    <w:rsid w:val="00873795"/>
    <w:rsid w:val="008938BB"/>
    <w:rsid w:val="008965E1"/>
    <w:rsid w:val="008A4136"/>
    <w:rsid w:val="008A4FFA"/>
    <w:rsid w:val="008A5D6B"/>
    <w:rsid w:val="008B5D9B"/>
    <w:rsid w:val="008B6656"/>
    <w:rsid w:val="008C12D3"/>
    <w:rsid w:val="008C555A"/>
    <w:rsid w:val="008C7BA9"/>
    <w:rsid w:val="008D0537"/>
    <w:rsid w:val="008D3F0C"/>
    <w:rsid w:val="008E627F"/>
    <w:rsid w:val="008F231B"/>
    <w:rsid w:val="00903ED1"/>
    <w:rsid w:val="00904B8A"/>
    <w:rsid w:val="00907232"/>
    <w:rsid w:val="00913777"/>
    <w:rsid w:val="00913D18"/>
    <w:rsid w:val="00917296"/>
    <w:rsid w:val="00926FB5"/>
    <w:rsid w:val="00934DDB"/>
    <w:rsid w:val="00957BB0"/>
    <w:rsid w:val="0096498F"/>
    <w:rsid w:val="0096584D"/>
    <w:rsid w:val="00965A52"/>
    <w:rsid w:val="00967539"/>
    <w:rsid w:val="00970BD1"/>
    <w:rsid w:val="00982A20"/>
    <w:rsid w:val="009A6730"/>
    <w:rsid w:val="009B1C08"/>
    <w:rsid w:val="009B7B83"/>
    <w:rsid w:val="009C1A88"/>
    <w:rsid w:val="009E3275"/>
    <w:rsid w:val="009E406A"/>
    <w:rsid w:val="009E506B"/>
    <w:rsid w:val="009E6C94"/>
    <w:rsid w:val="00A26E58"/>
    <w:rsid w:val="00A26F85"/>
    <w:rsid w:val="00A416DE"/>
    <w:rsid w:val="00A46E95"/>
    <w:rsid w:val="00A53071"/>
    <w:rsid w:val="00A57F59"/>
    <w:rsid w:val="00A6362D"/>
    <w:rsid w:val="00A6786A"/>
    <w:rsid w:val="00A74211"/>
    <w:rsid w:val="00A80B8E"/>
    <w:rsid w:val="00A82F36"/>
    <w:rsid w:val="00A82FD4"/>
    <w:rsid w:val="00AA25D1"/>
    <w:rsid w:val="00AA2AC3"/>
    <w:rsid w:val="00AB39E9"/>
    <w:rsid w:val="00AB7056"/>
    <w:rsid w:val="00AC1131"/>
    <w:rsid w:val="00AC6454"/>
    <w:rsid w:val="00AC6C8E"/>
    <w:rsid w:val="00AD0705"/>
    <w:rsid w:val="00AD2658"/>
    <w:rsid w:val="00AD6567"/>
    <w:rsid w:val="00AE0A30"/>
    <w:rsid w:val="00AE6906"/>
    <w:rsid w:val="00AF101E"/>
    <w:rsid w:val="00B01EBA"/>
    <w:rsid w:val="00B029C2"/>
    <w:rsid w:val="00B10C58"/>
    <w:rsid w:val="00B14826"/>
    <w:rsid w:val="00B22820"/>
    <w:rsid w:val="00B244E5"/>
    <w:rsid w:val="00B36F0D"/>
    <w:rsid w:val="00B62857"/>
    <w:rsid w:val="00B73E5B"/>
    <w:rsid w:val="00B7405E"/>
    <w:rsid w:val="00B7436A"/>
    <w:rsid w:val="00B95DB0"/>
    <w:rsid w:val="00BA3E7E"/>
    <w:rsid w:val="00BA7F98"/>
    <w:rsid w:val="00BC160B"/>
    <w:rsid w:val="00BC1FF3"/>
    <w:rsid w:val="00BC3569"/>
    <w:rsid w:val="00BC4E62"/>
    <w:rsid w:val="00BD1A49"/>
    <w:rsid w:val="00BD1BF9"/>
    <w:rsid w:val="00BD7FB6"/>
    <w:rsid w:val="00BE0F77"/>
    <w:rsid w:val="00BE20BE"/>
    <w:rsid w:val="00BF1911"/>
    <w:rsid w:val="00BF6337"/>
    <w:rsid w:val="00C1735B"/>
    <w:rsid w:val="00C247B9"/>
    <w:rsid w:val="00C35FC5"/>
    <w:rsid w:val="00C4118A"/>
    <w:rsid w:val="00C4793D"/>
    <w:rsid w:val="00C519BE"/>
    <w:rsid w:val="00C724BA"/>
    <w:rsid w:val="00C809CF"/>
    <w:rsid w:val="00C80E1B"/>
    <w:rsid w:val="00C84DA5"/>
    <w:rsid w:val="00C8625F"/>
    <w:rsid w:val="00CB10C1"/>
    <w:rsid w:val="00CD6505"/>
    <w:rsid w:val="00D01F31"/>
    <w:rsid w:val="00D046DF"/>
    <w:rsid w:val="00D209C6"/>
    <w:rsid w:val="00D21C7E"/>
    <w:rsid w:val="00D47941"/>
    <w:rsid w:val="00D64BF6"/>
    <w:rsid w:val="00D75FE5"/>
    <w:rsid w:val="00D77ECD"/>
    <w:rsid w:val="00D81436"/>
    <w:rsid w:val="00D869CD"/>
    <w:rsid w:val="00D94680"/>
    <w:rsid w:val="00D954A2"/>
    <w:rsid w:val="00D961C1"/>
    <w:rsid w:val="00DF3EDE"/>
    <w:rsid w:val="00E06440"/>
    <w:rsid w:val="00E21B03"/>
    <w:rsid w:val="00E2694B"/>
    <w:rsid w:val="00E35667"/>
    <w:rsid w:val="00E50105"/>
    <w:rsid w:val="00E50AA4"/>
    <w:rsid w:val="00E62ED1"/>
    <w:rsid w:val="00E6386F"/>
    <w:rsid w:val="00E64FD6"/>
    <w:rsid w:val="00E6739B"/>
    <w:rsid w:val="00E72F5F"/>
    <w:rsid w:val="00E85925"/>
    <w:rsid w:val="00E9151C"/>
    <w:rsid w:val="00E9316A"/>
    <w:rsid w:val="00EC1C36"/>
    <w:rsid w:val="00ED4B05"/>
    <w:rsid w:val="00EE0379"/>
    <w:rsid w:val="00EE0E8E"/>
    <w:rsid w:val="00EE29D9"/>
    <w:rsid w:val="00EE3D61"/>
    <w:rsid w:val="00EE718F"/>
    <w:rsid w:val="00F074C0"/>
    <w:rsid w:val="00F12EBD"/>
    <w:rsid w:val="00F332A4"/>
    <w:rsid w:val="00F37BDF"/>
    <w:rsid w:val="00F628C5"/>
    <w:rsid w:val="00F67D2E"/>
    <w:rsid w:val="00F83ACF"/>
    <w:rsid w:val="00FA60EC"/>
    <w:rsid w:val="00FB0B87"/>
    <w:rsid w:val="00FB4B37"/>
    <w:rsid w:val="00FC199D"/>
    <w:rsid w:val="00FC48FF"/>
    <w:rsid w:val="00FC56D8"/>
    <w:rsid w:val="00FD1E7A"/>
    <w:rsid w:val="00FF639F"/>
    <w:rsid w:val="00FF7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1C8409"/>
  <w15:docId w15:val="{27685EA8-EE81-4599-A056-CF740002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5D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D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D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D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D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DA4"/>
    <w:rPr>
      <w:rFonts w:eastAsiaTheme="majorEastAsia" w:cstheme="majorBidi"/>
      <w:color w:val="272727" w:themeColor="text1" w:themeTint="D8"/>
    </w:rPr>
  </w:style>
  <w:style w:type="paragraph" w:styleId="Title">
    <w:name w:val="Title"/>
    <w:basedOn w:val="Normal"/>
    <w:next w:val="Normal"/>
    <w:link w:val="TitleChar"/>
    <w:uiPriority w:val="10"/>
    <w:qFormat/>
    <w:rsid w:val="0024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DA4"/>
    <w:pPr>
      <w:spacing w:before="160"/>
      <w:jc w:val="center"/>
    </w:pPr>
    <w:rPr>
      <w:i/>
      <w:iCs/>
      <w:color w:val="404040" w:themeColor="text1" w:themeTint="BF"/>
    </w:rPr>
  </w:style>
  <w:style w:type="character" w:customStyle="1" w:styleId="QuoteChar">
    <w:name w:val="Quote Char"/>
    <w:basedOn w:val="DefaultParagraphFont"/>
    <w:link w:val="Quote"/>
    <w:uiPriority w:val="29"/>
    <w:rsid w:val="00245DA4"/>
    <w:rPr>
      <w:i/>
      <w:iCs/>
      <w:color w:val="404040" w:themeColor="text1" w:themeTint="BF"/>
    </w:rPr>
  </w:style>
  <w:style w:type="paragraph" w:styleId="ListParagraph">
    <w:name w:val="List Paragraph"/>
    <w:basedOn w:val="Normal"/>
    <w:uiPriority w:val="34"/>
    <w:qFormat/>
    <w:rsid w:val="00245DA4"/>
    <w:pPr>
      <w:ind w:left="720"/>
      <w:contextualSpacing/>
    </w:pPr>
  </w:style>
  <w:style w:type="character" w:styleId="IntenseEmphasis">
    <w:name w:val="Intense Emphasis"/>
    <w:basedOn w:val="DefaultParagraphFont"/>
    <w:uiPriority w:val="21"/>
    <w:qFormat/>
    <w:rsid w:val="00245DA4"/>
    <w:rPr>
      <w:i/>
      <w:iCs/>
      <w:color w:val="2F5496" w:themeColor="accent1" w:themeShade="BF"/>
    </w:rPr>
  </w:style>
  <w:style w:type="paragraph" w:styleId="IntenseQuote">
    <w:name w:val="Intense Quote"/>
    <w:basedOn w:val="Normal"/>
    <w:next w:val="Normal"/>
    <w:link w:val="IntenseQuoteChar"/>
    <w:uiPriority w:val="30"/>
    <w:qFormat/>
    <w:rsid w:val="00245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DA4"/>
    <w:rPr>
      <w:i/>
      <w:iCs/>
      <w:color w:val="2F5496" w:themeColor="accent1" w:themeShade="BF"/>
    </w:rPr>
  </w:style>
  <w:style w:type="character" w:styleId="IntenseReference">
    <w:name w:val="Intense Reference"/>
    <w:basedOn w:val="DefaultParagraphFont"/>
    <w:uiPriority w:val="32"/>
    <w:qFormat/>
    <w:rsid w:val="00245DA4"/>
    <w:rPr>
      <w:b/>
      <w:bCs/>
      <w:smallCaps/>
      <w:color w:val="2F5496" w:themeColor="accent1" w:themeShade="BF"/>
      <w:spacing w:val="5"/>
    </w:rPr>
  </w:style>
  <w:style w:type="character" w:styleId="Hyperlink">
    <w:name w:val="Hyperlink"/>
    <w:basedOn w:val="DefaultParagraphFont"/>
    <w:uiPriority w:val="99"/>
    <w:unhideWhenUsed/>
    <w:rsid w:val="00BF6337"/>
    <w:rPr>
      <w:color w:val="0563C1" w:themeColor="hyperlink"/>
      <w:u w:val="single"/>
    </w:rPr>
  </w:style>
  <w:style w:type="character" w:styleId="UnresolvedMention">
    <w:name w:val="Unresolved Mention"/>
    <w:basedOn w:val="DefaultParagraphFont"/>
    <w:uiPriority w:val="99"/>
    <w:semiHidden/>
    <w:unhideWhenUsed/>
    <w:rsid w:val="000B2FAD"/>
    <w:rPr>
      <w:color w:val="605E5C"/>
      <w:shd w:val="clear" w:color="auto" w:fill="E1DFDD"/>
    </w:rPr>
  </w:style>
  <w:style w:type="character" w:styleId="Strong">
    <w:name w:val="Strong"/>
    <w:basedOn w:val="DefaultParagraphFont"/>
    <w:uiPriority w:val="22"/>
    <w:qFormat/>
    <w:rsid w:val="00CD6505"/>
    <w:rPr>
      <w:b/>
      <w:bCs/>
    </w:rPr>
  </w:style>
  <w:style w:type="table" w:styleId="TableGrid">
    <w:name w:val="Table Grid"/>
    <w:basedOn w:val="TableNormal"/>
    <w:uiPriority w:val="39"/>
    <w:rsid w:val="00405CB5"/>
    <w:pPr>
      <w:spacing w:after="0" w:line="240" w:lineRule="auto"/>
    </w:pPr>
    <w:rPr>
      <w:rFonts w:eastAsia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37A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4535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B7056"/>
  </w:style>
  <w:style w:type="character" w:styleId="Emphasis">
    <w:name w:val="Emphasis"/>
    <w:basedOn w:val="DefaultParagraphFont"/>
    <w:uiPriority w:val="20"/>
    <w:qFormat/>
    <w:rsid w:val="003B52DE"/>
    <w:rPr>
      <w:i/>
      <w:iCs/>
    </w:rPr>
  </w:style>
  <w:style w:type="paragraph" w:styleId="Header">
    <w:name w:val="header"/>
    <w:basedOn w:val="Normal"/>
    <w:link w:val="HeaderChar"/>
    <w:uiPriority w:val="99"/>
    <w:unhideWhenUsed/>
    <w:rsid w:val="003B4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09"/>
  </w:style>
  <w:style w:type="paragraph" w:styleId="Footer">
    <w:name w:val="footer"/>
    <w:basedOn w:val="Normal"/>
    <w:link w:val="FooterChar"/>
    <w:uiPriority w:val="99"/>
    <w:unhideWhenUsed/>
    <w:rsid w:val="003B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0749">
      <w:bodyDiv w:val="1"/>
      <w:marLeft w:val="0"/>
      <w:marRight w:val="0"/>
      <w:marTop w:val="0"/>
      <w:marBottom w:val="0"/>
      <w:divBdr>
        <w:top w:val="none" w:sz="0" w:space="0" w:color="auto"/>
        <w:left w:val="none" w:sz="0" w:space="0" w:color="auto"/>
        <w:bottom w:val="none" w:sz="0" w:space="0" w:color="auto"/>
        <w:right w:val="none" w:sz="0" w:space="0" w:color="auto"/>
      </w:divBdr>
    </w:div>
    <w:div w:id="87312682">
      <w:bodyDiv w:val="1"/>
      <w:marLeft w:val="0"/>
      <w:marRight w:val="0"/>
      <w:marTop w:val="0"/>
      <w:marBottom w:val="0"/>
      <w:divBdr>
        <w:top w:val="none" w:sz="0" w:space="0" w:color="auto"/>
        <w:left w:val="none" w:sz="0" w:space="0" w:color="auto"/>
        <w:bottom w:val="none" w:sz="0" w:space="0" w:color="auto"/>
        <w:right w:val="none" w:sz="0" w:space="0" w:color="auto"/>
      </w:divBdr>
    </w:div>
    <w:div w:id="315233658">
      <w:bodyDiv w:val="1"/>
      <w:marLeft w:val="0"/>
      <w:marRight w:val="0"/>
      <w:marTop w:val="0"/>
      <w:marBottom w:val="0"/>
      <w:divBdr>
        <w:top w:val="none" w:sz="0" w:space="0" w:color="auto"/>
        <w:left w:val="none" w:sz="0" w:space="0" w:color="auto"/>
        <w:bottom w:val="none" w:sz="0" w:space="0" w:color="auto"/>
        <w:right w:val="none" w:sz="0" w:space="0" w:color="auto"/>
      </w:divBdr>
      <w:divsChild>
        <w:div w:id="1785808796">
          <w:marLeft w:val="0"/>
          <w:marRight w:val="0"/>
          <w:marTop w:val="0"/>
          <w:marBottom w:val="0"/>
          <w:divBdr>
            <w:top w:val="none" w:sz="0" w:space="0" w:color="auto"/>
            <w:left w:val="none" w:sz="0" w:space="0" w:color="auto"/>
            <w:bottom w:val="none" w:sz="0" w:space="0" w:color="auto"/>
            <w:right w:val="none" w:sz="0" w:space="0" w:color="auto"/>
          </w:divBdr>
        </w:div>
      </w:divsChild>
    </w:div>
    <w:div w:id="643433009">
      <w:bodyDiv w:val="1"/>
      <w:marLeft w:val="0"/>
      <w:marRight w:val="0"/>
      <w:marTop w:val="0"/>
      <w:marBottom w:val="0"/>
      <w:divBdr>
        <w:top w:val="none" w:sz="0" w:space="0" w:color="auto"/>
        <w:left w:val="none" w:sz="0" w:space="0" w:color="auto"/>
        <w:bottom w:val="none" w:sz="0" w:space="0" w:color="auto"/>
        <w:right w:val="none" w:sz="0" w:space="0" w:color="auto"/>
      </w:divBdr>
    </w:div>
    <w:div w:id="1144665953">
      <w:bodyDiv w:val="1"/>
      <w:marLeft w:val="0"/>
      <w:marRight w:val="0"/>
      <w:marTop w:val="0"/>
      <w:marBottom w:val="0"/>
      <w:divBdr>
        <w:top w:val="none" w:sz="0" w:space="0" w:color="auto"/>
        <w:left w:val="none" w:sz="0" w:space="0" w:color="auto"/>
        <w:bottom w:val="none" w:sz="0" w:space="0" w:color="auto"/>
        <w:right w:val="none" w:sz="0" w:space="0" w:color="auto"/>
      </w:divBdr>
    </w:div>
    <w:div w:id="1238324141">
      <w:bodyDiv w:val="1"/>
      <w:marLeft w:val="0"/>
      <w:marRight w:val="0"/>
      <w:marTop w:val="0"/>
      <w:marBottom w:val="0"/>
      <w:divBdr>
        <w:top w:val="none" w:sz="0" w:space="0" w:color="auto"/>
        <w:left w:val="none" w:sz="0" w:space="0" w:color="auto"/>
        <w:bottom w:val="none" w:sz="0" w:space="0" w:color="auto"/>
        <w:right w:val="none" w:sz="0" w:space="0" w:color="auto"/>
      </w:divBdr>
      <w:divsChild>
        <w:div w:id="474026816">
          <w:marLeft w:val="0"/>
          <w:marRight w:val="0"/>
          <w:marTop w:val="0"/>
          <w:marBottom w:val="0"/>
          <w:divBdr>
            <w:top w:val="none" w:sz="0" w:space="0" w:color="auto"/>
            <w:left w:val="none" w:sz="0" w:space="0" w:color="auto"/>
            <w:bottom w:val="none" w:sz="0" w:space="0" w:color="auto"/>
            <w:right w:val="none" w:sz="0" w:space="0" w:color="auto"/>
          </w:divBdr>
        </w:div>
      </w:divsChild>
    </w:div>
    <w:div w:id="1502507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bidigitallibrary.org/action/doSearch?do=International+Journal+of+Biodiversity+and+Conserv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07/978-3-031-29635-2_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140/RG.2.2.24854.272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violenceprevention/intimatepartnerviolence/" TargetMode="External"/><Relationship Id="rId5" Type="http://schemas.openxmlformats.org/officeDocument/2006/relationships/footnotes" Target="footnotes.xml"/><Relationship Id="rId15" Type="http://schemas.openxmlformats.org/officeDocument/2006/relationships/hyperlink" Target="https://doi.org/10.13140/RG.2.2.33733.01763" TargetMode="External"/><Relationship Id="rId10" Type="http://schemas.openxmlformats.org/officeDocument/2006/relationships/hyperlink" Target="https://doi.org/10.4314/ejc.v2i1.52648"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11604/pamj-oh.2023.10.4.37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21</Pages>
  <Words>4968</Words>
  <Characters>29195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Simisola Olaniyi</dc:creator>
  <cp:keywords/>
  <dc:description/>
  <cp:lastModifiedBy>SDI PC New 16</cp:lastModifiedBy>
  <cp:revision>9</cp:revision>
  <dcterms:created xsi:type="dcterms:W3CDTF">2025-11-18T22:14:00Z</dcterms:created>
  <dcterms:modified xsi:type="dcterms:W3CDTF">2025-11-22T10:38:00Z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d1106013-d1fb-4457-9ca9-5e927bb2cf4d</vt:lpwstr>
  </property>
</Properties>
</file>