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F891">
      <w:pPr>
        <w:pStyle w:val="15"/>
        <w:widowControl/>
        <w:spacing w:line="240" w:lineRule="auto"/>
        <w:rPr>
          <w:rFonts w:ascii="Arial" w:hAnsi="Arial" w:eastAsia="Times New Roman" w:cs="Arial"/>
          <w:bCs/>
          <w:iCs/>
          <w:color w:val="FF0000"/>
          <w:kern w:val="28"/>
          <w:sz w:val="36"/>
          <w:szCs w:val="20"/>
          <w:lang w:eastAsia="en-US"/>
        </w:rPr>
      </w:pPr>
      <w:r>
        <w:rPr>
          <w:rFonts w:hint="eastAsia" w:ascii="Arial" w:hAnsi="Arial" w:eastAsia="Times New Roman" w:cs="Arial"/>
          <w:bCs/>
          <w:iCs/>
          <w:color w:val="FF0000"/>
          <w:kern w:val="28"/>
          <w:sz w:val="36"/>
          <w:szCs w:val="20"/>
          <w:lang w:eastAsia="en-US"/>
        </w:rPr>
        <w:t>Exploring</w:t>
      </w:r>
      <w:r>
        <w:rPr>
          <w:rFonts w:hint="eastAsia" w:ascii="Arial" w:hAnsi="Arial" w:eastAsia="宋体" w:cs="Arial"/>
          <w:bCs/>
          <w:iCs/>
          <w:color w:val="FF0000"/>
          <w:kern w:val="28"/>
          <w:sz w:val="36"/>
          <w:szCs w:val="20"/>
          <w:lang w:val="en-US" w:eastAsia="zh-CN"/>
        </w:rPr>
        <w:t xml:space="preserve"> </w:t>
      </w:r>
      <w:r>
        <w:rPr>
          <w:rFonts w:ascii="Arial" w:hAnsi="Arial" w:eastAsia="Times New Roman" w:cs="Arial"/>
          <w:bCs/>
          <w:iCs/>
          <w:color w:val="FF0000"/>
          <w:kern w:val="28"/>
          <w:sz w:val="36"/>
          <w:szCs w:val="20"/>
          <w:lang w:eastAsia="en-US"/>
        </w:rPr>
        <w:t>Cross - Cultural Marketing Strategies of Fuliang Tea in E - Commerce</w:t>
      </w:r>
    </w:p>
    <w:p w14:paraId="7748BD54">
      <w:pPr>
        <w:pStyle w:val="15"/>
        <w:widowControl/>
        <w:spacing w:line="240" w:lineRule="auto"/>
        <w:rPr>
          <w:rFonts w:ascii="Arial" w:hAnsi="Arial" w:eastAsia="Times New Roman" w:cs="Arial"/>
          <w:bCs/>
          <w:iCs/>
          <w:kern w:val="28"/>
          <w:sz w:val="36"/>
          <w:szCs w:val="20"/>
          <w:lang w:eastAsia="en-US"/>
        </w:rPr>
      </w:pPr>
      <w:bookmarkStart w:id="4" w:name="_GoBack"/>
      <w:bookmarkEnd w:id="4"/>
    </w:p>
    <w:p w14:paraId="30844FAA">
      <w:pPr>
        <w:pStyle w:val="15"/>
        <w:widowControl/>
        <w:spacing w:line="240" w:lineRule="auto"/>
        <w:rPr>
          <w:rFonts w:ascii="Arial" w:hAnsi="Arial" w:eastAsia="Times New Roman" w:cs="Arial"/>
          <w:bCs/>
          <w:iCs/>
          <w:kern w:val="28"/>
          <w:sz w:val="36"/>
          <w:szCs w:val="20"/>
          <w:lang w:eastAsia="en-US"/>
        </w:rPr>
      </w:pPr>
    </w:p>
    <w:p w14:paraId="5EF10911">
      <w:pPr>
        <w:pStyle w:val="2"/>
        <w:keepNext w:val="0"/>
        <w:keepLines w:val="0"/>
        <w:widowControl/>
        <w:rPr>
          <w:rFonts w:ascii="Arial" w:hAnsi="Arial" w:eastAsia="Times New Roman" w:cs="Arial"/>
          <w:bCs w:val="0"/>
          <w:caps/>
          <w:color w:val="auto"/>
          <w:kern w:val="0"/>
          <w:sz w:val="22"/>
          <w:szCs w:val="20"/>
          <w:lang w:eastAsia="en-US"/>
        </w:rPr>
      </w:pPr>
      <w:r>
        <w:rPr>
          <w:rFonts w:ascii="Arial" w:hAnsi="Arial" w:eastAsia="Times New Roman" w:cs="Arial"/>
          <w:bCs w:val="0"/>
          <w:caps/>
          <w:color w:val="auto"/>
          <w:kern w:val="0"/>
          <w:sz w:val="22"/>
          <w:szCs w:val="20"/>
          <w:lang w:eastAsia="en-US"/>
        </w:rPr>
        <w:t>Abstract</w:t>
      </w:r>
    </w:p>
    <w:p w14:paraId="3F0841BF">
      <w:pPr>
        <w:pStyle w:val="7"/>
        <w:widowControl/>
        <w:adjustRightInd w:val="0"/>
        <w:snapToGrid w:val="0"/>
        <w:jc w:val="both"/>
        <w:rPr>
          <w:rFonts w:ascii="Arial" w:hAnsi="Arial" w:cs="Arial"/>
          <w:color w:val="FF0000"/>
          <w:sz w:val="20"/>
          <w:szCs w:val="20"/>
        </w:rPr>
      </w:pPr>
      <w:r>
        <w:rPr>
          <w:rStyle w:val="10"/>
          <w:rFonts w:ascii="Arial" w:hAnsi="Arial" w:cs="Arial"/>
          <w:color w:val="FF0000"/>
          <w:sz w:val="20"/>
          <w:szCs w:val="20"/>
        </w:rPr>
        <w:t>Aims:</w:t>
      </w:r>
      <w:r>
        <w:rPr>
          <w:rFonts w:ascii="Arial" w:hAnsi="Arial" w:cs="Arial"/>
          <w:color w:val="FF0000"/>
          <w:sz w:val="20"/>
          <w:szCs w:val="20"/>
        </w:rPr>
        <w:t xml:space="preserve"> </w:t>
      </w:r>
      <w:r>
        <w:rPr>
          <w:rFonts w:hint="eastAsia" w:ascii="Arial" w:hAnsi="Arial" w:cs="Arial"/>
          <w:color w:val="FF0000"/>
          <w:sz w:val="20"/>
          <w:szCs w:val="20"/>
        </w:rPr>
        <w:t>This study explores how Chinese regional tea enterprises, particularly Fuliang tea producers, develop and implement cross-cultural marketing strategies in the era of global e-commerce. It focuses on how cultural adaptation, digital innovation, and institutional support enhance international competitiveness.</w:t>
      </w:r>
    </w:p>
    <w:p w14:paraId="732C5664">
      <w:pPr>
        <w:pStyle w:val="7"/>
        <w:widowControl/>
        <w:adjustRightInd w:val="0"/>
        <w:snapToGrid w:val="0"/>
        <w:jc w:val="both"/>
        <w:rPr>
          <w:rFonts w:ascii="Arial" w:hAnsi="Arial" w:cs="Arial"/>
          <w:color w:val="FF0000"/>
          <w:sz w:val="20"/>
          <w:szCs w:val="20"/>
        </w:rPr>
      </w:pPr>
      <w:r>
        <w:rPr>
          <w:rStyle w:val="10"/>
          <w:rFonts w:ascii="Arial" w:hAnsi="Arial" w:cs="Arial"/>
          <w:color w:val="FF0000"/>
          <w:sz w:val="20"/>
          <w:szCs w:val="20"/>
        </w:rPr>
        <w:t>Study Design:</w:t>
      </w:r>
      <w:r>
        <w:rPr>
          <w:rFonts w:ascii="Arial" w:hAnsi="Arial" w:cs="Arial"/>
          <w:color w:val="FF0000"/>
          <w:sz w:val="20"/>
          <w:szCs w:val="20"/>
        </w:rPr>
        <w:t xml:space="preserve"> A qualitative, exploratory multiple-case study design was adopted.</w:t>
      </w:r>
    </w:p>
    <w:p w14:paraId="06FB3B49">
      <w:pPr>
        <w:pStyle w:val="7"/>
        <w:widowControl/>
        <w:adjustRightInd w:val="0"/>
        <w:snapToGrid w:val="0"/>
        <w:jc w:val="both"/>
        <w:rPr>
          <w:rFonts w:ascii="Arial" w:hAnsi="Arial" w:cs="Arial"/>
          <w:color w:val="FF0000"/>
          <w:sz w:val="20"/>
          <w:szCs w:val="20"/>
        </w:rPr>
      </w:pPr>
      <w:r>
        <w:rPr>
          <w:rStyle w:val="10"/>
          <w:rFonts w:ascii="Arial" w:hAnsi="Arial" w:cs="Arial"/>
          <w:color w:val="FF0000"/>
          <w:sz w:val="20"/>
          <w:szCs w:val="20"/>
        </w:rPr>
        <w:t>Place and Duration of Study:</w:t>
      </w:r>
      <w:r>
        <w:rPr>
          <w:rFonts w:ascii="Arial" w:hAnsi="Arial" w:cs="Arial"/>
          <w:color w:val="FF0000"/>
          <w:sz w:val="20"/>
          <w:szCs w:val="20"/>
        </w:rPr>
        <w:t xml:space="preserve"> The research was conducted in Fuliang County, Jiangxi Province, China, between April and August 2025.</w:t>
      </w:r>
    </w:p>
    <w:p w14:paraId="296D5BAA">
      <w:pPr>
        <w:pStyle w:val="7"/>
        <w:widowControl/>
        <w:adjustRightInd w:val="0"/>
        <w:snapToGrid w:val="0"/>
        <w:jc w:val="both"/>
        <w:rPr>
          <w:rFonts w:ascii="Arial" w:hAnsi="Arial" w:cs="Arial"/>
          <w:color w:val="FF0000"/>
          <w:sz w:val="20"/>
          <w:szCs w:val="20"/>
        </w:rPr>
      </w:pPr>
      <w:r>
        <w:rPr>
          <w:rStyle w:val="10"/>
          <w:rFonts w:ascii="Arial" w:hAnsi="Arial" w:cs="Arial"/>
          <w:color w:val="FF0000"/>
          <w:sz w:val="20"/>
          <w:szCs w:val="20"/>
        </w:rPr>
        <w:t>Methodology:</w:t>
      </w:r>
      <w:r>
        <w:rPr>
          <w:rFonts w:ascii="Arial" w:hAnsi="Arial" w:cs="Arial"/>
          <w:color w:val="FF0000"/>
          <w:sz w:val="20"/>
          <w:szCs w:val="20"/>
        </w:rPr>
        <w:t xml:space="preserve"> Data were collected through semi-structured interviews with 22 participants, including tea enterprise managers, e-commerce staff, government officials, industry association representatives, and international consumers</w:t>
      </w:r>
      <w:r>
        <w:rPr>
          <w:rFonts w:hint="eastAsia" w:ascii="Arial" w:hAnsi="Arial" w:cs="Arial"/>
          <w:color w:val="FF0000"/>
          <w:sz w:val="20"/>
          <w:szCs w:val="20"/>
          <w:lang w:val="en-US" w:eastAsia="zh-CN"/>
        </w:rPr>
        <w:t>-each lasting approximately 60-90 minutes.</w:t>
      </w:r>
      <w:r>
        <w:rPr>
          <w:rFonts w:ascii="Arial" w:hAnsi="Arial" w:cs="Arial"/>
          <w:color w:val="FF0000"/>
          <w:sz w:val="20"/>
          <w:szCs w:val="20"/>
        </w:rPr>
        <w:t xml:space="preserve">Three representative tea enterprises were examined in depth. Data were analyzed using Naeem et al.’s (2023) six-step </w:t>
      </w:r>
      <w:r>
        <w:rPr>
          <w:rFonts w:hint="eastAsia" w:ascii="Arial" w:hAnsi="Arial" w:cs="Arial"/>
          <w:color w:val="FF0000"/>
          <w:sz w:val="20"/>
          <w:szCs w:val="20"/>
        </w:rPr>
        <w:t>thematic analysis, employing both inductive and deductive coding, guided by Hofstede’s cultural dimensions and Aaker’s brand personality frameworks.</w:t>
      </w:r>
    </w:p>
    <w:p w14:paraId="40106C9A">
      <w:pPr>
        <w:pStyle w:val="7"/>
        <w:widowControl/>
        <w:adjustRightInd w:val="0"/>
        <w:snapToGrid w:val="0"/>
        <w:jc w:val="both"/>
        <w:rPr>
          <w:rFonts w:ascii="Arial" w:hAnsi="Arial" w:cs="Arial"/>
          <w:color w:val="FF0000"/>
          <w:sz w:val="20"/>
          <w:szCs w:val="20"/>
        </w:rPr>
      </w:pPr>
      <w:r>
        <w:rPr>
          <w:rStyle w:val="10"/>
          <w:rFonts w:ascii="Arial" w:hAnsi="Arial" w:cs="Arial"/>
          <w:color w:val="FF0000"/>
          <w:sz w:val="20"/>
          <w:szCs w:val="20"/>
        </w:rPr>
        <w:t>Results:</w:t>
      </w:r>
      <w:r>
        <w:rPr>
          <w:rFonts w:ascii="Arial" w:hAnsi="Arial" w:cs="Arial"/>
          <w:color w:val="FF0000"/>
          <w:sz w:val="20"/>
          <w:szCs w:val="20"/>
        </w:rPr>
        <w:t xml:space="preserve"> </w:t>
      </w:r>
      <w:r>
        <w:rPr>
          <w:rFonts w:hint="eastAsia" w:ascii="Arial" w:hAnsi="Arial" w:cs="Arial"/>
          <w:color w:val="FF0000"/>
          <w:sz w:val="20"/>
          <w:szCs w:val="20"/>
        </w:rPr>
        <w:t>Four main themes emerged: (1) cultural framing and narrative translation; (2) product and packaging adaptation; (3) digital channel diversification and live-streaming; and (4) institutional trust-building through certification and service infrastructure. These findings illustrate how cultural communication, digital engagement, and institutional mechanisms collectively strengthen global brand legitimacy.</w:t>
      </w:r>
    </w:p>
    <w:p w14:paraId="0E7F1949">
      <w:pPr>
        <w:pStyle w:val="7"/>
        <w:widowControl/>
        <w:adjustRightInd w:val="0"/>
        <w:snapToGrid w:val="0"/>
        <w:jc w:val="both"/>
        <w:rPr>
          <w:rFonts w:ascii="Arial" w:hAnsi="Arial" w:cs="Arial"/>
          <w:color w:val="FF0000"/>
          <w:sz w:val="20"/>
          <w:szCs w:val="20"/>
        </w:rPr>
      </w:pPr>
      <w:r>
        <w:rPr>
          <w:rStyle w:val="10"/>
          <w:rFonts w:ascii="Arial" w:hAnsi="Arial" w:cs="Arial"/>
          <w:color w:val="FF0000"/>
          <w:sz w:val="20"/>
          <w:szCs w:val="20"/>
        </w:rPr>
        <w:t>Conclusion:</w:t>
      </w:r>
      <w:r>
        <w:rPr>
          <w:rFonts w:ascii="Arial" w:hAnsi="Arial" w:cs="Arial"/>
          <w:color w:val="FF0000"/>
          <w:sz w:val="20"/>
          <w:szCs w:val="20"/>
        </w:rPr>
        <w:t xml:space="preserve"> </w:t>
      </w:r>
      <w:r>
        <w:rPr>
          <w:rFonts w:hint="eastAsia" w:ascii="Arial" w:hAnsi="Arial" w:cs="Arial"/>
          <w:color w:val="FF0000"/>
          <w:sz w:val="20"/>
          <w:szCs w:val="20"/>
        </w:rPr>
        <w:t>The study contributes to cross-cultural marketing theory by integrating cultural and digital perspectives within agri-food e-commerce. It offers actionable insights for policymakers, industry associations, and SMEs on leveraging storytelling, certification systems, and digital tools to promote the sustainable internationalization of regional brands.</w:t>
      </w:r>
    </w:p>
    <w:p w14:paraId="029089B3">
      <w:pPr>
        <w:pStyle w:val="18"/>
        <w:widowControl/>
        <w:spacing w:after="0"/>
        <w:rPr>
          <w:rFonts w:ascii="Arial" w:hAnsi="Arial" w:eastAsia="Times New Roman" w:cs="Arial"/>
          <w:i/>
          <w:kern w:val="0"/>
          <w:sz w:val="20"/>
          <w:szCs w:val="20"/>
          <w:lang w:eastAsia="en-US"/>
        </w:rPr>
      </w:pPr>
      <w:r>
        <w:rPr>
          <w:rFonts w:ascii="Arial" w:hAnsi="Arial" w:eastAsia="Times New Roman" w:cs="Arial"/>
          <w:i/>
          <w:kern w:val="0"/>
          <w:sz w:val="20"/>
          <w:szCs w:val="20"/>
          <w:lang w:eastAsia="en-US"/>
        </w:rPr>
        <w:t>Keywords</w:t>
      </w:r>
      <w:r>
        <w:rPr>
          <w:rFonts w:hint="eastAsia" w:ascii="Arial" w:hAnsi="Arial" w:eastAsia="宋体" w:cs="Arial"/>
          <w:i/>
          <w:kern w:val="0"/>
          <w:sz w:val="20"/>
          <w:szCs w:val="20"/>
        </w:rPr>
        <w:t>：</w:t>
      </w:r>
      <w:r>
        <w:rPr>
          <w:rFonts w:ascii="Arial" w:hAnsi="Arial" w:eastAsia="Times New Roman" w:cs="Arial"/>
          <w:i/>
          <w:kern w:val="0"/>
          <w:sz w:val="20"/>
          <w:szCs w:val="20"/>
          <w:lang w:eastAsia="en-US"/>
        </w:rPr>
        <w:t>Fuliang tea; e-commerce; cross-cultural marketing; qualitative research; thematic analysis</w:t>
      </w:r>
    </w:p>
    <w:p w14:paraId="7DFF5949"/>
    <w:p w14:paraId="48114DBE">
      <w:pPr>
        <w:pStyle w:val="2"/>
        <w:keepNext w:val="0"/>
        <w:keepLines w:val="0"/>
        <w:widowControl/>
        <w:rPr>
          <w:rFonts w:ascii="Arial" w:hAnsi="Arial" w:eastAsia="Times New Roman" w:cs="Arial"/>
          <w:bCs w:val="0"/>
          <w:caps/>
          <w:color w:val="auto"/>
          <w:kern w:val="0"/>
          <w:sz w:val="22"/>
          <w:szCs w:val="20"/>
          <w:lang w:eastAsia="en-US"/>
        </w:rPr>
      </w:pPr>
      <w:r>
        <w:rPr>
          <w:rFonts w:ascii="Arial" w:hAnsi="Arial" w:eastAsia="Times New Roman" w:cs="Arial"/>
          <w:bCs w:val="0"/>
          <w:caps/>
          <w:color w:val="auto"/>
          <w:kern w:val="0"/>
          <w:sz w:val="22"/>
          <w:szCs w:val="20"/>
          <w:lang w:eastAsia="en-US"/>
        </w:rPr>
        <w:t>1. Introduction</w:t>
      </w:r>
    </w:p>
    <w:p w14:paraId="5AE0451E">
      <w:pPr>
        <w:pStyle w:val="7"/>
        <w:widowControl/>
        <w:jc w:val="both"/>
        <w:rPr>
          <w:rFonts w:ascii="Arial" w:hAnsi="Arial" w:cs="Arial"/>
          <w:sz w:val="20"/>
          <w:szCs w:val="20"/>
        </w:rPr>
      </w:pPr>
      <w:r>
        <w:rPr>
          <w:rFonts w:ascii="Arial" w:hAnsi="Arial" w:cs="Arial"/>
          <w:sz w:val="20"/>
          <w:szCs w:val="20"/>
        </w:rPr>
        <w:t>China’s tea culture, with its millennia-old heritage, is central to global beverage markets (Tan, 2020). Fuliang County, located in Jiangxi Province, represents a typical Chinese tea-producing region with unique ecological conditions and historical prestige (Qin &amp; Zhou, 2024). Despite its strong domestic reputation, Fuliang tea faces challenges in global expansion due to differences in cultural values, consumption preferences, and digital behaviours (</w:t>
      </w:r>
      <w:r>
        <w:rPr>
          <w:rFonts w:hint="eastAsia" w:ascii="Arial" w:hAnsi="Arial" w:cs="Arial"/>
          <w:sz w:val="20"/>
          <w:szCs w:val="20"/>
        </w:rPr>
        <w:t>Zhang, Liu, &amp; Li, 2022)</w:t>
      </w:r>
      <w:r>
        <w:rPr>
          <w:rFonts w:ascii="Arial" w:hAnsi="Arial" w:cs="Arial"/>
          <w:sz w:val="20"/>
          <w:szCs w:val="20"/>
        </w:rPr>
        <w:t>.The rise of e-commerce and live-streaming platforms provides new opportunities for international promotion but also requires nuanced adaptation to diverse cultural and institutional environments (</w:t>
      </w:r>
      <w:r>
        <w:rPr>
          <w:rFonts w:hint="eastAsia" w:ascii="Arial" w:hAnsi="Arial" w:cs="Arial"/>
          <w:color w:val="C00000"/>
          <w:sz w:val="20"/>
          <w:szCs w:val="20"/>
        </w:rPr>
        <w:t>Li, Wang, &amp; Chen, 2021</w:t>
      </w:r>
      <w:r>
        <w:rPr>
          <w:rFonts w:ascii="Arial" w:hAnsi="Arial" w:cs="Arial"/>
          <w:sz w:val="20"/>
          <w:szCs w:val="20"/>
        </w:rPr>
        <w:t xml:space="preserve">; Wang M., 2021; Wang S., 2025). In recent years, Chinese agricultural and specialty-product exporters have increasingly relied on digital marketing to reach global consumers </w:t>
      </w:r>
      <w:r>
        <w:rPr>
          <w:rFonts w:hint="eastAsia" w:ascii="Arial" w:hAnsi="Arial" w:cs="Arial"/>
          <w:color w:val="C00000"/>
          <w:sz w:val="20"/>
          <w:szCs w:val="20"/>
        </w:rPr>
        <w:t>(Altarturi et al., 2023; Zeng et al., 2023)</w:t>
      </w:r>
      <w:r>
        <w:rPr>
          <w:rFonts w:ascii="Arial" w:hAnsi="Arial" w:cs="Arial"/>
          <w:sz w:val="20"/>
          <w:szCs w:val="20"/>
        </w:rPr>
        <w:t>. However, cross-cultural communication remains a barrier, as cultural distance affects how international consumers interpret symbolic meanings embedded in tea branding (Chiu et al., 2024; Hofstede et al., 2021).This study aims to fill the gap in understanding how Chinese specialty tea enterprises develop cross-cultural e-commerce strategies under such conditions, focusing specifically on the regional case of Fuliang tea. The study also responds to recent calls to examine the interplay between local cultural identity, digital innovation, and institutional support within China’s agri-food e-commerce sector (Liu S., 2024; Zhang et al., 2024).</w:t>
      </w:r>
    </w:p>
    <w:p w14:paraId="68C87A98">
      <w:pPr>
        <w:widowControl/>
      </w:pPr>
    </w:p>
    <w:p w14:paraId="6E140C3B">
      <w:pPr>
        <w:pStyle w:val="2"/>
        <w:keepNext w:val="0"/>
        <w:keepLines w:val="0"/>
        <w:widowControl/>
        <w:rPr>
          <w:rFonts w:ascii="Arial" w:hAnsi="Arial" w:eastAsia="Times New Roman" w:cs="Arial"/>
          <w:bCs w:val="0"/>
          <w:caps/>
          <w:color w:val="auto"/>
          <w:kern w:val="0"/>
          <w:sz w:val="22"/>
          <w:szCs w:val="20"/>
          <w:lang w:eastAsia="en-US"/>
        </w:rPr>
      </w:pPr>
      <w:r>
        <w:rPr>
          <w:rFonts w:ascii="Arial" w:hAnsi="Arial" w:eastAsia="Times New Roman" w:cs="Arial"/>
          <w:bCs w:val="0"/>
          <w:caps/>
          <w:color w:val="auto"/>
          <w:kern w:val="0"/>
          <w:sz w:val="22"/>
          <w:szCs w:val="20"/>
          <w:lang w:eastAsia="en-US"/>
        </w:rPr>
        <w:t>2. Literature Review</w:t>
      </w:r>
    </w:p>
    <w:p w14:paraId="12262CAC">
      <w:pPr>
        <w:pStyle w:val="7"/>
        <w:widowControl/>
        <w:jc w:val="both"/>
        <w:rPr>
          <w:rFonts w:ascii="Arial" w:hAnsi="Arial" w:cs="Arial"/>
          <w:sz w:val="20"/>
          <w:szCs w:val="20"/>
        </w:rPr>
      </w:pPr>
      <w:r>
        <w:rPr>
          <w:rFonts w:ascii="Arial" w:hAnsi="Arial" w:cs="Arial"/>
          <w:sz w:val="20"/>
          <w:szCs w:val="20"/>
        </w:rPr>
        <w:t xml:space="preserve">Cross-cultural marketing theory emphasises the necessity of aligning brand narratives and marketing tactics with host-market cultural values (Hofstede et al., 2021). For example, cultural dimensions such as power distance, individualism versus collectivism, and uncertainty avoidance remain influential in shaping consumer response </w:t>
      </w:r>
      <w:r>
        <w:rPr>
          <w:rFonts w:hint="eastAsia" w:ascii="Arial" w:hAnsi="Arial" w:cs="Arial"/>
          <w:color w:val="C00000"/>
          <w:sz w:val="20"/>
          <w:szCs w:val="20"/>
        </w:rPr>
        <w:t>(Zhang, Liu, &amp; Li, 2022)</w:t>
      </w:r>
      <w:r>
        <w:rPr>
          <w:rFonts w:ascii="Arial" w:hAnsi="Arial" w:cs="Arial"/>
          <w:sz w:val="20"/>
          <w:szCs w:val="20"/>
        </w:rPr>
        <w:t>. Brand-personality theory further suggests that brands convey symbolic identities that resonate differently across cultures (Aaker, 1997).</w:t>
      </w:r>
    </w:p>
    <w:p w14:paraId="5D8C7210">
      <w:pPr>
        <w:pStyle w:val="7"/>
        <w:widowControl/>
        <w:jc w:val="both"/>
        <w:rPr>
          <w:rFonts w:ascii="Arial" w:hAnsi="Arial" w:cs="Arial"/>
          <w:sz w:val="20"/>
          <w:szCs w:val="20"/>
        </w:rPr>
      </w:pPr>
      <w:r>
        <w:rPr>
          <w:rFonts w:ascii="Arial" w:hAnsi="Arial" w:cs="Arial"/>
          <w:sz w:val="20"/>
          <w:szCs w:val="20"/>
        </w:rPr>
        <w:t>Recent research indicates that for international e-commerce contexts, these frameworks must be integrated with digital marketing capabilities and platform strategies (Chiu et al., 2024; Liu Y., 2025). In agri-food marketing, digital platforms have transformed how producers connect with global consumers</w:t>
      </w:r>
      <w:r>
        <w:rPr>
          <w:rFonts w:ascii="Arial" w:hAnsi="Arial" w:cs="Arial"/>
          <w:color w:val="C00000"/>
          <w:sz w:val="20"/>
          <w:szCs w:val="20"/>
        </w:rPr>
        <w:t xml:space="preserve"> </w:t>
      </w:r>
      <w:r>
        <w:rPr>
          <w:rFonts w:hint="eastAsia" w:ascii="Arial" w:hAnsi="Arial" w:cs="Arial"/>
          <w:color w:val="C00000"/>
          <w:sz w:val="20"/>
          <w:szCs w:val="20"/>
        </w:rPr>
        <w:t>(Altarturi et al., 2023; Zeng et al., 2023)</w:t>
      </w:r>
      <w:r>
        <w:rPr>
          <w:rFonts w:ascii="Arial" w:hAnsi="Arial" w:cs="Arial"/>
          <w:color w:val="C00000"/>
          <w:sz w:val="20"/>
          <w:szCs w:val="20"/>
        </w:rPr>
        <w:t>.</w:t>
      </w:r>
      <w:r>
        <w:rPr>
          <w:rFonts w:ascii="Arial" w:hAnsi="Arial" w:cs="Arial"/>
          <w:sz w:val="20"/>
          <w:szCs w:val="20"/>
        </w:rPr>
        <w:t xml:space="preserve"> Live-streaming commerce, digital storytelling, and social-media content enable interactive engagement but also demand authenticity and cultural resonance (Wang M., 2021; Zhao et al., 2025; Wang S., 2025).</w:t>
      </w:r>
    </w:p>
    <w:p w14:paraId="7000B6C3">
      <w:pPr>
        <w:pStyle w:val="7"/>
        <w:widowControl/>
        <w:jc w:val="both"/>
        <w:rPr>
          <w:rFonts w:ascii="Arial" w:hAnsi="Arial" w:cs="Arial"/>
          <w:sz w:val="20"/>
          <w:szCs w:val="20"/>
        </w:rPr>
      </w:pPr>
      <w:r>
        <w:rPr>
          <w:rFonts w:ascii="Arial" w:hAnsi="Arial" w:cs="Arial"/>
          <w:sz w:val="20"/>
          <w:szCs w:val="20"/>
        </w:rPr>
        <w:t>Empirical studies on Chinese agricultural exports further underscore the importance of institutional supports—government policy, certification systems, logistics infrastructure, and visual presentation of product origin—in enhancing international competitiveness of regional brands (Song, 2017; Liu S., 2024; Xie, 2023; Zhang et al., 2024). Moreover, studies reveal that live-streaming e-commerce has become a vital mechanism for rural revitalisation and brand internationalisation (Zhu, 2024; Wang S., 2025).</w:t>
      </w:r>
    </w:p>
    <w:p w14:paraId="667046B5">
      <w:pPr>
        <w:pStyle w:val="7"/>
        <w:widowControl/>
        <w:jc w:val="both"/>
        <w:rPr>
          <w:rFonts w:ascii="Arial" w:hAnsi="Arial" w:cs="Arial"/>
          <w:sz w:val="20"/>
          <w:szCs w:val="20"/>
        </w:rPr>
      </w:pPr>
      <w:r>
        <w:rPr>
          <w:rFonts w:ascii="Arial" w:hAnsi="Arial" w:cs="Arial"/>
          <w:sz w:val="20"/>
          <w:szCs w:val="20"/>
        </w:rPr>
        <w:t>However, few studies focus specifically on Chinese tea brands’ cross-cultural e-commerce strategies at the intersection of cultural adaptation, digital live-streaming, and institution-driven infrastructure (Qin &amp; Zhou, 2024; Zhao et al., 2025). This research addresses that gap by examining how a regionally rooted tea brand navigates cultural, digital, and institutional terrains in its internationalisation process through qualitative inquiry (Naeem et al., 2023).</w:t>
      </w:r>
    </w:p>
    <w:p w14:paraId="7C556EEF">
      <w:pPr>
        <w:pStyle w:val="2"/>
        <w:keepNext w:val="0"/>
        <w:keepLines w:val="0"/>
        <w:widowControl/>
        <w:numPr>
          <w:ilvl w:val="0"/>
          <w:numId w:val="1"/>
        </w:numPr>
        <w:rPr>
          <w:rFonts w:ascii="Arial" w:hAnsi="Arial" w:eastAsia="Times New Roman" w:cs="Arial"/>
          <w:bCs w:val="0"/>
          <w:caps/>
          <w:color w:val="auto"/>
          <w:kern w:val="0"/>
          <w:sz w:val="22"/>
          <w:szCs w:val="20"/>
          <w:lang w:eastAsia="en-US"/>
        </w:rPr>
      </w:pPr>
      <w:r>
        <w:rPr>
          <w:rFonts w:ascii="Arial" w:hAnsi="Arial" w:eastAsia="Times New Roman" w:cs="Arial"/>
          <w:bCs w:val="0"/>
          <w:caps/>
          <w:color w:val="auto"/>
          <w:kern w:val="0"/>
          <w:sz w:val="22"/>
          <w:szCs w:val="20"/>
          <w:lang w:eastAsia="en-US"/>
        </w:rPr>
        <w:t>Methodology</w:t>
      </w:r>
    </w:p>
    <w:p w14:paraId="748DB737">
      <w:pPr>
        <w:rPr>
          <w:lang w:eastAsia="en-US"/>
        </w:rPr>
      </w:pPr>
    </w:p>
    <w:p w14:paraId="50FBFBAD">
      <w:pPr>
        <w:pStyle w:val="7"/>
        <w:widowControl/>
        <w:jc w:val="both"/>
        <w:rPr>
          <w:rFonts w:ascii="Arial" w:hAnsi="Arial" w:cs="Arial"/>
          <w:color w:val="FF0000"/>
          <w:sz w:val="20"/>
          <w:szCs w:val="20"/>
        </w:rPr>
      </w:pPr>
      <w:r>
        <w:rPr>
          <w:rFonts w:hint="eastAsia" w:ascii="Arial" w:hAnsi="Arial" w:cs="Arial"/>
          <w:color w:val="FF0000"/>
          <w:sz w:val="20"/>
          <w:szCs w:val="20"/>
        </w:rPr>
        <w:t>A qualitative, exploratory multiple-case study design was employed to examine cross-cultural marketing strategies among Fuliang tea enterprises. The study was conducted in Fuliang County, Jiangxi Province, between April and August 2025. Data collection involved 22 semi-structured interviews with key stakeholders, including tea enterprise managers, e-commerce staff, government officials, industry association representatives, and international consumers. Each interview lasted between 60 and 90 minutes and was conducted either in person or online.Data were analyzed using Naeem et al.’s (2023) six-step thematic analysis, combining inductive and deductive coding to identify recurring patterns and relationships. The analytical framework was guided by Hofstede’s cultural dimensions theory and Aaker’s brand personality model, which provided complementary perspectives on cultural adaptation and brand representation in digital commerce. Triangulation with relevant policy documents and marketing materials enhanced analytical validity and ensured methodological rigor.</w:t>
      </w:r>
    </w:p>
    <w:p w14:paraId="7BBAA480">
      <w:pPr>
        <w:pStyle w:val="7"/>
        <w:widowControl/>
        <w:jc w:val="both"/>
        <w:rPr>
          <w:rFonts w:ascii="Arial" w:hAnsi="Arial" w:cs="Arial"/>
          <w:sz w:val="20"/>
          <w:szCs w:val="20"/>
        </w:rPr>
      </w:pPr>
      <w:r>
        <w:rPr>
          <w:rFonts w:ascii="Arial" w:hAnsi="Arial" w:cs="Arial"/>
          <w:sz w:val="20"/>
          <w:szCs w:val="20"/>
        </w:rPr>
        <w:t xml:space="preserve">A purposive sampling approach was used to ensure representation from multiple stakeholder groups: tea enterprise managers (7), e-commerce marketing staff (5), local government officials (3), tea industry association representatives (2), and international consumers or trade partners (5). Data were collected between April and August 2025 through online and in-person interviews lasting 45–80 minutes each. </w:t>
      </w:r>
      <w:r>
        <w:rPr>
          <w:rFonts w:hint="eastAsia" w:ascii="Arial" w:hAnsi="Arial" w:cs="Arial"/>
          <w:sz w:val="20"/>
          <w:szCs w:val="20"/>
        </w:rPr>
        <w:t>The profile of interview participants is shown in table 1.</w:t>
      </w:r>
    </w:p>
    <w:p w14:paraId="4245B584">
      <w:pPr>
        <w:pStyle w:val="7"/>
        <w:widowControl/>
        <w:rPr>
          <w:rFonts w:ascii="Arial" w:hAnsi="Arial" w:eastAsia="Times New Roman"/>
          <w:b/>
          <w:sz w:val="20"/>
          <w:szCs w:val="20"/>
          <w:lang w:eastAsia="en-US"/>
        </w:rPr>
      </w:pPr>
      <w:r>
        <w:rPr>
          <w:rStyle w:val="10"/>
          <w:rFonts w:ascii="Arial" w:hAnsi="Arial" w:cs="Arial"/>
          <w:sz w:val="20"/>
          <w:szCs w:val="20"/>
        </w:rPr>
        <w:t>Table 1</w:t>
      </w:r>
      <w:r>
        <w:rPr>
          <w:rStyle w:val="10"/>
          <w:rFonts w:hint="eastAsia" w:ascii="Arial" w:hAnsi="Arial" w:cs="Arial"/>
          <w:sz w:val="20"/>
          <w:szCs w:val="20"/>
        </w:rPr>
        <w:t xml:space="preserve">. </w:t>
      </w:r>
      <w:r>
        <w:rPr>
          <w:rStyle w:val="10"/>
          <w:rFonts w:ascii="Arial" w:hAnsi="Arial" w:cs="Arial"/>
          <w:sz w:val="20"/>
          <w:szCs w:val="20"/>
        </w:rPr>
        <w:t xml:space="preserve"> </w:t>
      </w:r>
      <w:r>
        <w:rPr>
          <w:rFonts w:ascii="Arial" w:hAnsi="Arial" w:eastAsia="Times New Roman"/>
          <w:b/>
          <w:sz w:val="20"/>
          <w:szCs w:val="20"/>
          <w:lang w:eastAsia="en-US"/>
        </w:rPr>
        <w:t>Profile of Interview Participants</w:t>
      </w:r>
    </w:p>
    <w:tbl>
      <w:tblPr>
        <w:tblStyle w:val="8"/>
        <w:tblW w:w="0" w:type="auto"/>
        <w:tblCellSpacing w:w="15" w:type="dxa"/>
        <w:tblInd w:w="0" w:type="dxa"/>
        <w:tblLayout w:type="autofit"/>
        <w:tblCellMar>
          <w:top w:w="15" w:type="dxa"/>
          <w:left w:w="15" w:type="dxa"/>
          <w:bottom w:w="15" w:type="dxa"/>
          <w:right w:w="15" w:type="dxa"/>
        </w:tblCellMar>
      </w:tblPr>
      <w:tblGrid>
        <w:gridCol w:w="2700"/>
        <w:gridCol w:w="1805"/>
        <w:gridCol w:w="1937"/>
        <w:gridCol w:w="1954"/>
      </w:tblGrid>
      <w:tr w14:paraId="3D983D7B">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07515BE7">
            <w:pPr>
              <w:widowControl/>
              <w:jc w:val="center"/>
              <w:rPr>
                <w:rFonts w:ascii="Arial" w:hAnsi="Arial" w:cs="Arial"/>
                <w:b/>
                <w:bCs/>
                <w:sz w:val="20"/>
                <w:szCs w:val="20"/>
              </w:rPr>
            </w:pPr>
            <w:r>
              <w:rPr>
                <w:rFonts w:ascii="Arial" w:hAnsi="Arial" w:eastAsia="宋体" w:cs="Arial"/>
                <w:b/>
                <w:bCs/>
                <w:kern w:val="0"/>
                <w:sz w:val="20"/>
                <w:szCs w:val="20"/>
                <w:lang w:bidi="ar"/>
              </w:rPr>
              <w:t>Stakeholder Group</w:t>
            </w:r>
          </w:p>
        </w:tc>
        <w:tc>
          <w:tcPr>
            <w:tcW w:w="0" w:type="auto"/>
            <w:tcBorders>
              <w:top w:val="single" w:color="auto" w:sz="4" w:space="0"/>
              <w:bottom w:val="single" w:color="auto" w:sz="4" w:space="0"/>
            </w:tcBorders>
            <w:vAlign w:val="center"/>
          </w:tcPr>
          <w:p w14:paraId="573F6351">
            <w:pPr>
              <w:widowControl/>
              <w:jc w:val="center"/>
              <w:rPr>
                <w:rFonts w:ascii="Arial" w:hAnsi="Arial" w:cs="Arial"/>
                <w:b/>
                <w:bCs/>
                <w:sz w:val="20"/>
                <w:szCs w:val="20"/>
              </w:rPr>
            </w:pPr>
            <w:r>
              <w:rPr>
                <w:rFonts w:ascii="Arial" w:hAnsi="Arial" w:eastAsia="宋体" w:cs="Arial"/>
                <w:b/>
                <w:bCs/>
                <w:kern w:val="0"/>
                <w:sz w:val="20"/>
                <w:szCs w:val="20"/>
                <w:lang w:bidi="ar"/>
              </w:rPr>
              <w:t>Number of Participants</w:t>
            </w:r>
          </w:p>
        </w:tc>
        <w:tc>
          <w:tcPr>
            <w:tcW w:w="0" w:type="auto"/>
            <w:tcBorders>
              <w:top w:val="single" w:color="auto" w:sz="4" w:space="0"/>
              <w:bottom w:val="single" w:color="auto" w:sz="4" w:space="0"/>
            </w:tcBorders>
            <w:vAlign w:val="center"/>
          </w:tcPr>
          <w:p w14:paraId="35D1EF52">
            <w:pPr>
              <w:widowControl/>
              <w:jc w:val="center"/>
              <w:rPr>
                <w:rFonts w:ascii="Arial" w:hAnsi="Arial" w:cs="Arial"/>
                <w:b/>
                <w:bCs/>
                <w:sz w:val="20"/>
                <w:szCs w:val="20"/>
              </w:rPr>
            </w:pPr>
            <w:r>
              <w:rPr>
                <w:rFonts w:ascii="Arial" w:hAnsi="Arial" w:eastAsia="宋体" w:cs="Arial"/>
                <w:b/>
                <w:bCs/>
                <w:kern w:val="0"/>
                <w:sz w:val="20"/>
                <w:szCs w:val="20"/>
                <w:lang w:bidi="ar"/>
              </w:rPr>
              <w:t>Data Collection Mode</w:t>
            </w:r>
          </w:p>
        </w:tc>
        <w:tc>
          <w:tcPr>
            <w:tcW w:w="0" w:type="auto"/>
            <w:tcBorders>
              <w:top w:val="single" w:color="auto" w:sz="4" w:space="0"/>
              <w:bottom w:val="single" w:color="auto" w:sz="4" w:space="0"/>
            </w:tcBorders>
            <w:vAlign w:val="center"/>
          </w:tcPr>
          <w:p w14:paraId="51D6EEE9">
            <w:pPr>
              <w:widowControl/>
              <w:jc w:val="center"/>
              <w:rPr>
                <w:rFonts w:ascii="Arial" w:hAnsi="Arial" w:cs="Arial"/>
                <w:b/>
                <w:bCs/>
                <w:sz w:val="20"/>
                <w:szCs w:val="20"/>
              </w:rPr>
            </w:pPr>
            <w:r>
              <w:rPr>
                <w:rFonts w:ascii="Arial" w:hAnsi="Arial" w:eastAsia="宋体" w:cs="Arial"/>
                <w:b/>
                <w:bCs/>
                <w:kern w:val="0"/>
                <w:sz w:val="20"/>
                <w:szCs w:val="20"/>
                <w:lang w:bidi="ar"/>
              </w:rPr>
              <w:t>Average Duration (minutes)</w:t>
            </w:r>
          </w:p>
        </w:tc>
      </w:tr>
      <w:tr w14:paraId="3A7F9E22">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147B738C">
            <w:pPr>
              <w:widowControl/>
              <w:jc w:val="left"/>
              <w:rPr>
                <w:rFonts w:ascii="Arial" w:hAnsi="Arial" w:cs="Arial"/>
                <w:sz w:val="20"/>
                <w:szCs w:val="20"/>
              </w:rPr>
            </w:pPr>
            <w:r>
              <w:rPr>
                <w:rFonts w:ascii="Arial" w:hAnsi="Arial" w:eastAsia="宋体" w:cs="Arial"/>
                <w:kern w:val="0"/>
                <w:sz w:val="20"/>
                <w:szCs w:val="20"/>
                <w:lang w:bidi="ar"/>
              </w:rPr>
              <w:t>Tea enterprise managers</w:t>
            </w:r>
          </w:p>
        </w:tc>
        <w:tc>
          <w:tcPr>
            <w:tcW w:w="0" w:type="auto"/>
            <w:tcBorders>
              <w:bottom w:val="single" w:color="auto" w:sz="4" w:space="0"/>
            </w:tcBorders>
            <w:vAlign w:val="center"/>
          </w:tcPr>
          <w:p w14:paraId="5F0C8FDC">
            <w:pPr>
              <w:widowControl/>
              <w:jc w:val="left"/>
              <w:rPr>
                <w:rFonts w:ascii="Arial" w:hAnsi="Arial" w:cs="Arial"/>
                <w:sz w:val="20"/>
                <w:szCs w:val="20"/>
              </w:rPr>
            </w:pPr>
            <w:r>
              <w:rPr>
                <w:rFonts w:ascii="Arial" w:hAnsi="Arial" w:eastAsia="宋体" w:cs="Arial"/>
                <w:kern w:val="0"/>
                <w:sz w:val="20"/>
                <w:szCs w:val="20"/>
                <w:lang w:bidi="ar"/>
              </w:rPr>
              <w:t>7</w:t>
            </w:r>
          </w:p>
        </w:tc>
        <w:tc>
          <w:tcPr>
            <w:tcW w:w="0" w:type="auto"/>
            <w:tcBorders>
              <w:bottom w:val="single" w:color="auto" w:sz="4" w:space="0"/>
            </w:tcBorders>
            <w:vAlign w:val="center"/>
          </w:tcPr>
          <w:p w14:paraId="7FF7C821">
            <w:pPr>
              <w:widowControl/>
              <w:jc w:val="left"/>
              <w:rPr>
                <w:rFonts w:ascii="Arial" w:hAnsi="Arial" w:cs="Arial"/>
                <w:sz w:val="20"/>
                <w:szCs w:val="20"/>
              </w:rPr>
            </w:pPr>
            <w:r>
              <w:rPr>
                <w:rFonts w:ascii="Arial" w:hAnsi="Arial" w:eastAsia="宋体" w:cs="Arial"/>
                <w:kern w:val="0"/>
                <w:sz w:val="20"/>
                <w:szCs w:val="20"/>
                <w:lang w:bidi="ar"/>
              </w:rPr>
              <w:t>In-person / Online (Zoom)</w:t>
            </w:r>
          </w:p>
        </w:tc>
        <w:tc>
          <w:tcPr>
            <w:tcW w:w="0" w:type="auto"/>
            <w:tcBorders>
              <w:bottom w:val="single" w:color="auto" w:sz="4" w:space="0"/>
            </w:tcBorders>
            <w:vAlign w:val="center"/>
          </w:tcPr>
          <w:p w14:paraId="5FC598B1">
            <w:pPr>
              <w:widowControl/>
              <w:jc w:val="left"/>
              <w:rPr>
                <w:rFonts w:ascii="Arial" w:hAnsi="Arial" w:cs="Arial"/>
                <w:sz w:val="20"/>
                <w:szCs w:val="20"/>
              </w:rPr>
            </w:pPr>
            <w:r>
              <w:rPr>
                <w:rFonts w:ascii="Arial" w:hAnsi="Arial" w:eastAsia="宋体" w:cs="Arial"/>
                <w:kern w:val="0"/>
                <w:sz w:val="20"/>
                <w:szCs w:val="20"/>
                <w:lang w:bidi="ar"/>
              </w:rPr>
              <w:t>65</w:t>
            </w:r>
          </w:p>
        </w:tc>
      </w:tr>
      <w:tr w14:paraId="65A326D9">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4CE26467">
            <w:pPr>
              <w:widowControl/>
              <w:jc w:val="left"/>
              <w:rPr>
                <w:rFonts w:ascii="Arial" w:hAnsi="Arial" w:cs="Arial"/>
                <w:sz w:val="20"/>
                <w:szCs w:val="20"/>
              </w:rPr>
            </w:pPr>
            <w:r>
              <w:rPr>
                <w:rFonts w:ascii="Arial" w:hAnsi="Arial" w:eastAsia="宋体" w:cs="Arial"/>
                <w:kern w:val="0"/>
                <w:sz w:val="20"/>
                <w:szCs w:val="20"/>
                <w:lang w:bidi="ar"/>
              </w:rPr>
              <w:t>E-commerce marketing staff</w:t>
            </w:r>
          </w:p>
        </w:tc>
        <w:tc>
          <w:tcPr>
            <w:tcW w:w="0" w:type="auto"/>
            <w:tcBorders>
              <w:bottom w:val="single" w:color="auto" w:sz="4" w:space="0"/>
            </w:tcBorders>
            <w:vAlign w:val="center"/>
          </w:tcPr>
          <w:p w14:paraId="2432AC65">
            <w:pPr>
              <w:widowControl/>
              <w:jc w:val="left"/>
              <w:rPr>
                <w:rFonts w:ascii="Arial" w:hAnsi="Arial" w:cs="Arial"/>
                <w:sz w:val="20"/>
                <w:szCs w:val="20"/>
              </w:rPr>
            </w:pPr>
            <w:r>
              <w:rPr>
                <w:rFonts w:ascii="Arial" w:hAnsi="Arial" w:eastAsia="宋体" w:cs="Arial"/>
                <w:kern w:val="0"/>
                <w:sz w:val="20"/>
                <w:szCs w:val="20"/>
                <w:lang w:bidi="ar"/>
              </w:rPr>
              <w:t>5</w:t>
            </w:r>
          </w:p>
        </w:tc>
        <w:tc>
          <w:tcPr>
            <w:tcW w:w="0" w:type="auto"/>
            <w:tcBorders>
              <w:bottom w:val="single" w:color="auto" w:sz="4" w:space="0"/>
            </w:tcBorders>
            <w:vAlign w:val="center"/>
          </w:tcPr>
          <w:p w14:paraId="470C6486">
            <w:pPr>
              <w:widowControl/>
              <w:jc w:val="left"/>
              <w:rPr>
                <w:rFonts w:ascii="Arial" w:hAnsi="Arial" w:cs="Arial"/>
                <w:sz w:val="20"/>
                <w:szCs w:val="20"/>
              </w:rPr>
            </w:pPr>
            <w:r>
              <w:rPr>
                <w:rFonts w:ascii="Arial" w:hAnsi="Arial" w:eastAsia="宋体" w:cs="Arial"/>
                <w:kern w:val="0"/>
                <w:sz w:val="20"/>
                <w:szCs w:val="20"/>
                <w:lang w:bidi="ar"/>
              </w:rPr>
              <w:t>Online (Zoom</w:t>
            </w:r>
            <w:r>
              <w:rPr>
                <w:rFonts w:hint="eastAsia" w:ascii="Arial" w:hAnsi="Arial" w:eastAsia="宋体" w:cs="Arial"/>
                <w:kern w:val="0"/>
                <w:sz w:val="20"/>
                <w:szCs w:val="20"/>
                <w:lang w:bidi="ar"/>
              </w:rPr>
              <w:t>)/wechat</w:t>
            </w:r>
          </w:p>
        </w:tc>
        <w:tc>
          <w:tcPr>
            <w:tcW w:w="0" w:type="auto"/>
            <w:tcBorders>
              <w:bottom w:val="single" w:color="auto" w:sz="4" w:space="0"/>
            </w:tcBorders>
            <w:vAlign w:val="center"/>
          </w:tcPr>
          <w:p w14:paraId="41794D9C">
            <w:pPr>
              <w:widowControl/>
              <w:jc w:val="left"/>
              <w:rPr>
                <w:rFonts w:ascii="Arial" w:hAnsi="Arial" w:cs="Arial"/>
                <w:sz w:val="20"/>
                <w:szCs w:val="20"/>
              </w:rPr>
            </w:pPr>
            <w:r>
              <w:rPr>
                <w:rFonts w:ascii="Arial" w:hAnsi="Arial" w:eastAsia="宋体" w:cs="Arial"/>
                <w:kern w:val="0"/>
                <w:sz w:val="20"/>
                <w:szCs w:val="20"/>
                <w:lang w:bidi="ar"/>
              </w:rPr>
              <w:t>60</w:t>
            </w:r>
          </w:p>
        </w:tc>
      </w:tr>
      <w:tr w14:paraId="49CEAE18">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3F16301E">
            <w:pPr>
              <w:widowControl/>
              <w:jc w:val="left"/>
              <w:rPr>
                <w:rFonts w:ascii="Arial" w:hAnsi="Arial" w:cs="Arial"/>
                <w:sz w:val="20"/>
                <w:szCs w:val="20"/>
              </w:rPr>
            </w:pPr>
            <w:r>
              <w:rPr>
                <w:rFonts w:ascii="Arial" w:hAnsi="Arial" w:eastAsia="宋体" w:cs="Arial"/>
                <w:kern w:val="0"/>
                <w:sz w:val="20"/>
                <w:szCs w:val="20"/>
                <w:lang w:bidi="ar"/>
              </w:rPr>
              <w:t>Local government officials</w:t>
            </w:r>
          </w:p>
        </w:tc>
        <w:tc>
          <w:tcPr>
            <w:tcW w:w="0" w:type="auto"/>
            <w:tcBorders>
              <w:bottom w:val="single" w:color="auto" w:sz="4" w:space="0"/>
            </w:tcBorders>
            <w:vAlign w:val="center"/>
          </w:tcPr>
          <w:p w14:paraId="5140CE35">
            <w:pPr>
              <w:widowControl/>
              <w:jc w:val="left"/>
              <w:rPr>
                <w:rFonts w:ascii="Arial" w:hAnsi="Arial" w:cs="Arial"/>
                <w:sz w:val="20"/>
                <w:szCs w:val="20"/>
              </w:rPr>
            </w:pPr>
            <w:r>
              <w:rPr>
                <w:rFonts w:ascii="Arial" w:hAnsi="Arial" w:eastAsia="宋体" w:cs="Arial"/>
                <w:kern w:val="0"/>
                <w:sz w:val="20"/>
                <w:szCs w:val="20"/>
                <w:lang w:bidi="ar"/>
              </w:rPr>
              <w:t>3</w:t>
            </w:r>
          </w:p>
        </w:tc>
        <w:tc>
          <w:tcPr>
            <w:tcW w:w="0" w:type="auto"/>
            <w:tcBorders>
              <w:bottom w:val="single" w:color="auto" w:sz="4" w:space="0"/>
            </w:tcBorders>
            <w:vAlign w:val="center"/>
          </w:tcPr>
          <w:p w14:paraId="3E33A2E4">
            <w:pPr>
              <w:widowControl/>
              <w:jc w:val="left"/>
              <w:rPr>
                <w:rFonts w:ascii="Arial" w:hAnsi="Arial" w:cs="Arial"/>
                <w:sz w:val="20"/>
                <w:szCs w:val="20"/>
              </w:rPr>
            </w:pPr>
            <w:r>
              <w:rPr>
                <w:rFonts w:ascii="Arial" w:hAnsi="Arial" w:eastAsia="宋体" w:cs="Arial"/>
                <w:kern w:val="0"/>
                <w:sz w:val="20"/>
                <w:szCs w:val="20"/>
                <w:lang w:bidi="ar"/>
              </w:rPr>
              <w:t>In-person</w:t>
            </w:r>
          </w:p>
        </w:tc>
        <w:tc>
          <w:tcPr>
            <w:tcW w:w="0" w:type="auto"/>
            <w:tcBorders>
              <w:bottom w:val="single" w:color="auto" w:sz="4" w:space="0"/>
            </w:tcBorders>
            <w:vAlign w:val="center"/>
          </w:tcPr>
          <w:p w14:paraId="5DFCE449">
            <w:pPr>
              <w:widowControl/>
              <w:jc w:val="left"/>
              <w:rPr>
                <w:rFonts w:ascii="Arial" w:hAnsi="Arial" w:cs="Arial"/>
                <w:sz w:val="20"/>
                <w:szCs w:val="20"/>
              </w:rPr>
            </w:pPr>
            <w:r>
              <w:rPr>
                <w:rFonts w:ascii="Arial" w:hAnsi="Arial" w:eastAsia="宋体" w:cs="Arial"/>
                <w:kern w:val="0"/>
                <w:sz w:val="20"/>
                <w:szCs w:val="20"/>
                <w:lang w:bidi="ar"/>
              </w:rPr>
              <w:t>70</w:t>
            </w:r>
          </w:p>
        </w:tc>
      </w:tr>
      <w:tr w14:paraId="505B0287">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18F9A5F0">
            <w:pPr>
              <w:widowControl/>
              <w:jc w:val="left"/>
              <w:rPr>
                <w:rFonts w:ascii="Arial" w:hAnsi="Arial" w:cs="Arial"/>
                <w:sz w:val="20"/>
                <w:szCs w:val="20"/>
              </w:rPr>
            </w:pPr>
            <w:r>
              <w:rPr>
                <w:rFonts w:ascii="Arial" w:hAnsi="Arial" w:eastAsia="宋体" w:cs="Arial"/>
                <w:kern w:val="0"/>
                <w:sz w:val="20"/>
                <w:szCs w:val="20"/>
                <w:lang w:bidi="ar"/>
              </w:rPr>
              <w:t>Tea industry association representatives</w:t>
            </w:r>
          </w:p>
        </w:tc>
        <w:tc>
          <w:tcPr>
            <w:tcW w:w="0" w:type="auto"/>
            <w:tcBorders>
              <w:bottom w:val="single" w:color="auto" w:sz="4" w:space="0"/>
            </w:tcBorders>
            <w:vAlign w:val="center"/>
          </w:tcPr>
          <w:p w14:paraId="3C5FAC26">
            <w:pPr>
              <w:widowControl/>
              <w:jc w:val="left"/>
              <w:rPr>
                <w:rFonts w:ascii="Arial" w:hAnsi="Arial" w:cs="Arial"/>
                <w:sz w:val="20"/>
                <w:szCs w:val="20"/>
              </w:rPr>
            </w:pPr>
            <w:r>
              <w:rPr>
                <w:rFonts w:ascii="Arial" w:hAnsi="Arial" w:eastAsia="宋体" w:cs="Arial"/>
                <w:kern w:val="0"/>
                <w:sz w:val="20"/>
                <w:szCs w:val="20"/>
                <w:lang w:bidi="ar"/>
              </w:rPr>
              <w:t>2</w:t>
            </w:r>
          </w:p>
        </w:tc>
        <w:tc>
          <w:tcPr>
            <w:tcW w:w="0" w:type="auto"/>
            <w:tcBorders>
              <w:bottom w:val="single" w:color="auto" w:sz="4" w:space="0"/>
            </w:tcBorders>
            <w:vAlign w:val="center"/>
          </w:tcPr>
          <w:p w14:paraId="3D5BFDFA">
            <w:pPr>
              <w:widowControl/>
              <w:jc w:val="left"/>
              <w:rPr>
                <w:rFonts w:ascii="Arial" w:hAnsi="Arial" w:cs="Arial"/>
                <w:sz w:val="20"/>
                <w:szCs w:val="20"/>
              </w:rPr>
            </w:pPr>
            <w:r>
              <w:rPr>
                <w:rFonts w:ascii="Arial" w:hAnsi="Arial" w:eastAsia="宋体" w:cs="Arial"/>
                <w:kern w:val="0"/>
                <w:sz w:val="20"/>
                <w:szCs w:val="20"/>
                <w:lang w:bidi="ar"/>
              </w:rPr>
              <w:t>In-person</w:t>
            </w:r>
          </w:p>
        </w:tc>
        <w:tc>
          <w:tcPr>
            <w:tcW w:w="0" w:type="auto"/>
            <w:tcBorders>
              <w:bottom w:val="single" w:color="auto" w:sz="4" w:space="0"/>
            </w:tcBorders>
            <w:vAlign w:val="center"/>
          </w:tcPr>
          <w:p w14:paraId="0D2B474D">
            <w:pPr>
              <w:widowControl/>
              <w:jc w:val="left"/>
              <w:rPr>
                <w:rFonts w:ascii="Arial" w:hAnsi="Arial" w:cs="Arial"/>
                <w:sz w:val="20"/>
                <w:szCs w:val="20"/>
              </w:rPr>
            </w:pPr>
            <w:r>
              <w:rPr>
                <w:rFonts w:ascii="Arial" w:hAnsi="Arial" w:eastAsia="宋体" w:cs="Arial"/>
                <w:kern w:val="0"/>
                <w:sz w:val="20"/>
                <w:szCs w:val="20"/>
                <w:lang w:bidi="ar"/>
              </w:rPr>
              <w:t>55</w:t>
            </w:r>
          </w:p>
        </w:tc>
      </w:tr>
      <w:tr w14:paraId="357295DD">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4E7CDFAA">
            <w:pPr>
              <w:widowControl/>
              <w:jc w:val="left"/>
              <w:rPr>
                <w:rFonts w:ascii="Arial" w:hAnsi="Arial" w:cs="Arial"/>
                <w:sz w:val="20"/>
                <w:szCs w:val="20"/>
              </w:rPr>
            </w:pPr>
            <w:r>
              <w:rPr>
                <w:rFonts w:ascii="Arial" w:hAnsi="Arial" w:eastAsia="宋体" w:cs="Arial"/>
                <w:kern w:val="0"/>
                <w:sz w:val="20"/>
                <w:szCs w:val="20"/>
                <w:lang w:bidi="ar"/>
              </w:rPr>
              <w:t>International consumers / trade partners</w:t>
            </w:r>
          </w:p>
        </w:tc>
        <w:tc>
          <w:tcPr>
            <w:tcW w:w="0" w:type="auto"/>
            <w:tcBorders>
              <w:bottom w:val="single" w:color="auto" w:sz="4" w:space="0"/>
            </w:tcBorders>
            <w:vAlign w:val="center"/>
          </w:tcPr>
          <w:p w14:paraId="279D68CE">
            <w:pPr>
              <w:widowControl/>
              <w:jc w:val="left"/>
              <w:rPr>
                <w:rFonts w:ascii="Arial" w:hAnsi="Arial" w:cs="Arial"/>
                <w:sz w:val="20"/>
                <w:szCs w:val="20"/>
              </w:rPr>
            </w:pPr>
            <w:r>
              <w:rPr>
                <w:rFonts w:ascii="Arial" w:hAnsi="Arial" w:eastAsia="宋体" w:cs="Arial"/>
                <w:kern w:val="0"/>
                <w:sz w:val="20"/>
                <w:szCs w:val="20"/>
                <w:lang w:bidi="ar"/>
              </w:rPr>
              <w:t>5</w:t>
            </w:r>
          </w:p>
        </w:tc>
        <w:tc>
          <w:tcPr>
            <w:tcW w:w="0" w:type="auto"/>
            <w:tcBorders>
              <w:bottom w:val="single" w:color="auto" w:sz="4" w:space="0"/>
            </w:tcBorders>
            <w:vAlign w:val="center"/>
          </w:tcPr>
          <w:p w14:paraId="5CCA7DD4">
            <w:pPr>
              <w:widowControl/>
              <w:jc w:val="left"/>
              <w:rPr>
                <w:rFonts w:ascii="Arial" w:hAnsi="Arial" w:cs="Arial"/>
                <w:sz w:val="20"/>
                <w:szCs w:val="20"/>
              </w:rPr>
            </w:pPr>
            <w:r>
              <w:rPr>
                <w:rFonts w:ascii="Arial" w:hAnsi="Arial" w:eastAsia="宋体" w:cs="Arial"/>
                <w:kern w:val="0"/>
                <w:sz w:val="20"/>
                <w:szCs w:val="20"/>
                <w:lang w:bidi="ar"/>
              </w:rPr>
              <w:t xml:space="preserve">Online (Zoom / </w:t>
            </w:r>
            <w:r>
              <w:rPr>
                <w:rFonts w:hint="eastAsia" w:ascii="Arial" w:hAnsi="Arial" w:eastAsia="宋体" w:cs="Arial"/>
                <w:kern w:val="0"/>
                <w:sz w:val="20"/>
                <w:szCs w:val="20"/>
                <w:lang w:bidi="ar"/>
              </w:rPr>
              <w:t>wechat</w:t>
            </w:r>
            <w:r>
              <w:rPr>
                <w:rFonts w:ascii="Arial" w:hAnsi="Arial" w:eastAsia="宋体" w:cs="Arial"/>
                <w:kern w:val="0"/>
                <w:sz w:val="20"/>
                <w:szCs w:val="20"/>
                <w:lang w:bidi="ar"/>
              </w:rPr>
              <w:t>)</w:t>
            </w:r>
          </w:p>
        </w:tc>
        <w:tc>
          <w:tcPr>
            <w:tcW w:w="0" w:type="auto"/>
            <w:tcBorders>
              <w:bottom w:val="single" w:color="auto" w:sz="4" w:space="0"/>
            </w:tcBorders>
            <w:vAlign w:val="center"/>
          </w:tcPr>
          <w:p w14:paraId="5F4A036F">
            <w:pPr>
              <w:widowControl/>
              <w:jc w:val="left"/>
              <w:rPr>
                <w:rFonts w:ascii="Arial" w:hAnsi="Arial" w:cs="Arial"/>
                <w:sz w:val="20"/>
                <w:szCs w:val="20"/>
              </w:rPr>
            </w:pPr>
            <w:r>
              <w:rPr>
                <w:rFonts w:ascii="Arial" w:hAnsi="Arial" w:eastAsia="宋体" w:cs="Arial"/>
                <w:kern w:val="0"/>
                <w:sz w:val="20"/>
                <w:szCs w:val="20"/>
                <w:lang w:bidi="ar"/>
              </w:rPr>
              <w:t>50</w:t>
            </w:r>
          </w:p>
        </w:tc>
      </w:tr>
      <w:tr w14:paraId="5B6E7385">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07EBFF47">
            <w:pPr>
              <w:widowControl/>
              <w:jc w:val="left"/>
              <w:rPr>
                <w:rFonts w:ascii="Arial" w:hAnsi="Arial" w:cs="Arial"/>
                <w:bCs/>
                <w:sz w:val="20"/>
                <w:szCs w:val="20"/>
              </w:rPr>
            </w:pPr>
            <w:r>
              <w:rPr>
                <w:rStyle w:val="10"/>
                <w:rFonts w:ascii="Arial" w:hAnsi="Arial" w:eastAsia="宋体" w:cs="Arial"/>
                <w:b w:val="0"/>
                <w:bCs/>
                <w:kern w:val="0"/>
                <w:sz w:val="20"/>
                <w:szCs w:val="20"/>
                <w:lang w:bidi="ar"/>
              </w:rPr>
              <w:t>Total</w:t>
            </w:r>
          </w:p>
        </w:tc>
        <w:tc>
          <w:tcPr>
            <w:tcW w:w="0" w:type="auto"/>
            <w:tcBorders>
              <w:bottom w:val="single" w:color="auto" w:sz="4" w:space="0"/>
            </w:tcBorders>
            <w:vAlign w:val="center"/>
          </w:tcPr>
          <w:p w14:paraId="03ACFEEB">
            <w:pPr>
              <w:widowControl/>
              <w:jc w:val="left"/>
              <w:rPr>
                <w:rFonts w:ascii="Arial" w:hAnsi="Arial" w:cs="Arial"/>
                <w:bCs/>
                <w:sz w:val="20"/>
                <w:szCs w:val="20"/>
              </w:rPr>
            </w:pPr>
            <w:r>
              <w:rPr>
                <w:rStyle w:val="10"/>
                <w:rFonts w:ascii="Arial" w:hAnsi="Arial" w:eastAsia="宋体" w:cs="Arial"/>
                <w:b w:val="0"/>
                <w:bCs/>
                <w:kern w:val="0"/>
                <w:sz w:val="20"/>
                <w:szCs w:val="20"/>
                <w:lang w:bidi="ar"/>
              </w:rPr>
              <w:t>22</w:t>
            </w:r>
          </w:p>
        </w:tc>
        <w:tc>
          <w:tcPr>
            <w:tcW w:w="0" w:type="auto"/>
            <w:tcBorders>
              <w:bottom w:val="single" w:color="auto" w:sz="4" w:space="0"/>
            </w:tcBorders>
            <w:vAlign w:val="center"/>
          </w:tcPr>
          <w:p w14:paraId="1EBC32B9">
            <w:pPr>
              <w:widowControl/>
              <w:jc w:val="left"/>
              <w:rPr>
                <w:rFonts w:ascii="Arial" w:hAnsi="Arial" w:cs="Arial"/>
                <w:bCs/>
                <w:sz w:val="20"/>
                <w:szCs w:val="20"/>
              </w:rPr>
            </w:pPr>
            <w:r>
              <w:rPr>
                <w:rFonts w:ascii="Arial" w:hAnsi="Arial" w:eastAsia="宋体" w:cs="Arial"/>
                <w:bCs/>
                <w:kern w:val="0"/>
                <w:sz w:val="20"/>
                <w:szCs w:val="20"/>
                <w:lang w:bidi="ar"/>
              </w:rPr>
              <w:t>—</w:t>
            </w:r>
          </w:p>
        </w:tc>
        <w:tc>
          <w:tcPr>
            <w:tcW w:w="0" w:type="auto"/>
            <w:tcBorders>
              <w:bottom w:val="single" w:color="auto" w:sz="4" w:space="0"/>
            </w:tcBorders>
            <w:vAlign w:val="center"/>
          </w:tcPr>
          <w:p w14:paraId="34F2A346">
            <w:pPr>
              <w:widowControl/>
              <w:jc w:val="left"/>
              <w:rPr>
                <w:rFonts w:ascii="Arial" w:hAnsi="Arial" w:cs="Arial"/>
                <w:bCs/>
                <w:sz w:val="20"/>
                <w:szCs w:val="20"/>
              </w:rPr>
            </w:pPr>
            <w:r>
              <w:rPr>
                <w:rFonts w:ascii="Arial" w:hAnsi="Arial" w:eastAsia="宋体" w:cs="Arial"/>
                <w:bCs/>
                <w:kern w:val="0"/>
                <w:sz w:val="20"/>
                <w:szCs w:val="20"/>
                <w:lang w:bidi="ar"/>
              </w:rPr>
              <w:t>—</w:t>
            </w:r>
          </w:p>
        </w:tc>
      </w:tr>
    </w:tbl>
    <w:p w14:paraId="37528CE9">
      <w:pPr>
        <w:pStyle w:val="7"/>
        <w:widowControl/>
      </w:pPr>
      <w:r>
        <w:rPr>
          <w:rStyle w:val="11"/>
        </w:rPr>
        <w:t>Note.</w:t>
      </w:r>
      <w:r>
        <w:t xml:space="preserve"> All interviews were conducted in Chinese or English depending on participant preference. Data were audio-recorded with consent and subsequently transcribed and translated for analysis.</w:t>
      </w:r>
    </w:p>
    <w:p w14:paraId="74F48714">
      <w:pPr>
        <w:pStyle w:val="3"/>
        <w:widowControl/>
        <w:rPr>
          <w:rFonts w:hint="default" w:ascii="Arial" w:hAnsi="Arial" w:eastAsia="Times New Roman" w:cs="Arial"/>
          <w:bCs w:val="0"/>
          <w:caps/>
          <w:sz w:val="22"/>
          <w:szCs w:val="20"/>
          <w:lang w:eastAsia="en-US"/>
        </w:rPr>
      </w:pPr>
      <w:r>
        <w:rPr>
          <w:rFonts w:ascii="Arial" w:hAnsi="Arial" w:eastAsia="Times New Roman" w:cs="Arial"/>
          <w:bCs w:val="0"/>
          <w:caps/>
          <w:sz w:val="22"/>
          <w:szCs w:val="20"/>
        </w:rPr>
        <w:t xml:space="preserve">3.1 </w:t>
      </w:r>
      <w:r>
        <w:rPr>
          <w:rFonts w:hint="default" w:ascii="Arial" w:hAnsi="Arial" w:eastAsia="Times New Roman" w:cs="Arial"/>
          <w:bCs w:val="0"/>
          <w:caps/>
          <w:sz w:val="22"/>
          <w:szCs w:val="20"/>
          <w:lang w:eastAsia="en-US"/>
        </w:rPr>
        <w:t>Interview Protocol and Ethical Considerations</w:t>
      </w:r>
    </w:p>
    <w:p w14:paraId="63EF128F">
      <w:pPr>
        <w:pStyle w:val="7"/>
        <w:widowControl/>
      </w:pPr>
      <w:r>
        <w:t>The interview protocol was structured around five thematic areas that aligned with the study’s research objectives:</w:t>
      </w:r>
      <w:r>
        <w:br w:type="textWrapping"/>
      </w:r>
      <w:r>
        <w:t xml:space="preserve">(1) perceptions of </w:t>
      </w:r>
      <w:r>
        <w:rPr>
          <w:rStyle w:val="11"/>
        </w:rPr>
        <w:t>Fuliang tea’s brand image</w:t>
      </w:r>
      <w:r>
        <w:t>,</w:t>
      </w:r>
      <w:r>
        <w:br w:type="textWrapping"/>
      </w:r>
      <w:r>
        <w:t xml:space="preserve">(2) </w:t>
      </w:r>
      <w:r>
        <w:rPr>
          <w:rStyle w:val="11"/>
        </w:rPr>
        <w:t>cross-cultural marketing experiences</w:t>
      </w:r>
      <w:r>
        <w:t>,</w:t>
      </w:r>
      <w:r>
        <w:br w:type="textWrapping"/>
      </w:r>
      <w:r>
        <w:t xml:space="preserve">(3) </w:t>
      </w:r>
      <w:r>
        <w:rPr>
          <w:rStyle w:val="11"/>
        </w:rPr>
        <w:t>product adaptation and innovation</w:t>
      </w:r>
      <w:r>
        <w:t>,</w:t>
      </w:r>
      <w:r>
        <w:br w:type="textWrapping"/>
      </w:r>
      <w:r>
        <w:t xml:space="preserve">(4) </w:t>
      </w:r>
      <w:r>
        <w:rPr>
          <w:rStyle w:val="11"/>
        </w:rPr>
        <w:t>digital and e-commerce strategies</w:t>
      </w:r>
      <w:r>
        <w:t>, and</w:t>
      </w:r>
      <w:r>
        <w:br w:type="textWrapping"/>
      </w:r>
      <w:r>
        <w:t xml:space="preserve">(5) </w:t>
      </w:r>
      <w:r>
        <w:rPr>
          <w:rStyle w:val="11"/>
        </w:rPr>
        <w:t>institutional support and policy environment</w:t>
      </w:r>
      <w:r>
        <w:t>.</w:t>
      </w:r>
    </w:p>
    <w:p w14:paraId="65A7E15F">
      <w:pPr>
        <w:pStyle w:val="7"/>
        <w:widowControl/>
      </w:pPr>
      <w:r>
        <w:t>These themes guided the design of semi-structured interview questions, which were intentionally open-ended to elicit in-depth and reflective responses from participants.</w:t>
      </w:r>
      <w:r>
        <w:rPr>
          <w:rFonts w:hint="eastAsia"/>
        </w:rPr>
        <w:t xml:space="preserve"> The inerview themes and guiding questions is shown in table 2.</w:t>
      </w:r>
    </w:p>
    <w:p w14:paraId="747DE927">
      <w:pPr>
        <w:pStyle w:val="7"/>
        <w:widowControl/>
        <w:rPr>
          <w:b/>
        </w:rPr>
      </w:pPr>
      <w:r>
        <w:rPr>
          <w:rStyle w:val="10"/>
        </w:rPr>
        <w:t>Table 2</w:t>
      </w:r>
      <w:r>
        <w:rPr>
          <w:rStyle w:val="10"/>
          <w:rFonts w:hint="eastAsia"/>
        </w:rPr>
        <w:t xml:space="preserve">.  </w:t>
      </w:r>
      <w:r>
        <w:rPr>
          <w:rStyle w:val="11"/>
          <w:b/>
        </w:rPr>
        <w:t>Overview of Interview Themes and Guiding Questions</w:t>
      </w:r>
    </w:p>
    <w:tbl>
      <w:tblPr>
        <w:tblStyle w:val="8"/>
        <w:tblW w:w="0" w:type="auto"/>
        <w:tblCellSpacing w:w="15" w:type="dxa"/>
        <w:tblInd w:w="0" w:type="dxa"/>
        <w:tblLayout w:type="autofit"/>
        <w:tblCellMar>
          <w:top w:w="15" w:type="dxa"/>
          <w:left w:w="15" w:type="dxa"/>
          <w:bottom w:w="15" w:type="dxa"/>
          <w:right w:w="15" w:type="dxa"/>
        </w:tblCellMar>
      </w:tblPr>
      <w:tblGrid>
        <w:gridCol w:w="1901"/>
        <w:gridCol w:w="3382"/>
        <w:gridCol w:w="3113"/>
      </w:tblGrid>
      <w:tr w14:paraId="5A724B71">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1D666FBC">
            <w:pPr>
              <w:widowControl/>
              <w:jc w:val="center"/>
              <w:rPr>
                <w:rFonts w:ascii="Arial" w:hAnsi="Arial" w:cs="Arial"/>
                <w:b/>
                <w:bCs/>
                <w:sz w:val="20"/>
                <w:szCs w:val="20"/>
              </w:rPr>
            </w:pPr>
            <w:r>
              <w:rPr>
                <w:rFonts w:ascii="Arial" w:hAnsi="Arial" w:eastAsia="宋体" w:cs="Arial"/>
                <w:b/>
                <w:bCs/>
                <w:kern w:val="0"/>
                <w:sz w:val="20"/>
                <w:szCs w:val="20"/>
                <w:lang w:bidi="ar"/>
              </w:rPr>
              <w:t>Thematic Area</w:t>
            </w:r>
          </w:p>
        </w:tc>
        <w:tc>
          <w:tcPr>
            <w:tcW w:w="0" w:type="auto"/>
            <w:tcBorders>
              <w:top w:val="single" w:color="auto" w:sz="4" w:space="0"/>
              <w:bottom w:val="single" w:color="auto" w:sz="4" w:space="0"/>
            </w:tcBorders>
            <w:vAlign w:val="center"/>
          </w:tcPr>
          <w:p w14:paraId="7DD94ECB">
            <w:pPr>
              <w:widowControl/>
              <w:jc w:val="center"/>
              <w:rPr>
                <w:rFonts w:ascii="Arial" w:hAnsi="Arial" w:cs="Arial"/>
                <w:b/>
                <w:bCs/>
                <w:sz w:val="20"/>
                <w:szCs w:val="20"/>
              </w:rPr>
            </w:pPr>
            <w:r>
              <w:rPr>
                <w:rFonts w:ascii="Arial" w:hAnsi="Arial" w:eastAsia="宋体" w:cs="Arial"/>
                <w:b/>
                <w:bCs/>
                <w:kern w:val="0"/>
                <w:sz w:val="20"/>
                <w:szCs w:val="20"/>
                <w:lang w:bidi="ar"/>
              </w:rPr>
              <w:t>Key Focus</w:t>
            </w:r>
          </w:p>
        </w:tc>
        <w:tc>
          <w:tcPr>
            <w:tcW w:w="0" w:type="auto"/>
            <w:tcBorders>
              <w:top w:val="single" w:color="auto" w:sz="4" w:space="0"/>
              <w:bottom w:val="single" w:color="auto" w:sz="4" w:space="0"/>
            </w:tcBorders>
            <w:vAlign w:val="center"/>
          </w:tcPr>
          <w:p w14:paraId="14B0B73D">
            <w:pPr>
              <w:widowControl/>
              <w:jc w:val="center"/>
              <w:rPr>
                <w:rFonts w:ascii="Arial" w:hAnsi="Arial" w:cs="Arial"/>
                <w:b/>
                <w:bCs/>
                <w:sz w:val="20"/>
                <w:szCs w:val="20"/>
              </w:rPr>
            </w:pPr>
            <w:r>
              <w:rPr>
                <w:rFonts w:ascii="Arial" w:hAnsi="Arial" w:eastAsia="宋体" w:cs="Arial"/>
                <w:b/>
                <w:bCs/>
                <w:kern w:val="0"/>
                <w:sz w:val="20"/>
                <w:szCs w:val="20"/>
                <w:lang w:bidi="ar"/>
              </w:rPr>
              <w:t>Example Guiding Questions</w:t>
            </w:r>
          </w:p>
        </w:tc>
      </w:tr>
      <w:tr w14:paraId="687B7738">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6DC5154D">
            <w:pPr>
              <w:widowControl/>
              <w:jc w:val="left"/>
              <w:rPr>
                <w:rFonts w:ascii="Arial" w:hAnsi="Arial" w:cs="Arial"/>
                <w:bCs/>
                <w:sz w:val="20"/>
                <w:szCs w:val="20"/>
              </w:rPr>
            </w:pPr>
            <w:r>
              <w:rPr>
                <w:rStyle w:val="10"/>
                <w:rFonts w:ascii="Arial" w:hAnsi="Arial" w:eastAsia="宋体" w:cs="Arial"/>
                <w:b w:val="0"/>
                <w:bCs/>
                <w:kern w:val="0"/>
                <w:sz w:val="20"/>
                <w:szCs w:val="20"/>
                <w:lang w:bidi="ar"/>
              </w:rPr>
              <w:t xml:space="preserve"> Brand Image Perception</w:t>
            </w:r>
          </w:p>
        </w:tc>
        <w:tc>
          <w:tcPr>
            <w:tcW w:w="0" w:type="auto"/>
            <w:tcBorders>
              <w:bottom w:val="single" w:color="auto" w:sz="4" w:space="0"/>
            </w:tcBorders>
            <w:vAlign w:val="center"/>
          </w:tcPr>
          <w:p w14:paraId="3CCF105A">
            <w:pPr>
              <w:widowControl/>
              <w:jc w:val="left"/>
              <w:rPr>
                <w:rFonts w:ascii="Arial" w:hAnsi="Arial" w:cs="Arial"/>
                <w:sz w:val="20"/>
                <w:szCs w:val="20"/>
              </w:rPr>
            </w:pPr>
            <w:r>
              <w:rPr>
                <w:rFonts w:ascii="Arial" w:hAnsi="Arial" w:eastAsia="宋体" w:cs="Arial"/>
                <w:kern w:val="0"/>
                <w:sz w:val="20"/>
                <w:szCs w:val="20"/>
                <w:lang w:bidi="ar"/>
              </w:rPr>
              <w:t>Participants’ views on Fuliang tea’s brand positioning and reputation in domestic and international markets.</w:t>
            </w:r>
          </w:p>
        </w:tc>
        <w:tc>
          <w:tcPr>
            <w:tcW w:w="0" w:type="auto"/>
            <w:tcBorders>
              <w:bottom w:val="single" w:color="auto" w:sz="4" w:space="0"/>
            </w:tcBorders>
            <w:vAlign w:val="center"/>
          </w:tcPr>
          <w:p w14:paraId="6EB31D64">
            <w:pPr>
              <w:widowControl/>
              <w:jc w:val="left"/>
              <w:rPr>
                <w:rFonts w:ascii="Arial" w:hAnsi="Arial" w:cs="Arial"/>
                <w:sz w:val="20"/>
                <w:szCs w:val="20"/>
              </w:rPr>
            </w:pPr>
            <w:r>
              <w:rPr>
                <w:rFonts w:ascii="Arial" w:hAnsi="Arial" w:eastAsia="宋体" w:cs="Arial"/>
                <w:kern w:val="0"/>
                <w:sz w:val="20"/>
                <w:szCs w:val="20"/>
                <w:lang w:bidi="ar"/>
              </w:rPr>
              <w:t>“How would you describe the image of Fuliang tea among foreign consumers?”</w:t>
            </w:r>
          </w:p>
        </w:tc>
      </w:tr>
      <w:tr w14:paraId="62E55B40">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63997CC7">
            <w:pPr>
              <w:widowControl/>
              <w:jc w:val="left"/>
              <w:rPr>
                <w:rFonts w:ascii="Arial" w:hAnsi="Arial" w:cs="Arial"/>
                <w:bCs/>
                <w:sz w:val="20"/>
                <w:szCs w:val="20"/>
              </w:rPr>
            </w:pPr>
            <w:r>
              <w:rPr>
                <w:rStyle w:val="10"/>
                <w:rFonts w:ascii="Arial" w:hAnsi="Arial" w:eastAsia="宋体" w:cs="Arial"/>
                <w:b w:val="0"/>
                <w:bCs/>
                <w:kern w:val="0"/>
                <w:sz w:val="20"/>
                <w:szCs w:val="20"/>
                <w:lang w:bidi="ar"/>
              </w:rPr>
              <w:t xml:space="preserve"> Cross-Cultural Marketing Experience</w:t>
            </w:r>
          </w:p>
        </w:tc>
        <w:tc>
          <w:tcPr>
            <w:tcW w:w="0" w:type="auto"/>
            <w:tcBorders>
              <w:bottom w:val="single" w:color="auto" w:sz="4" w:space="0"/>
            </w:tcBorders>
            <w:vAlign w:val="center"/>
          </w:tcPr>
          <w:p w14:paraId="1254CB8B">
            <w:pPr>
              <w:widowControl/>
              <w:jc w:val="left"/>
              <w:rPr>
                <w:rFonts w:ascii="Arial" w:hAnsi="Arial" w:cs="Arial"/>
                <w:sz w:val="20"/>
                <w:szCs w:val="20"/>
              </w:rPr>
            </w:pPr>
            <w:r>
              <w:rPr>
                <w:rFonts w:ascii="Arial" w:hAnsi="Arial" w:eastAsia="宋体" w:cs="Arial"/>
                <w:kern w:val="0"/>
                <w:sz w:val="20"/>
                <w:szCs w:val="20"/>
                <w:lang w:bidi="ar"/>
              </w:rPr>
              <w:t>Strategies and challenges in marketing to consumers with different cultural backgrounds.</w:t>
            </w:r>
          </w:p>
        </w:tc>
        <w:tc>
          <w:tcPr>
            <w:tcW w:w="0" w:type="auto"/>
            <w:tcBorders>
              <w:bottom w:val="single" w:color="auto" w:sz="4" w:space="0"/>
            </w:tcBorders>
            <w:vAlign w:val="center"/>
          </w:tcPr>
          <w:p w14:paraId="5A114087">
            <w:pPr>
              <w:widowControl/>
              <w:jc w:val="left"/>
              <w:rPr>
                <w:rFonts w:ascii="Arial" w:hAnsi="Arial" w:cs="Arial"/>
                <w:sz w:val="20"/>
                <w:szCs w:val="20"/>
              </w:rPr>
            </w:pPr>
            <w:r>
              <w:rPr>
                <w:rFonts w:ascii="Arial" w:hAnsi="Arial" w:eastAsia="宋体" w:cs="Arial"/>
                <w:kern w:val="0"/>
                <w:sz w:val="20"/>
                <w:szCs w:val="20"/>
                <w:lang w:bidi="ar"/>
              </w:rPr>
              <w:t>“How do you adapt your marketing content to appeal to foreign consumers with different cultural expectations?”</w:t>
            </w:r>
          </w:p>
        </w:tc>
      </w:tr>
      <w:tr w14:paraId="135D0B93">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13EA88C9">
            <w:pPr>
              <w:widowControl/>
              <w:jc w:val="left"/>
              <w:rPr>
                <w:rFonts w:ascii="Arial" w:hAnsi="Arial" w:cs="Arial"/>
                <w:bCs/>
                <w:sz w:val="20"/>
                <w:szCs w:val="20"/>
              </w:rPr>
            </w:pPr>
            <w:r>
              <w:rPr>
                <w:rStyle w:val="10"/>
                <w:rFonts w:ascii="Arial" w:hAnsi="Arial" w:eastAsia="宋体" w:cs="Arial"/>
                <w:b w:val="0"/>
                <w:bCs/>
                <w:kern w:val="0"/>
                <w:sz w:val="20"/>
                <w:szCs w:val="20"/>
                <w:lang w:bidi="ar"/>
              </w:rPr>
              <w:t xml:space="preserve"> Product Adaptation and Innovation</w:t>
            </w:r>
          </w:p>
        </w:tc>
        <w:tc>
          <w:tcPr>
            <w:tcW w:w="0" w:type="auto"/>
            <w:tcBorders>
              <w:bottom w:val="single" w:color="auto" w:sz="4" w:space="0"/>
            </w:tcBorders>
            <w:vAlign w:val="center"/>
          </w:tcPr>
          <w:p w14:paraId="278E3507">
            <w:pPr>
              <w:widowControl/>
              <w:jc w:val="left"/>
              <w:rPr>
                <w:rFonts w:ascii="Arial" w:hAnsi="Arial" w:cs="Arial"/>
                <w:sz w:val="20"/>
                <w:szCs w:val="20"/>
              </w:rPr>
            </w:pPr>
            <w:r>
              <w:rPr>
                <w:rFonts w:ascii="Arial" w:hAnsi="Arial" w:eastAsia="宋体" w:cs="Arial"/>
                <w:kern w:val="0"/>
                <w:sz w:val="20"/>
                <w:szCs w:val="20"/>
                <w:lang w:bidi="ar"/>
              </w:rPr>
              <w:t>Adjustments in product formulation, design, and packaging for overseas markets.</w:t>
            </w:r>
          </w:p>
        </w:tc>
        <w:tc>
          <w:tcPr>
            <w:tcW w:w="0" w:type="auto"/>
            <w:tcBorders>
              <w:bottom w:val="single" w:color="auto" w:sz="4" w:space="0"/>
            </w:tcBorders>
            <w:vAlign w:val="center"/>
          </w:tcPr>
          <w:p w14:paraId="15951541">
            <w:pPr>
              <w:widowControl/>
              <w:jc w:val="left"/>
              <w:rPr>
                <w:rFonts w:ascii="Arial" w:hAnsi="Arial" w:cs="Arial"/>
                <w:sz w:val="20"/>
                <w:szCs w:val="20"/>
              </w:rPr>
            </w:pPr>
            <w:r>
              <w:rPr>
                <w:rFonts w:ascii="Arial" w:hAnsi="Arial" w:eastAsia="宋体" w:cs="Arial"/>
                <w:kern w:val="0"/>
                <w:sz w:val="20"/>
                <w:szCs w:val="20"/>
                <w:lang w:bidi="ar"/>
              </w:rPr>
              <w:t>“What product or packaging changes have been made to meet international consumer needs?”</w:t>
            </w:r>
          </w:p>
        </w:tc>
      </w:tr>
      <w:tr w14:paraId="1753E31E">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7391B947">
            <w:pPr>
              <w:widowControl/>
              <w:jc w:val="left"/>
              <w:rPr>
                <w:rFonts w:ascii="Arial" w:hAnsi="Arial" w:cs="Arial"/>
                <w:bCs/>
                <w:sz w:val="20"/>
                <w:szCs w:val="20"/>
              </w:rPr>
            </w:pPr>
            <w:r>
              <w:rPr>
                <w:rStyle w:val="10"/>
                <w:rFonts w:ascii="Arial" w:hAnsi="Arial" w:eastAsia="宋体" w:cs="Arial"/>
                <w:b w:val="0"/>
                <w:bCs/>
                <w:kern w:val="0"/>
                <w:sz w:val="20"/>
                <w:szCs w:val="20"/>
                <w:lang w:bidi="ar"/>
              </w:rPr>
              <w:t>Digital and E-Commerce Strategies</w:t>
            </w:r>
          </w:p>
        </w:tc>
        <w:tc>
          <w:tcPr>
            <w:tcW w:w="0" w:type="auto"/>
            <w:tcBorders>
              <w:bottom w:val="single" w:color="auto" w:sz="4" w:space="0"/>
            </w:tcBorders>
            <w:vAlign w:val="center"/>
          </w:tcPr>
          <w:p w14:paraId="387DBF72">
            <w:pPr>
              <w:widowControl/>
              <w:jc w:val="left"/>
              <w:rPr>
                <w:rFonts w:ascii="Arial" w:hAnsi="Arial" w:cs="Arial"/>
                <w:sz w:val="20"/>
                <w:szCs w:val="20"/>
              </w:rPr>
            </w:pPr>
            <w:r>
              <w:rPr>
                <w:rFonts w:ascii="Arial" w:hAnsi="Arial" w:eastAsia="宋体" w:cs="Arial"/>
                <w:kern w:val="0"/>
                <w:sz w:val="20"/>
                <w:szCs w:val="20"/>
                <w:lang w:bidi="ar"/>
              </w:rPr>
              <w:t>Use of online platforms, live-streaming, and social media for brand promotion.</w:t>
            </w:r>
          </w:p>
        </w:tc>
        <w:tc>
          <w:tcPr>
            <w:tcW w:w="0" w:type="auto"/>
            <w:tcBorders>
              <w:bottom w:val="single" w:color="auto" w:sz="4" w:space="0"/>
            </w:tcBorders>
            <w:vAlign w:val="center"/>
          </w:tcPr>
          <w:p w14:paraId="4B264C8F">
            <w:pPr>
              <w:widowControl/>
              <w:jc w:val="left"/>
              <w:rPr>
                <w:rFonts w:ascii="Arial" w:hAnsi="Arial" w:cs="Arial"/>
                <w:sz w:val="20"/>
                <w:szCs w:val="20"/>
              </w:rPr>
            </w:pPr>
            <w:r>
              <w:rPr>
                <w:rFonts w:ascii="Arial" w:hAnsi="Arial" w:eastAsia="宋体" w:cs="Arial"/>
                <w:kern w:val="0"/>
                <w:sz w:val="20"/>
                <w:szCs w:val="20"/>
                <w:lang w:bidi="ar"/>
              </w:rPr>
              <w:t>“What digital tools or e-commerce platforms are most effective for reaching international customers?”</w:t>
            </w:r>
          </w:p>
        </w:tc>
      </w:tr>
      <w:tr w14:paraId="7F0FFA4A">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083CAF39">
            <w:pPr>
              <w:widowControl/>
              <w:jc w:val="left"/>
              <w:rPr>
                <w:rFonts w:ascii="Arial" w:hAnsi="Arial" w:cs="Arial"/>
                <w:bCs/>
                <w:sz w:val="20"/>
                <w:szCs w:val="20"/>
              </w:rPr>
            </w:pPr>
            <w:r>
              <w:rPr>
                <w:rStyle w:val="10"/>
                <w:rFonts w:ascii="Arial" w:hAnsi="Arial" w:eastAsia="宋体" w:cs="Arial"/>
                <w:b w:val="0"/>
                <w:bCs/>
                <w:kern w:val="0"/>
                <w:sz w:val="20"/>
                <w:szCs w:val="20"/>
                <w:lang w:bidi="ar"/>
              </w:rPr>
              <w:t>Institutional Support and Policy Environment</w:t>
            </w:r>
          </w:p>
        </w:tc>
        <w:tc>
          <w:tcPr>
            <w:tcW w:w="0" w:type="auto"/>
            <w:tcBorders>
              <w:bottom w:val="single" w:color="auto" w:sz="4" w:space="0"/>
            </w:tcBorders>
            <w:vAlign w:val="center"/>
          </w:tcPr>
          <w:p w14:paraId="1B1ACF76">
            <w:pPr>
              <w:widowControl/>
              <w:jc w:val="left"/>
              <w:rPr>
                <w:rFonts w:ascii="Arial" w:hAnsi="Arial" w:cs="Arial"/>
                <w:sz w:val="20"/>
                <w:szCs w:val="20"/>
              </w:rPr>
            </w:pPr>
            <w:r>
              <w:rPr>
                <w:rFonts w:ascii="Arial" w:hAnsi="Arial" w:eastAsia="宋体" w:cs="Arial"/>
                <w:kern w:val="0"/>
                <w:sz w:val="20"/>
                <w:szCs w:val="20"/>
                <w:lang w:bidi="ar"/>
              </w:rPr>
              <w:t>The role of government, associations, and institutional mechanisms in supporting internationalisation.</w:t>
            </w:r>
          </w:p>
        </w:tc>
        <w:tc>
          <w:tcPr>
            <w:tcW w:w="0" w:type="auto"/>
            <w:tcBorders>
              <w:bottom w:val="single" w:color="auto" w:sz="4" w:space="0"/>
            </w:tcBorders>
            <w:vAlign w:val="center"/>
          </w:tcPr>
          <w:p w14:paraId="6E95ACB8">
            <w:pPr>
              <w:widowControl/>
              <w:jc w:val="left"/>
              <w:rPr>
                <w:rFonts w:ascii="Arial" w:hAnsi="Arial" w:cs="Arial"/>
                <w:sz w:val="20"/>
                <w:szCs w:val="20"/>
              </w:rPr>
            </w:pPr>
            <w:r>
              <w:rPr>
                <w:rFonts w:ascii="Arial" w:hAnsi="Arial" w:eastAsia="宋体" w:cs="Arial"/>
                <w:kern w:val="0"/>
                <w:sz w:val="20"/>
                <w:szCs w:val="20"/>
                <w:lang w:bidi="ar"/>
              </w:rPr>
              <w:t>“What forms of support have local governments or industry associations provided for international e-commerce?”</w:t>
            </w:r>
          </w:p>
        </w:tc>
      </w:tr>
    </w:tbl>
    <w:p w14:paraId="2301D502">
      <w:pPr>
        <w:pStyle w:val="7"/>
        <w:widowControl/>
      </w:pPr>
      <w:r>
        <w:rPr>
          <w:rStyle w:val="11"/>
        </w:rPr>
        <w:t>Note.</w:t>
      </w:r>
      <w:r>
        <w:t xml:space="preserve"> Each thematic area was accompanied by 4–6 detailed follow-up questions to ensure comprehensive exploration of the topic.</w:t>
      </w:r>
    </w:p>
    <w:p w14:paraId="18556567">
      <w:pPr>
        <w:pStyle w:val="7"/>
        <w:widowControl/>
        <w:rPr>
          <w:bCs/>
        </w:rPr>
      </w:pPr>
      <w:r>
        <w:t xml:space="preserve">Prior to each interview, participants received an information sheet describing the study’s purpose, confidentiality measures, and their right to withdraw at any time. </w:t>
      </w:r>
      <w:r>
        <w:rPr>
          <w:rStyle w:val="10"/>
          <w:b w:val="0"/>
          <w:bCs/>
        </w:rPr>
        <w:t>Informed consent</w:t>
      </w:r>
      <w:r>
        <w:rPr>
          <w:bCs/>
        </w:rPr>
        <w:t xml:space="preserve"> </w:t>
      </w:r>
      <w:r>
        <w:t xml:space="preserve">was obtained from all respondents, and anonymity was ensured through the use of pseudonyms. The study was approved by the </w:t>
      </w:r>
      <w:r>
        <w:rPr>
          <w:rFonts w:hint="eastAsia"/>
        </w:rPr>
        <w:t>UPM</w:t>
      </w:r>
      <w:r>
        <w:rPr>
          <w:rStyle w:val="10"/>
        </w:rPr>
        <w:t xml:space="preserve"> </w:t>
      </w:r>
      <w:r>
        <w:rPr>
          <w:rStyle w:val="10"/>
          <w:b w:val="0"/>
          <w:bCs/>
        </w:rPr>
        <w:t>Ethics Committee</w:t>
      </w:r>
      <w:r>
        <w:rPr>
          <w:bCs/>
        </w:rPr>
        <w:t>, in compliance with institutional guidelines for voluntary participation, data security, and ethical research conduct.</w:t>
      </w:r>
    </w:p>
    <w:p w14:paraId="5327B1F6">
      <w:pPr>
        <w:pStyle w:val="3"/>
        <w:widowControl/>
        <w:rPr>
          <w:rFonts w:ascii="Arial" w:hAnsi="Arial" w:cs="Arial"/>
          <w:sz w:val="20"/>
          <w:szCs w:val="20"/>
        </w:rPr>
      </w:pPr>
      <w:r>
        <w:rPr>
          <w:rFonts w:ascii="Arial" w:hAnsi="Arial" w:eastAsia="Times New Roman" w:cs="Arial"/>
          <w:bCs w:val="0"/>
          <w:caps/>
          <w:sz w:val="22"/>
          <w:szCs w:val="20"/>
        </w:rPr>
        <w:t>3.2 Data Analysis Procedures</w:t>
      </w:r>
    </w:p>
    <w:p w14:paraId="22D46C95">
      <w:pPr>
        <w:pStyle w:val="7"/>
        <w:widowControl/>
        <w:rPr>
          <w:rFonts w:ascii="Arial" w:hAnsi="Arial" w:cs="Arial"/>
          <w:sz w:val="20"/>
          <w:szCs w:val="20"/>
        </w:rPr>
      </w:pPr>
      <w:r>
        <w:rPr>
          <w:rFonts w:ascii="Arial" w:hAnsi="Arial" w:cs="Arial"/>
          <w:sz w:val="20"/>
          <w:szCs w:val="20"/>
        </w:rPr>
        <w:t xml:space="preserve">Data were analyzed using the </w:t>
      </w:r>
      <w:r>
        <w:rPr>
          <w:rStyle w:val="10"/>
          <w:rFonts w:ascii="Arial" w:hAnsi="Arial" w:cs="Arial"/>
          <w:b w:val="0"/>
          <w:sz w:val="20"/>
          <w:szCs w:val="20"/>
        </w:rPr>
        <w:t>six-step thematic analysis framework</w:t>
      </w:r>
      <w:r>
        <w:rPr>
          <w:rFonts w:ascii="Arial" w:hAnsi="Arial" w:cs="Arial"/>
          <w:sz w:val="20"/>
          <w:szCs w:val="20"/>
        </w:rPr>
        <w:t xml:space="preserve"> proposed by </w:t>
      </w:r>
      <w:r>
        <w:rPr>
          <w:rStyle w:val="11"/>
          <w:rFonts w:ascii="Arial" w:hAnsi="Arial" w:cs="Arial"/>
          <w:sz w:val="20"/>
          <w:szCs w:val="20"/>
        </w:rPr>
        <w:t>Naeem et al.</w:t>
      </w:r>
      <w:r>
        <w:rPr>
          <w:rFonts w:ascii="Arial" w:hAnsi="Arial" w:cs="Arial"/>
          <w:sz w:val="20"/>
          <w:szCs w:val="20"/>
        </w:rPr>
        <w:t xml:space="preserve"> (2023):</w:t>
      </w:r>
      <w:r>
        <w:rPr>
          <w:rFonts w:ascii="Arial" w:hAnsi="Arial" w:cs="Arial"/>
          <w:sz w:val="20"/>
          <w:szCs w:val="20"/>
        </w:rPr>
        <w:br w:type="textWrapping"/>
      </w:r>
      <w:r>
        <w:rPr>
          <w:rFonts w:ascii="Arial" w:hAnsi="Arial" w:cs="Arial"/>
          <w:sz w:val="20"/>
          <w:szCs w:val="20"/>
        </w:rPr>
        <w:t xml:space="preserve">(1) </w:t>
      </w:r>
      <w:r>
        <w:rPr>
          <w:rStyle w:val="11"/>
          <w:rFonts w:ascii="Arial" w:hAnsi="Arial" w:cs="Arial"/>
          <w:sz w:val="20"/>
          <w:szCs w:val="20"/>
        </w:rPr>
        <w:t>familiarization with transcripts</w:t>
      </w:r>
      <w:r>
        <w:rPr>
          <w:rFonts w:ascii="Arial" w:hAnsi="Arial" w:cs="Arial"/>
          <w:sz w:val="20"/>
          <w:szCs w:val="20"/>
        </w:rPr>
        <w:t xml:space="preserve"> through repeated reading;</w:t>
      </w:r>
      <w:r>
        <w:rPr>
          <w:rFonts w:ascii="Arial" w:hAnsi="Arial" w:cs="Arial"/>
          <w:sz w:val="20"/>
          <w:szCs w:val="20"/>
        </w:rPr>
        <w:br w:type="textWrapping"/>
      </w:r>
      <w:r>
        <w:rPr>
          <w:rFonts w:ascii="Arial" w:hAnsi="Arial" w:cs="Arial"/>
          <w:sz w:val="20"/>
          <w:szCs w:val="20"/>
        </w:rPr>
        <w:t xml:space="preserve">(2) </w:t>
      </w:r>
      <w:r>
        <w:rPr>
          <w:rStyle w:val="11"/>
          <w:rFonts w:ascii="Arial" w:hAnsi="Arial" w:cs="Arial"/>
          <w:sz w:val="20"/>
          <w:szCs w:val="20"/>
        </w:rPr>
        <w:t>generation of initial codes</w:t>
      </w:r>
      <w:r>
        <w:rPr>
          <w:rFonts w:ascii="Arial" w:hAnsi="Arial" w:cs="Arial"/>
          <w:sz w:val="20"/>
          <w:szCs w:val="20"/>
        </w:rPr>
        <w:t xml:space="preserve"> to capture key meanings;</w:t>
      </w:r>
      <w:r>
        <w:rPr>
          <w:rFonts w:ascii="Arial" w:hAnsi="Arial" w:cs="Arial"/>
          <w:sz w:val="20"/>
          <w:szCs w:val="20"/>
        </w:rPr>
        <w:br w:type="textWrapping"/>
      </w:r>
      <w:r>
        <w:rPr>
          <w:rFonts w:ascii="Arial" w:hAnsi="Arial" w:cs="Arial"/>
          <w:sz w:val="20"/>
          <w:szCs w:val="20"/>
        </w:rPr>
        <w:t xml:space="preserve">(3) </w:t>
      </w:r>
      <w:r>
        <w:rPr>
          <w:rStyle w:val="11"/>
          <w:rFonts w:ascii="Arial" w:hAnsi="Arial" w:cs="Arial"/>
          <w:sz w:val="20"/>
          <w:szCs w:val="20"/>
        </w:rPr>
        <w:t>identification of preliminary themes</w:t>
      </w:r>
      <w:r>
        <w:rPr>
          <w:rFonts w:ascii="Arial" w:hAnsi="Arial" w:cs="Arial"/>
          <w:sz w:val="20"/>
          <w:szCs w:val="20"/>
        </w:rPr>
        <w:t>;</w:t>
      </w:r>
      <w:r>
        <w:rPr>
          <w:rFonts w:ascii="Arial" w:hAnsi="Arial" w:cs="Arial"/>
          <w:sz w:val="20"/>
          <w:szCs w:val="20"/>
        </w:rPr>
        <w:br w:type="textWrapping"/>
      </w:r>
      <w:r>
        <w:rPr>
          <w:rFonts w:ascii="Arial" w:hAnsi="Arial" w:cs="Arial"/>
          <w:sz w:val="20"/>
          <w:szCs w:val="20"/>
        </w:rPr>
        <w:t xml:space="preserve">(4) </w:t>
      </w:r>
      <w:r>
        <w:rPr>
          <w:rStyle w:val="11"/>
          <w:rFonts w:ascii="Arial" w:hAnsi="Arial" w:cs="Arial"/>
          <w:sz w:val="20"/>
          <w:szCs w:val="20"/>
        </w:rPr>
        <w:t>review and refinement of themes</w:t>
      </w:r>
      <w:r>
        <w:rPr>
          <w:rFonts w:ascii="Arial" w:hAnsi="Arial" w:cs="Arial"/>
          <w:sz w:val="20"/>
          <w:szCs w:val="20"/>
        </w:rPr>
        <w:t xml:space="preserve"> across the dataset;</w:t>
      </w:r>
      <w:r>
        <w:rPr>
          <w:rFonts w:ascii="Arial" w:hAnsi="Arial" w:cs="Arial"/>
          <w:sz w:val="20"/>
          <w:szCs w:val="20"/>
        </w:rPr>
        <w:br w:type="textWrapping"/>
      </w:r>
      <w:r>
        <w:rPr>
          <w:rFonts w:ascii="Arial" w:hAnsi="Arial" w:cs="Arial"/>
          <w:sz w:val="20"/>
          <w:szCs w:val="20"/>
        </w:rPr>
        <w:t xml:space="preserve">(5) </w:t>
      </w:r>
      <w:r>
        <w:rPr>
          <w:rStyle w:val="11"/>
          <w:rFonts w:ascii="Arial" w:hAnsi="Arial" w:cs="Arial"/>
          <w:sz w:val="20"/>
          <w:szCs w:val="20"/>
        </w:rPr>
        <w:t>definition and naming of final themes</w:t>
      </w:r>
      <w:r>
        <w:rPr>
          <w:rFonts w:ascii="Arial" w:hAnsi="Arial" w:cs="Arial"/>
          <w:sz w:val="20"/>
          <w:szCs w:val="20"/>
        </w:rPr>
        <w:t>; and</w:t>
      </w:r>
      <w:r>
        <w:rPr>
          <w:rFonts w:ascii="Arial" w:hAnsi="Arial" w:cs="Arial"/>
          <w:sz w:val="20"/>
          <w:szCs w:val="20"/>
        </w:rPr>
        <w:br w:type="textWrapping"/>
      </w:r>
      <w:r>
        <w:rPr>
          <w:rFonts w:ascii="Arial" w:hAnsi="Arial" w:cs="Arial"/>
          <w:sz w:val="20"/>
          <w:szCs w:val="20"/>
        </w:rPr>
        <w:t xml:space="preserve">(6) </w:t>
      </w:r>
      <w:r>
        <w:rPr>
          <w:rStyle w:val="11"/>
          <w:rFonts w:ascii="Arial" w:hAnsi="Arial" w:cs="Arial"/>
          <w:sz w:val="20"/>
          <w:szCs w:val="20"/>
        </w:rPr>
        <w:t>synthesis into conceptual insights</w:t>
      </w:r>
      <w:r>
        <w:rPr>
          <w:rFonts w:ascii="Arial" w:hAnsi="Arial" w:cs="Arial"/>
          <w:sz w:val="20"/>
          <w:szCs w:val="20"/>
        </w:rPr>
        <w:t>.</w:t>
      </w:r>
    </w:p>
    <w:p w14:paraId="4A564CF8">
      <w:pPr>
        <w:pStyle w:val="7"/>
        <w:widowControl/>
        <w:jc w:val="both"/>
        <w:rPr>
          <w:rFonts w:ascii="Arial" w:hAnsi="Arial" w:cs="Arial"/>
          <w:sz w:val="20"/>
          <w:szCs w:val="20"/>
        </w:rPr>
      </w:pPr>
      <w:r>
        <w:rPr>
          <w:rFonts w:ascii="Arial" w:hAnsi="Arial" w:cs="Arial"/>
          <w:sz w:val="20"/>
          <w:szCs w:val="20"/>
        </w:rPr>
        <w:t xml:space="preserve">The coding process integrated both </w:t>
      </w:r>
      <w:r>
        <w:rPr>
          <w:rStyle w:val="10"/>
          <w:rFonts w:ascii="Arial" w:hAnsi="Arial" w:cs="Arial"/>
          <w:b w:val="0"/>
          <w:sz w:val="20"/>
          <w:szCs w:val="20"/>
        </w:rPr>
        <w:t>inductive</w:t>
      </w:r>
      <w:r>
        <w:rPr>
          <w:rFonts w:ascii="Arial" w:hAnsi="Arial" w:cs="Arial"/>
          <w:sz w:val="20"/>
          <w:szCs w:val="20"/>
        </w:rPr>
        <w:t xml:space="preserve"> and </w:t>
      </w:r>
      <w:r>
        <w:rPr>
          <w:rStyle w:val="10"/>
          <w:rFonts w:ascii="Arial" w:hAnsi="Arial" w:cs="Arial"/>
          <w:b w:val="0"/>
          <w:sz w:val="20"/>
          <w:szCs w:val="20"/>
        </w:rPr>
        <w:t>deductive</w:t>
      </w:r>
      <w:r>
        <w:rPr>
          <w:rFonts w:ascii="Arial" w:hAnsi="Arial" w:cs="Arial"/>
          <w:sz w:val="20"/>
          <w:szCs w:val="20"/>
        </w:rPr>
        <w:t xml:space="preserve"> approaches, guided by </w:t>
      </w:r>
      <w:r>
        <w:rPr>
          <w:rStyle w:val="11"/>
          <w:rFonts w:ascii="Arial" w:hAnsi="Arial" w:cs="Arial"/>
          <w:sz w:val="20"/>
          <w:szCs w:val="20"/>
        </w:rPr>
        <w:t>Hofstede’s cultural dimensions</w:t>
      </w:r>
      <w:r>
        <w:rPr>
          <w:rFonts w:ascii="Arial" w:hAnsi="Arial" w:cs="Arial"/>
          <w:sz w:val="20"/>
          <w:szCs w:val="20"/>
        </w:rPr>
        <w:t xml:space="preserve"> and </w:t>
      </w:r>
      <w:r>
        <w:rPr>
          <w:rStyle w:val="11"/>
          <w:rFonts w:ascii="Arial" w:hAnsi="Arial" w:cs="Arial"/>
          <w:sz w:val="20"/>
          <w:szCs w:val="20"/>
        </w:rPr>
        <w:t>Aaker’s brand personality framework</w:t>
      </w:r>
      <w:r>
        <w:rPr>
          <w:rFonts w:ascii="Arial" w:hAnsi="Arial" w:cs="Arial"/>
          <w:sz w:val="20"/>
          <w:szCs w:val="20"/>
        </w:rPr>
        <w:t xml:space="preserve"> as analytical lenses. Using NVivo 14 software, codes such as </w:t>
      </w:r>
      <w:r>
        <w:rPr>
          <w:rStyle w:val="11"/>
          <w:rFonts w:ascii="Arial" w:hAnsi="Arial" w:cs="Arial"/>
          <w:sz w:val="20"/>
          <w:szCs w:val="20"/>
        </w:rPr>
        <w:t>“storytelling adaptation,” “health perception,”</w:t>
      </w:r>
      <w:r>
        <w:rPr>
          <w:rFonts w:ascii="Arial" w:hAnsi="Arial" w:cs="Arial"/>
          <w:sz w:val="20"/>
          <w:szCs w:val="20"/>
        </w:rPr>
        <w:t xml:space="preserve"> and </w:t>
      </w:r>
      <w:r>
        <w:rPr>
          <w:rStyle w:val="11"/>
          <w:rFonts w:ascii="Arial" w:hAnsi="Arial" w:cs="Arial"/>
          <w:sz w:val="20"/>
          <w:szCs w:val="20"/>
        </w:rPr>
        <w:t>“platform trust”</w:t>
      </w:r>
      <w:r>
        <w:rPr>
          <w:rFonts w:ascii="Arial" w:hAnsi="Arial" w:cs="Arial"/>
          <w:sz w:val="20"/>
          <w:szCs w:val="20"/>
        </w:rPr>
        <w:t xml:space="preserve"> were clustered to form overarching themes such as </w:t>
      </w:r>
      <w:r>
        <w:rPr>
          <w:rStyle w:val="11"/>
          <w:rFonts w:ascii="Arial" w:hAnsi="Arial" w:cs="Arial"/>
          <w:sz w:val="20"/>
          <w:szCs w:val="20"/>
        </w:rPr>
        <w:t>“Cultural Framing and Narrative Translation.”</w:t>
      </w:r>
    </w:p>
    <w:p w14:paraId="6BD3B2D0">
      <w:pPr>
        <w:pStyle w:val="7"/>
        <w:widowControl/>
        <w:jc w:val="both"/>
        <w:rPr>
          <w:rFonts w:ascii="Arial" w:hAnsi="Arial" w:cs="Arial"/>
          <w:sz w:val="20"/>
          <w:szCs w:val="20"/>
        </w:rPr>
      </w:pPr>
      <w:r>
        <w:rPr>
          <w:rFonts w:ascii="Arial" w:hAnsi="Arial" w:cs="Arial"/>
          <w:sz w:val="20"/>
          <w:szCs w:val="20"/>
        </w:rPr>
        <w:t xml:space="preserve">This rigorous approach ensured the analytical transparency and theoretical alignment necessary for establishing the study’s credibility and transferability.Coding was conducted with </w:t>
      </w:r>
      <w:r>
        <w:rPr>
          <w:rStyle w:val="10"/>
          <w:rFonts w:ascii="Arial" w:hAnsi="Arial" w:cs="Arial"/>
          <w:b w:val="0"/>
          <w:sz w:val="20"/>
          <w:szCs w:val="20"/>
        </w:rPr>
        <w:t>NVivo 14</w:t>
      </w:r>
      <w:r>
        <w:rPr>
          <w:rFonts w:ascii="Arial" w:hAnsi="Arial" w:cs="Arial"/>
          <w:sz w:val="20"/>
          <w:szCs w:val="20"/>
        </w:rPr>
        <w:t xml:space="preserve">, combining inductive and deductive approaches guided by </w:t>
      </w:r>
      <w:r>
        <w:rPr>
          <w:rStyle w:val="10"/>
          <w:rFonts w:ascii="Arial" w:hAnsi="Arial" w:cs="Arial"/>
          <w:b w:val="0"/>
          <w:sz w:val="20"/>
          <w:szCs w:val="20"/>
        </w:rPr>
        <w:t>Hofstede’s cultural dimensions</w:t>
      </w:r>
      <w:r>
        <w:rPr>
          <w:rFonts w:ascii="Arial" w:hAnsi="Arial" w:cs="Arial"/>
          <w:sz w:val="20"/>
          <w:szCs w:val="20"/>
        </w:rPr>
        <w:t xml:space="preserve"> and </w:t>
      </w:r>
      <w:r>
        <w:rPr>
          <w:rStyle w:val="10"/>
          <w:rFonts w:ascii="Arial" w:hAnsi="Arial" w:cs="Arial"/>
          <w:b w:val="0"/>
          <w:sz w:val="20"/>
          <w:szCs w:val="20"/>
        </w:rPr>
        <w:t>Aaker’s brand personality framework</w:t>
      </w:r>
      <w:r>
        <w:rPr>
          <w:rFonts w:ascii="Arial" w:hAnsi="Arial" w:cs="Arial"/>
          <w:sz w:val="20"/>
          <w:szCs w:val="20"/>
        </w:rPr>
        <w:t xml:space="preserve">.An example of the coding process is shown in </w:t>
      </w:r>
      <w:r>
        <w:rPr>
          <w:rStyle w:val="10"/>
          <w:rFonts w:ascii="Arial" w:hAnsi="Arial" w:cs="Arial"/>
          <w:b w:val="0"/>
          <w:sz w:val="20"/>
          <w:szCs w:val="20"/>
        </w:rPr>
        <w:t xml:space="preserve">Table </w:t>
      </w:r>
      <w:r>
        <w:rPr>
          <w:rStyle w:val="10"/>
          <w:rFonts w:hint="eastAsia" w:ascii="Arial" w:hAnsi="Arial" w:cs="Arial"/>
          <w:b w:val="0"/>
          <w:sz w:val="20"/>
          <w:szCs w:val="20"/>
        </w:rPr>
        <w:t>3</w:t>
      </w:r>
      <w:r>
        <w:rPr>
          <w:rFonts w:ascii="Arial" w:hAnsi="Arial" w:cs="Arial"/>
          <w:sz w:val="20"/>
          <w:szCs w:val="20"/>
        </w:rPr>
        <w:t>.</w:t>
      </w:r>
    </w:p>
    <w:p w14:paraId="337FC4E8">
      <w:pPr>
        <w:pStyle w:val="7"/>
        <w:widowControl/>
        <w:rPr>
          <w:rFonts w:ascii="Arial" w:hAnsi="Arial" w:eastAsia="Times New Roman"/>
          <w:b/>
          <w:sz w:val="20"/>
          <w:szCs w:val="20"/>
          <w:lang w:eastAsia="en-US"/>
        </w:rPr>
      </w:pPr>
      <w:r>
        <w:rPr>
          <w:rFonts w:ascii="Arial" w:hAnsi="Arial" w:eastAsia="Times New Roman"/>
          <w:b/>
          <w:sz w:val="20"/>
          <w:szCs w:val="20"/>
          <w:lang w:eastAsia="en-US"/>
        </w:rPr>
        <w:t xml:space="preserve">Table </w:t>
      </w:r>
      <w:r>
        <w:rPr>
          <w:rFonts w:hint="eastAsia" w:ascii="Arial" w:hAnsi="Arial" w:eastAsia="Times New Roman"/>
          <w:b/>
          <w:sz w:val="20"/>
          <w:szCs w:val="20"/>
        </w:rPr>
        <w:t xml:space="preserve">3.  </w:t>
      </w:r>
      <w:r>
        <w:rPr>
          <w:rFonts w:ascii="Arial" w:hAnsi="Arial" w:eastAsia="Times New Roman"/>
          <w:b/>
          <w:sz w:val="20"/>
          <w:szCs w:val="20"/>
          <w:lang w:eastAsia="en-US"/>
        </w:rPr>
        <w:t>Example of Coding Process in Thematic Analysis</w:t>
      </w:r>
    </w:p>
    <w:tbl>
      <w:tblPr>
        <w:tblStyle w:val="8"/>
        <w:tblW w:w="0" w:type="auto"/>
        <w:tblCellSpacing w:w="15" w:type="dxa"/>
        <w:tblInd w:w="0" w:type="dxa"/>
        <w:tblLayout w:type="autofit"/>
        <w:tblCellMar>
          <w:top w:w="15" w:type="dxa"/>
          <w:left w:w="15" w:type="dxa"/>
          <w:bottom w:w="15" w:type="dxa"/>
          <w:right w:w="15" w:type="dxa"/>
        </w:tblCellMar>
      </w:tblPr>
      <w:tblGrid>
        <w:gridCol w:w="3986"/>
        <w:gridCol w:w="1707"/>
        <w:gridCol w:w="2703"/>
      </w:tblGrid>
      <w:tr w14:paraId="486F0618">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47B1CF1F">
            <w:pPr>
              <w:widowControl/>
              <w:jc w:val="center"/>
              <w:rPr>
                <w:rFonts w:ascii="Arial" w:hAnsi="Arial" w:cs="Arial"/>
                <w:b/>
                <w:bCs/>
                <w:sz w:val="20"/>
                <w:szCs w:val="20"/>
              </w:rPr>
            </w:pPr>
            <w:r>
              <w:rPr>
                <w:rFonts w:ascii="Arial" w:hAnsi="Arial" w:eastAsia="宋体" w:cs="Arial"/>
                <w:b/>
                <w:bCs/>
                <w:kern w:val="0"/>
                <w:sz w:val="20"/>
                <w:szCs w:val="20"/>
                <w:lang w:bidi="ar"/>
              </w:rPr>
              <w:t>Raw Data Excerpt (Interview Quote)</w:t>
            </w:r>
          </w:p>
        </w:tc>
        <w:tc>
          <w:tcPr>
            <w:tcW w:w="0" w:type="auto"/>
            <w:tcBorders>
              <w:top w:val="single" w:color="auto" w:sz="4" w:space="0"/>
              <w:bottom w:val="single" w:color="auto" w:sz="4" w:space="0"/>
            </w:tcBorders>
            <w:vAlign w:val="center"/>
          </w:tcPr>
          <w:p w14:paraId="0B63C61C">
            <w:pPr>
              <w:widowControl/>
              <w:jc w:val="center"/>
              <w:rPr>
                <w:rFonts w:ascii="Arial" w:hAnsi="Arial" w:cs="Arial"/>
                <w:b/>
                <w:bCs/>
                <w:sz w:val="20"/>
                <w:szCs w:val="20"/>
              </w:rPr>
            </w:pPr>
            <w:r>
              <w:rPr>
                <w:rFonts w:ascii="Arial" w:hAnsi="Arial" w:eastAsia="宋体" w:cs="Arial"/>
                <w:b/>
                <w:bCs/>
                <w:kern w:val="0"/>
                <w:sz w:val="20"/>
                <w:szCs w:val="20"/>
                <w:lang w:bidi="ar"/>
              </w:rPr>
              <w:t>Initial Code</w:t>
            </w:r>
          </w:p>
        </w:tc>
        <w:tc>
          <w:tcPr>
            <w:tcW w:w="0" w:type="auto"/>
            <w:tcBorders>
              <w:top w:val="single" w:color="auto" w:sz="4" w:space="0"/>
              <w:bottom w:val="single" w:color="auto" w:sz="4" w:space="0"/>
            </w:tcBorders>
            <w:vAlign w:val="center"/>
          </w:tcPr>
          <w:p w14:paraId="0DB3DE97">
            <w:pPr>
              <w:widowControl/>
              <w:jc w:val="center"/>
              <w:rPr>
                <w:rFonts w:ascii="Arial" w:hAnsi="Arial" w:cs="Arial"/>
                <w:b/>
                <w:bCs/>
                <w:sz w:val="20"/>
                <w:szCs w:val="20"/>
              </w:rPr>
            </w:pPr>
            <w:r>
              <w:rPr>
                <w:rFonts w:ascii="Arial" w:hAnsi="Arial" w:eastAsia="宋体" w:cs="Arial"/>
                <w:b/>
                <w:bCs/>
                <w:kern w:val="0"/>
                <w:sz w:val="20"/>
                <w:szCs w:val="20"/>
                <w:lang w:bidi="ar"/>
              </w:rPr>
              <w:t>Theme (Cluster)</w:t>
            </w:r>
          </w:p>
        </w:tc>
      </w:tr>
      <w:tr w14:paraId="676AF606">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6649AC3F">
            <w:pPr>
              <w:widowControl/>
              <w:jc w:val="left"/>
              <w:rPr>
                <w:rFonts w:ascii="Arial" w:hAnsi="Arial" w:cs="Arial"/>
                <w:sz w:val="20"/>
                <w:szCs w:val="20"/>
              </w:rPr>
            </w:pPr>
            <w:r>
              <w:rPr>
                <w:rFonts w:ascii="Arial" w:hAnsi="Arial" w:eastAsia="宋体" w:cs="Arial"/>
                <w:kern w:val="0"/>
                <w:sz w:val="20"/>
                <w:szCs w:val="20"/>
                <w:lang w:bidi="ar"/>
              </w:rPr>
              <w:t>“We try to highlight the natural origin and purity of Fuliang tea…”</w:t>
            </w:r>
          </w:p>
        </w:tc>
        <w:tc>
          <w:tcPr>
            <w:tcW w:w="0" w:type="auto"/>
            <w:tcBorders>
              <w:bottom w:val="single" w:color="auto" w:sz="4" w:space="0"/>
            </w:tcBorders>
            <w:vAlign w:val="center"/>
          </w:tcPr>
          <w:p w14:paraId="3361CB73">
            <w:pPr>
              <w:widowControl/>
              <w:jc w:val="left"/>
              <w:rPr>
                <w:rFonts w:ascii="Arial" w:hAnsi="Arial" w:cs="Arial"/>
                <w:sz w:val="20"/>
                <w:szCs w:val="20"/>
              </w:rPr>
            </w:pPr>
            <w:r>
              <w:rPr>
                <w:rFonts w:ascii="Arial" w:hAnsi="Arial" w:eastAsia="宋体" w:cs="Arial"/>
                <w:kern w:val="0"/>
                <w:sz w:val="20"/>
                <w:szCs w:val="20"/>
                <w:lang w:bidi="ar"/>
              </w:rPr>
              <w:t>Storytelling adaptation</w:t>
            </w:r>
          </w:p>
        </w:tc>
        <w:tc>
          <w:tcPr>
            <w:tcW w:w="0" w:type="auto"/>
            <w:tcBorders>
              <w:bottom w:val="single" w:color="auto" w:sz="4" w:space="0"/>
            </w:tcBorders>
            <w:vAlign w:val="center"/>
          </w:tcPr>
          <w:p w14:paraId="49C6B718">
            <w:pPr>
              <w:widowControl/>
              <w:jc w:val="left"/>
              <w:rPr>
                <w:rFonts w:ascii="Arial" w:hAnsi="Arial" w:cs="Arial"/>
                <w:sz w:val="20"/>
                <w:szCs w:val="20"/>
              </w:rPr>
            </w:pPr>
            <w:r>
              <w:rPr>
                <w:rFonts w:ascii="Arial" w:hAnsi="Arial" w:eastAsia="宋体" w:cs="Arial"/>
                <w:kern w:val="0"/>
                <w:sz w:val="20"/>
                <w:szCs w:val="20"/>
                <w:lang w:bidi="ar"/>
              </w:rPr>
              <w:t>Cultural Framing and Narrative Translation</w:t>
            </w:r>
          </w:p>
        </w:tc>
      </w:tr>
      <w:tr w14:paraId="6293DA23">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0D6D2A03">
            <w:pPr>
              <w:widowControl/>
              <w:jc w:val="left"/>
              <w:rPr>
                <w:rFonts w:ascii="Arial" w:hAnsi="Arial" w:cs="Arial"/>
                <w:sz w:val="20"/>
                <w:szCs w:val="20"/>
              </w:rPr>
            </w:pPr>
            <w:r>
              <w:rPr>
                <w:rFonts w:ascii="Arial" w:hAnsi="Arial" w:eastAsia="宋体" w:cs="Arial"/>
                <w:kern w:val="0"/>
                <w:sz w:val="20"/>
                <w:szCs w:val="20"/>
                <w:lang w:bidi="ar"/>
              </w:rPr>
              <w:t>“Foreign customers appreciate clear quality certificates…”</w:t>
            </w:r>
          </w:p>
        </w:tc>
        <w:tc>
          <w:tcPr>
            <w:tcW w:w="0" w:type="auto"/>
            <w:tcBorders>
              <w:bottom w:val="single" w:color="auto" w:sz="4" w:space="0"/>
            </w:tcBorders>
            <w:vAlign w:val="center"/>
          </w:tcPr>
          <w:p w14:paraId="2FF162CC">
            <w:pPr>
              <w:widowControl/>
              <w:jc w:val="left"/>
              <w:rPr>
                <w:rFonts w:ascii="Arial" w:hAnsi="Arial" w:cs="Arial"/>
                <w:sz w:val="20"/>
                <w:szCs w:val="20"/>
              </w:rPr>
            </w:pPr>
            <w:r>
              <w:rPr>
                <w:rFonts w:ascii="Arial" w:hAnsi="Arial" w:eastAsia="宋体" w:cs="Arial"/>
                <w:kern w:val="0"/>
                <w:sz w:val="20"/>
                <w:szCs w:val="20"/>
                <w:lang w:bidi="ar"/>
              </w:rPr>
              <w:t>Platform trust</w:t>
            </w:r>
          </w:p>
        </w:tc>
        <w:tc>
          <w:tcPr>
            <w:tcW w:w="0" w:type="auto"/>
            <w:tcBorders>
              <w:bottom w:val="single" w:color="auto" w:sz="4" w:space="0"/>
            </w:tcBorders>
            <w:vAlign w:val="center"/>
          </w:tcPr>
          <w:p w14:paraId="5A67FE4E">
            <w:pPr>
              <w:widowControl/>
              <w:jc w:val="left"/>
              <w:rPr>
                <w:rFonts w:ascii="Arial" w:hAnsi="Arial" w:cs="Arial"/>
                <w:sz w:val="20"/>
                <w:szCs w:val="20"/>
              </w:rPr>
            </w:pPr>
            <w:r>
              <w:rPr>
                <w:rFonts w:ascii="Arial" w:hAnsi="Arial" w:eastAsia="宋体" w:cs="Arial"/>
                <w:kern w:val="0"/>
                <w:sz w:val="20"/>
                <w:szCs w:val="20"/>
                <w:lang w:bidi="ar"/>
              </w:rPr>
              <w:t>Institutional Trust-Building</w:t>
            </w:r>
          </w:p>
        </w:tc>
      </w:tr>
      <w:tr w14:paraId="59734283">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5D246ED1">
            <w:pPr>
              <w:widowControl/>
              <w:jc w:val="left"/>
              <w:rPr>
                <w:rFonts w:ascii="Arial" w:hAnsi="Arial" w:cs="Arial"/>
                <w:sz w:val="20"/>
                <w:szCs w:val="20"/>
              </w:rPr>
            </w:pPr>
            <w:r>
              <w:rPr>
                <w:rFonts w:ascii="Arial" w:hAnsi="Arial" w:eastAsia="宋体" w:cs="Arial"/>
                <w:kern w:val="0"/>
                <w:sz w:val="20"/>
                <w:szCs w:val="20"/>
                <w:lang w:bidi="ar"/>
              </w:rPr>
              <w:t>“We redesigned packaging to include bilingual instructions.”</w:t>
            </w:r>
          </w:p>
        </w:tc>
        <w:tc>
          <w:tcPr>
            <w:tcW w:w="0" w:type="auto"/>
            <w:tcBorders>
              <w:bottom w:val="single" w:color="auto" w:sz="4" w:space="0"/>
            </w:tcBorders>
            <w:vAlign w:val="center"/>
          </w:tcPr>
          <w:p w14:paraId="59BC3CAA">
            <w:pPr>
              <w:widowControl/>
              <w:jc w:val="left"/>
              <w:rPr>
                <w:rFonts w:ascii="Arial" w:hAnsi="Arial" w:cs="Arial"/>
                <w:sz w:val="20"/>
                <w:szCs w:val="20"/>
              </w:rPr>
            </w:pPr>
            <w:r>
              <w:rPr>
                <w:rFonts w:ascii="Arial" w:hAnsi="Arial" w:eastAsia="宋体" w:cs="Arial"/>
                <w:kern w:val="0"/>
                <w:sz w:val="20"/>
                <w:szCs w:val="20"/>
                <w:lang w:bidi="ar"/>
              </w:rPr>
              <w:t>Product localization</w:t>
            </w:r>
          </w:p>
        </w:tc>
        <w:tc>
          <w:tcPr>
            <w:tcW w:w="0" w:type="auto"/>
            <w:tcBorders>
              <w:bottom w:val="single" w:color="auto" w:sz="4" w:space="0"/>
            </w:tcBorders>
            <w:vAlign w:val="center"/>
          </w:tcPr>
          <w:p w14:paraId="25701F73">
            <w:pPr>
              <w:widowControl/>
              <w:jc w:val="left"/>
              <w:rPr>
                <w:rFonts w:ascii="Arial" w:hAnsi="Arial" w:cs="Arial"/>
                <w:sz w:val="20"/>
                <w:szCs w:val="20"/>
              </w:rPr>
            </w:pPr>
            <w:r>
              <w:rPr>
                <w:rFonts w:ascii="Arial" w:hAnsi="Arial" w:eastAsia="宋体" w:cs="Arial"/>
                <w:kern w:val="0"/>
                <w:sz w:val="20"/>
                <w:szCs w:val="20"/>
                <w:lang w:bidi="ar"/>
              </w:rPr>
              <w:t>Product and Packaging Adaptation</w:t>
            </w:r>
          </w:p>
        </w:tc>
      </w:tr>
      <w:tr w14:paraId="1F8F0BD7">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35CB7D39">
            <w:pPr>
              <w:widowControl/>
              <w:jc w:val="left"/>
              <w:rPr>
                <w:rFonts w:ascii="Arial" w:hAnsi="Arial" w:cs="Arial"/>
                <w:sz w:val="20"/>
                <w:szCs w:val="20"/>
              </w:rPr>
            </w:pPr>
            <w:r>
              <w:rPr>
                <w:rFonts w:ascii="Arial" w:hAnsi="Arial" w:eastAsia="宋体" w:cs="Arial"/>
                <w:kern w:val="0"/>
                <w:sz w:val="20"/>
                <w:szCs w:val="20"/>
                <w:lang w:bidi="ar"/>
              </w:rPr>
              <w:t>“Our live-stream sessions allow direct interaction with consumers.”</w:t>
            </w:r>
          </w:p>
        </w:tc>
        <w:tc>
          <w:tcPr>
            <w:tcW w:w="0" w:type="auto"/>
            <w:tcBorders>
              <w:bottom w:val="single" w:color="auto" w:sz="4" w:space="0"/>
            </w:tcBorders>
            <w:vAlign w:val="center"/>
          </w:tcPr>
          <w:p w14:paraId="5A8FC12E">
            <w:pPr>
              <w:widowControl/>
              <w:jc w:val="left"/>
              <w:rPr>
                <w:rFonts w:ascii="Arial" w:hAnsi="Arial" w:cs="Arial"/>
                <w:sz w:val="20"/>
                <w:szCs w:val="20"/>
              </w:rPr>
            </w:pPr>
            <w:r>
              <w:rPr>
                <w:rFonts w:ascii="Arial" w:hAnsi="Arial" w:eastAsia="宋体" w:cs="Arial"/>
                <w:kern w:val="0"/>
                <w:sz w:val="20"/>
                <w:szCs w:val="20"/>
                <w:lang w:bidi="ar"/>
              </w:rPr>
              <w:t>Interactive engagement</w:t>
            </w:r>
          </w:p>
        </w:tc>
        <w:tc>
          <w:tcPr>
            <w:tcW w:w="0" w:type="auto"/>
            <w:tcBorders>
              <w:bottom w:val="single" w:color="auto" w:sz="4" w:space="0"/>
            </w:tcBorders>
            <w:vAlign w:val="center"/>
          </w:tcPr>
          <w:p w14:paraId="57F2FADE">
            <w:pPr>
              <w:widowControl/>
              <w:jc w:val="left"/>
              <w:rPr>
                <w:rFonts w:ascii="Arial" w:hAnsi="Arial" w:cs="Arial"/>
                <w:sz w:val="20"/>
                <w:szCs w:val="20"/>
              </w:rPr>
            </w:pPr>
            <w:r>
              <w:rPr>
                <w:rFonts w:ascii="Arial" w:hAnsi="Arial" w:eastAsia="宋体" w:cs="Arial"/>
                <w:kern w:val="0"/>
                <w:sz w:val="20"/>
                <w:szCs w:val="20"/>
                <w:lang w:bidi="ar"/>
              </w:rPr>
              <w:t>Digital Channel Diversification</w:t>
            </w:r>
          </w:p>
        </w:tc>
      </w:tr>
      <w:tr w14:paraId="603C016E">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4DC5EDE1">
            <w:pPr>
              <w:widowControl/>
              <w:jc w:val="left"/>
              <w:rPr>
                <w:rFonts w:ascii="Arial" w:hAnsi="Arial" w:cs="Arial"/>
                <w:sz w:val="20"/>
                <w:szCs w:val="20"/>
              </w:rPr>
            </w:pPr>
            <w:r>
              <w:rPr>
                <w:rFonts w:ascii="Arial" w:hAnsi="Arial" w:eastAsia="宋体" w:cs="Arial"/>
                <w:kern w:val="0"/>
                <w:sz w:val="20"/>
                <w:szCs w:val="20"/>
                <w:lang w:bidi="ar"/>
              </w:rPr>
              <w:t>“The local commerce bureau helped us access e-commerce training.”</w:t>
            </w:r>
          </w:p>
        </w:tc>
        <w:tc>
          <w:tcPr>
            <w:tcW w:w="0" w:type="auto"/>
            <w:tcBorders>
              <w:bottom w:val="single" w:color="auto" w:sz="4" w:space="0"/>
            </w:tcBorders>
            <w:vAlign w:val="center"/>
          </w:tcPr>
          <w:p w14:paraId="3D43A21C">
            <w:pPr>
              <w:widowControl/>
              <w:jc w:val="left"/>
              <w:rPr>
                <w:rFonts w:ascii="Arial" w:hAnsi="Arial" w:cs="Arial"/>
                <w:sz w:val="20"/>
                <w:szCs w:val="20"/>
              </w:rPr>
            </w:pPr>
            <w:r>
              <w:rPr>
                <w:rFonts w:ascii="Arial" w:hAnsi="Arial" w:eastAsia="宋体" w:cs="Arial"/>
                <w:kern w:val="0"/>
                <w:sz w:val="20"/>
                <w:szCs w:val="20"/>
                <w:lang w:bidi="ar"/>
              </w:rPr>
              <w:t>Policy support</w:t>
            </w:r>
          </w:p>
        </w:tc>
        <w:tc>
          <w:tcPr>
            <w:tcW w:w="0" w:type="auto"/>
            <w:tcBorders>
              <w:bottom w:val="single" w:color="auto" w:sz="4" w:space="0"/>
            </w:tcBorders>
            <w:vAlign w:val="center"/>
          </w:tcPr>
          <w:p w14:paraId="66AEF00D">
            <w:pPr>
              <w:widowControl/>
              <w:jc w:val="left"/>
              <w:rPr>
                <w:rFonts w:ascii="Arial" w:hAnsi="Arial" w:cs="Arial"/>
                <w:sz w:val="20"/>
                <w:szCs w:val="20"/>
              </w:rPr>
            </w:pPr>
            <w:r>
              <w:rPr>
                <w:rFonts w:ascii="Arial" w:hAnsi="Arial" w:eastAsia="宋体" w:cs="Arial"/>
                <w:kern w:val="0"/>
                <w:sz w:val="20"/>
                <w:szCs w:val="20"/>
                <w:lang w:bidi="ar"/>
              </w:rPr>
              <w:t>Institutional Support and Collaboration</w:t>
            </w:r>
          </w:p>
        </w:tc>
      </w:tr>
    </w:tbl>
    <w:p w14:paraId="790FC993">
      <w:pPr>
        <w:pStyle w:val="7"/>
        <w:widowControl/>
        <w:rPr>
          <w:rFonts w:ascii="Arial" w:hAnsi="Arial" w:cs="Arial"/>
          <w:sz w:val="20"/>
          <w:szCs w:val="20"/>
        </w:rPr>
      </w:pPr>
      <w:r>
        <w:rPr>
          <w:rStyle w:val="11"/>
          <w:rFonts w:ascii="Arial" w:hAnsi="Arial" w:cs="Arial"/>
          <w:sz w:val="20"/>
          <w:szCs w:val="20"/>
        </w:rPr>
        <w:t>Note.</w:t>
      </w:r>
      <w:r>
        <w:rPr>
          <w:rFonts w:ascii="Arial" w:hAnsi="Arial" w:cs="Arial"/>
          <w:sz w:val="20"/>
          <w:szCs w:val="20"/>
        </w:rPr>
        <w:t xml:space="preserve"> Themes were developed iteratively through coding and clustering following Naeem et al. (2023). Triangulation with policy documents and company records enhanced data credibility.</w:t>
      </w:r>
    </w:p>
    <w:p w14:paraId="6DB50CD4">
      <w:pPr>
        <w:pStyle w:val="2"/>
        <w:keepNext w:val="0"/>
        <w:keepLines w:val="0"/>
        <w:widowControl/>
        <w:numPr>
          <w:ilvl w:val="0"/>
          <w:numId w:val="1"/>
        </w:numPr>
        <w:rPr>
          <w:rFonts w:ascii="Arial" w:hAnsi="Arial" w:eastAsia="Times New Roman" w:cs="Arial"/>
          <w:bCs w:val="0"/>
          <w:caps/>
          <w:color w:val="auto"/>
          <w:kern w:val="0"/>
          <w:sz w:val="22"/>
          <w:szCs w:val="20"/>
          <w:lang w:eastAsia="en-US"/>
        </w:rPr>
      </w:pPr>
      <w:r>
        <w:rPr>
          <w:rFonts w:ascii="Arial" w:hAnsi="Arial" w:eastAsia="Times New Roman" w:cs="Arial"/>
          <w:bCs w:val="0"/>
          <w:caps/>
          <w:color w:val="auto"/>
          <w:kern w:val="0"/>
          <w:sz w:val="22"/>
          <w:szCs w:val="20"/>
          <w:lang w:eastAsia="en-US"/>
        </w:rPr>
        <w:t xml:space="preserve"> Findings</w:t>
      </w:r>
    </w:p>
    <w:p w14:paraId="55BA07BE">
      <w:pPr>
        <w:pStyle w:val="7"/>
        <w:widowControl/>
        <w:jc w:val="both"/>
        <w:rPr>
          <w:rFonts w:ascii="Arial" w:hAnsi="Arial" w:cs="Arial"/>
          <w:sz w:val="20"/>
          <w:szCs w:val="20"/>
        </w:rPr>
      </w:pPr>
      <w:r>
        <w:rPr>
          <w:rFonts w:ascii="Arial" w:hAnsi="Arial" w:cs="Arial"/>
          <w:sz w:val="20"/>
          <w:szCs w:val="20"/>
        </w:rPr>
        <w:t xml:space="preserve">The analysis identified </w:t>
      </w:r>
      <w:r>
        <w:rPr>
          <w:rStyle w:val="10"/>
          <w:rFonts w:ascii="Arial" w:hAnsi="Arial" w:cs="Arial"/>
          <w:b w:val="0"/>
          <w:sz w:val="20"/>
          <w:szCs w:val="20"/>
        </w:rPr>
        <w:t>four major themes</w:t>
      </w:r>
      <w:r>
        <w:rPr>
          <w:rFonts w:ascii="Arial" w:hAnsi="Arial" w:cs="Arial"/>
          <w:sz w:val="20"/>
          <w:szCs w:val="20"/>
        </w:rPr>
        <w:t>, each reflecting distinct yet interconnected dimensions of how Fuliang tea enterprises and stakeholders navigate cross-cultural e-commerce environments. These themes were substantiated by rich qualitative evidence and supported with representative quotations from interview participants.</w:t>
      </w:r>
    </w:p>
    <w:p w14:paraId="5CC7DF0F">
      <w:pPr>
        <w:pStyle w:val="3"/>
        <w:widowControl/>
        <w:rPr>
          <w:rFonts w:hint="default" w:ascii="Arial" w:hAnsi="Arial" w:eastAsia="Times New Roman" w:cs="Arial"/>
          <w:bCs w:val="0"/>
          <w:caps/>
          <w:sz w:val="20"/>
          <w:szCs w:val="20"/>
          <w:lang w:eastAsia="en-US"/>
        </w:rPr>
      </w:pPr>
      <w:r>
        <w:rPr>
          <w:rFonts w:hint="default" w:ascii="Arial" w:hAnsi="Arial" w:eastAsia="Times New Roman" w:cs="Arial"/>
          <w:bCs w:val="0"/>
          <w:caps/>
          <w:sz w:val="20"/>
          <w:szCs w:val="20"/>
          <w:lang w:eastAsia="en-US"/>
        </w:rPr>
        <w:t>4.1 Cultural Framing and Narrative Translation</w:t>
      </w:r>
    </w:p>
    <w:p w14:paraId="7AC536E2">
      <w:pPr>
        <w:pStyle w:val="7"/>
        <w:widowControl/>
        <w:jc w:val="both"/>
        <w:rPr>
          <w:rFonts w:ascii="Arial" w:hAnsi="Arial" w:cs="Arial"/>
          <w:sz w:val="20"/>
          <w:szCs w:val="20"/>
        </w:rPr>
      </w:pPr>
      <w:r>
        <w:rPr>
          <w:rFonts w:ascii="Arial" w:hAnsi="Arial" w:cs="Arial"/>
          <w:sz w:val="20"/>
          <w:szCs w:val="20"/>
        </w:rPr>
        <w:t xml:space="preserve">Participants consistently emphasized that </w:t>
      </w:r>
      <w:r>
        <w:rPr>
          <w:rStyle w:val="10"/>
          <w:rFonts w:ascii="Arial" w:hAnsi="Arial" w:cs="Arial"/>
          <w:b w:val="0"/>
          <w:sz w:val="20"/>
          <w:szCs w:val="20"/>
        </w:rPr>
        <w:t>storytelling</w:t>
      </w:r>
      <w:r>
        <w:rPr>
          <w:rFonts w:ascii="Arial" w:hAnsi="Arial" w:cs="Arial"/>
          <w:sz w:val="20"/>
          <w:szCs w:val="20"/>
        </w:rPr>
        <w:t xml:space="preserve"> plays a central role in communicating the cultural depth and symbolic value of Fuliang tea. For Western consumers, narratives highlighting </w:t>
      </w:r>
      <w:r>
        <w:rPr>
          <w:rStyle w:val="11"/>
          <w:rFonts w:ascii="Arial" w:hAnsi="Arial" w:cs="Arial"/>
          <w:sz w:val="20"/>
          <w:szCs w:val="20"/>
        </w:rPr>
        <w:t>health</w:t>
      </w:r>
      <w:r>
        <w:rPr>
          <w:rFonts w:ascii="Arial" w:hAnsi="Arial" w:cs="Arial"/>
          <w:sz w:val="20"/>
          <w:szCs w:val="20"/>
        </w:rPr>
        <w:t xml:space="preserve">, </w:t>
      </w:r>
      <w:r>
        <w:rPr>
          <w:rStyle w:val="11"/>
          <w:rFonts w:ascii="Arial" w:hAnsi="Arial" w:cs="Arial"/>
          <w:sz w:val="20"/>
          <w:szCs w:val="20"/>
        </w:rPr>
        <w:t>sustainability</w:t>
      </w:r>
      <w:r>
        <w:rPr>
          <w:rFonts w:ascii="Arial" w:hAnsi="Arial" w:cs="Arial"/>
          <w:sz w:val="20"/>
          <w:szCs w:val="20"/>
        </w:rPr>
        <w:t xml:space="preserve">, and </w:t>
      </w:r>
      <w:r>
        <w:rPr>
          <w:rStyle w:val="11"/>
          <w:rFonts w:ascii="Arial" w:hAnsi="Arial" w:cs="Arial"/>
          <w:sz w:val="20"/>
          <w:szCs w:val="20"/>
        </w:rPr>
        <w:t>natural origin</w:t>
      </w:r>
      <w:r>
        <w:rPr>
          <w:rFonts w:ascii="Arial" w:hAnsi="Arial" w:cs="Arial"/>
          <w:sz w:val="20"/>
          <w:szCs w:val="20"/>
        </w:rPr>
        <w:t xml:space="preserve"> were perceived as more compelling than traditional messages centered solely on heritage. Conversely, in Asian markets, traditions, rituals, and aesthetic appreciation remained important aspects of consumer appeal.</w:t>
      </w:r>
    </w:p>
    <w:p w14:paraId="7AD786A4">
      <w:pPr>
        <w:pStyle w:val="7"/>
        <w:widowControl/>
        <w:jc w:val="both"/>
        <w:rPr>
          <w:rFonts w:ascii="Arial" w:hAnsi="Arial" w:cs="Arial"/>
          <w:sz w:val="20"/>
          <w:szCs w:val="20"/>
        </w:rPr>
      </w:pPr>
      <w:r>
        <w:rPr>
          <w:rFonts w:ascii="Arial" w:hAnsi="Arial" w:cs="Arial"/>
          <w:sz w:val="20"/>
          <w:szCs w:val="20"/>
        </w:rPr>
        <w:t>As one export manager stated:</w:t>
      </w:r>
    </w:p>
    <w:p w14:paraId="39553C3D">
      <w:pPr>
        <w:pStyle w:val="7"/>
        <w:widowControl/>
        <w:ind w:left="720" w:right="720"/>
        <w:jc w:val="both"/>
        <w:rPr>
          <w:rFonts w:ascii="Arial" w:hAnsi="Arial" w:cs="Arial"/>
          <w:sz w:val="20"/>
          <w:szCs w:val="20"/>
        </w:rPr>
      </w:pPr>
      <w:r>
        <w:rPr>
          <w:rFonts w:ascii="Arial" w:hAnsi="Arial" w:eastAsia="宋体" w:cs="Arial"/>
          <w:sz w:val="20"/>
          <w:szCs w:val="20"/>
        </w:rPr>
        <w:t xml:space="preserve">“We try to highlight the natural origin and purity of Fuliang tea rather than just its taste, because Western consumers value authenticity.” — </w:t>
      </w:r>
      <w:r>
        <w:rPr>
          <w:rStyle w:val="11"/>
          <w:rFonts w:ascii="Arial" w:hAnsi="Arial" w:eastAsia="宋体" w:cs="Arial"/>
          <w:sz w:val="20"/>
          <w:szCs w:val="20"/>
        </w:rPr>
        <w:t>Manager A, Export SME</w:t>
      </w:r>
    </w:p>
    <w:p w14:paraId="15F4B0FA">
      <w:pPr>
        <w:pStyle w:val="7"/>
        <w:widowControl/>
        <w:jc w:val="both"/>
        <w:rPr>
          <w:rFonts w:ascii="Arial" w:hAnsi="Arial" w:cs="Arial"/>
          <w:sz w:val="20"/>
          <w:szCs w:val="20"/>
        </w:rPr>
      </w:pPr>
      <w:r>
        <w:rPr>
          <w:rFonts w:ascii="Arial" w:hAnsi="Arial" w:cs="Arial"/>
          <w:sz w:val="20"/>
          <w:szCs w:val="20"/>
        </w:rPr>
        <w:t>A local government official added:</w:t>
      </w:r>
    </w:p>
    <w:p w14:paraId="67361EDD">
      <w:pPr>
        <w:pStyle w:val="7"/>
        <w:widowControl/>
        <w:ind w:left="720" w:right="720"/>
        <w:jc w:val="both"/>
        <w:rPr>
          <w:rFonts w:ascii="Arial" w:hAnsi="Arial" w:cs="Arial"/>
          <w:sz w:val="20"/>
          <w:szCs w:val="20"/>
        </w:rPr>
      </w:pPr>
      <w:r>
        <w:rPr>
          <w:rFonts w:ascii="Arial" w:hAnsi="Arial" w:eastAsia="宋体" w:cs="Arial"/>
          <w:sz w:val="20"/>
          <w:szCs w:val="20"/>
        </w:rPr>
        <w:t xml:space="preserve">“Our promotional materials increasingly combine Jiangxi culture with global wellness trends. It’s cultural translation, not replacement.” — </w:t>
      </w:r>
      <w:r>
        <w:rPr>
          <w:rStyle w:val="11"/>
          <w:rFonts w:ascii="Arial" w:hAnsi="Arial" w:eastAsia="宋体" w:cs="Arial"/>
          <w:sz w:val="20"/>
          <w:szCs w:val="20"/>
        </w:rPr>
        <w:t>Official B, Fuliang County Commerce Bureau</w:t>
      </w:r>
    </w:p>
    <w:p w14:paraId="224AFF65">
      <w:pPr>
        <w:pStyle w:val="7"/>
        <w:widowControl/>
        <w:jc w:val="both"/>
        <w:rPr>
          <w:rFonts w:ascii="Arial" w:hAnsi="Arial" w:cs="Arial"/>
          <w:sz w:val="20"/>
          <w:szCs w:val="20"/>
        </w:rPr>
      </w:pPr>
      <w:r>
        <w:rPr>
          <w:rFonts w:ascii="Arial" w:hAnsi="Arial" w:cs="Arial"/>
          <w:sz w:val="20"/>
          <w:szCs w:val="20"/>
        </w:rPr>
        <w:t xml:space="preserve">Together, these insights underscore how Fuliang tea’s branding requires </w:t>
      </w:r>
      <w:r>
        <w:rPr>
          <w:rStyle w:val="11"/>
          <w:rFonts w:ascii="Arial" w:hAnsi="Arial" w:cs="Arial"/>
          <w:sz w:val="20"/>
          <w:szCs w:val="20"/>
        </w:rPr>
        <w:t>recontextualization</w:t>
      </w:r>
      <w:r>
        <w:rPr>
          <w:rFonts w:ascii="Arial" w:hAnsi="Arial" w:cs="Arial"/>
          <w:sz w:val="20"/>
          <w:szCs w:val="20"/>
        </w:rPr>
        <w:t xml:space="preserve"> of local culture for global audiences while maintaining authenticity and cultural continuity.</w:t>
      </w:r>
    </w:p>
    <w:p w14:paraId="323489E1">
      <w:pPr>
        <w:pStyle w:val="3"/>
        <w:widowControl/>
        <w:rPr>
          <w:rFonts w:hint="default" w:ascii="Arial" w:hAnsi="Arial" w:eastAsia="Times New Roman" w:cs="Arial"/>
          <w:bCs w:val="0"/>
          <w:caps/>
          <w:sz w:val="20"/>
          <w:szCs w:val="20"/>
          <w:lang w:eastAsia="en-US"/>
        </w:rPr>
      </w:pPr>
      <w:r>
        <w:rPr>
          <w:rFonts w:hint="default" w:ascii="Arial" w:hAnsi="Arial" w:eastAsia="Times New Roman" w:cs="Arial"/>
          <w:bCs w:val="0"/>
          <w:caps/>
          <w:sz w:val="20"/>
          <w:szCs w:val="20"/>
          <w:lang w:eastAsia="en-US"/>
        </w:rPr>
        <w:t>4.2 Product and Packaging Adaptation</w:t>
      </w:r>
    </w:p>
    <w:p w14:paraId="249A3B75">
      <w:pPr>
        <w:pStyle w:val="7"/>
        <w:widowControl/>
        <w:jc w:val="both"/>
        <w:rPr>
          <w:rFonts w:ascii="Arial" w:hAnsi="Arial" w:cs="Arial"/>
          <w:sz w:val="20"/>
          <w:szCs w:val="20"/>
        </w:rPr>
      </w:pPr>
      <w:r>
        <w:rPr>
          <w:rFonts w:ascii="Arial" w:hAnsi="Arial" w:cs="Arial"/>
          <w:sz w:val="20"/>
          <w:szCs w:val="20"/>
        </w:rPr>
        <w:t xml:space="preserve">Adaptation of product form and packaging emerged as a </w:t>
      </w:r>
      <w:r>
        <w:rPr>
          <w:rStyle w:val="10"/>
          <w:rFonts w:ascii="Arial" w:hAnsi="Arial" w:cs="Arial"/>
          <w:b w:val="0"/>
          <w:sz w:val="20"/>
          <w:szCs w:val="20"/>
        </w:rPr>
        <w:t>universal strategy</w:t>
      </w:r>
      <w:r>
        <w:rPr>
          <w:rFonts w:ascii="Arial" w:hAnsi="Arial" w:cs="Arial"/>
          <w:sz w:val="20"/>
          <w:szCs w:val="20"/>
        </w:rPr>
        <w:t xml:space="preserve"> for international market entry. Most enterprises introduced smaller, resealable packages and eco-friendly materials to meet environmental and convenience expectations of overseas consumers. Bilingual labeling and the inclusion of QR codes linking to origin videos or certification pages were also increasingly common.</w:t>
      </w:r>
    </w:p>
    <w:p w14:paraId="4BE7AC41">
      <w:pPr>
        <w:pStyle w:val="7"/>
        <w:widowControl/>
        <w:jc w:val="both"/>
        <w:rPr>
          <w:rFonts w:ascii="Arial" w:hAnsi="Arial" w:cs="Arial"/>
          <w:sz w:val="20"/>
          <w:szCs w:val="20"/>
        </w:rPr>
      </w:pPr>
      <w:r>
        <w:rPr>
          <w:rFonts w:ascii="Arial" w:hAnsi="Arial" w:cs="Arial"/>
          <w:sz w:val="20"/>
          <w:szCs w:val="20"/>
        </w:rPr>
        <w:t>As one association representative explained:</w:t>
      </w:r>
    </w:p>
    <w:p w14:paraId="11C80EA9">
      <w:pPr>
        <w:pStyle w:val="7"/>
        <w:widowControl/>
        <w:ind w:left="720" w:right="720"/>
        <w:jc w:val="both"/>
        <w:rPr>
          <w:rFonts w:ascii="Arial" w:hAnsi="Arial" w:cs="Arial"/>
          <w:sz w:val="20"/>
          <w:szCs w:val="20"/>
        </w:rPr>
      </w:pPr>
      <w:r>
        <w:rPr>
          <w:rFonts w:ascii="Arial" w:hAnsi="Arial" w:eastAsia="宋体" w:cs="Arial"/>
          <w:sz w:val="20"/>
          <w:szCs w:val="20"/>
        </w:rPr>
        <w:t xml:space="preserve">“We advise members to include both Chinese and English narratives on packaging. Consumers want to see the tea’s story and know where it comes from.” — </w:t>
      </w:r>
      <w:r>
        <w:rPr>
          <w:rStyle w:val="11"/>
          <w:rFonts w:ascii="Arial" w:hAnsi="Arial" w:eastAsia="宋体" w:cs="Arial"/>
          <w:sz w:val="20"/>
          <w:szCs w:val="20"/>
        </w:rPr>
        <w:t>Association Representative C</w:t>
      </w:r>
    </w:p>
    <w:p w14:paraId="42E72317">
      <w:pPr>
        <w:pStyle w:val="7"/>
        <w:widowControl/>
        <w:jc w:val="both"/>
        <w:rPr>
          <w:rFonts w:ascii="Arial" w:hAnsi="Arial" w:cs="Arial"/>
          <w:sz w:val="20"/>
          <w:szCs w:val="20"/>
        </w:rPr>
      </w:pPr>
      <w:r>
        <w:rPr>
          <w:rFonts w:ascii="Arial" w:hAnsi="Arial" w:cs="Arial"/>
          <w:sz w:val="20"/>
          <w:szCs w:val="20"/>
        </w:rPr>
        <w:t>Similarly, an international consumer noted:</w:t>
      </w:r>
    </w:p>
    <w:p w14:paraId="3839FDF3">
      <w:pPr>
        <w:pStyle w:val="7"/>
        <w:widowControl/>
        <w:ind w:left="720" w:right="720"/>
        <w:jc w:val="both"/>
        <w:rPr>
          <w:rFonts w:ascii="Arial" w:hAnsi="Arial" w:cs="Arial"/>
          <w:sz w:val="20"/>
          <w:szCs w:val="20"/>
        </w:rPr>
      </w:pPr>
      <w:r>
        <w:rPr>
          <w:rFonts w:ascii="Arial" w:hAnsi="Arial" w:eastAsia="宋体" w:cs="Arial"/>
          <w:sz w:val="20"/>
          <w:szCs w:val="20"/>
        </w:rPr>
        <w:t xml:space="preserve">“What impressed me was the transparent supply chain information. It made me trust the brand instantly.” — </w:t>
      </w:r>
      <w:r>
        <w:rPr>
          <w:rStyle w:val="11"/>
          <w:rFonts w:ascii="Arial" w:hAnsi="Arial" w:eastAsia="宋体" w:cs="Arial"/>
          <w:sz w:val="20"/>
          <w:szCs w:val="20"/>
        </w:rPr>
        <w:t>Consumer D, Germany</w:t>
      </w:r>
    </w:p>
    <w:p w14:paraId="23D02FE4">
      <w:pPr>
        <w:pStyle w:val="7"/>
        <w:widowControl/>
        <w:jc w:val="both"/>
        <w:rPr>
          <w:rFonts w:ascii="Arial" w:hAnsi="Arial" w:cs="Arial"/>
          <w:sz w:val="20"/>
          <w:szCs w:val="20"/>
        </w:rPr>
      </w:pPr>
      <w:r>
        <w:rPr>
          <w:rFonts w:ascii="Arial" w:hAnsi="Arial" w:cs="Arial"/>
          <w:sz w:val="20"/>
          <w:szCs w:val="20"/>
        </w:rPr>
        <w:t xml:space="preserve">These reflections suggest that packaging has become not only a medium of information but also a tool of </w:t>
      </w:r>
      <w:r>
        <w:rPr>
          <w:rStyle w:val="11"/>
          <w:rFonts w:ascii="Arial" w:hAnsi="Arial" w:cs="Arial"/>
          <w:sz w:val="20"/>
          <w:szCs w:val="20"/>
        </w:rPr>
        <w:t>cross-cultural storytelling and trust communication</w:t>
      </w:r>
      <w:r>
        <w:rPr>
          <w:rFonts w:ascii="Arial" w:hAnsi="Arial" w:cs="Arial"/>
          <w:sz w:val="20"/>
          <w:szCs w:val="20"/>
        </w:rPr>
        <w:t>.</w:t>
      </w:r>
    </w:p>
    <w:p w14:paraId="04CA04CA">
      <w:pPr>
        <w:pStyle w:val="3"/>
        <w:widowControl/>
        <w:jc w:val="both"/>
        <w:rPr>
          <w:rFonts w:hint="default" w:ascii="Arial" w:hAnsi="Arial" w:eastAsia="Times New Roman" w:cs="Arial"/>
          <w:bCs w:val="0"/>
          <w:caps/>
          <w:sz w:val="20"/>
          <w:szCs w:val="20"/>
          <w:lang w:eastAsia="en-US"/>
        </w:rPr>
      </w:pPr>
      <w:r>
        <w:rPr>
          <w:rFonts w:hint="default" w:ascii="Arial" w:hAnsi="Arial" w:eastAsia="Times New Roman" w:cs="Arial"/>
          <w:bCs w:val="0"/>
          <w:caps/>
          <w:sz w:val="20"/>
          <w:szCs w:val="20"/>
          <w:lang w:eastAsia="en-US"/>
        </w:rPr>
        <w:t>4.3 Digital Channel Diversification and Live-Streaming</w:t>
      </w:r>
    </w:p>
    <w:p w14:paraId="55266D62">
      <w:pPr>
        <w:pStyle w:val="7"/>
        <w:widowControl/>
        <w:jc w:val="both"/>
        <w:rPr>
          <w:rFonts w:ascii="Arial" w:hAnsi="Arial" w:cs="Arial"/>
          <w:sz w:val="20"/>
          <w:szCs w:val="20"/>
        </w:rPr>
      </w:pPr>
      <w:r>
        <w:rPr>
          <w:rFonts w:ascii="Arial" w:hAnsi="Arial" w:cs="Arial"/>
          <w:sz w:val="20"/>
          <w:szCs w:val="20"/>
        </w:rPr>
        <w:t xml:space="preserve">Enterprises widely adopted </w:t>
      </w:r>
      <w:r>
        <w:rPr>
          <w:rStyle w:val="10"/>
          <w:rFonts w:ascii="Arial" w:hAnsi="Arial" w:cs="Arial"/>
          <w:sz w:val="20"/>
          <w:szCs w:val="20"/>
        </w:rPr>
        <w:t>multi-channel digital strategies</w:t>
      </w:r>
      <w:r>
        <w:rPr>
          <w:rFonts w:ascii="Arial" w:hAnsi="Arial" w:cs="Arial"/>
          <w:sz w:val="20"/>
          <w:szCs w:val="20"/>
        </w:rPr>
        <w:t>, combining global and domestic platforms such as TikTok, Instagram, and Alibaba International. Among these, live-streaming emerged as an especially effective approach to display product preparation processes and foster real-time engagement with international audiences.</w:t>
      </w:r>
    </w:p>
    <w:p w14:paraId="3E3F24B0">
      <w:pPr>
        <w:pStyle w:val="7"/>
        <w:widowControl/>
        <w:jc w:val="both"/>
        <w:rPr>
          <w:rFonts w:ascii="Arial" w:hAnsi="Arial" w:cs="Arial"/>
          <w:sz w:val="20"/>
          <w:szCs w:val="20"/>
        </w:rPr>
      </w:pPr>
      <w:r>
        <w:rPr>
          <w:rFonts w:ascii="Arial" w:hAnsi="Arial" w:cs="Arial"/>
          <w:sz w:val="20"/>
          <w:szCs w:val="20"/>
        </w:rPr>
        <w:t>An e-commerce manager shared:</w:t>
      </w:r>
    </w:p>
    <w:p w14:paraId="176F56D8">
      <w:pPr>
        <w:pStyle w:val="7"/>
        <w:widowControl/>
        <w:ind w:left="720" w:right="720"/>
        <w:jc w:val="both"/>
        <w:rPr>
          <w:rFonts w:ascii="Arial" w:hAnsi="Arial" w:cs="Arial"/>
          <w:sz w:val="20"/>
          <w:szCs w:val="20"/>
        </w:rPr>
      </w:pPr>
      <w:r>
        <w:rPr>
          <w:rFonts w:ascii="Arial" w:hAnsi="Arial" w:eastAsia="宋体" w:cs="Arial"/>
          <w:sz w:val="20"/>
          <w:szCs w:val="20"/>
        </w:rPr>
        <w:t xml:space="preserve">“When our host brews tea live and answers questions, foreign buyers feel connected to the culture and the people behind the tea.” — </w:t>
      </w:r>
      <w:r>
        <w:rPr>
          <w:rStyle w:val="11"/>
          <w:rFonts w:ascii="Arial" w:hAnsi="Arial" w:eastAsia="宋体" w:cs="Arial"/>
          <w:sz w:val="20"/>
          <w:szCs w:val="20"/>
        </w:rPr>
        <w:t>Marketing Manager E</w:t>
      </w:r>
    </w:p>
    <w:p w14:paraId="25636D51">
      <w:pPr>
        <w:pStyle w:val="7"/>
        <w:widowControl/>
        <w:jc w:val="both"/>
        <w:rPr>
          <w:rFonts w:ascii="Arial" w:hAnsi="Arial" w:cs="Arial"/>
          <w:sz w:val="20"/>
          <w:szCs w:val="20"/>
        </w:rPr>
      </w:pPr>
      <w:r>
        <w:rPr>
          <w:rFonts w:ascii="Arial" w:hAnsi="Arial" w:cs="Arial"/>
          <w:sz w:val="20"/>
          <w:szCs w:val="20"/>
        </w:rPr>
        <w:t>A government participant further highlighted the policy dimension:</w:t>
      </w:r>
    </w:p>
    <w:p w14:paraId="726595E3">
      <w:pPr>
        <w:pStyle w:val="7"/>
        <w:widowControl/>
        <w:ind w:left="720" w:right="720"/>
        <w:jc w:val="both"/>
        <w:rPr>
          <w:rFonts w:ascii="Arial" w:hAnsi="Arial" w:cs="Arial"/>
          <w:sz w:val="20"/>
          <w:szCs w:val="20"/>
        </w:rPr>
      </w:pPr>
      <w:r>
        <w:rPr>
          <w:rFonts w:ascii="Arial" w:hAnsi="Arial" w:eastAsia="宋体" w:cs="Arial"/>
          <w:sz w:val="20"/>
          <w:szCs w:val="20"/>
        </w:rPr>
        <w:t xml:space="preserve">“We provide training for young entrepreneurs on how to use live-streaming to reach global markets.” — </w:t>
      </w:r>
      <w:r>
        <w:rPr>
          <w:rStyle w:val="11"/>
          <w:rFonts w:ascii="Arial" w:hAnsi="Arial" w:eastAsia="宋体" w:cs="Arial"/>
          <w:sz w:val="20"/>
          <w:szCs w:val="20"/>
        </w:rPr>
        <w:t>Official F, Jiangxi E-Commerce Bureau</w:t>
      </w:r>
    </w:p>
    <w:p w14:paraId="3E342106">
      <w:pPr>
        <w:pStyle w:val="7"/>
        <w:widowControl/>
        <w:jc w:val="both"/>
        <w:rPr>
          <w:rFonts w:ascii="Arial" w:hAnsi="Arial" w:cs="Arial"/>
          <w:sz w:val="20"/>
          <w:szCs w:val="20"/>
        </w:rPr>
      </w:pPr>
      <w:r>
        <w:rPr>
          <w:rFonts w:ascii="Arial" w:hAnsi="Arial" w:cs="Arial"/>
          <w:sz w:val="20"/>
          <w:szCs w:val="20"/>
        </w:rPr>
        <w:t xml:space="preserve">The findings indicate that live-streaming serves as a form of </w:t>
      </w:r>
      <w:r>
        <w:rPr>
          <w:rStyle w:val="10"/>
          <w:rFonts w:ascii="Arial" w:hAnsi="Arial" w:cs="Arial"/>
          <w:b w:val="0"/>
          <w:sz w:val="20"/>
          <w:szCs w:val="20"/>
        </w:rPr>
        <w:t>digital cultural mediation</w:t>
      </w:r>
      <w:r>
        <w:rPr>
          <w:rFonts w:ascii="Arial" w:hAnsi="Arial" w:cs="Arial"/>
          <w:sz w:val="20"/>
          <w:szCs w:val="20"/>
        </w:rPr>
        <w:t>, humanizing the product and bridging cultural distance through visual authenticity and direct interaction.</w:t>
      </w:r>
    </w:p>
    <w:p w14:paraId="70E3AAE2">
      <w:pPr>
        <w:pStyle w:val="3"/>
        <w:widowControl/>
        <w:rPr>
          <w:rFonts w:hint="default" w:ascii="Arial" w:hAnsi="Arial" w:eastAsia="Times New Roman" w:cs="Arial"/>
          <w:bCs w:val="0"/>
          <w:caps/>
          <w:sz w:val="20"/>
          <w:szCs w:val="20"/>
          <w:lang w:eastAsia="en-US"/>
        </w:rPr>
      </w:pPr>
      <w:r>
        <w:rPr>
          <w:rFonts w:hint="default" w:ascii="Arial" w:hAnsi="Arial" w:eastAsia="Times New Roman" w:cs="Arial"/>
          <w:bCs w:val="0"/>
          <w:caps/>
          <w:sz w:val="20"/>
          <w:szCs w:val="20"/>
          <w:lang w:eastAsia="en-US"/>
        </w:rPr>
        <w:t>4.4 Institutional Trust-Building through Certification and Service Infrastructure</w:t>
      </w:r>
    </w:p>
    <w:p w14:paraId="691F99C8">
      <w:pPr>
        <w:pStyle w:val="7"/>
        <w:widowControl/>
        <w:jc w:val="both"/>
        <w:rPr>
          <w:rFonts w:ascii="Arial" w:hAnsi="Arial" w:cs="Arial"/>
          <w:sz w:val="20"/>
          <w:szCs w:val="20"/>
        </w:rPr>
      </w:pPr>
      <w:r>
        <w:rPr>
          <w:rFonts w:ascii="Arial" w:hAnsi="Arial" w:cs="Arial"/>
          <w:sz w:val="20"/>
          <w:szCs w:val="20"/>
        </w:rPr>
        <w:t xml:space="preserve">Both enterprises and consumers underscored the critical importance of </w:t>
      </w:r>
      <w:r>
        <w:rPr>
          <w:rStyle w:val="10"/>
          <w:rFonts w:ascii="Arial" w:hAnsi="Arial" w:cs="Arial"/>
          <w:b w:val="0"/>
          <w:sz w:val="20"/>
          <w:szCs w:val="20"/>
        </w:rPr>
        <w:t>institutional trust</w:t>
      </w:r>
      <w:r>
        <w:rPr>
          <w:rFonts w:ascii="Arial" w:hAnsi="Arial" w:cs="Arial"/>
          <w:sz w:val="20"/>
          <w:szCs w:val="20"/>
        </w:rPr>
        <w:t xml:space="preserve"> in sustaining international operations. Certifications such as ISO quality marks, organic labeling, and regional indications substantially enhanced brand credibility abroad. In addition, efficient logistics systems and responsive after-sales services were viewed as vital for maintaining consumer confidence.</w:t>
      </w:r>
    </w:p>
    <w:p w14:paraId="7C5B8D41">
      <w:pPr>
        <w:pStyle w:val="7"/>
        <w:widowControl/>
        <w:jc w:val="both"/>
        <w:rPr>
          <w:rFonts w:ascii="Arial" w:hAnsi="Arial" w:cs="Arial"/>
          <w:sz w:val="20"/>
          <w:szCs w:val="20"/>
        </w:rPr>
      </w:pPr>
      <w:r>
        <w:rPr>
          <w:rFonts w:ascii="Arial" w:hAnsi="Arial" w:cs="Arial"/>
          <w:sz w:val="20"/>
          <w:szCs w:val="20"/>
        </w:rPr>
        <w:t>As one tea producer observed:</w:t>
      </w:r>
    </w:p>
    <w:p w14:paraId="5F4703A0">
      <w:pPr>
        <w:pStyle w:val="7"/>
        <w:widowControl/>
        <w:ind w:left="720" w:right="720"/>
        <w:jc w:val="both"/>
        <w:rPr>
          <w:rFonts w:ascii="Arial" w:hAnsi="Arial" w:cs="Arial"/>
          <w:sz w:val="20"/>
          <w:szCs w:val="20"/>
        </w:rPr>
      </w:pPr>
      <w:r>
        <w:rPr>
          <w:rFonts w:ascii="Arial" w:hAnsi="Arial" w:eastAsia="宋体" w:cs="Arial"/>
          <w:sz w:val="20"/>
          <w:szCs w:val="20"/>
        </w:rPr>
        <w:t xml:space="preserve">“Once we obtained the EU organic certificate, our orders from Europe doubled within three months.” — </w:t>
      </w:r>
      <w:r>
        <w:rPr>
          <w:rStyle w:val="11"/>
          <w:rFonts w:ascii="Arial" w:hAnsi="Arial" w:eastAsia="宋体" w:cs="Arial"/>
          <w:sz w:val="20"/>
          <w:szCs w:val="20"/>
        </w:rPr>
        <w:t>Producer G, Cooperative Enterprise</w:t>
      </w:r>
    </w:p>
    <w:p w14:paraId="42630BA2">
      <w:pPr>
        <w:pStyle w:val="7"/>
        <w:widowControl/>
        <w:jc w:val="both"/>
        <w:rPr>
          <w:rFonts w:ascii="Arial" w:hAnsi="Arial" w:cs="Arial"/>
          <w:sz w:val="20"/>
          <w:szCs w:val="20"/>
        </w:rPr>
      </w:pPr>
      <w:r>
        <w:rPr>
          <w:rFonts w:ascii="Arial" w:hAnsi="Arial" w:cs="Arial"/>
          <w:sz w:val="20"/>
          <w:szCs w:val="20"/>
        </w:rPr>
        <w:t>Another participant added:</w:t>
      </w:r>
    </w:p>
    <w:p w14:paraId="6CC21F04">
      <w:pPr>
        <w:pStyle w:val="7"/>
        <w:widowControl/>
        <w:ind w:left="720" w:right="720"/>
        <w:jc w:val="both"/>
        <w:rPr>
          <w:rFonts w:ascii="Arial" w:hAnsi="Arial" w:cs="Arial"/>
          <w:sz w:val="20"/>
          <w:szCs w:val="20"/>
        </w:rPr>
      </w:pPr>
      <w:r>
        <w:rPr>
          <w:rFonts w:ascii="Arial" w:hAnsi="Arial" w:eastAsia="宋体" w:cs="Arial"/>
          <w:sz w:val="20"/>
          <w:szCs w:val="20"/>
        </w:rPr>
        <w:t xml:space="preserve">“Foreign customers appreciate prompt feedback on shipping and refunds—it shows we care about their experience.” — </w:t>
      </w:r>
      <w:r>
        <w:rPr>
          <w:rStyle w:val="11"/>
          <w:rFonts w:ascii="Arial" w:hAnsi="Arial" w:eastAsia="宋体" w:cs="Arial"/>
          <w:sz w:val="20"/>
          <w:szCs w:val="20"/>
        </w:rPr>
        <w:t>E-Commerce Operator H</w:t>
      </w:r>
    </w:p>
    <w:p w14:paraId="6E2CBC22">
      <w:pPr>
        <w:pStyle w:val="7"/>
        <w:widowControl/>
        <w:jc w:val="both"/>
        <w:rPr>
          <w:rFonts w:ascii="Arial" w:hAnsi="Arial" w:cs="Arial"/>
          <w:sz w:val="20"/>
          <w:szCs w:val="20"/>
        </w:rPr>
      </w:pPr>
      <w:r>
        <w:rPr>
          <w:rFonts w:ascii="Arial" w:hAnsi="Arial" w:cs="Arial"/>
          <w:sz w:val="20"/>
          <w:szCs w:val="20"/>
        </w:rPr>
        <w:t>These narratives confirm that tangible assurances of quality and professionalism reinforce consumer trust and support the long-term global reputation of regional tea brands.</w:t>
      </w:r>
      <w:r>
        <w:rPr>
          <w:rStyle w:val="10"/>
          <w:rFonts w:ascii="Arial" w:hAnsi="Arial" w:cs="Arial"/>
          <w:b w:val="0"/>
          <w:sz w:val="20"/>
          <w:szCs w:val="20"/>
        </w:rPr>
        <w:t xml:space="preserve">Table </w:t>
      </w:r>
      <w:r>
        <w:rPr>
          <w:rStyle w:val="10"/>
          <w:rFonts w:hint="eastAsia" w:ascii="Arial" w:hAnsi="Arial" w:cs="Arial"/>
          <w:b w:val="0"/>
          <w:sz w:val="20"/>
          <w:szCs w:val="20"/>
        </w:rPr>
        <w:t xml:space="preserve">4 </w:t>
      </w:r>
      <w:r>
        <w:rPr>
          <w:rFonts w:ascii="Arial" w:hAnsi="Arial" w:cs="Arial"/>
          <w:sz w:val="20"/>
          <w:szCs w:val="20"/>
        </w:rPr>
        <w:t>summarizes the four major themes, corresponding codes, and representative quotations that underpin these findings.</w:t>
      </w:r>
    </w:p>
    <w:p w14:paraId="453A62E8">
      <w:pPr>
        <w:rPr>
          <w:rFonts w:ascii="Arial" w:hAnsi="Arial" w:cs="Arial"/>
          <w:sz w:val="20"/>
          <w:szCs w:val="20"/>
          <w:lang w:eastAsia="en-US"/>
        </w:rPr>
      </w:pPr>
    </w:p>
    <w:p w14:paraId="6BF1302D">
      <w:pPr>
        <w:rPr>
          <w:rFonts w:ascii="Arial" w:hAnsi="Arial" w:cs="Arial"/>
          <w:b/>
          <w:bCs/>
          <w:sz w:val="20"/>
          <w:szCs w:val="20"/>
          <w:lang w:eastAsia="en-US"/>
        </w:rPr>
      </w:pPr>
      <w:r>
        <w:rPr>
          <w:rFonts w:ascii="Arial" w:hAnsi="Arial" w:cs="Arial"/>
          <w:b/>
          <w:bCs/>
          <w:sz w:val="20"/>
          <w:szCs w:val="20"/>
          <w:lang w:eastAsia="en-US"/>
        </w:rPr>
        <w:t xml:space="preserve">Table </w:t>
      </w:r>
      <w:r>
        <w:rPr>
          <w:rFonts w:hint="eastAsia" w:ascii="Arial" w:hAnsi="Arial" w:cs="Arial"/>
          <w:b/>
          <w:bCs/>
          <w:sz w:val="20"/>
          <w:szCs w:val="20"/>
        </w:rPr>
        <w:t xml:space="preserve">4. </w:t>
      </w:r>
      <w:r>
        <w:rPr>
          <w:rFonts w:ascii="Arial" w:hAnsi="Arial" w:cs="Arial"/>
          <w:b/>
          <w:bCs/>
          <w:sz w:val="20"/>
          <w:szCs w:val="20"/>
          <w:lang w:eastAsia="en-US"/>
        </w:rPr>
        <w:t>Summary of Major Themes, Core Codes, and Illustrative Quotes</w:t>
      </w:r>
    </w:p>
    <w:p w14:paraId="1ED21CA5">
      <w:pPr>
        <w:rPr>
          <w:rFonts w:ascii="Arial" w:hAnsi="Arial" w:cs="Arial"/>
          <w:sz w:val="20"/>
          <w:szCs w:val="20"/>
          <w:lang w:eastAsia="en-US"/>
        </w:rPr>
      </w:pPr>
    </w:p>
    <w:tbl>
      <w:tblPr>
        <w:tblStyle w:val="8"/>
        <w:tblW w:w="0" w:type="auto"/>
        <w:tblCellSpacing w:w="15" w:type="dxa"/>
        <w:tblInd w:w="0" w:type="dxa"/>
        <w:tblLayout w:type="autofit"/>
        <w:tblCellMar>
          <w:top w:w="15" w:type="dxa"/>
          <w:left w:w="15" w:type="dxa"/>
          <w:bottom w:w="15" w:type="dxa"/>
          <w:right w:w="15" w:type="dxa"/>
        </w:tblCellMar>
      </w:tblPr>
      <w:tblGrid>
        <w:gridCol w:w="1835"/>
        <w:gridCol w:w="1686"/>
        <w:gridCol w:w="3026"/>
        <w:gridCol w:w="1849"/>
      </w:tblGrid>
      <w:tr w14:paraId="760AF6AE">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7DA1A7CD">
            <w:pPr>
              <w:widowControl/>
              <w:jc w:val="center"/>
              <w:rPr>
                <w:rFonts w:ascii="Arial" w:hAnsi="Arial" w:cs="Arial"/>
                <w:b/>
                <w:bCs/>
                <w:sz w:val="20"/>
                <w:szCs w:val="20"/>
              </w:rPr>
            </w:pPr>
            <w:r>
              <w:rPr>
                <w:rFonts w:ascii="Arial" w:hAnsi="Arial" w:eastAsia="宋体" w:cs="Arial"/>
                <w:b/>
                <w:bCs/>
                <w:kern w:val="0"/>
                <w:sz w:val="20"/>
                <w:szCs w:val="20"/>
                <w:lang w:bidi="ar"/>
              </w:rPr>
              <w:t>Theme</w:t>
            </w:r>
          </w:p>
        </w:tc>
        <w:tc>
          <w:tcPr>
            <w:tcW w:w="0" w:type="auto"/>
            <w:tcBorders>
              <w:top w:val="single" w:color="auto" w:sz="4" w:space="0"/>
              <w:bottom w:val="single" w:color="auto" w:sz="4" w:space="0"/>
            </w:tcBorders>
            <w:vAlign w:val="center"/>
          </w:tcPr>
          <w:p w14:paraId="3DAF56B6">
            <w:pPr>
              <w:widowControl/>
              <w:jc w:val="center"/>
              <w:rPr>
                <w:rFonts w:ascii="Arial" w:hAnsi="Arial" w:cs="Arial"/>
                <w:b/>
                <w:bCs/>
                <w:sz w:val="20"/>
                <w:szCs w:val="20"/>
              </w:rPr>
            </w:pPr>
            <w:r>
              <w:rPr>
                <w:rFonts w:ascii="Arial" w:hAnsi="Arial" w:eastAsia="宋体" w:cs="Arial"/>
                <w:b/>
                <w:bCs/>
                <w:kern w:val="0"/>
                <w:sz w:val="20"/>
                <w:szCs w:val="20"/>
                <w:lang w:bidi="ar"/>
              </w:rPr>
              <w:t>Core Codes</w:t>
            </w:r>
          </w:p>
        </w:tc>
        <w:tc>
          <w:tcPr>
            <w:tcW w:w="0" w:type="auto"/>
            <w:tcBorders>
              <w:top w:val="single" w:color="auto" w:sz="4" w:space="0"/>
              <w:bottom w:val="single" w:color="auto" w:sz="4" w:space="0"/>
            </w:tcBorders>
            <w:vAlign w:val="center"/>
          </w:tcPr>
          <w:p w14:paraId="0A9E6C0C">
            <w:pPr>
              <w:widowControl/>
              <w:jc w:val="center"/>
              <w:rPr>
                <w:rFonts w:ascii="Arial" w:hAnsi="Arial" w:cs="Arial"/>
                <w:b/>
                <w:bCs/>
                <w:sz w:val="20"/>
                <w:szCs w:val="20"/>
              </w:rPr>
            </w:pPr>
            <w:r>
              <w:rPr>
                <w:rFonts w:ascii="Arial" w:hAnsi="Arial" w:eastAsia="宋体" w:cs="Arial"/>
                <w:b/>
                <w:bCs/>
                <w:kern w:val="0"/>
                <w:sz w:val="20"/>
                <w:szCs w:val="20"/>
                <w:lang w:bidi="ar"/>
              </w:rPr>
              <w:t>Illustrative Quotations</w:t>
            </w:r>
          </w:p>
        </w:tc>
        <w:tc>
          <w:tcPr>
            <w:tcW w:w="0" w:type="auto"/>
            <w:tcBorders>
              <w:top w:val="single" w:color="auto" w:sz="4" w:space="0"/>
              <w:bottom w:val="single" w:color="auto" w:sz="4" w:space="0"/>
            </w:tcBorders>
            <w:vAlign w:val="center"/>
          </w:tcPr>
          <w:p w14:paraId="7AA3B95C">
            <w:pPr>
              <w:widowControl/>
              <w:jc w:val="center"/>
              <w:rPr>
                <w:rFonts w:ascii="Arial" w:hAnsi="Arial" w:cs="Arial"/>
                <w:b/>
                <w:bCs/>
                <w:sz w:val="20"/>
                <w:szCs w:val="20"/>
              </w:rPr>
            </w:pPr>
            <w:r>
              <w:rPr>
                <w:rFonts w:ascii="Arial" w:hAnsi="Arial" w:eastAsia="宋体" w:cs="Arial"/>
                <w:b/>
                <w:bCs/>
                <w:kern w:val="0"/>
                <w:sz w:val="20"/>
                <w:szCs w:val="20"/>
                <w:lang w:bidi="ar"/>
              </w:rPr>
              <w:t>Key Insight</w:t>
            </w:r>
          </w:p>
        </w:tc>
      </w:tr>
      <w:tr w14:paraId="78DCA29E">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1DA65F95">
            <w:pPr>
              <w:widowControl/>
              <w:jc w:val="left"/>
              <w:rPr>
                <w:rFonts w:ascii="Arial" w:hAnsi="Arial" w:cs="Arial"/>
                <w:sz w:val="20"/>
                <w:szCs w:val="20"/>
              </w:rPr>
            </w:pPr>
            <w:r>
              <w:rPr>
                <w:rStyle w:val="10"/>
                <w:rFonts w:ascii="Arial" w:hAnsi="Arial" w:eastAsia="宋体" w:cs="Arial"/>
                <w:kern w:val="0"/>
                <w:sz w:val="20"/>
                <w:szCs w:val="20"/>
                <w:lang w:bidi="ar"/>
              </w:rPr>
              <w:t>Cultural Framing and Narrative Translation</w:t>
            </w:r>
          </w:p>
        </w:tc>
        <w:tc>
          <w:tcPr>
            <w:tcW w:w="0" w:type="auto"/>
            <w:tcBorders>
              <w:bottom w:val="single" w:color="auto" w:sz="4" w:space="0"/>
            </w:tcBorders>
            <w:vAlign w:val="center"/>
          </w:tcPr>
          <w:p w14:paraId="12ADA00A">
            <w:pPr>
              <w:widowControl/>
              <w:jc w:val="left"/>
              <w:rPr>
                <w:rFonts w:ascii="Arial" w:hAnsi="Arial" w:cs="Arial"/>
                <w:sz w:val="20"/>
                <w:szCs w:val="20"/>
              </w:rPr>
            </w:pPr>
            <w:r>
              <w:rPr>
                <w:rFonts w:ascii="Arial" w:hAnsi="Arial" w:eastAsia="宋体" w:cs="Arial"/>
                <w:kern w:val="0"/>
                <w:sz w:val="20"/>
                <w:szCs w:val="20"/>
                <w:lang w:bidi="ar"/>
              </w:rPr>
              <w:t>Storytelling adaptation; cultural symbolism; heritage communication</w:t>
            </w:r>
          </w:p>
        </w:tc>
        <w:tc>
          <w:tcPr>
            <w:tcW w:w="0" w:type="auto"/>
            <w:tcBorders>
              <w:bottom w:val="single" w:color="auto" w:sz="4" w:space="0"/>
            </w:tcBorders>
            <w:vAlign w:val="center"/>
          </w:tcPr>
          <w:p w14:paraId="29E148FF">
            <w:pPr>
              <w:widowControl/>
              <w:jc w:val="left"/>
              <w:rPr>
                <w:rFonts w:ascii="Arial" w:hAnsi="Arial" w:cs="Arial"/>
                <w:sz w:val="20"/>
                <w:szCs w:val="20"/>
              </w:rPr>
            </w:pPr>
            <w:r>
              <w:rPr>
                <w:rFonts w:ascii="Arial" w:hAnsi="Arial" w:eastAsia="宋体" w:cs="Arial"/>
                <w:kern w:val="0"/>
                <w:sz w:val="20"/>
                <w:szCs w:val="20"/>
                <w:lang w:bidi="ar"/>
              </w:rPr>
              <w:t>“We try to highlight the natural origin and purity of Fuliang tea rather than just its taste, because Western consumers value authenticity.” — Manager A, Export SME “Our promotional materials increasingly combine Jiangxi culture with global wellness trends. It’s cultural translation, not replacement.” — Official B, Fuliang County Commerce Bureau</w:t>
            </w:r>
          </w:p>
        </w:tc>
        <w:tc>
          <w:tcPr>
            <w:tcW w:w="0" w:type="auto"/>
            <w:tcBorders>
              <w:bottom w:val="single" w:color="auto" w:sz="4" w:space="0"/>
            </w:tcBorders>
            <w:vAlign w:val="center"/>
          </w:tcPr>
          <w:p w14:paraId="42BA1C4E">
            <w:pPr>
              <w:widowControl/>
              <w:jc w:val="left"/>
              <w:rPr>
                <w:rFonts w:ascii="Arial" w:hAnsi="Arial" w:cs="Arial"/>
                <w:sz w:val="20"/>
                <w:szCs w:val="20"/>
              </w:rPr>
            </w:pPr>
            <w:r>
              <w:rPr>
                <w:rFonts w:ascii="Arial" w:hAnsi="Arial" w:eastAsia="宋体" w:cs="Arial"/>
                <w:kern w:val="0"/>
                <w:sz w:val="20"/>
                <w:szCs w:val="20"/>
                <w:lang w:bidi="ar"/>
              </w:rPr>
              <w:t>Effective storytelling reframes local culture into global wellness narratives without losing authenticity.</w:t>
            </w:r>
          </w:p>
        </w:tc>
      </w:tr>
      <w:tr w14:paraId="4A19C249">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43576FC6">
            <w:pPr>
              <w:widowControl/>
              <w:jc w:val="left"/>
              <w:rPr>
                <w:rFonts w:ascii="Arial" w:hAnsi="Arial" w:cs="Arial"/>
                <w:sz w:val="20"/>
                <w:szCs w:val="20"/>
              </w:rPr>
            </w:pPr>
            <w:r>
              <w:rPr>
                <w:rStyle w:val="10"/>
                <w:rFonts w:ascii="Arial" w:hAnsi="Arial" w:eastAsia="宋体" w:cs="Arial"/>
                <w:kern w:val="0"/>
                <w:sz w:val="20"/>
                <w:szCs w:val="20"/>
                <w:lang w:bidi="ar"/>
              </w:rPr>
              <w:t>Product and Packaging Adaptation</w:t>
            </w:r>
          </w:p>
        </w:tc>
        <w:tc>
          <w:tcPr>
            <w:tcW w:w="0" w:type="auto"/>
            <w:tcBorders>
              <w:bottom w:val="single" w:color="auto" w:sz="4" w:space="0"/>
            </w:tcBorders>
            <w:vAlign w:val="center"/>
          </w:tcPr>
          <w:p w14:paraId="0C67D9D2">
            <w:pPr>
              <w:widowControl/>
              <w:jc w:val="left"/>
              <w:rPr>
                <w:rFonts w:ascii="Arial" w:hAnsi="Arial" w:cs="Arial"/>
                <w:sz w:val="20"/>
                <w:szCs w:val="20"/>
              </w:rPr>
            </w:pPr>
            <w:r>
              <w:rPr>
                <w:rFonts w:ascii="Arial" w:hAnsi="Arial" w:eastAsia="宋体" w:cs="Arial"/>
                <w:kern w:val="0"/>
                <w:sz w:val="20"/>
                <w:szCs w:val="20"/>
                <w:lang w:bidi="ar"/>
              </w:rPr>
              <w:t>Product localization; bilingual packaging; eco-design</w:t>
            </w:r>
          </w:p>
        </w:tc>
        <w:tc>
          <w:tcPr>
            <w:tcW w:w="0" w:type="auto"/>
            <w:tcBorders>
              <w:bottom w:val="single" w:color="auto" w:sz="4" w:space="0"/>
            </w:tcBorders>
            <w:vAlign w:val="center"/>
          </w:tcPr>
          <w:p w14:paraId="071C0D6E">
            <w:pPr>
              <w:widowControl/>
              <w:jc w:val="left"/>
              <w:rPr>
                <w:rFonts w:ascii="Arial" w:hAnsi="Arial" w:cs="Arial"/>
                <w:sz w:val="20"/>
                <w:szCs w:val="20"/>
              </w:rPr>
            </w:pPr>
            <w:r>
              <w:rPr>
                <w:rFonts w:ascii="Arial" w:hAnsi="Arial" w:eastAsia="宋体" w:cs="Arial"/>
                <w:kern w:val="0"/>
                <w:sz w:val="20"/>
                <w:szCs w:val="20"/>
                <w:lang w:bidi="ar"/>
              </w:rPr>
              <w:t>“We advise members to include both Chinese and English narratives on packaging. Consumers want to see the tea’s story and know where it comes from.” — Association Representative C “What impressed me was the transparent supply chain information. It made me trust the brand instantly.” — Consumer D, Germany</w:t>
            </w:r>
          </w:p>
        </w:tc>
        <w:tc>
          <w:tcPr>
            <w:tcW w:w="0" w:type="auto"/>
            <w:tcBorders>
              <w:bottom w:val="single" w:color="auto" w:sz="4" w:space="0"/>
            </w:tcBorders>
            <w:vAlign w:val="center"/>
          </w:tcPr>
          <w:p w14:paraId="5A3BFB05">
            <w:pPr>
              <w:widowControl/>
              <w:jc w:val="left"/>
              <w:rPr>
                <w:rFonts w:ascii="Arial" w:hAnsi="Arial" w:cs="Arial"/>
                <w:sz w:val="20"/>
                <w:szCs w:val="20"/>
              </w:rPr>
            </w:pPr>
            <w:r>
              <w:rPr>
                <w:rFonts w:ascii="Arial" w:hAnsi="Arial" w:eastAsia="宋体" w:cs="Arial"/>
                <w:kern w:val="0"/>
                <w:sz w:val="20"/>
                <w:szCs w:val="20"/>
                <w:lang w:bidi="ar"/>
              </w:rPr>
              <w:t>Packaging serves as both informational and cultural translation tool that reinforces brand trust.</w:t>
            </w:r>
          </w:p>
        </w:tc>
      </w:tr>
      <w:tr w14:paraId="66D4C15B">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593F51B2">
            <w:pPr>
              <w:widowControl/>
              <w:jc w:val="left"/>
              <w:rPr>
                <w:rFonts w:ascii="Arial" w:hAnsi="Arial" w:cs="Arial"/>
                <w:sz w:val="20"/>
                <w:szCs w:val="20"/>
              </w:rPr>
            </w:pPr>
            <w:r>
              <w:rPr>
                <w:rStyle w:val="10"/>
                <w:rFonts w:ascii="Arial" w:hAnsi="Arial" w:eastAsia="宋体" w:cs="Arial"/>
                <w:kern w:val="0"/>
                <w:sz w:val="20"/>
                <w:szCs w:val="20"/>
                <w:lang w:bidi="ar"/>
              </w:rPr>
              <w:t>Digital Channel Diversification and Live-Streaming</w:t>
            </w:r>
          </w:p>
        </w:tc>
        <w:tc>
          <w:tcPr>
            <w:tcW w:w="0" w:type="auto"/>
            <w:tcBorders>
              <w:bottom w:val="single" w:color="auto" w:sz="4" w:space="0"/>
            </w:tcBorders>
            <w:vAlign w:val="center"/>
          </w:tcPr>
          <w:p w14:paraId="6D2DF812">
            <w:pPr>
              <w:widowControl/>
              <w:jc w:val="left"/>
              <w:rPr>
                <w:rFonts w:ascii="Arial" w:hAnsi="Arial" w:cs="Arial"/>
                <w:sz w:val="20"/>
                <w:szCs w:val="20"/>
              </w:rPr>
            </w:pPr>
            <w:r>
              <w:rPr>
                <w:rFonts w:ascii="Arial" w:hAnsi="Arial" w:eastAsia="宋体" w:cs="Arial"/>
                <w:kern w:val="0"/>
                <w:sz w:val="20"/>
                <w:szCs w:val="20"/>
                <w:lang w:bidi="ar"/>
              </w:rPr>
              <w:t>Live-stream interaction; social media integration; influencer collaboration</w:t>
            </w:r>
          </w:p>
        </w:tc>
        <w:tc>
          <w:tcPr>
            <w:tcW w:w="0" w:type="auto"/>
            <w:tcBorders>
              <w:bottom w:val="single" w:color="auto" w:sz="4" w:space="0"/>
            </w:tcBorders>
            <w:vAlign w:val="center"/>
          </w:tcPr>
          <w:p w14:paraId="1792C5A6">
            <w:pPr>
              <w:widowControl/>
              <w:jc w:val="left"/>
              <w:rPr>
                <w:rFonts w:ascii="Arial" w:hAnsi="Arial" w:cs="Arial"/>
                <w:sz w:val="20"/>
                <w:szCs w:val="20"/>
              </w:rPr>
            </w:pPr>
            <w:r>
              <w:rPr>
                <w:rFonts w:ascii="Arial" w:hAnsi="Arial" w:eastAsia="宋体" w:cs="Arial"/>
                <w:kern w:val="0"/>
                <w:sz w:val="20"/>
                <w:szCs w:val="20"/>
                <w:lang w:bidi="ar"/>
              </w:rPr>
              <w:t>“When our host brews tea live and answers questions, foreign buyers feel connected to the culture and the people behind the tea.” — Marketing Manager E “We provide training for young entrepreneurs on how to use live-streaming to reach global markets.” — Official F, Jiangxi E-Commerce Bureau</w:t>
            </w:r>
          </w:p>
        </w:tc>
        <w:tc>
          <w:tcPr>
            <w:tcW w:w="0" w:type="auto"/>
            <w:tcBorders>
              <w:bottom w:val="single" w:color="auto" w:sz="4" w:space="0"/>
            </w:tcBorders>
            <w:vAlign w:val="center"/>
          </w:tcPr>
          <w:p w14:paraId="74B53590">
            <w:pPr>
              <w:widowControl/>
              <w:jc w:val="left"/>
              <w:rPr>
                <w:rFonts w:ascii="Arial" w:hAnsi="Arial" w:cs="Arial"/>
                <w:sz w:val="20"/>
                <w:szCs w:val="20"/>
              </w:rPr>
            </w:pPr>
            <w:r>
              <w:rPr>
                <w:rFonts w:ascii="Arial" w:hAnsi="Arial" w:eastAsia="宋体" w:cs="Arial"/>
                <w:kern w:val="0"/>
                <w:sz w:val="20"/>
                <w:szCs w:val="20"/>
                <w:lang w:bidi="ar"/>
              </w:rPr>
              <w:t>Live-streaming humanizes the brand and enables real-time intercultural engagement.</w:t>
            </w:r>
          </w:p>
        </w:tc>
      </w:tr>
      <w:tr w14:paraId="7AB7F11C">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0B0ABD91">
            <w:pPr>
              <w:widowControl/>
              <w:jc w:val="left"/>
              <w:rPr>
                <w:rFonts w:ascii="Arial" w:hAnsi="Arial" w:cs="Arial"/>
                <w:sz w:val="20"/>
                <w:szCs w:val="20"/>
              </w:rPr>
            </w:pPr>
            <w:r>
              <w:rPr>
                <w:rStyle w:val="10"/>
                <w:rFonts w:ascii="Arial" w:hAnsi="Arial" w:eastAsia="宋体" w:cs="Arial"/>
                <w:kern w:val="0"/>
                <w:sz w:val="20"/>
                <w:szCs w:val="20"/>
                <w:lang w:bidi="ar"/>
              </w:rPr>
              <w:t>Institutional Trust-Building through Certification and Service Infrastructure</w:t>
            </w:r>
          </w:p>
        </w:tc>
        <w:tc>
          <w:tcPr>
            <w:tcW w:w="0" w:type="auto"/>
            <w:tcBorders>
              <w:bottom w:val="single" w:color="auto" w:sz="4" w:space="0"/>
            </w:tcBorders>
            <w:vAlign w:val="center"/>
          </w:tcPr>
          <w:p w14:paraId="361720AB">
            <w:pPr>
              <w:widowControl/>
              <w:jc w:val="left"/>
              <w:rPr>
                <w:rFonts w:ascii="Arial" w:hAnsi="Arial" w:cs="Arial"/>
                <w:sz w:val="20"/>
                <w:szCs w:val="20"/>
              </w:rPr>
            </w:pPr>
            <w:r>
              <w:rPr>
                <w:rFonts w:ascii="Arial" w:hAnsi="Arial" w:eastAsia="宋体" w:cs="Arial"/>
                <w:kern w:val="0"/>
                <w:sz w:val="20"/>
                <w:szCs w:val="20"/>
                <w:lang w:bidi="ar"/>
              </w:rPr>
              <w:t>Certification credibility; logistics assurance; responsive service</w:t>
            </w:r>
          </w:p>
        </w:tc>
        <w:tc>
          <w:tcPr>
            <w:tcW w:w="0" w:type="auto"/>
            <w:tcBorders>
              <w:bottom w:val="single" w:color="auto" w:sz="4" w:space="0"/>
            </w:tcBorders>
            <w:vAlign w:val="center"/>
          </w:tcPr>
          <w:p w14:paraId="304D146B">
            <w:pPr>
              <w:widowControl/>
              <w:jc w:val="left"/>
              <w:rPr>
                <w:rFonts w:ascii="Arial" w:hAnsi="Arial" w:cs="Arial"/>
                <w:sz w:val="20"/>
                <w:szCs w:val="20"/>
              </w:rPr>
            </w:pPr>
            <w:r>
              <w:rPr>
                <w:rFonts w:ascii="Arial" w:hAnsi="Arial" w:eastAsia="宋体" w:cs="Arial"/>
                <w:kern w:val="0"/>
                <w:sz w:val="20"/>
                <w:szCs w:val="20"/>
                <w:lang w:bidi="ar"/>
              </w:rPr>
              <w:t>“Once we obtained the EU organic certificate, our orders from Europe doubled within three months.” — Producer G, Cooperative Enterprise “Foreign customers appreciate prompt feedback on shipping and refunds—it shows we care about their experience.” — E-Commerce Operator H</w:t>
            </w:r>
          </w:p>
        </w:tc>
        <w:tc>
          <w:tcPr>
            <w:tcW w:w="0" w:type="auto"/>
            <w:tcBorders>
              <w:bottom w:val="single" w:color="auto" w:sz="4" w:space="0"/>
            </w:tcBorders>
            <w:vAlign w:val="center"/>
          </w:tcPr>
          <w:p w14:paraId="18150D9D">
            <w:pPr>
              <w:widowControl/>
              <w:jc w:val="left"/>
              <w:rPr>
                <w:rFonts w:ascii="Arial" w:hAnsi="Arial" w:cs="Arial"/>
                <w:sz w:val="20"/>
                <w:szCs w:val="20"/>
              </w:rPr>
            </w:pPr>
            <w:r>
              <w:rPr>
                <w:rFonts w:ascii="Arial" w:hAnsi="Arial" w:eastAsia="宋体" w:cs="Arial"/>
                <w:kern w:val="0"/>
                <w:sz w:val="20"/>
                <w:szCs w:val="20"/>
                <w:lang w:bidi="ar"/>
              </w:rPr>
              <w:t>Institutional guarantees (certification, logistics, service) function as the backbone of international market trust.</w:t>
            </w:r>
          </w:p>
        </w:tc>
      </w:tr>
    </w:tbl>
    <w:p w14:paraId="7DA9BE66">
      <w:pPr>
        <w:rPr>
          <w:rFonts w:ascii="Arial" w:hAnsi="Arial" w:cs="Arial"/>
          <w:sz w:val="20"/>
          <w:szCs w:val="20"/>
          <w:lang w:eastAsia="en-US"/>
        </w:rPr>
      </w:pPr>
      <w:r>
        <w:rPr>
          <w:rFonts w:ascii="Arial" w:hAnsi="Arial" w:cs="Arial"/>
          <w:sz w:val="20"/>
          <w:szCs w:val="20"/>
          <w:lang w:eastAsia="en-US"/>
        </w:rPr>
        <w:t>Note. Themes emerged inductively through repeated comparison across participant narratives. Quotes were selected for representativeness and clarity.</w:t>
      </w:r>
    </w:p>
    <w:p w14:paraId="73FA3960">
      <w:pPr>
        <w:rPr>
          <w:rFonts w:ascii="Arial" w:hAnsi="Arial" w:cs="Arial"/>
          <w:sz w:val="20"/>
          <w:szCs w:val="20"/>
          <w:lang w:eastAsia="en-US"/>
        </w:rPr>
      </w:pPr>
    </w:p>
    <w:p w14:paraId="61780E7C">
      <w:pPr>
        <w:pStyle w:val="2"/>
        <w:keepNext w:val="0"/>
        <w:keepLines w:val="0"/>
        <w:widowControl/>
        <w:numPr>
          <w:ilvl w:val="0"/>
          <w:numId w:val="1"/>
        </w:numPr>
        <w:rPr>
          <w:rFonts w:ascii="Arial" w:hAnsi="Arial" w:eastAsia="Times New Roman" w:cs="Arial"/>
          <w:bCs w:val="0"/>
          <w:caps/>
          <w:color w:val="auto"/>
          <w:kern w:val="0"/>
          <w:sz w:val="22"/>
          <w:szCs w:val="20"/>
          <w:lang w:eastAsia="en-US"/>
        </w:rPr>
      </w:pPr>
      <w:r>
        <w:rPr>
          <w:rFonts w:ascii="Arial" w:hAnsi="Arial" w:eastAsia="Times New Roman" w:cs="Arial"/>
          <w:bCs w:val="0"/>
          <w:caps/>
          <w:color w:val="auto"/>
          <w:kern w:val="0"/>
          <w:sz w:val="22"/>
          <w:szCs w:val="20"/>
          <w:lang w:eastAsia="en-US"/>
        </w:rPr>
        <w:t>Discussion</w:t>
      </w:r>
    </w:p>
    <w:p w14:paraId="0ABB65E7">
      <w:pPr>
        <w:pStyle w:val="3"/>
        <w:widowControl/>
        <w:rPr>
          <w:rFonts w:hint="eastAsia" w:ascii="Arial" w:hAnsi="Arial" w:eastAsia="Times New Roman" w:cs="Arial"/>
          <w:bCs w:val="0"/>
          <w:caps/>
          <w:sz w:val="20"/>
          <w:szCs w:val="20"/>
          <w:lang w:eastAsia="en-US"/>
        </w:rPr>
      </w:pPr>
      <w:r>
        <w:rPr>
          <w:rFonts w:hint="eastAsia" w:ascii="Arial" w:hAnsi="Arial" w:eastAsia="Times New Roman" w:cs="Arial"/>
          <w:bCs w:val="0"/>
          <w:caps/>
          <w:sz w:val="20"/>
          <w:szCs w:val="20"/>
          <w:lang w:eastAsia="en-US"/>
        </w:rPr>
        <w:t>5.1 Cultural Framing and Narrative Translation</w:t>
      </w:r>
    </w:p>
    <w:p w14:paraId="7B1023BE">
      <w:pPr>
        <w:pStyle w:val="7"/>
        <w:widowControl/>
        <w:jc w:val="both"/>
        <w:rPr>
          <w:rFonts w:hint="eastAsia" w:ascii="Arial" w:hAnsi="Arial" w:cs="Arial"/>
          <w:sz w:val="20"/>
          <w:szCs w:val="20"/>
        </w:rPr>
      </w:pPr>
      <w:r>
        <w:rPr>
          <w:rFonts w:hint="eastAsia" w:ascii="Arial" w:hAnsi="Arial" w:cs="Arial"/>
          <w:sz w:val="20"/>
          <w:szCs w:val="20"/>
        </w:rPr>
        <w:t>The findings of this study extend existing knowledge of how cross-cultural communication and marketing theories operate within the dynamic environment of digital commerce. The theme of Cultural Framing and Narrative Translation illustrates how Hofstede’s cultural dimensions—particularly individualism versus collectivism and uncertainty avoidance—manifest in the marketing narratives used by Chinese enterprises. Specifically, Fuliang tea’s health-oriented and authenticity-based messages align with markets characterized by low uncertainty avoidance and high individualism, while heritage-driven storytelling resonates with collectivist and long-term-oriented cultures. This supports prior research indicating that localized brand narratives are most effective when they align with target-market cultural norms (Chiu et al., 2024; Hofstede et al., 2021).</w:t>
      </w:r>
    </w:p>
    <w:p w14:paraId="303F226E">
      <w:pPr>
        <w:pStyle w:val="7"/>
        <w:widowControl/>
        <w:jc w:val="both"/>
        <w:rPr>
          <w:rFonts w:hint="eastAsia" w:ascii="Arial" w:hAnsi="Arial" w:cs="Arial"/>
          <w:sz w:val="20"/>
          <w:szCs w:val="20"/>
        </w:rPr>
      </w:pPr>
      <w:r>
        <w:rPr>
          <w:rFonts w:hint="eastAsia" w:ascii="Arial" w:hAnsi="Arial" w:cs="Arial"/>
          <w:sz w:val="20"/>
          <w:szCs w:val="20"/>
        </w:rPr>
        <w:t>The incorporation of Aaker’s brand personality framework into digital messaging demonstrates how traditional cultural identity can be expressed through modern marketing channels. Fuliang tea’s digital presence balances “sincerity” and “competence” brand traits, allowing it to convey both authenticity and professionalism. This finding advances cross-cultural branding literature by showing how digital storytelling acts as a cultural interface where traditional symbolism and global consumer expectations converge.</w:t>
      </w:r>
    </w:p>
    <w:p w14:paraId="678C8223">
      <w:pPr>
        <w:pStyle w:val="3"/>
        <w:widowControl/>
        <w:rPr>
          <w:rFonts w:hint="eastAsia" w:ascii="Arial" w:hAnsi="Arial" w:eastAsia="Times New Roman" w:cs="Arial"/>
          <w:bCs w:val="0"/>
          <w:caps/>
          <w:sz w:val="20"/>
          <w:szCs w:val="20"/>
          <w:lang w:eastAsia="en-US"/>
        </w:rPr>
      </w:pPr>
      <w:r>
        <w:rPr>
          <w:rFonts w:hint="eastAsia" w:ascii="Arial" w:hAnsi="Arial" w:eastAsia="Times New Roman" w:cs="Arial"/>
          <w:bCs w:val="0"/>
          <w:caps/>
          <w:sz w:val="20"/>
          <w:szCs w:val="20"/>
          <w:lang w:eastAsia="en-US"/>
        </w:rPr>
        <w:t>5.2 Digital Channel Diversification and Live-Streaming</w:t>
      </w:r>
    </w:p>
    <w:p w14:paraId="6C06F256">
      <w:pPr>
        <w:pStyle w:val="7"/>
        <w:widowControl/>
        <w:jc w:val="both"/>
        <w:rPr>
          <w:rFonts w:hint="eastAsia" w:ascii="Arial" w:hAnsi="Arial" w:cs="Arial"/>
          <w:sz w:val="20"/>
          <w:szCs w:val="20"/>
        </w:rPr>
      </w:pPr>
      <w:r>
        <w:rPr>
          <w:rFonts w:hint="eastAsia" w:ascii="Arial" w:hAnsi="Arial" w:cs="Arial"/>
          <w:sz w:val="20"/>
          <w:szCs w:val="20"/>
        </w:rPr>
        <w:t>The theme of Digital Channel Diversification and Live-Streaming highlights how visual interactivity and immediacy enhance consumer engagement and trust formation in cross-border e-commerce. These results reinforce emerging empirical evidence that live-streaming fosters perceived authenticity and social connection between producers and consumers (Wang, 2021; Zhao et al., 2025). By transforming agricultural products into experiential commodities, live commerce reduces cultural distance and strengthens affective bonds with international audiences.</w:t>
      </w:r>
    </w:p>
    <w:p w14:paraId="67A2B2BD">
      <w:pPr>
        <w:pStyle w:val="7"/>
        <w:widowControl/>
        <w:jc w:val="both"/>
        <w:rPr>
          <w:rFonts w:hint="eastAsia" w:ascii="Arial" w:hAnsi="Arial" w:cs="Arial"/>
          <w:sz w:val="20"/>
          <w:szCs w:val="20"/>
        </w:rPr>
      </w:pPr>
      <w:r>
        <w:rPr>
          <w:rFonts w:hint="eastAsia" w:ascii="Arial" w:hAnsi="Arial" w:cs="Arial"/>
          <w:sz w:val="20"/>
          <w:szCs w:val="20"/>
        </w:rPr>
        <w:t>The integration of visual interaction and bilingual presentation not only improves communication efficiency but also allows enterprises to translate cultural heritage into global consumer experiences. Such engagement-oriented marketing aligns with recent findings in global agri-food branding, where digital storytelling has been identified as a crucial mechanism for bridging cultural differences and building emotional resonance (Dwivedi et al., 2023).</w:t>
      </w:r>
    </w:p>
    <w:p w14:paraId="57CC80FD">
      <w:pPr>
        <w:pStyle w:val="7"/>
        <w:widowControl/>
        <w:jc w:val="both"/>
        <w:rPr>
          <w:rFonts w:hint="eastAsia" w:ascii="Arial" w:hAnsi="Arial" w:cs="Arial"/>
          <w:sz w:val="20"/>
          <w:szCs w:val="20"/>
        </w:rPr>
      </w:pPr>
    </w:p>
    <w:p w14:paraId="5B0D99BF">
      <w:pPr>
        <w:pStyle w:val="3"/>
        <w:widowControl/>
        <w:rPr>
          <w:rFonts w:hint="eastAsia" w:ascii="Arial" w:hAnsi="Arial" w:eastAsia="Times New Roman" w:cs="Arial"/>
          <w:bCs w:val="0"/>
          <w:caps/>
          <w:sz w:val="20"/>
          <w:szCs w:val="20"/>
          <w:lang w:eastAsia="en-US"/>
        </w:rPr>
      </w:pPr>
      <w:r>
        <w:rPr>
          <w:rFonts w:hint="eastAsia" w:ascii="Arial" w:hAnsi="Arial" w:eastAsia="Times New Roman" w:cs="Arial"/>
          <w:bCs w:val="0"/>
          <w:caps/>
          <w:sz w:val="20"/>
          <w:szCs w:val="20"/>
          <w:lang w:eastAsia="en-US"/>
        </w:rPr>
        <w:t>5.3 Institutional Ecosystem and Brand Legitimacy</w:t>
      </w:r>
    </w:p>
    <w:p w14:paraId="04DFBB4F">
      <w:pPr>
        <w:pStyle w:val="7"/>
        <w:widowControl/>
        <w:jc w:val="both"/>
        <w:rPr>
          <w:rFonts w:hint="eastAsia" w:ascii="Arial" w:hAnsi="Arial" w:cs="Arial"/>
          <w:sz w:val="20"/>
          <w:szCs w:val="20"/>
        </w:rPr>
      </w:pPr>
      <w:r>
        <w:rPr>
          <w:rFonts w:hint="eastAsia" w:ascii="Arial" w:hAnsi="Arial" w:cs="Arial"/>
          <w:sz w:val="20"/>
          <w:szCs w:val="20"/>
        </w:rPr>
        <w:t>Importantly, the inclusion of governmental and association perspectives underscores the significance of an enabling institutional ecosystem in fostering small and medium-sized enterprise (SME) internationalization. This aligns with previous research emphasizing that public–private collaboration—including policy guidance, e-commerce training, and export certification programs—creates both structural and symbolic legitimacy for regional brands in global markets (Liu, 2024; Zhang et al., 2024).</w:t>
      </w:r>
    </w:p>
    <w:p w14:paraId="1EAF7CE6">
      <w:pPr>
        <w:pStyle w:val="7"/>
        <w:widowControl/>
        <w:jc w:val="both"/>
        <w:rPr>
          <w:rFonts w:hint="eastAsia" w:ascii="Arial" w:hAnsi="Arial" w:cs="Arial"/>
          <w:sz w:val="20"/>
          <w:szCs w:val="20"/>
        </w:rPr>
      </w:pPr>
      <w:r>
        <w:rPr>
          <w:rFonts w:hint="eastAsia" w:ascii="Arial" w:hAnsi="Arial" w:cs="Arial"/>
          <w:sz w:val="20"/>
          <w:szCs w:val="20"/>
        </w:rPr>
        <w:t>Such institutional coordination not only improves market access but also standardizes quality assurance, contributing to the global credibility of Chinese agricultural products. Furthermore, certification and government-backed branding initiatives reinforce consumer trust and enhance perceived value, particularly in markets where authenticity and safety certifications strongly influence purchasing behavior.</w:t>
      </w:r>
    </w:p>
    <w:p w14:paraId="78C39481">
      <w:pPr>
        <w:pStyle w:val="3"/>
        <w:widowControl/>
        <w:rPr>
          <w:rFonts w:hint="eastAsia" w:ascii="Arial" w:hAnsi="Arial" w:eastAsia="Times New Roman" w:cs="Arial"/>
          <w:bCs w:val="0"/>
          <w:caps/>
          <w:color w:val="FF0000"/>
          <w:sz w:val="20"/>
          <w:szCs w:val="20"/>
          <w:lang w:eastAsia="en-US"/>
        </w:rPr>
      </w:pPr>
      <w:r>
        <w:rPr>
          <w:rFonts w:hint="eastAsia" w:ascii="Arial" w:hAnsi="Arial" w:eastAsia="Times New Roman" w:cs="Arial"/>
          <w:bCs w:val="0"/>
          <w:caps/>
          <w:color w:val="FF0000"/>
          <w:sz w:val="20"/>
          <w:szCs w:val="20"/>
          <w:lang w:eastAsia="en-US"/>
        </w:rPr>
        <w:t>5.4 Cross-Regional Perspectives and Global Relevance</w:t>
      </w:r>
    </w:p>
    <w:p w14:paraId="6BED2066">
      <w:pPr>
        <w:pStyle w:val="7"/>
        <w:widowControl/>
        <w:jc w:val="both"/>
        <w:rPr>
          <w:rFonts w:hint="eastAsia" w:ascii="Arial" w:hAnsi="Arial" w:cs="Arial"/>
          <w:color w:val="FF0000"/>
          <w:sz w:val="20"/>
          <w:szCs w:val="20"/>
        </w:rPr>
      </w:pPr>
      <w:r>
        <w:rPr>
          <w:rFonts w:hint="eastAsia" w:ascii="Arial" w:hAnsi="Arial" w:cs="Arial"/>
          <w:color w:val="FF0000"/>
          <w:sz w:val="20"/>
          <w:szCs w:val="20"/>
        </w:rPr>
        <w:t>The findings of this study also resonate with global evidence from other regional markets. For instance, Strizhakova and Coulter (2019) observed that cultural hybridity shapes international consumer perceptions of local brands in African and European contexts, where blending traditional and modern identities enhances trust and authenticity. This parallels Fuliang tea’s approach of merging Chinese cultural aesthetics with contemporary packaging and narrative techniques to appeal to international audiences.</w:t>
      </w:r>
    </w:p>
    <w:p w14:paraId="796118D3">
      <w:pPr>
        <w:pStyle w:val="7"/>
        <w:widowControl/>
        <w:jc w:val="both"/>
        <w:rPr>
          <w:rFonts w:hint="eastAsia" w:ascii="Arial" w:hAnsi="Arial" w:cs="Arial"/>
          <w:color w:val="FF0000"/>
          <w:sz w:val="20"/>
          <w:szCs w:val="20"/>
        </w:rPr>
      </w:pPr>
      <w:r>
        <w:rPr>
          <w:rFonts w:hint="eastAsia" w:ascii="Arial" w:hAnsi="Arial" w:cs="Arial"/>
          <w:color w:val="FF0000"/>
          <w:sz w:val="20"/>
          <w:szCs w:val="20"/>
        </w:rPr>
        <w:t>Similarly, Dwivedi et al. (2023) emphasized the role of digital storytelling in agri-food branding, showing how rural producers can use digital platforms to communicate brand heritage, transparency, and product quality. Fuliang tea enterprises mirror this approach by leveraging live-streaming, bilingual content, and narrative-driven marketing to humanize their brands and connect emotionally with overseas consumers. Integrating these cross-regional insights underscores that successful internationalization of regional agricultural products depends on the dynamic interplay between cultural authenticity, digital innovation, and institutional trust.</w:t>
      </w:r>
    </w:p>
    <w:p w14:paraId="08ACEEEF">
      <w:pPr>
        <w:pStyle w:val="3"/>
        <w:widowControl/>
        <w:rPr>
          <w:rFonts w:hint="eastAsia" w:ascii="Arial" w:hAnsi="Arial" w:eastAsia="Times New Roman" w:cs="Arial"/>
          <w:bCs w:val="0"/>
          <w:caps/>
          <w:sz w:val="20"/>
          <w:szCs w:val="20"/>
          <w:lang w:eastAsia="en-US"/>
        </w:rPr>
      </w:pPr>
      <w:r>
        <w:rPr>
          <w:rFonts w:hint="eastAsia" w:ascii="Arial" w:hAnsi="Arial" w:eastAsia="Times New Roman" w:cs="Arial"/>
          <w:bCs w:val="0"/>
          <w:caps/>
          <w:sz w:val="20"/>
          <w:szCs w:val="20"/>
          <w:lang w:eastAsia="en-US"/>
        </w:rPr>
        <w:t>5.5 Summary of Theoretical and Practical Contributions</w:t>
      </w:r>
    </w:p>
    <w:p w14:paraId="2FE6D6C0">
      <w:pPr>
        <w:pStyle w:val="7"/>
        <w:widowControl/>
        <w:jc w:val="both"/>
        <w:rPr>
          <w:rFonts w:hint="eastAsia" w:ascii="Arial" w:hAnsi="Arial" w:cs="Arial"/>
          <w:sz w:val="20"/>
          <w:szCs w:val="20"/>
        </w:rPr>
      </w:pPr>
      <w:r>
        <w:rPr>
          <w:rFonts w:hint="eastAsia" w:ascii="Arial" w:hAnsi="Arial" w:cs="Arial"/>
          <w:sz w:val="20"/>
          <w:szCs w:val="20"/>
        </w:rPr>
        <w:t>In conclusion, this study bridges theoretical and practical dimensions by demonstrating how cultural adaptation, digital innovation, and institutional support interact to shape the competitiveness of regional specialty products in international e-commerce contexts. The integration of cross-cultural theories with empirical insights from digital marketing practices provides a comprehensive understanding of how traditional agricultural products—such as Fuliang tea—can achieve global brand legitimacy.</w:t>
      </w:r>
    </w:p>
    <w:p w14:paraId="14847DB3">
      <w:pPr>
        <w:pStyle w:val="7"/>
        <w:widowControl/>
        <w:jc w:val="both"/>
        <w:rPr>
          <w:rFonts w:hint="eastAsia" w:ascii="Arial" w:hAnsi="Arial" w:cs="Arial"/>
          <w:sz w:val="20"/>
          <w:szCs w:val="20"/>
        </w:rPr>
      </w:pPr>
    </w:p>
    <w:p w14:paraId="4F69CBD0">
      <w:pPr>
        <w:pStyle w:val="7"/>
        <w:widowControl/>
        <w:jc w:val="both"/>
        <w:rPr>
          <w:rFonts w:ascii="Arial" w:hAnsi="Arial" w:cs="Arial"/>
          <w:sz w:val="20"/>
          <w:szCs w:val="20"/>
        </w:rPr>
      </w:pPr>
      <w:r>
        <w:rPr>
          <w:rFonts w:hint="eastAsia" w:ascii="Arial" w:hAnsi="Arial" w:cs="Arial"/>
          <w:sz w:val="20"/>
          <w:szCs w:val="20"/>
        </w:rPr>
        <w:t>The study not only enriches the theoretical discourse on cross-cultural marketing and digital commerce but also offers actionable guidance for policymakers, industry associations, and SMEs. By adopting culturally sensitive storytelling, developing live-stream-based engagement strategies, and strengthening institutional support systems, regional brands can enhance their international competitiveness and contribute to the sustainable globalization of local industries.</w:t>
      </w:r>
    </w:p>
    <w:p w14:paraId="0D30BB76">
      <w:pPr>
        <w:pStyle w:val="7"/>
        <w:widowControl/>
        <w:jc w:val="both"/>
        <w:rPr>
          <w:rFonts w:ascii="Arial" w:hAnsi="Arial" w:cs="Arial"/>
          <w:sz w:val="20"/>
          <w:szCs w:val="20"/>
        </w:rPr>
      </w:pPr>
    </w:p>
    <w:p w14:paraId="2470A400">
      <w:pPr>
        <w:pStyle w:val="2"/>
        <w:keepNext w:val="0"/>
        <w:keepLines w:val="0"/>
        <w:widowControl/>
        <w:numPr>
          <w:ilvl w:val="0"/>
          <w:numId w:val="1"/>
        </w:numPr>
        <w:rPr>
          <w:rFonts w:ascii="Arial" w:hAnsi="Arial" w:eastAsia="Times New Roman" w:cs="Arial"/>
          <w:bCs w:val="0"/>
          <w:caps/>
          <w:color w:val="auto"/>
          <w:kern w:val="0"/>
          <w:sz w:val="22"/>
          <w:szCs w:val="20"/>
          <w:lang w:eastAsia="en-US"/>
        </w:rPr>
      </w:pPr>
      <w:r>
        <w:rPr>
          <w:rFonts w:ascii="Arial" w:hAnsi="Arial" w:eastAsia="Times New Roman" w:cs="Arial"/>
          <w:bCs w:val="0"/>
          <w:caps/>
          <w:color w:val="auto"/>
          <w:kern w:val="0"/>
          <w:sz w:val="22"/>
          <w:szCs w:val="20"/>
          <w:lang w:eastAsia="en-US"/>
        </w:rPr>
        <w:t>Conclusion and Implications</w:t>
      </w:r>
    </w:p>
    <w:p w14:paraId="105052DE">
      <w:pPr>
        <w:pStyle w:val="7"/>
        <w:widowControl/>
        <w:jc w:val="both"/>
        <w:rPr>
          <w:rFonts w:ascii="Arial" w:hAnsi="Arial" w:eastAsia="黑体" w:cs="Arial"/>
          <w:sz w:val="20"/>
          <w:szCs w:val="20"/>
        </w:rPr>
      </w:pPr>
      <w:r>
        <w:rPr>
          <w:rFonts w:ascii="Arial" w:hAnsi="Arial" w:eastAsia="黑体" w:cs="Arial"/>
          <w:sz w:val="20"/>
          <w:szCs w:val="20"/>
        </w:rPr>
        <w:t xml:space="preserve">This research provides a comprehensive understanding of how Fuliang tea enterprises implement cross-cultural marketing strategies in the digital era. The study concludes that successful internationalization depends on four interrelated strategic pillars: </w:t>
      </w:r>
      <w:r>
        <w:rPr>
          <w:rStyle w:val="10"/>
          <w:rFonts w:ascii="Arial" w:hAnsi="Arial" w:eastAsia="黑体" w:cs="Arial"/>
          <w:b w:val="0"/>
          <w:sz w:val="20"/>
          <w:szCs w:val="20"/>
        </w:rPr>
        <w:t>(1)</w:t>
      </w:r>
      <w:r>
        <w:rPr>
          <w:rFonts w:ascii="Arial" w:hAnsi="Arial" w:eastAsia="黑体" w:cs="Arial"/>
          <w:sz w:val="20"/>
          <w:szCs w:val="20"/>
        </w:rPr>
        <w:t xml:space="preserve"> cultural storytelling that translates local heritage into globally relatable narratives; </w:t>
      </w:r>
      <w:r>
        <w:rPr>
          <w:rStyle w:val="10"/>
          <w:rFonts w:ascii="Arial" w:hAnsi="Arial" w:eastAsia="黑体" w:cs="Arial"/>
          <w:b w:val="0"/>
          <w:sz w:val="20"/>
          <w:szCs w:val="20"/>
        </w:rPr>
        <w:t>(2)</w:t>
      </w:r>
      <w:r>
        <w:rPr>
          <w:rFonts w:ascii="Arial" w:hAnsi="Arial" w:eastAsia="黑体" w:cs="Arial"/>
          <w:sz w:val="20"/>
          <w:szCs w:val="20"/>
        </w:rPr>
        <w:t xml:space="preserve"> adaptive product and packaging design that reflects both functional and cultural expectations of diverse markets; </w:t>
      </w:r>
      <w:r>
        <w:rPr>
          <w:rStyle w:val="10"/>
          <w:rFonts w:ascii="Arial" w:hAnsi="Arial" w:eastAsia="黑体" w:cs="Arial"/>
          <w:b w:val="0"/>
          <w:sz w:val="20"/>
          <w:szCs w:val="20"/>
        </w:rPr>
        <w:t>(3)</w:t>
      </w:r>
      <w:r>
        <w:rPr>
          <w:rFonts w:ascii="Arial" w:hAnsi="Arial" w:eastAsia="黑体" w:cs="Arial"/>
          <w:sz w:val="20"/>
          <w:szCs w:val="20"/>
        </w:rPr>
        <w:t xml:space="preserve"> diversified digital engagement, including multi-platform marketing and interactive live-streaming; and </w:t>
      </w:r>
      <w:r>
        <w:rPr>
          <w:rStyle w:val="10"/>
          <w:rFonts w:ascii="Arial" w:hAnsi="Arial" w:eastAsia="黑体" w:cs="Arial"/>
          <w:b w:val="0"/>
          <w:sz w:val="20"/>
          <w:szCs w:val="20"/>
        </w:rPr>
        <w:t>(4)</w:t>
      </w:r>
      <w:r>
        <w:rPr>
          <w:rFonts w:ascii="Arial" w:hAnsi="Arial" w:eastAsia="黑体" w:cs="Arial"/>
          <w:sz w:val="20"/>
          <w:szCs w:val="20"/>
        </w:rPr>
        <w:t xml:space="preserve"> institutional trust mechanisms such as certification, logistics transparency, and responsive after-sales service. From a theoretical perspective, the study contributes to cross-cultural marketing literature by integrating Hofstede’s and Aaker’s frameworks into a digital commerce context, demonstrating their applicability to regional agri-food branding. It also enriches qualitative e-commerce research by employing a rigorous thematic analysis that reveals the interdependence between cultural and institutional dynamics.</w:t>
      </w:r>
    </w:p>
    <w:p w14:paraId="7487D155">
      <w:pPr>
        <w:pStyle w:val="7"/>
        <w:widowControl/>
        <w:jc w:val="both"/>
        <w:rPr>
          <w:rFonts w:ascii="Arial" w:hAnsi="Arial" w:eastAsia="黑体" w:cs="Arial"/>
          <w:sz w:val="20"/>
          <w:szCs w:val="20"/>
        </w:rPr>
      </w:pPr>
      <w:r>
        <w:rPr>
          <w:rFonts w:ascii="Arial" w:hAnsi="Arial" w:eastAsia="黑体" w:cs="Arial"/>
          <w:sz w:val="20"/>
          <w:szCs w:val="20"/>
        </w:rPr>
        <w:t>From a practical standpoint, the findings generate several actionable implications for key stakeholders. Policymakers should strengthen institutional support by expanding capacity-building programs, providing digital marketing training, and offering financial incentives for international certification and branding. Industry associations are encouraged to facilitate collaboration among SMEs, promote collective branding, and encourage participation in global exhibitions and digital marketing campaigns. Enterprises should develop culturally adaptive content strategies and leverage live-streaming to humanize brand communication and engage directly with global consumers. Despite its valuable insights, this study acknowledges certain limitations, including its focus on a single regional case and reliance on qualitative data. Future research could adopt comparative multi-region designs to examine variations in cultural and institutional dynamics across China’s tea-producing provinces. Additionally, mixed-method or longitudinal approaches could be applied to test and refine the conceptual model proposed in this study, thereby enhancing the generalizability of its findings. In summary, by revealing how Fuliang tea integrates cultural authenticity, digital innovation, and institutional collaboration, this study presents a nuanced model for the sustainable internationalization of regional cultural brands within the rapidly evolving landscape of global e-commerce.</w:t>
      </w:r>
    </w:p>
    <w:p w14:paraId="4A637F42">
      <w:pPr>
        <w:pStyle w:val="7"/>
        <w:widowControl/>
        <w:jc w:val="both"/>
        <w:rPr>
          <w:rFonts w:ascii="Arial" w:hAnsi="Arial" w:eastAsia="Times New Roman" w:cs="Arial"/>
          <w:b/>
          <w:bCs/>
          <w:caps/>
          <w:sz w:val="22"/>
          <w:szCs w:val="20"/>
          <w:lang w:eastAsia="en-US"/>
        </w:rPr>
      </w:pPr>
      <w:r>
        <w:rPr>
          <w:rFonts w:ascii="Arial" w:hAnsi="Arial" w:eastAsia="Times New Roman" w:cs="Arial"/>
          <w:b/>
          <w:bCs/>
          <w:caps/>
          <w:sz w:val="22"/>
          <w:szCs w:val="20"/>
          <w:lang w:eastAsia="en-US"/>
        </w:rPr>
        <w:t>Competing Interests</w:t>
      </w:r>
    </w:p>
    <w:p w14:paraId="6615DC9E">
      <w:pPr>
        <w:pStyle w:val="7"/>
        <w:widowControl/>
        <w:jc w:val="both"/>
        <w:rPr>
          <w:rStyle w:val="10"/>
          <w:rFonts w:ascii="Arial" w:hAnsi="Arial" w:eastAsia="宋体" w:cs="Arial"/>
          <w:b w:val="0"/>
          <w:bCs/>
          <w:sz w:val="20"/>
          <w:szCs w:val="20"/>
        </w:rPr>
      </w:pPr>
      <w:r>
        <w:rPr>
          <w:rStyle w:val="10"/>
          <w:rFonts w:ascii="Arial" w:hAnsi="Arial" w:eastAsia="宋体" w:cs="Arial"/>
          <w:b w:val="0"/>
          <w:bCs/>
          <w:sz w:val="20"/>
          <w:szCs w:val="20"/>
        </w:rPr>
        <w:t>The authors declare that they have no known competing financial interests or personal relationships that could have appeared to influence the work reported in this paper. Authors have declared that no competing interests exist.</w:t>
      </w:r>
    </w:p>
    <w:p w14:paraId="6D18B388">
      <w:pPr>
        <w:pStyle w:val="7"/>
        <w:widowControl/>
        <w:jc w:val="both"/>
        <w:rPr>
          <w:rFonts w:ascii="Arial" w:hAnsi="Arial" w:eastAsia="Times New Roman" w:cs="Arial"/>
          <w:b/>
          <w:bCs/>
          <w:caps/>
          <w:sz w:val="22"/>
          <w:szCs w:val="20"/>
          <w:lang w:eastAsia="en-US"/>
        </w:rPr>
      </w:pPr>
      <w:r>
        <w:rPr>
          <w:rFonts w:ascii="Arial" w:hAnsi="Arial" w:eastAsia="Times New Roman" w:cs="Arial"/>
          <w:b/>
          <w:bCs/>
          <w:caps/>
          <w:sz w:val="22"/>
          <w:szCs w:val="20"/>
          <w:lang w:eastAsia="en-US"/>
        </w:rPr>
        <w:t>Consent</w:t>
      </w:r>
    </w:p>
    <w:p w14:paraId="67AC599F">
      <w:pPr>
        <w:pStyle w:val="7"/>
        <w:widowControl/>
        <w:jc w:val="both"/>
        <w:rPr>
          <w:rStyle w:val="10"/>
          <w:rFonts w:ascii="Arial" w:hAnsi="Arial" w:eastAsia="宋体" w:cs="Arial"/>
          <w:b w:val="0"/>
          <w:bCs/>
          <w:sz w:val="20"/>
          <w:szCs w:val="20"/>
        </w:rPr>
      </w:pPr>
      <w:r>
        <w:rPr>
          <w:rStyle w:val="10"/>
          <w:rFonts w:ascii="Arial" w:hAnsi="Arial" w:eastAsia="宋体" w:cs="Arial"/>
          <w:b w:val="0"/>
          <w:bCs/>
          <w:sz w:val="20"/>
          <w:szCs w:val="20"/>
        </w:rPr>
        <w:t>Not applicable. This study did not involve patients, medical case reports, or any clinical data. All participants in the research provided written informed consent to participate in the interviews and for the use of anonymized quotations for academic publication purposes. Documentation of consent is available for review by the journal editorial office upon request.</w:t>
      </w:r>
    </w:p>
    <w:p w14:paraId="59F71448">
      <w:pPr>
        <w:pStyle w:val="7"/>
        <w:widowControl/>
        <w:jc w:val="both"/>
        <w:rPr>
          <w:rFonts w:ascii="Arial" w:hAnsi="Arial" w:eastAsia="Times New Roman" w:cs="Arial"/>
          <w:b/>
          <w:bCs/>
          <w:caps/>
          <w:sz w:val="22"/>
          <w:szCs w:val="20"/>
          <w:lang w:eastAsia="en-US"/>
        </w:rPr>
      </w:pPr>
      <w:r>
        <w:rPr>
          <w:rFonts w:ascii="Arial" w:hAnsi="Arial" w:eastAsia="Times New Roman" w:cs="Arial"/>
          <w:b/>
          <w:bCs/>
          <w:caps/>
          <w:sz w:val="22"/>
          <w:szCs w:val="20"/>
          <w:lang w:eastAsia="en-US"/>
        </w:rPr>
        <w:t>Ethical Approval</w:t>
      </w:r>
    </w:p>
    <w:p w14:paraId="76D20118">
      <w:pPr>
        <w:pStyle w:val="7"/>
        <w:widowControl/>
        <w:jc w:val="both"/>
        <w:rPr>
          <w:rStyle w:val="10"/>
          <w:rFonts w:ascii="Arial" w:hAnsi="Arial" w:eastAsia="宋体" w:cs="Arial"/>
          <w:b w:val="0"/>
          <w:bCs/>
          <w:sz w:val="20"/>
          <w:szCs w:val="20"/>
        </w:rPr>
      </w:pPr>
      <w:r>
        <w:rPr>
          <w:rStyle w:val="10"/>
          <w:rFonts w:ascii="Arial" w:hAnsi="Arial" w:eastAsia="宋体" w:cs="Arial"/>
          <w:b w:val="0"/>
          <w:bCs/>
          <w:sz w:val="20"/>
          <w:szCs w:val="20"/>
        </w:rPr>
        <w:t>This research involved human participants through interviews and focus group discussions. Ethical approval for the study was obtained from the Faculty of Educational Studies Research Ethics Committee, Universiti Putra Malaysia (UPM), confirming adherence to institutional and international ethical standards for research involving human participants. Participation was voluntary, and confidentiality and anonymity were strictly maintained throughout the study.</w:t>
      </w:r>
    </w:p>
    <w:p w14:paraId="1C7E92C1">
      <w:pPr>
        <w:widowControl/>
        <w:spacing w:after="200" w:line="276" w:lineRule="auto"/>
        <w:outlineLvl w:val="0"/>
        <w:rPr>
          <w:rFonts w:ascii="Arial" w:hAnsi="Arial" w:eastAsia="Times New Roman" w:cs="Arial"/>
          <w:kern w:val="0"/>
          <w:sz w:val="22"/>
          <w:szCs w:val="22"/>
          <w:lang w:val="en-GB" w:eastAsia="en-GB"/>
        </w:rPr>
      </w:pPr>
      <w:r>
        <w:rPr>
          <w:rFonts w:ascii="Arial" w:hAnsi="Arial" w:eastAsia="Times New Roman" w:cs="Arial"/>
          <w:b/>
          <w:bCs/>
          <w:kern w:val="0"/>
          <w:sz w:val="22"/>
          <w:szCs w:val="22"/>
          <w:lang w:val="en-GB" w:eastAsia="en-GB"/>
        </w:rPr>
        <w:t>COMPETING INTERESTS DISCLAIMER:</w:t>
      </w:r>
    </w:p>
    <w:p w14:paraId="3ED0C3BD">
      <w:pPr>
        <w:widowControl/>
        <w:spacing w:after="200" w:line="276" w:lineRule="auto"/>
        <w:jc w:val="left"/>
        <w:rPr>
          <w:rFonts w:ascii="Calibri" w:hAnsi="Calibri" w:eastAsia="Times New Roman" w:cs="Times New Roman"/>
          <w:kern w:val="0"/>
          <w:sz w:val="22"/>
          <w:szCs w:val="22"/>
          <w:lang w:val="en-GB" w:eastAsia="en-GB"/>
        </w:rPr>
      </w:pPr>
      <w:r>
        <w:rPr>
          <w:rFonts w:ascii="Calibri" w:hAnsi="Calibri" w:eastAsia="Times New Roman"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484D735">
      <w:pPr>
        <w:rPr>
          <w:rFonts w:ascii="Calibri" w:hAnsi="Calibri" w:eastAsia="Calibri" w:cs="Times New Roman"/>
          <w:highlight w:val="yellow"/>
        </w:rPr>
      </w:pPr>
      <w:bookmarkStart w:id="0" w:name="_Hlk197351200"/>
      <w:bookmarkStart w:id="1" w:name="_Hlk180402183"/>
      <w:bookmarkStart w:id="2" w:name="_Hlk197682619"/>
      <w:bookmarkStart w:id="3" w:name="_Hlk183680988"/>
      <w:r>
        <w:rPr>
          <w:rFonts w:ascii="Calibri" w:hAnsi="Calibri" w:eastAsia="Calibri" w:cs="Times New Roman"/>
          <w:highlight w:val="yellow"/>
        </w:rPr>
        <w:t>Disclaimer (Artificial intelligence)</w:t>
      </w:r>
    </w:p>
    <w:bookmarkEnd w:id="0"/>
    <w:bookmarkEnd w:id="1"/>
    <w:bookmarkEnd w:id="2"/>
    <w:bookmarkEnd w:id="3"/>
    <w:p w14:paraId="7E170277">
      <w:pPr>
        <w:pStyle w:val="7"/>
        <w:widowControl/>
        <w:jc w:val="both"/>
        <w:rPr>
          <w:rFonts w:ascii="Arial" w:hAnsi="Arial" w:eastAsia="黑体" w:cs="Arial"/>
          <w:sz w:val="20"/>
          <w:szCs w:val="20"/>
        </w:rPr>
      </w:pPr>
      <w:r>
        <w:rPr>
          <w:rFonts w:hint="eastAsia" w:ascii="Arial" w:hAnsi="Arial" w:eastAsia="黑体" w:cs="Arial"/>
          <w:sz w:val="20"/>
          <w:szCs w:val="20"/>
        </w:rPr>
        <w:t>Author(s) hereby declare that NO generative AI technologies such as Large Language Models (ChatGPT, COPILOT, etc.) and text-to-image generators have been used during the writing or editing of this manuscript.</w:t>
      </w:r>
    </w:p>
    <w:p w14:paraId="79508888">
      <w:pPr>
        <w:pStyle w:val="19"/>
        <w:widowControl/>
        <w:spacing w:after="0"/>
        <w:rPr>
          <w:rFonts w:ascii="Arial" w:hAnsi="Arial" w:eastAsia="Times New Roman" w:cs="Arial"/>
          <w:kern w:val="0"/>
          <w:szCs w:val="20"/>
          <w:lang w:eastAsia="en-US"/>
        </w:rPr>
      </w:pPr>
      <w:r>
        <w:rPr>
          <w:rFonts w:ascii="Arial" w:hAnsi="Arial" w:eastAsia="Times New Roman" w:cs="Arial"/>
          <w:kern w:val="0"/>
          <w:szCs w:val="20"/>
          <w:lang w:eastAsia="en-US"/>
        </w:rPr>
        <w:t>References</w:t>
      </w:r>
    </w:p>
    <w:p w14:paraId="641DBFC5">
      <w:pPr>
        <w:pStyle w:val="7"/>
        <w:widowControl/>
        <w:rPr>
          <w:rFonts w:hint="eastAsia" w:ascii="Arial" w:hAnsi="Arial" w:cs="Arial"/>
          <w:sz w:val="20"/>
          <w:szCs w:val="20"/>
        </w:rPr>
      </w:pPr>
      <w:r>
        <w:rPr>
          <w:rFonts w:ascii="Arial" w:hAnsi="Arial" w:cs="Arial"/>
          <w:sz w:val="20"/>
          <w:szCs w:val="20"/>
        </w:rPr>
        <w:t xml:space="preserve">Aaker, J. L. (1997). Dimensions of brand personality. </w:t>
      </w:r>
      <w:r>
        <w:rPr>
          <w:rStyle w:val="11"/>
          <w:rFonts w:ascii="Arial" w:hAnsi="Arial" w:cs="Arial"/>
          <w:sz w:val="20"/>
          <w:szCs w:val="20"/>
        </w:rPr>
        <w:t>Journal of Marketing Research, 34</w:t>
      </w:r>
      <w:r>
        <w:rPr>
          <w:rFonts w:ascii="Arial" w:hAnsi="Arial" w:cs="Arial"/>
          <w:sz w:val="20"/>
          <w:szCs w:val="20"/>
        </w:rPr>
        <w:t>(3), 347–356.</w:t>
      </w:r>
      <w:r>
        <w:rPr>
          <w:rFonts w:ascii="Arial" w:hAnsi="Arial" w:cs="Arial"/>
          <w:sz w:val="20"/>
          <w:szCs w:val="20"/>
        </w:rPr>
        <w:br w:type="textWrapping"/>
      </w:r>
      <w:r>
        <w:rPr>
          <w:rFonts w:hint="eastAsia" w:ascii="Arial" w:hAnsi="Arial" w:cs="Arial"/>
          <w:color w:val="C00000"/>
          <w:sz w:val="20"/>
          <w:szCs w:val="20"/>
        </w:rPr>
        <w:t>Altarturi, H. H. M., et al. (2023). A bibliometric and content analysis of technological advancement applications in agricultural e</w:t>
      </w:r>
      <w:r>
        <w:rPr>
          <w:rFonts w:hint="eastAsia" w:ascii="Arial" w:hAnsi="Arial" w:cs="Arial"/>
          <w:color w:val="C00000"/>
          <w:sz w:val="20"/>
          <w:szCs w:val="20"/>
        </w:rPr>
        <w:noBreakHyphen/>
      </w:r>
      <w:r>
        <w:rPr>
          <w:rFonts w:hint="eastAsia" w:ascii="Arial" w:hAnsi="Arial" w:cs="Arial"/>
          <w:color w:val="C00000"/>
          <w:sz w:val="20"/>
          <w:szCs w:val="20"/>
        </w:rPr>
        <w:t>commerce. Electronic Commerce Research, 25(2), 805</w:t>
      </w:r>
      <w:r>
        <w:rPr>
          <w:rFonts w:hint="eastAsia" w:ascii="Arial" w:hAnsi="Arial" w:cs="Arial"/>
          <w:color w:val="C00000"/>
          <w:sz w:val="20"/>
          <w:szCs w:val="20"/>
        </w:rPr>
        <w:noBreakHyphen/>
      </w:r>
      <w:r>
        <w:rPr>
          <w:rFonts w:hint="eastAsia" w:ascii="Arial" w:hAnsi="Arial" w:cs="Arial"/>
          <w:color w:val="C00000"/>
          <w:sz w:val="20"/>
          <w:szCs w:val="20"/>
        </w:rPr>
        <w:t>848. DOI: 10.1007/s10660</w:t>
      </w:r>
      <w:r>
        <w:rPr>
          <w:rFonts w:hint="eastAsia" w:ascii="Arial" w:hAnsi="Arial" w:cs="Arial"/>
          <w:color w:val="C00000"/>
          <w:sz w:val="20"/>
          <w:szCs w:val="20"/>
        </w:rPr>
        <w:noBreakHyphen/>
      </w:r>
      <w:r>
        <w:rPr>
          <w:rFonts w:hint="eastAsia" w:ascii="Arial" w:hAnsi="Arial" w:cs="Arial"/>
          <w:color w:val="C00000"/>
          <w:sz w:val="20"/>
          <w:szCs w:val="20"/>
        </w:rPr>
        <w:t>023</w:t>
      </w:r>
      <w:r>
        <w:rPr>
          <w:rFonts w:hint="eastAsia" w:ascii="Arial" w:hAnsi="Arial" w:cs="Arial"/>
          <w:color w:val="C00000"/>
          <w:sz w:val="20"/>
          <w:szCs w:val="20"/>
        </w:rPr>
        <w:noBreakHyphen/>
      </w:r>
      <w:r>
        <w:rPr>
          <w:rFonts w:hint="eastAsia" w:ascii="Arial" w:hAnsi="Arial" w:cs="Arial"/>
          <w:color w:val="C00000"/>
          <w:sz w:val="20"/>
          <w:szCs w:val="20"/>
        </w:rPr>
        <w:t>09670</w:t>
      </w:r>
      <w:r>
        <w:rPr>
          <w:rFonts w:hint="eastAsia" w:ascii="Arial" w:hAnsi="Arial" w:cs="Arial"/>
          <w:color w:val="C00000"/>
          <w:sz w:val="20"/>
          <w:szCs w:val="20"/>
        </w:rPr>
        <w:noBreakHyphen/>
      </w:r>
      <w:r>
        <w:rPr>
          <w:rFonts w:hint="eastAsia" w:ascii="Arial" w:hAnsi="Arial" w:cs="Arial"/>
          <w:color w:val="C00000"/>
          <w:sz w:val="20"/>
          <w:szCs w:val="20"/>
        </w:rPr>
        <w:t>z.</w:t>
      </w:r>
      <w:r>
        <w:rPr>
          <w:rFonts w:hint="eastAsia" w:ascii="Arial" w:hAnsi="Arial" w:cs="Arial"/>
          <w:sz w:val="20"/>
          <w:szCs w:val="20"/>
        </w:rPr>
        <w:t xml:space="preserve"> </w:t>
      </w:r>
    </w:p>
    <w:p w14:paraId="7CACA17C">
      <w:pPr>
        <w:pStyle w:val="7"/>
        <w:widowControl/>
        <w:rPr>
          <w:rStyle w:val="12"/>
          <w:rFonts w:ascii="Arial" w:hAnsi="Arial" w:cs="Arial"/>
          <w:sz w:val="20"/>
          <w:szCs w:val="20"/>
        </w:rPr>
      </w:pPr>
      <w:r>
        <w:rPr>
          <w:rFonts w:ascii="Arial" w:hAnsi="Arial" w:cs="Arial"/>
          <w:sz w:val="20"/>
          <w:szCs w:val="20"/>
        </w:rPr>
        <w:t xml:space="preserve">Chiu, C. L., et al. (2024). Culturally mixed co-branding product framing in China. </w:t>
      </w:r>
      <w:r>
        <w:rPr>
          <w:rStyle w:val="11"/>
          <w:rFonts w:ascii="Arial" w:hAnsi="Arial" w:cs="Arial"/>
          <w:sz w:val="20"/>
          <w:szCs w:val="20"/>
        </w:rPr>
        <w:t>Palgrave Communications, 10</w:t>
      </w:r>
      <w:r>
        <w:rPr>
          <w:rFonts w:ascii="Arial" w:hAnsi="Arial" w:cs="Arial"/>
          <w:sz w:val="20"/>
          <w:szCs w:val="20"/>
        </w:rPr>
        <w:t xml:space="preserve">, 86. </w:t>
      </w:r>
      <w:r>
        <w:fldChar w:fldCharType="begin"/>
      </w:r>
      <w:r>
        <w:instrText xml:space="preserve"> HYPERLINK "https://doi.org/10.1057/s41599-024-02954-1" \t "_new" </w:instrText>
      </w:r>
      <w:r>
        <w:fldChar w:fldCharType="separate"/>
      </w:r>
      <w:r>
        <w:rPr>
          <w:rStyle w:val="12"/>
          <w:rFonts w:ascii="Arial" w:hAnsi="Arial" w:cs="Arial"/>
          <w:sz w:val="20"/>
          <w:szCs w:val="20"/>
        </w:rPr>
        <w:t>https://doi.org/10.1057/s41599-024-02954-1</w:t>
      </w:r>
      <w:r>
        <w:rPr>
          <w:rStyle w:val="12"/>
          <w:rFonts w:ascii="Arial" w:hAnsi="Arial" w:cs="Arial"/>
          <w:sz w:val="20"/>
          <w:szCs w:val="20"/>
        </w:rPr>
        <w:fldChar w:fldCharType="end"/>
      </w:r>
    </w:p>
    <w:p w14:paraId="6318C4AD">
      <w:pPr>
        <w:pStyle w:val="7"/>
        <w:widowControl/>
        <w:rPr>
          <w:rFonts w:ascii="Arial" w:hAnsi="Arial" w:cs="Arial"/>
          <w:color w:val="FF0000"/>
          <w:sz w:val="20"/>
          <w:szCs w:val="20"/>
        </w:rPr>
      </w:pPr>
      <w:r>
        <w:rPr>
          <w:rFonts w:ascii="Arial" w:hAnsi="Arial" w:cs="Arial"/>
          <w:sz w:val="20"/>
          <w:szCs w:val="20"/>
        </w:rPr>
        <w:br w:type="textWrapping"/>
      </w:r>
      <w:r>
        <w:rPr>
          <w:rFonts w:hint="eastAsia" w:ascii="Arial" w:hAnsi="Arial" w:cs="Arial"/>
          <w:color w:val="FF0000"/>
          <w:sz w:val="20"/>
          <w:szCs w:val="20"/>
        </w:rPr>
        <w:t>Dwivedi, A., Singh, R., &amp; Sharma, P. (2023). Digital storytelling in global agri-food branding. Journal of Global Marketing, 36(1), 45–67. https://doi.org/10.1080/08911762.2022.2146789</w:t>
      </w:r>
    </w:p>
    <w:p w14:paraId="5AE4A555">
      <w:pPr>
        <w:pStyle w:val="7"/>
        <w:widowControl/>
        <w:rPr>
          <w:rFonts w:ascii="Arial" w:hAnsi="Arial" w:cs="Arial"/>
          <w:sz w:val="20"/>
          <w:szCs w:val="20"/>
        </w:rPr>
      </w:pPr>
      <w:r>
        <w:rPr>
          <w:rFonts w:ascii="Arial" w:hAnsi="Arial" w:cs="Arial"/>
          <w:sz w:val="20"/>
          <w:szCs w:val="20"/>
        </w:rPr>
        <w:t xml:space="preserve">Hofstede, G., Hofstede, G. J., &amp; Minkov, M. (2021). </w:t>
      </w:r>
      <w:r>
        <w:rPr>
          <w:rStyle w:val="11"/>
          <w:rFonts w:ascii="Arial" w:hAnsi="Arial" w:cs="Arial"/>
          <w:sz w:val="20"/>
          <w:szCs w:val="20"/>
        </w:rPr>
        <w:t>Cultures and organizations: Software of the mind</w:t>
      </w:r>
      <w:r>
        <w:rPr>
          <w:rFonts w:ascii="Arial" w:hAnsi="Arial" w:cs="Arial"/>
          <w:sz w:val="20"/>
          <w:szCs w:val="20"/>
        </w:rPr>
        <w:t xml:space="preserve"> (4th ed.). McGraw-Hill.</w:t>
      </w:r>
      <w:r>
        <w:rPr>
          <w:rFonts w:ascii="Arial" w:hAnsi="Arial" w:cs="Arial"/>
          <w:sz w:val="20"/>
          <w:szCs w:val="20"/>
        </w:rPr>
        <w:br w:type="textWrapping"/>
      </w:r>
      <w:r>
        <w:rPr>
          <w:rFonts w:hint="eastAsia" w:ascii="Arial" w:hAnsi="Arial" w:cs="Arial"/>
          <w:color w:val="C00000"/>
          <w:sz w:val="20"/>
          <w:szCs w:val="20"/>
        </w:rPr>
        <w:t>Li, J., Wang, H., &amp; Chen, Y. (2021). Agricultural e-commerce development in China: Opportunities and challenges. Journal of Rural Studies, 85, 123–134.</w:t>
      </w:r>
      <w:r>
        <w:rPr>
          <w:rFonts w:hint="eastAsia" w:ascii="Arial" w:hAnsi="Arial" w:cs="Arial"/>
          <w:color w:val="C00000"/>
          <w:sz w:val="20"/>
          <w:szCs w:val="20"/>
        </w:rPr>
        <w:fldChar w:fldCharType="begin"/>
      </w:r>
      <w:r>
        <w:rPr>
          <w:rFonts w:hint="eastAsia" w:ascii="Arial" w:hAnsi="Arial" w:cs="Arial"/>
          <w:color w:val="C00000"/>
          <w:sz w:val="20"/>
          <w:szCs w:val="20"/>
        </w:rPr>
        <w:instrText xml:space="preserve"> HYPERLINK "https://doi.org/10.1016/j.jrurstud.2021.05.003" </w:instrText>
      </w:r>
      <w:r>
        <w:rPr>
          <w:rFonts w:hint="eastAsia" w:ascii="Arial" w:hAnsi="Arial" w:cs="Arial"/>
          <w:color w:val="C00000"/>
          <w:sz w:val="20"/>
          <w:szCs w:val="20"/>
        </w:rPr>
        <w:fldChar w:fldCharType="separate"/>
      </w:r>
      <w:r>
        <w:rPr>
          <w:rStyle w:val="12"/>
          <w:rFonts w:hint="eastAsia" w:ascii="Arial" w:hAnsi="Arial" w:cs="Arial"/>
          <w:color w:val="C00000"/>
          <w:sz w:val="20"/>
          <w:szCs w:val="20"/>
        </w:rPr>
        <w:t>https://doi.org/10.1016/j.jrurstud.2021.05.003</w:t>
      </w:r>
      <w:r>
        <w:rPr>
          <w:rFonts w:hint="eastAsia" w:ascii="Arial" w:hAnsi="Arial" w:cs="Arial"/>
          <w:color w:val="C00000"/>
          <w:sz w:val="20"/>
          <w:szCs w:val="20"/>
        </w:rPr>
        <w:fldChar w:fldCharType="end"/>
      </w:r>
      <w:r>
        <w:rPr>
          <w:rFonts w:ascii="Arial" w:hAnsi="Arial" w:cs="Arial"/>
          <w:sz w:val="20"/>
          <w:szCs w:val="20"/>
        </w:rPr>
        <w:br w:type="textWrapping"/>
      </w:r>
      <w:r>
        <w:rPr>
          <w:rFonts w:ascii="Arial" w:hAnsi="Arial" w:cs="Arial"/>
          <w:sz w:val="20"/>
          <w:szCs w:val="20"/>
        </w:rPr>
        <w:t xml:space="preserve">Liu, S. (2024). Did product certification and e-commerce benefit grain and cash-crop producers? </w:t>
      </w:r>
      <w:r>
        <w:rPr>
          <w:rStyle w:val="11"/>
          <w:rFonts w:ascii="Arial" w:hAnsi="Arial" w:cs="Arial"/>
          <w:sz w:val="20"/>
          <w:szCs w:val="20"/>
        </w:rPr>
        <w:t>Food Policy</w:t>
      </w:r>
      <w:r>
        <w:rPr>
          <w:rFonts w:ascii="Arial" w:hAnsi="Arial" w:cs="Arial"/>
          <w:sz w:val="20"/>
          <w:szCs w:val="20"/>
        </w:rPr>
        <w:t xml:space="preserve">. </w:t>
      </w:r>
      <w:r>
        <w:fldChar w:fldCharType="begin"/>
      </w:r>
      <w:r>
        <w:instrText xml:space="preserve"> HYPERLINK "https://doi.org/10.1016/j.foodpol.2024.102884" \t "_new" </w:instrText>
      </w:r>
      <w:r>
        <w:fldChar w:fldCharType="separate"/>
      </w:r>
      <w:r>
        <w:rPr>
          <w:rStyle w:val="12"/>
          <w:rFonts w:ascii="Arial" w:hAnsi="Arial" w:cs="Arial"/>
          <w:sz w:val="20"/>
          <w:szCs w:val="20"/>
        </w:rPr>
        <w:t>https://doi.org/10.1016/j.foodpol.2024.102884</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Liu, Y. (2025). Factors influencing consumers’ repurchase intention on e-commerce agricultural products live-streaming. </w:t>
      </w:r>
      <w:r>
        <w:rPr>
          <w:rStyle w:val="11"/>
          <w:rFonts w:ascii="Arial" w:hAnsi="Arial" w:cs="Arial"/>
          <w:sz w:val="20"/>
          <w:szCs w:val="20"/>
        </w:rPr>
        <w:t>International Food and Agribusiness Management Review</w:t>
      </w:r>
      <w:r>
        <w:rPr>
          <w:rFonts w:ascii="Arial" w:hAnsi="Arial" w:cs="Arial"/>
          <w:sz w:val="20"/>
          <w:szCs w:val="20"/>
        </w:rPr>
        <w:t xml:space="preserve">. </w:t>
      </w:r>
      <w:r>
        <w:fldChar w:fldCharType="begin"/>
      </w:r>
      <w:r>
        <w:instrText xml:space="preserve"> HYPERLINK "https://doi.org/10.22434/ifamr1125" \t "_new" </w:instrText>
      </w:r>
      <w:r>
        <w:fldChar w:fldCharType="separate"/>
      </w:r>
      <w:r>
        <w:rPr>
          <w:rStyle w:val="12"/>
          <w:rFonts w:ascii="Arial" w:hAnsi="Arial" w:cs="Arial"/>
          <w:sz w:val="20"/>
          <w:szCs w:val="20"/>
        </w:rPr>
        <w:t>https://doi.org/10.22434/ifamr1125</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Naeem, M., Ozuem, W., Howell, K., &amp; Ranfagni, S. (2023). A step-by-step process of thematic analysis to develop a conceptual model in qualitative research. </w:t>
      </w:r>
      <w:r>
        <w:rPr>
          <w:rStyle w:val="11"/>
          <w:rFonts w:ascii="Arial" w:hAnsi="Arial" w:cs="Arial"/>
          <w:sz w:val="20"/>
          <w:szCs w:val="20"/>
        </w:rPr>
        <w:t>International Journal of Qualitative Methods, 22</w:t>
      </w:r>
      <w:r>
        <w:rPr>
          <w:rFonts w:ascii="Arial" w:hAnsi="Arial" w:cs="Arial"/>
          <w:sz w:val="20"/>
          <w:szCs w:val="20"/>
        </w:rPr>
        <w:t xml:space="preserve">. </w:t>
      </w:r>
      <w:r>
        <w:fldChar w:fldCharType="begin"/>
      </w:r>
      <w:r>
        <w:instrText xml:space="preserve"> HYPERLINK "https://doi.org/10.1177/16094069231205789" \t "_new" </w:instrText>
      </w:r>
      <w:r>
        <w:fldChar w:fldCharType="separate"/>
      </w:r>
      <w:r>
        <w:rPr>
          <w:rStyle w:val="12"/>
          <w:rFonts w:ascii="Arial" w:hAnsi="Arial" w:cs="Arial"/>
          <w:sz w:val="20"/>
          <w:szCs w:val="20"/>
        </w:rPr>
        <w:t>https://doi.org/10.1177/16094069231205789</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Qin, K., &amp; Zhou, L. (2024). Analysis of the high-quality development path of China’s tea export. </w:t>
      </w:r>
      <w:r>
        <w:rPr>
          <w:rStyle w:val="11"/>
          <w:rFonts w:ascii="Arial" w:hAnsi="Arial" w:cs="Arial"/>
          <w:sz w:val="20"/>
          <w:szCs w:val="20"/>
        </w:rPr>
        <w:t>PLOS ONE, 19</w:t>
      </w:r>
      <w:r>
        <w:rPr>
          <w:rFonts w:ascii="Arial" w:hAnsi="Arial" w:cs="Arial"/>
          <w:sz w:val="20"/>
          <w:szCs w:val="20"/>
        </w:rPr>
        <w:t xml:space="preserve">(11), e0311629. </w:t>
      </w:r>
      <w:r>
        <w:fldChar w:fldCharType="begin"/>
      </w:r>
      <w:r>
        <w:instrText xml:space="preserve"> HYPERLINK "https://doi.org/10.1371/journal.pone.0311629" \t "_new" </w:instrText>
      </w:r>
      <w:r>
        <w:fldChar w:fldCharType="separate"/>
      </w:r>
      <w:r>
        <w:rPr>
          <w:rStyle w:val="12"/>
          <w:rFonts w:ascii="Arial" w:hAnsi="Arial" w:cs="Arial"/>
          <w:sz w:val="20"/>
          <w:szCs w:val="20"/>
        </w:rPr>
        <w:t>https://doi.org/10.1371/journal.pone.0311629</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Song, Y. D. (2017). The status quo and strategy of cross-border e-commerce of agricultural products. </w:t>
      </w:r>
      <w:r>
        <w:rPr>
          <w:rStyle w:val="11"/>
          <w:rFonts w:ascii="Arial" w:hAnsi="Arial" w:cs="Arial"/>
          <w:sz w:val="20"/>
          <w:szCs w:val="20"/>
        </w:rPr>
        <w:t>Advances in Economics, Business and Management Research, 21</w:t>
      </w:r>
      <w:r>
        <w:rPr>
          <w:rFonts w:ascii="Arial" w:hAnsi="Arial" w:cs="Arial"/>
          <w:sz w:val="20"/>
          <w:szCs w:val="20"/>
        </w:rPr>
        <w:t>, 356–362.</w:t>
      </w:r>
    </w:p>
    <w:p w14:paraId="246EBB8B">
      <w:pPr>
        <w:pStyle w:val="7"/>
        <w:widowControl/>
        <w:rPr>
          <w:rFonts w:hint="eastAsia" w:ascii="Arial" w:hAnsi="Arial" w:cs="Arial"/>
          <w:color w:val="FF0000"/>
          <w:sz w:val="20"/>
          <w:szCs w:val="20"/>
        </w:rPr>
      </w:pPr>
      <w:r>
        <w:rPr>
          <w:rFonts w:hint="eastAsia" w:ascii="Arial" w:hAnsi="Arial" w:cs="Arial"/>
          <w:color w:val="FF0000"/>
          <w:sz w:val="20"/>
          <w:szCs w:val="20"/>
        </w:rPr>
        <w:t xml:space="preserve">Strizhakova, Y., &amp; Coulter, R. A. (2019). The role of cultural hybridity in international consumer perception of local brands. Journal of International Marketing, 27(2), 38–54. </w:t>
      </w:r>
      <w:r>
        <w:rPr>
          <w:rFonts w:hint="eastAsia" w:ascii="Arial" w:hAnsi="Arial" w:cs="Arial"/>
          <w:color w:val="FF0000"/>
          <w:sz w:val="20"/>
          <w:szCs w:val="20"/>
        </w:rPr>
        <w:fldChar w:fldCharType="begin"/>
      </w:r>
      <w:r>
        <w:rPr>
          <w:rFonts w:hint="eastAsia" w:ascii="Arial" w:hAnsi="Arial" w:cs="Arial"/>
          <w:color w:val="FF0000"/>
          <w:sz w:val="20"/>
          <w:szCs w:val="20"/>
        </w:rPr>
        <w:instrText xml:space="preserve"> HYPERLINK "https://doi.org/10.1177/1069031X18812713" </w:instrText>
      </w:r>
      <w:r>
        <w:rPr>
          <w:rFonts w:hint="eastAsia" w:ascii="Arial" w:hAnsi="Arial" w:cs="Arial"/>
          <w:color w:val="FF0000"/>
          <w:sz w:val="20"/>
          <w:szCs w:val="20"/>
        </w:rPr>
        <w:fldChar w:fldCharType="separate"/>
      </w:r>
      <w:r>
        <w:rPr>
          <w:rStyle w:val="12"/>
          <w:rFonts w:hint="eastAsia" w:ascii="Arial" w:hAnsi="Arial" w:cs="Arial"/>
          <w:sz w:val="20"/>
          <w:szCs w:val="20"/>
        </w:rPr>
        <w:t>https://doi.org/10.1177/1069031X18812713</w:t>
      </w:r>
      <w:r>
        <w:rPr>
          <w:rFonts w:hint="eastAsia" w:ascii="Arial" w:hAnsi="Arial" w:cs="Arial"/>
          <w:color w:val="FF0000"/>
          <w:sz w:val="20"/>
          <w:szCs w:val="20"/>
        </w:rPr>
        <w:fldChar w:fldCharType="end"/>
      </w:r>
    </w:p>
    <w:p w14:paraId="2192CF75">
      <w:pPr>
        <w:pStyle w:val="7"/>
        <w:widowControl/>
        <w:rPr>
          <w:rFonts w:ascii="Arial" w:hAnsi="Arial" w:cs="Arial"/>
          <w:sz w:val="20"/>
          <w:szCs w:val="20"/>
        </w:rPr>
      </w:pPr>
      <w:r>
        <w:rPr>
          <w:rFonts w:ascii="Arial" w:hAnsi="Arial" w:cs="Arial"/>
          <w:color w:val="FF0000"/>
          <w:sz w:val="20"/>
          <w:szCs w:val="20"/>
        </w:rPr>
        <w:br w:type="textWrapping"/>
      </w:r>
      <w:r>
        <w:rPr>
          <w:rFonts w:ascii="Arial" w:hAnsi="Arial" w:cs="Arial"/>
          <w:sz w:val="20"/>
          <w:szCs w:val="20"/>
        </w:rPr>
        <w:t xml:space="preserve">Tan, J. (2020). The function of English on the spread of Chinese tea culture under the background of cross-border e-commerce. </w:t>
      </w:r>
      <w:r>
        <w:rPr>
          <w:rStyle w:val="11"/>
          <w:rFonts w:ascii="Arial" w:hAnsi="Arial" w:cs="Arial"/>
          <w:sz w:val="20"/>
          <w:szCs w:val="20"/>
        </w:rPr>
        <w:t>Open Journal of Social Sciences, 5</w:t>
      </w:r>
      <w:r>
        <w:rPr>
          <w:rFonts w:ascii="Arial" w:hAnsi="Arial" w:cs="Arial"/>
          <w:sz w:val="20"/>
          <w:szCs w:val="20"/>
        </w:rPr>
        <w:t xml:space="preserve">, 123–126. </w:t>
      </w:r>
      <w:r>
        <w:fldChar w:fldCharType="begin"/>
      </w:r>
      <w:r>
        <w:instrText xml:space="preserve"> HYPERLINK "https://doi.org/10.4236/jss.2020.52012" \t "_new" </w:instrText>
      </w:r>
      <w:r>
        <w:fldChar w:fldCharType="separate"/>
      </w:r>
      <w:r>
        <w:rPr>
          <w:rStyle w:val="12"/>
          <w:rFonts w:ascii="Arial" w:hAnsi="Arial" w:cs="Arial"/>
          <w:sz w:val="20"/>
          <w:szCs w:val="20"/>
        </w:rPr>
        <w:t>https://doi.org/10.4236/jss.2020.52012</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Wang, M. (2021). An empirical study on how livestreaming can contribute to green agri-food marketing: Evidence from Chinese firms. </w:t>
      </w:r>
      <w:r>
        <w:rPr>
          <w:rStyle w:val="11"/>
          <w:rFonts w:ascii="Arial" w:hAnsi="Arial" w:cs="Arial"/>
          <w:sz w:val="20"/>
          <w:szCs w:val="20"/>
        </w:rPr>
        <w:t>Sustainability, 13</w:t>
      </w:r>
      <w:r>
        <w:rPr>
          <w:rFonts w:ascii="Arial" w:hAnsi="Arial" w:cs="Arial"/>
          <w:sz w:val="20"/>
          <w:szCs w:val="20"/>
        </w:rPr>
        <w:t xml:space="preserve">(22), 12627. </w:t>
      </w:r>
      <w:r>
        <w:fldChar w:fldCharType="begin"/>
      </w:r>
      <w:r>
        <w:instrText xml:space="preserve"> HYPERLINK "https://doi.org/10.3390/su132212627" \t "_new" </w:instrText>
      </w:r>
      <w:r>
        <w:fldChar w:fldCharType="separate"/>
      </w:r>
      <w:r>
        <w:rPr>
          <w:rStyle w:val="12"/>
          <w:rFonts w:ascii="Arial" w:hAnsi="Arial" w:cs="Arial"/>
          <w:sz w:val="20"/>
          <w:szCs w:val="20"/>
        </w:rPr>
        <w:t>https://doi.org/10.3390/su132212627</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Wang, S. (2025). Live-streaming e-commerce empowers agricultural products: A new engine for rural revitalisation. </w:t>
      </w:r>
      <w:r>
        <w:rPr>
          <w:rStyle w:val="11"/>
          <w:rFonts w:ascii="Arial" w:hAnsi="Arial" w:cs="Arial"/>
          <w:sz w:val="20"/>
          <w:szCs w:val="20"/>
        </w:rPr>
        <w:t>Highlights in Business, Economics and Management, 59</w:t>
      </w:r>
      <w:r>
        <w:rPr>
          <w:rFonts w:ascii="Arial" w:hAnsi="Arial" w:cs="Arial"/>
          <w:sz w:val="20"/>
          <w:szCs w:val="20"/>
        </w:rPr>
        <w:t>, 132–143.</w:t>
      </w:r>
      <w:r>
        <w:rPr>
          <w:rFonts w:ascii="Arial" w:hAnsi="Arial" w:cs="Arial"/>
          <w:sz w:val="20"/>
          <w:szCs w:val="20"/>
        </w:rPr>
        <w:br w:type="textWrapping"/>
      </w:r>
      <w:r>
        <w:rPr>
          <w:rFonts w:ascii="Arial" w:hAnsi="Arial" w:cs="Arial"/>
          <w:sz w:val="20"/>
          <w:szCs w:val="20"/>
        </w:rPr>
        <w:t xml:space="preserve">Xie, K. (2023). Analysis of influencing factors on the willingness and behaviour of tea e-commerce consumers. </w:t>
      </w:r>
      <w:r>
        <w:rPr>
          <w:rStyle w:val="11"/>
          <w:rFonts w:ascii="Arial" w:hAnsi="Arial" w:cs="Arial"/>
          <w:sz w:val="20"/>
          <w:szCs w:val="20"/>
        </w:rPr>
        <w:t>Agriculture, 13</w:t>
      </w:r>
      <w:r>
        <w:rPr>
          <w:rFonts w:ascii="Arial" w:hAnsi="Arial" w:cs="Arial"/>
          <w:sz w:val="20"/>
          <w:szCs w:val="20"/>
        </w:rPr>
        <w:t>(10), 1897.</w:t>
      </w:r>
      <w:r>
        <w:rPr>
          <w:rFonts w:ascii="Arial" w:hAnsi="Arial" w:cs="Arial"/>
          <w:sz w:val="20"/>
          <w:szCs w:val="20"/>
        </w:rPr>
        <w:br w:type="textWrapping"/>
      </w:r>
      <w:r>
        <w:rPr>
          <w:rFonts w:ascii="Arial" w:hAnsi="Arial" w:cs="Arial"/>
          <w:sz w:val="20"/>
          <w:szCs w:val="20"/>
        </w:rPr>
        <w:t xml:space="preserve">Xue, J., et al. (2025). Mapping the evolution of agricultural e-commerce: A bibliometric analysis. </w:t>
      </w:r>
      <w:r>
        <w:rPr>
          <w:rStyle w:val="11"/>
          <w:rFonts w:ascii="Arial" w:hAnsi="Arial" w:cs="Arial"/>
          <w:sz w:val="20"/>
          <w:szCs w:val="20"/>
        </w:rPr>
        <w:t>Cogent Business &amp; Management</w:t>
      </w:r>
      <w:r>
        <w:rPr>
          <w:rFonts w:ascii="Arial" w:hAnsi="Arial" w:cs="Arial"/>
          <w:sz w:val="20"/>
          <w:szCs w:val="20"/>
        </w:rPr>
        <w:t xml:space="preserve">. </w:t>
      </w:r>
      <w:r>
        <w:fldChar w:fldCharType="begin"/>
      </w:r>
      <w:r>
        <w:instrText xml:space="preserve"> HYPERLINK "https://doi.org/10.1080/23311886.2025.2553224" \t "_new" </w:instrText>
      </w:r>
      <w:r>
        <w:fldChar w:fldCharType="separate"/>
      </w:r>
      <w:r>
        <w:rPr>
          <w:rStyle w:val="12"/>
          <w:rFonts w:ascii="Arial" w:hAnsi="Arial" w:cs="Arial"/>
          <w:sz w:val="20"/>
          <w:szCs w:val="20"/>
        </w:rPr>
        <w:t>https://doi.org/10.1080/23311886.2025.2553224</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Zhang, Y., et al. (2024). Research on China’s agricultural product sales transformation: Online marketing-mix strategy and performance in the post-pandemic era. </w:t>
      </w:r>
      <w:r>
        <w:rPr>
          <w:rStyle w:val="11"/>
          <w:rFonts w:ascii="Arial" w:hAnsi="Arial" w:cs="Arial"/>
          <w:sz w:val="20"/>
          <w:szCs w:val="20"/>
        </w:rPr>
        <w:t>Frontiers in Sustainable Food Systems</w:t>
      </w:r>
      <w:r>
        <w:rPr>
          <w:rFonts w:ascii="Arial" w:hAnsi="Arial" w:cs="Arial"/>
          <w:sz w:val="20"/>
          <w:szCs w:val="20"/>
        </w:rPr>
        <w:t xml:space="preserve">. </w:t>
      </w:r>
      <w:r>
        <w:fldChar w:fldCharType="begin"/>
      </w:r>
      <w:r>
        <w:instrText xml:space="preserve"> HYPERLINK "https://doi.org/10.3389/fsufs.2023.1297732" \t "_new" </w:instrText>
      </w:r>
      <w:r>
        <w:fldChar w:fldCharType="separate"/>
      </w:r>
      <w:r>
        <w:rPr>
          <w:rStyle w:val="12"/>
          <w:rFonts w:ascii="Arial" w:hAnsi="Arial" w:cs="Arial"/>
          <w:sz w:val="20"/>
          <w:szCs w:val="20"/>
        </w:rPr>
        <w:t>https://doi.org/10.3389/fsufs.2023.1297732</w:t>
      </w:r>
      <w:r>
        <w:rPr>
          <w:rStyle w:val="12"/>
          <w:rFonts w:ascii="Arial" w:hAnsi="Arial" w:cs="Arial"/>
          <w:sz w:val="20"/>
          <w:szCs w:val="20"/>
        </w:rPr>
        <w:fldChar w:fldCharType="end"/>
      </w:r>
      <w:r>
        <w:rPr>
          <w:rFonts w:ascii="Arial" w:hAnsi="Arial" w:cs="Arial"/>
          <w:sz w:val="20"/>
          <w:szCs w:val="20"/>
        </w:rPr>
        <w:br w:type="textWrapping"/>
      </w:r>
      <w:r>
        <w:rPr>
          <w:rFonts w:ascii="Arial" w:hAnsi="Arial" w:cs="Arial"/>
          <w:sz w:val="20"/>
          <w:szCs w:val="20"/>
        </w:rPr>
        <w:t xml:space="preserve">Zhao, G., et al. (2025). Agricultural products live-streaming e-commerce: Conceptual framework of the ecosystem. </w:t>
      </w:r>
      <w:r>
        <w:rPr>
          <w:rStyle w:val="11"/>
          <w:rFonts w:ascii="Arial" w:hAnsi="Arial" w:cs="Arial"/>
          <w:sz w:val="20"/>
          <w:szCs w:val="20"/>
        </w:rPr>
        <w:t>Frontiers in Sustainable Food Systems</w:t>
      </w:r>
      <w:r>
        <w:rPr>
          <w:rFonts w:ascii="Arial" w:hAnsi="Arial" w:cs="Arial"/>
          <w:sz w:val="20"/>
          <w:szCs w:val="20"/>
        </w:rPr>
        <w:t xml:space="preserve">. </w:t>
      </w:r>
      <w:r>
        <w:fldChar w:fldCharType="begin"/>
      </w:r>
      <w:r>
        <w:instrText xml:space="preserve"> HYPERLINK "https://doi.org/10.3389/fsufs.2025.1685996" \t "_new" </w:instrText>
      </w:r>
      <w:r>
        <w:fldChar w:fldCharType="separate"/>
      </w:r>
      <w:r>
        <w:rPr>
          <w:rStyle w:val="12"/>
          <w:rFonts w:ascii="Arial" w:hAnsi="Arial" w:cs="Arial"/>
          <w:sz w:val="20"/>
          <w:szCs w:val="20"/>
        </w:rPr>
        <w:t>https://doi.org/10.3389/fsufs.2025.1685996</w:t>
      </w:r>
      <w:r>
        <w:rPr>
          <w:rStyle w:val="12"/>
          <w:rFonts w:ascii="Arial" w:hAnsi="Arial" w:cs="Arial"/>
          <w:sz w:val="20"/>
          <w:szCs w:val="20"/>
        </w:rPr>
        <w:fldChar w:fldCharType="end"/>
      </w:r>
      <w:r>
        <w:rPr>
          <w:rFonts w:ascii="Arial" w:hAnsi="Arial" w:cs="Arial"/>
          <w:sz w:val="20"/>
          <w:szCs w:val="20"/>
        </w:rPr>
        <w:br w:type="textWrapping"/>
      </w:r>
    </w:p>
    <w:p w14:paraId="1FA2495C">
      <w:pPr>
        <w:pStyle w:val="7"/>
        <w:widowControl/>
        <w:rPr>
          <w:rFonts w:hint="eastAsia" w:ascii="Arial" w:hAnsi="Arial" w:cs="Arial"/>
          <w:color w:val="C00000"/>
          <w:sz w:val="20"/>
          <w:szCs w:val="20"/>
        </w:rPr>
      </w:pPr>
      <w:r>
        <w:rPr>
          <w:rFonts w:hint="eastAsia" w:ascii="Arial" w:hAnsi="Arial" w:cs="Arial"/>
          <w:color w:val="C00000"/>
          <w:sz w:val="20"/>
          <w:szCs w:val="20"/>
        </w:rPr>
        <w:t>Zeng, B., Liu, X., Zhang, W., Wu, L., &amp; Xu, D. (2023). Digital transformation of agricultural products purchasing: From the perspective of short video live</w:t>
      </w:r>
      <w:r>
        <w:rPr>
          <w:rFonts w:hint="eastAsia" w:ascii="Arial" w:hAnsi="Arial" w:cs="Arial"/>
          <w:color w:val="C00000"/>
          <w:sz w:val="20"/>
          <w:szCs w:val="20"/>
        </w:rPr>
        <w:noBreakHyphen/>
      </w:r>
      <w:r>
        <w:rPr>
          <w:rFonts w:hint="eastAsia" w:ascii="Arial" w:hAnsi="Arial" w:cs="Arial"/>
          <w:color w:val="C00000"/>
          <w:sz w:val="20"/>
          <w:szCs w:val="20"/>
        </w:rPr>
        <w:t>streaming. Sustainability, 15(20), 14948. DOI: 10.3390/su152014948.</w:t>
      </w:r>
    </w:p>
    <w:p w14:paraId="182D6D55">
      <w:pPr>
        <w:rPr>
          <w:rFonts w:ascii="Arial" w:hAnsi="Arial" w:cs="Arial"/>
          <w:color w:val="C00000"/>
          <w:sz w:val="20"/>
          <w:szCs w:val="20"/>
        </w:rPr>
      </w:pPr>
      <w:r>
        <w:rPr>
          <w:rFonts w:hint="eastAsia" w:ascii="Arial" w:hAnsi="Arial" w:cs="Arial"/>
          <w:color w:val="C00000"/>
          <w:sz w:val="20"/>
          <w:szCs w:val="20"/>
        </w:rPr>
        <w:t>Zhang, X., Liu, Q., &amp; Li, F. (2022). Digital literacy and e-commerce adoption among rural SMEs in China. Journal of Rural Studies, 89, 45–57.https://doi.org/10.1016/j.jrurstud.2022.03.002</w:t>
      </w:r>
    </w:p>
    <w:p w14:paraId="21C827B4">
      <w:pPr>
        <w:rPr>
          <w:rFonts w:ascii="Arial" w:hAnsi="Arial" w:eastAsia="黑体" w:cs="Arial"/>
          <w:color w:val="C00000"/>
          <w:sz w:val="20"/>
          <w:szCs w:val="20"/>
          <w:lang w:eastAsia="en-US"/>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51A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646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FB646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3BB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69F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F67D">
    <w:pPr>
      <w:pStyle w:val="5"/>
    </w:pPr>
    <w:r>
      <w:pict>
        <v:shape id="PowerPlusWaterMarkObject174712955" o:spid="_x0000_s4098" o:spt="136" type="#_x0000_t136" style="position:absolute;left:0pt;height:92.9pt;width:492.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7D25">
    <w:pPr>
      <w:pStyle w:val="5"/>
    </w:pPr>
    <w:r>
      <w:pict>
        <v:shape id="PowerPlusWaterMarkObject174712954" o:spid="_x0000_s4099" o:spt="136" type="#_x0000_t136" style="position:absolute;left:0pt;height:92.9pt;width:492.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651B">
    <w:pPr>
      <w:pStyle w:val="5"/>
    </w:pPr>
    <w:r>
      <w:pict>
        <v:shape id="PowerPlusWaterMarkObject174712953" o:spid="_x0000_s4097" o:spt="136" type="#_x0000_t136" style="position:absolute;left:0pt;height:92.9pt;width:492.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B99DB"/>
    <w:multiLevelType w:val="singleLevel"/>
    <w:tmpl w:val="F34B99DB"/>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B3"/>
    <w:rsid w:val="001058D2"/>
    <w:rsid w:val="00297877"/>
    <w:rsid w:val="003C49AE"/>
    <w:rsid w:val="004A5B66"/>
    <w:rsid w:val="004C5058"/>
    <w:rsid w:val="005B0E51"/>
    <w:rsid w:val="006449D5"/>
    <w:rsid w:val="006D7153"/>
    <w:rsid w:val="007059F9"/>
    <w:rsid w:val="007E7858"/>
    <w:rsid w:val="0089093F"/>
    <w:rsid w:val="00967F4E"/>
    <w:rsid w:val="00A2259C"/>
    <w:rsid w:val="00A23091"/>
    <w:rsid w:val="00A559C1"/>
    <w:rsid w:val="00AC30B3"/>
    <w:rsid w:val="00B029D1"/>
    <w:rsid w:val="00B07A75"/>
    <w:rsid w:val="00B359E8"/>
    <w:rsid w:val="00C93CF5"/>
    <w:rsid w:val="00CB0775"/>
    <w:rsid w:val="00CF7B1B"/>
    <w:rsid w:val="00DB35D4"/>
    <w:rsid w:val="00DD6DDD"/>
    <w:rsid w:val="00E05F81"/>
    <w:rsid w:val="00E83A18"/>
    <w:rsid w:val="00E90402"/>
    <w:rsid w:val="00EB47B4"/>
    <w:rsid w:val="00ED6A0B"/>
    <w:rsid w:val="00F011DB"/>
    <w:rsid w:val="00FA50A4"/>
    <w:rsid w:val="00FE77C0"/>
    <w:rsid w:val="024261A6"/>
    <w:rsid w:val="0A7E1D45"/>
    <w:rsid w:val="0E1327A4"/>
    <w:rsid w:val="10120661"/>
    <w:rsid w:val="1A046581"/>
    <w:rsid w:val="2A0307AE"/>
    <w:rsid w:val="2CF75313"/>
    <w:rsid w:val="310D15A9"/>
    <w:rsid w:val="34486D8B"/>
    <w:rsid w:val="3D6C7658"/>
    <w:rsid w:val="40307062"/>
    <w:rsid w:val="46445615"/>
    <w:rsid w:val="51087240"/>
    <w:rsid w:val="552D055B"/>
    <w:rsid w:val="58C92312"/>
    <w:rsid w:val="5C82259C"/>
    <w:rsid w:val="5EEC01A1"/>
    <w:rsid w:val="6A57161A"/>
    <w:rsid w:val="73702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qFormat/>
    <w:uiPriority w:val="0"/>
    <w:pPr>
      <w:widowControl w:val="0"/>
      <w:snapToGrid w:val="0"/>
    </w:pPr>
    <w:rPr>
      <w:rFonts w:asciiTheme="minorHAnsi" w:hAnsiTheme="minorHAnsi" w:eastAsiaTheme="minorEastAsia" w:cstheme="minorBidi"/>
      <w:kern w:val="2"/>
      <w:sz w:val="18"/>
      <w:szCs w:val="24"/>
      <w:lang w:val="en-US" w:eastAsia="zh-CN" w:bidi="ar-SA"/>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nhideWhenUsed/>
    <w:qFormat/>
    <w:uiPriority w:val="99"/>
    <w:rPr>
      <w:color w:val="0000FF"/>
      <w:u w:val="single"/>
    </w:rPr>
  </w:style>
  <w:style w:type="character" w:styleId="13">
    <w:name w:val="footnote reference"/>
    <w:qFormat/>
    <w:uiPriority w:val="0"/>
    <w:rPr>
      <w:vertAlign w:val="superscript"/>
    </w:rPr>
  </w:style>
  <w:style w:type="paragraph" w:customStyle="1" w:styleId="14">
    <w:name w:val="1.8.1 三级标题，小四，新罗马"/>
    <w:basedOn w:val="1"/>
    <w:next w:val="1"/>
    <w:qFormat/>
    <w:uiPriority w:val="0"/>
    <w:pPr>
      <w:keepNext/>
      <w:keepLines/>
      <w:spacing w:before="260" w:after="260" w:line="413" w:lineRule="auto"/>
      <w:outlineLvl w:val="2"/>
    </w:pPr>
    <w:rPr>
      <w:rFonts w:ascii="Times New Roman" w:hAnsi="Times New Roman" w:cs="Times New Roman"/>
      <w:b/>
      <w:sz w:val="24"/>
      <w:lang w:val="en-MY" w:eastAsia="en-US"/>
    </w:rPr>
  </w:style>
  <w:style w:type="paragraph" w:customStyle="1" w:styleId="15">
    <w:name w:val="Author"/>
    <w:basedOn w:val="1"/>
    <w:qFormat/>
    <w:uiPriority w:val="0"/>
    <w:pPr>
      <w:spacing w:line="280" w:lineRule="exact"/>
      <w:jc w:val="right"/>
    </w:pPr>
    <w:rPr>
      <w:b/>
      <w:sz w:val="24"/>
    </w:rPr>
  </w:style>
  <w:style w:type="paragraph" w:customStyle="1" w:styleId="16">
    <w:name w:val="Abst Head"/>
    <w:basedOn w:val="17"/>
    <w:qFormat/>
    <w:uiPriority w:val="0"/>
    <w:rPr>
      <w:sz w:val="22"/>
    </w:rPr>
  </w:style>
  <w:style w:type="paragraph" w:customStyle="1" w:styleId="17">
    <w:name w:val="Main Head"/>
    <w:basedOn w:val="1"/>
    <w:qFormat/>
    <w:uiPriority w:val="0"/>
    <w:pPr>
      <w:keepNext/>
      <w:spacing w:after="240"/>
    </w:pPr>
    <w:rPr>
      <w:b/>
      <w:caps/>
    </w:rPr>
  </w:style>
  <w:style w:type="paragraph" w:customStyle="1" w:styleId="18">
    <w:name w:val="Body"/>
    <w:basedOn w:val="1"/>
    <w:qFormat/>
    <w:uiPriority w:val="0"/>
    <w:pPr>
      <w:spacing w:after="240"/>
    </w:pPr>
  </w:style>
  <w:style w:type="paragraph" w:customStyle="1" w:styleId="19">
    <w:name w:val="Refer Head"/>
    <w:basedOn w:val="17"/>
    <w:qFormat/>
    <w:uiPriority w:val="0"/>
    <w:rPr>
      <w:sz w:val="22"/>
    </w:rPr>
  </w:style>
  <w:style w:type="character" w:customStyle="1" w:styleId="20">
    <w:name w:val="Unresolved Mention"/>
    <w:basedOn w:val="9"/>
    <w:semiHidden/>
    <w:unhideWhenUsed/>
    <w:qFormat/>
    <w:uiPriority w:val="99"/>
    <w:rPr>
      <w:color w:val="605E5C"/>
      <w:shd w:val="clear" w:color="auto" w:fill="E1DFDD"/>
    </w:rPr>
  </w:style>
  <w:style w:type="paragraph" w:styleId="21">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1100</Words>
  <Characters>7403</Characters>
  <Lines>210</Lines>
  <Paragraphs>59</Paragraphs>
  <TotalTime>80</TotalTime>
  <ScaleCrop>false</ScaleCrop>
  <LinksUpToDate>false</LinksUpToDate>
  <CharactersWithSpaces>8435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2023-12-15T02:08:00Z</dcterms:created>
  <dc:creator>25118</dc:creator>
  <cp:lastModifiedBy>艺央学堂</cp:lastModifiedBy>
  <dcterms:modified xsi:type="dcterms:W3CDTF">2025-11-09T00:23:52Z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BCD73929D17045FBA958E086E51DF477_12</vt:lpwstr>
  </property>
  <property fmtid="{D5CDD505-2E9C-101B-9397-08002B2CF9AE}" pid="4" name="KSOTemplateDocerSaveRecord">
    <vt:lpwstr>eyJoZGlkIjoiMzNkODAwZTJlOTE0MTYzMzM2MDI1NGE1NWVjNGE3YTgiLCJ1c2VySWQiOiI1NTEzOTY0OTEifQ==</vt:lpwstr>
  </property>
</Properties>
</file>