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61A64" w14:textId="52EE9289" w:rsidR="00D847C1" w:rsidRPr="00B96B02" w:rsidRDefault="0022100D" w:rsidP="00B96B02">
      <w:pPr>
        <w:pStyle w:val="Heading1"/>
        <w:spacing w:line="360" w:lineRule="auto"/>
        <w:jc w:val="center"/>
        <w:rPr>
          <w:rFonts w:cs="Arial"/>
          <w:bCs/>
          <w:iCs/>
          <w:sz w:val="36"/>
        </w:rPr>
      </w:pPr>
      <w:r w:rsidRPr="0022100D">
        <w:rPr>
          <w:rFonts w:cs="Arial"/>
          <w:bCs/>
          <w:iCs/>
          <w:sz w:val="36"/>
        </w:rPr>
        <w:t>Prevalence of Gastrointestinal Parasites in Broilers in Maseru District, Lesotho</w:t>
      </w:r>
    </w:p>
    <w:p w14:paraId="2F279D5A" w14:textId="77777777" w:rsidR="000F7AD3" w:rsidRDefault="000F7AD3">
      <w:pPr>
        <w:pStyle w:val="Affiliation"/>
        <w:spacing w:after="0" w:line="240" w:lineRule="auto"/>
        <w:jc w:val="both"/>
        <w:rPr>
          <w:rFonts w:ascii="Arial" w:hAnsi="Arial" w:cs="Arial"/>
        </w:rPr>
      </w:pPr>
    </w:p>
    <w:p w14:paraId="78C7AB33" w14:textId="77777777" w:rsidR="000F7AD3" w:rsidRDefault="007F36B1">
      <w:pPr>
        <w:pStyle w:val="Copyright"/>
        <w:spacing w:after="0" w:line="240" w:lineRule="auto"/>
        <w:jc w:val="both"/>
        <w:rPr>
          <w:rFonts w:ascii="Arial" w:hAnsi="Arial" w:cs="Arial"/>
        </w:rPr>
        <w:sectPr w:rsidR="000F7AD3" w:rsidSect="00D847C1">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rPr>
      </w:r>
      <w:r>
        <w:rPr>
          <w:rFonts w:ascii="Arial" w:hAnsi="Arial" w:cs="Arial"/>
        </w:rPr>
        <w:pict w14:anchorId="531113F5">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4520B0">
        <w:rPr>
          <w:rFonts w:ascii="Arial" w:hAnsi="Arial" w:cs="Arial"/>
        </w:rPr>
        <w:t>.</w:t>
      </w:r>
    </w:p>
    <w:p w14:paraId="482B0B55" w14:textId="77777777" w:rsidR="000F7AD3" w:rsidRDefault="00AD2271">
      <w:pPr>
        <w:pStyle w:val="AbstHead"/>
        <w:spacing w:after="0"/>
        <w:jc w:val="both"/>
        <w:rPr>
          <w:rFonts w:ascii="Arial" w:hAnsi="Arial" w:cs="Arial"/>
        </w:rPr>
      </w:pPr>
      <w:r>
        <w:rPr>
          <w:rFonts w:ascii="Arial" w:hAnsi="Arial" w:cs="Arial"/>
        </w:rPr>
        <w:t>ABSTRACT</w:t>
      </w:r>
    </w:p>
    <w:p w14:paraId="15F75AE9" w14:textId="77777777" w:rsidR="000F7AD3" w:rsidRDefault="000F7AD3">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0F7AD3" w14:paraId="7221E5E2" w14:textId="77777777">
        <w:tc>
          <w:tcPr>
            <w:tcW w:w="9576" w:type="dxa"/>
            <w:shd w:val="clear" w:color="auto" w:fill="F2F2F2"/>
          </w:tcPr>
          <w:p w14:paraId="4E085BE5" w14:textId="2FE4DA71" w:rsidR="000F7AD3" w:rsidRPr="00AA5B9B" w:rsidRDefault="00AA5B9B" w:rsidP="00AA5B9B">
            <w:pPr>
              <w:spacing w:before="100" w:beforeAutospacing="1" w:after="100" w:afterAutospacing="1"/>
              <w:jc w:val="both"/>
              <w:rPr>
                <w:rFonts w:ascii="Arial" w:hAnsi="Arial" w:cs="Arial"/>
                <w:lang w:eastAsia="en-GB"/>
              </w:rPr>
            </w:pPr>
            <w:r w:rsidRPr="00765733">
              <w:rPr>
                <w:rFonts w:ascii="Arial" w:eastAsia="Calibri" w:hAnsi="Arial" w:cs="Arial"/>
                <w:szCs w:val="22"/>
              </w:rPr>
              <w:t xml:space="preserve">Gastrointestinal parasites remain a significant constraint in poultry production, particularly in resource-limited settings. This study assessed the prevalence and comparative incidence of gastrointestinal parasites in broilers reared under urban and semi-urban conditions in Maseru District, Lesotho. A total of 100 fecal samples were collected from broilers across six villages and examined using the McMaster flotation technique. Identified parasites included </w:t>
            </w:r>
            <w:r w:rsidRPr="00765733">
              <w:rPr>
                <w:rFonts w:ascii="Arial" w:eastAsia="Calibri" w:hAnsi="Arial" w:cs="Arial"/>
                <w:i/>
                <w:iCs/>
                <w:szCs w:val="22"/>
              </w:rPr>
              <w:t>Eimeria</w:t>
            </w:r>
            <w:r w:rsidRPr="00765733">
              <w:rPr>
                <w:rFonts w:ascii="Arial" w:eastAsia="Calibri" w:hAnsi="Arial" w:cs="Arial"/>
                <w:szCs w:val="22"/>
              </w:rPr>
              <w:t xml:space="preserve"> spp. (coccidia), nematodes (</w:t>
            </w:r>
            <w:r w:rsidRPr="00765733">
              <w:rPr>
                <w:rFonts w:ascii="Arial" w:eastAsia="Calibri" w:hAnsi="Arial" w:cs="Arial"/>
                <w:i/>
                <w:iCs/>
                <w:szCs w:val="22"/>
              </w:rPr>
              <w:t>Heterakis gallinarum</w:t>
            </w:r>
            <w:r w:rsidRPr="00765733">
              <w:rPr>
                <w:rFonts w:ascii="Arial" w:eastAsia="Calibri" w:hAnsi="Arial" w:cs="Arial"/>
                <w:szCs w:val="22"/>
              </w:rPr>
              <w:t xml:space="preserve">, </w:t>
            </w:r>
            <w:r w:rsidRPr="00765733">
              <w:rPr>
                <w:rFonts w:ascii="Arial" w:eastAsia="Calibri" w:hAnsi="Arial" w:cs="Arial"/>
                <w:i/>
                <w:iCs/>
                <w:szCs w:val="22"/>
              </w:rPr>
              <w:t>Ascaridia galli</w:t>
            </w:r>
            <w:r w:rsidRPr="00765733">
              <w:rPr>
                <w:rFonts w:ascii="Arial" w:eastAsia="Calibri" w:hAnsi="Arial" w:cs="Arial"/>
                <w:szCs w:val="22"/>
              </w:rPr>
              <w:t>), and cestodes (</w:t>
            </w:r>
            <w:r w:rsidRPr="00765733">
              <w:rPr>
                <w:rFonts w:ascii="Arial" w:eastAsia="Calibri" w:hAnsi="Arial" w:cs="Arial"/>
                <w:i/>
                <w:iCs/>
                <w:szCs w:val="22"/>
              </w:rPr>
              <w:t>Raillietina</w:t>
            </w:r>
            <w:r w:rsidRPr="00765733">
              <w:rPr>
                <w:rFonts w:ascii="Arial" w:eastAsia="Calibri" w:hAnsi="Arial" w:cs="Arial"/>
                <w:szCs w:val="22"/>
              </w:rPr>
              <w:t xml:space="preserve"> spp.). Mixed infestations were also recorded, with coccidia–nematode combinations being most common. </w:t>
            </w:r>
            <w:r w:rsidRPr="00CD78C6">
              <w:rPr>
                <w:rFonts w:ascii="Arial" w:eastAsia="Calibri" w:hAnsi="Arial" w:cs="Arial"/>
                <w:szCs w:val="22"/>
              </w:rPr>
              <w:t>The prevalence of gastrointestinal parasites was higher in semi-urban areas (mean FEC = 1019.8) than in urban areas (mean FEC = 299.6). The faecal egg count (FEC) of coccidia was significantly different (P &lt; 0.05) between the two agro-ecological zones.</w:t>
            </w:r>
            <w:r w:rsidRPr="00AA5B9B">
              <w:rPr>
                <w:rFonts w:ascii="Arial" w:eastAsia="Calibri" w:hAnsi="Arial" w:cs="Arial"/>
                <w:szCs w:val="22"/>
              </w:rPr>
              <w:t xml:space="preserve"> </w:t>
            </w:r>
            <w:r w:rsidRPr="00765733">
              <w:rPr>
                <w:rFonts w:ascii="Arial" w:hAnsi="Arial" w:cs="Arial"/>
                <w:lang w:eastAsia="en-GB"/>
              </w:rPr>
              <w:t>Age was a significant factor, with higher parasite loads observed in 5–6-week-old broilers compared to younger birds. The findings demonstrate that broilers in semi-urban regions are more predisposed to coccidiosis, while nematodes and cestodes were relatively more frequent in urban flocks. These results underscore the need for targeted parasite control strategies to improve broiler productivity in Lesotho.</w:t>
            </w:r>
          </w:p>
        </w:tc>
      </w:tr>
    </w:tbl>
    <w:p w14:paraId="5802D639" w14:textId="77777777" w:rsidR="000F7AD3" w:rsidRDefault="000F7AD3">
      <w:pPr>
        <w:pStyle w:val="Body"/>
        <w:spacing w:after="0"/>
        <w:rPr>
          <w:rFonts w:ascii="Arial" w:hAnsi="Arial" w:cs="Arial"/>
          <w:i/>
        </w:rPr>
      </w:pPr>
    </w:p>
    <w:p w14:paraId="39080E0D" w14:textId="77777777" w:rsidR="00AA5B9B" w:rsidRPr="00AA5B9B" w:rsidRDefault="00AD2271">
      <w:pPr>
        <w:pStyle w:val="Body"/>
        <w:spacing w:after="0"/>
        <w:rPr>
          <w:rFonts w:ascii="Arial" w:hAnsi="Arial" w:cs="Arial"/>
          <w:i/>
        </w:rPr>
      </w:pPr>
      <w:r w:rsidRPr="00AA5B9B">
        <w:rPr>
          <w:rFonts w:ascii="Arial" w:hAnsi="Arial" w:cs="Arial"/>
          <w:i/>
        </w:rPr>
        <w:t xml:space="preserve">Keywords: </w:t>
      </w:r>
      <w:r w:rsidR="00AA5B9B" w:rsidRPr="00765733">
        <w:rPr>
          <w:rFonts w:ascii="Arial" w:hAnsi="Arial" w:cs="Arial"/>
          <w:lang w:eastAsia="en-GB"/>
        </w:rPr>
        <w:t>Broilers, gastrointestinal parasites, coccidiosis, nematodes, cestodes, mixed infestation</w:t>
      </w:r>
      <w:r w:rsidR="00AA5B9B" w:rsidRPr="00AA5B9B">
        <w:rPr>
          <w:rFonts w:ascii="Arial" w:hAnsi="Arial" w:cs="Arial"/>
          <w:i/>
        </w:rPr>
        <w:t xml:space="preserve"> </w:t>
      </w:r>
    </w:p>
    <w:p w14:paraId="6CC47877" w14:textId="77777777" w:rsidR="000F7AD3" w:rsidRDefault="000F7AD3">
      <w:pPr>
        <w:pStyle w:val="Body"/>
        <w:spacing w:after="0"/>
        <w:rPr>
          <w:rFonts w:ascii="Arial" w:hAnsi="Arial" w:cs="Arial"/>
          <w:i/>
        </w:rPr>
      </w:pPr>
    </w:p>
    <w:p w14:paraId="076B9E7D" w14:textId="77777777" w:rsidR="000F7AD3" w:rsidRDefault="00AD2271">
      <w:pPr>
        <w:pStyle w:val="AbstHead"/>
        <w:spacing w:after="0"/>
        <w:jc w:val="both"/>
        <w:rPr>
          <w:rFonts w:ascii="Arial" w:hAnsi="Arial" w:cs="Arial"/>
        </w:rPr>
      </w:pPr>
      <w:r>
        <w:rPr>
          <w:rFonts w:ascii="Arial" w:hAnsi="Arial" w:cs="Arial"/>
        </w:rPr>
        <w:t xml:space="preserve">1. INTRODUCTION </w:t>
      </w:r>
    </w:p>
    <w:p w14:paraId="76D59E28" w14:textId="77777777" w:rsidR="000F7AD3" w:rsidRDefault="000F7AD3">
      <w:pPr>
        <w:pStyle w:val="AbstHead"/>
        <w:spacing w:after="0"/>
        <w:jc w:val="both"/>
        <w:rPr>
          <w:rFonts w:ascii="Arial" w:hAnsi="Arial" w:cs="Arial"/>
        </w:rPr>
      </w:pPr>
    </w:p>
    <w:p w14:paraId="4B1AD1EB" w14:textId="6FB721B7" w:rsidR="000F7AD3" w:rsidRDefault="00AD2271">
      <w:pPr>
        <w:pStyle w:val="Body"/>
        <w:spacing w:after="0"/>
        <w:rPr>
          <w:rFonts w:ascii="Arial" w:hAnsi="Arial" w:cs="Arial"/>
        </w:rPr>
      </w:pPr>
      <w:r>
        <w:rPr>
          <w:rFonts w:ascii="Arial" w:hAnsi="Arial" w:cs="Arial"/>
        </w:rPr>
        <w:t xml:space="preserve">Most broiler poultry farmers in Lesotho face significant challenges </w:t>
      </w:r>
      <w:r w:rsidR="003F28C2">
        <w:rPr>
          <w:rFonts w:ascii="Arial" w:hAnsi="Arial" w:cs="Arial"/>
        </w:rPr>
        <w:t>including</w:t>
      </w:r>
      <w:r>
        <w:rPr>
          <w:rFonts w:ascii="Arial" w:hAnsi="Arial" w:cs="Arial"/>
        </w:rPr>
        <w:t xml:space="preserve"> poor performance indicators, such as slow growth rates, lower carcass yields, increased mortality rates, and a higher incidence of diseases. These issues are believed to stem from a greater infestation of gastrointestinal parasites. However, slower-growing breeds achieve this weight at approximately 14 weeks. Furthermore, Islam et al. (2015) noted that the broiler industry is one of the most profitable sectors within agriculture. Gastrointestinal parasites significantly detriment</w:t>
      </w:r>
      <w:r w:rsidR="003F28C2">
        <w:rPr>
          <w:rFonts w:ascii="Arial" w:hAnsi="Arial" w:cs="Arial"/>
        </w:rPr>
        <w:t>ally</w:t>
      </w:r>
      <w:r>
        <w:rPr>
          <w:rFonts w:ascii="Arial" w:hAnsi="Arial" w:cs="Arial"/>
        </w:rPr>
        <w:t xml:space="preserve"> </w:t>
      </w:r>
      <w:r w:rsidR="003F28C2">
        <w:rPr>
          <w:rFonts w:ascii="Arial" w:hAnsi="Arial" w:cs="Arial"/>
        </w:rPr>
        <w:t xml:space="preserve">affect </w:t>
      </w:r>
      <w:r>
        <w:rPr>
          <w:rFonts w:ascii="Arial" w:hAnsi="Arial" w:cs="Arial"/>
        </w:rPr>
        <w:t>broiler production, particularly in environments where animal welfare is compromised (Ahmed, 2018</w:t>
      </w:r>
      <w:r w:rsidR="007F36B1">
        <w:rPr>
          <w:rFonts w:ascii="Arial" w:hAnsi="Arial" w:cs="Arial"/>
        </w:rPr>
        <w:t xml:space="preserve">; </w:t>
      </w:r>
      <w:proofErr w:type="spellStart"/>
      <w:r w:rsidR="007F36B1" w:rsidRPr="007F36B1">
        <w:rPr>
          <w:rFonts w:ascii="Arial" w:hAnsi="Arial" w:cs="Arial"/>
        </w:rPr>
        <w:t>Gadahi</w:t>
      </w:r>
      <w:proofErr w:type="spellEnd"/>
      <w:r w:rsidR="007F36B1" w:rsidRPr="007F36B1">
        <w:rPr>
          <w:rFonts w:ascii="Arial" w:hAnsi="Arial" w:cs="Arial"/>
        </w:rPr>
        <w:t xml:space="preserve"> et al., 2009</w:t>
      </w:r>
      <w:r>
        <w:rPr>
          <w:rFonts w:ascii="Arial" w:hAnsi="Arial" w:cs="Arial"/>
        </w:rPr>
        <w:t>). Helminth infections are linked to various health issues in poultry, including diarrhea, intestinal obstruction, anorexia, anemia, weakness, paralysis, and suboptimal feather development. Among helminths, nematodes represent a particularly impactful group affecting broilers</w:t>
      </w:r>
      <w:r w:rsidR="007F36B1">
        <w:rPr>
          <w:rFonts w:ascii="Arial" w:hAnsi="Arial" w:cs="Arial"/>
        </w:rPr>
        <w:t xml:space="preserve"> </w:t>
      </w:r>
      <w:r w:rsidR="007F36B1" w:rsidRPr="007F36B1">
        <w:rPr>
          <w:rFonts w:ascii="Arial" w:hAnsi="Arial" w:cs="Arial"/>
        </w:rPr>
        <w:t>(Maharana et al., 2016)</w:t>
      </w:r>
      <w:r>
        <w:rPr>
          <w:rFonts w:ascii="Arial" w:hAnsi="Arial" w:cs="Arial"/>
        </w:rPr>
        <w:t>. Common nematode species identified in this context include </w:t>
      </w:r>
      <w:proofErr w:type="spellStart"/>
      <w:r>
        <w:rPr>
          <w:rFonts w:ascii="Arial" w:hAnsi="Arial" w:cs="Arial"/>
          <w:i/>
          <w:iCs/>
        </w:rPr>
        <w:t>Heterakis</w:t>
      </w:r>
      <w:proofErr w:type="spellEnd"/>
      <w:r>
        <w:rPr>
          <w:rFonts w:ascii="Arial" w:hAnsi="Arial" w:cs="Arial"/>
          <w:i/>
          <w:iCs/>
        </w:rPr>
        <w:t xml:space="preserve"> </w:t>
      </w:r>
      <w:proofErr w:type="spellStart"/>
      <w:r>
        <w:rPr>
          <w:rFonts w:ascii="Arial" w:hAnsi="Arial" w:cs="Arial"/>
          <w:i/>
          <w:iCs/>
        </w:rPr>
        <w:t>gallinarum</w:t>
      </w:r>
      <w:proofErr w:type="spellEnd"/>
      <w:r>
        <w:rPr>
          <w:rFonts w:ascii="Arial" w:hAnsi="Arial" w:cs="Arial"/>
        </w:rPr>
        <w:t> and </w:t>
      </w:r>
      <w:proofErr w:type="spellStart"/>
      <w:r>
        <w:rPr>
          <w:rFonts w:ascii="Arial" w:hAnsi="Arial" w:cs="Arial"/>
          <w:i/>
          <w:iCs/>
        </w:rPr>
        <w:t>Subulura</w:t>
      </w:r>
      <w:proofErr w:type="spellEnd"/>
      <w:r>
        <w:rPr>
          <w:rFonts w:ascii="Arial" w:hAnsi="Arial" w:cs="Arial"/>
          <w:i/>
          <w:iCs/>
        </w:rPr>
        <w:t xml:space="preserve"> </w:t>
      </w:r>
      <w:proofErr w:type="spellStart"/>
      <w:r>
        <w:rPr>
          <w:rFonts w:ascii="Arial" w:hAnsi="Arial" w:cs="Arial"/>
          <w:i/>
          <w:iCs/>
        </w:rPr>
        <w:t>suctoria</w:t>
      </w:r>
      <w:proofErr w:type="spellEnd"/>
      <w:r>
        <w:rPr>
          <w:rFonts w:ascii="Arial" w:hAnsi="Arial" w:cs="Arial"/>
        </w:rPr>
        <w:t> (Aman et al., 2013). These nematodes possess a direct life cycle; the infective L2 larvae develop within their eggs over a period of 1 to 10 weeks, with the duration being heavily influenced by ambient temperature. Coccidiosis significantly impacts the poultry industry, leading to substantial economic losses characterized by reduced growth rates and increased mortality rates</w:t>
      </w:r>
      <w:r w:rsidR="007F36B1">
        <w:rPr>
          <w:rFonts w:ascii="Arial" w:hAnsi="Arial" w:cs="Arial"/>
        </w:rPr>
        <w:t xml:space="preserve"> </w:t>
      </w:r>
      <w:r w:rsidR="007F36B1" w:rsidRPr="007F36B1">
        <w:rPr>
          <w:rFonts w:ascii="Arial" w:hAnsi="Arial" w:cs="Arial"/>
        </w:rPr>
        <w:t>(</w:t>
      </w:r>
      <w:proofErr w:type="spellStart"/>
      <w:r w:rsidR="007F36B1" w:rsidRPr="007F36B1">
        <w:rPr>
          <w:rFonts w:ascii="Arial" w:hAnsi="Arial" w:cs="Arial"/>
        </w:rPr>
        <w:t>Puttalakshmamma</w:t>
      </w:r>
      <w:proofErr w:type="spellEnd"/>
      <w:r w:rsidR="007F36B1" w:rsidRPr="007F36B1">
        <w:rPr>
          <w:rFonts w:ascii="Arial" w:hAnsi="Arial" w:cs="Arial"/>
        </w:rPr>
        <w:t xml:space="preserve"> et al., 2008)</w:t>
      </w:r>
      <w:bookmarkStart w:id="0" w:name="_GoBack"/>
      <w:bookmarkEnd w:id="0"/>
      <w:r>
        <w:rPr>
          <w:rFonts w:ascii="Arial" w:hAnsi="Arial" w:cs="Arial"/>
        </w:rPr>
        <w:t>. The predominant species involved include </w:t>
      </w:r>
      <w:r>
        <w:rPr>
          <w:rFonts w:ascii="Arial" w:hAnsi="Arial" w:cs="Arial"/>
          <w:i/>
          <w:iCs/>
        </w:rPr>
        <w:t xml:space="preserve">Eimeria </w:t>
      </w:r>
      <w:proofErr w:type="spellStart"/>
      <w:r>
        <w:rPr>
          <w:rFonts w:ascii="Arial" w:hAnsi="Arial" w:cs="Arial"/>
          <w:i/>
          <w:iCs/>
        </w:rPr>
        <w:t>tenella</w:t>
      </w:r>
      <w:proofErr w:type="spellEnd"/>
      <w:r>
        <w:rPr>
          <w:rFonts w:ascii="Arial" w:hAnsi="Arial" w:cs="Arial"/>
        </w:rPr>
        <w:t>, which is responsible for cecal coccidiosis, while </w:t>
      </w:r>
      <w:r>
        <w:rPr>
          <w:rFonts w:ascii="Arial" w:hAnsi="Arial" w:cs="Arial"/>
          <w:i/>
          <w:iCs/>
        </w:rPr>
        <w:t xml:space="preserve">E. </w:t>
      </w:r>
      <w:proofErr w:type="spellStart"/>
      <w:r>
        <w:rPr>
          <w:rFonts w:ascii="Arial" w:hAnsi="Arial" w:cs="Arial"/>
          <w:i/>
          <w:iCs/>
        </w:rPr>
        <w:t>acervulina</w:t>
      </w:r>
      <w:proofErr w:type="spellEnd"/>
      <w:r>
        <w:rPr>
          <w:rFonts w:ascii="Arial" w:hAnsi="Arial" w:cs="Arial"/>
        </w:rPr>
        <w:t> and </w:t>
      </w:r>
      <w:r>
        <w:rPr>
          <w:rFonts w:ascii="Arial" w:hAnsi="Arial" w:cs="Arial"/>
          <w:i/>
          <w:iCs/>
        </w:rPr>
        <w:t>E. maxima</w:t>
      </w:r>
      <w:r>
        <w:rPr>
          <w:rFonts w:ascii="Arial" w:hAnsi="Arial" w:cs="Arial"/>
        </w:rPr>
        <w:t> are associated with severe intestinal coccidiosis. Broiler chickens face various welfare challenges, including injuries, infections, and skeletal metabolic disorders that hinder their normal development (De Jong et al., 2011). Consequently, the aim of this study is to assess gastrointestinal parasites affecting broiler performance in different regions of Maseru district.</w:t>
      </w:r>
    </w:p>
    <w:p w14:paraId="20A1C724" w14:textId="77777777" w:rsidR="000F7AD3" w:rsidRDefault="00AD2271">
      <w:pPr>
        <w:pStyle w:val="AbstHead"/>
        <w:spacing w:after="0"/>
        <w:jc w:val="both"/>
        <w:rPr>
          <w:rFonts w:ascii="Arial" w:hAnsi="Arial" w:cs="Arial"/>
        </w:rPr>
      </w:pPr>
      <w:r>
        <w:rPr>
          <w:rFonts w:ascii="Arial" w:hAnsi="Arial" w:cs="Arial"/>
        </w:rPr>
        <w:t>2. material and methods</w:t>
      </w:r>
    </w:p>
    <w:p w14:paraId="5A3ECA68" w14:textId="7301687E" w:rsidR="000F7AD3" w:rsidRDefault="00AD2271">
      <w:pPr>
        <w:pStyle w:val="NormalWeb"/>
        <w:spacing w:before="0" w:after="0"/>
        <w:jc w:val="both"/>
        <w:rPr>
          <w:rFonts w:ascii="Arial" w:eastAsia="Calibri" w:hAnsi="Arial" w:cs="Arial"/>
          <w:b/>
          <w:bCs/>
          <w:sz w:val="20"/>
          <w:szCs w:val="20"/>
        </w:rPr>
      </w:pPr>
      <w:r>
        <w:rPr>
          <w:rFonts w:ascii="Arial" w:hAnsi="Arial" w:cs="Arial"/>
          <w:b/>
          <w:caps/>
          <w:sz w:val="22"/>
        </w:rPr>
        <w:t xml:space="preserve">2.1 </w:t>
      </w:r>
      <w:r>
        <w:rPr>
          <w:rFonts w:ascii="Arial" w:eastAsia="Calibri" w:hAnsi="Arial" w:cs="Arial"/>
          <w:b/>
          <w:bCs/>
          <w:sz w:val="20"/>
          <w:szCs w:val="20"/>
        </w:rPr>
        <w:t>Study Area</w:t>
      </w:r>
    </w:p>
    <w:p w14:paraId="0619A44D" w14:textId="26323009" w:rsidR="000F7AD3" w:rsidRDefault="00AD2271">
      <w:pPr>
        <w:pStyle w:val="NormalWeb"/>
        <w:ind w:firstLine="450"/>
        <w:jc w:val="both"/>
        <w:rPr>
          <w:rFonts w:ascii="Arial" w:eastAsia="Calibri" w:hAnsi="Arial" w:cs="Arial"/>
          <w:sz w:val="20"/>
          <w:szCs w:val="20"/>
          <w:lang w:val="zh-CN"/>
        </w:rPr>
      </w:pPr>
      <w:r>
        <w:rPr>
          <w:rFonts w:ascii="Arial" w:eastAsia="Calibri" w:hAnsi="Arial" w:cs="Arial"/>
          <w:sz w:val="20"/>
          <w:szCs w:val="20"/>
        </w:rPr>
        <w:t>The</w:t>
      </w:r>
      <w:r>
        <w:rPr>
          <w:rFonts w:ascii="Arial" w:eastAsia="Calibri" w:hAnsi="Arial" w:cs="Arial"/>
          <w:sz w:val="20"/>
          <w:szCs w:val="20"/>
          <w:lang w:val="zh-CN"/>
        </w:rPr>
        <w:t xml:space="preserve"> study was conducted </w:t>
      </w:r>
      <w:r>
        <w:rPr>
          <w:rFonts w:ascii="Arial" w:eastAsia="Calibri" w:hAnsi="Arial" w:cs="Arial"/>
          <w:sz w:val="20"/>
          <w:szCs w:val="20"/>
        </w:rPr>
        <w:t xml:space="preserve">in </w:t>
      </w:r>
      <w:r w:rsidR="003F28C2">
        <w:rPr>
          <w:rFonts w:ascii="Arial" w:eastAsia="Calibri" w:hAnsi="Arial" w:cs="Arial"/>
          <w:sz w:val="20"/>
          <w:szCs w:val="20"/>
        </w:rPr>
        <w:t xml:space="preserve">the </w:t>
      </w:r>
      <w:r>
        <w:rPr>
          <w:rFonts w:ascii="Arial" w:eastAsia="Calibri" w:hAnsi="Arial" w:cs="Arial"/>
          <w:sz w:val="20"/>
          <w:szCs w:val="20"/>
          <w:lang w:val="zh-CN"/>
        </w:rPr>
        <w:t xml:space="preserve">Maseru district, which is divided into urban and semi-urban regions. The urban areas were represented by Khubetsoana, Naleli, and Stadium Area, while the semi-urban areas consist of Thaba-Bosiu, </w:t>
      </w:r>
      <w:r>
        <w:rPr>
          <w:rFonts w:ascii="Arial" w:eastAsia="Calibri" w:hAnsi="Arial" w:cs="Arial"/>
          <w:sz w:val="20"/>
          <w:szCs w:val="20"/>
          <w:lang w:val="zh-CN"/>
        </w:rPr>
        <w:lastRenderedPageBreak/>
        <w:t>Roma, and Sehlabeng. Lowlands account for approximately 26% of the country’s total land area, whereas mountain ranges comprise about 74%. The average annual rainfall in Lesotho is around 753 mm (Cappelen, 2017), with 80% occurring during the warmer months from October to March and the remaining 20% during winter. Temperatures in Lesotho vary significantly by season, reaching up to 35</w:t>
      </w:r>
      <w:r w:rsidR="003F28C2">
        <w:rPr>
          <w:rFonts w:ascii="Arial" w:eastAsia="Calibri" w:hAnsi="Arial" w:cs="Arial"/>
          <w:sz w:val="20"/>
          <w:szCs w:val="20"/>
        </w:rPr>
        <w:t xml:space="preserve"> </w:t>
      </w:r>
      <w:r>
        <w:rPr>
          <w:rFonts w:ascii="Arial" w:eastAsia="Calibri" w:hAnsi="Arial" w:cs="Arial"/>
          <w:sz w:val="20"/>
          <w:szCs w:val="20"/>
          <w:lang w:val="zh-CN"/>
        </w:rPr>
        <w:sym w:font="Symbol" w:char="F0B0"/>
      </w:r>
      <w:r>
        <w:rPr>
          <w:rFonts w:ascii="Arial" w:eastAsia="Calibri" w:hAnsi="Arial" w:cs="Arial"/>
          <w:sz w:val="20"/>
          <w:szCs w:val="20"/>
          <w:lang w:val="zh-CN"/>
        </w:rPr>
        <w:t xml:space="preserve">C in mid-summer and dropping as low as -12.5 </w:t>
      </w:r>
      <w:r>
        <w:rPr>
          <w:rFonts w:ascii="Arial" w:eastAsia="Calibri" w:hAnsi="Arial" w:cs="Arial"/>
          <w:sz w:val="20"/>
          <w:szCs w:val="20"/>
          <w:lang w:val="zh-CN"/>
        </w:rPr>
        <w:sym w:font="Symbol" w:char="F0B0"/>
      </w:r>
      <w:r>
        <w:rPr>
          <w:rFonts w:ascii="Arial" w:eastAsia="Calibri" w:hAnsi="Arial" w:cs="Arial"/>
          <w:sz w:val="20"/>
          <w:szCs w:val="20"/>
          <w:lang w:val="zh-CN"/>
        </w:rPr>
        <w:t>C in mountainous regions during winter.</w:t>
      </w:r>
    </w:p>
    <w:p w14:paraId="4418B403" w14:textId="2969B5B9" w:rsidR="000F7AD3" w:rsidRDefault="00AD2271">
      <w:pPr>
        <w:pStyle w:val="NormalWeb"/>
        <w:spacing w:before="0" w:after="0"/>
        <w:rPr>
          <w:rFonts w:ascii="Arial" w:eastAsia="Calibri" w:hAnsi="Arial" w:cs="Arial"/>
          <w:b/>
          <w:bCs/>
          <w:sz w:val="20"/>
          <w:szCs w:val="20"/>
        </w:rPr>
      </w:pPr>
      <w:bookmarkStart w:id="1" w:name="_Toc32421"/>
      <w:bookmarkStart w:id="2" w:name="_Toc3543"/>
      <w:bookmarkStart w:id="3" w:name="_Toc21148"/>
      <w:bookmarkStart w:id="4" w:name="_Toc107034743"/>
      <w:bookmarkStart w:id="5" w:name="_Toc12074"/>
      <w:bookmarkStart w:id="6" w:name="_Toc32384"/>
      <w:bookmarkStart w:id="7" w:name="_Toc45388261"/>
      <w:r>
        <w:rPr>
          <w:rFonts w:ascii="Arial" w:eastAsia="Calibri" w:hAnsi="Arial" w:cs="Arial"/>
          <w:b/>
          <w:bCs/>
          <w:sz w:val="20"/>
          <w:szCs w:val="20"/>
        </w:rPr>
        <w:t>2.2 Study</w:t>
      </w:r>
      <w:bookmarkEnd w:id="1"/>
      <w:bookmarkEnd w:id="2"/>
      <w:bookmarkEnd w:id="3"/>
      <w:bookmarkEnd w:id="4"/>
      <w:bookmarkEnd w:id="5"/>
      <w:bookmarkEnd w:id="6"/>
      <w:r>
        <w:rPr>
          <w:rFonts w:ascii="Arial" w:eastAsia="Calibri" w:hAnsi="Arial" w:cs="Arial"/>
          <w:b/>
          <w:bCs/>
          <w:sz w:val="20"/>
          <w:szCs w:val="20"/>
        </w:rPr>
        <w:t xml:space="preserve"> design, Sampling</w:t>
      </w:r>
      <w:bookmarkEnd w:id="7"/>
      <w:r>
        <w:rPr>
          <w:rFonts w:ascii="Arial" w:eastAsia="Calibri" w:hAnsi="Arial" w:cs="Arial"/>
          <w:b/>
          <w:bCs/>
          <w:sz w:val="20"/>
          <w:szCs w:val="20"/>
        </w:rPr>
        <w:t xml:space="preserve"> and </w:t>
      </w:r>
      <w:bookmarkStart w:id="8" w:name="_Toc45388262"/>
      <w:r>
        <w:rPr>
          <w:rFonts w:ascii="Arial" w:eastAsia="Calibri" w:hAnsi="Arial" w:cs="Arial"/>
          <w:b/>
          <w:bCs/>
          <w:sz w:val="20"/>
          <w:szCs w:val="20"/>
        </w:rPr>
        <w:t>Fecal sample collection</w:t>
      </w:r>
      <w:bookmarkEnd w:id="8"/>
    </w:p>
    <w:p w14:paraId="5C8F9781" w14:textId="77777777" w:rsidR="00AA5B9B" w:rsidRDefault="00AA5B9B">
      <w:pPr>
        <w:pStyle w:val="NormalWeb"/>
        <w:ind w:firstLine="450"/>
        <w:jc w:val="both"/>
        <w:rPr>
          <w:rFonts w:ascii="Arial" w:eastAsia="Calibri" w:hAnsi="Arial" w:cs="Arial"/>
          <w:sz w:val="20"/>
          <w:szCs w:val="20"/>
        </w:rPr>
      </w:pPr>
      <w:r w:rsidRPr="00765733">
        <w:rPr>
          <w:rFonts w:ascii="Arial" w:eastAsia="Calibri" w:hAnsi="Arial" w:cs="Arial"/>
          <w:sz w:val="20"/>
          <w:szCs w:val="20"/>
        </w:rPr>
        <w:t>A cross-sectional study was conducted in Maseru District, covering three urban villages (Khubetsoana, Naleli, Stadium Area) and three semi-urban villages (Thaba-Bosiu, Roma, Sehlabeng). Ninety farmers were selected based on flock size categories (&lt;50, 50–100, &gt;100 birds). From each farm, pooled fresh fecal samples (10–15 birds per group) were collected in sterile containers and preserved in cooler boxes at 0–8 °C. A total of 100 samples were analyzed.</w:t>
      </w:r>
    </w:p>
    <w:p w14:paraId="67DC64CE" w14:textId="7B15830F" w:rsidR="000F7AD3" w:rsidRDefault="00AD2271">
      <w:pPr>
        <w:pStyle w:val="NormalWeb"/>
        <w:jc w:val="both"/>
        <w:rPr>
          <w:rFonts w:ascii="Arial" w:eastAsia="Calibri" w:hAnsi="Arial" w:cs="Arial"/>
          <w:b/>
          <w:bCs/>
          <w:sz w:val="20"/>
          <w:szCs w:val="20"/>
        </w:rPr>
      </w:pPr>
      <w:bookmarkStart w:id="9" w:name="_Toc45388263"/>
      <w:r>
        <w:rPr>
          <w:rFonts w:ascii="Arial" w:eastAsia="Calibri" w:hAnsi="Arial" w:cs="Arial"/>
          <w:b/>
          <w:bCs/>
          <w:sz w:val="20"/>
          <w:szCs w:val="20"/>
        </w:rPr>
        <w:t>2.3 Examination of fecal samples</w:t>
      </w:r>
      <w:bookmarkEnd w:id="9"/>
    </w:p>
    <w:p w14:paraId="77A3756C" w14:textId="77777777" w:rsidR="00AA5B9B" w:rsidRDefault="00AA5B9B">
      <w:pPr>
        <w:pStyle w:val="NormalWeb"/>
        <w:spacing w:before="0" w:after="0"/>
        <w:ind w:firstLine="450"/>
        <w:jc w:val="both"/>
        <w:rPr>
          <w:rFonts w:ascii="Arial" w:eastAsia="Calibri" w:hAnsi="Arial" w:cs="Arial"/>
          <w:sz w:val="20"/>
          <w:szCs w:val="20"/>
        </w:rPr>
      </w:pPr>
      <w:r w:rsidRPr="00765733">
        <w:rPr>
          <w:rFonts w:ascii="Arial" w:eastAsia="Calibri" w:hAnsi="Arial" w:cs="Arial"/>
          <w:sz w:val="20"/>
          <w:szCs w:val="20"/>
        </w:rPr>
        <w:t>Fecal egg counts (FEC) were performed using the McMaster flotation technique with saturated NaCl solution, following standard protocols (Zajac, 2012). Parasite eggs were identified morphologically under ×10 and ×40 magnification. The study identified nematodes (</w:t>
      </w:r>
      <w:r w:rsidRPr="00765733">
        <w:rPr>
          <w:rFonts w:ascii="Arial" w:eastAsia="Calibri" w:hAnsi="Arial" w:cs="Arial"/>
          <w:i/>
          <w:iCs/>
          <w:sz w:val="20"/>
          <w:szCs w:val="20"/>
        </w:rPr>
        <w:t>H. gallinarum, A. galli</w:t>
      </w:r>
      <w:r w:rsidRPr="00765733">
        <w:rPr>
          <w:rFonts w:ascii="Arial" w:eastAsia="Calibri" w:hAnsi="Arial" w:cs="Arial"/>
          <w:sz w:val="20"/>
          <w:szCs w:val="20"/>
        </w:rPr>
        <w:t>), cestodes (</w:t>
      </w:r>
      <w:r w:rsidRPr="00765733">
        <w:rPr>
          <w:rFonts w:ascii="Arial" w:eastAsia="Calibri" w:hAnsi="Arial" w:cs="Arial"/>
          <w:i/>
          <w:iCs/>
          <w:sz w:val="20"/>
          <w:szCs w:val="20"/>
        </w:rPr>
        <w:t>Raillietina</w:t>
      </w:r>
      <w:r w:rsidRPr="00765733">
        <w:rPr>
          <w:rFonts w:ascii="Arial" w:eastAsia="Calibri" w:hAnsi="Arial" w:cs="Arial"/>
          <w:sz w:val="20"/>
          <w:szCs w:val="20"/>
        </w:rPr>
        <w:t xml:space="preserve"> spp.), and </w:t>
      </w:r>
      <w:r w:rsidRPr="00765733">
        <w:rPr>
          <w:rFonts w:ascii="Arial" w:eastAsia="Calibri" w:hAnsi="Arial" w:cs="Arial"/>
          <w:i/>
          <w:iCs/>
          <w:sz w:val="20"/>
          <w:szCs w:val="20"/>
        </w:rPr>
        <w:t>Eimeria</w:t>
      </w:r>
      <w:r w:rsidRPr="00765733">
        <w:rPr>
          <w:rFonts w:ascii="Arial" w:eastAsia="Calibri" w:hAnsi="Arial" w:cs="Arial"/>
          <w:sz w:val="20"/>
          <w:szCs w:val="20"/>
        </w:rPr>
        <w:t xml:space="preserve"> spp. oocysts. Mixed infestations were recorded when more than one parasite group was present in a single sample.</w:t>
      </w:r>
    </w:p>
    <w:p w14:paraId="369E66D1" w14:textId="2D8F0942" w:rsidR="000F7AD3" w:rsidRDefault="00AD2271">
      <w:pPr>
        <w:pStyle w:val="NormalWeb"/>
        <w:spacing w:before="0" w:after="0"/>
        <w:jc w:val="both"/>
        <w:rPr>
          <w:rFonts w:ascii="Arial" w:eastAsia="Calibri" w:hAnsi="Arial" w:cs="Arial"/>
          <w:sz w:val="20"/>
          <w:szCs w:val="20"/>
        </w:rPr>
      </w:pPr>
      <w:bookmarkStart w:id="10" w:name="_Toc45388264"/>
      <w:r>
        <w:rPr>
          <w:rFonts w:ascii="Arial" w:eastAsia="Calibri" w:hAnsi="Arial" w:cs="Arial"/>
          <w:b/>
          <w:sz w:val="20"/>
          <w:szCs w:val="20"/>
        </w:rPr>
        <w:t>2.4 Data Analysis</w:t>
      </w:r>
      <w:bookmarkEnd w:id="10"/>
    </w:p>
    <w:p w14:paraId="6B6975C7" w14:textId="77777777" w:rsidR="000F7AD3" w:rsidRDefault="00AD2271">
      <w:pPr>
        <w:pStyle w:val="NormalWeb"/>
        <w:ind w:firstLine="450"/>
        <w:jc w:val="both"/>
        <w:rPr>
          <w:rFonts w:ascii="Arial" w:eastAsia="Calibri" w:hAnsi="Arial" w:cs="Arial"/>
          <w:sz w:val="20"/>
          <w:szCs w:val="20"/>
        </w:rPr>
      </w:pPr>
      <w:r>
        <w:rPr>
          <w:rFonts w:ascii="Arial" w:eastAsia="Calibri" w:hAnsi="Arial" w:cs="Arial"/>
          <w:sz w:val="20"/>
          <w:szCs w:val="20"/>
        </w:rPr>
        <w:t>Statistical analyses were conducted using the Statistical Package for Social Sciences (SPSS) version 20. Binary logistic regression was applied to assess the relationship between parasite prevalence, age, and various regions. The Generalized Estimating Equations (GEE) method was employed to analyze Fecal Egg Count (FEC), incorporating negative binomial and Poisson regressions. Odds Ratios were calculated to evaluate the strength and direction of associations. A p-value of less than 0.05 was considered statistically significant in all analyses.</w:t>
      </w:r>
    </w:p>
    <w:p w14:paraId="761FC6E5" w14:textId="77777777" w:rsidR="000F7AD3" w:rsidRDefault="000F7AD3">
      <w:pPr>
        <w:pStyle w:val="Body"/>
        <w:spacing w:after="0"/>
        <w:rPr>
          <w:rFonts w:ascii="Arial" w:hAnsi="Arial" w:cs="Arial"/>
        </w:rPr>
      </w:pPr>
    </w:p>
    <w:p w14:paraId="269DE384" w14:textId="77777777" w:rsidR="000F7AD3" w:rsidRDefault="00AD2271">
      <w:pPr>
        <w:pStyle w:val="Head1"/>
        <w:spacing w:after="0"/>
        <w:jc w:val="both"/>
        <w:rPr>
          <w:rFonts w:ascii="Arial" w:hAnsi="Arial" w:cs="Arial"/>
        </w:rPr>
      </w:pPr>
      <w:r>
        <w:rPr>
          <w:rFonts w:ascii="Arial" w:hAnsi="Arial" w:cs="Arial"/>
        </w:rPr>
        <w:t>3. results and discussion</w:t>
      </w:r>
    </w:p>
    <w:p w14:paraId="15FC9B65" w14:textId="72A0C7D4" w:rsidR="000F7AD3" w:rsidRDefault="00AD2271">
      <w:pPr>
        <w:pStyle w:val="NormalWeb"/>
        <w:spacing w:before="0" w:after="0"/>
        <w:jc w:val="both"/>
        <w:rPr>
          <w:rFonts w:ascii="Arial" w:eastAsia="Calibri" w:hAnsi="Arial" w:cs="Arial"/>
          <w:b/>
          <w:bCs/>
          <w:color w:val="000000"/>
          <w:sz w:val="20"/>
          <w:szCs w:val="20"/>
        </w:rPr>
      </w:pPr>
      <w:bookmarkStart w:id="11" w:name="_Toc2516"/>
      <w:bookmarkStart w:id="12" w:name="_Toc16963"/>
      <w:bookmarkStart w:id="13" w:name="_Toc12281"/>
      <w:bookmarkStart w:id="14" w:name="_Toc32409"/>
      <w:bookmarkStart w:id="15" w:name="_Toc15921"/>
      <w:bookmarkStart w:id="16" w:name="_Toc45388270"/>
      <w:r>
        <w:rPr>
          <w:rFonts w:ascii="Arial" w:eastAsia="Calibri" w:hAnsi="Arial" w:cs="Arial"/>
          <w:b/>
          <w:bCs/>
          <w:color w:val="000000"/>
          <w:sz w:val="20"/>
          <w:szCs w:val="20"/>
        </w:rPr>
        <w:t>3.1 The</w:t>
      </w:r>
      <w:bookmarkEnd w:id="11"/>
      <w:bookmarkEnd w:id="12"/>
      <w:bookmarkEnd w:id="13"/>
      <w:bookmarkEnd w:id="14"/>
      <w:bookmarkEnd w:id="15"/>
      <w:r>
        <w:rPr>
          <w:rFonts w:ascii="Arial" w:eastAsia="Calibri" w:hAnsi="Arial" w:cs="Arial"/>
          <w:b/>
          <w:bCs/>
          <w:color w:val="000000"/>
          <w:sz w:val="20"/>
          <w:szCs w:val="20"/>
        </w:rPr>
        <w:t xml:space="preserve"> effect of age on FEC of Nematodes, Coccidia and Cestodes in broilers</w:t>
      </w:r>
      <w:bookmarkEnd w:id="16"/>
    </w:p>
    <w:p w14:paraId="27C3B373" w14:textId="6B9D785B" w:rsidR="000F7AD3" w:rsidRDefault="00AD2271" w:rsidP="00F46E2A">
      <w:pPr>
        <w:pStyle w:val="NormalWeb"/>
        <w:spacing w:after="0"/>
        <w:ind w:firstLine="450"/>
        <w:jc w:val="both"/>
        <w:rPr>
          <w:rFonts w:ascii="Arial" w:eastAsia="Calibri" w:hAnsi="Arial" w:cs="Arial"/>
          <w:color w:val="000000"/>
          <w:sz w:val="20"/>
          <w:szCs w:val="20"/>
        </w:rPr>
      </w:pPr>
      <w:r>
        <w:rPr>
          <w:rFonts w:ascii="Arial" w:eastAsia="Calibri" w:hAnsi="Arial" w:cs="Arial"/>
          <w:color w:val="000000"/>
          <w:sz w:val="20"/>
          <w:szCs w:val="20"/>
        </w:rPr>
        <w:t xml:space="preserve">In the evaluation of age as a risk factor, a statistically significant difference (P≤0.05) was observed between the infection rates of gastrointestinal parasites (GIPs) and the age of broiler chickens. The predominant parasitic infections identified were nematodes and coccidia, </w:t>
      </w:r>
      <w:r w:rsidR="00CD78C6" w:rsidRPr="00765733">
        <w:rPr>
          <w:rFonts w:ascii="Arial" w:eastAsia="Calibri" w:hAnsi="Arial" w:cs="Arial"/>
          <w:color w:val="000000"/>
          <w:sz w:val="20"/>
          <w:szCs w:val="20"/>
        </w:rPr>
        <w:t xml:space="preserve">with the highest infection rates observed in 5-week-old broilers. The </w:t>
      </w:r>
      <w:r w:rsidR="00CD78C6" w:rsidRPr="00765733">
        <w:rPr>
          <w:rFonts w:ascii="Arial" w:eastAsia="Calibri" w:hAnsi="Arial" w:cs="Arial"/>
          <w:i/>
          <w:iCs/>
          <w:color w:val="000000"/>
          <w:sz w:val="20"/>
          <w:szCs w:val="20"/>
        </w:rPr>
        <w:t>Exp.B</w:t>
      </w:r>
      <w:r w:rsidR="00CD78C6" w:rsidRPr="00765733">
        <w:rPr>
          <w:rFonts w:ascii="Arial" w:eastAsia="Calibri" w:hAnsi="Arial" w:cs="Arial"/>
          <w:color w:val="000000"/>
          <w:sz w:val="20"/>
          <w:szCs w:val="20"/>
        </w:rPr>
        <w:t xml:space="preserve"> values indicated that broilers aged 5 weeks had 1.356 times higher odds of nematode infection compared to other age groups, while the likelihood of coccidia infection was 2.282 times higher than in broilers aged 3, 4, or 6 weeks.</w:t>
      </w:r>
      <w:r w:rsidR="00F46E2A">
        <w:rPr>
          <w:rFonts w:ascii="Arial" w:eastAsia="Calibri" w:hAnsi="Arial" w:cs="Arial"/>
          <w:color w:val="000000"/>
          <w:sz w:val="20"/>
          <w:szCs w:val="20"/>
        </w:rPr>
        <w:t xml:space="preserve"> </w:t>
      </w:r>
      <w:r>
        <w:rPr>
          <w:rFonts w:ascii="Arial" w:eastAsia="Calibri" w:hAnsi="Arial" w:cs="Arial"/>
          <w:color w:val="000000"/>
          <w:sz w:val="20"/>
          <w:szCs w:val="20"/>
        </w:rPr>
        <w:t>In broiler chickens at six weeks of age, a significant difference (p≤0</w:t>
      </w:r>
      <w:r w:rsidRPr="00AA5B9B">
        <w:rPr>
          <w:rFonts w:ascii="Arial" w:eastAsia="Calibri" w:hAnsi="Arial" w:cs="Arial"/>
          <w:color w:val="000000"/>
          <w:sz w:val="20"/>
          <w:szCs w:val="20"/>
        </w:rPr>
        <w:t xml:space="preserve">.05) was observed </w:t>
      </w:r>
      <w:r w:rsidR="003F28C2" w:rsidRPr="00AA5B9B">
        <w:rPr>
          <w:rFonts w:ascii="Arial" w:eastAsia="Calibri" w:hAnsi="Arial" w:cs="Arial"/>
          <w:color w:val="000000"/>
          <w:sz w:val="20"/>
          <w:szCs w:val="20"/>
        </w:rPr>
        <w:t xml:space="preserve">in the incidence of </w:t>
      </w:r>
      <w:r w:rsidRPr="00AA5B9B">
        <w:rPr>
          <w:rFonts w:ascii="Arial" w:eastAsia="Calibri" w:hAnsi="Arial" w:cs="Arial"/>
          <w:color w:val="000000"/>
          <w:sz w:val="20"/>
          <w:szCs w:val="20"/>
        </w:rPr>
        <w:t xml:space="preserve">gastrointestinal infections caused by nematodes and cestodes compared to broilers aged three, four, and five weeks. Specifically, the likelihood of infection with gastrointestinal nematodes and cestodes in six-week-old broilers was found to be 1.0 times and 1.0 times higher, respectively, than in those aged three, four, and five weeks. The probabilities of infection for broilers at ages three, four, five, and six weeks were calculated as 0.259, 0.114, 0.828, and 1.000 respectively. </w:t>
      </w:r>
      <w:r w:rsidR="00AA5B9B" w:rsidRPr="00765733">
        <w:rPr>
          <w:rFonts w:ascii="Arial" w:hAnsi="Arial" w:cs="Arial"/>
          <w:sz w:val="20"/>
          <w:szCs w:val="20"/>
          <w:lang w:eastAsia="en-GB"/>
        </w:rPr>
        <w:t>Broilers aged 5–6 weeks had significantly higher FECs for nematodes and coccidia than those aged 3–4 weeks (p≤0.05</w:t>
      </w:r>
      <w:r w:rsidR="00C424AC" w:rsidRPr="00765733">
        <w:rPr>
          <w:rFonts w:ascii="Arial" w:hAnsi="Arial" w:cs="Arial"/>
          <w:sz w:val="20"/>
          <w:szCs w:val="20"/>
          <w:lang w:eastAsia="en-GB"/>
        </w:rPr>
        <w:t>).</w:t>
      </w:r>
      <w:r w:rsidR="00C424AC" w:rsidRPr="00AA5B9B">
        <w:rPr>
          <w:rFonts w:ascii="Arial" w:eastAsia="Calibri" w:hAnsi="Arial" w:cs="Arial"/>
          <w:color w:val="000000"/>
          <w:sz w:val="20"/>
          <w:szCs w:val="20"/>
        </w:rPr>
        <w:t xml:space="preserve"> The</w:t>
      </w:r>
      <w:r w:rsidRPr="00AA5B9B">
        <w:rPr>
          <w:rFonts w:ascii="Arial" w:eastAsia="Calibri" w:hAnsi="Arial" w:cs="Arial"/>
          <w:color w:val="000000"/>
          <w:sz w:val="20"/>
          <w:szCs w:val="20"/>
        </w:rPr>
        <w:t xml:space="preserve"> findings of the study indicated that the most common endoparasite infections affecting poultry were attributable to cestodes, nematodes, and coccidiosis caused by </w:t>
      </w:r>
      <w:r w:rsidRPr="00AA5B9B">
        <w:rPr>
          <w:rFonts w:ascii="Arial" w:eastAsia="Calibri" w:hAnsi="Arial" w:cs="Arial"/>
          <w:i/>
          <w:iCs/>
          <w:color w:val="000000"/>
          <w:sz w:val="20"/>
          <w:szCs w:val="20"/>
        </w:rPr>
        <w:t>Eimeria</w:t>
      </w:r>
      <w:r w:rsidRPr="00AA5B9B">
        <w:rPr>
          <w:rFonts w:ascii="Arial" w:eastAsia="Calibri" w:hAnsi="Arial" w:cs="Arial"/>
          <w:color w:val="000000"/>
          <w:sz w:val="20"/>
          <w:szCs w:val="20"/>
        </w:rPr>
        <w:t xml:space="preserve"> species. Additionally, infections from oviduct flukes contribute to pathogenicity, resulting in morbidity, mortality, and significant economic losses</w:t>
      </w:r>
      <w:r>
        <w:rPr>
          <w:rFonts w:ascii="Arial" w:eastAsia="Calibri" w:hAnsi="Arial" w:cs="Arial"/>
          <w:color w:val="000000"/>
          <w:sz w:val="20"/>
          <w:szCs w:val="20"/>
        </w:rPr>
        <w:t xml:space="preserve">. Furthermore, Adhikari et al. (2020) noted that despite advancements in prevention and control measures through improved management practices and nutritional strategies, coccidiosis continues to pose a major challenge within the poultry industry. </w:t>
      </w:r>
    </w:p>
    <w:p w14:paraId="2E3AEF38" w14:textId="77777777" w:rsidR="00287EC4" w:rsidRDefault="00287EC4" w:rsidP="00F46E2A">
      <w:pPr>
        <w:pStyle w:val="NormalWeb"/>
        <w:spacing w:after="0"/>
        <w:ind w:firstLine="450"/>
        <w:jc w:val="both"/>
        <w:rPr>
          <w:rFonts w:ascii="Arial" w:eastAsia="Calibri" w:hAnsi="Arial" w:cs="Arial"/>
          <w:color w:val="000000"/>
          <w:sz w:val="20"/>
          <w:szCs w:val="20"/>
        </w:rPr>
      </w:pPr>
    </w:p>
    <w:p w14:paraId="51223FC7" w14:textId="77777777" w:rsidR="000F7AD3" w:rsidRDefault="00AD2271">
      <w:pPr>
        <w:pStyle w:val="NormalWeb"/>
        <w:spacing w:after="0"/>
        <w:jc w:val="both"/>
        <w:rPr>
          <w:rFonts w:ascii="Arial" w:eastAsia="Calibri" w:hAnsi="Arial" w:cs="Arial"/>
          <w:color w:val="000000"/>
          <w:sz w:val="20"/>
          <w:szCs w:val="20"/>
        </w:rPr>
      </w:pPr>
      <w:r>
        <w:rPr>
          <w:rFonts w:ascii="Arial" w:eastAsia="Calibri" w:hAnsi="Arial" w:cs="Arial"/>
          <w:b/>
          <w:color w:val="000000"/>
          <w:sz w:val="20"/>
          <w:szCs w:val="20"/>
        </w:rPr>
        <w:t>Table 1:</w:t>
      </w:r>
      <w:r>
        <w:rPr>
          <w:rFonts w:ascii="Arial" w:eastAsia="Calibri" w:hAnsi="Arial" w:cs="Arial"/>
          <w:color w:val="000000"/>
          <w:sz w:val="20"/>
          <w:szCs w:val="20"/>
        </w:rPr>
        <w:t xml:space="preserve">  The effect of age on mean FEC of Nematodes, Coccidia and Cestodes in broilers </w:t>
      </w:r>
    </w:p>
    <w:tbl>
      <w:tblPr>
        <w:tblW w:w="0" w:type="auto"/>
        <w:jc w:val="center"/>
        <w:tblBorders>
          <w:top w:val="single" w:sz="4" w:space="0" w:color="auto"/>
          <w:bottom w:val="single" w:sz="4" w:space="0" w:color="auto"/>
        </w:tblBorders>
        <w:tblLook w:val="04A0" w:firstRow="1" w:lastRow="0" w:firstColumn="1" w:lastColumn="0" w:noHBand="0" w:noVBand="1"/>
      </w:tblPr>
      <w:tblGrid>
        <w:gridCol w:w="1819"/>
        <w:gridCol w:w="1971"/>
        <w:gridCol w:w="2702"/>
        <w:gridCol w:w="1668"/>
        <w:gridCol w:w="1535"/>
      </w:tblGrid>
      <w:tr w:rsidR="000F7AD3" w14:paraId="7C64389C" w14:textId="77777777">
        <w:trPr>
          <w:trHeight w:val="303"/>
          <w:jc w:val="center"/>
        </w:trPr>
        <w:tc>
          <w:tcPr>
            <w:tcW w:w="1819" w:type="dxa"/>
            <w:tcBorders>
              <w:top w:val="single" w:sz="4" w:space="0" w:color="auto"/>
              <w:bottom w:val="single" w:sz="4" w:space="0" w:color="auto"/>
            </w:tcBorders>
          </w:tcPr>
          <w:p w14:paraId="0C69EA44" w14:textId="77777777" w:rsidR="000F7AD3" w:rsidRDefault="00AD2271">
            <w:pPr>
              <w:pStyle w:val="NormalWeb"/>
              <w:rPr>
                <w:rFonts w:ascii="Arial" w:eastAsia="Calibri" w:hAnsi="Arial" w:cs="Arial"/>
                <w:b/>
                <w:color w:val="000000"/>
                <w:sz w:val="20"/>
                <w:szCs w:val="20"/>
              </w:rPr>
            </w:pPr>
            <w:r>
              <w:rPr>
                <w:rFonts w:ascii="Arial" w:eastAsia="Calibri" w:hAnsi="Arial" w:cs="Arial"/>
                <w:b/>
                <w:color w:val="000000"/>
                <w:sz w:val="20"/>
                <w:szCs w:val="20"/>
              </w:rPr>
              <w:t>Age</w:t>
            </w:r>
          </w:p>
        </w:tc>
        <w:tc>
          <w:tcPr>
            <w:tcW w:w="1971" w:type="dxa"/>
            <w:tcBorders>
              <w:top w:val="single" w:sz="4" w:space="0" w:color="auto"/>
              <w:bottom w:val="single" w:sz="4" w:space="0" w:color="auto"/>
            </w:tcBorders>
          </w:tcPr>
          <w:p w14:paraId="56F9350E" w14:textId="77777777" w:rsidR="000F7AD3" w:rsidRDefault="00AD2271">
            <w:pPr>
              <w:pStyle w:val="NormalWeb"/>
              <w:rPr>
                <w:rFonts w:ascii="Arial" w:eastAsia="Calibri" w:hAnsi="Arial" w:cs="Arial"/>
                <w:b/>
                <w:color w:val="000000"/>
                <w:sz w:val="20"/>
                <w:szCs w:val="20"/>
              </w:rPr>
            </w:pPr>
            <w:r>
              <w:rPr>
                <w:rFonts w:ascii="Arial" w:eastAsia="Calibri" w:hAnsi="Arial" w:cs="Arial"/>
                <w:b/>
                <w:color w:val="000000"/>
                <w:sz w:val="20"/>
                <w:szCs w:val="20"/>
              </w:rPr>
              <w:t>Samples examined</w:t>
            </w:r>
          </w:p>
        </w:tc>
        <w:tc>
          <w:tcPr>
            <w:tcW w:w="2702" w:type="dxa"/>
            <w:tcBorders>
              <w:top w:val="single" w:sz="4" w:space="0" w:color="auto"/>
              <w:bottom w:val="single" w:sz="4" w:space="0" w:color="auto"/>
            </w:tcBorders>
          </w:tcPr>
          <w:p w14:paraId="609027D7" w14:textId="77777777" w:rsidR="000F7AD3" w:rsidRDefault="00AD2271">
            <w:pPr>
              <w:pStyle w:val="NormalWeb"/>
              <w:rPr>
                <w:rFonts w:ascii="Arial" w:eastAsia="Calibri" w:hAnsi="Arial" w:cs="Arial"/>
                <w:b/>
                <w:color w:val="000000"/>
                <w:sz w:val="20"/>
                <w:szCs w:val="20"/>
              </w:rPr>
            </w:pPr>
            <w:r>
              <w:rPr>
                <w:rFonts w:ascii="Arial" w:eastAsia="Calibri" w:hAnsi="Arial" w:cs="Arial"/>
                <w:b/>
                <w:color w:val="000000"/>
                <w:sz w:val="20"/>
                <w:szCs w:val="20"/>
              </w:rPr>
              <w:t>EMM</w:t>
            </w:r>
          </w:p>
        </w:tc>
        <w:tc>
          <w:tcPr>
            <w:tcW w:w="1668" w:type="dxa"/>
            <w:tcBorders>
              <w:top w:val="single" w:sz="4" w:space="0" w:color="auto"/>
              <w:bottom w:val="single" w:sz="4" w:space="0" w:color="auto"/>
            </w:tcBorders>
          </w:tcPr>
          <w:p w14:paraId="7C254384" w14:textId="77777777" w:rsidR="000F7AD3" w:rsidRDefault="00AD2271">
            <w:pPr>
              <w:pStyle w:val="NormalWeb"/>
              <w:rPr>
                <w:rFonts w:ascii="Arial" w:eastAsia="Calibri" w:hAnsi="Arial" w:cs="Arial"/>
                <w:b/>
                <w:color w:val="000000"/>
                <w:sz w:val="20"/>
                <w:szCs w:val="20"/>
              </w:rPr>
            </w:pPr>
            <w:proofErr w:type="spellStart"/>
            <w:r>
              <w:rPr>
                <w:rFonts w:ascii="Arial" w:eastAsia="Calibri" w:hAnsi="Arial" w:cs="Arial"/>
                <w:b/>
                <w:color w:val="000000"/>
                <w:sz w:val="20"/>
                <w:szCs w:val="20"/>
              </w:rPr>
              <w:t>Exp.B</w:t>
            </w:r>
            <w:proofErr w:type="spellEnd"/>
          </w:p>
        </w:tc>
        <w:tc>
          <w:tcPr>
            <w:tcW w:w="1535" w:type="dxa"/>
            <w:tcBorders>
              <w:top w:val="single" w:sz="4" w:space="0" w:color="auto"/>
              <w:bottom w:val="single" w:sz="4" w:space="0" w:color="auto"/>
            </w:tcBorders>
          </w:tcPr>
          <w:p w14:paraId="7DEDA003" w14:textId="77777777" w:rsidR="000F7AD3" w:rsidRDefault="00AD2271">
            <w:pPr>
              <w:pStyle w:val="NormalWeb"/>
              <w:rPr>
                <w:rFonts w:ascii="Arial" w:eastAsia="Calibri" w:hAnsi="Arial" w:cs="Arial"/>
                <w:b/>
                <w:color w:val="000000"/>
                <w:sz w:val="20"/>
                <w:szCs w:val="20"/>
              </w:rPr>
            </w:pPr>
            <w:r>
              <w:rPr>
                <w:rFonts w:ascii="Arial" w:eastAsia="Calibri" w:hAnsi="Arial" w:cs="Arial"/>
                <w:b/>
                <w:color w:val="000000"/>
                <w:sz w:val="20"/>
                <w:szCs w:val="20"/>
              </w:rPr>
              <w:t>Sig.</w:t>
            </w:r>
          </w:p>
        </w:tc>
      </w:tr>
      <w:tr w:rsidR="000F7AD3" w14:paraId="5BCC099C" w14:textId="77777777">
        <w:trPr>
          <w:trHeight w:val="364"/>
          <w:jc w:val="center"/>
        </w:trPr>
        <w:tc>
          <w:tcPr>
            <w:tcW w:w="1819" w:type="dxa"/>
            <w:tcBorders>
              <w:top w:val="single" w:sz="4" w:space="0" w:color="auto"/>
              <w:bottom w:val="single" w:sz="4" w:space="0" w:color="auto"/>
            </w:tcBorders>
          </w:tcPr>
          <w:p w14:paraId="2D984364" w14:textId="77777777" w:rsidR="000F7AD3" w:rsidRDefault="000F7AD3">
            <w:pPr>
              <w:pStyle w:val="NormalWeb"/>
              <w:ind w:firstLine="450"/>
              <w:rPr>
                <w:rFonts w:ascii="Arial" w:eastAsia="Calibri" w:hAnsi="Arial" w:cs="Arial"/>
                <w:b/>
                <w:color w:val="000000"/>
                <w:sz w:val="20"/>
                <w:szCs w:val="20"/>
              </w:rPr>
            </w:pPr>
          </w:p>
        </w:tc>
        <w:tc>
          <w:tcPr>
            <w:tcW w:w="1971" w:type="dxa"/>
            <w:tcBorders>
              <w:top w:val="single" w:sz="4" w:space="0" w:color="auto"/>
              <w:bottom w:val="single" w:sz="4" w:space="0" w:color="auto"/>
            </w:tcBorders>
          </w:tcPr>
          <w:p w14:paraId="6C8C9961" w14:textId="77777777" w:rsidR="000F7AD3" w:rsidRDefault="000F7AD3">
            <w:pPr>
              <w:pStyle w:val="NormalWeb"/>
              <w:ind w:firstLine="450"/>
              <w:rPr>
                <w:rFonts w:ascii="Arial" w:eastAsia="Calibri" w:hAnsi="Arial" w:cs="Arial"/>
                <w:color w:val="000000"/>
                <w:sz w:val="20"/>
                <w:szCs w:val="20"/>
              </w:rPr>
            </w:pPr>
          </w:p>
        </w:tc>
        <w:tc>
          <w:tcPr>
            <w:tcW w:w="2702" w:type="dxa"/>
            <w:tcBorders>
              <w:top w:val="single" w:sz="4" w:space="0" w:color="auto"/>
              <w:bottom w:val="single" w:sz="4" w:space="0" w:color="auto"/>
            </w:tcBorders>
          </w:tcPr>
          <w:p w14:paraId="44B47A52" w14:textId="77777777" w:rsidR="000F7AD3" w:rsidRDefault="00AD2271">
            <w:pPr>
              <w:pStyle w:val="NormalWeb"/>
              <w:jc w:val="center"/>
              <w:rPr>
                <w:rFonts w:ascii="Arial" w:eastAsia="Calibri" w:hAnsi="Arial" w:cs="Arial"/>
                <w:b/>
                <w:color w:val="000000"/>
                <w:sz w:val="20"/>
                <w:szCs w:val="20"/>
              </w:rPr>
            </w:pPr>
            <w:r>
              <w:rPr>
                <w:rFonts w:ascii="Arial" w:eastAsia="Calibri" w:hAnsi="Arial" w:cs="Arial"/>
                <w:b/>
                <w:color w:val="000000"/>
                <w:sz w:val="20"/>
                <w:szCs w:val="20"/>
              </w:rPr>
              <w:t>Nematodes</w:t>
            </w:r>
          </w:p>
        </w:tc>
        <w:tc>
          <w:tcPr>
            <w:tcW w:w="1668" w:type="dxa"/>
            <w:tcBorders>
              <w:top w:val="single" w:sz="4" w:space="0" w:color="auto"/>
              <w:bottom w:val="single" w:sz="4" w:space="0" w:color="auto"/>
            </w:tcBorders>
          </w:tcPr>
          <w:p w14:paraId="64DEB40D" w14:textId="77777777" w:rsidR="000F7AD3" w:rsidRDefault="000F7AD3">
            <w:pPr>
              <w:pStyle w:val="NormalWeb"/>
              <w:ind w:firstLine="450"/>
              <w:rPr>
                <w:rFonts w:ascii="Arial" w:eastAsia="Calibri" w:hAnsi="Arial" w:cs="Arial"/>
                <w:color w:val="000000"/>
                <w:sz w:val="20"/>
                <w:szCs w:val="20"/>
              </w:rPr>
            </w:pPr>
          </w:p>
        </w:tc>
        <w:tc>
          <w:tcPr>
            <w:tcW w:w="1535" w:type="dxa"/>
            <w:tcBorders>
              <w:top w:val="single" w:sz="4" w:space="0" w:color="auto"/>
              <w:bottom w:val="single" w:sz="4" w:space="0" w:color="auto"/>
            </w:tcBorders>
          </w:tcPr>
          <w:p w14:paraId="548ACEA3" w14:textId="77777777" w:rsidR="000F7AD3" w:rsidRDefault="000F7AD3">
            <w:pPr>
              <w:pStyle w:val="NormalWeb"/>
              <w:ind w:firstLine="450"/>
              <w:rPr>
                <w:rFonts w:ascii="Arial" w:eastAsia="Calibri" w:hAnsi="Arial" w:cs="Arial"/>
                <w:color w:val="000000"/>
                <w:sz w:val="20"/>
                <w:szCs w:val="20"/>
              </w:rPr>
            </w:pPr>
          </w:p>
        </w:tc>
      </w:tr>
      <w:tr w:rsidR="000F7AD3" w14:paraId="653C8FBD" w14:textId="77777777">
        <w:trPr>
          <w:trHeight w:val="311"/>
          <w:jc w:val="center"/>
        </w:trPr>
        <w:tc>
          <w:tcPr>
            <w:tcW w:w="1819" w:type="dxa"/>
            <w:tcBorders>
              <w:top w:val="single" w:sz="4" w:space="0" w:color="auto"/>
            </w:tcBorders>
          </w:tcPr>
          <w:p w14:paraId="7E054E0A" w14:textId="77777777" w:rsidR="000F7AD3" w:rsidRDefault="00AD2271">
            <w:pPr>
              <w:pStyle w:val="NormalWeb"/>
              <w:rPr>
                <w:rFonts w:ascii="Arial" w:eastAsia="Calibri" w:hAnsi="Arial" w:cs="Arial"/>
                <w:b/>
                <w:color w:val="000000"/>
                <w:sz w:val="20"/>
                <w:szCs w:val="20"/>
              </w:rPr>
            </w:pPr>
            <w:r>
              <w:rPr>
                <w:rFonts w:ascii="Arial" w:eastAsia="Calibri" w:hAnsi="Arial" w:cs="Arial"/>
                <w:b/>
                <w:color w:val="000000"/>
                <w:sz w:val="20"/>
                <w:szCs w:val="20"/>
              </w:rPr>
              <w:lastRenderedPageBreak/>
              <w:t>3 weeks</w:t>
            </w:r>
          </w:p>
        </w:tc>
        <w:tc>
          <w:tcPr>
            <w:tcW w:w="1971" w:type="dxa"/>
            <w:tcBorders>
              <w:top w:val="single" w:sz="4" w:space="0" w:color="auto"/>
            </w:tcBorders>
          </w:tcPr>
          <w:p w14:paraId="6B761955" w14:textId="77777777" w:rsidR="000F7AD3" w:rsidRDefault="00AD2271">
            <w:pPr>
              <w:pStyle w:val="NormalWeb"/>
              <w:ind w:firstLine="450"/>
              <w:rPr>
                <w:rFonts w:ascii="Arial" w:eastAsia="Calibri" w:hAnsi="Arial" w:cs="Arial"/>
                <w:color w:val="000000"/>
                <w:sz w:val="20"/>
                <w:szCs w:val="20"/>
              </w:rPr>
            </w:pPr>
            <w:r>
              <w:rPr>
                <w:rFonts w:ascii="Arial" w:eastAsia="Calibri" w:hAnsi="Arial" w:cs="Arial"/>
                <w:color w:val="000000"/>
                <w:sz w:val="20"/>
                <w:szCs w:val="20"/>
              </w:rPr>
              <w:t>25</w:t>
            </w:r>
          </w:p>
        </w:tc>
        <w:tc>
          <w:tcPr>
            <w:tcW w:w="2702" w:type="dxa"/>
            <w:tcBorders>
              <w:top w:val="single" w:sz="4" w:space="0" w:color="auto"/>
            </w:tcBorders>
          </w:tcPr>
          <w:p w14:paraId="321C7A87" w14:textId="77777777" w:rsidR="000F7AD3" w:rsidRDefault="00AD2271">
            <w:pPr>
              <w:pStyle w:val="NormalWeb"/>
              <w:ind w:firstLine="450"/>
              <w:rPr>
                <w:rFonts w:ascii="Arial" w:eastAsia="Calibri" w:hAnsi="Arial" w:cs="Arial"/>
                <w:color w:val="000000"/>
                <w:sz w:val="20"/>
                <w:szCs w:val="20"/>
                <w:vertAlign w:val="superscript"/>
              </w:rPr>
            </w:pPr>
            <w:r>
              <w:rPr>
                <w:rFonts w:ascii="Arial" w:eastAsia="Calibri" w:hAnsi="Arial" w:cs="Arial"/>
                <w:color w:val="000000"/>
                <w:sz w:val="20"/>
                <w:szCs w:val="20"/>
              </w:rPr>
              <w:t>114.00</w:t>
            </w:r>
            <w:r>
              <w:rPr>
                <w:rFonts w:ascii="Arial" w:eastAsia="Calibri" w:hAnsi="Arial" w:cs="Arial"/>
                <w:color w:val="000000"/>
                <w:sz w:val="20"/>
                <w:szCs w:val="20"/>
                <w:vertAlign w:val="superscript"/>
              </w:rPr>
              <w:t>a</w:t>
            </w:r>
          </w:p>
        </w:tc>
        <w:tc>
          <w:tcPr>
            <w:tcW w:w="1668" w:type="dxa"/>
            <w:tcBorders>
              <w:top w:val="single" w:sz="4" w:space="0" w:color="auto"/>
            </w:tcBorders>
          </w:tcPr>
          <w:p w14:paraId="04AB8AF4" w14:textId="77777777" w:rsidR="000F7AD3" w:rsidRDefault="00AD2271">
            <w:pPr>
              <w:pStyle w:val="NormalWeb"/>
              <w:rPr>
                <w:rFonts w:ascii="Arial" w:eastAsia="Calibri" w:hAnsi="Arial" w:cs="Arial"/>
                <w:color w:val="000000"/>
                <w:sz w:val="20"/>
                <w:szCs w:val="20"/>
              </w:rPr>
            </w:pPr>
            <w:r>
              <w:rPr>
                <w:rFonts w:ascii="Arial" w:eastAsia="Calibri" w:hAnsi="Arial" w:cs="Arial"/>
                <w:color w:val="000000"/>
                <w:sz w:val="20"/>
                <w:szCs w:val="20"/>
              </w:rPr>
              <w:t>0.259</w:t>
            </w:r>
          </w:p>
        </w:tc>
        <w:tc>
          <w:tcPr>
            <w:tcW w:w="1535" w:type="dxa"/>
            <w:tcBorders>
              <w:top w:val="single" w:sz="4" w:space="0" w:color="auto"/>
            </w:tcBorders>
          </w:tcPr>
          <w:p w14:paraId="28DD1B6B" w14:textId="77777777" w:rsidR="000F7AD3" w:rsidRDefault="000F7AD3">
            <w:pPr>
              <w:pStyle w:val="NormalWeb"/>
              <w:ind w:firstLine="450"/>
              <w:rPr>
                <w:rFonts w:ascii="Arial" w:eastAsia="Calibri" w:hAnsi="Arial" w:cs="Arial"/>
                <w:color w:val="000000"/>
                <w:sz w:val="20"/>
                <w:szCs w:val="20"/>
              </w:rPr>
            </w:pPr>
          </w:p>
        </w:tc>
      </w:tr>
      <w:tr w:rsidR="000F7AD3" w14:paraId="3EE5B3E0" w14:textId="77777777">
        <w:trPr>
          <w:trHeight w:val="288"/>
          <w:jc w:val="center"/>
        </w:trPr>
        <w:tc>
          <w:tcPr>
            <w:tcW w:w="1819" w:type="dxa"/>
          </w:tcPr>
          <w:p w14:paraId="72DD95AF" w14:textId="77777777" w:rsidR="000F7AD3" w:rsidRDefault="00AD2271">
            <w:pPr>
              <w:pStyle w:val="NormalWeb"/>
              <w:rPr>
                <w:rFonts w:ascii="Arial" w:eastAsia="Calibri" w:hAnsi="Arial" w:cs="Arial"/>
                <w:b/>
                <w:color w:val="000000"/>
                <w:sz w:val="20"/>
                <w:szCs w:val="20"/>
              </w:rPr>
            </w:pPr>
            <w:r>
              <w:rPr>
                <w:rFonts w:ascii="Arial" w:eastAsia="Calibri" w:hAnsi="Arial" w:cs="Arial"/>
                <w:b/>
                <w:color w:val="000000"/>
                <w:sz w:val="20"/>
                <w:szCs w:val="20"/>
              </w:rPr>
              <w:t>4 weeks</w:t>
            </w:r>
          </w:p>
        </w:tc>
        <w:tc>
          <w:tcPr>
            <w:tcW w:w="1971" w:type="dxa"/>
          </w:tcPr>
          <w:p w14:paraId="38638FEA" w14:textId="77777777" w:rsidR="000F7AD3" w:rsidRDefault="00AD2271">
            <w:pPr>
              <w:pStyle w:val="NormalWeb"/>
              <w:ind w:firstLine="450"/>
              <w:rPr>
                <w:rFonts w:ascii="Arial" w:eastAsia="Calibri" w:hAnsi="Arial" w:cs="Arial"/>
                <w:color w:val="000000"/>
                <w:sz w:val="20"/>
                <w:szCs w:val="20"/>
              </w:rPr>
            </w:pPr>
            <w:r>
              <w:rPr>
                <w:rFonts w:ascii="Arial" w:eastAsia="Calibri" w:hAnsi="Arial" w:cs="Arial"/>
                <w:color w:val="000000"/>
                <w:sz w:val="20"/>
                <w:szCs w:val="20"/>
              </w:rPr>
              <w:t>25</w:t>
            </w:r>
          </w:p>
        </w:tc>
        <w:tc>
          <w:tcPr>
            <w:tcW w:w="2702" w:type="dxa"/>
          </w:tcPr>
          <w:p w14:paraId="0A06DCD0" w14:textId="77777777" w:rsidR="000F7AD3" w:rsidRDefault="00AD2271">
            <w:pPr>
              <w:pStyle w:val="NormalWeb"/>
              <w:ind w:firstLine="450"/>
              <w:rPr>
                <w:rFonts w:ascii="Arial" w:eastAsia="Calibri" w:hAnsi="Arial" w:cs="Arial"/>
                <w:color w:val="000000"/>
                <w:sz w:val="20"/>
                <w:szCs w:val="20"/>
                <w:vertAlign w:val="superscript"/>
              </w:rPr>
            </w:pPr>
            <w:r>
              <w:rPr>
                <w:rFonts w:ascii="Arial" w:eastAsia="Calibri" w:hAnsi="Arial" w:cs="Arial"/>
                <w:color w:val="000000"/>
                <w:sz w:val="20"/>
                <w:szCs w:val="20"/>
              </w:rPr>
              <w:t>50.00</w:t>
            </w:r>
            <w:r>
              <w:rPr>
                <w:rFonts w:ascii="Arial" w:eastAsia="Calibri" w:hAnsi="Arial" w:cs="Arial"/>
                <w:color w:val="000000"/>
                <w:sz w:val="20"/>
                <w:szCs w:val="20"/>
                <w:vertAlign w:val="superscript"/>
              </w:rPr>
              <w:t>b</w:t>
            </w:r>
          </w:p>
        </w:tc>
        <w:tc>
          <w:tcPr>
            <w:tcW w:w="1668" w:type="dxa"/>
          </w:tcPr>
          <w:p w14:paraId="0BA75F27" w14:textId="77777777" w:rsidR="000F7AD3" w:rsidRDefault="00AD2271">
            <w:pPr>
              <w:pStyle w:val="NormalWeb"/>
              <w:rPr>
                <w:rFonts w:ascii="Arial" w:eastAsia="Calibri" w:hAnsi="Arial" w:cs="Arial"/>
                <w:color w:val="000000"/>
                <w:sz w:val="20"/>
                <w:szCs w:val="20"/>
              </w:rPr>
            </w:pPr>
            <w:r>
              <w:rPr>
                <w:rFonts w:ascii="Arial" w:eastAsia="Calibri" w:hAnsi="Arial" w:cs="Arial"/>
                <w:color w:val="000000"/>
                <w:sz w:val="20"/>
                <w:szCs w:val="20"/>
              </w:rPr>
              <w:t>0.114</w:t>
            </w:r>
          </w:p>
        </w:tc>
        <w:tc>
          <w:tcPr>
            <w:tcW w:w="1535" w:type="dxa"/>
          </w:tcPr>
          <w:p w14:paraId="5DE583AD" w14:textId="77777777" w:rsidR="000F7AD3" w:rsidRDefault="00AD2271">
            <w:pPr>
              <w:pStyle w:val="NormalWeb"/>
              <w:rPr>
                <w:rFonts w:ascii="Arial" w:eastAsia="Calibri" w:hAnsi="Arial" w:cs="Arial"/>
                <w:color w:val="000000"/>
                <w:sz w:val="20"/>
                <w:szCs w:val="20"/>
              </w:rPr>
            </w:pPr>
            <w:r>
              <w:rPr>
                <w:rFonts w:ascii="Arial" w:eastAsia="Calibri" w:hAnsi="Arial" w:cs="Arial"/>
                <w:color w:val="000000"/>
                <w:sz w:val="20"/>
                <w:szCs w:val="20"/>
              </w:rPr>
              <w:t>0.000</w:t>
            </w:r>
          </w:p>
        </w:tc>
      </w:tr>
      <w:tr w:rsidR="000F7AD3" w14:paraId="0D10F98D" w14:textId="77777777">
        <w:trPr>
          <w:trHeight w:val="381"/>
          <w:jc w:val="center"/>
        </w:trPr>
        <w:tc>
          <w:tcPr>
            <w:tcW w:w="1819" w:type="dxa"/>
          </w:tcPr>
          <w:p w14:paraId="66E6B879" w14:textId="77777777" w:rsidR="000F7AD3" w:rsidRDefault="00AD2271">
            <w:pPr>
              <w:pStyle w:val="NormalWeb"/>
              <w:rPr>
                <w:rFonts w:ascii="Arial" w:eastAsia="Calibri" w:hAnsi="Arial" w:cs="Arial"/>
                <w:b/>
                <w:color w:val="000000"/>
                <w:sz w:val="20"/>
                <w:szCs w:val="20"/>
              </w:rPr>
            </w:pPr>
            <w:r>
              <w:rPr>
                <w:rFonts w:ascii="Arial" w:eastAsia="Calibri" w:hAnsi="Arial" w:cs="Arial"/>
                <w:b/>
                <w:color w:val="000000"/>
                <w:sz w:val="20"/>
                <w:szCs w:val="20"/>
              </w:rPr>
              <w:t>5 weeks</w:t>
            </w:r>
          </w:p>
        </w:tc>
        <w:tc>
          <w:tcPr>
            <w:tcW w:w="1971" w:type="dxa"/>
          </w:tcPr>
          <w:p w14:paraId="0FA86434" w14:textId="77777777" w:rsidR="000F7AD3" w:rsidRDefault="00AD2271">
            <w:pPr>
              <w:pStyle w:val="NormalWeb"/>
              <w:ind w:firstLine="450"/>
              <w:rPr>
                <w:rFonts w:ascii="Arial" w:eastAsia="Calibri" w:hAnsi="Arial" w:cs="Arial"/>
                <w:color w:val="000000"/>
                <w:sz w:val="20"/>
                <w:szCs w:val="20"/>
              </w:rPr>
            </w:pPr>
            <w:r>
              <w:rPr>
                <w:rFonts w:ascii="Arial" w:eastAsia="Calibri" w:hAnsi="Arial" w:cs="Arial"/>
                <w:color w:val="000000"/>
                <w:sz w:val="20"/>
                <w:szCs w:val="20"/>
              </w:rPr>
              <w:t>30</w:t>
            </w:r>
          </w:p>
        </w:tc>
        <w:tc>
          <w:tcPr>
            <w:tcW w:w="2702" w:type="dxa"/>
          </w:tcPr>
          <w:p w14:paraId="64A8823F" w14:textId="77777777" w:rsidR="000F7AD3" w:rsidRDefault="00AD2271">
            <w:pPr>
              <w:pStyle w:val="NormalWeb"/>
              <w:ind w:firstLine="450"/>
              <w:rPr>
                <w:rFonts w:ascii="Arial" w:eastAsia="Calibri" w:hAnsi="Arial" w:cs="Arial"/>
                <w:color w:val="000000"/>
                <w:sz w:val="20"/>
                <w:szCs w:val="20"/>
                <w:vertAlign w:val="superscript"/>
              </w:rPr>
            </w:pPr>
            <w:r>
              <w:rPr>
                <w:rFonts w:ascii="Arial" w:eastAsia="Calibri" w:hAnsi="Arial" w:cs="Arial"/>
                <w:color w:val="000000"/>
                <w:sz w:val="20"/>
                <w:szCs w:val="20"/>
              </w:rPr>
              <w:t>170.00</w:t>
            </w:r>
            <w:r>
              <w:rPr>
                <w:rFonts w:ascii="Arial" w:eastAsia="Calibri" w:hAnsi="Arial" w:cs="Arial"/>
                <w:color w:val="000000"/>
                <w:sz w:val="20"/>
                <w:szCs w:val="20"/>
                <w:vertAlign w:val="superscript"/>
              </w:rPr>
              <w:t>c</w:t>
            </w:r>
          </w:p>
        </w:tc>
        <w:tc>
          <w:tcPr>
            <w:tcW w:w="1668" w:type="dxa"/>
          </w:tcPr>
          <w:p w14:paraId="28F6B748" w14:textId="77777777" w:rsidR="000F7AD3" w:rsidRDefault="00AD2271">
            <w:pPr>
              <w:pStyle w:val="NormalWeb"/>
              <w:rPr>
                <w:rFonts w:ascii="Arial" w:eastAsia="Calibri" w:hAnsi="Arial" w:cs="Arial"/>
                <w:color w:val="000000"/>
                <w:sz w:val="20"/>
                <w:szCs w:val="20"/>
              </w:rPr>
            </w:pPr>
            <w:r>
              <w:rPr>
                <w:rFonts w:ascii="Arial" w:eastAsia="Calibri" w:hAnsi="Arial" w:cs="Arial"/>
                <w:color w:val="000000"/>
                <w:sz w:val="20"/>
                <w:szCs w:val="20"/>
              </w:rPr>
              <w:t>1.356</w:t>
            </w:r>
          </w:p>
        </w:tc>
        <w:tc>
          <w:tcPr>
            <w:tcW w:w="1535" w:type="dxa"/>
          </w:tcPr>
          <w:p w14:paraId="03D80434" w14:textId="77777777" w:rsidR="000F7AD3" w:rsidRDefault="000F7AD3">
            <w:pPr>
              <w:pStyle w:val="NormalWeb"/>
              <w:ind w:firstLine="450"/>
              <w:rPr>
                <w:rFonts w:ascii="Arial" w:eastAsia="Calibri" w:hAnsi="Arial" w:cs="Arial"/>
                <w:color w:val="000000"/>
                <w:sz w:val="20"/>
                <w:szCs w:val="20"/>
              </w:rPr>
            </w:pPr>
          </w:p>
        </w:tc>
      </w:tr>
      <w:tr w:rsidR="000F7AD3" w14:paraId="1FBA1A7D" w14:textId="77777777">
        <w:trPr>
          <w:trHeight w:val="311"/>
          <w:jc w:val="center"/>
        </w:trPr>
        <w:tc>
          <w:tcPr>
            <w:tcW w:w="1819" w:type="dxa"/>
            <w:tcBorders>
              <w:bottom w:val="nil"/>
            </w:tcBorders>
          </w:tcPr>
          <w:p w14:paraId="4A65A42C" w14:textId="77777777" w:rsidR="000F7AD3" w:rsidRDefault="00AD2271">
            <w:pPr>
              <w:pStyle w:val="NormalWeb"/>
              <w:rPr>
                <w:rFonts w:ascii="Arial" w:eastAsia="Calibri" w:hAnsi="Arial" w:cs="Arial"/>
                <w:b/>
                <w:color w:val="000000"/>
                <w:sz w:val="20"/>
                <w:szCs w:val="20"/>
              </w:rPr>
            </w:pPr>
            <w:r>
              <w:rPr>
                <w:rFonts w:ascii="Arial" w:eastAsia="Calibri" w:hAnsi="Arial" w:cs="Arial"/>
                <w:b/>
                <w:color w:val="000000"/>
                <w:sz w:val="20"/>
                <w:szCs w:val="20"/>
              </w:rPr>
              <w:t>6 weeks</w:t>
            </w:r>
          </w:p>
        </w:tc>
        <w:tc>
          <w:tcPr>
            <w:tcW w:w="1971" w:type="dxa"/>
            <w:tcBorders>
              <w:bottom w:val="nil"/>
            </w:tcBorders>
          </w:tcPr>
          <w:p w14:paraId="059CA5CC" w14:textId="77777777" w:rsidR="000F7AD3" w:rsidRDefault="00AD2271">
            <w:pPr>
              <w:pStyle w:val="NormalWeb"/>
              <w:ind w:firstLine="450"/>
              <w:rPr>
                <w:rFonts w:ascii="Arial" w:eastAsia="Calibri" w:hAnsi="Arial" w:cs="Arial"/>
                <w:color w:val="000000"/>
                <w:sz w:val="20"/>
                <w:szCs w:val="20"/>
              </w:rPr>
            </w:pPr>
            <w:r>
              <w:rPr>
                <w:rFonts w:ascii="Arial" w:eastAsia="Calibri" w:hAnsi="Arial" w:cs="Arial"/>
                <w:color w:val="000000"/>
                <w:sz w:val="20"/>
                <w:szCs w:val="20"/>
              </w:rPr>
              <w:t>20</w:t>
            </w:r>
          </w:p>
        </w:tc>
        <w:tc>
          <w:tcPr>
            <w:tcW w:w="2702" w:type="dxa"/>
            <w:tcBorders>
              <w:bottom w:val="nil"/>
            </w:tcBorders>
          </w:tcPr>
          <w:p w14:paraId="0FABC40C" w14:textId="77777777" w:rsidR="000F7AD3" w:rsidRDefault="00AD2271">
            <w:pPr>
              <w:pStyle w:val="NormalWeb"/>
              <w:ind w:firstLine="450"/>
              <w:rPr>
                <w:rFonts w:ascii="Arial" w:eastAsia="Calibri" w:hAnsi="Arial" w:cs="Arial"/>
                <w:color w:val="000000"/>
                <w:sz w:val="20"/>
                <w:szCs w:val="20"/>
                <w:vertAlign w:val="superscript"/>
              </w:rPr>
            </w:pPr>
            <w:r>
              <w:rPr>
                <w:rFonts w:ascii="Arial" w:eastAsia="Calibri" w:hAnsi="Arial" w:cs="Arial"/>
                <w:color w:val="000000"/>
                <w:sz w:val="20"/>
                <w:szCs w:val="20"/>
              </w:rPr>
              <w:t>440.0</w:t>
            </w:r>
            <w:r>
              <w:rPr>
                <w:rFonts w:ascii="Arial" w:eastAsia="Calibri" w:hAnsi="Arial" w:cs="Arial"/>
                <w:color w:val="000000"/>
                <w:sz w:val="20"/>
                <w:szCs w:val="20"/>
                <w:vertAlign w:val="superscript"/>
              </w:rPr>
              <w:t>d</w:t>
            </w:r>
          </w:p>
        </w:tc>
        <w:tc>
          <w:tcPr>
            <w:tcW w:w="1668" w:type="dxa"/>
            <w:tcBorders>
              <w:bottom w:val="nil"/>
            </w:tcBorders>
          </w:tcPr>
          <w:p w14:paraId="135B9B01" w14:textId="77777777" w:rsidR="000F7AD3" w:rsidRDefault="00AD2271">
            <w:pPr>
              <w:pStyle w:val="NormalWeb"/>
              <w:rPr>
                <w:rFonts w:ascii="Arial" w:eastAsia="Calibri" w:hAnsi="Arial" w:cs="Arial"/>
                <w:color w:val="000000"/>
                <w:sz w:val="20"/>
                <w:szCs w:val="20"/>
              </w:rPr>
            </w:pPr>
            <w:r>
              <w:rPr>
                <w:rFonts w:ascii="Arial" w:eastAsia="Calibri" w:hAnsi="Arial" w:cs="Arial"/>
                <w:color w:val="000000"/>
                <w:sz w:val="20"/>
                <w:szCs w:val="20"/>
              </w:rPr>
              <w:t>1</w:t>
            </w:r>
          </w:p>
        </w:tc>
        <w:tc>
          <w:tcPr>
            <w:tcW w:w="1535" w:type="dxa"/>
            <w:tcBorders>
              <w:bottom w:val="nil"/>
            </w:tcBorders>
          </w:tcPr>
          <w:p w14:paraId="1502051F" w14:textId="77777777" w:rsidR="000F7AD3" w:rsidRDefault="000F7AD3">
            <w:pPr>
              <w:pStyle w:val="NormalWeb"/>
              <w:ind w:firstLine="450"/>
              <w:rPr>
                <w:rFonts w:ascii="Arial" w:eastAsia="Calibri" w:hAnsi="Arial" w:cs="Arial"/>
                <w:color w:val="000000"/>
                <w:sz w:val="20"/>
                <w:szCs w:val="20"/>
              </w:rPr>
            </w:pPr>
          </w:p>
        </w:tc>
      </w:tr>
      <w:tr w:rsidR="000F7AD3" w14:paraId="1A0C6762" w14:textId="77777777">
        <w:trPr>
          <w:trHeight w:val="288"/>
          <w:jc w:val="center"/>
        </w:trPr>
        <w:tc>
          <w:tcPr>
            <w:tcW w:w="1819" w:type="dxa"/>
            <w:tcBorders>
              <w:top w:val="nil"/>
              <w:bottom w:val="single" w:sz="4" w:space="0" w:color="auto"/>
            </w:tcBorders>
          </w:tcPr>
          <w:p w14:paraId="457A9130" w14:textId="77777777" w:rsidR="000F7AD3" w:rsidRDefault="000F7AD3">
            <w:pPr>
              <w:pStyle w:val="NormalWeb"/>
              <w:ind w:firstLine="450"/>
              <w:rPr>
                <w:rFonts w:ascii="Arial" w:eastAsia="Calibri" w:hAnsi="Arial" w:cs="Arial"/>
                <w:b/>
                <w:color w:val="000000"/>
                <w:sz w:val="20"/>
                <w:szCs w:val="20"/>
              </w:rPr>
            </w:pPr>
          </w:p>
        </w:tc>
        <w:tc>
          <w:tcPr>
            <w:tcW w:w="1971" w:type="dxa"/>
            <w:tcBorders>
              <w:top w:val="nil"/>
              <w:bottom w:val="single" w:sz="4" w:space="0" w:color="auto"/>
            </w:tcBorders>
          </w:tcPr>
          <w:p w14:paraId="61D2274B" w14:textId="77777777" w:rsidR="000F7AD3" w:rsidRDefault="000F7AD3">
            <w:pPr>
              <w:pStyle w:val="NormalWeb"/>
              <w:ind w:firstLine="450"/>
              <w:rPr>
                <w:rFonts w:ascii="Arial" w:eastAsia="Calibri" w:hAnsi="Arial" w:cs="Arial"/>
                <w:color w:val="000000"/>
                <w:sz w:val="20"/>
                <w:szCs w:val="20"/>
              </w:rPr>
            </w:pPr>
          </w:p>
        </w:tc>
        <w:tc>
          <w:tcPr>
            <w:tcW w:w="2702" w:type="dxa"/>
            <w:tcBorders>
              <w:top w:val="nil"/>
              <w:bottom w:val="single" w:sz="4" w:space="0" w:color="auto"/>
            </w:tcBorders>
          </w:tcPr>
          <w:p w14:paraId="155B8473" w14:textId="77777777" w:rsidR="000F7AD3" w:rsidRDefault="00AD2271">
            <w:pPr>
              <w:pStyle w:val="NormalWeb"/>
              <w:jc w:val="center"/>
              <w:rPr>
                <w:rFonts w:ascii="Arial" w:eastAsia="Calibri" w:hAnsi="Arial" w:cs="Arial"/>
                <w:b/>
                <w:color w:val="000000"/>
                <w:sz w:val="20"/>
                <w:szCs w:val="20"/>
              </w:rPr>
            </w:pPr>
            <w:r>
              <w:rPr>
                <w:rFonts w:ascii="Arial" w:eastAsia="Calibri" w:hAnsi="Arial" w:cs="Arial"/>
                <w:b/>
                <w:color w:val="000000"/>
                <w:sz w:val="20"/>
                <w:szCs w:val="20"/>
              </w:rPr>
              <w:t>Coccidia</w:t>
            </w:r>
          </w:p>
        </w:tc>
        <w:tc>
          <w:tcPr>
            <w:tcW w:w="1668" w:type="dxa"/>
            <w:tcBorders>
              <w:top w:val="nil"/>
              <w:bottom w:val="single" w:sz="4" w:space="0" w:color="auto"/>
            </w:tcBorders>
          </w:tcPr>
          <w:p w14:paraId="7AD4922A" w14:textId="77777777" w:rsidR="000F7AD3" w:rsidRDefault="000F7AD3">
            <w:pPr>
              <w:pStyle w:val="NormalWeb"/>
              <w:ind w:firstLine="450"/>
              <w:rPr>
                <w:rFonts w:ascii="Arial" w:eastAsia="Calibri" w:hAnsi="Arial" w:cs="Arial"/>
                <w:color w:val="000000"/>
                <w:sz w:val="20"/>
                <w:szCs w:val="20"/>
              </w:rPr>
            </w:pPr>
          </w:p>
        </w:tc>
        <w:tc>
          <w:tcPr>
            <w:tcW w:w="1535" w:type="dxa"/>
            <w:tcBorders>
              <w:top w:val="nil"/>
              <w:bottom w:val="single" w:sz="4" w:space="0" w:color="auto"/>
            </w:tcBorders>
          </w:tcPr>
          <w:p w14:paraId="4FCE81C8" w14:textId="77777777" w:rsidR="000F7AD3" w:rsidRDefault="000F7AD3">
            <w:pPr>
              <w:pStyle w:val="NormalWeb"/>
              <w:ind w:firstLine="450"/>
              <w:rPr>
                <w:rFonts w:ascii="Arial" w:eastAsia="Calibri" w:hAnsi="Arial" w:cs="Arial"/>
                <w:color w:val="000000"/>
                <w:sz w:val="20"/>
                <w:szCs w:val="20"/>
              </w:rPr>
            </w:pPr>
          </w:p>
        </w:tc>
      </w:tr>
      <w:tr w:rsidR="000F7AD3" w14:paraId="05C44A9F" w14:textId="77777777">
        <w:trPr>
          <w:trHeight w:val="311"/>
          <w:jc w:val="center"/>
        </w:trPr>
        <w:tc>
          <w:tcPr>
            <w:tcW w:w="1819" w:type="dxa"/>
            <w:tcBorders>
              <w:top w:val="single" w:sz="4" w:space="0" w:color="auto"/>
            </w:tcBorders>
          </w:tcPr>
          <w:p w14:paraId="70552EE8" w14:textId="77777777" w:rsidR="000F7AD3" w:rsidRDefault="00AD2271">
            <w:pPr>
              <w:pStyle w:val="NormalWeb"/>
              <w:rPr>
                <w:rFonts w:ascii="Arial" w:eastAsia="Calibri" w:hAnsi="Arial" w:cs="Arial"/>
                <w:b/>
                <w:color w:val="000000"/>
                <w:sz w:val="20"/>
                <w:szCs w:val="20"/>
              </w:rPr>
            </w:pPr>
            <w:r>
              <w:rPr>
                <w:rFonts w:ascii="Arial" w:eastAsia="Calibri" w:hAnsi="Arial" w:cs="Arial"/>
                <w:b/>
                <w:color w:val="000000"/>
                <w:sz w:val="20"/>
                <w:szCs w:val="20"/>
              </w:rPr>
              <w:t>3 weeks</w:t>
            </w:r>
          </w:p>
        </w:tc>
        <w:tc>
          <w:tcPr>
            <w:tcW w:w="1971" w:type="dxa"/>
            <w:tcBorders>
              <w:top w:val="single" w:sz="4" w:space="0" w:color="auto"/>
            </w:tcBorders>
          </w:tcPr>
          <w:p w14:paraId="2586DD8F" w14:textId="77777777" w:rsidR="000F7AD3" w:rsidRDefault="00AD2271">
            <w:pPr>
              <w:pStyle w:val="NormalWeb"/>
              <w:ind w:firstLine="450"/>
              <w:rPr>
                <w:rFonts w:ascii="Arial" w:eastAsia="Calibri" w:hAnsi="Arial" w:cs="Arial"/>
                <w:color w:val="000000"/>
                <w:sz w:val="20"/>
                <w:szCs w:val="20"/>
              </w:rPr>
            </w:pPr>
            <w:r>
              <w:rPr>
                <w:rFonts w:ascii="Arial" w:eastAsia="Calibri" w:hAnsi="Arial" w:cs="Arial"/>
                <w:color w:val="000000"/>
                <w:sz w:val="20"/>
                <w:szCs w:val="20"/>
              </w:rPr>
              <w:t>25</w:t>
            </w:r>
          </w:p>
        </w:tc>
        <w:tc>
          <w:tcPr>
            <w:tcW w:w="2702" w:type="dxa"/>
            <w:tcBorders>
              <w:top w:val="single" w:sz="4" w:space="0" w:color="auto"/>
            </w:tcBorders>
          </w:tcPr>
          <w:p w14:paraId="53C54F88" w14:textId="77777777" w:rsidR="000F7AD3" w:rsidRDefault="00AD2271">
            <w:pPr>
              <w:pStyle w:val="NormalWeb"/>
              <w:ind w:firstLine="450"/>
              <w:rPr>
                <w:rFonts w:ascii="Arial" w:eastAsia="Calibri" w:hAnsi="Arial" w:cs="Arial"/>
                <w:color w:val="000000"/>
                <w:sz w:val="20"/>
                <w:szCs w:val="20"/>
                <w:vertAlign w:val="superscript"/>
              </w:rPr>
            </w:pPr>
            <w:r>
              <w:rPr>
                <w:rFonts w:ascii="Arial" w:eastAsia="Calibri" w:hAnsi="Arial" w:cs="Arial"/>
                <w:color w:val="000000"/>
                <w:sz w:val="20"/>
                <w:szCs w:val="20"/>
              </w:rPr>
              <w:t>497.60</w:t>
            </w:r>
            <w:r>
              <w:rPr>
                <w:rFonts w:ascii="Arial" w:eastAsia="Calibri" w:hAnsi="Arial" w:cs="Arial"/>
                <w:color w:val="000000"/>
                <w:sz w:val="20"/>
                <w:szCs w:val="20"/>
                <w:vertAlign w:val="superscript"/>
              </w:rPr>
              <w:t>a</w:t>
            </w:r>
          </w:p>
        </w:tc>
        <w:tc>
          <w:tcPr>
            <w:tcW w:w="1668" w:type="dxa"/>
            <w:tcBorders>
              <w:top w:val="single" w:sz="4" w:space="0" w:color="auto"/>
            </w:tcBorders>
          </w:tcPr>
          <w:p w14:paraId="39F07379" w14:textId="77777777" w:rsidR="000F7AD3" w:rsidRDefault="00AD2271">
            <w:pPr>
              <w:pStyle w:val="NormalWeb"/>
              <w:rPr>
                <w:rFonts w:ascii="Arial" w:eastAsia="Calibri" w:hAnsi="Arial" w:cs="Arial"/>
                <w:color w:val="000000"/>
                <w:sz w:val="20"/>
                <w:szCs w:val="20"/>
              </w:rPr>
            </w:pPr>
            <w:r>
              <w:rPr>
                <w:rFonts w:ascii="Arial" w:eastAsia="Calibri" w:hAnsi="Arial" w:cs="Arial"/>
                <w:color w:val="000000"/>
                <w:sz w:val="20"/>
                <w:szCs w:val="20"/>
              </w:rPr>
              <w:t>1.217</w:t>
            </w:r>
          </w:p>
        </w:tc>
        <w:tc>
          <w:tcPr>
            <w:tcW w:w="1535" w:type="dxa"/>
            <w:tcBorders>
              <w:top w:val="single" w:sz="4" w:space="0" w:color="auto"/>
            </w:tcBorders>
          </w:tcPr>
          <w:p w14:paraId="4FF37B5B" w14:textId="77777777" w:rsidR="000F7AD3" w:rsidRDefault="000F7AD3">
            <w:pPr>
              <w:pStyle w:val="NormalWeb"/>
              <w:ind w:firstLine="450"/>
              <w:rPr>
                <w:rFonts w:ascii="Arial" w:eastAsia="Calibri" w:hAnsi="Arial" w:cs="Arial"/>
                <w:color w:val="000000"/>
                <w:sz w:val="20"/>
                <w:szCs w:val="20"/>
              </w:rPr>
            </w:pPr>
          </w:p>
        </w:tc>
      </w:tr>
      <w:tr w:rsidR="000F7AD3" w14:paraId="2AA91676" w14:textId="77777777">
        <w:trPr>
          <w:trHeight w:val="288"/>
          <w:jc w:val="center"/>
        </w:trPr>
        <w:tc>
          <w:tcPr>
            <w:tcW w:w="1819" w:type="dxa"/>
          </w:tcPr>
          <w:p w14:paraId="487B9E79" w14:textId="77777777" w:rsidR="000F7AD3" w:rsidRDefault="00AD2271">
            <w:pPr>
              <w:pStyle w:val="NormalWeb"/>
              <w:rPr>
                <w:rFonts w:ascii="Arial" w:eastAsia="Calibri" w:hAnsi="Arial" w:cs="Arial"/>
                <w:b/>
                <w:color w:val="000000"/>
                <w:sz w:val="20"/>
                <w:szCs w:val="20"/>
              </w:rPr>
            </w:pPr>
            <w:r>
              <w:rPr>
                <w:rFonts w:ascii="Arial" w:eastAsia="Calibri" w:hAnsi="Arial" w:cs="Arial"/>
                <w:b/>
                <w:color w:val="000000"/>
                <w:sz w:val="20"/>
                <w:szCs w:val="20"/>
              </w:rPr>
              <w:t>4 weeks</w:t>
            </w:r>
          </w:p>
        </w:tc>
        <w:tc>
          <w:tcPr>
            <w:tcW w:w="1971" w:type="dxa"/>
          </w:tcPr>
          <w:p w14:paraId="3E8D03B4" w14:textId="77777777" w:rsidR="000F7AD3" w:rsidRDefault="00AD2271">
            <w:pPr>
              <w:pStyle w:val="NormalWeb"/>
              <w:ind w:firstLine="450"/>
              <w:rPr>
                <w:rFonts w:ascii="Arial" w:eastAsia="Calibri" w:hAnsi="Arial" w:cs="Arial"/>
                <w:color w:val="000000"/>
                <w:sz w:val="20"/>
                <w:szCs w:val="20"/>
              </w:rPr>
            </w:pPr>
            <w:r>
              <w:rPr>
                <w:rFonts w:ascii="Arial" w:eastAsia="Calibri" w:hAnsi="Arial" w:cs="Arial"/>
                <w:color w:val="000000"/>
                <w:sz w:val="20"/>
                <w:szCs w:val="20"/>
              </w:rPr>
              <w:t>25</w:t>
            </w:r>
          </w:p>
        </w:tc>
        <w:tc>
          <w:tcPr>
            <w:tcW w:w="2702" w:type="dxa"/>
          </w:tcPr>
          <w:p w14:paraId="1AE077C0" w14:textId="77777777" w:rsidR="000F7AD3" w:rsidRDefault="00AD2271">
            <w:pPr>
              <w:pStyle w:val="NormalWeb"/>
              <w:ind w:firstLine="450"/>
              <w:rPr>
                <w:rFonts w:ascii="Arial" w:eastAsia="Calibri" w:hAnsi="Arial" w:cs="Arial"/>
                <w:color w:val="000000"/>
                <w:sz w:val="20"/>
                <w:szCs w:val="20"/>
                <w:vertAlign w:val="superscript"/>
              </w:rPr>
            </w:pPr>
            <w:r>
              <w:rPr>
                <w:rFonts w:ascii="Arial" w:eastAsia="Calibri" w:hAnsi="Arial" w:cs="Arial"/>
                <w:color w:val="000000"/>
                <w:sz w:val="20"/>
                <w:szCs w:val="20"/>
              </w:rPr>
              <w:t>694.00</w:t>
            </w:r>
            <w:r>
              <w:rPr>
                <w:rFonts w:ascii="Arial" w:eastAsia="Calibri" w:hAnsi="Arial" w:cs="Arial"/>
                <w:color w:val="000000"/>
                <w:sz w:val="20"/>
                <w:szCs w:val="20"/>
                <w:vertAlign w:val="superscript"/>
              </w:rPr>
              <w:t>b</w:t>
            </w:r>
          </w:p>
        </w:tc>
        <w:tc>
          <w:tcPr>
            <w:tcW w:w="1668" w:type="dxa"/>
          </w:tcPr>
          <w:p w14:paraId="53405B7C" w14:textId="77777777" w:rsidR="000F7AD3" w:rsidRDefault="00AD2271">
            <w:pPr>
              <w:pStyle w:val="NormalWeb"/>
              <w:rPr>
                <w:rFonts w:ascii="Arial" w:eastAsia="Calibri" w:hAnsi="Arial" w:cs="Arial"/>
                <w:color w:val="000000"/>
                <w:sz w:val="20"/>
                <w:szCs w:val="20"/>
              </w:rPr>
            </w:pPr>
            <w:r>
              <w:rPr>
                <w:rFonts w:ascii="Arial" w:eastAsia="Calibri" w:hAnsi="Arial" w:cs="Arial"/>
                <w:color w:val="000000"/>
                <w:sz w:val="20"/>
                <w:szCs w:val="20"/>
              </w:rPr>
              <w:t>1.697</w:t>
            </w:r>
          </w:p>
        </w:tc>
        <w:tc>
          <w:tcPr>
            <w:tcW w:w="1535" w:type="dxa"/>
          </w:tcPr>
          <w:p w14:paraId="1E019E76" w14:textId="77777777" w:rsidR="000F7AD3" w:rsidRDefault="00AD2271">
            <w:pPr>
              <w:pStyle w:val="NormalWeb"/>
              <w:rPr>
                <w:rFonts w:ascii="Arial" w:eastAsia="Calibri" w:hAnsi="Arial" w:cs="Arial"/>
                <w:color w:val="000000"/>
                <w:sz w:val="20"/>
                <w:szCs w:val="20"/>
              </w:rPr>
            </w:pPr>
            <w:r>
              <w:rPr>
                <w:rFonts w:ascii="Arial" w:eastAsia="Calibri" w:hAnsi="Arial" w:cs="Arial"/>
                <w:color w:val="000000"/>
                <w:sz w:val="20"/>
                <w:szCs w:val="20"/>
              </w:rPr>
              <w:t>0.441</w:t>
            </w:r>
          </w:p>
        </w:tc>
      </w:tr>
      <w:tr w:rsidR="000F7AD3" w14:paraId="0BC31017" w14:textId="77777777">
        <w:trPr>
          <w:trHeight w:val="311"/>
          <w:jc w:val="center"/>
        </w:trPr>
        <w:tc>
          <w:tcPr>
            <w:tcW w:w="1819" w:type="dxa"/>
          </w:tcPr>
          <w:p w14:paraId="1223834B" w14:textId="77777777" w:rsidR="000F7AD3" w:rsidRDefault="00AD2271">
            <w:pPr>
              <w:pStyle w:val="NormalWeb"/>
              <w:rPr>
                <w:rFonts w:ascii="Arial" w:eastAsia="Calibri" w:hAnsi="Arial" w:cs="Arial"/>
                <w:b/>
                <w:color w:val="000000"/>
                <w:sz w:val="20"/>
                <w:szCs w:val="20"/>
              </w:rPr>
            </w:pPr>
            <w:r>
              <w:rPr>
                <w:rFonts w:ascii="Arial" w:eastAsia="Calibri" w:hAnsi="Arial" w:cs="Arial"/>
                <w:b/>
                <w:color w:val="000000"/>
                <w:sz w:val="20"/>
                <w:szCs w:val="20"/>
              </w:rPr>
              <w:t>5 weeks</w:t>
            </w:r>
          </w:p>
        </w:tc>
        <w:tc>
          <w:tcPr>
            <w:tcW w:w="1971" w:type="dxa"/>
          </w:tcPr>
          <w:p w14:paraId="5C0AB9D9" w14:textId="77777777" w:rsidR="000F7AD3" w:rsidRDefault="00AD2271">
            <w:pPr>
              <w:pStyle w:val="NormalWeb"/>
              <w:ind w:firstLine="450"/>
              <w:rPr>
                <w:rFonts w:ascii="Arial" w:eastAsia="Calibri" w:hAnsi="Arial" w:cs="Arial"/>
                <w:color w:val="000000"/>
                <w:sz w:val="20"/>
                <w:szCs w:val="20"/>
              </w:rPr>
            </w:pPr>
            <w:r>
              <w:rPr>
                <w:rFonts w:ascii="Arial" w:eastAsia="Calibri" w:hAnsi="Arial" w:cs="Arial"/>
                <w:color w:val="000000"/>
                <w:sz w:val="20"/>
                <w:szCs w:val="20"/>
              </w:rPr>
              <w:t>30</w:t>
            </w:r>
          </w:p>
        </w:tc>
        <w:tc>
          <w:tcPr>
            <w:tcW w:w="2702" w:type="dxa"/>
          </w:tcPr>
          <w:p w14:paraId="35FC31CB" w14:textId="77777777" w:rsidR="000F7AD3" w:rsidRDefault="00AD2271">
            <w:pPr>
              <w:pStyle w:val="NormalWeb"/>
              <w:ind w:firstLine="450"/>
              <w:rPr>
                <w:rFonts w:ascii="Arial" w:eastAsia="Calibri" w:hAnsi="Arial" w:cs="Arial"/>
                <w:color w:val="000000"/>
                <w:sz w:val="20"/>
                <w:szCs w:val="20"/>
                <w:vertAlign w:val="superscript"/>
              </w:rPr>
            </w:pPr>
            <w:r>
              <w:rPr>
                <w:rFonts w:ascii="Arial" w:eastAsia="Calibri" w:hAnsi="Arial" w:cs="Arial"/>
                <w:color w:val="000000"/>
                <w:sz w:val="20"/>
                <w:szCs w:val="20"/>
              </w:rPr>
              <w:t>933.33</w:t>
            </w:r>
            <w:r>
              <w:rPr>
                <w:rFonts w:ascii="Arial" w:eastAsia="Calibri" w:hAnsi="Arial" w:cs="Arial"/>
                <w:color w:val="000000"/>
                <w:sz w:val="20"/>
                <w:szCs w:val="20"/>
                <w:vertAlign w:val="superscript"/>
              </w:rPr>
              <w:t>c</w:t>
            </w:r>
          </w:p>
        </w:tc>
        <w:tc>
          <w:tcPr>
            <w:tcW w:w="1668" w:type="dxa"/>
          </w:tcPr>
          <w:p w14:paraId="4ABBD35A" w14:textId="77777777" w:rsidR="000F7AD3" w:rsidRDefault="00AD2271">
            <w:pPr>
              <w:pStyle w:val="NormalWeb"/>
              <w:rPr>
                <w:rFonts w:ascii="Arial" w:eastAsia="Calibri" w:hAnsi="Arial" w:cs="Arial"/>
                <w:color w:val="000000"/>
                <w:sz w:val="20"/>
                <w:szCs w:val="20"/>
              </w:rPr>
            </w:pPr>
            <w:r>
              <w:rPr>
                <w:rFonts w:ascii="Arial" w:eastAsia="Calibri" w:hAnsi="Arial" w:cs="Arial"/>
                <w:color w:val="000000"/>
                <w:sz w:val="20"/>
                <w:szCs w:val="20"/>
              </w:rPr>
              <w:t>2.282</w:t>
            </w:r>
          </w:p>
        </w:tc>
        <w:tc>
          <w:tcPr>
            <w:tcW w:w="1535" w:type="dxa"/>
          </w:tcPr>
          <w:p w14:paraId="10FED301" w14:textId="77777777" w:rsidR="000F7AD3" w:rsidRDefault="000F7AD3">
            <w:pPr>
              <w:pStyle w:val="NormalWeb"/>
              <w:ind w:firstLine="450"/>
              <w:rPr>
                <w:rFonts w:ascii="Arial" w:eastAsia="Calibri" w:hAnsi="Arial" w:cs="Arial"/>
                <w:color w:val="000000"/>
                <w:sz w:val="20"/>
                <w:szCs w:val="20"/>
              </w:rPr>
            </w:pPr>
          </w:p>
        </w:tc>
      </w:tr>
      <w:tr w:rsidR="000F7AD3" w14:paraId="04940AB4" w14:textId="77777777">
        <w:trPr>
          <w:trHeight w:val="288"/>
          <w:jc w:val="center"/>
        </w:trPr>
        <w:tc>
          <w:tcPr>
            <w:tcW w:w="1819" w:type="dxa"/>
            <w:tcBorders>
              <w:bottom w:val="nil"/>
            </w:tcBorders>
          </w:tcPr>
          <w:p w14:paraId="76A36AE7" w14:textId="77777777" w:rsidR="000F7AD3" w:rsidRDefault="00AD2271">
            <w:pPr>
              <w:pStyle w:val="NormalWeb"/>
              <w:rPr>
                <w:rFonts w:ascii="Arial" w:eastAsia="Calibri" w:hAnsi="Arial" w:cs="Arial"/>
                <w:b/>
                <w:color w:val="000000"/>
                <w:sz w:val="20"/>
                <w:szCs w:val="20"/>
              </w:rPr>
            </w:pPr>
            <w:r>
              <w:rPr>
                <w:rFonts w:ascii="Arial" w:eastAsia="Calibri" w:hAnsi="Arial" w:cs="Arial"/>
                <w:b/>
                <w:color w:val="000000"/>
                <w:sz w:val="20"/>
                <w:szCs w:val="20"/>
              </w:rPr>
              <w:t>6 weeks</w:t>
            </w:r>
          </w:p>
        </w:tc>
        <w:tc>
          <w:tcPr>
            <w:tcW w:w="1971" w:type="dxa"/>
            <w:tcBorders>
              <w:bottom w:val="nil"/>
            </w:tcBorders>
          </w:tcPr>
          <w:p w14:paraId="727474FE" w14:textId="77777777" w:rsidR="000F7AD3" w:rsidRDefault="00AD2271">
            <w:pPr>
              <w:pStyle w:val="NormalWeb"/>
              <w:ind w:firstLine="450"/>
              <w:rPr>
                <w:rFonts w:ascii="Arial" w:eastAsia="Calibri" w:hAnsi="Arial" w:cs="Arial"/>
                <w:color w:val="000000"/>
                <w:sz w:val="20"/>
                <w:szCs w:val="20"/>
              </w:rPr>
            </w:pPr>
            <w:r>
              <w:rPr>
                <w:rFonts w:ascii="Arial" w:eastAsia="Calibri" w:hAnsi="Arial" w:cs="Arial"/>
                <w:color w:val="000000"/>
                <w:sz w:val="20"/>
                <w:szCs w:val="20"/>
              </w:rPr>
              <w:t>20</w:t>
            </w:r>
          </w:p>
        </w:tc>
        <w:tc>
          <w:tcPr>
            <w:tcW w:w="2702" w:type="dxa"/>
            <w:tcBorders>
              <w:bottom w:val="nil"/>
            </w:tcBorders>
          </w:tcPr>
          <w:p w14:paraId="6F53F9F3" w14:textId="77777777" w:rsidR="000F7AD3" w:rsidRDefault="00AD2271">
            <w:pPr>
              <w:pStyle w:val="NormalWeb"/>
              <w:ind w:firstLine="450"/>
              <w:rPr>
                <w:rFonts w:ascii="Arial" w:eastAsia="Calibri" w:hAnsi="Arial" w:cs="Arial"/>
                <w:color w:val="000000"/>
                <w:sz w:val="20"/>
                <w:szCs w:val="20"/>
                <w:vertAlign w:val="superscript"/>
              </w:rPr>
            </w:pPr>
            <w:r>
              <w:rPr>
                <w:rFonts w:ascii="Arial" w:eastAsia="Calibri" w:hAnsi="Arial" w:cs="Arial"/>
                <w:color w:val="000000"/>
                <w:sz w:val="20"/>
                <w:szCs w:val="20"/>
              </w:rPr>
              <w:t>409.00</w:t>
            </w:r>
            <w:r>
              <w:rPr>
                <w:rFonts w:ascii="Arial" w:eastAsia="Calibri" w:hAnsi="Arial" w:cs="Arial"/>
                <w:color w:val="000000"/>
                <w:sz w:val="20"/>
                <w:szCs w:val="20"/>
                <w:vertAlign w:val="superscript"/>
              </w:rPr>
              <w:t>d</w:t>
            </w:r>
          </w:p>
        </w:tc>
        <w:tc>
          <w:tcPr>
            <w:tcW w:w="1668" w:type="dxa"/>
            <w:tcBorders>
              <w:bottom w:val="nil"/>
            </w:tcBorders>
          </w:tcPr>
          <w:p w14:paraId="1545AA21" w14:textId="77777777" w:rsidR="000F7AD3" w:rsidRDefault="00AD2271">
            <w:pPr>
              <w:pStyle w:val="NormalWeb"/>
              <w:rPr>
                <w:rFonts w:ascii="Arial" w:eastAsia="Calibri" w:hAnsi="Arial" w:cs="Arial"/>
                <w:color w:val="000000"/>
                <w:sz w:val="20"/>
                <w:szCs w:val="20"/>
              </w:rPr>
            </w:pPr>
            <w:r>
              <w:rPr>
                <w:rFonts w:ascii="Arial" w:eastAsia="Calibri" w:hAnsi="Arial" w:cs="Arial"/>
                <w:color w:val="000000"/>
                <w:sz w:val="20"/>
                <w:szCs w:val="20"/>
              </w:rPr>
              <w:t>1</w:t>
            </w:r>
          </w:p>
        </w:tc>
        <w:tc>
          <w:tcPr>
            <w:tcW w:w="1535" w:type="dxa"/>
            <w:tcBorders>
              <w:bottom w:val="nil"/>
            </w:tcBorders>
          </w:tcPr>
          <w:p w14:paraId="51A52A25" w14:textId="77777777" w:rsidR="000F7AD3" w:rsidRDefault="000F7AD3">
            <w:pPr>
              <w:pStyle w:val="NormalWeb"/>
              <w:ind w:firstLine="450"/>
              <w:rPr>
                <w:rFonts w:ascii="Arial" w:eastAsia="Calibri" w:hAnsi="Arial" w:cs="Arial"/>
                <w:color w:val="000000"/>
                <w:sz w:val="20"/>
                <w:szCs w:val="20"/>
              </w:rPr>
            </w:pPr>
          </w:p>
        </w:tc>
      </w:tr>
      <w:tr w:rsidR="000F7AD3" w14:paraId="2980FA95" w14:textId="77777777">
        <w:trPr>
          <w:trHeight w:val="311"/>
          <w:jc w:val="center"/>
        </w:trPr>
        <w:tc>
          <w:tcPr>
            <w:tcW w:w="1819" w:type="dxa"/>
            <w:tcBorders>
              <w:top w:val="nil"/>
              <w:bottom w:val="single" w:sz="4" w:space="0" w:color="auto"/>
            </w:tcBorders>
          </w:tcPr>
          <w:p w14:paraId="70C581EC" w14:textId="77777777" w:rsidR="000F7AD3" w:rsidRDefault="000F7AD3">
            <w:pPr>
              <w:pStyle w:val="NormalWeb"/>
              <w:ind w:firstLine="450"/>
              <w:rPr>
                <w:rFonts w:ascii="Arial" w:eastAsia="Calibri" w:hAnsi="Arial" w:cs="Arial"/>
                <w:b/>
                <w:color w:val="000000"/>
                <w:sz w:val="20"/>
                <w:szCs w:val="20"/>
              </w:rPr>
            </w:pPr>
          </w:p>
        </w:tc>
        <w:tc>
          <w:tcPr>
            <w:tcW w:w="1971" w:type="dxa"/>
            <w:tcBorders>
              <w:top w:val="nil"/>
              <w:bottom w:val="single" w:sz="4" w:space="0" w:color="auto"/>
            </w:tcBorders>
          </w:tcPr>
          <w:p w14:paraId="083A7B19" w14:textId="77777777" w:rsidR="000F7AD3" w:rsidRDefault="000F7AD3">
            <w:pPr>
              <w:pStyle w:val="NormalWeb"/>
              <w:ind w:firstLine="450"/>
              <w:rPr>
                <w:rFonts w:ascii="Arial" w:eastAsia="Calibri" w:hAnsi="Arial" w:cs="Arial"/>
                <w:color w:val="000000"/>
                <w:sz w:val="20"/>
                <w:szCs w:val="20"/>
              </w:rPr>
            </w:pPr>
          </w:p>
        </w:tc>
        <w:tc>
          <w:tcPr>
            <w:tcW w:w="2702" w:type="dxa"/>
            <w:tcBorders>
              <w:top w:val="nil"/>
              <w:bottom w:val="single" w:sz="4" w:space="0" w:color="auto"/>
            </w:tcBorders>
          </w:tcPr>
          <w:p w14:paraId="59A12FCD" w14:textId="77777777" w:rsidR="000F7AD3" w:rsidRDefault="00AD2271">
            <w:pPr>
              <w:pStyle w:val="NormalWeb"/>
              <w:ind w:firstLine="450"/>
              <w:jc w:val="center"/>
              <w:rPr>
                <w:rFonts w:ascii="Arial" w:eastAsia="Calibri" w:hAnsi="Arial" w:cs="Arial"/>
                <w:b/>
                <w:color w:val="000000"/>
                <w:sz w:val="20"/>
                <w:szCs w:val="20"/>
              </w:rPr>
            </w:pPr>
            <w:r>
              <w:rPr>
                <w:rFonts w:ascii="Arial" w:eastAsia="Calibri" w:hAnsi="Arial" w:cs="Arial"/>
                <w:b/>
                <w:color w:val="000000"/>
                <w:sz w:val="20"/>
                <w:szCs w:val="20"/>
              </w:rPr>
              <w:t>Cestode</w:t>
            </w:r>
          </w:p>
        </w:tc>
        <w:tc>
          <w:tcPr>
            <w:tcW w:w="1668" w:type="dxa"/>
            <w:tcBorders>
              <w:top w:val="nil"/>
              <w:bottom w:val="single" w:sz="4" w:space="0" w:color="auto"/>
            </w:tcBorders>
          </w:tcPr>
          <w:p w14:paraId="4AD256A1" w14:textId="77777777" w:rsidR="000F7AD3" w:rsidRDefault="000F7AD3">
            <w:pPr>
              <w:pStyle w:val="NormalWeb"/>
              <w:ind w:firstLine="450"/>
              <w:rPr>
                <w:rFonts w:ascii="Arial" w:eastAsia="Calibri" w:hAnsi="Arial" w:cs="Arial"/>
                <w:color w:val="000000"/>
                <w:sz w:val="20"/>
                <w:szCs w:val="20"/>
              </w:rPr>
            </w:pPr>
          </w:p>
        </w:tc>
        <w:tc>
          <w:tcPr>
            <w:tcW w:w="1535" w:type="dxa"/>
            <w:tcBorders>
              <w:top w:val="nil"/>
              <w:bottom w:val="single" w:sz="4" w:space="0" w:color="auto"/>
            </w:tcBorders>
          </w:tcPr>
          <w:p w14:paraId="37B3588C" w14:textId="77777777" w:rsidR="000F7AD3" w:rsidRDefault="000F7AD3">
            <w:pPr>
              <w:pStyle w:val="NormalWeb"/>
              <w:ind w:firstLine="450"/>
              <w:rPr>
                <w:rFonts w:ascii="Arial" w:eastAsia="Calibri" w:hAnsi="Arial" w:cs="Arial"/>
                <w:color w:val="000000"/>
                <w:sz w:val="20"/>
                <w:szCs w:val="20"/>
              </w:rPr>
            </w:pPr>
          </w:p>
        </w:tc>
      </w:tr>
      <w:tr w:rsidR="000F7AD3" w14:paraId="7652738D" w14:textId="77777777">
        <w:trPr>
          <w:trHeight w:val="288"/>
          <w:jc w:val="center"/>
        </w:trPr>
        <w:tc>
          <w:tcPr>
            <w:tcW w:w="1819" w:type="dxa"/>
            <w:tcBorders>
              <w:top w:val="single" w:sz="4" w:space="0" w:color="auto"/>
            </w:tcBorders>
          </w:tcPr>
          <w:p w14:paraId="4B33BE00" w14:textId="77777777" w:rsidR="000F7AD3" w:rsidRDefault="00AD2271">
            <w:pPr>
              <w:pStyle w:val="NormalWeb"/>
              <w:rPr>
                <w:rFonts w:ascii="Arial" w:eastAsia="Calibri" w:hAnsi="Arial" w:cs="Arial"/>
                <w:b/>
                <w:color w:val="000000"/>
                <w:sz w:val="20"/>
                <w:szCs w:val="20"/>
              </w:rPr>
            </w:pPr>
            <w:r>
              <w:rPr>
                <w:rFonts w:ascii="Arial" w:eastAsia="Calibri" w:hAnsi="Arial" w:cs="Arial"/>
                <w:b/>
                <w:color w:val="000000"/>
                <w:sz w:val="20"/>
                <w:szCs w:val="20"/>
              </w:rPr>
              <w:t>3 weeks</w:t>
            </w:r>
          </w:p>
        </w:tc>
        <w:tc>
          <w:tcPr>
            <w:tcW w:w="1971" w:type="dxa"/>
            <w:tcBorders>
              <w:top w:val="single" w:sz="4" w:space="0" w:color="auto"/>
            </w:tcBorders>
          </w:tcPr>
          <w:p w14:paraId="41FAE24E" w14:textId="77777777" w:rsidR="000F7AD3" w:rsidRDefault="00AD2271">
            <w:pPr>
              <w:pStyle w:val="NormalWeb"/>
              <w:ind w:firstLine="450"/>
              <w:rPr>
                <w:rFonts w:ascii="Arial" w:eastAsia="Calibri" w:hAnsi="Arial" w:cs="Arial"/>
                <w:color w:val="000000"/>
                <w:sz w:val="20"/>
                <w:szCs w:val="20"/>
              </w:rPr>
            </w:pPr>
            <w:r>
              <w:rPr>
                <w:rFonts w:ascii="Arial" w:eastAsia="Calibri" w:hAnsi="Arial" w:cs="Arial"/>
                <w:color w:val="000000"/>
                <w:sz w:val="20"/>
                <w:szCs w:val="20"/>
              </w:rPr>
              <w:t>25</w:t>
            </w:r>
          </w:p>
        </w:tc>
        <w:tc>
          <w:tcPr>
            <w:tcW w:w="2702" w:type="dxa"/>
            <w:tcBorders>
              <w:top w:val="single" w:sz="4" w:space="0" w:color="auto"/>
            </w:tcBorders>
          </w:tcPr>
          <w:p w14:paraId="5FC92C65" w14:textId="77777777" w:rsidR="000F7AD3" w:rsidRDefault="00AD2271">
            <w:pPr>
              <w:pStyle w:val="NormalWeb"/>
              <w:ind w:firstLine="450"/>
              <w:rPr>
                <w:rFonts w:ascii="Arial" w:eastAsia="Calibri" w:hAnsi="Arial" w:cs="Arial"/>
                <w:color w:val="000000"/>
                <w:sz w:val="20"/>
                <w:szCs w:val="20"/>
                <w:vertAlign w:val="superscript"/>
              </w:rPr>
            </w:pPr>
            <w:r>
              <w:rPr>
                <w:rFonts w:ascii="Arial" w:eastAsia="Calibri" w:hAnsi="Arial" w:cs="Arial"/>
                <w:color w:val="000000"/>
                <w:sz w:val="20"/>
                <w:szCs w:val="20"/>
              </w:rPr>
              <w:t>76.00</w:t>
            </w:r>
            <w:r>
              <w:rPr>
                <w:rFonts w:ascii="Arial" w:eastAsia="Calibri" w:hAnsi="Arial" w:cs="Arial"/>
                <w:color w:val="000000"/>
                <w:sz w:val="20"/>
                <w:szCs w:val="20"/>
                <w:vertAlign w:val="superscript"/>
              </w:rPr>
              <w:t>a</w:t>
            </w:r>
          </w:p>
        </w:tc>
        <w:tc>
          <w:tcPr>
            <w:tcW w:w="1668" w:type="dxa"/>
            <w:tcBorders>
              <w:top w:val="single" w:sz="4" w:space="0" w:color="auto"/>
            </w:tcBorders>
          </w:tcPr>
          <w:p w14:paraId="77777C8F" w14:textId="77777777" w:rsidR="000F7AD3" w:rsidRDefault="00AD2271">
            <w:pPr>
              <w:pStyle w:val="NormalWeb"/>
              <w:rPr>
                <w:rFonts w:ascii="Arial" w:eastAsia="Calibri" w:hAnsi="Arial" w:cs="Arial"/>
                <w:color w:val="000000"/>
                <w:sz w:val="20"/>
                <w:szCs w:val="20"/>
              </w:rPr>
            </w:pPr>
            <w:r>
              <w:rPr>
                <w:rFonts w:ascii="Arial" w:eastAsia="Calibri" w:hAnsi="Arial" w:cs="Arial"/>
                <w:color w:val="000000"/>
                <w:sz w:val="20"/>
                <w:szCs w:val="20"/>
              </w:rPr>
              <w:t>0.921</w:t>
            </w:r>
          </w:p>
        </w:tc>
        <w:tc>
          <w:tcPr>
            <w:tcW w:w="1535" w:type="dxa"/>
            <w:tcBorders>
              <w:top w:val="single" w:sz="4" w:space="0" w:color="auto"/>
            </w:tcBorders>
          </w:tcPr>
          <w:p w14:paraId="0D4A0A3A" w14:textId="77777777" w:rsidR="000F7AD3" w:rsidRDefault="000F7AD3">
            <w:pPr>
              <w:pStyle w:val="NormalWeb"/>
              <w:ind w:firstLine="450"/>
              <w:rPr>
                <w:rFonts w:ascii="Arial" w:eastAsia="Calibri" w:hAnsi="Arial" w:cs="Arial"/>
                <w:color w:val="000000"/>
                <w:sz w:val="20"/>
                <w:szCs w:val="20"/>
              </w:rPr>
            </w:pPr>
          </w:p>
        </w:tc>
      </w:tr>
      <w:tr w:rsidR="000F7AD3" w14:paraId="583377BC" w14:textId="77777777">
        <w:trPr>
          <w:trHeight w:val="311"/>
          <w:jc w:val="center"/>
        </w:trPr>
        <w:tc>
          <w:tcPr>
            <w:tcW w:w="1819" w:type="dxa"/>
          </w:tcPr>
          <w:p w14:paraId="529EA05F" w14:textId="77777777" w:rsidR="000F7AD3" w:rsidRDefault="00AD2271">
            <w:pPr>
              <w:pStyle w:val="NormalWeb"/>
              <w:rPr>
                <w:rFonts w:ascii="Arial" w:eastAsia="Calibri" w:hAnsi="Arial" w:cs="Arial"/>
                <w:b/>
                <w:color w:val="000000"/>
                <w:sz w:val="20"/>
                <w:szCs w:val="20"/>
              </w:rPr>
            </w:pPr>
            <w:r>
              <w:rPr>
                <w:rFonts w:ascii="Arial" w:eastAsia="Calibri" w:hAnsi="Arial" w:cs="Arial"/>
                <w:b/>
                <w:color w:val="000000"/>
                <w:sz w:val="20"/>
                <w:szCs w:val="20"/>
              </w:rPr>
              <w:t>4 weeks</w:t>
            </w:r>
          </w:p>
        </w:tc>
        <w:tc>
          <w:tcPr>
            <w:tcW w:w="1971" w:type="dxa"/>
          </w:tcPr>
          <w:p w14:paraId="3811E745" w14:textId="77777777" w:rsidR="000F7AD3" w:rsidRDefault="00AD2271">
            <w:pPr>
              <w:pStyle w:val="NormalWeb"/>
              <w:ind w:firstLine="450"/>
              <w:rPr>
                <w:rFonts w:ascii="Arial" w:eastAsia="Calibri" w:hAnsi="Arial" w:cs="Arial"/>
                <w:color w:val="000000"/>
                <w:sz w:val="20"/>
                <w:szCs w:val="20"/>
              </w:rPr>
            </w:pPr>
            <w:r>
              <w:rPr>
                <w:rFonts w:ascii="Arial" w:eastAsia="Calibri" w:hAnsi="Arial" w:cs="Arial"/>
                <w:color w:val="000000"/>
                <w:sz w:val="20"/>
                <w:szCs w:val="20"/>
              </w:rPr>
              <w:t>25</w:t>
            </w:r>
          </w:p>
        </w:tc>
        <w:tc>
          <w:tcPr>
            <w:tcW w:w="2702" w:type="dxa"/>
          </w:tcPr>
          <w:p w14:paraId="7AD0594F" w14:textId="77777777" w:rsidR="000F7AD3" w:rsidRDefault="00AD2271">
            <w:pPr>
              <w:pStyle w:val="NormalWeb"/>
              <w:ind w:firstLine="450"/>
              <w:rPr>
                <w:rFonts w:ascii="Arial" w:eastAsia="Calibri" w:hAnsi="Arial" w:cs="Arial"/>
                <w:color w:val="000000"/>
                <w:sz w:val="20"/>
                <w:szCs w:val="20"/>
                <w:vertAlign w:val="superscript"/>
              </w:rPr>
            </w:pPr>
            <w:r>
              <w:rPr>
                <w:rFonts w:ascii="Arial" w:eastAsia="Calibri" w:hAnsi="Arial" w:cs="Arial"/>
                <w:color w:val="000000"/>
                <w:sz w:val="20"/>
                <w:szCs w:val="20"/>
              </w:rPr>
              <w:t>102.00</w:t>
            </w:r>
            <w:r>
              <w:rPr>
                <w:rFonts w:ascii="Arial" w:eastAsia="Calibri" w:hAnsi="Arial" w:cs="Arial"/>
                <w:color w:val="000000"/>
                <w:sz w:val="20"/>
                <w:szCs w:val="20"/>
                <w:vertAlign w:val="superscript"/>
              </w:rPr>
              <w:t>b</w:t>
            </w:r>
          </w:p>
        </w:tc>
        <w:tc>
          <w:tcPr>
            <w:tcW w:w="1668" w:type="dxa"/>
          </w:tcPr>
          <w:p w14:paraId="4B11E598" w14:textId="77777777" w:rsidR="000F7AD3" w:rsidRDefault="00AD2271">
            <w:pPr>
              <w:pStyle w:val="NormalWeb"/>
              <w:rPr>
                <w:rFonts w:ascii="Arial" w:eastAsia="Calibri" w:hAnsi="Arial" w:cs="Arial"/>
                <w:color w:val="000000"/>
                <w:sz w:val="20"/>
                <w:szCs w:val="20"/>
              </w:rPr>
            </w:pPr>
            <w:r>
              <w:rPr>
                <w:rFonts w:ascii="Arial" w:eastAsia="Calibri" w:hAnsi="Arial" w:cs="Arial"/>
                <w:color w:val="000000"/>
                <w:sz w:val="20"/>
                <w:szCs w:val="20"/>
              </w:rPr>
              <w:t>1.236</w:t>
            </w:r>
          </w:p>
        </w:tc>
        <w:tc>
          <w:tcPr>
            <w:tcW w:w="1535" w:type="dxa"/>
          </w:tcPr>
          <w:p w14:paraId="16DF1E9B" w14:textId="77777777" w:rsidR="000F7AD3" w:rsidRDefault="00AD2271">
            <w:pPr>
              <w:pStyle w:val="NormalWeb"/>
              <w:rPr>
                <w:rFonts w:ascii="Arial" w:eastAsia="Calibri" w:hAnsi="Arial" w:cs="Arial"/>
                <w:color w:val="000000"/>
                <w:sz w:val="20"/>
                <w:szCs w:val="20"/>
              </w:rPr>
            </w:pPr>
            <w:r>
              <w:rPr>
                <w:rFonts w:ascii="Arial" w:eastAsia="Calibri" w:hAnsi="Arial" w:cs="Arial"/>
                <w:color w:val="000000"/>
                <w:sz w:val="20"/>
                <w:szCs w:val="20"/>
              </w:rPr>
              <w:t>0.858</w:t>
            </w:r>
          </w:p>
        </w:tc>
      </w:tr>
      <w:tr w:rsidR="000F7AD3" w14:paraId="1E91A552" w14:textId="77777777">
        <w:trPr>
          <w:trHeight w:val="288"/>
          <w:jc w:val="center"/>
        </w:trPr>
        <w:tc>
          <w:tcPr>
            <w:tcW w:w="1819" w:type="dxa"/>
          </w:tcPr>
          <w:p w14:paraId="35F0C75E" w14:textId="77777777" w:rsidR="000F7AD3" w:rsidRDefault="00AD2271">
            <w:pPr>
              <w:pStyle w:val="NormalWeb"/>
              <w:rPr>
                <w:rFonts w:ascii="Arial" w:eastAsia="Calibri" w:hAnsi="Arial" w:cs="Arial"/>
                <w:b/>
                <w:color w:val="000000"/>
                <w:sz w:val="20"/>
                <w:szCs w:val="20"/>
              </w:rPr>
            </w:pPr>
            <w:r>
              <w:rPr>
                <w:rFonts w:ascii="Arial" w:eastAsia="Calibri" w:hAnsi="Arial" w:cs="Arial"/>
                <w:b/>
                <w:color w:val="000000"/>
                <w:sz w:val="20"/>
                <w:szCs w:val="20"/>
              </w:rPr>
              <w:t>5 weeks</w:t>
            </w:r>
          </w:p>
        </w:tc>
        <w:tc>
          <w:tcPr>
            <w:tcW w:w="1971" w:type="dxa"/>
          </w:tcPr>
          <w:p w14:paraId="6BE02DC1" w14:textId="77777777" w:rsidR="000F7AD3" w:rsidRDefault="00AD2271">
            <w:pPr>
              <w:pStyle w:val="NormalWeb"/>
              <w:ind w:firstLine="450"/>
              <w:rPr>
                <w:rFonts w:ascii="Arial" w:eastAsia="Calibri" w:hAnsi="Arial" w:cs="Arial"/>
                <w:color w:val="000000"/>
                <w:sz w:val="20"/>
                <w:szCs w:val="20"/>
              </w:rPr>
            </w:pPr>
            <w:r>
              <w:rPr>
                <w:rFonts w:ascii="Arial" w:eastAsia="Calibri" w:hAnsi="Arial" w:cs="Arial"/>
                <w:color w:val="000000"/>
                <w:sz w:val="20"/>
                <w:szCs w:val="20"/>
              </w:rPr>
              <w:t>30</w:t>
            </w:r>
          </w:p>
        </w:tc>
        <w:tc>
          <w:tcPr>
            <w:tcW w:w="2702" w:type="dxa"/>
          </w:tcPr>
          <w:p w14:paraId="1FB504D0" w14:textId="77777777" w:rsidR="000F7AD3" w:rsidRDefault="00AD2271">
            <w:pPr>
              <w:pStyle w:val="NormalWeb"/>
              <w:ind w:firstLine="450"/>
              <w:rPr>
                <w:rFonts w:ascii="Arial" w:eastAsia="Calibri" w:hAnsi="Arial" w:cs="Arial"/>
                <w:color w:val="000000"/>
                <w:sz w:val="20"/>
                <w:szCs w:val="20"/>
                <w:vertAlign w:val="superscript"/>
              </w:rPr>
            </w:pPr>
            <w:r>
              <w:rPr>
                <w:rFonts w:ascii="Arial" w:eastAsia="Calibri" w:hAnsi="Arial" w:cs="Arial"/>
                <w:color w:val="000000"/>
                <w:sz w:val="20"/>
                <w:szCs w:val="20"/>
              </w:rPr>
              <w:t>68.33</w:t>
            </w:r>
            <w:r>
              <w:rPr>
                <w:rFonts w:ascii="Arial" w:eastAsia="Calibri" w:hAnsi="Arial" w:cs="Arial"/>
                <w:color w:val="000000"/>
                <w:sz w:val="20"/>
                <w:szCs w:val="20"/>
                <w:vertAlign w:val="superscript"/>
              </w:rPr>
              <w:t>c</w:t>
            </w:r>
          </w:p>
        </w:tc>
        <w:tc>
          <w:tcPr>
            <w:tcW w:w="1668" w:type="dxa"/>
          </w:tcPr>
          <w:p w14:paraId="1DFFD8FC" w14:textId="77777777" w:rsidR="000F7AD3" w:rsidRDefault="00AD2271">
            <w:pPr>
              <w:pStyle w:val="NormalWeb"/>
              <w:rPr>
                <w:rFonts w:ascii="Arial" w:eastAsia="Calibri" w:hAnsi="Arial" w:cs="Arial"/>
                <w:color w:val="000000"/>
                <w:sz w:val="20"/>
                <w:szCs w:val="20"/>
              </w:rPr>
            </w:pPr>
            <w:r>
              <w:rPr>
                <w:rFonts w:ascii="Arial" w:eastAsia="Calibri" w:hAnsi="Arial" w:cs="Arial"/>
                <w:color w:val="000000"/>
                <w:sz w:val="20"/>
                <w:szCs w:val="20"/>
              </w:rPr>
              <w:t>0.828</w:t>
            </w:r>
          </w:p>
        </w:tc>
        <w:tc>
          <w:tcPr>
            <w:tcW w:w="1535" w:type="dxa"/>
          </w:tcPr>
          <w:p w14:paraId="4B9F8FB1" w14:textId="77777777" w:rsidR="000F7AD3" w:rsidRDefault="000F7AD3">
            <w:pPr>
              <w:pStyle w:val="NormalWeb"/>
              <w:ind w:firstLine="450"/>
              <w:rPr>
                <w:rFonts w:ascii="Arial" w:eastAsia="Calibri" w:hAnsi="Arial" w:cs="Arial"/>
                <w:color w:val="000000"/>
                <w:sz w:val="20"/>
                <w:szCs w:val="20"/>
              </w:rPr>
            </w:pPr>
          </w:p>
        </w:tc>
      </w:tr>
      <w:tr w:rsidR="000F7AD3" w14:paraId="0B4A2464" w14:textId="77777777">
        <w:trPr>
          <w:trHeight w:val="311"/>
          <w:jc w:val="center"/>
        </w:trPr>
        <w:tc>
          <w:tcPr>
            <w:tcW w:w="1819" w:type="dxa"/>
          </w:tcPr>
          <w:p w14:paraId="5D5670ED" w14:textId="77777777" w:rsidR="000F7AD3" w:rsidRDefault="00AD2271">
            <w:pPr>
              <w:pStyle w:val="NormalWeb"/>
              <w:rPr>
                <w:rFonts w:ascii="Arial" w:eastAsia="Calibri" w:hAnsi="Arial" w:cs="Arial"/>
                <w:b/>
                <w:color w:val="000000"/>
                <w:sz w:val="20"/>
                <w:szCs w:val="20"/>
              </w:rPr>
            </w:pPr>
            <w:r>
              <w:rPr>
                <w:rFonts w:ascii="Arial" w:eastAsia="Calibri" w:hAnsi="Arial" w:cs="Arial"/>
                <w:b/>
                <w:color w:val="000000"/>
                <w:sz w:val="20"/>
                <w:szCs w:val="20"/>
              </w:rPr>
              <w:t>6 weeks</w:t>
            </w:r>
          </w:p>
        </w:tc>
        <w:tc>
          <w:tcPr>
            <w:tcW w:w="1971" w:type="dxa"/>
          </w:tcPr>
          <w:p w14:paraId="7B38F74F" w14:textId="77777777" w:rsidR="000F7AD3" w:rsidRDefault="00AD2271">
            <w:pPr>
              <w:pStyle w:val="NormalWeb"/>
              <w:ind w:firstLine="450"/>
              <w:rPr>
                <w:rFonts w:ascii="Arial" w:eastAsia="Calibri" w:hAnsi="Arial" w:cs="Arial"/>
                <w:color w:val="000000"/>
                <w:sz w:val="20"/>
                <w:szCs w:val="20"/>
              </w:rPr>
            </w:pPr>
            <w:r>
              <w:rPr>
                <w:rFonts w:ascii="Arial" w:eastAsia="Calibri" w:hAnsi="Arial" w:cs="Arial"/>
                <w:color w:val="000000"/>
                <w:sz w:val="20"/>
                <w:szCs w:val="20"/>
              </w:rPr>
              <w:t>20</w:t>
            </w:r>
          </w:p>
        </w:tc>
        <w:tc>
          <w:tcPr>
            <w:tcW w:w="2702" w:type="dxa"/>
          </w:tcPr>
          <w:p w14:paraId="4DA645D4" w14:textId="77777777" w:rsidR="000F7AD3" w:rsidRDefault="00AD2271">
            <w:pPr>
              <w:pStyle w:val="NormalWeb"/>
              <w:ind w:firstLine="450"/>
              <w:rPr>
                <w:rFonts w:ascii="Arial" w:eastAsia="Calibri" w:hAnsi="Arial" w:cs="Arial"/>
                <w:color w:val="000000"/>
                <w:sz w:val="20"/>
                <w:szCs w:val="20"/>
                <w:vertAlign w:val="superscript"/>
              </w:rPr>
            </w:pPr>
            <w:r>
              <w:rPr>
                <w:rFonts w:ascii="Arial" w:eastAsia="Calibri" w:hAnsi="Arial" w:cs="Arial"/>
                <w:color w:val="000000"/>
                <w:sz w:val="20"/>
                <w:szCs w:val="20"/>
              </w:rPr>
              <w:t>82.00</w:t>
            </w:r>
            <w:r>
              <w:rPr>
                <w:rFonts w:ascii="Arial" w:eastAsia="Calibri" w:hAnsi="Arial" w:cs="Arial"/>
                <w:color w:val="000000"/>
                <w:sz w:val="20"/>
                <w:szCs w:val="20"/>
                <w:vertAlign w:val="superscript"/>
              </w:rPr>
              <w:t>a</w:t>
            </w:r>
          </w:p>
        </w:tc>
        <w:tc>
          <w:tcPr>
            <w:tcW w:w="1668" w:type="dxa"/>
          </w:tcPr>
          <w:p w14:paraId="7A993155" w14:textId="77777777" w:rsidR="000F7AD3" w:rsidRDefault="00AD2271">
            <w:pPr>
              <w:pStyle w:val="NormalWeb"/>
              <w:rPr>
                <w:rFonts w:ascii="Arial" w:eastAsia="Calibri" w:hAnsi="Arial" w:cs="Arial"/>
                <w:color w:val="000000"/>
                <w:sz w:val="20"/>
                <w:szCs w:val="20"/>
              </w:rPr>
            </w:pPr>
            <w:r>
              <w:rPr>
                <w:rFonts w:ascii="Arial" w:eastAsia="Calibri" w:hAnsi="Arial" w:cs="Arial"/>
                <w:color w:val="000000"/>
                <w:sz w:val="20"/>
                <w:szCs w:val="20"/>
              </w:rPr>
              <w:t>1</w:t>
            </w:r>
          </w:p>
        </w:tc>
        <w:tc>
          <w:tcPr>
            <w:tcW w:w="1535" w:type="dxa"/>
          </w:tcPr>
          <w:p w14:paraId="7EBD12EF" w14:textId="77777777" w:rsidR="000F7AD3" w:rsidRDefault="000F7AD3">
            <w:pPr>
              <w:pStyle w:val="NormalWeb"/>
              <w:ind w:firstLine="450"/>
              <w:rPr>
                <w:rFonts w:ascii="Arial" w:eastAsia="Calibri" w:hAnsi="Arial" w:cs="Arial"/>
                <w:color w:val="000000"/>
                <w:sz w:val="20"/>
                <w:szCs w:val="20"/>
              </w:rPr>
            </w:pPr>
          </w:p>
        </w:tc>
      </w:tr>
    </w:tbl>
    <w:p w14:paraId="0C9E9604" w14:textId="77777777" w:rsidR="000F7AD3" w:rsidRDefault="00AD2271">
      <w:pPr>
        <w:pStyle w:val="NormalWeb"/>
        <w:jc w:val="both"/>
        <w:rPr>
          <w:rFonts w:ascii="Arial" w:eastAsia="Calibri" w:hAnsi="Arial" w:cs="Arial"/>
          <w:color w:val="000000"/>
          <w:sz w:val="20"/>
          <w:szCs w:val="20"/>
        </w:rPr>
      </w:pPr>
      <w:r>
        <w:rPr>
          <w:rFonts w:ascii="Arial" w:eastAsia="Calibri" w:hAnsi="Arial" w:cs="Arial"/>
          <w:color w:val="000000"/>
          <w:sz w:val="20"/>
          <w:szCs w:val="20"/>
        </w:rPr>
        <w:t xml:space="preserve">Means within a column with a common superscript do not differ significantly (P˃0.05), EMM- Estimated Marginal Means, </w:t>
      </w:r>
      <w:proofErr w:type="spellStart"/>
      <w:r>
        <w:rPr>
          <w:rFonts w:ascii="Arial" w:eastAsia="Calibri" w:hAnsi="Arial" w:cs="Arial"/>
          <w:color w:val="000000"/>
          <w:sz w:val="20"/>
          <w:szCs w:val="20"/>
        </w:rPr>
        <w:t>Exp.B</w:t>
      </w:r>
      <w:proofErr w:type="spellEnd"/>
      <w:r>
        <w:rPr>
          <w:rFonts w:ascii="Arial" w:eastAsia="Calibri" w:hAnsi="Arial" w:cs="Arial"/>
          <w:color w:val="000000"/>
          <w:sz w:val="20"/>
          <w:szCs w:val="20"/>
        </w:rPr>
        <w:t>- Exponential Beta</w:t>
      </w:r>
    </w:p>
    <w:p w14:paraId="162A9CA1" w14:textId="3DC7BC3E" w:rsidR="000F7AD3" w:rsidRDefault="00AD2271">
      <w:pPr>
        <w:pStyle w:val="NormalWeb"/>
        <w:spacing w:before="0" w:after="0"/>
        <w:jc w:val="both"/>
        <w:rPr>
          <w:rFonts w:ascii="Arial" w:eastAsia="Calibri" w:hAnsi="Arial" w:cs="Arial"/>
          <w:b/>
          <w:bCs/>
          <w:color w:val="000000"/>
          <w:sz w:val="20"/>
          <w:szCs w:val="20"/>
        </w:rPr>
      </w:pPr>
      <w:bookmarkStart w:id="17" w:name="_Toc7716"/>
      <w:bookmarkStart w:id="18" w:name="_Toc32057"/>
      <w:bookmarkStart w:id="19" w:name="_Toc30223"/>
      <w:bookmarkStart w:id="20" w:name="_Toc45388271"/>
      <w:bookmarkStart w:id="21" w:name="_Toc1692"/>
      <w:bookmarkStart w:id="22" w:name="_Toc7591"/>
      <w:r>
        <w:rPr>
          <w:rFonts w:ascii="Arial" w:eastAsia="Calibri" w:hAnsi="Arial" w:cs="Arial"/>
          <w:b/>
          <w:bCs/>
          <w:color w:val="000000"/>
          <w:sz w:val="20"/>
          <w:szCs w:val="20"/>
        </w:rPr>
        <w:t>3.2 The effect of regions on fecal nematodes, coccidia and cestodes in broilers</w:t>
      </w:r>
      <w:bookmarkEnd w:id="17"/>
      <w:bookmarkEnd w:id="18"/>
      <w:bookmarkEnd w:id="19"/>
      <w:bookmarkEnd w:id="20"/>
      <w:bookmarkEnd w:id="21"/>
      <w:bookmarkEnd w:id="22"/>
    </w:p>
    <w:p w14:paraId="3843CC6C" w14:textId="2AB95196" w:rsidR="000F7AD3" w:rsidRDefault="00AD2271" w:rsidP="00F46E2A">
      <w:pPr>
        <w:spacing w:before="100" w:beforeAutospacing="1" w:after="100" w:afterAutospacing="1"/>
        <w:jc w:val="both"/>
        <w:rPr>
          <w:rFonts w:ascii="Arial" w:eastAsia="Calibri" w:hAnsi="Arial" w:cs="Arial"/>
          <w:color w:val="000000"/>
        </w:rPr>
      </w:pPr>
      <w:r>
        <w:rPr>
          <w:rFonts w:ascii="Arial" w:eastAsia="Calibri" w:hAnsi="Arial" w:cs="Arial"/>
          <w:color w:val="000000"/>
        </w:rPr>
        <w:t>Coccidia w</w:t>
      </w:r>
      <w:r w:rsidR="003F28C2">
        <w:rPr>
          <w:rFonts w:ascii="Arial" w:eastAsia="Calibri" w:hAnsi="Arial" w:cs="Arial"/>
          <w:color w:val="000000"/>
        </w:rPr>
        <w:t>ere</w:t>
      </w:r>
      <w:r>
        <w:rPr>
          <w:rFonts w:ascii="Arial" w:eastAsia="Calibri" w:hAnsi="Arial" w:cs="Arial"/>
          <w:color w:val="000000"/>
        </w:rPr>
        <w:t xml:space="preserve"> the most important group of gastrointestinal </w:t>
      </w:r>
      <w:r w:rsidRPr="00F46E2A">
        <w:rPr>
          <w:rFonts w:ascii="Arial" w:eastAsia="Calibri" w:hAnsi="Arial" w:cs="Arial"/>
          <w:color w:val="000000"/>
        </w:rPr>
        <w:t xml:space="preserve">parasites in broilers. The results shown in the current study (Table 2) revealed that broiler birds in </w:t>
      </w:r>
      <w:r w:rsidR="00F46E2A" w:rsidRPr="00765733">
        <w:rPr>
          <w:rFonts w:ascii="Arial" w:hAnsi="Arial" w:cs="Arial"/>
          <w:lang w:eastAsia="en-GB"/>
        </w:rPr>
        <w:t>semi-urban areas had a higher faecal egg count (EMM = 1019.8) than those in urban areas (EMM = 299.6). The difference in coccidia prevalence was statistically significant (P &lt; 0.05). This indicates that broilers in semi-urban areas faced greater risk of coccidia infection.</w:t>
      </w:r>
      <w:r w:rsidR="00F46E2A" w:rsidRPr="00F46E2A">
        <w:rPr>
          <w:rFonts w:ascii="Arial" w:hAnsi="Arial" w:cs="Arial"/>
          <w:lang w:eastAsia="en-GB"/>
        </w:rPr>
        <w:t xml:space="preserve"> </w:t>
      </w:r>
      <w:r w:rsidRPr="00F46E2A">
        <w:rPr>
          <w:rFonts w:ascii="Arial" w:eastAsia="Calibri" w:hAnsi="Arial" w:cs="Arial"/>
          <w:color w:val="000000"/>
        </w:rPr>
        <w:t xml:space="preserve">Therefore, this means that the chances of broiler chickens in semi-urban area being infected by coccidia increase </w:t>
      </w:r>
      <w:r w:rsidRPr="00AA5B9B">
        <w:rPr>
          <w:rFonts w:ascii="Arial" w:eastAsia="Calibri" w:hAnsi="Arial" w:cs="Arial"/>
          <w:color w:val="000000"/>
        </w:rPr>
        <w:t>with 1 time compared to chances of broiler chickens in urban area be</w:t>
      </w:r>
      <w:r w:rsidR="003F28C2" w:rsidRPr="00AA5B9B">
        <w:rPr>
          <w:rFonts w:ascii="Arial" w:eastAsia="Calibri" w:hAnsi="Arial" w:cs="Arial"/>
          <w:color w:val="000000"/>
        </w:rPr>
        <w:t>ing</w:t>
      </w:r>
      <w:r w:rsidRPr="00AA5B9B">
        <w:rPr>
          <w:rFonts w:ascii="Arial" w:eastAsia="Calibri" w:hAnsi="Arial" w:cs="Arial"/>
          <w:color w:val="000000"/>
        </w:rPr>
        <w:t xml:space="preserve"> infected by coccidia with 0.294 less. Also, nematodes and Cestodes infection rate w</w:t>
      </w:r>
      <w:r w:rsidR="003F28C2" w:rsidRPr="00AA5B9B">
        <w:rPr>
          <w:rFonts w:ascii="Arial" w:eastAsia="Calibri" w:hAnsi="Arial" w:cs="Arial"/>
          <w:color w:val="000000"/>
        </w:rPr>
        <w:t>ere</w:t>
      </w:r>
      <w:r w:rsidRPr="00AA5B9B">
        <w:rPr>
          <w:rFonts w:ascii="Arial" w:eastAsia="Calibri" w:hAnsi="Arial" w:cs="Arial"/>
          <w:color w:val="000000"/>
        </w:rPr>
        <w:t xml:space="preserve"> predominately higher in urban area</w:t>
      </w:r>
      <w:r w:rsidR="003F28C2" w:rsidRPr="00AA5B9B">
        <w:rPr>
          <w:rFonts w:ascii="Arial" w:eastAsia="Calibri" w:hAnsi="Arial" w:cs="Arial"/>
          <w:color w:val="000000"/>
        </w:rPr>
        <w:t>s</w:t>
      </w:r>
      <w:r w:rsidRPr="00AA5B9B">
        <w:rPr>
          <w:rFonts w:ascii="Arial" w:eastAsia="Calibri" w:hAnsi="Arial" w:cs="Arial"/>
          <w:color w:val="000000"/>
        </w:rPr>
        <w:t xml:space="preserve"> with chances of infection being 1.105 and 1.233 times as compared to chance of infection in broiler chickens from semi-urban area and the </w:t>
      </w:r>
      <w:r w:rsidRPr="00AA5B9B">
        <w:rPr>
          <w:rFonts w:ascii="Arial" w:eastAsia="Calibri" w:hAnsi="Arial" w:cs="Arial"/>
          <w:color w:val="000000"/>
          <w:lang w:val="en-GB"/>
        </w:rPr>
        <w:t>faecal egg count</w:t>
      </w:r>
      <w:r w:rsidRPr="00AA5B9B">
        <w:rPr>
          <w:rFonts w:ascii="Arial" w:eastAsia="Calibri" w:hAnsi="Arial" w:cs="Arial"/>
          <w:color w:val="000000"/>
        </w:rPr>
        <w:t xml:space="preserve"> of nematode and cestode was not significantly different (p˃0.05) between the two agro-ecology. </w:t>
      </w:r>
      <w:r w:rsidR="00AA5B9B" w:rsidRPr="00765733">
        <w:rPr>
          <w:rFonts w:ascii="Arial" w:hAnsi="Arial" w:cs="Arial"/>
          <w:lang w:eastAsia="en-GB"/>
        </w:rPr>
        <w:t>Coccidia were significantly more prevalent in semi-urban areas (mean FEC 1019.8; p&lt;0.05), while nematodes and cestodes were more frequent in urban broilers, though not significantly different (p&gt;0.05).</w:t>
      </w:r>
      <w:r w:rsidR="00AA5B9B">
        <w:rPr>
          <w:rFonts w:ascii="Arial" w:hAnsi="Arial" w:cs="Arial"/>
          <w:lang w:eastAsia="en-GB"/>
        </w:rPr>
        <w:t xml:space="preserve"> </w:t>
      </w:r>
      <w:r w:rsidRPr="00AA5B9B">
        <w:rPr>
          <w:rFonts w:ascii="Arial" w:eastAsia="Calibri" w:hAnsi="Arial" w:cs="Arial"/>
          <w:color w:val="000000"/>
        </w:rPr>
        <w:t xml:space="preserve">The findings of the current study showed a variation in infestation load of GITs as result of differences in management system, control practices in the farms and seasonal differences. However, </w:t>
      </w:r>
      <w:proofErr w:type="spellStart"/>
      <w:r w:rsidRPr="00AA5B9B">
        <w:rPr>
          <w:rFonts w:ascii="Arial" w:eastAsia="Calibri" w:hAnsi="Arial" w:cs="Arial"/>
          <w:color w:val="000000"/>
        </w:rPr>
        <w:t>Ashenafi</w:t>
      </w:r>
      <w:proofErr w:type="spellEnd"/>
      <w:r w:rsidRPr="00AA5B9B">
        <w:rPr>
          <w:rFonts w:ascii="Arial" w:eastAsia="Calibri" w:hAnsi="Arial" w:cs="Arial"/>
          <w:color w:val="000000"/>
        </w:rPr>
        <w:t xml:space="preserve"> </w:t>
      </w:r>
      <w:r w:rsidRPr="00AA5B9B">
        <w:rPr>
          <w:rFonts w:ascii="Arial" w:eastAsia="Calibri" w:hAnsi="Arial" w:cs="Arial"/>
          <w:i/>
          <w:color w:val="000000"/>
        </w:rPr>
        <w:t>et al</w:t>
      </w:r>
      <w:r w:rsidRPr="00AA5B9B">
        <w:rPr>
          <w:rFonts w:ascii="Arial" w:eastAsia="Calibri" w:hAnsi="Arial" w:cs="Arial"/>
          <w:color w:val="000000"/>
        </w:rPr>
        <w:t xml:space="preserve">, (2002) confirmed that the incidence of Coccidia varies with different climatic conditions. High prevalence might be attributed to highly humid geographical areas which favors </w:t>
      </w:r>
      <w:r w:rsidR="00C424AC" w:rsidRPr="00AA5B9B">
        <w:rPr>
          <w:rFonts w:ascii="Arial" w:eastAsia="Calibri" w:hAnsi="Arial" w:cs="Arial"/>
          <w:color w:val="000000"/>
        </w:rPr>
        <w:t>oocyst</w:t>
      </w:r>
      <w:r w:rsidRPr="00AA5B9B">
        <w:rPr>
          <w:rFonts w:ascii="Arial" w:eastAsia="Calibri" w:hAnsi="Arial" w:cs="Arial"/>
          <w:color w:val="000000"/>
        </w:rPr>
        <w:t xml:space="preserve"> sporulation and poor management practices which encourage build-up of </w:t>
      </w:r>
      <w:r w:rsidR="00C424AC" w:rsidRPr="00AA5B9B">
        <w:rPr>
          <w:rFonts w:ascii="Arial" w:eastAsia="Calibri" w:hAnsi="Arial" w:cs="Arial"/>
          <w:color w:val="000000"/>
        </w:rPr>
        <w:t>oocysts</w:t>
      </w:r>
      <w:r w:rsidRPr="00AA5B9B">
        <w:rPr>
          <w:rFonts w:ascii="Arial" w:eastAsia="Calibri" w:hAnsi="Arial" w:cs="Arial"/>
          <w:color w:val="000000"/>
        </w:rPr>
        <w:t xml:space="preserve"> of </w:t>
      </w:r>
      <w:r w:rsidR="00C424AC" w:rsidRPr="00AA5B9B">
        <w:rPr>
          <w:rFonts w:ascii="Arial" w:eastAsia="Calibri" w:hAnsi="Arial" w:cs="Arial"/>
          <w:i/>
          <w:color w:val="000000"/>
        </w:rPr>
        <w:t>Eimeria</w:t>
      </w:r>
      <w:r w:rsidRPr="00AA5B9B">
        <w:rPr>
          <w:rFonts w:ascii="Arial" w:eastAsia="Calibri" w:hAnsi="Arial" w:cs="Arial"/>
          <w:color w:val="000000"/>
        </w:rPr>
        <w:t xml:space="preserve"> and lack of regular disposal </w:t>
      </w:r>
      <w:r w:rsidR="003F28C2" w:rsidRPr="00AA5B9B">
        <w:rPr>
          <w:rFonts w:ascii="Arial" w:eastAsia="Calibri" w:hAnsi="Arial" w:cs="Arial"/>
          <w:color w:val="000000"/>
        </w:rPr>
        <w:t xml:space="preserve">of </w:t>
      </w:r>
      <w:r w:rsidRPr="00AA5B9B">
        <w:rPr>
          <w:rFonts w:ascii="Arial" w:eastAsia="Calibri" w:hAnsi="Arial" w:cs="Arial"/>
          <w:color w:val="000000"/>
        </w:rPr>
        <w:t>litter. The current study also revealed lower Cestode estimated marginal mean in broilers. Furthermore, there was possible odds for broilers in having increased Cestode infestation rate with 90 Estimated Marginal Mean if they were reared in</w:t>
      </w:r>
      <w:r>
        <w:rPr>
          <w:rFonts w:ascii="Arial" w:eastAsia="Calibri" w:hAnsi="Arial" w:cs="Arial"/>
          <w:color w:val="000000"/>
        </w:rPr>
        <w:t xml:space="preserve"> urban areas than in semi-urban area (p˃0.05). The lower Cestode infestation intensity in the present study might be </w:t>
      </w:r>
      <w:r w:rsidR="003F28C2">
        <w:rPr>
          <w:rFonts w:ascii="Arial" w:eastAsia="Calibri" w:hAnsi="Arial" w:cs="Arial"/>
          <w:color w:val="000000"/>
        </w:rPr>
        <w:t>because</w:t>
      </w:r>
      <w:r>
        <w:rPr>
          <w:rFonts w:ascii="Arial" w:eastAsia="Calibri" w:hAnsi="Arial" w:cs="Arial"/>
          <w:color w:val="000000"/>
        </w:rPr>
        <w:t xml:space="preserve"> Cestode quality was mostly lost before being shed with </w:t>
      </w:r>
      <w:proofErr w:type="spellStart"/>
      <w:r>
        <w:rPr>
          <w:rFonts w:ascii="Arial" w:eastAsia="Calibri" w:hAnsi="Arial" w:cs="Arial"/>
          <w:color w:val="000000"/>
        </w:rPr>
        <w:t>faeces</w:t>
      </w:r>
      <w:proofErr w:type="spellEnd"/>
      <w:r>
        <w:rPr>
          <w:rFonts w:ascii="Arial" w:eastAsia="Calibri" w:hAnsi="Arial" w:cs="Arial"/>
          <w:color w:val="000000"/>
        </w:rPr>
        <w:t xml:space="preserve"> and even the eggs were distributed unequally within the </w:t>
      </w:r>
      <w:r w:rsidR="00C424AC">
        <w:rPr>
          <w:rFonts w:ascii="Arial" w:eastAsia="Calibri" w:hAnsi="Arial" w:cs="Arial"/>
          <w:color w:val="000000"/>
        </w:rPr>
        <w:t>fecal</w:t>
      </w:r>
      <w:r>
        <w:rPr>
          <w:rFonts w:ascii="Arial" w:eastAsia="Calibri" w:hAnsi="Arial" w:cs="Arial"/>
          <w:color w:val="000000"/>
        </w:rPr>
        <w:t xml:space="preserve"> masses (</w:t>
      </w:r>
      <w:proofErr w:type="spellStart"/>
      <w:r>
        <w:rPr>
          <w:rFonts w:ascii="Arial" w:eastAsia="Calibri" w:hAnsi="Arial" w:cs="Arial"/>
          <w:color w:val="000000"/>
        </w:rPr>
        <w:t>Nilsoon</w:t>
      </w:r>
      <w:proofErr w:type="spellEnd"/>
      <w:r>
        <w:rPr>
          <w:rFonts w:ascii="Arial" w:eastAsia="Calibri" w:hAnsi="Arial" w:cs="Arial"/>
          <w:color w:val="000000"/>
        </w:rPr>
        <w:t xml:space="preserve"> </w:t>
      </w:r>
      <w:r>
        <w:rPr>
          <w:rFonts w:ascii="Arial" w:eastAsia="Calibri" w:hAnsi="Arial" w:cs="Arial"/>
          <w:i/>
          <w:color w:val="000000"/>
        </w:rPr>
        <w:t xml:space="preserve">et al., </w:t>
      </w:r>
      <w:r>
        <w:rPr>
          <w:rFonts w:ascii="Arial" w:eastAsia="Calibri" w:hAnsi="Arial" w:cs="Arial"/>
          <w:color w:val="000000"/>
        </w:rPr>
        <w:t xml:space="preserve">1995). Apart from that, </w:t>
      </w:r>
      <w:proofErr w:type="spellStart"/>
      <w:r>
        <w:rPr>
          <w:rFonts w:ascii="Arial" w:eastAsia="Calibri" w:hAnsi="Arial" w:cs="Arial"/>
          <w:color w:val="000000"/>
        </w:rPr>
        <w:t>Meuna</w:t>
      </w:r>
      <w:proofErr w:type="spellEnd"/>
      <w:r>
        <w:rPr>
          <w:rFonts w:ascii="Arial" w:eastAsia="Calibri" w:hAnsi="Arial" w:cs="Arial"/>
          <w:color w:val="000000"/>
        </w:rPr>
        <w:t xml:space="preserve"> </w:t>
      </w:r>
      <w:r>
        <w:rPr>
          <w:rFonts w:ascii="Arial" w:eastAsia="Calibri" w:hAnsi="Arial" w:cs="Arial"/>
          <w:i/>
          <w:color w:val="000000"/>
        </w:rPr>
        <w:t>et al</w:t>
      </w:r>
      <w:r>
        <w:rPr>
          <w:rFonts w:ascii="Arial" w:eastAsia="Calibri" w:hAnsi="Arial" w:cs="Arial"/>
          <w:color w:val="000000"/>
        </w:rPr>
        <w:t>, (1998) stated that, floatation technique was inadequate for the complete diagnosis of tapeworm eggs in chickens.</w:t>
      </w:r>
    </w:p>
    <w:p w14:paraId="29552CE2" w14:textId="77777777" w:rsidR="00C424AC" w:rsidRDefault="00C424AC" w:rsidP="00F46E2A">
      <w:pPr>
        <w:spacing w:before="100" w:beforeAutospacing="1" w:after="100" w:afterAutospacing="1"/>
        <w:jc w:val="both"/>
        <w:rPr>
          <w:rFonts w:ascii="Arial" w:eastAsia="Calibri" w:hAnsi="Arial" w:cs="Arial"/>
          <w:color w:val="000000"/>
        </w:rPr>
      </w:pPr>
    </w:p>
    <w:p w14:paraId="044817D1" w14:textId="77777777" w:rsidR="00C424AC" w:rsidRDefault="00C424AC" w:rsidP="00F46E2A">
      <w:pPr>
        <w:spacing w:before="100" w:beforeAutospacing="1" w:after="100" w:afterAutospacing="1"/>
        <w:jc w:val="both"/>
        <w:rPr>
          <w:rFonts w:ascii="Arial" w:eastAsia="Calibri" w:hAnsi="Arial" w:cs="Arial"/>
          <w:color w:val="000000"/>
        </w:rPr>
      </w:pPr>
    </w:p>
    <w:p w14:paraId="40702C79" w14:textId="77777777" w:rsidR="00C424AC" w:rsidRDefault="00C424AC" w:rsidP="00F46E2A">
      <w:pPr>
        <w:spacing w:before="100" w:beforeAutospacing="1" w:after="100" w:afterAutospacing="1"/>
        <w:jc w:val="both"/>
        <w:rPr>
          <w:rFonts w:ascii="Arial" w:eastAsia="Calibri" w:hAnsi="Arial" w:cs="Arial"/>
          <w:color w:val="000000"/>
        </w:rPr>
      </w:pPr>
    </w:p>
    <w:p w14:paraId="401DD66E" w14:textId="77777777" w:rsidR="00C424AC" w:rsidRPr="00AA5B9B" w:rsidRDefault="00C424AC" w:rsidP="00F46E2A">
      <w:pPr>
        <w:spacing w:before="100" w:beforeAutospacing="1" w:after="100" w:afterAutospacing="1"/>
        <w:jc w:val="both"/>
        <w:rPr>
          <w:rFonts w:ascii="Arial" w:hAnsi="Arial" w:cs="Arial"/>
          <w:lang w:eastAsia="en-GB"/>
        </w:rPr>
      </w:pPr>
    </w:p>
    <w:p w14:paraId="7D180FF8" w14:textId="77777777" w:rsidR="000F7AD3" w:rsidRDefault="00AD2271">
      <w:pPr>
        <w:pStyle w:val="NormalWeb"/>
        <w:spacing w:after="0"/>
        <w:jc w:val="both"/>
        <w:rPr>
          <w:rFonts w:ascii="Arial" w:eastAsia="Calibri" w:hAnsi="Arial" w:cs="Arial"/>
          <w:color w:val="000000"/>
          <w:sz w:val="20"/>
          <w:szCs w:val="20"/>
        </w:rPr>
      </w:pPr>
      <w:r>
        <w:rPr>
          <w:rFonts w:ascii="Arial" w:eastAsia="Calibri" w:hAnsi="Arial" w:cs="Arial"/>
          <w:b/>
          <w:color w:val="000000"/>
          <w:sz w:val="20"/>
          <w:szCs w:val="20"/>
        </w:rPr>
        <w:t>Table 2</w:t>
      </w:r>
      <w:r>
        <w:rPr>
          <w:rFonts w:ascii="Arial" w:eastAsia="Calibri" w:hAnsi="Arial" w:cs="Arial"/>
          <w:color w:val="000000"/>
          <w:sz w:val="20"/>
          <w:szCs w:val="20"/>
        </w:rPr>
        <w:t xml:space="preserve">: The effect different regions on FEC Nematodes, Coccidia and Cestodes in broilers. </w:t>
      </w:r>
    </w:p>
    <w:tbl>
      <w:tblPr>
        <w:tblW w:w="10063" w:type="dxa"/>
        <w:tblBorders>
          <w:top w:val="single" w:sz="4" w:space="0" w:color="auto"/>
          <w:bottom w:val="single" w:sz="4" w:space="0" w:color="auto"/>
        </w:tblBorders>
        <w:tblLook w:val="04A0" w:firstRow="1" w:lastRow="0" w:firstColumn="1" w:lastColumn="0" w:noHBand="0" w:noVBand="1"/>
      </w:tblPr>
      <w:tblGrid>
        <w:gridCol w:w="1797"/>
        <w:gridCol w:w="2089"/>
        <w:gridCol w:w="3104"/>
        <w:gridCol w:w="1497"/>
        <w:gridCol w:w="1576"/>
      </w:tblGrid>
      <w:tr w:rsidR="000F7AD3" w14:paraId="094B5743" w14:textId="77777777">
        <w:trPr>
          <w:trHeight w:val="253"/>
        </w:trPr>
        <w:tc>
          <w:tcPr>
            <w:tcW w:w="1797" w:type="dxa"/>
            <w:tcBorders>
              <w:top w:val="single" w:sz="4" w:space="0" w:color="auto"/>
              <w:bottom w:val="single" w:sz="4" w:space="0" w:color="auto"/>
            </w:tcBorders>
          </w:tcPr>
          <w:p w14:paraId="79BD3C8A" w14:textId="77777777" w:rsidR="000F7AD3" w:rsidRDefault="00AD2271">
            <w:pPr>
              <w:pStyle w:val="NormalWeb"/>
              <w:jc w:val="both"/>
              <w:rPr>
                <w:rFonts w:ascii="Arial" w:eastAsia="Calibri" w:hAnsi="Arial" w:cs="Arial"/>
                <w:b/>
                <w:color w:val="000000"/>
                <w:sz w:val="20"/>
                <w:szCs w:val="20"/>
              </w:rPr>
            </w:pPr>
            <w:r>
              <w:rPr>
                <w:rFonts w:ascii="Arial" w:eastAsia="Calibri" w:hAnsi="Arial" w:cs="Arial"/>
                <w:b/>
                <w:color w:val="000000"/>
                <w:sz w:val="20"/>
                <w:szCs w:val="20"/>
              </w:rPr>
              <w:t>Regions</w:t>
            </w:r>
          </w:p>
        </w:tc>
        <w:tc>
          <w:tcPr>
            <w:tcW w:w="2089" w:type="dxa"/>
            <w:tcBorders>
              <w:top w:val="single" w:sz="4" w:space="0" w:color="auto"/>
              <w:bottom w:val="single" w:sz="4" w:space="0" w:color="auto"/>
            </w:tcBorders>
          </w:tcPr>
          <w:p w14:paraId="31E8DD2A" w14:textId="77777777" w:rsidR="000F7AD3" w:rsidRDefault="00AD2271">
            <w:pPr>
              <w:pStyle w:val="NormalWeb"/>
              <w:jc w:val="both"/>
              <w:rPr>
                <w:rFonts w:ascii="Arial" w:eastAsia="Calibri" w:hAnsi="Arial" w:cs="Arial"/>
                <w:b/>
                <w:color w:val="000000"/>
                <w:sz w:val="20"/>
                <w:szCs w:val="20"/>
              </w:rPr>
            </w:pPr>
            <w:r>
              <w:rPr>
                <w:rFonts w:ascii="Arial" w:eastAsia="Calibri" w:hAnsi="Arial" w:cs="Arial"/>
                <w:b/>
                <w:color w:val="000000"/>
                <w:sz w:val="20"/>
                <w:szCs w:val="20"/>
              </w:rPr>
              <w:t>Samples examined</w:t>
            </w:r>
          </w:p>
        </w:tc>
        <w:tc>
          <w:tcPr>
            <w:tcW w:w="3104" w:type="dxa"/>
            <w:tcBorders>
              <w:top w:val="single" w:sz="4" w:space="0" w:color="auto"/>
              <w:bottom w:val="single" w:sz="4" w:space="0" w:color="auto"/>
            </w:tcBorders>
          </w:tcPr>
          <w:p w14:paraId="3F2337D2" w14:textId="77777777" w:rsidR="000F7AD3" w:rsidRDefault="00AD2271">
            <w:pPr>
              <w:pStyle w:val="NormalWeb"/>
              <w:jc w:val="both"/>
              <w:rPr>
                <w:rFonts w:ascii="Arial" w:eastAsia="Calibri" w:hAnsi="Arial" w:cs="Arial"/>
                <w:b/>
                <w:color w:val="000000"/>
                <w:sz w:val="20"/>
                <w:szCs w:val="20"/>
              </w:rPr>
            </w:pPr>
            <w:r>
              <w:rPr>
                <w:rFonts w:ascii="Arial" w:eastAsia="Calibri" w:hAnsi="Arial" w:cs="Arial"/>
                <w:b/>
                <w:color w:val="000000"/>
                <w:sz w:val="20"/>
                <w:szCs w:val="20"/>
              </w:rPr>
              <w:t>EMM</w:t>
            </w:r>
          </w:p>
        </w:tc>
        <w:tc>
          <w:tcPr>
            <w:tcW w:w="1497" w:type="dxa"/>
            <w:tcBorders>
              <w:top w:val="single" w:sz="4" w:space="0" w:color="auto"/>
              <w:bottom w:val="single" w:sz="4" w:space="0" w:color="auto"/>
            </w:tcBorders>
          </w:tcPr>
          <w:p w14:paraId="55EB7222" w14:textId="77777777" w:rsidR="000F7AD3" w:rsidRDefault="00AD2271">
            <w:pPr>
              <w:pStyle w:val="NormalWeb"/>
              <w:jc w:val="both"/>
              <w:rPr>
                <w:rFonts w:ascii="Arial" w:eastAsia="Calibri" w:hAnsi="Arial" w:cs="Arial"/>
                <w:b/>
                <w:color w:val="000000"/>
                <w:sz w:val="20"/>
                <w:szCs w:val="20"/>
              </w:rPr>
            </w:pPr>
            <w:proofErr w:type="spellStart"/>
            <w:r>
              <w:rPr>
                <w:rFonts w:ascii="Arial" w:eastAsia="Calibri" w:hAnsi="Arial" w:cs="Arial"/>
                <w:b/>
                <w:color w:val="000000"/>
                <w:sz w:val="20"/>
                <w:szCs w:val="20"/>
              </w:rPr>
              <w:t>Exp.B</w:t>
            </w:r>
            <w:proofErr w:type="spellEnd"/>
          </w:p>
        </w:tc>
        <w:tc>
          <w:tcPr>
            <w:tcW w:w="1576" w:type="dxa"/>
            <w:tcBorders>
              <w:top w:val="single" w:sz="4" w:space="0" w:color="auto"/>
              <w:bottom w:val="single" w:sz="4" w:space="0" w:color="auto"/>
            </w:tcBorders>
          </w:tcPr>
          <w:p w14:paraId="75D83ED9" w14:textId="77777777" w:rsidR="000F7AD3" w:rsidRDefault="00AD2271">
            <w:pPr>
              <w:pStyle w:val="NormalWeb"/>
              <w:jc w:val="both"/>
              <w:rPr>
                <w:rFonts w:ascii="Arial" w:eastAsia="Calibri" w:hAnsi="Arial" w:cs="Arial"/>
                <w:b/>
                <w:color w:val="000000"/>
                <w:sz w:val="20"/>
                <w:szCs w:val="20"/>
              </w:rPr>
            </w:pPr>
            <w:r>
              <w:rPr>
                <w:rFonts w:ascii="Arial" w:eastAsia="Calibri" w:hAnsi="Arial" w:cs="Arial"/>
                <w:b/>
                <w:color w:val="000000"/>
                <w:sz w:val="20"/>
                <w:szCs w:val="20"/>
              </w:rPr>
              <w:t>Sig.</w:t>
            </w:r>
          </w:p>
        </w:tc>
      </w:tr>
      <w:tr w:rsidR="000F7AD3" w14:paraId="3B405A32" w14:textId="77777777">
        <w:trPr>
          <w:trHeight w:val="244"/>
        </w:trPr>
        <w:tc>
          <w:tcPr>
            <w:tcW w:w="1797" w:type="dxa"/>
            <w:tcBorders>
              <w:top w:val="single" w:sz="4" w:space="0" w:color="auto"/>
              <w:bottom w:val="single" w:sz="4" w:space="0" w:color="auto"/>
            </w:tcBorders>
          </w:tcPr>
          <w:p w14:paraId="537A9155" w14:textId="77777777" w:rsidR="000F7AD3" w:rsidRDefault="000F7AD3">
            <w:pPr>
              <w:pStyle w:val="NormalWeb"/>
              <w:jc w:val="both"/>
              <w:rPr>
                <w:rFonts w:ascii="Arial" w:eastAsia="Calibri" w:hAnsi="Arial" w:cs="Arial"/>
                <w:b/>
                <w:color w:val="000000"/>
                <w:sz w:val="20"/>
                <w:szCs w:val="20"/>
              </w:rPr>
            </w:pPr>
          </w:p>
        </w:tc>
        <w:tc>
          <w:tcPr>
            <w:tcW w:w="2089" w:type="dxa"/>
            <w:tcBorders>
              <w:top w:val="single" w:sz="4" w:space="0" w:color="auto"/>
              <w:bottom w:val="single" w:sz="4" w:space="0" w:color="auto"/>
            </w:tcBorders>
          </w:tcPr>
          <w:p w14:paraId="18FE6C42" w14:textId="77777777" w:rsidR="000F7AD3" w:rsidRDefault="000F7AD3">
            <w:pPr>
              <w:pStyle w:val="NormalWeb"/>
              <w:jc w:val="both"/>
              <w:rPr>
                <w:rFonts w:ascii="Arial" w:eastAsia="Calibri" w:hAnsi="Arial" w:cs="Arial"/>
                <w:color w:val="000000"/>
                <w:sz w:val="20"/>
                <w:szCs w:val="20"/>
              </w:rPr>
            </w:pPr>
          </w:p>
        </w:tc>
        <w:tc>
          <w:tcPr>
            <w:tcW w:w="3104" w:type="dxa"/>
            <w:tcBorders>
              <w:top w:val="single" w:sz="4" w:space="0" w:color="auto"/>
              <w:bottom w:val="single" w:sz="4" w:space="0" w:color="auto"/>
            </w:tcBorders>
          </w:tcPr>
          <w:p w14:paraId="1A0470BB" w14:textId="77777777" w:rsidR="000F7AD3" w:rsidRDefault="00AD2271">
            <w:pPr>
              <w:pStyle w:val="NormalWeb"/>
              <w:jc w:val="both"/>
              <w:rPr>
                <w:rFonts w:ascii="Arial" w:eastAsia="Calibri" w:hAnsi="Arial" w:cs="Arial"/>
                <w:color w:val="000000"/>
                <w:sz w:val="20"/>
                <w:szCs w:val="20"/>
              </w:rPr>
            </w:pPr>
            <w:r>
              <w:rPr>
                <w:rFonts w:ascii="Arial" w:eastAsia="Calibri" w:hAnsi="Arial" w:cs="Arial"/>
                <w:b/>
                <w:color w:val="000000"/>
                <w:sz w:val="20"/>
                <w:szCs w:val="20"/>
              </w:rPr>
              <w:t>Nematodes</w:t>
            </w:r>
          </w:p>
        </w:tc>
        <w:tc>
          <w:tcPr>
            <w:tcW w:w="1497" w:type="dxa"/>
            <w:tcBorders>
              <w:top w:val="single" w:sz="4" w:space="0" w:color="auto"/>
              <w:bottom w:val="single" w:sz="4" w:space="0" w:color="auto"/>
            </w:tcBorders>
          </w:tcPr>
          <w:p w14:paraId="58FCDAB2" w14:textId="77777777" w:rsidR="000F7AD3" w:rsidRDefault="000F7AD3">
            <w:pPr>
              <w:pStyle w:val="NormalWeb"/>
              <w:jc w:val="both"/>
              <w:rPr>
                <w:rFonts w:ascii="Arial" w:eastAsia="Calibri" w:hAnsi="Arial" w:cs="Arial"/>
                <w:color w:val="000000"/>
                <w:sz w:val="20"/>
                <w:szCs w:val="20"/>
                <w:vertAlign w:val="superscript"/>
              </w:rPr>
            </w:pPr>
          </w:p>
        </w:tc>
        <w:tc>
          <w:tcPr>
            <w:tcW w:w="1576" w:type="dxa"/>
            <w:tcBorders>
              <w:top w:val="single" w:sz="4" w:space="0" w:color="auto"/>
              <w:bottom w:val="single" w:sz="4" w:space="0" w:color="auto"/>
            </w:tcBorders>
          </w:tcPr>
          <w:p w14:paraId="6D3F863B" w14:textId="77777777" w:rsidR="000F7AD3" w:rsidRDefault="000F7AD3">
            <w:pPr>
              <w:pStyle w:val="NormalWeb"/>
              <w:jc w:val="both"/>
              <w:rPr>
                <w:rFonts w:ascii="Arial" w:eastAsia="Calibri" w:hAnsi="Arial" w:cs="Arial"/>
                <w:color w:val="000000"/>
                <w:sz w:val="20"/>
                <w:szCs w:val="20"/>
              </w:rPr>
            </w:pPr>
          </w:p>
        </w:tc>
      </w:tr>
      <w:tr w:rsidR="000F7AD3" w14:paraId="2F82545C" w14:textId="77777777">
        <w:trPr>
          <w:trHeight w:val="399"/>
        </w:trPr>
        <w:tc>
          <w:tcPr>
            <w:tcW w:w="1797" w:type="dxa"/>
            <w:tcBorders>
              <w:top w:val="single" w:sz="4" w:space="0" w:color="auto"/>
            </w:tcBorders>
          </w:tcPr>
          <w:p w14:paraId="210DC0CF" w14:textId="77777777" w:rsidR="000F7AD3" w:rsidRDefault="00AD2271">
            <w:pPr>
              <w:pStyle w:val="NormalWeb"/>
              <w:jc w:val="both"/>
              <w:rPr>
                <w:rFonts w:ascii="Arial" w:eastAsia="Calibri" w:hAnsi="Arial" w:cs="Arial"/>
                <w:b/>
                <w:color w:val="000000"/>
                <w:sz w:val="20"/>
                <w:szCs w:val="20"/>
              </w:rPr>
            </w:pPr>
            <w:r>
              <w:rPr>
                <w:rFonts w:ascii="Arial" w:eastAsia="Calibri" w:hAnsi="Arial" w:cs="Arial"/>
                <w:b/>
                <w:color w:val="000000"/>
                <w:sz w:val="20"/>
                <w:szCs w:val="20"/>
              </w:rPr>
              <w:lastRenderedPageBreak/>
              <w:t>Urban</w:t>
            </w:r>
          </w:p>
        </w:tc>
        <w:tc>
          <w:tcPr>
            <w:tcW w:w="2089" w:type="dxa"/>
            <w:tcBorders>
              <w:top w:val="single" w:sz="4" w:space="0" w:color="auto"/>
            </w:tcBorders>
          </w:tcPr>
          <w:p w14:paraId="3CDBF0D1" w14:textId="77777777" w:rsidR="000F7AD3" w:rsidRDefault="00AD2271">
            <w:pPr>
              <w:pStyle w:val="NormalWeb"/>
              <w:jc w:val="both"/>
              <w:rPr>
                <w:rFonts w:ascii="Arial" w:eastAsia="Calibri" w:hAnsi="Arial" w:cs="Arial"/>
                <w:b/>
                <w:color w:val="000000"/>
                <w:sz w:val="20"/>
                <w:szCs w:val="20"/>
              </w:rPr>
            </w:pPr>
            <w:r>
              <w:rPr>
                <w:rFonts w:ascii="Arial" w:eastAsia="Calibri" w:hAnsi="Arial" w:cs="Arial"/>
                <w:color w:val="000000"/>
                <w:sz w:val="20"/>
                <w:szCs w:val="20"/>
              </w:rPr>
              <w:t>50</w:t>
            </w:r>
          </w:p>
        </w:tc>
        <w:tc>
          <w:tcPr>
            <w:tcW w:w="3104" w:type="dxa"/>
            <w:tcBorders>
              <w:top w:val="single" w:sz="4" w:space="0" w:color="auto"/>
            </w:tcBorders>
          </w:tcPr>
          <w:p w14:paraId="7A805192" w14:textId="77777777" w:rsidR="000F7AD3" w:rsidRDefault="00AD2271">
            <w:pPr>
              <w:pStyle w:val="NormalWeb"/>
              <w:jc w:val="both"/>
              <w:rPr>
                <w:rFonts w:ascii="Arial" w:eastAsia="Calibri" w:hAnsi="Arial" w:cs="Arial"/>
                <w:color w:val="000000"/>
                <w:sz w:val="20"/>
                <w:szCs w:val="20"/>
              </w:rPr>
            </w:pPr>
            <w:r>
              <w:rPr>
                <w:rFonts w:ascii="Arial" w:eastAsia="Calibri" w:hAnsi="Arial" w:cs="Arial"/>
                <w:color w:val="000000"/>
                <w:sz w:val="20"/>
                <w:szCs w:val="20"/>
              </w:rPr>
              <w:t>189.00</w:t>
            </w:r>
            <w:r>
              <w:rPr>
                <w:rFonts w:ascii="Arial" w:eastAsia="Calibri" w:hAnsi="Arial" w:cs="Arial"/>
                <w:color w:val="000000"/>
                <w:sz w:val="20"/>
                <w:szCs w:val="20"/>
                <w:vertAlign w:val="superscript"/>
              </w:rPr>
              <w:t>a</w:t>
            </w:r>
          </w:p>
        </w:tc>
        <w:tc>
          <w:tcPr>
            <w:tcW w:w="1497" w:type="dxa"/>
            <w:tcBorders>
              <w:top w:val="single" w:sz="4" w:space="0" w:color="auto"/>
            </w:tcBorders>
          </w:tcPr>
          <w:p w14:paraId="4F3BEEAE" w14:textId="77777777" w:rsidR="000F7AD3" w:rsidRDefault="00AD2271">
            <w:pPr>
              <w:pStyle w:val="NormalWeb"/>
              <w:jc w:val="both"/>
              <w:rPr>
                <w:rFonts w:ascii="Arial" w:eastAsia="Calibri" w:hAnsi="Arial" w:cs="Arial"/>
                <w:color w:val="000000"/>
                <w:sz w:val="20"/>
                <w:szCs w:val="20"/>
              </w:rPr>
            </w:pPr>
            <w:r>
              <w:rPr>
                <w:rFonts w:ascii="Arial" w:eastAsia="Calibri" w:hAnsi="Arial" w:cs="Arial"/>
                <w:color w:val="000000"/>
                <w:sz w:val="20"/>
                <w:szCs w:val="20"/>
              </w:rPr>
              <w:t>1.105</w:t>
            </w:r>
          </w:p>
        </w:tc>
        <w:tc>
          <w:tcPr>
            <w:tcW w:w="1576" w:type="dxa"/>
            <w:vMerge w:val="restart"/>
            <w:tcBorders>
              <w:top w:val="single" w:sz="4" w:space="0" w:color="auto"/>
            </w:tcBorders>
          </w:tcPr>
          <w:p w14:paraId="70BC2CEE" w14:textId="77777777" w:rsidR="000F7AD3" w:rsidRDefault="000F7AD3">
            <w:pPr>
              <w:pStyle w:val="NormalWeb"/>
              <w:jc w:val="both"/>
              <w:rPr>
                <w:rFonts w:ascii="Arial" w:eastAsia="Calibri" w:hAnsi="Arial" w:cs="Arial"/>
                <w:color w:val="000000"/>
                <w:sz w:val="20"/>
                <w:szCs w:val="20"/>
              </w:rPr>
            </w:pPr>
          </w:p>
          <w:p w14:paraId="78B71ADB" w14:textId="77777777" w:rsidR="000F7AD3" w:rsidRDefault="00AD2271">
            <w:pPr>
              <w:pStyle w:val="NormalWeb"/>
              <w:jc w:val="both"/>
              <w:rPr>
                <w:rFonts w:ascii="Arial" w:eastAsia="Calibri" w:hAnsi="Arial" w:cs="Arial"/>
                <w:color w:val="000000"/>
                <w:sz w:val="20"/>
                <w:szCs w:val="20"/>
              </w:rPr>
            </w:pPr>
            <w:r>
              <w:rPr>
                <w:rFonts w:ascii="Arial" w:eastAsia="Calibri" w:hAnsi="Arial" w:cs="Arial"/>
                <w:color w:val="000000"/>
                <w:sz w:val="20"/>
                <w:szCs w:val="20"/>
              </w:rPr>
              <w:t>0.763</w:t>
            </w:r>
          </w:p>
        </w:tc>
      </w:tr>
      <w:tr w:rsidR="000F7AD3" w14:paraId="43AA9032" w14:textId="77777777">
        <w:trPr>
          <w:trHeight w:val="160"/>
        </w:trPr>
        <w:tc>
          <w:tcPr>
            <w:tcW w:w="1797" w:type="dxa"/>
            <w:tcBorders>
              <w:bottom w:val="nil"/>
            </w:tcBorders>
          </w:tcPr>
          <w:p w14:paraId="79FA7D55" w14:textId="77777777" w:rsidR="000F7AD3" w:rsidRDefault="00AD2271">
            <w:pPr>
              <w:pStyle w:val="NormalWeb"/>
              <w:jc w:val="both"/>
              <w:rPr>
                <w:rFonts w:ascii="Arial" w:eastAsia="Calibri" w:hAnsi="Arial" w:cs="Arial"/>
                <w:b/>
                <w:color w:val="000000"/>
                <w:sz w:val="20"/>
                <w:szCs w:val="20"/>
              </w:rPr>
            </w:pPr>
            <w:r>
              <w:rPr>
                <w:rFonts w:ascii="Arial" w:eastAsia="Calibri" w:hAnsi="Arial" w:cs="Arial"/>
                <w:b/>
                <w:color w:val="000000"/>
                <w:sz w:val="20"/>
                <w:szCs w:val="20"/>
              </w:rPr>
              <w:t>Semi- urban</w:t>
            </w:r>
          </w:p>
        </w:tc>
        <w:tc>
          <w:tcPr>
            <w:tcW w:w="2089" w:type="dxa"/>
            <w:tcBorders>
              <w:bottom w:val="nil"/>
            </w:tcBorders>
          </w:tcPr>
          <w:p w14:paraId="06678BCE" w14:textId="77777777" w:rsidR="000F7AD3" w:rsidRDefault="00AD2271">
            <w:pPr>
              <w:pStyle w:val="NormalWeb"/>
              <w:jc w:val="both"/>
              <w:rPr>
                <w:rFonts w:ascii="Arial" w:eastAsia="Calibri" w:hAnsi="Arial" w:cs="Arial"/>
                <w:b/>
                <w:color w:val="000000"/>
                <w:sz w:val="20"/>
                <w:szCs w:val="20"/>
              </w:rPr>
            </w:pPr>
            <w:r>
              <w:rPr>
                <w:rFonts w:ascii="Arial" w:eastAsia="Calibri" w:hAnsi="Arial" w:cs="Arial"/>
                <w:color w:val="000000"/>
                <w:sz w:val="20"/>
                <w:szCs w:val="20"/>
              </w:rPr>
              <w:t>50</w:t>
            </w:r>
          </w:p>
        </w:tc>
        <w:tc>
          <w:tcPr>
            <w:tcW w:w="3104" w:type="dxa"/>
            <w:tcBorders>
              <w:bottom w:val="nil"/>
            </w:tcBorders>
          </w:tcPr>
          <w:p w14:paraId="634EF50A" w14:textId="77777777" w:rsidR="000F7AD3" w:rsidRDefault="00AD2271">
            <w:pPr>
              <w:pStyle w:val="NormalWeb"/>
              <w:jc w:val="both"/>
              <w:rPr>
                <w:rFonts w:ascii="Arial" w:eastAsia="Calibri" w:hAnsi="Arial" w:cs="Arial"/>
                <w:color w:val="000000"/>
                <w:sz w:val="20"/>
                <w:szCs w:val="20"/>
                <w:vertAlign w:val="superscript"/>
              </w:rPr>
            </w:pPr>
            <w:r>
              <w:rPr>
                <w:rFonts w:ascii="Arial" w:eastAsia="Calibri" w:hAnsi="Arial" w:cs="Arial"/>
                <w:color w:val="000000"/>
                <w:sz w:val="20"/>
                <w:szCs w:val="20"/>
              </w:rPr>
              <w:t>171.00</w:t>
            </w:r>
            <w:r>
              <w:rPr>
                <w:rFonts w:ascii="Arial" w:eastAsia="Calibri" w:hAnsi="Arial" w:cs="Arial"/>
                <w:color w:val="000000"/>
                <w:sz w:val="20"/>
                <w:szCs w:val="20"/>
                <w:vertAlign w:val="superscript"/>
              </w:rPr>
              <w:t>a</w:t>
            </w:r>
          </w:p>
        </w:tc>
        <w:tc>
          <w:tcPr>
            <w:tcW w:w="1497" w:type="dxa"/>
            <w:tcBorders>
              <w:bottom w:val="nil"/>
            </w:tcBorders>
          </w:tcPr>
          <w:p w14:paraId="3A70A84A" w14:textId="77777777" w:rsidR="000F7AD3" w:rsidRDefault="00AD2271">
            <w:pPr>
              <w:pStyle w:val="NormalWeb"/>
              <w:jc w:val="both"/>
              <w:rPr>
                <w:rFonts w:ascii="Arial" w:eastAsia="Calibri" w:hAnsi="Arial" w:cs="Arial"/>
                <w:color w:val="000000"/>
                <w:sz w:val="20"/>
                <w:szCs w:val="20"/>
              </w:rPr>
            </w:pPr>
            <w:r>
              <w:rPr>
                <w:rFonts w:ascii="Arial" w:eastAsia="Calibri" w:hAnsi="Arial" w:cs="Arial"/>
                <w:color w:val="000000"/>
                <w:sz w:val="20"/>
                <w:szCs w:val="20"/>
              </w:rPr>
              <w:t>1</w:t>
            </w:r>
          </w:p>
        </w:tc>
        <w:tc>
          <w:tcPr>
            <w:tcW w:w="1576" w:type="dxa"/>
            <w:vMerge/>
            <w:tcBorders>
              <w:bottom w:val="nil"/>
            </w:tcBorders>
          </w:tcPr>
          <w:p w14:paraId="70E0C795" w14:textId="77777777" w:rsidR="000F7AD3" w:rsidRDefault="000F7AD3">
            <w:pPr>
              <w:pStyle w:val="NormalWeb"/>
              <w:jc w:val="both"/>
              <w:rPr>
                <w:rFonts w:ascii="Arial" w:eastAsia="Calibri" w:hAnsi="Arial" w:cs="Arial"/>
                <w:color w:val="000000"/>
                <w:sz w:val="20"/>
                <w:szCs w:val="20"/>
              </w:rPr>
            </w:pPr>
          </w:p>
        </w:tc>
      </w:tr>
      <w:tr w:rsidR="000F7AD3" w14:paraId="15792CBD" w14:textId="77777777">
        <w:trPr>
          <w:trHeight w:val="357"/>
        </w:trPr>
        <w:tc>
          <w:tcPr>
            <w:tcW w:w="1797" w:type="dxa"/>
            <w:tcBorders>
              <w:top w:val="nil"/>
              <w:bottom w:val="single" w:sz="4" w:space="0" w:color="auto"/>
            </w:tcBorders>
          </w:tcPr>
          <w:p w14:paraId="61AE20CE" w14:textId="77777777" w:rsidR="000F7AD3" w:rsidRDefault="000F7AD3">
            <w:pPr>
              <w:pStyle w:val="NormalWeb"/>
              <w:jc w:val="both"/>
              <w:rPr>
                <w:rFonts w:ascii="Arial" w:eastAsia="Calibri" w:hAnsi="Arial" w:cs="Arial"/>
                <w:b/>
                <w:color w:val="000000"/>
                <w:sz w:val="20"/>
                <w:szCs w:val="20"/>
              </w:rPr>
            </w:pPr>
          </w:p>
        </w:tc>
        <w:tc>
          <w:tcPr>
            <w:tcW w:w="2089" w:type="dxa"/>
            <w:tcBorders>
              <w:top w:val="nil"/>
              <w:bottom w:val="single" w:sz="4" w:space="0" w:color="auto"/>
            </w:tcBorders>
          </w:tcPr>
          <w:p w14:paraId="713FC281" w14:textId="77777777" w:rsidR="000F7AD3" w:rsidRDefault="000F7AD3">
            <w:pPr>
              <w:pStyle w:val="NormalWeb"/>
              <w:jc w:val="both"/>
              <w:rPr>
                <w:rFonts w:ascii="Arial" w:eastAsia="Calibri" w:hAnsi="Arial" w:cs="Arial"/>
                <w:color w:val="000000"/>
                <w:sz w:val="20"/>
                <w:szCs w:val="20"/>
              </w:rPr>
            </w:pPr>
          </w:p>
        </w:tc>
        <w:tc>
          <w:tcPr>
            <w:tcW w:w="3104" w:type="dxa"/>
            <w:tcBorders>
              <w:top w:val="nil"/>
              <w:bottom w:val="single" w:sz="4" w:space="0" w:color="auto"/>
            </w:tcBorders>
          </w:tcPr>
          <w:p w14:paraId="1AAEA083" w14:textId="77777777" w:rsidR="000F7AD3" w:rsidRDefault="00AD2271">
            <w:pPr>
              <w:pStyle w:val="NormalWeb"/>
              <w:jc w:val="both"/>
              <w:rPr>
                <w:rFonts w:ascii="Arial" w:eastAsia="Calibri" w:hAnsi="Arial" w:cs="Arial"/>
                <w:color w:val="000000"/>
                <w:sz w:val="20"/>
                <w:szCs w:val="20"/>
              </w:rPr>
            </w:pPr>
            <w:r>
              <w:rPr>
                <w:rFonts w:ascii="Arial" w:eastAsia="Calibri" w:hAnsi="Arial" w:cs="Arial"/>
                <w:b/>
                <w:color w:val="000000"/>
                <w:sz w:val="20"/>
                <w:szCs w:val="20"/>
              </w:rPr>
              <w:t>Coccidia</w:t>
            </w:r>
          </w:p>
        </w:tc>
        <w:tc>
          <w:tcPr>
            <w:tcW w:w="1497" w:type="dxa"/>
            <w:tcBorders>
              <w:top w:val="nil"/>
              <w:bottom w:val="single" w:sz="4" w:space="0" w:color="auto"/>
            </w:tcBorders>
          </w:tcPr>
          <w:p w14:paraId="3B7B2925" w14:textId="77777777" w:rsidR="000F7AD3" w:rsidRDefault="000F7AD3">
            <w:pPr>
              <w:pStyle w:val="NormalWeb"/>
              <w:jc w:val="both"/>
              <w:rPr>
                <w:rFonts w:ascii="Arial" w:eastAsia="Calibri" w:hAnsi="Arial" w:cs="Arial"/>
                <w:color w:val="000000"/>
                <w:sz w:val="20"/>
                <w:szCs w:val="20"/>
              </w:rPr>
            </w:pPr>
          </w:p>
        </w:tc>
        <w:tc>
          <w:tcPr>
            <w:tcW w:w="1576" w:type="dxa"/>
            <w:tcBorders>
              <w:top w:val="nil"/>
              <w:bottom w:val="single" w:sz="4" w:space="0" w:color="auto"/>
            </w:tcBorders>
          </w:tcPr>
          <w:p w14:paraId="51B5FC89" w14:textId="77777777" w:rsidR="000F7AD3" w:rsidRDefault="000F7AD3">
            <w:pPr>
              <w:pStyle w:val="NormalWeb"/>
              <w:jc w:val="both"/>
              <w:rPr>
                <w:rFonts w:ascii="Arial" w:eastAsia="Calibri" w:hAnsi="Arial" w:cs="Arial"/>
                <w:color w:val="000000"/>
                <w:sz w:val="20"/>
                <w:szCs w:val="20"/>
              </w:rPr>
            </w:pPr>
          </w:p>
        </w:tc>
      </w:tr>
      <w:tr w:rsidR="000F7AD3" w14:paraId="60DA5B59" w14:textId="77777777">
        <w:trPr>
          <w:trHeight w:val="244"/>
        </w:trPr>
        <w:tc>
          <w:tcPr>
            <w:tcW w:w="1797" w:type="dxa"/>
            <w:tcBorders>
              <w:top w:val="single" w:sz="4" w:space="0" w:color="auto"/>
            </w:tcBorders>
          </w:tcPr>
          <w:p w14:paraId="7D5D769B" w14:textId="77777777" w:rsidR="000F7AD3" w:rsidRDefault="00AD2271">
            <w:pPr>
              <w:pStyle w:val="NormalWeb"/>
              <w:jc w:val="both"/>
              <w:rPr>
                <w:rFonts w:ascii="Arial" w:eastAsia="Calibri" w:hAnsi="Arial" w:cs="Arial"/>
                <w:b/>
                <w:color w:val="000000"/>
                <w:sz w:val="20"/>
                <w:szCs w:val="20"/>
              </w:rPr>
            </w:pPr>
            <w:r>
              <w:rPr>
                <w:rFonts w:ascii="Arial" w:eastAsia="Calibri" w:hAnsi="Arial" w:cs="Arial"/>
                <w:b/>
                <w:color w:val="000000"/>
                <w:sz w:val="20"/>
                <w:szCs w:val="20"/>
              </w:rPr>
              <w:t>Urban</w:t>
            </w:r>
          </w:p>
        </w:tc>
        <w:tc>
          <w:tcPr>
            <w:tcW w:w="2089" w:type="dxa"/>
            <w:tcBorders>
              <w:top w:val="single" w:sz="4" w:space="0" w:color="auto"/>
            </w:tcBorders>
          </w:tcPr>
          <w:p w14:paraId="003A73CC" w14:textId="77777777" w:rsidR="000F7AD3" w:rsidRDefault="00AD2271">
            <w:pPr>
              <w:pStyle w:val="NormalWeb"/>
              <w:jc w:val="both"/>
              <w:rPr>
                <w:rFonts w:ascii="Arial" w:eastAsia="Calibri" w:hAnsi="Arial" w:cs="Arial"/>
                <w:b/>
                <w:color w:val="000000"/>
                <w:sz w:val="20"/>
                <w:szCs w:val="20"/>
              </w:rPr>
            </w:pPr>
            <w:r>
              <w:rPr>
                <w:rFonts w:ascii="Arial" w:eastAsia="Calibri" w:hAnsi="Arial" w:cs="Arial"/>
                <w:color w:val="000000"/>
                <w:sz w:val="20"/>
                <w:szCs w:val="20"/>
              </w:rPr>
              <w:t>50</w:t>
            </w:r>
          </w:p>
        </w:tc>
        <w:tc>
          <w:tcPr>
            <w:tcW w:w="3104" w:type="dxa"/>
            <w:tcBorders>
              <w:top w:val="single" w:sz="4" w:space="0" w:color="auto"/>
            </w:tcBorders>
          </w:tcPr>
          <w:p w14:paraId="1F7409A3" w14:textId="77777777" w:rsidR="000F7AD3" w:rsidRDefault="00AD2271">
            <w:pPr>
              <w:pStyle w:val="NormalWeb"/>
              <w:jc w:val="both"/>
              <w:rPr>
                <w:rFonts w:ascii="Arial" w:eastAsia="Calibri" w:hAnsi="Arial" w:cs="Arial"/>
                <w:color w:val="000000"/>
                <w:sz w:val="20"/>
                <w:szCs w:val="20"/>
              </w:rPr>
            </w:pPr>
            <w:r>
              <w:rPr>
                <w:rFonts w:ascii="Arial" w:eastAsia="Calibri" w:hAnsi="Arial" w:cs="Arial"/>
                <w:color w:val="000000"/>
                <w:sz w:val="20"/>
                <w:szCs w:val="20"/>
              </w:rPr>
              <w:t>299.60</w:t>
            </w:r>
            <w:r>
              <w:rPr>
                <w:rFonts w:ascii="Arial" w:eastAsia="Calibri" w:hAnsi="Arial" w:cs="Arial"/>
                <w:color w:val="000000"/>
                <w:sz w:val="20"/>
                <w:szCs w:val="20"/>
                <w:vertAlign w:val="superscript"/>
              </w:rPr>
              <w:t>a</w:t>
            </w:r>
          </w:p>
        </w:tc>
        <w:tc>
          <w:tcPr>
            <w:tcW w:w="1497" w:type="dxa"/>
            <w:tcBorders>
              <w:top w:val="single" w:sz="4" w:space="0" w:color="auto"/>
            </w:tcBorders>
          </w:tcPr>
          <w:p w14:paraId="7E2C40F1" w14:textId="77777777" w:rsidR="000F7AD3" w:rsidRDefault="00AD2271">
            <w:pPr>
              <w:pStyle w:val="NormalWeb"/>
              <w:jc w:val="both"/>
              <w:rPr>
                <w:rFonts w:ascii="Arial" w:eastAsia="Calibri" w:hAnsi="Arial" w:cs="Arial"/>
                <w:color w:val="000000"/>
                <w:sz w:val="20"/>
                <w:szCs w:val="20"/>
              </w:rPr>
            </w:pPr>
            <w:r>
              <w:rPr>
                <w:rFonts w:ascii="Arial" w:eastAsia="Calibri" w:hAnsi="Arial" w:cs="Arial"/>
                <w:color w:val="000000"/>
                <w:sz w:val="20"/>
                <w:szCs w:val="20"/>
              </w:rPr>
              <w:t>0.294</w:t>
            </w:r>
          </w:p>
        </w:tc>
        <w:tc>
          <w:tcPr>
            <w:tcW w:w="1576" w:type="dxa"/>
            <w:vMerge w:val="restart"/>
            <w:tcBorders>
              <w:top w:val="single" w:sz="4" w:space="0" w:color="auto"/>
            </w:tcBorders>
          </w:tcPr>
          <w:p w14:paraId="77D3F3D7" w14:textId="77777777" w:rsidR="000F7AD3" w:rsidRDefault="000F7AD3">
            <w:pPr>
              <w:pStyle w:val="NormalWeb"/>
              <w:jc w:val="both"/>
              <w:rPr>
                <w:rFonts w:ascii="Arial" w:eastAsia="Calibri" w:hAnsi="Arial" w:cs="Arial"/>
                <w:color w:val="000000"/>
                <w:sz w:val="20"/>
                <w:szCs w:val="20"/>
              </w:rPr>
            </w:pPr>
          </w:p>
          <w:p w14:paraId="71558B90" w14:textId="77777777" w:rsidR="000F7AD3" w:rsidRDefault="00AD2271">
            <w:pPr>
              <w:pStyle w:val="NormalWeb"/>
              <w:jc w:val="both"/>
              <w:rPr>
                <w:rFonts w:ascii="Arial" w:eastAsia="Calibri" w:hAnsi="Arial" w:cs="Arial"/>
                <w:color w:val="000000"/>
                <w:sz w:val="20"/>
                <w:szCs w:val="20"/>
              </w:rPr>
            </w:pPr>
            <w:r>
              <w:rPr>
                <w:rFonts w:ascii="Arial" w:eastAsia="Calibri" w:hAnsi="Arial" w:cs="Arial"/>
                <w:color w:val="000000"/>
                <w:sz w:val="20"/>
                <w:szCs w:val="20"/>
              </w:rPr>
              <w:t>0.003</w:t>
            </w:r>
          </w:p>
        </w:tc>
      </w:tr>
      <w:tr w:rsidR="000F7AD3" w14:paraId="2B4069BE" w14:textId="77777777">
        <w:trPr>
          <w:trHeight w:val="248"/>
        </w:trPr>
        <w:tc>
          <w:tcPr>
            <w:tcW w:w="1797" w:type="dxa"/>
            <w:tcBorders>
              <w:bottom w:val="nil"/>
            </w:tcBorders>
          </w:tcPr>
          <w:p w14:paraId="7FA69FA3" w14:textId="77777777" w:rsidR="000F7AD3" w:rsidRDefault="00AD2271">
            <w:pPr>
              <w:pStyle w:val="NormalWeb"/>
              <w:jc w:val="both"/>
              <w:rPr>
                <w:rFonts w:ascii="Arial" w:eastAsia="Calibri" w:hAnsi="Arial" w:cs="Arial"/>
                <w:b/>
                <w:color w:val="000000"/>
                <w:sz w:val="20"/>
                <w:szCs w:val="20"/>
              </w:rPr>
            </w:pPr>
            <w:r>
              <w:rPr>
                <w:rFonts w:ascii="Arial" w:eastAsia="Calibri" w:hAnsi="Arial" w:cs="Arial"/>
                <w:b/>
                <w:color w:val="000000"/>
                <w:sz w:val="20"/>
                <w:szCs w:val="20"/>
              </w:rPr>
              <w:t>Semi- urban</w:t>
            </w:r>
          </w:p>
        </w:tc>
        <w:tc>
          <w:tcPr>
            <w:tcW w:w="2089" w:type="dxa"/>
            <w:tcBorders>
              <w:bottom w:val="nil"/>
            </w:tcBorders>
          </w:tcPr>
          <w:p w14:paraId="67861A26" w14:textId="77777777" w:rsidR="000F7AD3" w:rsidRDefault="00AD2271">
            <w:pPr>
              <w:pStyle w:val="NormalWeb"/>
              <w:jc w:val="both"/>
              <w:rPr>
                <w:rFonts w:ascii="Arial" w:eastAsia="Calibri" w:hAnsi="Arial" w:cs="Arial"/>
                <w:color w:val="000000"/>
                <w:sz w:val="20"/>
                <w:szCs w:val="20"/>
              </w:rPr>
            </w:pPr>
            <w:r>
              <w:rPr>
                <w:rFonts w:ascii="Arial" w:eastAsia="Calibri" w:hAnsi="Arial" w:cs="Arial"/>
                <w:color w:val="000000"/>
                <w:sz w:val="20"/>
                <w:szCs w:val="20"/>
              </w:rPr>
              <w:t>50</w:t>
            </w:r>
          </w:p>
        </w:tc>
        <w:tc>
          <w:tcPr>
            <w:tcW w:w="3104" w:type="dxa"/>
            <w:tcBorders>
              <w:bottom w:val="nil"/>
            </w:tcBorders>
          </w:tcPr>
          <w:p w14:paraId="248DC21D" w14:textId="77777777" w:rsidR="000F7AD3" w:rsidRDefault="00AD2271">
            <w:pPr>
              <w:pStyle w:val="NormalWeb"/>
              <w:jc w:val="both"/>
              <w:rPr>
                <w:rFonts w:ascii="Arial" w:eastAsia="Calibri" w:hAnsi="Arial" w:cs="Arial"/>
                <w:color w:val="000000"/>
                <w:sz w:val="20"/>
                <w:szCs w:val="20"/>
                <w:vertAlign w:val="superscript"/>
              </w:rPr>
            </w:pPr>
            <w:r>
              <w:rPr>
                <w:rFonts w:ascii="Arial" w:eastAsia="Calibri" w:hAnsi="Arial" w:cs="Arial"/>
                <w:color w:val="000000"/>
                <w:sz w:val="20"/>
                <w:szCs w:val="20"/>
              </w:rPr>
              <w:t>1019.8</w:t>
            </w:r>
            <w:r>
              <w:rPr>
                <w:rFonts w:ascii="Arial" w:eastAsia="Calibri" w:hAnsi="Arial" w:cs="Arial"/>
                <w:color w:val="000000"/>
                <w:sz w:val="20"/>
                <w:szCs w:val="20"/>
                <w:vertAlign w:val="superscript"/>
              </w:rPr>
              <w:t>b</w:t>
            </w:r>
          </w:p>
        </w:tc>
        <w:tc>
          <w:tcPr>
            <w:tcW w:w="1497" w:type="dxa"/>
            <w:tcBorders>
              <w:bottom w:val="nil"/>
            </w:tcBorders>
          </w:tcPr>
          <w:p w14:paraId="3D11BA46" w14:textId="77777777" w:rsidR="000F7AD3" w:rsidRDefault="00AD2271">
            <w:pPr>
              <w:pStyle w:val="NormalWeb"/>
              <w:jc w:val="both"/>
              <w:rPr>
                <w:rFonts w:ascii="Arial" w:eastAsia="Calibri" w:hAnsi="Arial" w:cs="Arial"/>
                <w:color w:val="000000"/>
                <w:sz w:val="20"/>
                <w:szCs w:val="20"/>
              </w:rPr>
            </w:pPr>
            <w:r>
              <w:rPr>
                <w:rFonts w:ascii="Arial" w:eastAsia="Calibri" w:hAnsi="Arial" w:cs="Arial"/>
                <w:color w:val="000000"/>
                <w:sz w:val="20"/>
                <w:szCs w:val="20"/>
              </w:rPr>
              <w:t>1</w:t>
            </w:r>
          </w:p>
        </w:tc>
        <w:tc>
          <w:tcPr>
            <w:tcW w:w="1576" w:type="dxa"/>
            <w:vMerge/>
            <w:tcBorders>
              <w:bottom w:val="nil"/>
            </w:tcBorders>
          </w:tcPr>
          <w:p w14:paraId="2B7B804D" w14:textId="77777777" w:rsidR="000F7AD3" w:rsidRDefault="000F7AD3">
            <w:pPr>
              <w:pStyle w:val="NormalWeb"/>
              <w:jc w:val="both"/>
              <w:rPr>
                <w:rFonts w:ascii="Arial" w:eastAsia="Calibri" w:hAnsi="Arial" w:cs="Arial"/>
                <w:color w:val="000000"/>
                <w:sz w:val="20"/>
                <w:szCs w:val="20"/>
              </w:rPr>
            </w:pPr>
          </w:p>
        </w:tc>
      </w:tr>
      <w:tr w:rsidR="000F7AD3" w14:paraId="0959F1BC" w14:textId="77777777">
        <w:trPr>
          <w:trHeight w:val="120"/>
        </w:trPr>
        <w:tc>
          <w:tcPr>
            <w:tcW w:w="1797" w:type="dxa"/>
            <w:tcBorders>
              <w:top w:val="nil"/>
              <w:bottom w:val="single" w:sz="4" w:space="0" w:color="auto"/>
            </w:tcBorders>
          </w:tcPr>
          <w:p w14:paraId="45495A2E" w14:textId="77777777" w:rsidR="000F7AD3" w:rsidRDefault="000F7AD3">
            <w:pPr>
              <w:pStyle w:val="NormalWeb"/>
              <w:jc w:val="both"/>
              <w:rPr>
                <w:rFonts w:ascii="Arial" w:eastAsia="Calibri" w:hAnsi="Arial" w:cs="Arial"/>
                <w:b/>
                <w:color w:val="000000"/>
                <w:sz w:val="20"/>
                <w:szCs w:val="20"/>
              </w:rPr>
            </w:pPr>
          </w:p>
        </w:tc>
        <w:tc>
          <w:tcPr>
            <w:tcW w:w="2089" w:type="dxa"/>
            <w:tcBorders>
              <w:top w:val="nil"/>
              <w:bottom w:val="single" w:sz="4" w:space="0" w:color="auto"/>
            </w:tcBorders>
          </w:tcPr>
          <w:p w14:paraId="348DAEF1" w14:textId="77777777" w:rsidR="000F7AD3" w:rsidRDefault="000F7AD3">
            <w:pPr>
              <w:pStyle w:val="NormalWeb"/>
              <w:jc w:val="both"/>
              <w:rPr>
                <w:rFonts w:ascii="Arial" w:eastAsia="Calibri" w:hAnsi="Arial" w:cs="Arial"/>
                <w:color w:val="000000"/>
                <w:sz w:val="20"/>
                <w:szCs w:val="20"/>
              </w:rPr>
            </w:pPr>
          </w:p>
        </w:tc>
        <w:tc>
          <w:tcPr>
            <w:tcW w:w="3104" w:type="dxa"/>
            <w:tcBorders>
              <w:top w:val="nil"/>
              <w:bottom w:val="single" w:sz="4" w:space="0" w:color="auto"/>
            </w:tcBorders>
          </w:tcPr>
          <w:p w14:paraId="543681CD" w14:textId="77777777" w:rsidR="000F7AD3" w:rsidRDefault="00AD2271">
            <w:pPr>
              <w:pStyle w:val="NormalWeb"/>
              <w:jc w:val="both"/>
              <w:rPr>
                <w:rFonts w:ascii="Arial" w:eastAsia="Calibri" w:hAnsi="Arial" w:cs="Arial"/>
                <w:color w:val="000000"/>
                <w:sz w:val="20"/>
                <w:szCs w:val="20"/>
              </w:rPr>
            </w:pPr>
            <w:r>
              <w:rPr>
                <w:rFonts w:ascii="Arial" w:eastAsia="Calibri" w:hAnsi="Arial" w:cs="Arial"/>
                <w:b/>
                <w:color w:val="000000"/>
                <w:sz w:val="20"/>
                <w:szCs w:val="20"/>
              </w:rPr>
              <w:t>Cestodes</w:t>
            </w:r>
          </w:p>
        </w:tc>
        <w:tc>
          <w:tcPr>
            <w:tcW w:w="1497" w:type="dxa"/>
            <w:tcBorders>
              <w:top w:val="nil"/>
              <w:bottom w:val="single" w:sz="4" w:space="0" w:color="auto"/>
            </w:tcBorders>
          </w:tcPr>
          <w:p w14:paraId="7460D804" w14:textId="77777777" w:rsidR="000F7AD3" w:rsidRDefault="000F7AD3">
            <w:pPr>
              <w:pStyle w:val="NormalWeb"/>
              <w:jc w:val="both"/>
              <w:rPr>
                <w:rFonts w:ascii="Arial" w:eastAsia="Calibri" w:hAnsi="Arial" w:cs="Arial"/>
                <w:color w:val="000000"/>
                <w:sz w:val="20"/>
                <w:szCs w:val="20"/>
              </w:rPr>
            </w:pPr>
          </w:p>
        </w:tc>
        <w:tc>
          <w:tcPr>
            <w:tcW w:w="1576" w:type="dxa"/>
            <w:tcBorders>
              <w:top w:val="nil"/>
              <w:bottom w:val="single" w:sz="4" w:space="0" w:color="auto"/>
            </w:tcBorders>
          </w:tcPr>
          <w:p w14:paraId="5DDB5411" w14:textId="77777777" w:rsidR="000F7AD3" w:rsidRDefault="000F7AD3">
            <w:pPr>
              <w:pStyle w:val="NormalWeb"/>
              <w:jc w:val="both"/>
              <w:rPr>
                <w:rFonts w:ascii="Arial" w:eastAsia="Calibri" w:hAnsi="Arial" w:cs="Arial"/>
                <w:color w:val="000000"/>
                <w:sz w:val="20"/>
                <w:szCs w:val="20"/>
              </w:rPr>
            </w:pPr>
          </w:p>
        </w:tc>
      </w:tr>
      <w:tr w:rsidR="000F7AD3" w14:paraId="10B51BD8" w14:textId="77777777">
        <w:trPr>
          <w:trHeight w:val="378"/>
        </w:trPr>
        <w:tc>
          <w:tcPr>
            <w:tcW w:w="1797" w:type="dxa"/>
            <w:tcBorders>
              <w:top w:val="single" w:sz="4" w:space="0" w:color="auto"/>
            </w:tcBorders>
          </w:tcPr>
          <w:p w14:paraId="19AF3FA2" w14:textId="77777777" w:rsidR="000F7AD3" w:rsidRDefault="00AD2271">
            <w:pPr>
              <w:pStyle w:val="NormalWeb"/>
              <w:jc w:val="both"/>
              <w:rPr>
                <w:rFonts w:ascii="Arial" w:eastAsia="Calibri" w:hAnsi="Arial" w:cs="Arial"/>
                <w:b/>
                <w:color w:val="000000"/>
                <w:sz w:val="20"/>
                <w:szCs w:val="20"/>
              </w:rPr>
            </w:pPr>
            <w:r>
              <w:rPr>
                <w:rFonts w:ascii="Arial" w:eastAsia="Calibri" w:hAnsi="Arial" w:cs="Arial"/>
                <w:b/>
                <w:color w:val="000000"/>
                <w:sz w:val="20"/>
                <w:szCs w:val="20"/>
              </w:rPr>
              <w:t>Urban</w:t>
            </w:r>
          </w:p>
        </w:tc>
        <w:tc>
          <w:tcPr>
            <w:tcW w:w="2089" w:type="dxa"/>
            <w:tcBorders>
              <w:top w:val="single" w:sz="4" w:space="0" w:color="auto"/>
            </w:tcBorders>
          </w:tcPr>
          <w:p w14:paraId="01466168" w14:textId="77777777" w:rsidR="000F7AD3" w:rsidRDefault="00AD2271">
            <w:pPr>
              <w:pStyle w:val="NormalWeb"/>
              <w:jc w:val="both"/>
              <w:rPr>
                <w:rFonts w:ascii="Arial" w:eastAsia="Calibri" w:hAnsi="Arial" w:cs="Arial"/>
                <w:b/>
                <w:color w:val="000000"/>
                <w:sz w:val="20"/>
                <w:szCs w:val="20"/>
              </w:rPr>
            </w:pPr>
            <w:r>
              <w:rPr>
                <w:rFonts w:ascii="Arial" w:eastAsia="Calibri" w:hAnsi="Arial" w:cs="Arial"/>
                <w:color w:val="000000"/>
                <w:sz w:val="20"/>
                <w:szCs w:val="20"/>
              </w:rPr>
              <w:t>50</w:t>
            </w:r>
          </w:p>
        </w:tc>
        <w:tc>
          <w:tcPr>
            <w:tcW w:w="3104" w:type="dxa"/>
            <w:tcBorders>
              <w:top w:val="single" w:sz="4" w:space="0" w:color="auto"/>
            </w:tcBorders>
          </w:tcPr>
          <w:p w14:paraId="01D86AA8" w14:textId="77777777" w:rsidR="000F7AD3" w:rsidRDefault="00AD2271">
            <w:pPr>
              <w:pStyle w:val="NormalWeb"/>
              <w:jc w:val="both"/>
              <w:rPr>
                <w:rFonts w:ascii="Arial" w:eastAsia="Calibri" w:hAnsi="Arial" w:cs="Arial"/>
                <w:color w:val="000000"/>
                <w:sz w:val="20"/>
                <w:szCs w:val="20"/>
              </w:rPr>
            </w:pPr>
            <w:r>
              <w:rPr>
                <w:rFonts w:ascii="Arial" w:eastAsia="Calibri" w:hAnsi="Arial" w:cs="Arial"/>
                <w:color w:val="000000"/>
                <w:sz w:val="20"/>
                <w:szCs w:val="20"/>
              </w:rPr>
              <w:t>90.00</w:t>
            </w:r>
            <w:r>
              <w:rPr>
                <w:rFonts w:ascii="Arial" w:eastAsia="Calibri" w:hAnsi="Arial" w:cs="Arial"/>
                <w:color w:val="000000"/>
                <w:sz w:val="20"/>
                <w:szCs w:val="20"/>
                <w:vertAlign w:val="superscript"/>
              </w:rPr>
              <w:t>a</w:t>
            </w:r>
          </w:p>
        </w:tc>
        <w:tc>
          <w:tcPr>
            <w:tcW w:w="1497" w:type="dxa"/>
            <w:tcBorders>
              <w:top w:val="single" w:sz="4" w:space="0" w:color="auto"/>
            </w:tcBorders>
          </w:tcPr>
          <w:p w14:paraId="2C621355" w14:textId="77777777" w:rsidR="000F7AD3" w:rsidRDefault="00AD2271">
            <w:pPr>
              <w:pStyle w:val="NormalWeb"/>
              <w:jc w:val="both"/>
              <w:rPr>
                <w:rFonts w:ascii="Arial" w:eastAsia="Calibri" w:hAnsi="Arial" w:cs="Arial"/>
                <w:color w:val="000000"/>
                <w:sz w:val="20"/>
                <w:szCs w:val="20"/>
              </w:rPr>
            </w:pPr>
            <w:r>
              <w:rPr>
                <w:rFonts w:ascii="Arial" w:eastAsia="Calibri" w:hAnsi="Arial" w:cs="Arial"/>
                <w:color w:val="000000"/>
                <w:sz w:val="20"/>
                <w:szCs w:val="20"/>
              </w:rPr>
              <w:t>1.233</w:t>
            </w:r>
          </w:p>
        </w:tc>
        <w:tc>
          <w:tcPr>
            <w:tcW w:w="1576" w:type="dxa"/>
            <w:vMerge w:val="restart"/>
            <w:tcBorders>
              <w:top w:val="single" w:sz="4" w:space="0" w:color="auto"/>
            </w:tcBorders>
          </w:tcPr>
          <w:p w14:paraId="5A23853C" w14:textId="77777777" w:rsidR="000F7AD3" w:rsidRDefault="000F7AD3">
            <w:pPr>
              <w:pStyle w:val="NormalWeb"/>
              <w:jc w:val="both"/>
              <w:rPr>
                <w:rFonts w:ascii="Arial" w:eastAsia="Calibri" w:hAnsi="Arial" w:cs="Arial"/>
                <w:color w:val="000000"/>
                <w:sz w:val="20"/>
                <w:szCs w:val="20"/>
              </w:rPr>
            </w:pPr>
          </w:p>
          <w:p w14:paraId="141FD5EC" w14:textId="77777777" w:rsidR="000F7AD3" w:rsidRDefault="00AD2271">
            <w:pPr>
              <w:pStyle w:val="NormalWeb"/>
              <w:jc w:val="both"/>
              <w:rPr>
                <w:rFonts w:ascii="Arial" w:eastAsia="Calibri" w:hAnsi="Arial" w:cs="Arial"/>
                <w:color w:val="000000"/>
                <w:sz w:val="20"/>
                <w:szCs w:val="20"/>
              </w:rPr>
            </w:pPr>
            <w:r>
              <w:rPr>
                <w:rFonts w:ascii="Arial" w:eastAsia="Calibri" w:hAnsi="Arial" w:cs="Arial"/>
                <w:color w:val="000000"/>
                <w:sz w:val="20"/>
                <w:szCs w:val="20"/>
              </w:rPr>
              <w:t>0.562</w:t>
            </w:r>
          </w:p>
        </w:tc>
      </w:tr>
      <w:tr w:rsidR="000F7AD3" w14:paraId="1735B4B4" w14:textId="77777777">
        <w:trPr>
          <w:trHeight w:val="259"/>
        </w:trPr>
        <w:tc>
          <w:tcPr>
            <w:tcW w:w="1797" w:type="dxa"/>
          </w:tcPr>
          <w:p w14:paraId="4E0E08FD" w14:textId="77777777" w:rsidR="000F7AD3" w:rsidRDefault="00AD2271">
            <w:pPr>
              <w:pStyle w:val="NormalWeb"/>
              <w:jc w:val="both"/>
              <w:rPr>
                <w:rFonts w:ascii="Arial" w:eastAsia="Calibri" w:hAnsi="Arial" w:cs="Arial"/>
                <w:b/>
                <w:color w:val="000000"/>
                <w:sz w:val="20"/>
                <w:szCs w:val="20"/>
              </w:rPr>
            </w:pPr>
            <w:r>
              <w:rPr>
                <w:rFonts w:ascii="Arial" w:eastAsia="Calibri" w:hAnsi="Arial" w:cs="Arial"/>
                <w:b/>
                <w:color w:val="000000"/>
                <w:sz w:val="20"/>
                <w:szCs w:val="20"/>
              </w:rPr>
              <w:t>Semi- urban</w:t>
            </w:r>
          </w:p>
        </w:tc>
        <w:tc>
          <w:tcPr>
            <w:tcW w:w="2089" w:type="dxa"/>
          </w:tcPr>
          <w:p w14:paraId="03BEA064" w14:textId="77777777" w:rsidR="000F7AD3" w:rsidRDefault="00AD2271">
            <w:pPr>
              <w:pStyle w:val="NormalWeb"/>
              <w:jc w:val="both"/>
              <w:rPr>
                <w:rFonts w:ascii="Arial" w:eastAsia="Calibri" w:hAnsi="Arial" w:cs="Arial"/>
                <w:color w:val="000000"/>
                <w:sz w:val="20"/>
                <w:szCs w:val="20"/>
              </w:rPr>
            </w:pPr>
            <w:r>
              <w:rPr>
                <w:rFonts w:ascii="Arial" w:eastAsia="Calibri" w:hAnsi="Arial" w:cs="Arial"/>
                <w:color w:val="000000"/>
                <w:sz w:val="20"/>
                <w:szCs w:val="20"/>
              </w:rPr>
              <w:t>50</w:t>
            </w:r>
          </w:p>
        </w:tc>
        <w:tc>
          <w:tcPr>
            <w:tcW w:w="3104" w:type="dxa"/>
          </w:tcPr>
          <w:p w14:paraId="390AFEC1" w14:textId="77777777" w:rsidR="000F7AD3" w:rsidRDefault="00AD2271">
            <w:pPr>
              <w:pStyle w:val="NormalWeb"/>
              <w:jc w:val="both"/>
              <w:rPr>
                <w:rFonts w:ascii="Arial" w:eastAsia="Calibri" w:hAnsi="Arial" w:cs="Arial"/>
                <w:color w:val="000000"/>
                <w:sz w:val="20"/>
                <w:szCs w:val="20"/>
                <w:vertAlign w:val="superscript"/>
              </w:rPr>
            </w:pPr>
            <w:r>
              <w:rPr>
                <w:rFonts w:ascii="Arial" w:eastAsia="Calibri" w:hAnsi="Arial" w:cs="Arial"/>
                <w:color w:val="000000"/>
                <w:sz w:val="20"/>
                <w:szCs w:val="20"/>
              </w:rPr>
              <w:t>73.00</w:t>
            </w:r>
            <w:r>
              <w:rPr>
                <w:rFonts w:ascii="Arial" w:eastAsia="Calibri" w:hAnsi="Arial" w:cs="Arial"/>
                <w:color w:val="000000"/>
                <w:sz w:val="20"/>
                <w:szCs w:val="20"/>
                <w:vertAlign w:val="superscript"/>
              </w:rPr>
              <w:t>a</w:t>
            </w:r>
          </w:p>
        </w:tc>
        <w:tc>
          <w:tcPr>
            <w:tcW w:w="1497" w:type="dxa"/>
          </w:tcPr>
          <w:p w14:paraId="315BC9AB" w14:textId="77777777" w:rsidR="000F7AD3" w:rsidRDefault="00AD2271">
            <w:pPr>
              <w:pStyle w:val="NormalWeb"/>
              <w:jc w:val="both"/>
              <w:rPr>
                <w:rFonts w:ascii="Arial" w:eastAsia="Calibri" w:hAnsi="Arial" w:cs="Arial"/>
                <w:color w:val="000000"/>
                <w:sz w:val="20"/>
                <w:szCs w:val="20"/>
              </w:rPr>
            </w:pPr>
            <w:r>
              <w:rPr>
                <w:rFonts w:ascii="Arial" w:eastAsia="Calibri" w:hAnsi="Arial" w:cs="Arial"/>
                <w:color w:val="000000"/>
                <w:sz w:val="20"/>
                <w:szCs w:val="20"/>
              </w:rPr>
              <w:t>1</w:t>
            </w:r>
          </w:p>
        </w:tc>
        <w:tc>
          <w:tcPr>
            <w:tcW w:w="1576" w:type="dxa"/>
            <w:vMerge/>
          </w:tcPr>
          <w:p w14:paraId="05B84048" w14:textId="77777777" w:rsidR="000F7AD3" w:rsidRDefault="000F7AD3">
            <w:pPr>
              <w:pStyle w:val="NormalWeb"/>
              <w:jc w:val="both"/>
              <w:rPr>
                <w:rFonts w:ascii="Arial" w:eastAsia="Calibri" w:hAnsi="Arial" w:cs="Arial"/>
                <w:color w:val="000000"/>
                <w:sz w:val="20"/>
                <w:szCs w:val="20"/>
              </w:rPr>
            </w:pPr>
          </w:p>
        </w:tc>
      </w:tr>
    </w:tbl>
    <w:p w14:paraId="3F907FFF" w14:textId="77777777" w:rsidR="000F7AD3" w:rsidRDefault="00AD2271">
      <w:pPr>
        <w:pStyle w:val="NormalWeb"/>
        <w:jc w:val="both"/>
        <w:rPr>
          <w:rFonts w:ascii="Arial" w:eastAsia="Calibri" w:hAnsi="Arial" w:cs="Arial"/>
          <w:color w:val="000000"/>
          <w:sz w:val="20"/>
          <w:szCs w:val="20"/>
        </w:rPr>
      </w:pPr>
      <w:r>
        <w:rPr>
          <w:rFonts w:ascii="Arial" w:eastAsia="Calibri" w:hAnsi="Arial" w:cs="Arial"/>
          <w:color w:val="000000"/>
          <w:sz w:val="20"/>
          <w:szCs w:val="20"/>
        </w:rPr>
        <w:t xml:space="preserve">Means within a column with a common superscript do not differ significantly (P˃0.05), EMM- Estimated Marginal Means, </w:t>
      </w:r>
      <w:proofErr w:type="spellStart"/>
      <w:r>
        <w:rPr>
          <w:rFonts w:ascii="Arial" w:eastAsia="Calibri" w:hAnsi="Arial" w:cs="Arial"/>
          <w:color w:val="000000"/>
          <w:sz w:val="20"/>
          <w:szCs w:val="20"/>
        </w:rPr>
        <w:t>Exp.B</w:t>
      </w:r>
      <w:proofErr w:type="spellEnd"/>
      <w:r>
        <w:rPr>
          <w:rFonts w:ascii="Arial" w:eastAsia="Calibri" w:hAnsi="Arial" w:cs="Arial"/>
          <w:color w:val="000000"/>
          <w:sz w:val="20"/>
          <w:szCs w:val="20"/>
        </w:rPr>
        <w:t>- Exponential Beta</w:t>
      </w:r>
    </w:p>
    <w:p w14:paraId="79366A5F" w14:textId="77777777" w:rsidR="000F7AD3" w:rsidRDefault="000F7AD3">
      <w:pPr>
        <w:pStyle w:val="Body"/>
        <w:spacing w:after="0"/>
        <w:rPr>
          <w:rFonts w:ascii="Arial" w:hAnsi="Arial" w:cs="Arial"/>
        </w:rPr>
      </w:pPr>
    </w:p>
    <w:p w14:paraId="7188C04B" w14:textId="77777777" w:rsidR="000F7AD3" w:rsidRDefault="00AD2271">
      <w:pPr>
        <w:pStyle w:val="ConcHead"/>
        <w:spacing w:after="0"/>
        <w:jc w:val="both"/>
        <w:rPr>
          <w:rFonts w:ascii="Arial" w:hAnsi="Arial" w:cs="Arial"/>
        </w:rPr>
      </w:pPr>
      <w:r>
        <w:rPr>
          <w:rFonts w:ascii="Arial" w:hAnsi="Arial" w:cs="Arial"/>
        </w:rPr>
        <w:t>4. Conclusion</w:t>
      </w:r>
    </w:p>
    <w:p w14:paraId="7AC6EE04" w14:textId="77777777" w:rsidR="000F7AD3" w:rsidRDefault="000F7AD3">
      <w:pPr>
        <w:pStyle w:val="ConcHead"/>
        <w:spacing w:after="0"/>
        <w:jc w:val="both"/>
        <w:rPr>
          <w:rFonts w:ascii="Arial" w:hAnsi="Arial" w:cs="Arial"/>
        </w:rPr>
      </w:pPr>
    </w:p>
    <w:p w14:paraId="05DCD57F" w14:textId="30FE2506" w:rsidR="00AA5B9B" w:rsidRPr="00AA5B9B" w:rsidRDefault="00AA5B9B" w:rsidP="00AA5B9B">
      <w:pPr>
        <w:jc w:val="both"/>
        <w:rPr>
          <w:rFonts w:ascii="Arial" w:eastAsia="Calibri" w:hAnsi="Arial" w:cs="Arial"/>
        </w:rPr>
      </w:pPr>
      <w:r w:rsidRPr="00765733">
        <w:rPr>
          <w:rFonts w:ascii="Arial" w:eastAsia="Calibri" w:hAnsi="Arial" w:cs="Arial"/>
        </w:rPr>
        <w:t>This study concludes that broiler production in both urban and semi-urban zones of Maseru district is constrained by gastrointestinal parasite infections. The faecal egg count (FEC) of coccidia was significantly higher in semi-urban areas than in urban areas, while nematodes and cestodes showed no significant difference between zones.</w:t>
      </w:r>
      <w:r>
        <w:rPr>
          <w:rFonts w:ascii="Arial" w:eastAsia="Calibri" w:hAnsi="Arial" w:cs="Arial"/>
        </w:rPr>
        <w:t xml:space="preserve"> </w:t>
      </w:r>
      <w:r w:rsidRPr="00AA5B9B">
        <w:rPr>
          <w:rFonts w:ascii="Arial" w:eastAsia="Calibri" w:hAnsi="Arial" w:cs="Arial"/>
        </w:rPr>
        <w:t>Broilers aged 5 weeks had the highest odds of nematode and coccidia infection compared to other age groups, highlighting this as the critical risk period.</w:t>
      </w:r>
      <w:r>
        <w:rPr>
          <w:rFonts w:ascii="Arial" w:eastAsia="Calibri" w:hAnsi="Arial" w:cs="Arial"/>
        </w:rPr>
        <w:t xml:space="preserve"> </w:t>
      </w:r>
      <w:r w:rsidRPr="00AA5B9B">
        <w:rPr>
          <w:rFonts w:ascii="Arial" w:eastAsia="Calibri" w:hAnsi="Arial" w:cs="Arial"/>
        </w:rPr>
        <w:t>The findings suggest that semi-urban farms experienced greater coccidia burden despite reporting relatively better biosecurity practices, while urban farms showed slightly higher odds of nematode and cestode infection. These results emphasize the need for improved parasite control strategies in both zones.</w:t>
      </w:r>
    </w:p>
    <w:p w14:paraId="246E803F" w14:textId="77777777" w:rsidR="000F7AD3" w:rsidRDefault="000F7AD3">
      <w:pPr>
        <w:pStyle w:val="AcknHead"/>
        <w:spacing w:after="0"/>
        <w:jc w:val="both"/>
        <w:rPr>
          <w:rFonts w:ascii="Arial" w:hAnsi="Arial" w:cs="Arial"/>
        </w:rPr>
      </w:pPr>
    </w:p>
    <w:p w14:paraId="5FCE9335" w14:textId="77777777" w:rsidR="000F7AD3" w:rsidRDefault="000F7AD3">
      <w:pPr>
        <w:pStyle w:val="ReferHead"/>
        <w:spacing w:after="0"/>
        <w:jc w:val="both"/>
        <w:rPr>
          <w:rFonts w:ascii="Arial" w:hAnsi="Arial" w:cs="Arial"/>
          <w:b w:val="0"/>
          <w:caps w:val="0"/>
          <w:sz w:val="20"/>
        </w:rPr>
      </w:pPr>
    </w:p>
    <w:p w14:paraId="570261AA" w14:textId="7608C3EC" w:rsidR="000F7AD3" w:rsidRDefault="00AD2271">
      <w:pPr>
        <w:pStyle w:val="ReferHead"/>
        <w:spacing w:after="0"/>
        <w:jc w:val="both"/>
        <w:rPr>
          <w:rFonts w:ascii="Arial" w:hAnsi="Arial" w:cs="Arial"/>
          <w:bCs/>
        </w:rPr>
      </w:pPr>
      <w:r>
        <w:rPr>
          <w:rFonts w:ascii="Arial" w:hAnsi="Arial" w:cs="Arial"/>
          <w:bCs/>
        </w:rPr>
        <w:t xml:space="preserve">Ethical approval </w:t>
      </w:r>
    </w:p>
    <w:p w14:paraId="0E919BEC" w14:textId="77777777" w:rsidR="000F7AD3" w:rsidRDefault="000F7AD3">
      <w:pPr>
        <w:pStyle w:val="ReferHead"/>
        <w:spacing w:after="0"/>
        <w:jc w:val="both"/>
        <w:rPr>
          <w:rFonts w:ascii="Arial" w:hAnsi="Arial" w:cs="Arial"/>
          <w:bCs/>
        </w:rPr>
      </w:pPr>
    </w:p>
    <w:p w14:paraId="6C98C2FB" w14:textId="77777777" w:rsidR="000F7AD3" w:rsidRDefault="00AD2271">
      <w:pPr>
        <w:jc w:val="both"/>
        <w:rPr>
          <w:rFonts w:ascii="Arial" w:eastAsia="Calibri" w:hAnsi="Arial" w:cs="Arial"/>
        </w:rPr>
      </w:pPr>
      <w:r>
        <w:rPr>
          <w:rFonts w:ascii="Arial" w:hAnsi="Arial" w:cs="Arial"/>
        </w:rPr>
        <w:t>The research and ethics committee in the Department of Animal Science of the National University of Lesotho approved the current study based on international welfare standards for use of animals in conducting research.</w:t>
      </w:r>
    </w:p>
    <w:p w14:paraId="15BD4B57" w14:textId="1F4F872C" w:rsidR="000F7AD3" w:rsidRDefault="000F7AD3">
      <w:pPr>
        <w:pStyle w:val="ReferHead"/>
        <w:spacing w:after="0"/>
        <w:jc w:val="both"/>
        <w:rPr>
          <w:rFonts w:ascii="Arial" w:hAnsi="Arial" w:cs="Arial"/>
        </w:rPr>
      </w:pPr>
    </w:p>
    <w:p w14:paraId="49015449" w14:textId="530B624A" w:rsidR="00E670A8" w:rsidRDefault="00E670A8">
      <w:pPr>
        <w:pStyle w:val="ReferHead"/>
        <w:spacing w:after="0"/>
        <w:jc w:val="both"/>
        <w:rPr>
          <w:rFonts w:ascii="Arial" w:hAnsi="Arial" w:cs="Arial"/>
        </w:rPr>
      </w:pPr>
    </w:p>
    <w:p w14:paraId="3A5D0606" w14:textId="77777777" w:rsidR="00E670A8" w:rsidRPr="003A7CEF" w:rsidRDefault="00E670A8" w:rsidP="00E670A8">
      <w:pPr>
        <w:rPr>
          <w:b/>
          <w:bCs/>
        </w:rPr>
      </w:pPr>
      <w:r w:rsidRPr="003A7CEF">
        <w:rPr>
          <w:b/>
          <w:bCs/>
        </w:rPr>
        <w:t>Disclaimer (Artificial intelligence)</w:t>
      </w:r>
    </w:p>
    <w:p w14:paraId="1DBCF969" w14:textId="77777777" w:rsidR="00E670A8" w:rsidRPr="00270720" w:rsidRDefault="00E670A8" w:rsidP="00E670A8">
      <w:pPr>
        <w:rPr>
          <w:highlight w:val="yellow"/>
        </w:rPr>
      </w:pPr>
    </w:p>
    <w:p w14:paraId="76C68EB1" w14:textId="360E2832" w:rsidR="00E670A8" w:rsidRPr="003A7CEF" w:rsidRDefault="003A7CEF">
      <w:pPr>
        <w:pStyle w:val="ReferHead"/>
        <w:spacing w:after="0"/>
        <w:jc w:val="both"/>
        <w:rPr>
          <w:rFonts w:ascii="Arial" w:hAnsi="Arial" w:cs="Arial"/>
          <w:b w:val="0"/>
          <w:bCs/>
          <w:sz w:val="20"/>
          <w:shd w:val="clear" w:color="auto" w:fill="FFFFFF"/>
        </w:rPr>
      </w:pPr>
      <w:r>
        <w:rPr>
          <w:rFonts w:ascii="Arial" w:hAnsi="Arial" w:cs="Arial"/>
          <w:b w:val="0"/>
          <w:bCs/>
          <w:caps w:val="0"/>
          <w:sz w:val="20"/>
          <w:shd w:val="clear" w:color="auto" w:fill="FFFFFF"/>
        </w:rPr>
        <w:t>A</w:t>
      </w:r>
      <w:r w:rsidRPr="003A7CEF">
        <w:rPr>
          <w:rFonts w:ascii="Arial" w:hAnsi="Arial" w:cs="Arial"/>
          <w:b w:val="0"/>
          <w:bCs/>
          <w:caps w:val="0"/>
          <w:sz w:val="20"/>
          <w:shd w:val="clear" w:color="auto" w:fill="FFFFFF"/>
        </w:rPr>
        <w:t xml:space="preserve">uthor(s) hereby </w:t>
      </w:r>
      <w:r w:rsidR="00BC6419" w:rsidRPr="003A7CEF">
        <w:rPr>
          <w:rFonts w:ascii="Arial" w:hAnsi="Arial" w:cs="Arial"/>
          <w:b w:val="0"/>
          <w:bCs/>
          <w:caps w:val="0"/>
          <w:sz w:val="20"/>
          <w:shd w:val="clear" w:color="auto" w:fill="FFFFFF"/>
        </w:rPr>
        <w:t>declares</w:t>
      </w:r>
      <w:r w:rsidRPr="003A7CEF">
        <w:rPr>
          <w:rFonts w:ascii="Arial" w:hAnsi="Arial" w:cs="Arial"/>
          <w:b w:val="0"/>
          <w:bCs/>
          <w:caps w:val="0"/>
          <w:sz w:val="20"/>
          <w:shd w:val="clear" w:color="auto" w:fill="FFFFFF"/>
        </w:rPr>
        <w:t xml:space="preserve"> that no generative ai technologies such as large models (</w:t>
      </w:r>
      <w:proofErr w:type="spellStart"/>
      <w:r w:rsidRPr="003A7CEF">
        <w:rPr>
          <w:rFonts w:ascii="Arial" w:hAnsi="Arial" w:cs="Arial"/>
          <w:b w:val="0"/>
          <w:bCs/>
          <w:caps w:val="0"/>
          <w:sz w:val="20"/>
          <w:shd w:val="clear" w:color="auto" w:fill="FFFFFF"/>
        </w:rPr>
        <w:t>chatgpt</w:t>
      </w:r>
      <w:proofErr w:type="spellEnd"/>
      <w:r w:rsidRPr="003A7CEF">
        <w:rPr>
          <w:rFonts w:ascii="Arial" w:hAnsi="Arial" w:cs="Arial"/>
          <w:b w:val="0"/>
          <w:bCs/>
          <w:caps w:val="0"/>
          <w:sz w:val="20"/>
          <w:shd w:val="clear" w:color="auto" w:fill="FFFFFF"/>
        </w:rPr>
        <w:t>,</w:t>
      </w:r>
      <w:r w:rsidR="007852D8">
        <w:rPr>
          <w:rFonts w:ascii="Arial" w:hAnsi="Arial" w:cs="Arial"/>
          <w:b w:val="0"/>
          <w:bCs/>
          <w:caps w:val="0"/>
          <w:sz w:val="20"/>
          <w:shd w:val="clear" w:color="auto" w:fill="FFFFFF"/>
        </w:rPr>
        <w:t xml:space="preserve"> </w:t>
      </w:r>
      <w:r w:rsidRPr="003A7CEF">
        <w:rPr>
          <w:rFonts w:ascii="Arial" w:hAnsi="Arial" w:cs="Arial"/>
          <w:b w:val="0"/>
          <w:bCs/>
          <w:caps w:val="0"/>
          <w:sz w:val="20"/>
          <w:shd w:val="clear" w:color="auto" w:fill="FFFFFF"/>
        </w:rPr>
        <w:t>copilot,</w:t>
      </w:r>
      <w:r w:rsidR="007852D8">
        <w:rPr>
          <w:rFonts w:ascii="Arial" w:hAnsi="Arial" w:cs="Arial"/>
          <w:b w:val="0"/>
          <w:bCs/>
          <w:caps w:val="0"/>
          <w:sz w:val="20"/>
          <w:shd w:val="clear" w:color="auto" w:fill="FFFFFF"/>
        </w:rPr>
        <w:t xml:space="preserve"> </w:t>
      </w:r>
      <w:proofErr w:type="spellStart"/>
      <w:r w:rsidRPr="003A7CEF">
        <w:rPr>
          <w:rFonts w:ascii="Arial" w:hAnsi="Arial" w:cs="Arial"/>
          <w:b w:val="0"/>
          <w:bCs/>
          <w:caps w:val="0"/>
          <w:sz w:val="20"/>
          <w:shd w:val="clear" w:color="auto" w:fill="FFFFFF"/>
        </w:rPr>
        <w:t>etc</w:t>
      </w:r>
      <w:proofErr w:type="spellEnd"/>
      <w:r w:rsidRPr="003A7CEF">
        <w:rPr>
          <w:rFonts w:ascii="Arial" w:hAnsi="Arial" w:cs="Arial"/>
          <w:b w:val="0"/>
          <w:bCs/>
          <w:caps w:val="0"/>
          <w:sz w:val="20"/>
          <w:shd w:val="clear" w:color="auto" w:fill="FFFFFF"/>
        </w:rPr>
        <w:t>) and text-to-image generators have been used during writing or editing of this manuscript.</w:t>
      </w:r>
    </w:p>
    <w:p w14:paraId="07ED2FAB" w14:textId="77777777" w:rsidR="003A7CEF" w:rsidRDefault="003A7CEF">
      <w:pPr>
        <w:pStyle w:val="ReferHead"/>
        <w:spacing w:after="0"/>
        <w:jc w:val="both"/>
        <w:rPr>
          <w:rFonts w:ascii="Arial" w:hAnsi="Arial" w:cs="Arial"/>
        </w:rPr>
      </w:pPr>
    </w:p>
    <w:p w14:paraId="45079646" w14:textId="77777777" w:rsidR="000F7AD3" w:rsidRDefault="00AD2271">
      <w:pPr>
        <w:pStyle w:val="ReferHead"/>
        <w:spacing w:after="0"/>
        <w:jc w:val="both"/>
        <w:rPr>
          <w:rFonts w:ascii="Arial" w:hAnsi="Arial" w:cs="Arial"/>
        </w:rPr>
      </w:pPr>
      <w:r>
        <w:rPr>
          <w:rFonts w:ascii="Arial" w:hAnsi="Arial" w:cs="Arial"/>
        </w:rPr>
        <w:t>References</w:t>
      </w:r>
    </w:p>
    <w:p w14:paraId="5BEA3EBB" w14:textId="77777777" w:rsidR="000F7AD3" w:rsidRDefault="00AD2271" w:rsidP="001C36AD">
      <w:pPr>
        <w:pStyle w:val="NormalWeb"/>
        <w:numPr>
          <w:ilvl w:val="0"/>
          <w:numId w:val="2"/>
        </w:numPr>
      </w:pPr>
      <w:r>
        <w:t xml:space="preserve">Ahmed, M. (2018). Major constraints and health management of village poultry production in Ethiopia. </w:t>
      </w:r>
      <w:r>
        <w:rPr>
          <w:rStyle w:val="Emphasis"/>
        </w:rPr>
        <w:t>International Journal of Research in Management and Business Studies</w:t>
      </w:r>
      <w:r>
        <w:t xml:space="preserve">, 1, 2–10. </w:t>
      </w:r>
      <w:hyperlink r:id="rId15" w:history="1">
        <w:r w:rsidR="000F7AD3">
          <w:rPr>
            <w:rStyle w:val="Hyperlink"/>
          </w:rPr>
          <w:t>https://dx.doi.org/10.20431/2454-9428.0401001</w:t>
        </w:r>
      </w:hyperlink>
    </w:p>
    <w:p w14:paraId="0E1C3089" w14:textId="77777777" w:rsidR="000F7AD3" w:rsidRDefault="00AD2271" w:rsidP="001C36AD">
      <w:pPr>
        <w:pStyle w:val="NormalWeb"/>
        <w:numPr>
          <w:ilvl w:val="0"/>
          <w:numId w:val="2"/>
        </w:numPr>
      </w:pPr>
      <w:r>
        <w:t xml:space="preserve">Aman, M., Mersha, C., &amp; </w:t>
      </w:r>
      <w:proofErr w:type="spellStart"/>
      <w:r>
        <w:t>Basaznew</w:t>
      </w:r>
      <w:proofErr w:type="spellEnd"/>
      <w:r>
        <w:t xml:space="preserve">, B. (2013). Major constraints of village poultry production in </w:t>
      </w:r>
      <w:proofErr w:type="spellStart"/>
      <w:r>
        <w:t>Dembagofa</w:t>
      </w:r>
      <w:proofErr w:type="spellEnd"/>
      <w:r>
        <w:t xml:space="preserve"> District of Southern Region, Ethiopia. </w:t>
      </w:r>
      <w:r>
        <w:rPr>
          <w:rStyle w:val="Emphasis"/>
        </w:rPr>
        <w:t>British Journal of Poultry Science</w:t>
      </w:r>
      <w:r>
        <w:t xml:space="preserve">, 2, 1–6. </w:t>
      </w:r>
      <w:hyperlink r:id="rId16" w:history="1">
        <w:r w:rsidR="000F7AD3">
          <w:rPr>
            <w:rStyle w:val="Hyperlink"/>
          </w:rPr>
          <w:t>https://doi.org/10.5829/idosi.bjps.2013.2.1.7465</w:t>
        </w:r>
      </w:hyperlink>
    </w:p>
    <w:p w14:paraId="51240423" w14:textId="77777777" w:rsidR="000F7AD3" w:rsidRDefault="00AD2271" w:rsidP="001C36AD">
      <w:pPr>
        <w:pStyle w:val="NormalWeb"/>
        <w:numPr>
          <w:ilvl w:val="0"/>
          <w:numId w:val="2"/>
        </w:numPr>
      </w:pPr>
      <w:r>
        <w:t xml:space="preserve">De Jong, I. C., Moya, T. P., Gunnink, H., Heuvel, H. V. D., Mul, M., &amp; Reenen, K. V. (2011). Simplifying the welfare quality assessment protocol for broilers. </w:t>
      </w:r>
      <w:r>
        <w:rPr>
          <w:rStyle w:val="Emphasis"/>
        </w:rPr>
        <w:t>Partner in Livestock Innovations</w:t>
      </w:r>
      <w:r>
        <w:t xml:space="preserve">. </w:t>
      </w:r>
      <w:hyperlink r:id="rId17" w:history="1">
        <w:r w:rsidR="000F7AD3">
          <w:rPr>
            <w:rStyle w:val="Hyperlink"/>
          </w:rPr>
          <w:t>https://edepot.wur.nl/196648</w:t>
        </w:r>
      </w:hyperlink>
    </w:p>
    <w:p w14:paraId="28107CE8" w14:textId="77777777" w:rsidR="000F7AD3" w:rsidRDefault="00AD2271" w:rsidP="001C36AD">
      <w:pPr>
        <w:pStyle w:val="NormalWeb"/>
        <w:numPr>
          <w:ilvl w:val="0"/>
          <w:numId w:val="2"/>
        </w:numPr>
      </w:pPr>
      <w:r>
        <w:t xml:space="preserve">Islam, M. S., Islam, M. N., Khatun, H., Faruque, S., Afroz, M. A., &amp; Alam, M. A. (2015). Effect of family training on profitability of small-scale broiler farming in </w:t>
      </w:r>
      <w:proofErr w:type="spellStart"/>
      <w:r>
        <w:t>Joypurhat</w:t>
      </w:r>
      <w:proofErr w:type="spellEnd"/>
      <w:r>
        <w:t xml:space="preserve"> District. </w:t>
      </w:r>
      <w:r>
        <w:rPr>
          <w:rStyle w:val="Emphasis"/>
        </w:rPr>
        <w:t>The Agriculturists</w:t>
      </w:r>
      <w:r>
        <w:t xml:space="preserve">, 12(2), 137–141. </w:t>
      </w:r>
      <w:hyperlink r:id="rId18" w:history="1">
        <w:r w:rsidR="000F7AD3">
          <w:rPr>
            <w:rStyle w:val="Hyperlink"/>
          </w:rPr>
          <w:t>https://doi.org/10.3329/agric.v12i.21742</w:t>
        </w:r>
      </w:hyperlink>
    </w:p>
    <w:p w14:paraId="05034031" w14:textId="59A0BEE1" w:rsidR="007852D8" w:rsidRPr="007F36B1" w:rsidRDefault="007852D8" w:rsidP="001C36AD">
      <w:pPr>
        <w:pStyle w:val="NormalWeb"/>
        <w:numPr>
          <w:ilvl w:val="0"/>
          <w:numId w:val="2"/>
        </w:numPr>
        <w:rPr>
          <w:highlight w:val="yellow"/>
        </w:rPr>
      </w:pPr>
      <w:r w:rsidRPr="007F36B1">
        <w:rPr>
          <w:highlight w:val="yellow"/>
        </w:rPr>
        <w:lastRenderedPageBreak/>
        <w:t xml:space="preserve">Adhikari, P., Kiess, A., Adhikari, R., Jha, R., &amp; Applegate, T. J. (2020). Coccidiosis: Current understanding and future prospects. Poultry Science, 99(11), 6511–6523. </w:t>
      </w:r>
      <w:hyperlink r:id="rId19" w:history="1">
        <w:r w:rsidRPr="007F36B1">
          <w:rPr>
            <w:rStyle w:val="Hyperlink"/>
            <w:highlight w:val="yellow"/>
          </w:rPr>
          <w:t>https://doi.org/10.1016/j.psj.2020.07.009</w:t>
        </w:r>
      </w:hyperlink>
    </w:p>
    <w:p w14:paraId="5001AB40" w14:textId="663DB0D8" w:rsidR="007852D8" w:rsidRPr="007F36B1" w:rsidRDefault="007852D8" w:rsidP="001C36AD">
      <w:pPr>
        <w:pStyle w:val="NormalWeb"/>
        <w:numPr>
          <w:ilvl w:val="0"/>
          <w:numId w:val="2"/>
        </w:numPr>
        <w:rPr>
          <w:highlight w:val="yellow"/>
        </w:rPr>
      </w:pPr>
      <w:proofErr w:type="spellStart"/>
      <w:r w:rsidRPr="007F36B1">
        <w:rPr>
          <w:highlight w:val="yellow"/>
        </w:rPr>
        <w:t>Ashenafi</w:t>
      </w:r>
      <w:proofErr w:type="spellEnd"/>
      <w:r w:rsidRPr="007F36B1">
        <w:rPr>
          <w:highlight w:val="yellow"/>
        </w:rPr>
        <w:t xml:space="preserve">, H., Tadesse, G., &amp; Medhin, G. (2002). Coccidiosis in village chickens in Ethiopia: Association with climate and management. Tropical Animal Health and Production, 34(6), 489–495. </w:t>
      </w:r>
      <w:hyperlink r:id="rId20" w:history="1">
        <w:r w:rsidRPr="007F36B1">
          <w:rPr>
            <w:rStyle w:val="Hyperlink"/>
            <w:highlight w:val="yellow"/>
          </w:rPr>
          <w:t>https://doi.org/10.1023/A:1021164816342</w:t>
        </w:r>
      </w:hyperlink>
    </w:p>
    <w:p w14:paraId="3643675C" w14:textId="519AF216" w:rsidR="000F7AD3" w:rsidRDefault="007852D8" w:rsidP="001C36AD">
      <w:pPr>
        <w:pStyle w:val="NormalWeb"/>
        <w:numPr>
          <w:ilvl w:val="0"/>
          <w:numId w:val="2"/>
        </w:numPr>
        <w:rPr>
          <w:highlight w:val="yellow"/>
        </w:rPr>
      </w:pPr>
      <w:proofErr w:type="spellStart"/>
      <w:r w:rsidRPr="007F36B1">
        <w:rPr>
          <w:highlight w:val="yellow"/>
        </w:rPr>
        <w:t>Meuna</w:t>
      </w:r>
      <w:proofErr w:type="spellEnd"/>
      <w:r w:rsidRPr="007F36B1">
        <w:rPr>
          <w:highlight w:val="yellow"/>
        </w:rPr>
        <w:t xml:space="preserve">, R., Permin, A., &amp; Esmann, J. B. (1998). The inadequacy of flotation techniques for diagnosing tapeworm eggs in poultry. International Journal of Parasitology, 28(5), 999–1001. </w:t>
      </w:r>
      <w:hyperlink r:id="rId21" w:history="1">
        <w:r w:rsidR="007F36B1" w:rsidRPr="00130D78">
          <w:rPr>
            <w:rStyle w:val="Hyperlink"/>
            <w:highlight w:val="yellow"/>
          </w:rPr>
          <w:t>https://doi.org/10.1016/S0020-7519(98)00066-1</w:t>
        </w:r>
      </w:hyperlink>
    </w:p>
    <w:p w14:paraId="508F19A9" w14:textId="25A25B99" w:rsidR="007F36B1" w:rsidRPr="007F36B1" w:rsidRDefault="007F36B1" w:rsidP="001C36AD">
      <w:pPr>
        <w:pStyle w:val="NormalWeb"/>
        <w:numPr>
          <w:ilvl w:val="0"/>
          <w:numId w:val="2"/>
        </w:numPr>
        <w:rPr>
          <w:highlight w:val="yellow"/>
        </w:rPr>
      </w:pPr>
      <w:proofErr w:type="spellStart"/>
      <w:r>
        <w:rPr>
          <w:rFonts w:ascii="Arial" w:hAnsi="Arial" w:cs="Arial"/>
          <w:color w:val="222222"/>
          <w:sz w:val="20"/>
          <w:szCs w:val="20"/>
          <w:shd w:val="clear" w:color="auto" w:fill="FFFFFF"/>
        </w:rPr>
        <w:t>Gadahi</w:t>
      </w:r>
      <w:proofErr w:type="spellEnd"/>
      <w:r>
        <w:rPr>
          <w:rFonts w:ascii="Arial" w:hAnsi="Arial" w:cs="Arial"/>
          <w:color w:val="222222"/>
          <w:sz w:val="20"/>
          <w:szCs w:val="20"/>
          <w:shd w:val="clear" w:color="auto" w:fill="FFFFFF"/>
        </w:rPr>
        <w:t xml:space="preserve">, J. A., </w:t>
      </w:r>
      <w:proofErr w:type="spellStart"/>
      <w:r>
        <w:rPr>
          <w:rFonts w:ascii="Arial" w:hAnsi="Arial" w:cs="Arial"/>
          <w:color w:val="222222"/>
          <w:sz w:val="20"/>
          <w:szCs w:val="20"/>
          <w:shd w:val="clear" w:color="auto" w:fill="FFFFFF"/>
        </w:rPr>
        <w:t>Arshed</w:t>
      </w:r>
      <w:proofErr w:type="spellEnd"/>
      <w:r>
        <w:rPr>
          <w:rFonts w:ascii="Arial" w:hAnsi="Arial" w:cs="Arial"/>
          <w:color w:val="222222"/>
          <w:sz w:val="20"/>
          <w:szCs w:val="20"/>
          <w:shd w:val="clear" w:color="auto" w:fill="FFFFFF"/>
        </w:rPr>
        <w:t xml:space="preserve">, M. J., Ali, Q., </w:t>
      </w:r>
      <w:proofErr w:type="spellStart"/>
      <w:r>
        <w:rPr>
          <w:rFonts w:ascii="Arial" w:hAnsi="Arial" w:cs="Arial"/>
          <w:color w:val="222222"/>
          <w:sz w:val="20"/>
          <w:szCs w:val="20"/>
          <w:shd w:val="clear" w:color="auto" w:fill="FFFFFF"/>
        </w:rPr>
        <w:t>Javaid</w:t>
      </w:r>
      <w:proofErr w:type="spellEnd"/>
      <w:r>
        <w:rPr>
          <w:rFonts w:ascii="Arial" w:hAnsi="Arial" w:cs="Arial"/>
          <w:color w:val="222222"/>
          <w:sz w:val="20"/>
          <w:szCs w:val="20"/>
          <w:shd w:val="clear" w:color="auto" w:fill="FFFFFF"/>
        </w:rPr>
        <w:t>, S. B., &amp; Shah, S. I. (2009). Prevalence of gastrointestinal parasites of sheep and goat in and around Rawalpindi and Islamabad, Pakistan. </w:t>
      </w:r>
      <w:r>
        <w:rPr>
          <w:rFonts w:ascii="Arial" w:hAnsi="Arial" w:cs="Arial"/>
          <w:i/>
          <w:iCs/>
          <w:color w:val="222222"/>
          <w:sz w:val="20"/>
          <w:szCs w:val="20"/>
          <w:shd w:val="clear" w:color="auto" w:fill="FFFFFF"/>
        </w:rPr>
        <w:t>Veterinary World</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(2), 51.</w:t>
      </w:r>
    </w:p>
    <w:p w14:paraId="60A0C782" w14:textId="17721C95" w:rsidR="007F36B1" w:rsidRPr="007F36B1" w:rsidRDefault="007F36B1" w:rsidP="001C36AD">
      <w:pPr>
        <w:pStyle w:val="NormalWeb"/>
        <w:numPr>
          <w:ilvl w:val="0"/>
          <w:numId w:val="2"/>
        </w:numPr>
        <w:rPr>
          <w:highlight w:val="yellow"/>
        </w:rPr>
      </w:pPr>
      <w:r>
        <w:rPr>
          <w:rFonts w:ascii="Arial" w:hAnsi="Arial" w:cs="Arial"/>
          <w:color w:val="222222"/>
          <w:sz w:val="20"/>
          <w:szCs w:val="20"/>
          <w:shd w:val="clear" w:color="auto" w:fill="FFFFFF"/>
        </w:rPr>
        <w:t xml:space="preserve">Maharana, B. R., Kumar, B., Sudhakar, N. R., Behera, S. K., &amp; </w:t>
      </w:r>
      <w:proofErr w:type="spellStart"/>
      <w:r>
        <w:rPr>
          <w:rFonts w:ascii="Arial" w:hAnsi="Arial" w:cs="Arial"/>
          <w:color w:val="222222"/>
          <w:sz w:val="20"/>
          <w:szCs w:val="20"/>
          <w:shd w:val="clear" w:color="auto" w:fill="FFFFFF"/>
        </w:rPr>
        <w:t>Patbandha</w:t>
      </w:r>
      <w:proofErr w:type="spellEnd"/>
      <w:r>
        <w:rPr>
          <w:rFonts w:ascii="Arial" w:hAnsi="Arial" w:cs="Arial"/>
          <w:color w:val="222222"/>
          <w:sz w:val="20"/>
          <w:szCs w:val="20"/>
          <w:shd w:val="clear" w:color="auto" w:fill="FFFFFF"/>
        </w:rPr>
        <w:t>, T. K. (2016). Prevalence of gastrointestinal parasites in bovines in and around Junagadh (Gujarat). </w:t>
      </w:r>
      <w:r>
        <w:rPr>
          <w:rFonts w:ascii="Arial" w:hAnsi="Arial" w:cs="Arial"/>
          <w:i/>
          <w:iCs/>
          <w:color w:val="222222"/>
          <w:sz w:val="20"/>
          <w:szCs w:val="20"/>
          <w:shd w:val="clear" w:color="auto" w:fill="FFFFFF"/>
        </w:rPr>
        <w:t>Journal of Parasitic Diseases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40</w:t>
      </w:r>
      <w:r>
        <w:rPr>
          <w:rFonts w:ascii="Arial" w:hAnsi="Arial" w:cs="Arial"/>
          <w:color w:val="222222"/>
          <w:sz w:val="20"/>
          <w:szCs w:val="20"/>
          <w:shd w:val="clear" w:color="auto" w:fill="FFFFFF"/>
        </w:rPr>
        <w:t>(4), 1174-1178.</w:t>
      </w:r>
    </w:p>
    <w:p w14:paraId="0FBF34CF" w14:textId="77070CE3" w:rsidR="007F36B1" w:rsidRPr="007F36B1" w:rsidRDefault="007F36B1" w:rsidP="001C36AD">
      <w:pPr>
        <w:pStyle w:val="NormalWeb"/>
        <w:numPr>
          <w:ilvl w:val="0"/>
          <w:numId w:val="2"/>
        </w:numPr>
        <w:rPr>
          <w:highlight w:val="yellow"/>
        </w:rPr>
      </w:pPr>
      <w:proofErr w:type="spellStart"/>
      <w:r>
        <w:rPr>
          <w:rFonts w:ascii="Arial" w:hAnsi="Arial" w:cs="Arial"/>
          <w:color w:val="222222"/>
          <w:sz w:val="20"/>
          <w:szCs w:val="20"/>
          <w:shd w:val="clear" w:color="auto" w:fill="FFFFFF"/>
        </w:rPr>
        <w:t>Puttalakshmamma</w:t>
      </w:r>
      <w:proofErr w:type="spellEnd"/>
      <w:r>
        <w:rPr>
          <w:rFonts w:ascii="Arial" w:hAnsi="Arial" w:cs="Arial"/>
          <w:color w:val="222222"/>
          <w:sz w:val="20"/>
          <w:szCs w:val="20"/>
          <w:shd w:val="clear" w:color="auto" w:fill="FFFFFF"/>
        </w:rPr>
        <w:t xml:space="preserve">, G. C., Mamatha, P. R., &amp; Rao, S. (2008). Prevalence of gastrointestinal parasites of poultry in and around </w:t>
      </w:r>
      <w:proofErr w:type="spellStart"/>
      <w:r>
        <w:rPr>
          <w:rFonts w:ascii="Arial" w:hAnsi="Arial" w:cs="Arial"/>
          <w:color w:val="222222"/>
          <w:sz w:val="20"/>
          <w:szCs w:val="20"/>
          <w:shd w:val="clear" w:color="auto" w:fill="FFFFFF"/>
        </w:rPr>
        <w:t>Banglore</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Veterinary World</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w:t>
      </w:r>
      <w:r>
        <w:rPr>
          <w:rFonts w:ascii="Arial" w:hAnsi="Arial" w:cs="Arial"/>
          <w:color w:val="222222"/>
          <w:sz w:val="20"/>
          <w:szCs w:val="20"/>
          <w:shd w:val="clear" w:color="auto" w:fill="FFFFFF"/>
        </w:rPr>
        <w:t>(7), 201.</w:t>
      </w:r>
    </w:p>
    <w:sectPr w:rsidR="007F36B1" w:rsidRPr="007F36B1" w:rsidSect="00D847C1">
      <w:headerReference w:type="even" r:id="rId22"/>
      <w:headerReference w:type="default" r:id="rId23"/>
      <w:footerReference w:type="default" r:id="rId24"/>
      <w:headerReference w:type="first" r:id="rId2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4933F" w14:textId="77777777" w:rsidR="00112669" w:rsidRDefault="00112669">
      <w:r>
        <w:separator/>
      </w:r>
    </w:p>
  </w:endnote>
  <w:endnote w:type="continuationSeparator" w:id="0">
    <w:p w14:paraId="0C6D28AA" w14:textId="77777777" w:rsidR="00112669" w:rsidRDefault="00112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D6952" w14:textId="77777777" w:rsidR="00D847C1" w:rsidRDefault="00D847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26324" w14:textId="74C3E5FF" w:rsidR="000F7AD3" w:rsidRPr="005D741B" w:rsidRDefault="000F7AD3" w:rsidP="005D74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D0231" w14:textId="587A5506" w:rsidR="000F7AD3" w:rsidRPr="00D847C1" w:rsidRDefault="000F7AD3" w:rsidP="00D847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B1C15" w14:textId="77777777" w:rsidR="000F7AD3" w:rsidRDefault="000F7A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8FD9F" w14:textId="77777777" w:rsidR="00112669" w:rsidRDefault="00112669">
      <w:r>
        <w:separator/>
      </w:r>
    </w:p>
  </w:footnote>
  <w:footnote w:type="continuationSeparator" w:id="0">
    <w:p w14:paraId="4BB1FE00" w14:textId="77777777" w:rsidR="00112669" w:rsidRDefault="00112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453CE" w14:textId="726996A6" w:rsidR="00D847C1" w:rsidRDefault="007F36B1">
    <w:pPr>
      <w:pStyle w:val="Header"/>
    </w:pPr>
    <w:r>
      <w:rPr>
        <w:noProof/>
      </w:rPr>
      <w:pict w14:anchorId="310045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816829" o:spid="_x0000_s2054" type="#_x0000_t136" alt="" style="position:absolute;margin-left:0;margin-top:0;width:685.25pt;height:76.1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8222C" w14:textId="482030AD" w:rsidR="00D847C1" w:rsidRDefault="007F36B1">
    <w:pPr>
      <w:pStyle w:val="Header"/>
    </w:pPr>
    <w:r>
      <w:rPr>
        <w:noProof/>
      </w:rPr>
      <w:pict w14:anchorId="2F576D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816830" o:spid="_x0000_s2053" type="#_x0000_t136" alt="" style="position:absolute;margin-left:0;margin-top:0;width:685.25pt;height:76.1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19543" w14:textId="49CB9725" w:rsidR="000F7AD3" w:rsidRDefault="007F36B1">
    <w:pPr>
      <w:ind w:left="2160"/>
      <w:jc w:val="center"/>
      <w:rPr>
        <w:rFonts w:ascii="Times New Roman" w:eastAsia="Calibri" w:hAnsi="Times New Roman"/>
        <w:i/>
        <w:sz w:val="18"/>
        <w:szCs w:val="22"/>
      </w:rPr>
    </w:pPr>
    <w:r>
      <w:rPr>
        <w:noProof/>
      </w:rPr>
      <w:pict w14:anchorId="75228E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816828" o:spid="_x0000_s2052" type="#_x0000_t136" alt="" style="position:absolute;left:0;text-align:left;margin-left:0;margin-top:0;width:685.25pt;height:76.1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67F84DC8" w14:textId="77777777" w:rsidR="000F7AD3" w:rsidRDefault="00AD2271">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2146BF43" w14:textId="77777777" w:rsidR="000F7AD3" w:rsidRDefault="00AD2271">
    <w:pPr>
      <w:jc w:val="center"/>
      <w:rPr>
        <w:rFonts w:ascii="Times New Roman" w:eastAsia="Calibri" w:hAnsi="Times New Roman"/>
        <w:i/>
        <w:sz w:val="18"/>
        <w:szCs w:val="22"/>
      </w:rPr>
    </w:pPr>
    <w:r>
      <w:rPr>
        <w:rFonts w:ascii="Times New Roman" w:eastAsia="Calibri" w:hAnsi="Times New Roman"/>
        <w:i/>
        <w:sz w:val="18"/>
        <w:szCs w:val="22"/>
      </w:rPr>
      <w:t>.</w:t>
    </w:r>
  </w:p>
  <w:p w14:paraId="1E529960" w14:textId="77777777" w:rsidR="000F7AD3" w:rsidRDefault="00AD2271">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70A0D03" w14:textId="77777777" w:rsidR="000F7AD3" w:rsidRDefault="00AD2271">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499671" w14:textId="77777777" w:rsidR="000F7AD3" w:rsidRDefault="00AD2271">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796062A" w14:textId="77777777" w:rsidR="000F7AD3" w:rsidRDefault="00AD227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9D65A" w14:textId="215991CD" w:rsidR="00D847C1" w:rsidRDefault="007F36B1">
    <w:pPr>
      <w:pStyle w:val="Header"/>
    </w:pPr>
    <w:r>
      <w:rPr>
        <w:noProof/>
      </w:rPr>
      <w:pict w14:anchorId="6EBE9B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816832" o:spid="_x0000_s2051" type="#_x0000_t136" alt="" style="position:absolute;margin-left:0;margin-top:0;width:685.25pt;height:76.1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E5CAB" w14:textId="6B1B510E" w:rsidR="00D847C1" w:rsidRDefault="007F36B1">
    <w:pPr>
      <w:pStyle w:val="Header"/>
    </w:pPr>
    <w:r>
      <w:rPr>
        <w:noProof/>
      </w:rPr>
      <w:pict w14:anchorId="777553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816833" o:spid="_x0000_s2050" type="#_x0000_t136" alt="" style="position:absolute;margin-left:0;margin-top:0;width:685.25pt;height:76.1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B249D" w14:textId="347DED55" w:rsidR="00D847C1" w:rsidRDefault="007F36B1">
    <w:pPr>
      <w:pStyle w:val="Header"/>
    </w:pPr>
    <w:r>
      <w:rPr>
        <w:noProof/>
      </w:rPr>
      <w:pict w14:anchorId="281E7B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816831" o:spid="_x0000_s2049" type="#_x0000_t136" alt="" style="position:absolute;margin-left:0;margin-top:0;width:685.25pt;height:76.1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62F70"/>
    <w:multiLevelType w:val="hybridMultilevel"/>
    <w:tmpl w:val="1BBC4F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Y0MDU2MLW0NLcwsTRX0lEKTi0uzszPAykwrAUAZWZ3QCwAAAA="/>
  </w:docVars>
  <w:rsids>
    <w:rsidRoot w:val="00AA6219"/>
    <w:rsid w:val="FFEB43F6"/>
    <w:rsid w:val="00000F8F"/>
    <w:rsid w:val="00030174"/>
    <w:rsid w:val="0004579C"/>
    <w:rsid w:val="000A47FA"/>
    <w:rsid w:val="000A65D3"/>
    <w:rsid w:val="000B1E33"/>
    <w:rsid w:val="000D45C3"/>
    <w:rsid w:val="000D689F"/>
    <w:rsid w:val="000E3CE8"/>
    <w:rsid w:val="000E7B7B"/>
    <w:rsid w:val="000E7D62"/>
    <w:rsid w:val="000F7AD3"/>
    <w:rsid w:val="00103357"/>
    <w:rsid w:val="00112669"/>
    <w:rsid w:val="001156FE"/>
    <w:rsid w:val="00123C9F"/>
    <w:rsid w:val="00126190"/>
    <w:rsid w:val="00130F17"/>
    <w:rsid w:val="001320BF"/>
    <w:rsid w:val="00163BC4"/>
    <w:rsid w:val="00191062"/>
    <w:rsid w:val="00192B72"/>
    <w:rsid w:val="001A29D8"/>
    <w:rsid w:val="001A5CAA"/>
    <w:rsid w:val="001B0427"/>
    <w:rsid w:val="001C36AD"/>
    <w:rsid w:val="001D39FB"/>
    <w:rsid w:val="001D3A51"/>
    <w:rsid w:val="001E10D2"/>
    <w:rsid w:val="001E25B4"/>
    <w:rsid w:val="001E44FE"/>
    <w:rsid w:val="00200595"/>
    <w:rsid w:val="00204835"/>
    <w:rsid w:val="0022100D"/>
    <w:rsid w:val="00231920"/>
    <w:rsid w:val="0023195C"/>
    <w:rsid w:val="0024282C"/>
    <w:rsid w:val="002460DC"/>
    <w:rsid w:val="00250985"/>
    <w:rsid w:val="002556F6"/>
    <w:rsid w:val="00283105"/>
    <w:rsid w:val="00284C4C"/>
    <w:rsid w:val="00287E68"/>
    <w:rsid w:val="00287EC4"/>
    <w:rsid w:val="00296529"/>
    <w:rsid w:val="002B27FB"/>
    <w:rsid w:val="002B685A"/>
    <w:rsid w:val="002C57D2"/>
    <w:rsid w:val="002E0D56"/>
    <w:rsid w:val="00315186"/>
    <w:rsid w:val="0033343E"/>
    <w:rsid w:val="003512C2"/>
    <w:rsid w:val="00371FB6"/>
    <w:rsid w:val="003763C1"/>
    <w:rsid w:val="00376BBE"/>
    <w:rsid w:val="0039224F"/>
    <w:rsid w:val="003A43A4"/>
    <w:rsid w:val="003A7CEF"/>
    <w:rsid w:val="003A7E18"/>
    <w:rsid w:val="003C4C86"/>
    <w:rsid w:val="003C6258"/>
    <w:rsid w:val="003D1721"/>
    <w:rsid w:val="003E2904"/>
    <w:rsid w:val="003F28C2"/>
    <w:rsid w:val="00401927"/>
    <w:rsid w:val="0041027F"/>
    <w:rsid w:val="00412475"/>
    <w:rsid w:val="00423789"/>
    <w:rsid w:val="00440F43"/>
    <w:rsid w:val="00441B6F"/>
    <w:rsid w:val="00446221"/>
    <w:rsid w:val="00450E62"/>
    <w:rsid w:val="004520B0"/>
    <w:rsid w:val="004539DB"/>
    <w:rsid w:val="00471A80"/>
    <w:rsid w:val="004D305E"/>
    <w:rsid w:val="004D4277"/>
    <w:rsid w:val="00502516"/>
    <w:rsid w:val="00505F06"/>
    <w:rsid w:val="00506828"/>
    <w:rsid w:val="0053056E"/>
    <w:rsid w:val="00554FDA"/>
    <w:rsid w:val="00564276"/>
    <w:rsid w:val="005B6011"/>
    <w:rsid w:val="005C2843"/>
    <w:rsid w:val="005C784C"/>
    <w:rsid w:val="005D17F6"/>
    <w:rsid w:val="005D741B"/>
    <w:rsid w:val="005E5539"/>
    <w:rsid w:val="00602BF5"/>
    <w:rsid w:val="00617FDD"/>
    <w:rsid w:val="006214E2"/>
    <w:rsid w:val="00622090"/>
    <w:rsid w:val="00633614"/>
    <w:rsid w:val="00633F68"/>
    <w:rsid w:val="00636EB2"/>
    <w:rsid w:val="006375B8"/>
    <w:rsid w:val="00662C81"/>
    <w:rsid w:val="0066510A"/>
    <w:rsid w:val="00673F9F"/>
    <w:rsid w:val="00686953"/>
    <w:rsid w:val="00687DEA"/>
    <w:rsid w:val="00687E67"/>
    <w:rsid w:val="006967F7"/>
    <w:rsid w:val="006A250C"/>
    <w:rsid w:val="006B21D3"/>
    <w:rsid w:val="006B3FBB"/>
    <w:rsid w:val="006B57D0"/>
    <w:rsid w:val="006D30FF"/>
    <w:rsid w:val="006D6940"/>
    <w:rsid w:val="006F11EC"/>
    <w:rsid w:val="0070082C"/>
    <w:rsid w:val="007369E6"/>
    <w:rsid w:val="00746E59"/>
    <w:rsid w:val="00750DE6"/>
    <w:rsid w:val="00754C9A"/>
    <w:rsid w:val="0075599A"/>
    <w:rsid w:val="00761D52"/>
    <w:rsid w:val="0077749E"/>
    <w:rsid w:val="007852D8"/>
    <w:rsid w:val="00790ADA"/>
    <w:rsid w:val="007D2288"/>
    <w:rsid w:val="007E088F"/>
    <w:rsid w:val="007F36B1"/>
    <w:rsid w:val="007F7B32"/>
    <w:rsid w:val="00804BC2"/>
    <w:rsid w:val="00804FA8"/>
    <w:rsid w:val="0081431A"/>
    <w:rsid w:val="0083216F"/>
    <w:rsid w:val="00860000"/>
    <w:rsid w:val="00863BD3"/>
    <w:rsid w:val="008641ED"/>
    <w:rsid w:val="00866D66"/>
    <w:rsid w:val="008671C6"/>
    <w:rsid w:val="00875803"/>
    <w:rsid w:val="00880E52"/>
    <w:rsid w:val="008B459E"/>
    <w:rsid w:val="008C1B70"/>
    <w:rsid w:val="008E13AE"/>
    <w:rsid w:val="008E1506"/>
    <w:rsid w:val="008E710C"/>
    <w:rsid w:val="008F69D6"/>
    <w:rsid w:val="00902823"/>
    <w:rsid w:val="00915CA6"/>
    <w:rsid w:val="00927834"/>
    <w:rsid w:val="00927FBF"/>
    <w:rsid w:val="009500A6"/>
    <w:rsid w:val="00957C18"/>
    <w:rsid w:val="009659BA"/>
    <w:rsid w:val="00983040"/>
    <w:rsid w:val="009B3FB9"/>
    <w:rsid w:val="009C2465"/>
    <w:rsid w:val="009D35A0"/>
    <w:rsid w:val="009D3880"/>
    <w:rsid w:val="009D7EB7"/>
    <w:rsid w:val="009E048A"/>
    <w:rsid w:val="009E08E9"/>
    <w:rsid w:val="009E3DB9"/>
    <w:rsid w:val="009E6E35"/>
    <w:rsid w:val="009F0EDA"/>
    <w:rsid w:val="00A03B96"/>
    <w:rsid w:val="00A05B19"/>
    <w:rsid w:val="00A1134E"/>
    <w:rsid w:val="00A24E7E"/>
    <w:rsid w:val="00A258C3"/>
    <w:rsid w:val="00A347C0"/>
    <w:rsid w:val="00A420A7"/>
    <w:rsid w:val="00A51431"/>
    <w:rsid w:val="00A539AD"/>
    <w:rsid w:val="00A8257B"/>
    <w:rsid w:val="00A94063"/>
    <w:rsid w:val="00AA5B9B"/>
    <w:rsid w:val="00AA6219"/>
    <w:rsid w:val="00AA74E0"/>
    <w:rsid w:val="00AB703F"/>
    <w:rsid w:val="00AC6BB8"/>
    <w:rsid w:val="00AD2271"/>
    <w:rsid w:val="00AE008F"/>
    <w:rsid w:val="00AF2EFA"/>
    <w:rsid w:val="00B01FCD"/>
    <w:rsid w:val="00B1776C"/>
    <w:rsid w:val="00B52583"/>
    <w:rsid w:val="00B52896"/>
    <w:rsid w:val="00B95236"/>
    <w:rsid w:val="00B96B02"/>
    <w:rsid w:val="00B96BD9"/>
    <w:rsid w:val="00BA1B01"/>
    <w:rsid w:val="00BA2641"/>
    <w:rsid w:val="00BB37AA"/>
    <w:rsid w:val="00BC53A0"/>
    <w:rsid w:val="00BC6419"/>
    <w:rsid w:val="00BE62AD"/>
    <w:rsid w:val="00BF121F"/>
    <w:rsid w:val="00BF1F80"/>
    <w:rsid w:val="00C166EF"/>
    <w:rsid w:val="00C17EB0"/>
    <w:rsid w:val="00C27F5F"/>
    <w:rsid w:val="00C30A0F"/>
    <w:rsid w:val="00C37E61"/>
    <w:rsid w:val="00C424AC"/>
    <w:rsid w:val="00C70F1B"/>
    <w:rsid w:val="00C71A47"/>
    <w:rsid w:val="00C7464C"/>
    <w:rsid w:val="00C85588"/>
    <w:rsid w:val="00CD6755"/>
    <w:rsid w:val="00CD6856"/>
    <w:rsid w:val="00CD78C6"/>
    <w:rsid w:val="00CE0089"/>
    <w:rsid w:val="00CE793C"/>
    <w:rsid w:val="00CF193C"/>
    <w:rsid w:val="00D173F1"/>
    <w:rsid w:val="00D462DE"/>
    <w:rsid w:val="00D66F6D"/>
    <w:rsid w:val="00D74CB0"/>
    <w:rsid w:val="00D8295D"/>
    <w:rsid w:val="00D847C1"/>
    <w:rsid w:val="00D90623"/>
    <w:rsid w:val="00DC2A65"/>
    <w:rsid w:val="00DE15F0"/>
    <w:rsid w:val="00DE5663"/>
    <w:rsid w:val="00DE7866"/>
    <w:rsid w:val="00DE78AA"/>
    <w:rsid w:val="00DF60D6"/>
    <w:rsid w:val="00E053D0"/>
    <w:rsid w:val="00E15994"/>
    <w:rsid w:val="00E3114E"/>
    <w:rsid w:val="00E31A70"/>
    <w:rsid w:val="00E35B02"/>
    <w:rsid w:val="00E66496"/>
    <w:rsid w:val="00E66B35"/>
    <w:rsid w:val="00E66E10"/>
    <w:rsid w:val="00E670A8"/>
    <w:rsid w:val="00E769F6"/>
    <w:rsid w:val="00E8407C"/>
    <w:rsid w:val="00E84F3C"/>
    <w:rsid w:val="00EA012C"/>
    <w:rsid w:val="00EC6A55"/>
    <w:rsid w:val="00ED0288"/>
    <w:rsid w:val="00ED16B0"/>
    <w:rsid w:val="00EE52CB"/>
    <w:rsid w:val="00EF581D"/>
    <w:rsid w:val="00EF7FD8"/>
    <w:rsid w:val="00F06F59"/>
    <w:rsid w:val="00F17988"/>
    <w:rsid w:val="00F469F0"/>
    <w:rsid w:val="00F46E2A"/>
    <w:rsid w:val="00F53273"/>
    <w:rsid w:val="00F755E4"/>
    <w:rsid w:val="00F77D02"/>
    <w:rsid w:val="00FB089F"/>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rules v:ext="edit">
        <o:r id="V:Rule2" type="connector" idref="#_x0000_s1026"/>
      </o:rules>
    </o:shapelayout>
  </w:shapeDefaults>
  <w:decimalSymbol w:val="."/>
  <w:listSeparator w:val=","/>
  <w14:docId w14:val="05301EB8"/>
  <w15:docId w15:val="{4F4EF895-1D14-754F-94CC-FBEDA7763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style>
  <w:style w:type="paragraph" w:styleId="NormalWeb">
    <w:name w:val="Normal (Web)"/>
    <w:basedOn w:val="Normal"/>
    <w:uiPriority w:val="99"/>
    <w:unhideWhenUsed/>
    <w:pPr>
      <w:spacing w:before="100" w:beforeAutospacing="1" w:after="100" w:afterAutospacing="1"/>
    </w:pPr>
    <w:rPr>
      <w:rFonts w:ascii="Times New Roman" w:hAnsi="Times New Roman"/>
      <w:sz w:val="24"/>
      <w:szCs w:val="24"/>
      <w:lang w:bidi="fa-IR"/>
    </w:rPr>
  </w:style>
  <w:style w:type="paragraph" w:styleId="Signature">
    <w:name w:val="Signature"/>
    <w:basedOn w:val="Normal"/>
    <w:pPr>
      <w:ind w:left="4320"/>
    </w:pPr>
  </w:style>
  <w:style w:type="character" w:styleId="Strong">
    <w:name w:val="Strong"/>
    <w:uiPriority w:val="22"/>
    <w:qFormat/>
    <w:rPr>
      <w:b/>
      <w:bCs/>
    </w:r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Els-Affiliation">
    <w:name w:val="Els-Affiliation"/>
    <w:next w:val="Normal"/>
    <w:pPr>
      <w:suppressAutoHyphens/>
      <w:spacing w:line="200" w:lineRule="exact"/>
      <w:jc w:val="center"/>
    </w:pPr>
    <w:rPr>
      <w:rFonts w:eastAsia="Times New Roman"/>
      <w:i/>
      <w:sz w:val="16"/>
      <w:lang w:eastAsia="en-US"/>
    </w:rPr>
  </w:style>
  <w:style w:type="character" w:customStyle="1" w:styleId="UnresolvedMention2">
    <w:name w:val="Unresolved Mention2"/>
    <w:basedOn w:val="DefaultParagraphFont"/>
    <w:uiPriority w:val="99"/>
    <w:semiHidden/>
    <w:unhideWhenUsed/>
    <w:rsid w:val="005D741B"/>
    <w:rPr>
      <w:color w:val="605E5C"/>
      <w:shd w:val="clear" w:color="auto" w:fill="E1DFDD"/>
    </w:rPr>
  </w:style>
  <w:style w:type="character" w:styleId="UnresolvedMention">
    <w:name w:val="Unresolved Mention"/>
    <w:basedOn w:val="DefaultParagraphFont"/>
    <w:uiPriority w:val="99"/>
    <w:semiHidden/>
    <w:unhideWhenUsed/>
    <w:rsid w:val="007852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3329/agric.v12i.21742"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doi.org/10.1016/S0020-7519(98)00066-1"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edepot.wur.nl/196648" TargetMode="Externa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s://doi.org/10.5829/idosi.bjps.2013.2.1.7465" TargetMode="External"/><Relationship Id="rId20" Type="http://schemas.openxmlformats.org/officeDocument/2006/relationships/hyperlink" Target="https://doi.org/10.1023/A:102116481634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s://dx.doi.org/10.20431/2454-9428.0401001" TargetMode="External"/><Relationship Id="rId23"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https://doi.org/10.1016/j.psj.2020.07.009"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1C5F5B-05BF-453D-B04B-136939691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Pages>
  <Words>2292</Words>
  <Characters>13067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42</cp:revision>
  <cp:lastPrinted>1999-07-06T13:00:00Z</cp:lastPrinted>
  <dcterms:created xsi:type="dcterms:W3CDTF">2014-10-25T16:34:00Z</dcterms:created>
  <dcterms:modified xsi:type="dcterms:W3CDTF">2025-09-23T12:54:00Z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1033-6.13.1.8709</vt:lpwstr>
  </property>
  <property fmtid="{D5CDD505-2E9C-101B-9397-08002B2CF9AE}" pid="3" name="ICV">
    <vt:lpwstr>68E4F66DDF9269D9310CC8684D67E636_42</vt:lpwstr>
  </property>
</Properties>
</file>