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840E3" w14:textId="77777777" w:rsidR="00573AE3" w:rsidRPr="006D641C" w:rsidRDefault="00573AE3" w:rsidP="00573AE3">
      <w:pPr>
        <w:pStyle w:val="Author"/>
        <w:spacing w:line="240" w:lineRule="auto"/>
        <w:outlineLvl w:val="0"/>
        <w:rPr>
          <w:rFonts w:ascii="Arial" w:hAnsi="Arial" w:cs="Arial"/>
          <w:bCs/>
          <w:i/>
          <w:iCs/>
          <w:kern w:val="28"/>
          <w:sz w:val="36"/>
          <w:u w:val="single"/>
        </w:rPr>
      </w:pPr>
      <w:bookmarkStart w:id="0" w:name="_Toc22671"/>
      <w:bookmarkStart w:id="1" w:name="_Hlk166148847"/>
      <w:bookmarkStart w:id="2" w:name="_Hlk166147045"/>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64492023" w14:textId="59467452" w:rsidR="007D344F" w:rsidRPr="007D344F" w:rsidRDefault="007D344F" w:rsidP="007D344F">
      <w:pPr>
        <w:jc w:val="center"/>
        <w:rPr>
          <w:rFonts w:ascii="Times New Roman" w:eastAsia="SimHei" w:hAnsi="Times New Roman" w:cs="Times New Roman"/>
          <w:b/>
          <w:bCs/>
          <w:sz w:val="44"/>
          <w:szCs w:val="44"/>
          <w14:ligatures w14:val="standardContextual"/>
        </w:rPr>
      </w:pPr>
      <w:r w:rsidRPr="007D344F">
        <w:rPr>
          <w:rFonts w:ascii="Times New Roman" w:eastAsia="SimHei" w:hAnsi="Times New Roman" w:cs="Times New Roman" w:hint="eastAsia"/>
          <w:b/>
          <w:bCs/>
          <w:sz w:val="44"/>
          <w:szCs w:val="44"/>
          <w14:ligatures w14:val="standardContextual"/>
        </w:rPr>
        <w:t>Preparation of all solid waste low-carbon cementitious materials using response surface methodology</w:t>
      </w:r>
    </w:p>
    <w:p w14:paraId="62017002" w14:textId="6ADC1346" w:rsidR="0022730D" w:rsidRDefault="0022730D" w:rsidP="003B6199">
      <w:pPr>
        <w:ind w:firstLineChars="200" w:firstLine="562"/>
        <w:jc w:val="center"/>
        <w:rPr>
          <w:rFonts w:ascii="Times New Roman" w:eastAsia="楷体" w:hAnsi="Times New Roman" w:cs="Times New Roman"/>
          <w:b/>
          <w:bCs/>
          <w:i/>
          <w:iCs/>
          <w:sz w:val="28"/>
          <w:szCs w:val="36"/>
        </w:rPr>
      </w:pPr>
    </w:p>
    <w:p w14:paraId="17DC660F" w14:textId="77777777" w:rsidR="00FA6E27" w:rsidRPr="003B6199" w:rsidRDefault="00FA6E27" w:rsidP="003B6199">
      <w:pPr>
        <w:ind w:firstLineChars="200" w:firstLine="562"/>
        <w:jc w:val="center"/>
        <w:rPr>
          <w:rFonts w:ascii="Times New Roman" w:eastAsia="楷体" w:hAnsi="Times New Roman" w:cs="Times New Roman"/>
          <w:b/>
          <w:bCs/>
          <w:i/>
          <w:iCs/>
          <w:sz w:val="28"/>
          <w:szCs w:val="36"/>
        </w:rPr>
      </w:pPr>
    </w:p>
    <w:p w14:paraId="02EBDD21" w14:textId="2E51C1ED" w:rsidR="003B6199" w:rsidRPr="003B6199" w:rsidRDefault="003B6199" w:rsidP="003B6199">
      <w:pPr>
        <w:rPr>
          <w:rFonts w:ascii="Times New Roman" w:eastAsia="SimSun" w:hAnsi="Times New Roman" w:cs="Times New Roman"/>
          <w:sz w:val="18"/>
          <w:szCs w:val="18"/>
          <w14:ligatures w14:val="standardContextual"/>
        </w:rPr>
      </w:pPr>
      <w:r w:rsidRPr="003B6199">
        <w:rPr>
          <w:rFonts w:ascii="Times New Roman" w:eastAsia="SimSun" w:hAnsi="Times New Roman" w:cs="Times New Roman"/>
          <w:b/>
          <w:bCs/>
          <w:sz w:val="18"/>
          <w:szCs w:val="18"/>
        </w:rPr>
        <w:t xml:space="preserve">Abstract: </w:t>
      </w:r>
      <w:r w:rsidR="007D344F" w:rsidRPr="007D344F">
        <w:rPr>
          <w:rFonts w:ascii="Times New Roman" w:eastAsia="SimSun" w:hAnsi="Times New Roman" w:cs="Times New Roman" w:hint="eastAsia"/>
          <w:sz w:val="18"/>
          <w:szCs w:val="18"/>
          <w14:ligatures w14:val="standardContextual"/>
        </w:rPr>
        <w:t xml:space="preserve">To achieve the green and low-carbon transformation of the building materials industry and promote the resource </w:t>
      </w:r>
      <w:proofErr w:type="spellStart"/>
      <w:r w:rsidR="007D344F" w:rsidRPr="007D344F">
        <w:rPr>
          <w:rFonts w:ascii="Times New Roman" w:eastAsia="SimSun" w:hAnsi="Times New Roman" w:cs="Times New Roman" w:hint="eastAsia"/>
          <w:sz w:val="18"/>
          <w:szCs w:val="18"/>
          <w14:ligatures w14:val="standardContextual"/>
        </w:rPr>
        <w:t>utili</w:t>
      </w:r>
      <w:r w:rsidR="002A1E38">
        <w:rPr>
          <w:rFonts w:ascii="Times New Roman" w:eastAsia="SimSun" w:hAnsi="Times New Roman" w:cs="Times New Roman"/>
          <w:sz w:val="18"/>
          <w:szCs w:val="18"/>
          <w14:ligatures w14:val="standardContextual"/>
        </w:rPr>
        <w:t>s</w:t>
      </w:r>
      <w:r w:rsidR="007D344F" w:rsidRPr="007D344F">
        <w:rPr>
          <w:rFonts w:ascii="Times New Roman" w:eastAsia="SimSun" w:hAnsi="Times New Roman" w:cs="Times New Roman" w:hint="eastAsia"/>
          <w:sz w:val="18"/>
          <w:szCs w:val="18"/>
          <w14:ligatures w14:val="standardContextual"/>
        </w:rPr>
        <w:t>ation</w:t>
      </w:r>
      <w:proofErr w:type="spellEnd"/>
      <w:r w:rsidR="007D344F" w:rsidRPr="007D344F">
        <w:rPr>
          <w:rFonts w:ascii="Times New Roman" w:eastAsia="SimSun" w:hAnsi="Times New Roman" w:cs="Times New Roman" w:hint="eastAsia"/>
          <w:sz w:val="18"/>
          <w:szCs w:val="18"/>
          <w14:ligatures w14:val="standardContextual"/>
        </w:rPr>
        <w:t xml:space="preserve"> of industrial solid waste, this study uses silicon</w:t>
      </w:r>
      <w:r w:rsidR="002A1E38">
        <w:rPr>
          <w:rFonts w:ascii="Times New Roman" w:eastAsia="SimSun" w:hAnsi="Times New Roman" w:cs="Times New Roman"/>
          <w:sz w:val="18"/>
          <w:szCs w:val="18"/>
          <w14:ligatures w14:val="standardContextual"/>
        </w:rPr>
        <w:t>-</w:t>
      </w:r>
      <w:proofErr w:type="spellStart"/>
      <w:r w:rsidR="002A1E38">
        <w:rPr>
          <w:rFonts w:ascii="Times New Roman" w:eastAsia="SimSun" w:hAnsi="Times New Roman" w:cs="Times New Roman"/>
          <w:sz w:val="18"/>
          <w:szCs w:val="18"/>
          <w14:ligatures w14:val="standardContextual"/>
        </w:rPr>
        <w:t>alumini</w:t>
      </w:r>
      <w:r w:rsidR="007D344F" w:rsidRPr="007D344F">
        <w:rPr>
          <w:rFonts w:ascii="Times New Roman" w:eastAsia="SimSun" w:hAnsi="Times New Roman" w:cs="Times New Roman" w:hint="eastAsia"/>
          <w:sz w:val="18"/>
          <w:szCs w:val="18"/>
          <w14:ligatures w14:val="standardContextual"/>
        </w:rPr>
        <w:t>um</w:t>
      </w:r>
      <w:proofErr w:type="spellEnd"/>
      <w:r w:rsidR="007D344F" w:rsidRPr="007D344F">
        <w:rPr>
          <w:rFonts w:ascii="Times New Roman" w:eastAsia="SimSun" w:hAnsi="Times New Roman" w:cs="Times New Roman" w:hint="eastAsia"/>
          <w:sz w:val="18"/>
          <w:szCs w:val="18"/>
          <w14:ligatures w14:val="standardContextual"/>
        </w:rPr>
        <w:t xml:space="preserve"> solid waste</w:t>
      </w:r>
      <w:r w:rsidR="002A1E38">
        <w:rPr>
          <w:rFonts w:ascii="Times New Roman" w:eastAsia="SimSun" w:hAnsi="Times New Roman" w:cs="Times New Roman"/>
          <w:sz w:val="18"/>
          <w:szCs w:val="18"/>
          <w14:ligatures w14:val="standardContextual"/>
        </w:rPr>
        <w:t>,</w:t>
      </w:r>
      <w:r w:rsidR="007D344F" w:rsidRPr="007D344F">
        <w:rPr>
          <w:rFonts w:ascii="Times New Roman" w:eastAsia="SimSun" w:hAnsi="Times New Roman" w:cs="Times New Roman" w:hint="eastAsia"/>
          <w:sz w:val="18"/>
          <w:szCs w:val="18"/>
          <w14:ligatures w14:val="standardContextual"/>
        </w:rPr>
        <w:t xml:space="preserve"> such as fly ash and slag powder</w:t>
      </w:r>
      <w:r w:rsidR="002A1E38">
        <w:rPr>
          <w:rFonts w:ascii="Times New Roman" w:eastAsia="SimSun" w:hAnsi="Times New Roman" w:cs="Times New Roman"/>
          <w:sz w:val="18"/>
          <w:szCs w:val="18"/>
          <w14:ligatures w14:val="standardContextual"/>
        </w:rPr>
        <w:t>,</w:t>
      </w:r>
      <w:r w:rsidR="007D344F" w:rsidRPr="007D344F">
        <w:rPr>
          <w:rFonts w:ascii="Times New Roman" w:eastAsia="SimSun" w:hAnsi="Times New Roman" w:cs="Times New Roman" w:hint="eastAsia"/>
          <w:sz w:val="18"/>
          <w:szCs w:val="18"/>
          <w14:ligatures w14:val="standardContextual"/>
        </w:rPr>
        <w:t xml:space="preserve"> as the main raw materials, and uses carbide slag and desulfurization gypsum as composite activators. The Box Behnken design in response surface methodology (RSM) is used to optimize the proportion of geopolymer cementitious materials for all solid waste. The system investigated the effects of fly ash content (10%~30%), carbide slag content (8%~20%), and desulfurization gypsum content (5%~10%) on the 3D and </w:t>
      </w:r>
      <w:proofErr w:type="gramStart"/>
      <w:r w:rsidR="007D344F" w:rsidRPr="007D344F">
        <w:rPr>
          <w:rFonts w:ascii="Times New Roman" w:eastAsia="SimSun" w:hAnsi="Times New Roman" w:cs="Times New Roman" w:hint="eastAsia"/>
          <w:sz w:val="18"/>
          <w:szCs w:val="18"/>
          <w14:ligatures w14:val="standardContextual"/>
        </w:rPr>
        <w:t>28 day</w:t>
      </w:r>
      <w:proofErr w:type="gramEnd"/>
      <w:r w:rsidR="007D344F" w:rsidRPr="007D344F">
        <w:rPr>
          <w:rFonts w:ascii="Times New Roman" w:eastAsia="SimSun" w:hAnsi="Times New Roman" w:cs="Times New Roman" w:hint="eastAsia"/>
          <w:sz w:val="18"/>
          <w:szCs w:val="18"/>
          <w14:ligatures w14:val="standardContextual"/>
        </w:rPr>
        <w:t xml:space="preserve"> compressive strength of cementitious materials, and established a quadratic regression model with the 28</w:t>
      </w:r>
      <w:r w:rsidR="002A1E38">
        <w:rPr>
          <w:rFonts w:ascii="Times New Roman" w:eastAsia="SimSun" w:hAnsi="Times New Roman" w:cs="Times New Roman"/>
          <w:sz w:val="18"/>
          <w:szCs w:val="18"/>
          <w14:ligatures w14:val="standardContextual"/>
        </w:rPr>
        <w:t>-</w:t>
      </w:r>
      <w:r w:rsidR="007D344F" w:rsidRPr="007D344F">
        <w:rPr>
          <w:rFonts w:ascii="Times New Roman" w:eastAsia="SimSun" w:hAnsi="Times New Roman" w:cs="Times New Roman" w:hint="eastAsia"/>
          <w:sz w:val="18"/>
          <w:szCs w:val="18"/>
          <w14:ligatures w14:val="standardContextual"/>
        </w:rPr>
        <w:t xml:space="preserve">day compressive strength as the response value. The results showed that the model fitting effect was good (R </w:t>
      </w:r>
      <w:r w:rsidR="007D344F" w:rsidRPr="007D344F">
        <w:rPr>
          <w:rFonts w:ascii="Times New Roman" w:eastAsia="SimSun" w:hAnsi="Times New Roman" w:cs="Times New Roman" w:hint="eastAsia"/>
          <w:sz w:val="18"/>
          <w:szCs w:val="18"/>
          <w14:ligatures w14:val="standardContextual"/>
        </w:rPr>
        <w:t>²</w:t>
      </w:r>
      <w:r w:rsidR="007D344F" w:rsidRPr="007D344F">
        <w:rPr>
          <w:rFonts w:ascii="Times New Roman" w:eastAsia="SimSun" w:hAnsi="Times New Roman" w:cs="Times New Roman" w:hint="eastAsia"/>
          <w:sz w:val="18"/>
          <w:szCs w:val="18"/>
          <w14:ligatures w14:val="standardContextual"/>
        </w:rPr>
        <w:t xml:space="preserve">=0.8847), and there were significant interactions between various factors. The theoretical optimal ratio obtained through model </w:t>
      </w:r>
      <w:proofErr w:type="spellStart"/>
      <w:r w:rsidR="007D344F" w:rsidRPr="007D344F">
        <w:rPr>
          <w:rFonts w:ascii="Times New Roman" w:eastAsia="SimSun" w:hAnsi="Times New Roman" w:cs="Times New Roman" w:hint="eastAsia"/>
          <w:sz w:val="18"/>
          <w:szCs w:val="18"/>
          <w14:ligatures w14:val="standardContextual"/>
        </w:rPr>
        <w:t>optimi</w:t>
      </w:r>
      <w:r w:rsidR="002A1E38">
        <w:rPr>
          <w:rFonts w:ascii="Times New Roman" w:eastAsia="SimSun" w:hAnsi="Times New Roman" w:cs="Times New Roman"/>
          <w:sz w:val="18"/>
          <w:szCs w:val="18"/>
          <w14:ligatures w14:val="standardContextual"/>
        </w:rPr>
        <w:t>s</w:t>
      </w:r>
      <w:r w:rsidR="007D344F" w:rsidRPr="007D344F">
        <w:rPr>
          <w:rFonts w:ascii="Times New Roman" w:eastAsia="SimSun" w:hAnsi="Times New Roman" w:cs="Times New Roman" w:hint="eastAsia"/>
          <w:sz w:val="18"/>
          <w:szCs w:val="18"/>
          <w14:ligatures w14:val="standardContextual"/>
        </w:rPr>
        <w:t>ation</w:t>
      </w:r>
      <w:proofErr w:type="spellEnd"/>
      <w:r w:rsidR="007D344F" w:rsidRPr="007D344F">
        <w:rPr>
          <w:rFonts w:ascii="Times New Roman" w:eastAsia="SimSun" w:hAnsi="Times New Roman" w:cs="Times New Roman" w:hint="eastAsia"/>
          <w:sz w:val="18"/>
          <w:szCs w:val="18"/>
          <w14:ligatures w14:val="standardContextual"/>
        </w:rPr>
        <w:t xml:space="preserve"> is 20% fly ash, 14% carbide slag, and 7.5% desulfurization gypsum (with the remainder being slag powder). The 28</w:t>
      </w:r>
      <w:r w:rsidR="002A1E38">
        <w:rPr>
          <w:rFonts w:ascii="Times New Roman" w:eastAsia="SimSun" w:hAnsi="Times New Roman" w:cs="Times New Roman"/>
          <w:sz w:val="18"/>
          <w:szCs w:val="18"/>
          <w14:ligatures w14:val="standardContextual"/>
        </w:rPr>
        <w:t>-</w:t>
      </w:r>
      <w:r w:rsidR="007D344F" w:rsidRPr="007D344F">
        <w:rPr>
          <w:rFonts w:ascii="Times New Roman" w:eastAsia="SimSun" w:hAnsi="Times New Roman" w:cs="Times New Roman" w:hint="eastAsia"/>
          <w:sz w:val="18"/>
          <w:szCs w:val="18"/>
          <w14:ligatures w14:val="standardContextual"/>
        </w:rPr>
        <w:t>day compressive strength of the cementitious material prepared under these conditions can reach 27.72 MPa. This all</w:t>
      </w:r>
      <w:r w:rsidR="002A1E38">
        <w:rPr>
          <w:rFonts w:ascii="Times New Roman" w:eastAsia="SimSun" w:hAnsi="Times New Roman" w:cs="Times New Roman"/>
          <w:sz w:val="18"/>
          <w:szCs w:val="18"/>
          <w14:ligatures w14:val="standardContextual"/>
        </w:rPr>
        <w:t>-solid-</w:t>
      </w:r>
      <w:r w:rsidR="007D344F" w:rsidRPr="007D344F">
        <w:rPr>
          <w:rFonts w:ascii="Times New Roman" w:eastAsia="SimSun" w:hAnsi="Times New Roman" w:cs="Times New Roman" w:hint="eastAsia"/>
          <w:sz w:val="18"/>
          <w:szCs w:val="18"/>
          <w14:ligatures w14:val="standardContextual"/>
        </w:rPr>
        <w:t>waste system not only avoids the high-temperature calcination process in traditional cement production, significantly reducing carbon emissions, but also achieves "waste treatment" by incorporating activators such as carbide slag and desulfurization gypsum into the category of solid waste utilization. It has the dual advantages of low cost and environmental friendliness, and has broad application prospects in the field of non</w:t>
      </w:r>
      <w:r w:rsidR="002A1E38">
        <w:rPr>
          <w:rFonts w:ascii="Times New Roman" w:eastAsia="SimSun" w:hAnsi="Times New Roman" w:cs="Times New Roman"/>
          <w:sz w:val="18"/>
          <w:szCs w:val="18"/>
          <w14:ligatures w14:val="standardContextual"/>
        </w:rPr>
        <w:t>-</w:t>
      </w:r>
      <w:r w:rsidR="007D344F" w:rsidRPr="007D344F">
        <w:rPr>
          <w:rFonts w:ascii="Times New Roman" w:eastAsia="SimSun" w:hAnsi="Times New Roman" w:cs="Times New Roman" w:hint="eastAsia"/>
          <w:sz w:val="18"/>
          <w:szCs w:val="18"/>
          <w14:ligatures w14:val="standardContextual"/>
        </w:rPr>
        <w:t>structural materials in civil engineering.</w:t>
      </w:r>
    </w:p>
    <w:p w14:paraId="2D8EECAB" w14:textId="7D9886E1" w:rsidR="003B6199" w:rsidRPr="003B6199" w:rsidRDefault="003B6199" w:rsidP="003B6199">
      <w:pPr>
        <w:rPr>
          <w:rFonts w:ascii="Times New Roman" w:eastAsia="SimSun" w:hAnsi="Times New Roman" w:cs="Times New Roman"/>
          <w:sz w:val="24"/>
          <w:szCs w:val="24"/>
          <w14:ligatures w14:val="standardContextual"/>
        </w:rPr>
      </w:pPr>
      <w:r w:rsidRPr="003B6199">
        <w:rPr>
          <w:rFonts w:ascii="Times New Roman" w:eastAsia="SimSun" w:hAnsi="Times New Roman" w:cs="Times New Roman"/>
          <w:b/>
          <w:bCs/>
          <w:sz w:val="18"/>
          <w:szCs w:val="18"/>
        </w:rPr>
        <w:t xml:space="preserve">Keywords: </w:t>
      </w:r>
      <w:r w:rsidR="007D344F" w:rsidRPr="007D344F">
        <w:rPr>
          <w:rFonts w:ascii="Times New Roman" w:eastAsia="SimSun" w:hAnsi="Times New Roman" w:cs="Times New Roman" w:hint="eastAsia"/>
          <w:sz w:val="18"/>
          <w:szCs w:val="18"/>
          <w14:ligatures w14:val="standardContextual"/>
        </w:rPr>
        <w:t>Response surface; Solid waste cementitious materials; Carbide slag; Desulfurization gypsum</w:t>
      </w:r>
      <w:r w:rsidR="007D344F">
        <w:rPr>
          <w:rFonts w:ascii="Times New Roman" w:eastAsia="SimSun" w:hAnsi="Times New Roman" w:cs="Times New Roman" w:hint="eastAsia"/>
          <w:sz w:val="18"/>
          <w:szCs w:val="18"/>
          <w14:ligatures w14:val="standardContextual"/>
        </w:rPr>
        <w:t>.</w:t>
      </w:r>
    </w:p>
    <w:bookmarkEnd w:id="0"/>
    <w:p w14:paraId="477A951D" w14:textId="77777777" w:rsidR="00735B94" w:rsidRDefault="00735B94" w:rsidP="00735B94">
      <w:pPr>
        <w:pStyle w:val="ListParagraph"/>
        <w:numPr>
          <w:ilvl w:val="0"/>
          <w:numId w:val="8"/>
        </w:numPr>
        <w:ind w:firstLineChars="0"/>
        <w:rPr>
          <w:rFonts w:ascii="Times New Roman" w:eastAsia="SimSun" w:hAnsi="Times New Roman" w:cs="Times New Roman"/>
          <w:b/>
          <w:bCs/>
          <w:sz w:val="28"/>
          <w:szCs w:val="28"/>
        </w:rPr>
      </w:pPr>
      <w:r>
        <w:rPr>
          <w:rFonts w:ascii="Times New Roman" w:eastAsia="SimSun" w:hAnsi="Times New Roman" w:cs="Times New Roman"/>
          <w:b/>
          <w:bCs/>
          <w:sz w:val="28"/>
          <w:szCs w:val="28"/>
        </w:rPr>
        <w:t>Introduction</w:t>
      </w:r>
    </w:p>
    <w:p w14:paraId="6AF922D6" w14:textId="1CDD52CE" w:rsidR="00735B94" w:rsidRPr="00735B94" w:rsidRDefault="00735B94" w:rsidP="00735B94">
      <w:pPr>
        <w:adjustRightInd w:val="0"/>
        <w:snapToGrid w:val="0"/>
        <w:spacing w:line="300" w:lineRule="auto"/>
        <w:ind w:firstLineChars="200" w:firstLine="420"/>
        <w:rPr>
          <w:rFonts w:ascii="Times New Roman" w:hAnsi="Times New Roman" w:cs="Times New Roman"/>
          <w:color w:val="000000" w:themeColor="text1"/>
          <w:szCs w:val="21"/>
        </w:rPr>
      </w:pPr>
      <w:r w:rsidRPr="00735B94">
        <w:rPr>
          <w:rFonts w:ascii="Times New Roman" w:hAnsi="Times New Roman" w:cs="Times New Roman" w:hint="eastAsia"/>
          <w:color w:val="000000" w:themeColor="text1"/>
          <w:szCs w:val="21"/>
        </w:rPr>
        <w:t>In recent years, the use of industrial solid waste to prepare solid waste</w:t>
      </w:r>
      <w:r w:rsidR="002A1E38">
        <w:rPr>
          <w:rFonts w:ascii="Times New Roman" w:hAnsi="Times New Roman" w:cs="Times New Roman"/>
          <w:color w:val="000000" w:themeColor="text1"/>
          <w:szCs w:val="21"/>
        </w:rPr>
        <w:t>-</w:t>
      </w:r>
      <w:r w:rsidRPr="00735B94">
        <w:rPr>
          <w:rFonts w:ascii="Times New Roman" w:hAnsi="Times New Roman" w:cs="Times New Roman" w:hint="eastAsia"/>
          <w:color w:val="000000" w:themeColor="text1"/>
          <w:szCs w:val="21"/>
        </w:rPr>
        <w:t>based cementitious materials has become a research hotspot in the field of building materials</w:t>
      </w:r>
      <w:r w:rsidR="00F40E1A">
        <w:rPr>
          <w:rFonts w:ascii="Times New Roman" w:hAnsi="Times New Roman" w:cs="Times New Roman"/>
          <w:color w:val="000000" w:themeColor="text1"/>
          <w:szCs w:val="21"/>
        </w:rPr>
        <w:fldChar w:fldCharType="begin"/>
      </w:r>
      <w:r w:rsidR="00F40E1A">
        <w:rPr>
          <w:rFonts w:ascii="Times New Roman" w:hAnsi="Times New Roman" w:cs="Times New Roman"/>
          <w:color w:val="000000" w:themeColor="text1"/>
          <w:szCs w:val="21"/>
        </w:rPr>
        <w:instrText xml:space="preserve"> ADDIN ZOTERO_ITEM CSL_CITATION {"citationID":"iRQfJReJ","properties":{"formattedCitation":"\\super [1]\\nosupersub{}","plainCitation":"[1]","noteIndex":0},"citationItems":[{"id":469,"uris":["http://zotero.org/users/14693946/items/T9ZGPU4U"],"itemData":{"id":469,"type":"article-journal","abstract":"Abstract\n            \n              Population and development megatrends will drive growth in cement production, which is already one of the most challenging-to-mitigate sources of CO\n              2\n              emissions. However, availabilities of conventional secondary cementitious materials (CMs) like fly ash are declining. Here, we present detailed generation rates of secondary CMs worldwide between 2002 and 2018, showing the potential for 3.5 Gt to be generated in 2018. Maximal substitution of Portland cement clinker with these materials could have avoided up to 1.3 Gt CO\n              2\n              -eq. emissions (~44% of cement production and ~2.8% of anthropogenic CO\n              2\n              -eq. emissions) in 2018. We also show that nearly all of the highest cement producing nations can locally generate and use secondary CMs to substitute up to 50% domestic Portland cement clinker, with many countries able to potentially substitute 100% Portland cement clinker. Our results highlight the importance of pursuing regionally optimized CM mix designs and systemic approaches to decarbonizing the global CMs cycle.","container-title":"Nature Communications","DOI":"10.1038/s41467-022-33289-7","ISSN":"2041-1723","issue":"1","journalAbbreviation":"Nat. Commun.","language":"en-US","license":"2022 The Author(s)","note":"publisher: Nature Publishing Group","page":"5758","source":"www.nature.com","title":"Cement substitution with secondary materials can reduce annual global CO2 emissions by up to 1.3 gigatons","volume":"13","author":[{"family":"Shah","given":"Izhar Hussain"},{"family":"Miller","given":"Sabbie A."},{"family":"Jiang","given":"Daqian"},{"family":"Myers","given":"Rupert J."}],"issued":{"date-parts":[["2022",9,30]]}},"label":"page"}],"schema":"https://github.com/citation-style-language/schema/raw/master/csl-citation.json"} </w:instrText>
      </w:r>
      <w:r w:rsidR="00F40E1A">
        <w:rPr>
          <w:rFonts w:ascii="Times New Roman" w:hAnsi="Times New Roman" w:cs="Times New Roman"/>
          <w:color w:val="000000" w:themeColor="text1"/>
          <w:szCs w:val="21"/>
        </w:rPr>
        <w:fldChar w:fldCharType="separate"/>
      </w:r>
      <w:r w:rsidR="00F40E1A" w:rsidRPr="00F40E1A">
        <w:rPr>
          <w:rFonts w:ascii="Times New Roman" w:hAnsi="Times New Roman" w:cs="Times New Roman"/>
          <w:kern w:val="0"/>
          <w:vertAlign w:val="superscript"/>
        </w:rPr>
        <w:t>[1]</w:t>
      </w:r>
      <w:r w:rsidR="00F40E1A">
        <w:rPr>
          <w:rFonts w:ascii="Times New Roman" w:hAnsi="Times New Roman" w:cs="Times New Roman"/>
          <w:color w:val="000000" w:themeColor="text1"/>
          <w:szCs w:val="21"/>
        </w:rPr>
        <w:fldChar w:fldCharType="end"/>
      </w:r>
      <w:r w:rsidRPr="00735B94">
        <w:rPr>
          <w:rFonts w:ascii="Times New Roman" w:hAnsi="Times New Roman" w:cs="Times New Roman" w:hint="eastAsia"/>
          <w:color w:val="000000" w:themeColor="text1"/>
          <w:szCs w:val="21"/>
        </w:rPr>
        <w:t>. At present, relevant research mainly focuses on strong alkalis (such as NaOH, KOH) and liquid activators such as water glass. However, these activators have poor applicability and generally high costs in the construction methods of "dry mixing transportation and on-site mixing" in road engineering</w:t>
      </w:r>
      <w:r w:rsidR="00F40E1A">
        <w:rPr>
          <w:rFonts w:ascii="Times New Roman" w:hAnsi="Times New Roman" w:cs="Times New Roman"/>
          <w:color w:val="000000" w:themeColor="text1"/>
          <w:szCs w:val="21"/>
        </w:rPr>
        <w:fldChar w:fldCharType="begin"/>
      </w:r>
      <w:r w:rsidR="00F40E1A">
        <w:rPr>
          <w:rFonts w:ascii="Times New Roman" w:hAnsi="Times New Roman" w:cs="Times New Roman"/>
          <w:color w:val="000000" w:themeColor="text1"/>
          <w:szCs w:val="21"/>
        </w:rPr>
        <w:instrText xml:space="preserve"> ADDIN ZOTERO_ITEM CSL_CITATION {"citationID":"IOMSkEpo","properties":{"formattedCitation":"\\super [2\\uc0\\u8211{}4]\\nosupersub{}","plainCitation":"[2–4]","noteIndex":0},"citationItems":[{"id":179,"uris":["http://zotero.org/users/14693946/items/CIGMNUAN"],"itemData":{"id":179,"type":"article-journal","abstract":"Desulfurization slag (DS), generated from molten iron pre-desulfurization process, has a high alkalinity that may cause seriously environmental issues. To solve the DS-disposal problem, this research proposes a new type of cementitious material composited of DS, ground granulated blast furnace slag (GGBS), steel slag (SS), and flue gas desulfurization gypsum (FGDG). The effects of DS on cementitious material were studied by testing the working performance indexes such as mortar fluidity and compressive strength, and the microscopic analysis such as XRD, TG and SEM. The results show that DS reduces the fluidity of the mortar, and significantly improves compressive strength of 3 days. The optimal ratio of DS/SS ratio in the GGBS–SS–DS–FGDG cementitious material is 1.0, and its compressive strength of 3 days and 28 days reached 24.6 and 52 MPa, respectively. The 3 days’ compressive strength of GGBS-SS-DS-FGDG is 748% higher than that of GGBS–SS–FGDG. The high alkalinity of DS promotes the dissociation of GGBS, and enhances the early hydration rate, which shortened the hydration induction period, and enhanced the cumulative released heat. Also, DS promotes the formation of ettringite (AFt) and increases the polymerization degree of the C–(A)–S–H gel at early stage. However, cementitious material containing DS has high porosity, which can be offset by the gel pores generated by SS. In summary, the GGBS–SS–DS–FGDG as a cementitious material with low carbon emission may be used to replace cement. The results of this paper can guide the large-scale and comprehensive utilization of DS with other solid waste.","container-title":"Journal of Cleaner Production","DOI":"10.1016/j.jclepro.2022.134353","ISSN":"09596526","journalAbbreviation":"J. Cleaner Prod.","language":"en-US","page":"134353","source":"ScienceDirect","title":"Application of molten iron desulfurization slag to replace steel slag as an alkaline component in solid waste-based cementitious mater</w:instrText>
      </w:r>
      <w:r w:rsidR="00F40E1A">
        <w:rPr>
          <w:rFonts w:ascii="Times New Roman" w:hAnsi="Times New Roman" w:cs="Times New Roman" w:hint="eastAsia"/>
          <w:color w:val="000000" w:themeColor="text1"/>
          <w:szCs w:val="21"/>
        </w:rPr>
        <w:instrText>ials</w:instrText>
      </w:r>
      <w:r w:rsidR="00F40E1A">
        <w:rPr>
          <w:rFonts w:ascii="Times New Roman" w:hAnsi="Times New Roman" w:cs="Times New Roman" w:hint="eastAsia"/>
          <w:color w:val="000000" w:themeColor="text1"/>
          <w:szCs w:val="21"/>
        </w:rPr>
        <w:instrText>在固废基胶凝材料中应用铁水脱硫渣代替钢渣作为碱性成分</w:instrText>
      </w:r>
      <w:r w:rsidR="00F40E1A">
        <w:rPr>
          <w:rFonts w:ascii="Times New Roman" w:hAnsi="Times New Roman" w:cs="Times New Roman" w:hint="eastAsia"/>
          <w:color w:val="000000" w:themeColor="text1"/>
          <w:szCs w:val="21"/>
        </w:rPr>
        <w:instrText>","volume":"377","author":[{"family":"Du","given":"Huihui"},{"family":"Xu","given":"Dong"},{"family":"Li","given":"Xin"},{"family":"Li","given":"Jiajie"},{"family":"Ni","given":"Wen"},{"family":"Li","given":"Ying"},{"family":</w:instrText>
      </w:r>
      <w:r w:rsidR="00F40E1A">
        <w:rPr>
          <w:rFonts w:ascii="Times New Roman" w:hAnsi="Times New Roman" w:cs="Times New Roman"/>
          <w:color w:val="000000" w:themeColor="text1"/>
          <w:szCs w:val="21"/>
        </w:rPr>
        <w:instrText xml:space="preserve">"Fu","given":"Pingfeng"}],"issued":{"date-parts":[["2022",12]]}},"label":"page"},{"id":661,"uris":["http://zotero.org/users/14693946/items/9Z3HK6H5"],"itemData":{"id":661,"type":"article-journal","abstract":"Cemented paste backfill technology is a green and advanced backfilling method. However, its reliance on cement as a binder has become one of the key constraints to its widespread application due to the high cost of cement. This paper utilized solid waste materials, including anhydrous phosphogypsum (APG), blast furnace slag (BFS), and carbide slag (CS), to prepare a low-cost binder for backfilling. The working performance, physical and mechanical properties, and hydration mechanism of the ABCB (ABCB) were analyzed, along with an assessment of its environmental and economic benefits. The results showed that: (1) The binder composed of 35 % APG, 60 % BFS, and 5 % CS exhibited the optimal ratio, with good working performance. Its 28-day flexural strength and compressive strength reach 7.22 MPa and 51.42 MPa, respectively, with a water absorption of only 1.98 % and a softening coefficient of 0.926. (2) CS effectively promoted the hydration of APG and BFS, reducing porosity and enhancing strength development. However, excessive CS adversely affected the binder’s strength. (3) The phosphorus and heavy metal content leached from the binder met the standard requirements. Compared to cement, the binder prepared with the optimal ratio reduced prices by 220 RMB/t, decreased carbon emissions by 756.9 kg/t, and lowered energy consumption by 4420 MJ/t. Therefore, applying the ABCB in backfill mining can significantly enhance both environmental and economic benefits for mines.","container-title":"Construction and Building Materials","DOI":"10.1016/j.conbuildmat.2024.137689","ISSN":"09500618","journalAbbreviation":"Constr. Build. Mater.","language":"en-US","page":"137689","source":"ScienceDirect","title":"Development of full-solid waste environmentally binder for cemented paste backfill","volume":"443","author":[{"family":"Zhao","given":"Yonghui"},{"family":"Zhou","given":"Xuhong"},{"family":"Zhou","given":"Qishi"},{"family":"Zhu","given":"Haiyang"},{"family":"Cheng","given":"Fangjie"},{"family":"Chen","given":"Haodi"}],"issued":{"date-parts":[["2024",9]]}},"label":"page"},{"id":748,"uris":["http://zotero.org/users/14693946/items/4GI9EDFQ"],"itemData":{"id":748,"type":"article-journal","abstract":"This study addresses the issues of low strength and high cost associated with the backfill of ultrafine tailings in metal mines by developing a novel slag-based backfill cementitious material. Utilizing an orthogonal experimental approach, the optimal mix ratio of the material was determined, and a comprehensive evaluation of its flow properties, economic characteristics, condensation time, and carbon footprint was conducted. The experimental analysis revealed that the influence of the desulfurized gypsum content on the strength at 3, 7, and 28 days is greater than that of the cement clinker content. Integrating the results from the orthogonal experiment and the RBF neural network predictions, the optimal mix ratio was identified as 11 % desulfurized gypsum, 12 % cement clinker, and 77 % slag micro-powder. At this ratio, the uniaxial compressive strength of the backfill specimens at 3, 7, and 28 days reached 1.574 MPa, 3.168 MPa, and 5.451 MPa, respectively. The flow properties met the requirements of mine production, and the backfill cost was reduced. Additionally, the material exhibited early setting and strength gain characteristics, and it demonstrated superior environmental benefits in the carbon footprint analysis. This research not only provides a technical solution for the utilization of ultrafine tailings but also promotes the resourceful use of industrial solid waste, aligning with the concept of sustainable development and possessing significant theoretical and practical value.","container-title":"Construction and Building Materials","DOI":"10.1016/j.conbuildmat.2024.138966","ISSN":"09500618","journalAbbreviation":"Constr. Build. Mater.","language":"en-US","page":"138966","source":"ScienceDirect","title":"Development of slag-based filling cementitious materials and their application in ultrafine tailing sand filling","volume":"452","author":[{"family":"Xu","given":"Zhuo"},{"family":"Li","given":"Cuiping"},{"family":"Xiao","given":"Bolin"},{"family":"Chen","given":"Gezhong"}],"issued":{"date-parts":[["2024",11]]}},"label":"page"}],"schema":"https://github.com/citation-style-language/schema/raw/master/csl-citation.json"} </w:instrText>
      </w:r>
      <w:r w:rsidR="00F40E1A">
        <w:rPr>
          <w:rFonts w:ascii="Times New Roman" w:hAnsi="Times New Roman" w:cs="Times New Roman"/>
          <w:color w:val="000000" w:themeColor="text1"/>
          <w:szCs w:val="21"/>
        </w:rPr>
        <w:fldChar w:fldCharType="separate"/>
      </w:r>
      <w:r w:rsidR="00F40E1A" w:rsidRPr="00F40E1A">
        <w:rPr>
          <w:rFonts w:ascii="Times New Roman" w:hAnsi="Times New Roman" w:cs="Times New Roman"/>
          <w:kern w:val="0"/>
          <w:vertAlign w:val="superscript"/>
        </w:rPr>
        <w:t>[2–4]</w:t>
      </w:r>
      <w:r w:rsidR="00F40E1A">
        <w:rPr>
          <w:rFonts w:ascii="Times New Roman" w:hAnsi="Times New Roman" w:cs="Times New Roman"/>
          <w:color w:val="000000" w:themeColor="text1"/>
          <w:szCs w:val="21"/>
        </w:rPr>
        <w:fldChar w:fldCharType="end"/>
      </w:r>
      <w:r w:rsidRPr="00735B94">
        <w:rPr>
          <w:rFonts w:ascii="Times New Roman" w:hAnsi="Times New Roman" w:cs="Times New Roman" w:hint="eastAsia"/>
          <w:color w:val="000000" w:themeColor="text1"/>
          <w:szCs w:val="21"/>
        </w:rPr>
        <w:t>. Therefore, some studies have begun to shift towards replacing chemical activators with alkaline solid wastes such as carbide slag and red mud to achieve green, low-carbon, and cost control. Calcium carbide slag (CS) is a waste residue generated during the hydrolysis of calcium carbide to produce acetylene. Its main component is calcium hydroxide, with a pH value usually above 13 and strong alkalinity</w:t>
      </w:r>
      <w:r w:rsidR="00F40E1A">
        <w:rPr>
          <w:rFonts w:ascii="Times New Roman" w:hAnsi="Times New Roman" w:cs="Times New Roman"/>
          <w:color w:val="000000" w:themeColor="text1"/>
          <w:szCs w:val="21"/>
        </w:rPr>
        <w:fldChar w:fldCharType="begin"/>
      </w:r>
      <w:r w:rsidR="00F40E1A">
        <w:rPr>
          <w:rFonts w:ascii="Times New Roman" w:hAnsi="Times New Roman" w:cs="Times New Roman"/>
          <w:color w:val="000000" w:themeColor="text1"/>
          <w:szCs w:val="21"/>
        </w:rPr>
        <w:instrText xml:space="preserve"> ADDIN ZOTERO_ITEM CSL_CITATION {"citationID":"0b9vRBal","properties":{"formattedCitation":"\\super [5,6]\\nosupersub{}","plainCitation":"[5,6]","noteIndex":0},"citationItems":[{"id":253,"uris":["http://zotero.org/users/14693946/items/AIRNTVVU"],"itemData":{"id":253,"type":"article-journal","abstract":"The accumulation of large amounts of steel slag (SS) and oil shale residue (OSR) causes serious pollution due to the lack of effective ways to utilize them. In this study, OSR, SS, and soda residue (SR) were used to synergistically prepare all-solid-waste low-carbon cemented backfill material (ALCCB). No cement and chemical additives were added to this material, and synergistic activation enabled full utilization of the solid wastes. The total solid waste utilization rate was 100 %. The mechanical characteristics of the ALCCB and the heavy metal leaching rates were determined. The unconfined compression strength of the ALCCB after 28 days was 5.97 MPa, while the slump was 205 mm. These results met the performance requirements for a filling material. The leaching rates for the heavy metals after 28 days conformed to the guidelines for Class III groundwater quality. The mechanism underlying synergistic hydration of the solid wastes was analyzed at the micro- and macroscale with X-ray diffraction (XRD), thermogravimetric analysis (TG), scanning electron microscopy (SEM), and mercury intrusion porosimetry (MIP). The results indicated that hydration of the ALCCB occurred continuously during curing, and the faster early hydration reaction stabilized heavy metal curing at 7 d. In addition, ALCCB offers greater economic and environmental advantages than cementitious materials. Notably, the economic and environmental benefits of ALCCB were found to supersede those of cement-based materials, with a cost reduction of 42.6 % and a CO2 emission reduction of 86.9 %. This innovative low-carbon mine backfill material effectively promotes the utilization of solid waste resources and supports sustainable development.","container-title":"Case Studies in Construction Materials","DOI":"10.1016/j.cscm.2024.e03203","ISSN":"22145095","journalAbbreviation":"Case Stud. Constr. Mater.","language":"en-US","page":"e03203","source":"ScienceDirect","title":"Innovative synthesis of low-carbon cemented backfill materials through synergistic activation of solid wastes: An integrated assessment of economic and environmental impacts","title-short":"Innovative synthesis of low-carbon cemented backfill materials through synergistic activation of solid wastes","volume":"20","author":[{"family":"Li","given":"Kexin"},{"family":"Li","given":"Xilin"},{"family":"Yao","given":"Jun"},{"family":"Sun","given":"Qi"},{"family":"Xue","given":"Haowen"},{"family":"Du","given":"Chuanyang"}],"issued":{"date-parts":[["2024",7]]}},"label":"page"},{"id":598,"uris":["http://zotero.org/users/14693946/items/PFMWUME2"],"itemData":{"id":598,"type":"article-journal","abstract":"The utilization of solid waste as a resource is a beneficial approach to achieve pollution reduction and carbon reduction simultaneously. In this paper, we developed a quaternary solid waste-based cementitious materials (SWCMs) that can be used as a substitute for cement by utilizing four types of solid waste, namely ground granulated blast furnace slag (GGBS), steel slag (SS), ammonia-soda residue (ASR) and desulfurization gypsum (DG). The performance optimization and carbon emissions of SWCMs are investigated by response surface methodology and emission factor calculations. The results showed that a second-order polynomial model can accurately predict the compressive strength of mortar specimens of SWCMs, with prediction accuracies of 96.78 % and 87.17 % for compressive strengths at 3 days and 28 days, respectively. In terms of raw materials, DG content positively correlates with the compressive strength of the mortar containing SWCMs, moreover, ratios of GGBS to ASR of less than two or more than eight are beneficial. In addition, the production process of each ton of SWCMs emits 71.51 kg CO2, which is only 10 % of the production process of ordinary Portland cement. Overall, this work elucidates the influence of raw materials on the mechanical properties of quaternary SWCMs and quantifies their carbon reduction effects as a substitute for traditional cement, advancing the investigation and application of SWCMs in the realm of low-carbon materials.","container-title":"Chemical Engineering Journal Advances","DOI":"10.1016/j.ceja.2024.100584","ISSN":"2666-8211","journalAbbreviation":"Chemical Engineering Journal Advances","page":"100584","source":"ScienceDirect","title":"Performance optimization and carbon reduction effect of solid waste-based cementitious materials from iron and steel metallurgical slags and ammonia-soda residue","volume":"17","author":[{"family":"Xu","given":"Dong"},{"family":"Liu","given":"Jinglong"},{"family":"Du","given":"Huihui"},{"family":"Ma","given":"Bing"},{"family":"Tang","given":"Chang"},{"family":"Ni","given":"Wen"},{"family":"Yan","given":"Xiaofei"},{"family":"Zhang","given":"Houhu"}],"issued":{"date-parts":[["2024",3,15]]}},"label":"page"}],"schema":"https://github.com/citation-style-language/schema/raw/master/csl-citation.json"} </w:instrText>
      </w:r>
      <w:r w:rsidR="00F40E1A">
        <w:rPr>
          <w:rFonts w:ascii="Times New Roman" w:hAnsi="Times New Roman" w:cs="Times New Roman"/>
          <w:color w:val="000000" w:themeColor="text1"/>
          <w:szCs w:val="21"/>
        </w:rPr>
        <w:fldChar w:fldCharType="separate"/>
      </w:r>
      <w:r w:rsidR="00F40E1A" w:rsidRPr="00F40E1A">
        <w:rPr>
          <w:rFonts w:ascii="Times New Roman" w:hAnsi="Times New Roman" w:cs="Times New Roman"/>
          <w:kern w:val="0"/>
          <w:vertAlign w:val="superscript"/>
        </w:rPr>
        <w:t>[5,6]</w:t>
      </w:r>
      <w:r w:rsidR="00F40E1A">
        <w:rPr>
          <w:rFonts w:ascii="Times New Roman" w:hAnsi="Times New Roman" w:cs="Times New Roman"/>
          <w:color w:val="000000" w:themeColor="text1"/>
          <w:szCs w:val="21"/>
        </w:rPr>
        <w:fldChar w:fldCharType="end"/>
      </w:r>
      <w:r w:rsidRPr="00735B94">
        <w:rPr>
          <w:rFonts w:ascii="Times New Roman" w:hAnsi="Times New Roman" w:cs="Times New Roman" w:hint="eastAsia"/>
          <w:color w:val="000000" w:themeColor="text1"/>
          <w:szCs w:val="21"/>
        </w:rPr>
        <w:t>. Desulfurized gypsum (DSG) is a by-product of coal-fired flue gas desulfurization, rich in calcium sulfate components, and has the potential to stimulate in alkaline environments. The storage of the above-mentioned alkaline solid wastes not only occupies land, but also poses sustained pressure on the regional ecological environment, and urgently requires a path for resource utilization. In the research of solid waste cementitious materials, the optimization of mix proportions has a decisive impact on the final mechanical properties and engineering applicability of the materials</w:t>
      </w:r>
      <w:r w:rsidR="00F40E1A">
        <w:rPr>
          <w:rFonts w:ascii="Times New Roman" w:hAnsi="Times New Roman" w:cs="Times New Roman"/>
          <w:color w:val="000000" w:themeColor="text1"/>
          <w:szCs w:val="21"/>
        </w:rPr>
        <w:fldChar w:fldCharType="begin"/>
      </w:r>
      <w:r w:rsidR="00F40E1A">
        <w:rPr>
          <w:rFonts w:ascii="Times New Roman" w:hAnsi="Times New Roman" w:cs="Times New Roman"/>
          <w:color w:val="000000" w:themeColor="text1"/>
          <w:szCs w:val="21"/>
        </w:rPr>
        <w:instrText xml:space="preserve"> ADDIN ZOTERO_ITEM CSL_CITATION {"citationID":"3Sl48Ex2","properties":{"formattedCitation":"\\super [7]\\nosupersub{}","plainCitation":"[7]","noteIndex":0},"citationItems":[{"id":640,"uris":["http://zotero.org/users/14693946/items/D7ICAHGJ"],"itemData":{"id":640,"type":"article-journal","abstract":"Alkali-activated cementitious material (AACM) is a green building material which effectively utilizes industrial solid wastes, such as red mud (RM), ground granulated blast furnace slag (GGBS). However, there are problems with using conventional alkali activators (NaOH, Na2SiO3), including strong corrosivity and high cost. In order to solve this problem, this study prepares full solid waste cementitious materials (FSWCM) by activating RM and GGBS using carbide slag (CS) instead of traditional alkali activator. Based on the response surface method (RSM), the effects of RM content, CS content and water-binder ratio on the performance of FSWCM were studied. The microstructure changes of FSWCM with different RM contents were analyzed by XRD, TG, FTIR and SEM-EDS. The results showed that the optimized content of RM and CS was 40 % and 20 % respectively, and the 28-d compressive strength reached 14.11 MPa, which met the requirements of road base materials. The regression model established by RSM had high accuracy and could accurately predict the performance response values. The alkaline environment created by CS-RM facilitated the decomposition of active components in GGBS, resulting in the formation of a considerable amount of C-(A)-S-H gel via polycondensation. With the increase of age, Na+ dissolved in RM replaced Ca2+ in C-A-S-H to form N-A-S-H gel. The hydration products N-A-S-H, C-(A)-S-H and CaCO3 were intertwined to form a stable and dense three-dimensional network structure, which provided excellent mechanical properties. Sustainability analysis shows that FSWCM has significant advantages in cost control and environmental friendliness compared with AACM.","container-title":"Construction and Building Materials","DOI":"10.1016/j.conbuildmat.2024.138454","ISSN":"09500618","journalAbbreviation":"Constr. Build. Mater.","language":"en-US","page":"138454","source":"ScienceDirect","title":"The strength, reaction mechanism, sustainable potential of full solid waste alkali-activated cementitious materials using red mud and carbide slag","volume":"449","author":[{"family":"Chen","given":"Tengfei"},{"family":"Gao","given":"Yingli"},{"family":"Li","given":"Yuelin"},{"family":"Zhu","given":"Juncai"},{"family":"Cheng","given":"Zuodong"},{"family":"Xiong","given":"Haoyu"}],"issued":{"date-parts":[["2024",10]]}}}],"schema":"https://github.com/citation-style-language/schema/raw/master/csl-citation.json"} </w:instrText>
      </w:r>
      <w:r w:rsidR="00F40E1A">
        <w:rPr>
          <w:rFonts w:ascii="Times New Roman" w:hAnsi="Times New Roman" w:cs="Times New Roman"/>
          <w:color w:val="000000" w:themeColor="text1"/>
          <w:szCs w:val="21"/>
        </w:rPr>
        <w:fldChar w:fldCharType="separate"/>
      </w:r>
      <w:r w:rsidR="00F40E1A" w:rsidRPr="00F40E1A">
        <w:rPr>
          <w:rFonts w:ascii="Times New Roman" w:hAnsi="Times New Roman" w:cs="Times New Roman"/>
          <w:kern w:val="0"/>
          <w:vertAlign w:val="superscript"/>
        </w:rPr>
        <w:t>[7]</w:t>
      </w:r>
      <w:r w:rsidR="00F40E1A">
        <w:rPr>
          <w:rFonts w:ascii="Times New Roman" w:hAnsi="Times New Roman" w:cs="Times New Roman"/>
          <w:color w:val="000000" w:themeColor="text1"/>
          <w:szCs w:val="21"/>
        </w:rPr>
        <w:fldChar w:fldCharType="end"/>
      </w:r>
      <w:r w:rsidRPr="00735B94">
        <w:rPr>
          <w:rFonts w:ascii="Times New Roman" w:hAnsi="Times New Roman" w:cs="Times New Roman" w:hint="eastAsia"/>
          <w:color w:val="000000" w:themeColor="text1"/>
          <w:szCs w:val="21"/>
        </w:rPr>
        <w:t>. Compared with traditional alkali</w:t>
      </w:r>
      <w:r w:rsidR="002A1E38">
        <w:rPr>
          <w:rFonts w:ascii="Times New Roman" w:hAnsi="Times New Roman" w:cs="Times New Roman"/>
          <w:color w:val="000000" w:themeColor="text1"/>
          <w:szCs w:val="21"/>
        </w:rPr>
        <w:t>-</w:t>
      </w:r>
      <w:r w:rsidRPr="00735B94">
        <w:rPr>
          <w:rFonts w:ascii="Times New Roman" w:hAnsi="Times New Roman" w:cs="Times New Roman" w:hint="eastAsia"/>
          <w:color w:val="000000" w:themeColor="text1"/>
          <w:szCs w:val="21"/>
        </w:rPr>
        <w:t xml:space="preserve">activated cement, all solid waste cementitious materials mainly use industrial by-products such as carbide slag and desulfurization gypsum as the main </w:t>
      </w:r>
      <w:r w:rsidRPr="00735B94">
        <w:rPr>
          <w:rFonts w:ascii="Times New Roman" w:hAnsi="Times New Roman" w:cs="Times New Roman" w:hint="eastAsia"/>
          <w:color w:val="000000" w:themeColor="text1"/>
          <w:szCs w:val="21"/>
        </w:rPr>
        <w:lastRenderedPageBreak/>
        <w:t>activating components, which not only further reduces the preparation cost of cementitious materials, but also realizes the collaborative resource utilization of various solid wastes</w:t>
      </w:r>
      <w:r w:rsidR="00F40E1A">
        <w:rPr>
          <w:rFonts w:ascii="Times New Roman" w:hAnsi="Times New Roman" w:cs="Times New Roman"/>
          <w:color w:val="000000" w:themeColor="text1"/>
          <w:szCs w:val="21"/>
        </w:rPr>
        <w:fldChar w:fldCharType="begin"/>
      </w:r>
      <w:r w:rsidR="00F40E1A">
        <w:rPr>
          <w:rFonts w:ascii="Times New Roman" w:hAnsi="Times New Roman" w:cs="Times New Roman"/>
          <w:color w:val="000000" w:themeColor="text1"/>
          <w:szCs w:val="21"/>
        </w:rPr>
        <w:instrText xml:space="preserve"> ADDIN ZOTERO_ITEM CSL_CITATION {"citationID":"gV5UITdU","properties":{"formattedCitation":"\\super [8\\uc0\\u8211{}11]\\nosupersub{}","plainCitation":"[8–11]","noteIndex":0},"citationItems":[{"id":831,"uris":["http://zotero.org/users/14693946/items/Y393SQXG"],"itemData":{"id":831,"type":"article-journal","abstract":"Coal mining is a critical energy industry that considerably evolves and benefits the modernization and development of our society. However, the side-effects such as degraded air and water quality, fragmented vegetation landscape, and aggravated soil erosion associated with coal mining also raise serious concerns. Previous studies have shown diverse hydrologic cycle responses after coal mining when the watershed is subjected to different magnitudes of local climates, soil properties, mining methods, and watershed area. How these factors combine to affect hydrologic cycle responses to changes in mining remains unclear. A meta-analysis including 717 paired observations collated from 62 studies worldwide was used to evaluate the effects of coal mining on soil and water loss at a watershed scale. The results showed that runoff, runoff depth, and spring flow due to coal mining were significantly decreased by 24.46 %, 32.55 %, and 56.88 %, while calculated soil erosion modulus and soil loss based on empirical equations were significantly increased by 202.44 %, and 199.50 %, respectively. As runoff is the carrying force for soil loss, the decreased runoff would actually reduce the carrying capacity of soil to enter the river system. Therefore, the increased soil loss intensity and decreased runoff may lead to insignificant total soil loss (−68.52 t hm−2). In addition, coal mining decreases groundwater level (−11.02 %) and baseflow (−14.46 %), increases infiltration rate (42.86 %), soil erodibility K value (258.67 %), sediment yield (141.86 %) and soil erosion area (102.06 %). Among them, mean annual precipitation plays a dominant role in driving hydrological cycle processes, while combined use of above-ground and underground mining tends to increase soil erosion. This study is crucial to a better understanding of soil and water conservation under coal mining activities.","container-title":"Journal of Hydrology","DOI":"10.1016/j.jhydrol.2022.129023","ISSN":"0022-1694","journalAbbreviation":"Journal of Hydrology","page":"129023","source":"ScienceDirect","title":"A global meta-analysis of coal mining studies provides insights into the hydrologic cycle at watershed scale","volume":"617","author":[{"family":"Yang","given":"Jiahui"},{"family":"Wei","given":"Huaixin"},{"family":"Quan","given":"Zelin"},{"family":"Xu","given":"Rui"},{"family":"Wang","given":"Zhaohui"},{"family":"He","given":"Hailong"}],"issued":{"date-parts":[["2023",2,1]]}},"label":"page"},{"id":833,"uris":["http://zotero.org/users/14693946/items/7B85B85W"],"itemData":{"id":833,"type":"article-journal","abstract":"The production of coal gangue, a by-product of coal mining and washing, is rapidly increasing due to growing energy consumption. As the accumulated coal gangue has not been appropriately utilized, this has resulted in a squander of resources, waste disposal problems, and environmental pollution issues. However, coal gangue, a form of solid waste, exhibits various potential applications in the field of recycling. Currently, the processing capacity and utilization rate of coal gangue are insufficient to meet the demands of global low-carbon environmental protection. As such, this paper provides a detailed overview of the physical and chemical properties of coal gangue and its resource utilization methods in the environmental field, particularly in soil remediation, soil reclamation, the preparation of adsorbents for heavy metals, dyes, and CO2, and as catalysts for organic degradation and catalytic cracking. This review highlights the significance of coal gangue classification according to its properties for the comprehensive utilization of gangue. Additionally, we briefly introduce and discuss suggestions for future directions of research and development in this area. Nevertheless, with regard to the environmental impact of secondary pollution and the efficiency of coal gangue utilization, there remain numerous obstacles that hinder future research. This review is expected to provide significant insights into the development of coal gangue utilization strategies, potentially facilitating the efficient and practical large-scale management of solid waste.","container-title":"RSC Advances","DOI":"10.1039/d4ra06071g","ISSN":"2046-2069","issue":"53","journalAbbreviation":"RSC Advances","page":"39285-39296","source":"ScienceDirect","title":"A short review of the sustainable utilization of coal gangue in environmental applications","volume":"14","author":[{"family":"Gao","given":"Lihui"},{"family":"Liu","given":"Yanhong"},{"family":"Xu","given":"Keyi"},{"family":"Bai","given":"Lu"},{"family":"Guo","given":"Nan"},{"family":"Li","given":"Shulei"}],"issued":{"date-parts":[["2024",12,16]]}},"label":"page"},{"id":832,"uris":["http://zotero.org/users/14693946/items/TYDDFYWJ"],"itemData":{"id":832,"type":"article-journal","abstract":"Methane has a short atmospheric lifetime compared to carbon dioxide (CO2), </w:instrText>
      </w:r>
      <w:r w:rsidR="00F40E1A">
        <w:rPr>
          <w:rFonts w:ascii="Cambria Math" w:hAnsi="Cambria Math" w:cs="Cambria Math"/>
          <w:color w:val="000000" w:themeColor="text1"/>
          <w:szCs w:val="21"/>
        </w:rPr>
        <w:instrText>∼</w:instrText>
      </w:r>
      <w:r w:rsidR="00F40E1A">
        <w:rPr>
          <w:rFonts w:ascii="Times New Roman" w:hAnsi="Times New Roman" w:cs="Times New Roman"/>
          <w:color w:val="000000" w:themeColor="text1"/>
          <w:szCs w:val="21"/>
        </w:rPr>
        <w:instrText xml:space="preserve">decade versus </w:instrText>
      </w:r>
      <w:r w:rsidR="00F40E1A">
        <w:rPr>
          <w:rFonts w:ascii="Cambria Math" w:hAnsi="Cambria Math" w:cs="Cambria Math"/>
          <w:color w:val="000000" w:themeColor="text1"/>
          <w:szCs w:val="21"/>
        </w:rPr>
        <w:instrText>∼</w:instrText>
      </w:r>
      <w:r w:rsidR="00F40E1A">
        <w:rPr>
          <w:rFonts w:ascii="Times New Roman" w:hAnsi="Times New Roman" w:cs="Times New Roman"/>
          <w:color w:val="000000" w:themeColor="text1"/>
          <w:szCs w:val="21"/>
        </w:rPr>
        <w:instrText>centuries, but it has a much higher global warming potential (GWP), highlighting how reducing methane emissions can slow the rate of climate change. When considering the contribution of greenhouse gas (GHG) emissions to current global warming (2010–2019) relative to the industrial revolution (1850–1900) levels, methane contributes 0.5 °C or </w:instrText>
      </w:r>
      <w:r w:rsidR="00F40E1A">
        <w:rPr>
          <w:rFonts w:ascii="Cambria Math" w:hAnsi="Cambria Math" w:cs="Cambria Math"/>
          <w:color w:val="000000" w:themeColor="text1"/>
          <w:szCs w:val="21"/>
        </w:rPr>
        <w:instrText>∼</w:instrText>
      </w:r>
      <w:r w:rsidR="00F40E1A">
        <w:rPr>
          <w:rFonts w:ascii="Times New Roman" w:hAnsi="Times New Roman" w:cs="Times New Roman" w:hint="eastAsia"/>
          <w:color w:val="000000" w:themeColor="text1"/>
          <w:szCs w:val="21"/>
        </w:rPr>
        <w:instrText> </w:instrText>
      </w:r>
      <w:r w:rsidR="00F40E1A">
        <w:rPr>
          <w:rFonts w:ascii="Times New Roman" w:hAnsi="Times New Roman" w:cs="Times New Roman"/>
          <w:color w:val="000000" w:themeColor="text1"/>
          <w:szCs w:val="21"/>
        </w:rPr>
        <w:instrText xml:space="preserve">a third of the total. The most recent post-2023 global estimates of methane emissions by bottom-up (BU) and top-down (TD) approaches for the coal mining sector are in the range of </w:instrText>
      </w:r>
      <w:r w:rsidR="00F40E1A">
        <w:rPr>
          <w:rFonts w:ascii="Cambria Math" w:hAnsi="Cambria Math" w:cs="Cambria Math"/>
          <w:color w:val="000000" w:themeColor="text1"/>
          <w:szCs w:val="21"/>
        </w:rPr>
        <w:instrText>∼</w:instrText>
      </w:r>
      <w:r w:rsidR="00F40E1A">
        <w:rPr>
          <w:rFonts w:ascii="Times New Roman" w:hAnsi="Times New Roman" w:cs="Times New Roman"/>
          <w:color w:val="000000" w:themeColor="text1"/>
          <w:szCs w:val="21"/>
        </w:rPr>
        <w:instrText xml:space="preserve">41 ± 3 Tg yr−1 and 33 ± 5 Tg yr−1, respectively. This divergence, notwithstanding overlapping confidence intervals, is a result of differences between applied TD global inversion models and BU emission inventories. Further research can help to better refine emissions from the various contributing coal mine methane (CMM) emissions sources. The coal mining sector accounts for over 10 % of global anthropogenic methane emissions. The contribution of CMM emissions to the global budget have increased since 2000, although upward and downward regional trends have been observed. The Global Methane Pledge (GMP), which was signed by more than 150 nations, aims to reduce methane emissions by 30 % from 2020 levels by 2030. This could eliminate 0.2 °C of warming by 2050. The success or failure to reach the emission reduction targets of the GMP will depend on engagement with different sectors of the economy. In that regard, the coal sector could play a significant role for mitigating emissions and reaching emission reduction targets. The International Energy Agency (IEA) and United States Environmental Protection Agency (U.S. EPA) both estimate that over half of global methane emissions from coal operations could be avoided with the application of existing technologies. However, setting up emission reduction scenario targets for the coal mining sector poses significant challenges, which require clear understanding of the magnitude and behavior of CMM emission sources. Notwithstanding regional differences, with improved reporting and data transparency, emission control potential can be more accurately defined, which can inform effective and defensible policy approaches. This paper highlights the climate forcing role of methane in the atmosphere and presents a detailed review of CMM emission sources along the coal lifecycle, traditional and new inventory practices applied in different countries, the status of estimating CMM emissions, and opportunities and difficulties associated with mitigating emissions from different CMM sources. Different policy approaches utilizing regulatory and economic mechanisms are explored and concluding remarks for importance and tools of CMM emission mitigation are provided. Ultimately, this paper aims to inform global CMM mitigation and emission reduction scenario targets for the coal mining sector.","container-title":"International Journal of Coal Geology","DOI":"10.1016/j.coal.2024.104623","ISSN":"0166-5162","journalAbbreviation":"International Journal of Coal Geology","page":"104623","source":"ScienceDirect","title":"Mitigating climate change by abating coal mine methane: A critical review of status and opportunities","title-short":"Mitigating climate change by abating coal mine methane","volume":"295","author":[{"family":"Karacan","given":"C. Özgen"},{"family":"Field","given":"Robert A."},{"family":"Olczak","given":"Maria"},{"family":"Kasprzak","given":"Malgorzata"},{"family":"Ruiz","given":"Felicia A."},{"family":"Schwietzke","given":"Stefan"}],"issued":{"date-parts":[["2024",12,4]]}},"label":"page"},{"id":844,"uris":["http://zotero.org/users/14693946/items/ZP8WY64W"],"itemData":{"id":844,"type":"article-journal","abstract":"The increase in municipal solid waste (MSW) production has led to an increase in MSW incineration fly ash (MSWIFA) production. MSWIFA contains toxic and harmful substances such as heavy metals and dioxins, which can cause harm to the environment if not treated properly. Only a few MSWIFAs will be landfilled directly, and the rest will need to be treated by other methods. The treatment of MSWIFA can be divided into three types: separation, stabilization/solidification (S/S), and thermal treatment, which are either not fully developed or too costly. Resource utilization is a sustainable means of treating MSWIFA. MSWIFA is used in the production of cement and alkali-activated cementitious materials as a means of resource utilization with significant advantages. This can alleviate the consumption of nature and reduce greenhouse gas emissions in conventional cement production. Compared with MSWIFA cement, MSWIFA alkali-activated cementitious material can be achieved with almost no consumption of natural resources, which is worthy of further research to realize the large-scale application of MSWIFA. At the end of the paper, the perspective of separation of dioxins from MSWIFA, co-processing of MSWI ash, and production of “MSWIFA green materials” is presented.","container-title":"Science of The Total Environment","DOI":"10.1016/j.scitotenv.2022.158254","ISSN":"0048-9697","journalAbbreviation":"Science of The Total Environment","page":"158254","source":"ScienceDirect","title":"Resource utilization of municipal solid waste incineration fly ash - cement and alkali-activated cementitious materials: A review","title-short":"Resource utilization of municipal solid waste incineration fly ash - cement and alkali-activated cementitious materials","volume":"852","author":[{"family":"Liu","given":"Jun"},{"family":"Wang","given":"Zhengdong"},{"family":"Xie","given":"Guangming"},{"family":"Li","given":"Zhenlin"},{"family":"Fan","given":"Xu"},{"family":"Zhang","given":"Weizhuo"},{"family":"Xing","given":"Feng"},{"family":"Tang","given":"Luping"},{"family":"Ren","given":"Jun"}],"issued":{"date-parts":[["2022",12,15]]}},"label":"page"}],"schema":"https://github.com/citation-style-language/schema/raw/master/csl-citation.json"} </w:instrText>
      </w:r>
      <w:r w:rsidR="00F40E1A">
        <w:rPr>
          <w:rFonts w:ascii="Times New Roman" w:hAnsi="Times New Roman" w:cs="Times New Roman"/>
          <w:color w:val="000000" w:themeColor="text1"/>
          <w:szCs w:val="21"/>
        </w:rPr>
        <w:fldChar w:fldCharType="separate"/>
      </w:r>
      <w:r w:rsidR="00F40E1A" w:rsidRPr="00F40E1A">
        <w:rPr>
          <w:rFonts w:ascii="Times New Roman" w:hAnsi="Times New Roman" w:cs="Times New Roman"/>
          <w:kern w:val="0"/>
          <w:vertAlign w:val="superscript"/>
        </w:rPr>
        <w:t>[8–11]</w:t>
      </w:r>
      <w:r w:rsidR="00F40E1A">
        <w:rPr>
          <w:rFonts w:ascii="Times New Roman" w:hAnsi="Times New Roman" w:cs="Times New Roman"/>
          <w:color w:val="000000" w:themeColor="text1"/>
          <w:szCs w:val="21"/>
        </w:rPr>
        <w:fldChar w:fldCharType="end"/>
      </w:r>
      <w:r w:rsidRPr="00735B94">
        <w:rPr>
          <w:rFonts w:ascii="Times New Roman" w:hAnsi="Times New Roman" w:cs="Times New Roman" w:hint="eastAsia"/>
          <w:color w:val="000000" w:themeColor="text1"/>
          <w:szCs w:val="21"/>
        </w:rPr>
        <w:t>.</w:t>
      </w:r>
    </w:p>
    <w:p w14:paraId="44B759BE" w14:textId="2F2C48FB" w:rsidR="00735B94" w:rsidRDefault="00735B94" w:rsidP="00735B94">
      <w:pPr>
        <w:adjustRightInd w:val="0"/>
        <w:snapToGrid w:val="0"/>
        <w:spacing w:line="300" w:lineRule="auto"/>
        <w:ind w:firstLineChars="200" w:firstLine="420"/>
        <w:rPr>
          <w:rFonts w:ascii="Times New Roman" w:hAnsi="Times New Roman" w:cs="Times New Roman"/>
          <w:color w:val="000000" w:themeColor="text1"/>
          <w:szCs w:val="21"/>
        </w:rPr>
      </w:pPr>
      <w:r w:rsidRPr="00735B94">
        <w:rPr>
          <w:rFonts w:ascii="Times New Roman" w:hAnsi="Times New Roman" w:cs="Times New Roman" w:hint="eastAsia"/>
          <w:color w:val="000000" w:themeColor="text1"/>
          <w:szCs w:val="21"/>
        </w:rPr>
        <w:t>Response surface methodology (RSM) is an efficient optimization method that takes into account the interaction between experimental random errors and factors</w:t>
      </w:r>
      <w:r w:rsidR="00F40E1A">
        <w:rPr>
          <w:rFonts w:ascii="Times New Roman" w:hAnsi="Times New Roman" w:cs="Times New Roman"/>
          <w:color w:val="000000" w:themeColor="text1"/>
          <w:szCs w:val="21"/>
        </w:rPr>
        <w:fldChar w:fldCharType="begin"/>
      </w:r>
      <w:r w:rsidR="00F40E1A">
        <w:rPr>
          <w:rFonts w:ascii="Times New Roman" w:hAnsi="Times New Roman" w:cs="Times New Roman"/>
          <w:color w:val="000000" w:themeColor="text1"/>
          <w:szCs w:val="21"/>
        </w:rPr>
        <w:instrText xml:space="preserve"> ADDIN ZOTERO_ITEM CSL_CITATION {"citationID":"QSpHbCCV","properties":{"formattedCitation":"\\super [12,13]\\nosupersub{}","plainCitation":"[12,13]","noteIndex":0},"citationItems":[{"id":828,"uris":["http://zotero.org/users/14693946/items/5F7SGLFQ"],"itemData":{"id":828,"type":"article-journal","abstract":"The resource endowment characteristics of “abundant coal, scarce oil, limited methane” in China determine that coal will remain the fundamental energy source, maintaining its predominant position. Realizing the green and low-carbon operation of the precise methane extraction technology system in the entire life cycle of coal mining is one of the key tasks for the sustainable development of the coal industry. In response to the new situation requirements of the “carbon peak and carbon neutrality” background and the technical challenges of carbon emission reduction at the source of methane in coal mines, with “quality improvement and efficiency enhancement, carbon emission reduction” as the core, and “precise methane extraction, green and low-carbon” dual objectives as the guide. With “process technology and equipment intelligent innovation” as the main line, based on the technical aspects of the complete process of coal mine methane extraction, the technology system of precise methane extraction in the entire life cycle of coal mining has been actively explored and constructed. It has realized the coordinated coupling of precise methane extraction, and green and low-carbon. A carbon emission reduction technology system has been formed at the source of coal mine methane with reliable technology - low-consumption equipment - safety and intelligence. Subsequently, five key technical issues were investigated: precise prediction of methane content - methane emission volume - methane “sweet spot” resource areas, precise pre-extraction of methane in the mining coal seam by the “time-sharing + partitioning” method, precise extraction of pressure relief methane from mining by the “regional segmentation + directional” method, precise extraction of methane from the “sweet spot” resource areas in abandoned mine, and “dynamic + intelligent” precise control of coal seam methane extraction. Finally, the future development directions of the precise methane extraction technology system for coal mining throughout its life cycle under the goal of “carbon peak and carbon neutrality” are elaborated, including the deep integration of “dynamic - transparent” coal geology and “intelligent - precise” methane pre-extraction, the deep integration of “dynamic - transparent” transport and storage area of pressure relief methane and “precise - regional segmentation” directional extraction, enhanced methane extraction technology of the methane “sweet spot” resource area through CO2 absorption and storage in abandoned mine, the integrated platform of “precise prediction - intelligent design, precise monitoring - intelligent assessment, precise diagnosis - intelligent regulation”, and “Smart+\" technology combining precise methane extraction - energy saving and emission reduction for equipment - green and low-carbon for mines. By implementing the precise methane extraction technology system for the entire life cycle of coal mining under the goal of “carbon peak and carbon neutrality”, new ideas are provided for achieving methane precise extraction, green and low-carbon goals in China's coal industry.","container-title":"Geoenergy Science and Engineering","DOI":"10.1016/j.geoen.2024.212855","ISSN":"2949-8910","journalAbbreviation":"Geoenergy Science and Engineering","page":"212855","source":"ScienceDirect","title":"Technical system and prospects for precise methane extraction in the entire life cycle of coal mining under the goal of “carbon peak and carbon neutrality\"","volume":"238","author":[{"family":"Ji","given":"Pengfei"},{"family":"Lin","given":"Haifei"},{"family":"Li","given":"Shugang"},{"family":"Kong","given":"Xiangguo"},{"family":"Wang","given":"Xu"},{"family":"Zhang","given":"Jingfei"},{"family":"Zhu","given":"Bing"},{"family":"Lin","given":"Xi"}],"issued":{"date-parts":[["2024",7,1]]}},"label":"page"},{"id":843,"uris":["http://zotero.org/users/14693946/items/M24B6MYU"],"itemData":{"id":843,"type":"article-journal","abstract":"The energy consumption and carbon emissions in the construction field, coupled with the accumulation of various industrial solid wastes, particularly bauxite residue (red mud), represent formidable barriers to sustainable development. The synergistic utilization of bauxite residue (red mud) in cementitious materials and special concrete is widely considered one of the most practical approaches for these issues. In this comprehensive review, characteristics and composition of red mud worldwide were investigated. By comparing and reviewing the latest research, the current achievements in applying red mud with various solid wastes in cementitious materials and special concrete were discussed. In addition, critical mechanisms and environmental suitability issues are emphasized. In conclusion, the present work culminates in identifying the challenges faced and opportunities for progressing in synergizing red mud and multi-solid wastes, which will contribute to the international research community for sustainable development in the industry.","container-title":"Journal of Environmental Management","DOI":"10.1016/j.jenvman.2024.121255","ISSN":"0301-4797","journalAbbreviation":"Journal of Environmental Management","page":"121255","source":"ScienceDirect","title":"Synergistic utilization, critical mechanisms, and environmental suitability of bauxite residue (red mud) based multi-solid wastes cementitious materials and special concrete","volume":"361","author":[{"family":"Wang","given":"Jie"},{"family":"Liu","given":"Xiaoming"},{"family":"Zhang","given":"Zengqi"},{"family":"Liu","given":"Yu"}],"issued":{"date-parts":[["2024",6,1]]}},"label":"page"}],"schema":"https://github.com/citation-style-language/schema/raw/master/csl-citation.json"} </w:instrText>
      </w:r>
      <w:r w:rsidR="00F40E1A">
        <w:rPr>
          <w:rFonts w:ascii="Times New Roman" w:hAnsi="Times New Roman" w:cs="Times New Roman"/>
          <w:color w:val="000000" w:themeColor="text1"/>
          <w:szCs w:val="21"/>
        </w:rPr>
        <w:fldChar w:fldCharType="separate"/>
      </w:r>
      <w:r w:rsidR="00F40E1A" w:rsidRPr="00F40E1A">
        <w:rPr>
          <w:rFonts w:ascii="Times New Roman" w:hAnsi="Times New Roman" w:cs="Times New Roman"/>
          <w:kern w:val="0"/>
          <w:vertAlign w:val="superscript"/>
        </w:rPr>
        <w:t>[12,13]</w:t>
      </w:r>
      <w:r w:rsidR="00F40E1A">
        <w:rPr>
          <w:rFonts w:ascii="Times New Roman" w:hAnsi="Times New Roman" w:cs="Times New Roman"/>
          <w:color w:val="000000" w:themeColor="text1"/>
          <w:szCs w:val="21"/>
        </w:rPr>
        <w:fldChar w:fldCharType="end"/>
      </w:r>
      <w:r w:rsidRPr="00735B94">
        <w:rPr>
          <w:rFonts w:ascii="Times New Roman" w:hAnsi="Times New Roman" w:cs="Times New Roman" w:hint="eastAsia"/>
          <w:color w:val="000000" w:themeColor="text1"/>
          <w:szCs w:val="21"/>
        </w:rPr>
        <w:t xml:space="preserve">. This method can continuously </w:t>
      </w:r>
      <w:proofErr w:type="spellStart"/>
      <w:r w:rsidRPr="00735B94">
        <w:rPr>
          <w:rFonts w:ascii="Times New Roman" w:hAnsi="Times New Roman" w:cs="Times New Roman" w:hint="eastAsia"/>
          <w:color w:val="000000" w:themeColor="text1"/>
          <w:szCs w:val="21"/>
        </w:rPr>
        <w:t>analy</w:t>
      </w:r>
      <w:r w:rsidR="002A1E38">
        <w:rPr>
          <w:rFonts w:ascii="Times New Roman" w:hAnsi="Times New Roman" w:cs="Times New Roman"/>
          <w:color w:val="000000" w:themeColor="text1"/>
          <w:szCs w:val="21"/>
        </w:rPr>
        <w:t>s</w:t>
      </w:r>
      <w:r w:rsidRPr="00735B94">
        <w:rPr>
          <w:rFonts w:ascii="Times New Roman" w:hAnsi="Times New Roman" w:cs="Times New Roman" w:hint="eastAsia"/>
          <w:color w:val="000000" w:themeColor="text1"/>
          <w:szCs w:val="21"/>
        </w:rPr>
        <w:t>e</w:t>
      </w:r>
      <w:proofErr w:type="spellEnd"/>
      <w:r w:rsidRPr="00735B94">
        <w:rPr>
          <w:rFonts w:ascii="Times New Roman" w:hAnsi="Times New Roman" w:cs="Times New Roman" w:hint="eastAsia"/>
          <w:color w:val="000000" w:themeColor="text1"/>
          <w:szCs w:val="21"/>
        </w:rPr>
        <w:t xml:space="preserve"> the levels of various factors by fitting the functional relationship between response and design variables, and use this to analytically solve for the optimal combination of multiple factors that meet the conditions</w:t>
      </w:r>
      <w:r w:rsidR="00F40E1A">
        <w:rPr>
          <w:rFonts w:ascii="Times New Roman" w:hAnsi="Times New Roman" w:cs="Times New Roman"/>
          <w:color w:val="000000" w:themeColor="text1"/>
          <w:szCs w:val="21"/>
        </w:rPr>
        <w:fldChar w:fldCharType="begin"/>
      </w:r>
      <w:r w:rsidR="00F40E1A">
        <w:rPr>
          <w:rFonts w:ascii="Times New Roman" w:hAnsi="Times New Roman" w:cs="Times New Roman"/>
          <w:color w:val="000000" w:themeColor="text1"/>
          <w:szCs w:val="21"/>
        </w:rPr>
        <w:instrText xml:space="preserve"> ADDIN ZOTERO_ITEM CSL_CITATION {"citationID":"T8Sh6hlp","properties":{"formattedCitation":"\\super [14\\uc0\\u8211{}16]\\nosupersub{}","plainCitation":"[14–16]","noteIndex":0},"citationItems":[{"id":162,"uris":["http://zotero.org/users/14693946/items/B6EZZM7S"],"itemData":{"id":162,"type":"article-journal","abstract":"Utilization of solid wastes in building materials can reduce the amount of cement and thus reduce carbon emissions. However, low compressive strength largely restrained the development of solid waste-based cementitious materials (SWBCM). In this study, steel slag (SS), phosphogypsum (PG), and ground granulated blast-furnace slag (GGBS) were used to prepare SWBCM. Ultra-fine slag (UFS) was used to partially replace raw GGBS in SWBCM, with intent to enhance the compressive strength of SS-PG-GGBS binders. Results showed that the strength of SS-PG-GGBS mortars was 17.0 MPa and 24.0 MPa at 7 d and 28 d, while 20% UFS mortars were 33.2 MPa and 44.9 MPa. The reason was that the high activity of UFS and nucleation-inducing effect could accelerate early hydration of SS-PG-GGBS, and the higher hydration degree of GGBS and the refined pore structure enhanced the later strength. Additionally, the promotion mechanism of UFS on SSPG-GGBS system was proposed. These results showed an effective method to promote the strength of SWBCM. This type of binders showed greatly potential in low carbon cementitious materials.","container-title":"Journal of Building Engineering","DOI":"10.1016/j.jobe.2022.105475","ISSN":"23527102","journalAbbreviation":"J. Build. Eng.","language":"en-US","page":"105475","source":"DOI.org (Crossref)","title":"Enhancement of ultra-fine slag on compressive strength of solid waste-based cementitious materials: Towards low carbon emissions","title-short":"Enhancement of ultra-fine slag on compressive strength of solid waste-based cementitious materials","volume":"63","author":[{"family":"Zhu","given":"Chaofeng"},{"family":"Tan","given":"Hongbo"},{"family":"Du","given":"Chao"},{"family":"Wang","given":"Jie"},{"family":"Deng","given":"Xiufeng"},{"family":"Zheng","given":"Zhengqi"},{"family":"He","given":"Xingyang"}],"issued":{"date-parts":[["2023",1]]}},"label":"page"},{"id":215,"uris":["http://zotero.org/users/14693946/items/W85DJXQL"],"itemData":{"id":215,"type":"article-journal","abstract":"Phosphogypsum (PG) occupies a large amount of land due to its large annual production and low utilization rate, and at the same time causes serious environmental problems due to toxic impurities. PG is used for mine backfill, and industrial solid waste is a curing agent for PG, which can save the filling cost and reduce environmental pollution. In this paper, PG was used as a raw material, combined with steel slag (SS) and ground granulated blast-furnace slag (GGBS) under the action of an alkali-activated agent (NaOH) to prepare all-solid waste phosphogypsum-based backfill material (PBM). The effect of the GGBS to SS ratio on the compressive strength and toxic leaching of PBM was investigated. The chemical composition of the raw materials was obtained by XRF analysis, and the mineral composition and morphology of PBM and its stabilization/curing mechanism against heavy metals were analyzed using XRD and SEM-EDS. The results showed that the best performance of PBM was achieved when the contents of PG, GGBS, and SS were 80%, 13%, and 7%, the liquid-to-solid ratio was 0.4, and the mass concentration of NaOH was 4%, with a strength of 2.8 MPa at 28 days. The leaching concentration of fluorine at 7 days met the standard of groundwater class IV (2 mg/L), and the leaching concentration of phosphorus was detected to be less than 0.001 mg/L, and the leaching concentration of heavy metals met the environmental standard at 14 d. The hydration concentration in PBM met the environmental standard. The hydration products in PBM are mainly ettringite and C-(A)-S-H gel, which can effectively stabilize the heavy metals in PG through chemical precipitation, physical adsorption, and encapsulation.","container-title":"Materials","DOI":"10.3390/ma17143618","ISSN":"1996-1944","issue":"14","journalAbbreviation":"Materials","language":"en-US","license":"http://creativecommons.org/licenses/by/3.0/","note":"number: 14\npublisher: Multidisciplinary Digital Publishing Institute","page":"3618","source":"www.mdpi.com","title":"Properties of Cemented Filling Materials Prepared from Phosphogypsum-Steel Slag–Blast-Furnace Slag and Its Environmental Effect","volume":"17","author":[{"family":"Li","given":"Kai"},{"family":"Zhu","given":"Lishun"},{"family":"Wu","given":"Zhonghu"},{"family":"Wang","given":"Xiaomin"}],"issued":{"date-parts":[["2024",7,22]]}},"label":"page"},{"id":153,"uris":["http://zotero.org/users/14693946/items/I3GDR4Q6"],"itemData":{"id":153,"type":"article-journal","abstract":"Traditional Portland cement production processes are associated with significant carbon emissions, making them a contributor to climate change. Moreover, the disposal of industrial solid waste, such as phosphogypsum (PG), poses environmental challenges. To address these issues, this study investigates the feasibility of utilizing these waste materials to produce high-performance cementitious materials with reduced environmental impacts, namely composite solid waste-based regenerated ultrafine cementitious materials. The results demonstrate that ultrafine phosphogypsum (UPG) delays heat release during paste hydration. More UPG leads to the delayed heat release and better early strength. The compressive strength of 3 days can reach 27.23 MPa, which is 152.83% higher than that of 10.77 MPa in the control group. Hydration products in the ultrafine ground granulated blast furnace slag-ultrafine steel slag-ultrafine phosphogypsum (UFS-USS-UPG) system mainly include ettringite and C-S-H gel. Ultrafine powder boosts early strength due to its high reactivity and surface area. Later strength gains result from continuous UFS hydration and products interconnection. The pH changes of pastes in four stages, closely match heat release. A rapid pH drop coincides with the main heat release peak, the peak of the main heat release peak occurs at the lowest pH. The production of 1 t of ultrafine powder is cost-effective, approximately 200 RMB, while simultaneously reducing CO2 emissions by about 600 kg compared to the traditional Portland cement production. Overall, this study highlights the potential of these composite solid waste-based regenerated ultrafine cementitious materials as a sustainable and economically viable alternative to traditional Portland cement p</w:instrText>
      </w:r>
      <w:r w:rsidR="00F40E1A">
        <w:rPr>
          <w:rFonts w:ascii="Times New Roman" w:hAnsi="Times New Roman" w:cs="Times New Roman" w:hint="eastAsia"/>
          <w:color w:val="000000" w:themeColor="text1"/>
          <w:szCs w:val="21"/>
        </w:rPr>
        <w:instrText>roduction, with significant benefits for early strength development and carbon footprint reduction.","archive":"Q1","archive_location":"</w:instrText>
      </w:r>
      <w:r w:rsidR="00F40E1A">
        <w:rPr>
          <w:rFonts w:ascii="Times New Roman" w:hAnsi="Times New Roman" w:cs="Times New Roman" w:hint="eastAsia"/>
          <w:color w:val="000000" w:themeColor="text1"/>
          <w:szCs w:val="21"/>
        </w:rPr>
        <w:instrText>工程技术</w:instrText>
      </w:r>
      <w:r w:rsidR="00F40E1A">
        <w:rPr>
          <w:rFonts w:ascii="Times New Roman" w:hAnsi="Times New Roman" w:cs="Times New Roman" w:hint="eastAsia"/>
          <w:color w:val="000000" w:themeColor="text1"/>
          <w:szCs w:val="21"/>
        </w:rPr>
        <w:instrText>1</w:instrText>
      </w:r>
      <w:r w:rsidR="00F40E1A">
        <w:rPr>
          <w:rFonts w:ascii="Times New Roman" w:hAnsi="Times New Roman" w:cs="Times New Roman" w:hint="eastAsia"/>
          <w:color w:val="000000" w:themeColor="text1"/>
          <w:szCs w:val="21"/>
        </w:rPr>
        <w:instrText>区</w:instrText>
      </w:r>
      <w:r w:rsidR="00F40E1A">
        <w:rPr>
          <w:rFonts w:ascii="Times New Roman" w:hAnsi="Times New Roman" w:cs="Times New Roman" w:hint="eastAsia"/>
          <w:color w:val="000000" w:themeColor="text1"/>
          <w:szCs w:val="21"/>
        </w:rPr>
        <w:instrText> Top","call-number":"7.4001","collection-title":"</w:instrText>
      </w:r>
      <w:r w:rsidR="00F40E1A">
        <w:rPr>
          <w:rFonts w:ascii="Times New Roman" w:hAnsi="Times New Roman" w:cs="Times New Roman" w:hint="eastAsia"/>
          <w:color w:val="000000" w:themeColor="text1"/>
          <w:szCs w:val="21"/>
        </w:rPr>
        <w:instrText>无</w:instrText>
      </w:r>
      <w:r w:rsidR="00F40E1A">
        <w:rPr>
          <w:rFonts w:ascii="Times New Roman" w:hAnsi="Times New Roman" w:cs="Times New Roman" w:hint="eastAsia"/>
          <w:color w:val="000000" w:themeColor="text1"/>
          <w:szCs w:val="21"/>
        </w:rPr>
        <w:instrText>","container-title":"Construction and Building Materials","DOI":"10.1016/j.conbuildmat.2024.135239","ISSN":"0950-0618","journalAbbreviation":"Constr Build Mater","license":"8.0000","page":"135239","source":"</w:instrText>
      </w:r>
      <w:r w:rsidR="00F40E1A">
        <w:rPr>
          <w:rFonts w:ascii="Times New Roman" w:hAnsi="Times New Roman" w:cs="Times New Roman" w:hint="eastAsia"/>
          <w:color w:val="000000" w:themeColor="text1"/>
          <w:szCs w:val="21"/>
        </w:rPr>
        <w:instrText>工程：土木</w:instrText>
      </w:r>
      <w:r w:rsidR="00F40E1A">
        <w:rPr>
          <w:rFonts w:ascii="Times New Roman" w:hAnsi="Times New Roman" w:cs="Times New Roman" w:hint="eastAsia"/>
          <w:color w:val="000000" w:themeColor="text1"/>
          <w:szCs w:val="21"/>
        </w:rPr>
        <w:instrText>1</w:instrText>
      </w:r>
      <w:r w:rsidR="00F40E1A">
        <w:rPr>
          <w:rFonts w:ascii="Times New Roman" w:hAnsi="Times New Roman" w:cs="Times New Roman" w:hint="eastAsia"/>
          <w:color w:val="000000" w:themeColor="text1"/>
          <w:szCs w:val="21"/>
        </w:rPr>
        <w:instrText>区</w:instrText>
      </w:r>
      <w:r w:rsidR="00F40E1A">
        <w:rPr>
          <w:rFonts w:ascii="Times New Roman" w:hAnsi="Times New Roman" w:cs="Times New Roman" w:hint="eastAsia"/>
          <w:color w:val="000000" w:themeColor="text1"/>
          <w:szCs w:val="21"/>
        </w:rPr>
        <w:instrText xml:space="preserve">  </w:instrText>
      </w:r>
      <w:r w:rsidR="00F40E1A">
        <w:rPr>
          <w:rFonts w:ascii="Times New Roman" w:hAnsi="Times New Roman" w:cs="Times New Roman" w:hint="eastAsia"/>
          <w:color w:val="000000" w:themeColor="text1"/>
          <w:szCs w:val="21"/>
        </w:rPr>
        <w:instrText>结构与建筑技术</w:instrText>
      </w:r>
      <w:r w:rsidR="00F40E1A">
        <w:rPr>
          <w:rFonts w:ascii="Times New Roman" w:hAnsi="Times New Roman" w:cs="Times New Roman" w:hint="eastAsia"/>
          <w:color w:val="000000" w:themeColor="text1"/>
          <w:szCs w:val="21"/>
        </w:rPr>
        <w:instrText>1</w:instrText>
      </w:r>
      <w:r w:rsidR="00F40E1A">
        <w:rPr>
          <w:rFonts w:ascii="Times New Roman" w:hAnsi="Times New Roman" w:cs="Times New Roman" w:hint="eastAsia"/>
          <w:color w:val="000000" w:themeColor="text1"/>
          <w:szCs w:val="21"/>
        </w:rPr>
        <w:instrText>区</w:instrText>
      </w:r>
      <w:r w:rsidR="00F40E1A">
        <w:rPr>
          <w:rFonts w:ascii="Times New Roman" w:hAnsi="Times New Roman" w:cs="Times New Roman" w:hint="eastAsia"/>
          <w:color w:val="000000" w:themeColor="text1"/>
          <w:szCs w:val="21"/>
        </w:rPr>
        <w:instrText xml:space="preserve">  </w:instrText>
      </w:r>
      <w:r w:rsidR="00F40E1A">
        <w:rPr>
          <w:rFonts w:ascii="Times New Roman" w:hAnsi="Times New Roman" w:cs="Times New Roman" w:hint="eastAsia"/>
          <w:color w:val="000000" w:themeColor="text1"/>
          <w:szCs w:val="21"/>
        </w:rPr>
        <w:instrText>材料科学：综合</w:instrText>
      </w:r>
      <w:r w:rsidR="00F40E1A">
        <w:rPr>
          <w:rFonts w:ascii="Times New Roman" w:hAnsi="Times New Roman" w:cs="Times New Roman" w:hint="eastAsia"/>
          <w:color w:val="000000" w:themeColor="text1"/>
          <w:szCs w:val="21"/>
        </w:rPr>
        <w:instrText>2</w:instrText>
      </w:r>
      <w:r w:rsidR="00F40E1A">
        <w:rPr>
          <w:rFonts w:ascii="Times New Roman" w:hAnsi="Times New Roman" w:cs="Times New Roman" w:hint="eastAsia"/>
          <w:color w:val="000000" w:themeColor="text1"/>
          <w:szCs w:val="21"/>
        </w:rPr>
        <w:instrText>区</w:instrText>
      </w:r>
      <w:r w:rsidR="00F40E1A">
        <w:rPr>
          <w:rFonts w:ascii="Times New Roman" w:hAnsi="Times New Roman" w:cs="Times New Roman" w:hint="eastAsia"/>
          <w:color w:val="000000" w:themeColor="text1"/>
          <w:szCs w:val="21"/>
        </w:rPr>
        <w:instrText>","title":"Utilization of ultrafine solid waste in the sustainable cementitious ma</w:instrText>
      </w:r>
      <w:r w:rsidR="00F40E1A">
        <w:rPr>
          <w:rFonts w:ascii="Times New Roman" w:hAnsi="Times New Roman" w:cs="Times New Roman"/>
          <w:color w:val="000000" w:themeColor="text1"/>
          <w:szCs w:val="21"/>
        </w:rPr>
        <w:instrText xml:space="preserve">terial for enhanced performance","volume":"417","author":[{"family":"Wang","given":"Ying-fu"},{"family":"Huang","given":"Xiao"},{"family":"Zhang","given":"Shu-guang"},{"family":"Ma","given":"Wei"},{"family":"Li","given":"Jiang-shan"}],"issued":{"date-parts":[["2024",2,23]]}},"label":"page"}],"schema":"https://github.com/citation-style-language/schema/raw/master/csl-citation.json"} </w:instrText>
      </w:r>
      <w:r w:rsidR="00F40E1A">
        <w:rPr>
          <w:rFonts w:ascii="Times New Roman" w:hAnsi="Times New Roman" w:cs="Times New Roman"/>
          <w:color w:val="000000" w:themeColor="text1"/>
          <w:szCs w:val="21"/>
        </w:rPr>
        <w:fldChar w:fldCharType="separate"/>
      </w:r>
      <w:r w:rsidR="00F40E1A" w:rsidRPr="00F40E1A">
        <w:rPr>
          <w:rFonts w:ascii="Times New Roman" w:hAnsi="Times New Roman" w:cs="Times New Roman"/>
          <w:kern w:val="0"/>
          <w:vertAlign w:val="superscript"/>
        </w:rPr>
        <w:t>[14–16]</w:t>
      </w:r>
      <w:r w:rsidR="00F40E1A">
        <w:rPr>
          <w:rFonts w:ascii="Times New Roman" w:hAnsi="Times New Roman" w:cs="Times New Roman"/>
          <w:color w:val="000000" w:themeColor="text1"/>
          <w:szCs w:val="21"/>
        </w:rPr>
        <w:fldChar w:fldCharType="end"/>
      </w:r>
      <w:r w:rsidRPr="00735B94">
        <w:rPr>
          <w:rFonts w:ascii="Times New Roman" w:hAnsi="Times New Roman" w:cs="Times New Roman" w:hint="eastAsia"/>
          <w:color w:val="000000" w:themeColor="text1"/>
          <w:szCs w:val="21"/>
        </w:rPr>
        <w:t>. This study used a response surface Box Behnken design experiment to reveal the influence of single and interactive factors of steel slag, carbide slag, and desulfurization gypsum content on the 28</w:t>
      </w:r>
      <w:r w:rsidR="002A1E38">
        <w:rPr>
          <w:rFonts w:ascii="Times New Roman" w:hAnsi="Times New Roman" w:cs="Times New Roman"/>
          <w:color w:val="000000" w:themeColor="text1"/>
          <w:szCs w:val="21"/>
        </w:rPr>
        <w:t>-</w:t>
      </w:r>
      <w:r w:rsidRPr="00735B94">
        <w:rPr>
          <w:rFonts w:ascii="Times New Roman" w:hAnsi="Times New Roman" w:cs="Times New Roman" w:hint="eastAsia"/>
          <w:color w:val="000000" w:themeColor="text1"/>
          <w:szCs w:val="21"/>
        </w:rPr>
        <w:t>day compressive strength of cementitious materials, and established a response surface regression model to optimize the parameters of each factor. The results can be used to guide the resource utilization of industrial solid wastes such as slag and fly ash, alleviate the supply pressure of traditional cementitious materials, and reduce carbon emissions in the cementitious material industry</w:t>
      </w:r>
      <w:r w:rsidR="00F40E1A">
        <w:rPr>
          <w:rFonts w:ascii="Times New Roman" w:hAnsi="Times New Roman" w:cs="Times New Roman"/>
          <w:color w:val="000000" w:themeColor="text1"/>
          <w:szCs w:val="21"/>
        </w:rPr>
        <w:fldChar w:fldCharType="begin"/>
      </w:r>
      <w:r w:rsidR="00F40E1A">
        <w:rPr>
          <w:rFonts w:ascii="Times New Roman" w:hAnsi="Times New Roman" w:cs="Times New Roman"/>
          <w:color w:val="000000" w:themeColor="text1"/>
          <w:szCs w:val="21"/>
        </w:rPr>
        <w:instrText xml:space="preserve"> ADDIN ZOTERO_ITEM CSL_CITATION {"citationID":"Uqw7yxj5","properties":{"formattedCitation":"\\super [17\\uc0\\u8211{}20]\\nosupersub{}","plainCitation":"[17–20]","noteIndex":0},"citationItems":[{"id":842,"uris":["http://zotero.org/users/14693946/items/7NR8537M"],"itemData":{"id":842,"type":"article-journal","abstract":"There is an increasing requirement to manage large amounts of solid industrial waste, such as red mud (RM) and waste glass sludge (WGS), which pose potential environmental hazards to human health. The purpose of this study was to improve the reactivity of the red mud with mechanical activation. The reactivity was measured by the dissolution efficiency of silicon and aluminium in alkaline solution, the strength index, and the strength of the geopolymer. The optimal condition: WGS addition is 30 wt%; grinding time is 20 min; specific surface area reached 24.65 m2/g; the compressive strength of the geopolymer came to 15.98 Mpa curing for 28 days. XRD, FTIR and XPS were applied to investigate the structural transformation in the process. The environmental characterisation showed a significant leaching concentration of heavy metal(loid)s such as Cr, Zn, Cu, and Mn, which decreases with longer curing periods. The carbon emission results showed that the precursor exhibited enormous potential in energy conservation and emission reduction. The study results demonstrate that cementitious material from two solid waste materials can substantially lower heavy metal leaching values whilst also providing economic benefits. This synthesis pathway can be attained through recycling the two solid wastes, resulting in geopolymers that exhibit potential for a variety of applications.","container-title":"Construction and Building Materials","DOI":"10.1016/j.conbuildmat.2024.135861","ISSN":"0950-0618","journalAbbreviation":"Construction and Building Materials","page":"135861","source":"ScienceDirect","title":"Preparation of environmental-friendly cementitious material from red mud and waste glass sludge by mechanical activation","volume":"423","author":[{"family":"Li","given":"Yixin"},{"family":"Luo","given":"Yi"},{"family":"Zhou","given":"Hao"},{"family":"Zhong","given":"Xuan"},{"family":"Zhou","given":"Zixi"},{"family":"Li","given":"Jiahao"},{"family":"Hou","given":"Haobo"}],"issued":{"date-parts":[["2024",4,12]]}},"label":"page"},{"id":841,"uris":["http://zotero.org/users/14693946/items/GXNK6IWB"],"itemData":{"id":841,"type":"article-journal","abstract":"The increase in municipal solid waste (MSW) production has led to an increase in MSW incineration fly ash (MSWIFA) production. MSWIFA contains toxic and harmful substances such as heavy metals and dioxins, which can cause harm to the environment if not treated properly. Only a few MSWIFAs will be landfilled directly, and the rest will need to be treated by other methods. The treatment of MSWIFA can be divided into three types: separation, stabilization/solidification (S/S), and thermal treatment, which are either not fully developed or too costly. Resource utilization is a sustainable means of treating MSWIFA. MSWIFA is used in the production of cement and alkali-activated cementitious materials as a means of resource utilization with significant advantages. This can alleviate the consumption of nature and reduce greenhouse gas emissions in conventional cement production. Compared with MSWIFA cement, MSWIFA alkali-activated cementitious material can be achieved with almost no consumption of natural resources, which is worthy of further research to realize the large-scale application of MSWIFA. At the end of the paper, the perspective of separation of dioxins from MSWIFA, co-processing of MSWI ash, and production of “MSWIFA green materials” is presented.","container-title":"Science of The Total Environment","DOI":"10.1016/j.scitotenv.2022.158254","ISSN":"0048-9697","journalAbbreviation":"Science of The Total Environment","page":"158254","source":"ScienceDirect","title":"Resource utilization of municipal solid waste incineration fly ash - cement and alkali-activated cementitious materials: A review","title-short":"Resource utilization of municipal solid waste incineration fly ash - cement and alkali-activated cementitious materials","volume":"852","author":[{"family":"Liu","given":"Jun"},{"family":"Wang","given":"Zhengdong"},{"family":"Xie","given":"Guangming"},{"family":"Li","given":"Zhenlin"},{"family":"Fan","given":"Xu"},{"family":"Zhang","given":"Weizhuo"},{"family":"Xing","given":"Feng"},{"family":"Tang","given":"Luping"},{"family":"Ren","given":"Jun"}],"issued":{"date-parts":[["2022",12,15]]}},"label":"page"},{"id":840,"uris":["http://zotero.org/users/14693946/items/2PP4TD9W"],"itemData":{"id":840,"type":"article-journal","abstract":"The energy consumption and carbon emissions in the construction field, coupled with the accumulation of various industrial solid wastes, particularly bauxite residue (red mud), represent formidable barriers to sustainable development. The synergistic utilization of bauxite residue (red mud) in cementitious materials and special concrete is widely considered one of the most practical approaches for these issues. In this comprehensive review, characteristics and composition of red mud worldwide were investigated. By comparing and reviewing the latest research, the current achievements in applying red mud with various solid wastes in cementitious materials and special concrete were discussed. In addition, critical mechanisms and environmental suitability issues are emphasized. In conclusion, the present work culminates in identifying the challenges faced and opportunities for progressing in synergizing red mud and multi-solid wastes, which will contribute to the international research community for sustainable development in the industry.","container-title":"Journal of Environmental Management","DOI":"10.1016/j.jenvman.2024.121255","ISSN":"0301-4797","journalAbbreviation":"Journal of Environmental Management","page":"121255","source":"ScienceDirect","title":"Synergistic utilization, critical mechanisms, and environmental suitability of bauxite residue (red mud) based multi-solid wastes cementitious materials and special concrete","volume":"361","author":[{"family":"Wang","given":"Jie"},{"family":"Liu","given":"Xiaoming"},{"family":"Zhang","given":"Zengqi"},{"family":"Liu","given":"Yu"}],"issued":{"date-parts":[["2024",6,1]]}},"label":"page"},{"id":475,"uris":["http://zotero.org/users/14693946/items/TGC46ERJ"],"itemData":{"id":475,"type":"article-journal","abstract":"The expensive cost and high carbon footprint of commercial alkaline activators hindered the promotion and industrialization of geopolymers. The rising demand for geopolymer as low carbon and excellent building materials will lead to enormous research works towards to low carbon alkaline activator. This study aimed to explore the impact of red mud (RM)/carbide slag (CS) binary alkaline wasted-derived activator (RCA) on the macroscopic and microscopic properties of RCA activated cementitious materials (RCM) prepared with titanium gypsum (TiG) and granulated blast furnace slag (GBFS). It is proposed to adjust the pH value of solid waste powder for calibrating the waste-derived activator, prepare RCM and explore the relationship between its mechanical properties and hydration products. The research showed that the highest flexural and compressive strengths at 28 days occurred with a dosage of 0.8 wt% CS, meeting the strength requirements of 52.5 R Portland cement. It is worth noting that RCM with binary alkaline waste-derived activators with appropriate pH values can exhibit excellent early mechanical properties. Raising the pH of RCA significantly improves the compressive and flexural strength, increasing them to 30.7 MPa and 6.3 MPa at 3 d, and to 60.7 MPa and 10.8 MPa at 28 d. The primary hydration products of RCM include C(N)-A-S-H gels, ettringite, and gypsum crystal phase, which contribute to the development of mechanical strength. Due to the difference in the alkaline environment required for the growth of C(N)-A-S-H gel and ettringite crystal, the increase in RCA pH value has been found to both inhibit the growth of ettringite to a certain extent and promote the precipitation of C(N)-A-S-H gels, improving the chemical structure of the hydration products and the pore distribution characteristics of the RCM. Furthermore, the research has been successfully applied in a pilot test in Jiaozuo, China. RCM introduces a novel concept for the efficient and industrial-scale utilization of solid waste. This study can provide a fundamental academic and industrialized support and a novel concept for the whole solid waste cementitious materials especially from alkaline industrial solid wastes such as RM and CS.","container-title":"Construction and Building Materials","DOI":"10.1016/j.conbuildmat.2024.136425","ISSN":"0950-0618","journalAbbreviation":"Construction and Building Materials","page":"136425","source":"ScienceDirect","title":"Improved macro-microscopic characteristic of gypsum-slag based cementitious materials by incorporating red mud/carbide slag binary alkaline waste-derived activator","volume":"428","author":[{"family":"Chang","given":"Ning"},{"family":"Li","given":"Hui"},{"family":"Liu","given":"Wenhuan"},{"family":"Zheng","given":"Wukui"},{"family":"Zhu","given":"Huimei"},{"family":"Wan","given":"Zhenmin"},{"family":"Wu","given":"Xingzi"},{"family":"Jiang","given":"Hongjian"},{"family":"Zhang","given":"Lu"}],"issued":{"date-parts":[["2024",5,17]]}},"label":"page"}],"schema":"https://github.com/citation-style-language/schema/raw/master/csl-citation.json"} </w:instrText>
      </w:r>
      <w:r w:rsidR="00F40E1A">
        <w:rPr>
          <w:rFonts w:ascii="Times New Roman" w:hAnsi="Times New Roman" w:cs="Times New Roman"/>
          <w:color w:val="000000" w:themeColor="text1"/>
          <w:szCs w:val="21"/>
        </w:rPr>
        <w:fldChar w:fldCharType="separate"/>
      </w:r>
      <w:r w:rsidR="00F40E1A" w:rsidRPr="00F40E1A">
        <w:rPr>
          <w:rFonts w:ascii="Times New Roman" w:hAnsi="Times New Roman" w:cs="Times New Roman"/>
          <w:kern w:val="0"/>
          <w:vertAlign w:val="superscript"/>
        </w:rPr>
        <w:t>[17–20]</w:t>
      </w:r>
      <w:r w:rsidR="00F40E1A">
        <w:rPr>
          <w:rFonts w:ascii="Times New Roman" w:hAnsi="Times New Roman" w:cs="Times New Roman"/>
          <w:color w:val="000000" w:themeColor="text1"/>
          <w:szCs w:val="21"/>
        </w:rPr>
        <w:fldChar w:fldCharType="end"/>
      </w:r>
      <w:r w:rsidRPr="00735B94">
        <w:rPr>
          <w:rFonts w:ascii="Times New Roman" w:hAnsi="Times New Roman" w:cs="Times New Roman" w:hint="eastAsia"/>
          <w:color w:val="000000" w:themeColor="text1"/>
          <w:szCs w:val="21"/>
        </w:rPr>
        <w:t>.</w:t>
      </w:r>
    </w:p>
    <w:p w14:paraId="7BFB659A" w14:textId="77777777" w:rsidR="00735B94" w:rsidRDefault="00735B94" w:rsidP="00735B94">
      <w:pPr>
        <w:numPr>
          <w:ilvl w:val="0"/>
          <w:numId w:val="8"/>
        </w:numPr>
        <w:rPr>
          <w:rFonts w:ascii="Times New Roman" w:eastAsia="SimSun" w:hAnsi="Times New Roman" w:cs="Times New Roman"/>
          <w:b/>
          <w:bCs/>
          <w:sz w:val="28"/>
          <w:szCs w:val="28"/>
        </w:rPr>
      </w:pPr>
      <w:r>
        <w:rPr>
          <w:rFonts w:ascii="Times New Roman" w:eastAsia="SimSun" w:hAnsi="Times New Roman" w:cs="Times New Roman" w:hint="eastAsia"/>
          <w:b/>
          <w:bCs/>
          <w:sz w:val="28"/>
          <w:szCs w:val="28"/>
        </w:rPr>
        <w:t>Experimental Materials and Methods</w:t>
      </w:r>
    </w:p>
    <w:p w14:paraId="7675AD05" w14:textId="496B9E98" w:rsidR="00735B94" w:rsidRDefault="00735B94" w:rsidP="00735B94">
      <w:pPr>
        <w:adjustRightInd w:val="0"/>
        <w:snapToGrid w:val="0"/>
        <w:spacing w:line="300" w:lineRule="auto"/>
        <w:ind w:firstLineChars="200" w:firstLine="420"/>
        <w:rPr>
          <w:rFonts w:ascii="Times New Roman" w:eastAsia="SimSun" w:hAnsi="Times New Roman" w:cs="Times New Roman"/>
          <w:b/>
          <w:bCs/>
          <w:sz w:val="28"/>
          <w:szCs w:val="28"/>
        </w:rPr>
      </w:pPr>
      <w:r w:rsidRPr="00735B94">
        <w:rPr>
          <w:rFonts w:ascii="Times New Roman" w:hAnsi="Times New Roman" w:cs="Times New Roman" w:hint="eastAsia"/>
          <w:color w:val="000000" w:themeColor="text1"/>
          <w:szCs w:val="21"/>
        </w:rPr>
        <w:t>The materials used in the experiment include fly ash, slag powder, carbide slag, desulfurization gypsum, coal gangue, and water.</w:t>
      </w:r>
    </w:p>
    <w:p w14:paraId="738F30BB" w14:textId="4E95AD87" w:rsidR="000356FA" w:rsidRPr="00735B94" w:rsidRDefault="00735B94" w:rsidP="00735B94">
      <w:pPr>
        <w:adjustRightInd w:val="0"/>
        <w:snapToGrid w:val="0"/>
        <w:rPr>
          <w:rFonts w:ascii="Times New Roman" w:eastAsia="SimSun" w:hAnsi="Times New Roman" w:cs="Times New Roman"/>
          <w:b/>
          <w:bCs/>
          <w:szCs w:val="21"/>
        </w:rPr>
      </w:pPr>
      <w:r>
        <w:rPr>
          <w:rFonts w:ascii="Times New Roman" w:eastAsia="SimSun" w:hAnsi="Times New Roman" w:cs="Times New Roman" w:hint="eastAsia"/>
          <w:b/>
          <w:bCs/>
          <w:szCs w:val="21"/>
        </w:rPr>
        <w:t>2</w:t>
      </w:r>
      <w:r>
        <w:rPr>
          <w:rFonts w:ascii="Times New Roman" w:eastAsia="SimSun" w:hAnsi="Times New Roman" w:cs="Times New Roman"/>
          <w:b/>
          <w:bCs/>
          <w:szCs w:val="21"/>
        </w:rPr>
        <w:t>.1</w:t>
      </w:r>
      <w:r>
        <w:t xml:space="preserve"> </w:t>
      </w:r>
      <w:r>
        <w:rPr>
          <w:rFonts w:ascii="Times New Roman" w:eastAsia="SimSun" w:hAnsi="Times New Roman" w:cs="Times New Roman" w:hint="eastAsia"/>
          <w:b/>
          <w:bCs/>
          <w:szCs w:val="21"/>
        </w:rPr>
        <w:t>Experimental Raw Materials</w:t>
      </w:r>
    </w:p>
    <w:p w14:paraId="086EB7E8" w14:textId="77777777" w:rsidR="00735B94" w:rsidRDefault="00735B94" w:rsidP="00735B94">
      <w:pPr>
        <w:adjustRightInd w:val="0"/>
        <w:snapToGrid w:val="0"/>
        <w:spacing w:line="300" w:lineRule="auto"/>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1</w:t>
      </w:r>
      <w:r>
        <w:rPr>
          <w:rFonts w:ascii="Times New Roman" w:hAnsi="Times New Roman" w:cs="Times New Roman" w:hint="eastAsia"/>
          <w:color w:val="000000" w:themeColor="text1"/>
          <w:szCs w:val="21"/>
        </w:rPr>
        <w:t>）</w:t>
      </w:r>
      <w:bookmarkStart w:id="3" w:name="OLE_LINK18"/>
      <w:r>
        <w:rPr>
          <w:rFonts w:ascii="Times New Roman" w:hAnsi="Times New Roman" w:cs="Times New Roman"/>
          <w:color w:val="000000" w:themeColor="text1"/>
          <w:szCs w:val="21"/>
        </w:rPr>
        <w:t>Fly Ash</w:t>
      </w:r>
      <w:bookmarkEnd w:id="3"/>
    </w:p>
    <w:p w14:paraId="0AD24F97" w14:textId="1BC0A7D1" w:rsidR="005E0F90" w:rsidRPr="00735B94" w:rsidRDefault="00735B94" w:rsidP="00735B94">
      <w:pPr>
        <w:adjustRightInd w:val="0"/>
        <w:snapToGrid w:val="0"/>
        <w:spacing w:line="300" w:lineRule="auto"/>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From table 1</w:t>
      </w:r>
      <w:r>
        <w:rPr>
          <w:rFonts w:ascii="Times New Roman" w:hAnsi="Times New Roman" w:cs="Times New Roman" w:hint="eastAsia"/>
          <w:color w:val="000000" w:themeColor="text1"/>
          <w:szCs w:val="21"/>
        </w:rPr>
        <w:t>，</w:t>
      </w:r>
      <w:r w:rsidR="002A1E38">
        <w:rPr>
          <w:rFonts w:ascii="Times New Roman" w:hAnsi="Times New Roman" w:cs="Times New Roman"/>
          <w:color w:val="000000" w:themeColor="text1"/>
          <w:szCs w:val="21"/>
        </w:rPr>
        <w:t xml:space="preserve"> </w:t>
      </w:r>
      <w:r>
        <w:rPr>
          <w:rFonts w:ascii="Times New Roman" w:hAnsi="Times New Roman" w:cs="Times New Roman" w:hint="eastAsia"/>
          <w:color w:val="000000" w:themeColor="text1"/>
          <w:szCs w:val="21"/>
        </w:rPr>
        <w:t>t</w:t>
      </w:r>
      <w:r>
        <w:rPr>
          <w:rFonts w:ascii="Times New Roman" w:hAnsi="Times New Roman" w:cs="Times New Roman"/>
          <w:color w:val="000000" w:themeColor="text1"/>
          <w:szCs w:val="21"/>
        </w:rPr>
        <w:t xml:space="preserve">he main components, such as </w:t>
      </w:r>
      <w:proofErr w:type="spellStart"/>
      <w:r>
        <w:rPr>
          <w:rFonts w:ascii="Times New Roman" w:hAnsi="Times New Roman" w:cs="Times New Roman"/>
          <w:color w:val="000000" w:themeColor="text1"/>
          <w:szCs w:val="21"/>
        </w:rPr>
        <w:t>SiO</w:t>
      </w:r>
      <w:proofErr w:type="spellEnd"/>
      <w:r>
        <w:rPr>
          <w:rFonts w:ascii="Times New Roman" w:hAnsi="Times New Roman" w:cs="Times New Roman"/>
          <w:color w:val="000000" w:themeColor="text1"/>
          <w:szCs w:val="21"/>
        </w:rPr>
        <w:t xml:space="preserve">₂, </w:t>
      </w:r>
      <w:proofErr w:type="spellStart"/>
      <w:r>
        <w:rPr>
          <w:rFonts w:ascii="Times New Roman" w:hAnsi="Times New Roman" w:cs="Times New Roman"/>
          <w:color w:val="000000" w:themeColor="text1"/>
          <w:szCs w:val="21"/>
        </w:rPr>
        <w:t>Al₂O</w:t>
      </w:r>
      <w:proofErr w:type="spellEnd"/>
      <w:r>
        <w:rPr>
          <w:rFonts w:ascii="Times New Roman" w:hAnsi="Times New Roman" w:cs="Times New Roman"/>
          <w:color w:val="000000" w:themeColor="text1"/>
          <w:szCs w:val="21"/>
        </w:rPr>
        <w:t xml:space="preserve">₃, and </w:t>
      </w:r>
      <w:proofErr w:type="spellStart"/>
      <w:r>
        <w:rPr>
          <w:rFonts w:ascii="Times New Roman" w:hAnsi="Times New Roman" w:cs="Times New Roman"/>
          <w:color w:val="000000" w:themeColor="text1"/>
          <w:szCs w:val="21"/>
        </w:rPr>
        <w:t>CaO</w:t>
      </w:r>
      <w:proofErr w:type="spellEnd"/>
      <w:r>
        <w:rPr>
          <w:rFonts w:ascii="Times New Roman" w:hAnsi="Times New Roman" w:cs="Times New Roman"/>
          <w:color w:val="000000" w:themeColor="text1"/>
          <w:szCs w:val="21"/>
        </w:rPr>
        <w:t xml:space="preserve">, account for more than 85% of the total mass </w:t>
      </w:r>
      <w:proofErr w:type="spellStart"/>
      <w:proofErr w:type="gramStart"/>
      <w:r>
        <w:rPr>
          <w:rFonts w:ascii="Times New Roman" w:hAnsi="Times New Roman" w:cs="Times New Roman"/>
          <w:color w:val="000000" w:themeColor="text1"/>
          <w:szCs w:val="21"/>
        </w:rPr>
        <w:t>fraction</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The</w:t>
      </w:r>
      <w:proofErr w:type="spellEnd"/>
      <w:proofErr w:type="gramEnd"/>
      <w:r>
        <w:rPr>
          <w:rFonts w:ascii="Times New Roman" w:hAnsi="Times New Roman" w:cs="Times New Roman"/>
          <w:color w:val="000000" w:themeColor="text1"/>
          <w:szCs w:val="21"/>
        </w:rPr>
        <w:t xml:space="preserve"> low </w:t>
      </w:r>
      <w:proofErr w:type="spellStart"/>
      <w:r>
        <w:rPr>
          <w:rFonts w:ascii="Times New Roman" w:hAnsi="Times New Roman" w:cs="Times New Roman"/>
          <w:color w:val="000000" w:themeColor="text1"/>
          <w:szCs w:val="21"/>
        </w:rPr>
        <w:t>CaO</w:t>
      </w:r>
      <w:proofErr w:type="spellEnd"/>
      <w:r>
        <w:rPr>
          <w:rFonts w:ascii="Times New Roman" w:hAnsi="Times New Roman" w:cs="Times New Roman"/>
          <w:color w:val="000000" w:themeColor="text1"/>
          <w:szCs w:val="21"/>
        </w:rPr>
        <w:t xml:space="preserve"> content classifies it as low-calcium fly ash. According to the standard "Fly Ash for Cement and Concrete" (GB/T 1596-2017), this fly ash is classified as Grade II. The specific performance indicators are listed in Table </w:t>
      </w:r>
      <w:r>
        <w:rPr>
          <w:rFonts w:ascii="Times New Roman" w:hAnsi="Times New Roman" w:cs="Times New Roman" w:hint="eastAsia"/>
          <w:color w:val="000000" w:themeColor="text1"/>
          <w:szCs w:val="21"/>
        </w:rPr>
        <w:t>2</w:t>
      </w:r>
      <w:r>
        <w:rPr>
          <w:rFonts w:ascii="Times New Roman" w:hAnsi="Times New Roman" w:cs="Times New Roman"/>
          <w:color w:val="000000" w:themeColor="text1"/>
          <w:szCs w:val="21"/>
        </w:rPr>
        <w:t>.</w:t>
      </w:r>
      <w:r w:rsidRPr="00735B94">
        <w:rPr>
          <w:rFonts w:ascii="Times New Roman" w:hAnsi="Times New Roman" w:cs="Times New Roman" w:hint="eastAsia"/>
          <w:color w:val="000000" w:themeColor="text1"/>
          <w:szCs w:val="21"/>
        </w:rPr>
        <w:t xml:space="preserve"> Fly ash is a powder obtained by burning coal from </w:t>
      </w:r>
      <w:proofErr w:type="spellStart"/>
      <w:r w:rsidRPr="00735B94">
        <w:rPr>
          <w:rFonts w:ascii="Times New Roman" w:hAnsi="Times New Roman" w:cs="Times New Roman" w:hint="eastAsia"/>
          <w:color w:val="000000" w:themeColor="text1"/>
          <w:szCs w:val="21"/>
        </w:rPr>
        <w:t>Pingdingshan</w:t>
      </w:r>
      <w:proofErr w:type="spellEnd"/>
      <w:r w:rsidRPr="00735B94">
        <w:rPr>
          <w:rFonts w:ascii="Times New Roman" w:hAnsi="Times New Roman" w:cs="Times New Roman" w:hint="eastAsia"/>
          <w:color w:val="000000" w:themeColor="text1"/>
          <w:szCs w:val="21"/>
        </w:rPr>
        <w:t xml:space="preserve"> mining area in Henan Province for power generation. Its chemical composition was analyzed by XRF, as shown in Table 1</w:t>
      </w:r>
      <w:r>
        <w:rPr>
          <w:rFonts w:ascii="Times New Roman" w:hAnsi="Times New Roman" w:cs="Times New Roman" w:hint="eastAsia"/>
          <w:color w:val="000000" w:themeColor="text1"/>
          <w:szCs w:val="21"/>
        </w:rPr>
        <w:t>,</w:t>
      </w:r>
      <w:r w:rsidR="002A1E38">
        <w:rPr>
          <w:rFonts w:ascii="Times New Roman" w:hAnsi="Times New Roman" w:cs="Times New Roman"/>
          <w:color w:val="000000" w:themeColor="text1"/>
          <w:szCs w:val="21"/>
        </w:rPr>
        <w:t xml:space="preserve"> </w:t>
      </w:r>
      <w:r w:rsidR="005E0F90" w:rsidRPr="00735B94">
        <w:rPr>
          <w:rFonts w:ascii="Times New Roman" w:hAnsi="Times New Roman" w:cs="Times New Roman" w:hint="eastAsia"/>
          <w:color w:val="000000" w:themeColor="text1"/>
          <w:szCs w:val="21"/>
        </w:rPr>
        <w:t>t</w:t>
      </w:r>
      <w:r w:rsidR="005E0F90" w:rsidRPr="00735B94">
        <w:rPr>
          <w:rFonts w:ascii="Times New Roman" w:hAnsi="Times New Roman" w:cs="Times New Roman"/>
          <w:color w:val="000000" w:themeColor="text1"/>
          <w:szCs w:val="21"/>
        </w:rPr>
        <w:t xml:space="preserve">he main components, such as </w:t>
      </w:r>
      <w:proofErr w:type="spellStart"/>
      <w:r w:rsidR="005E0F90" w:rsidRPr="00735B94">
        <w:rPr>
          <w:rFonts w:ascii="Times New Roman" w:hAnsi="Times New Roman" w:cs="Times New Roman"/>
          <w:color w:val="000000" w:themeColor="text1"/>
          <w:szCs w:val="21"/>
        </w:rPr>
        <w:t>SiO</w:t>
      </w:r>
      <w:proofErr w:type="spellEnd"/>
      <w:r w:rsidR="005E0F90" w:rsidRPr="00735B94">
        <w:rPr>
          <w:rFonts w:ascii="Times New Roman" w:hAnsi="Times New Roman" w:cs="Times New Roman"/>
          <w:color w:val="000000" w:themeColor="text1"/>
          <w:szCs w:val="21"/>
        </w:rPr>
        <w:t xml:space="preserve">₂, </w:t>
      </w:r>
      <w:proofErr w:type="spellStart"/>
      <w:r w:rsidR="005E0F90" w:rsidRPr="00735B94">
        <w:rPr>
          <w:rFonts w:ascii="Times New Roman" w:hAnsi="Times New Roman" w:cs="Times New Roman"/>
          <w:color w:val="000000" w:themeColor="text1"/>
          <w:szCs w:val="21"/>
        </w:rPr>
        <w:t>Al₂O</w:t>
      </w:r>
      <w:proofErr w:type="spellEnd"/>
      <w:r w:rsidR="005E0F90" w:rsidRPr="00735B94">
        <w:rPr>
          <w:rFonts w:ascii="Times New Roman" w:hAnsi="Times New Roman" w:cs="Times New Roman"/>
          <w:color w:val="000000" w:themeColor="text1"/>
          <w:szCs w:val="21"/>
        </w:rPr>
        <w:t xml:space="preserve">₃, and </w:t>
      </w:r>
      <w:proofErr w:type="spellStart"/>
      <w:r w:rsidR="005E0F90" w:rsidRPr="00735B94">
        <w:rPr>
          <w:rFonts w:ascii="Times New Roman" w:hAnsi="Times New Roman" w:cs="Times New Roman"/>
          <w:color w:val="000000" w:themeColor="text1"/>
          <w:szCs w:val="21"/>
        </w:rPr>
        <w:t>CaO</w:t>
      </w:r>
      <w:proofErr w:type="spellEnd"/>
      <w:r w:rsidR="005E0F90" w:rsidRPr="00735B94">
        <w:rPr>
          <w:rFonts w:ascii="Times New Roman" w:hAnsi="Times New Roman" w:cs="Times New Roman"/>
          <w:color w:val="000000" w:themeColor="text1"/>
          <w:szCs w:val="21"/>
        </w:rPr>
        <w:t>, account for more than 85% of the total mass fraction</w:t>
      </w:r>
      <w:r w:rsidR="005E0F90" w:rsidRPr="00735B94">
        <w:rPr>
          <w:rFonts w:ascii="Times New Roman" w:hAnsi="Times New Roman" w:cs="Times New Roman" w:hint="eastAsia"/>
          <w:color w:val="000000" w:themeColor="text1"/>
          <w:szCs w:val="21"/>
        </w:rPr>
        <w:t>.</w:t>
      </w:r>
      <w:r w:rsidR="002A1E38">
        <w:rPr>
          <w:rFonts w:ascii="Times New Roman" w:hAnsi="Times New Roman" w:cs="Times New Roman"/>
          <w:color w:val="000000" w:themeColor="text1"/>
          <w:szCs w:val="21"/>
        </w:rPr>
        <w:t xml:space="preserve"> </w:t>
      </w:r>
      <w:proofErr w:type="gramStart"/>
      <w:r w:rsidR="005E0F90" w:rsidRPr="00735B94">
        <w:rPr>
          <w:rFonts w:ascii="Times New Roman" w:hAnsi="Times New Roman" w:cs="Times New Roman"/>
          <w:color w:val="000000" w:themeColor="text1"/>
          <w:szCs w:val="21"/>
        </w:rPr>
        <w:t>The</w:t>
      </w:r>
      <w:proofErr w:type="gramEnd"/>
      <w:r w:rsidR="005E0F90" w:rsidRPr="00735B94">
        <w:rPr>
          <w:rFonts w:ascii="Times New Roman" w:hAnsi="Times New Roman" w:cs="Times New Roman"/>
          <w:color w:val="000000" w:themeColor="text1"/>
          <w:szCs w:val="21"/>
        </w:rPr>
        <w:t xml:space="preserve"> low </w:t>
      </w:r>
      <w:proofErr w:type="spellStart"/>
      <w:r w:rsidR="005E0F90" w:rsidRPr="00735B94">
        <w:rPr>
          <w:rFonts w:ascii="Times New Roman" w:hAnsi="Times New Roman" w:cs="Times New Roman"/>
          <w:color w:val="000000" w:themeColor="text1"/>
          <w:szCs w:val="21"/>
        </w:rPr>
        <w:t>CaO</w:t>
      </w:r>
      <w:proofErr w:type="spellEnd"/>
      <w:r w:rsidR="005E0F90" w:rsidRPr="00735B94">
        <w:rPr>
          <w:rFonts w:ascii="Times New Roman" w:hAnsi="Times New Roman" w:cs="Times New Roman"/>
          <w:color w:val="000000" w:themeColor="text1"/>
          <w:szCs w:val="21"/>
        </w:rPr>
        <w:t xml:space="preserve"> content classifies it as low-calcium fly ash. According to the standard "Fly Ash for Cement and Concrete" (GB/T 1596-2017), this fly ash is classified as Grade II. The specific performance indicators are listed in Table </w:t>
      </w:r>
      <w:r w:rsidR="005E0F90" w:rsidRPr="00735B94">
        <w:rPr>
          <w:rFonts w:ascii="Times New Roman" w:hAnsi="Times New Roman" w:cs="Times New Roman" w:hint="eastAsia"/>
          <w:color w:val="000000" w:themeColor="text1"/>
          <w:szCs w:val="21"/>
        </w:rPr>
        <w:t>2</w:t>
      </w:r>
      <w:r w:rsidR="005E0F90" w:rsidRPr="00735B94">
        <w:rPr>
          <w:rFonts w:ascii="Times New Roman" w:hAnsi="Times New Roman" w:cs="Times New Roman"/>
          <w:color w:val="000000" w:themeColor="text1"/>
          <w:szCs w:val="21"/>
        </w:rPr>
        <w:t>.</w:t>
      </w:r>
    </w:p>
    <w:p w14:paraId="41441A5D" w14:textId="77777777" w:rsidR="005E0F90" w:rsidRPr="005E0F90" w:rsidRDefault="005E0F90" w:rsidP="005E0F90">
      <w:pPr>
        <w:adjustRightInd w:val="0"/>
        <w:snapToGrid w:val="0"/>
        <w:spacing w:line="300" w:lineRule="auto"/>
        <w:ind w:firstLineChars="200" w:firstLine="420"/>
        <w:rPr>
          <w:rFonts w:ascii="Times New Roman" w:hAnsi="Times New Roman" w:cs="Times New Roman"/>
          <w:color w:val="EE0000"/>
          <w:szCs w:val="21"/>
        </w:rPr>
      </w:pPr>
    </w:p>
    <w:tbl>
      <w:tblPr>
        <w:tblW w:w="5000" w:type="pct"/>
        <w:tblBorders>
          <w:top w:val="single" w:sz="12" w:space="0" w:color="auto"/>
          <w:bottom w:val="single" w:sz="12" w:space="0" w:color="auto"/>
          <w:insideH w:val="single" w:sz="4" w:space="0" w:color="auto"/>
        </w:tblBorders>
        <w:tblLayout w:type="fixed"/>
        <w:tblLook w:val="04A0" w:firstRow="1" w:lastRow="0" w:firstColumn="1" w:lastColumn="0" w:noHBand="0" w:noVBand="1"/>
      </w:tblPr>
      <w:tblGrid>
        <w:gridCol w:w="2713"/>
        <w:gridCol w:w="862"/>
        <w:gridCol w:w="797"/>
        <w:gridCol w:w="1093"/>
        <w:gridCol w:w="1026"/>
        <w:gridCol w:w="871"/>
        <w:gridCol w:w="980"/>
        <w:gridCol w:w="883"/>
        <w:gridCol w:w="855"/>
      </w:tblGrid>
      <w:tr w:rsidR="005E0F90" w:rsidRPr="005E0F90" w14:paraId="704341F1" w14:textId="77777777" w:rsidTr="009C1F39">
        <w:trPr>
          <w:trHeight w:val="353"/>
        </w:trPr>
        <w:tc>
          <w:tcPr>
            <w:tcW w:w="1344" w:type="pct"/>
            <w:tcBorders>
              <w:top w:val="single" w:sz="12" w:space="0" w:color="auto"/>
              <w:bottom w:val="single" w:sz="4" w:space="0" w:color="auto"/>
            </w:tcBorders>
            <w:vAlign w:val="center"/>
          </w:tcPr>
          <w:p w14:paraId="6CB438B3"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Chemical Composition</w:t>
            </w:r>
          </w:p>
        </w:tc>
        <w:tc>
          <w:tcPr>
            <w:tcW w:w="427" w:type="pct"/>
            <w:tcBorders>
              <w:top w:val="single" w:sz="12" w:space="0" w:color="auto"/>
              <w:bottom w:val="single" w:sz="4" w:space="0" w:color="auto"/>
            </w:tcBorders>
            <w:vAlign w:val="center"/>
          </w:tcPr>
          <w:p w14:paraId="58F01FD7"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SiO</w:t>
            </w:r>
            <w:r w:rsidRPr="00735B94">
              <w:rPr>
                <w:color w:val="000000" w:themeColor="text1"/>
                <w:szCs w:val="21"/>
                <w:vertAlign w:val="subscript"/>
                <w14:ligatures w14:val="standardContextual"/>
              </w:rPr>
              <w:t>2</w:t>
            </w:r>
          </w:p>
        </w:tc>
        <w:tc>
          <w:tcPr>
            <w:tcW w:w="395" w:type="pct"/>
            <w:tcBorders>
              <w:top w:val="single" w:sz="12" w:space="0" w:color="auto"/>
              <w:bottom w:val="single" w:sz="4" w:space="0" w:color="auto"/>
            </w:tcBorders>
            <w:vAlign w:val="center"/>
          </w:tcPr>
          <w:p w14:paraId="0F025BD7"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CaO</w:t>
            </w:r>
          </w:p>
        </w:tc>
        <w:tc>
          <w:tcPr>
            <w:tcW w:w="542" w:type="pct"/>
            <w:tcBorders>
              <w:top w:val="single" w:sz="12" w:space="0" w:color="auto"/>
              <w:bottom w:val="single" w:sz="4" w:space="0" w:color="auto"/>
            </w:tcBorders>
            <w:vAlign w:val="center"/>
          </w:tcPr>
          <w:p w14:paraId="688A0DB0"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Al</w:t>
            </w:r>
            <w:r w:rsidRPr="00735B94">
              <w:rPr>
                <w:color w:val="000000" w:themeColor="text1"/>
                <w:szCs w:val="21"/>
                <w:vertAlign w:val="subscript"/>
                <w14:ligatures w14:val="standardContextual"/>
              </w:rPr>
              <w:t>2</w:t>
            </w:r>
            <w:r w:rsidRPr="00735B94">
              <w:rPr>
                <w:color w:val="000000" w:themeColor="text1"/>
                <w:szCs w:val="21"/>
                <w14:ligatures w14:val="standardContextual"/>
              </w:rPr>
              <w:t>O</w:t>
            </w:r>
            <w:r w:rsidRPr="00735B94">
              <w:rPr>
                <w:color w:val="000000" w:themeColor="text1"/>
                <w:szCs w:val="21"/>
                <w:vertAlign w:val="subscript"/>
                <w14:ligatures w14:val="standardContextual"/>
              </w:rPr>
              <w:t>3</w:t>
            </w:r>
          </w:p>
        </w:tc>
        <w:tc>
          <w:tcPr>
            <w:tcW w:w="509" w:type="pct"/>
            <w:tcBorders>
              <w:top w:val="single" w:sz="12" w:space="0" w:color="auto"/>
              <w:bottom w:val="single" w:sz="4" w:space="0" w:color="auto"/>
            </w:tcBorders>
            <w:vAlign w:val="center"/>
          </w:tcPr>
          <w:p w14:paraId="133BF6D3"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Fe</w:t>
            </w:r>
            <w:r w:rsidRPr="00735B94">
              <w:rPr>
                <w:color w:val="000000" w:themeColor="text1"/>
                <w:szCs w:val="21"/>
                <w:vertAlign w:val="subscript"/>
                <w14:ligatures w14:val="standardContextual"/>
              </w:rPr>
              <w:t>2</w:t>
            </w:r>
            <w:r w:rsidRPr="00735B94">
              <w:rPr>
                <w:color w:val="000000" w:themeColor="text1"/>
                <w:szCs w:val="21"/>
                <w14:ligatures w14:val="standardContextual"/>
              </w:rPr>
              <w:t>O</w:t>
            </w:r>
            <w:r w:rsidRPr="00735B94">
              <w:rPr>
                <w:color w:val="000000" w:themeColor="text1"/>
                <w:szCs w:val="21"/>
                <w:vertAlign w:val="subscript"/>
                <w14:ligatures w14:val="standardContextual"/>
              </w:rPr>
              <w:t>3</w:t>
            </w:r>
          </w:p>
        </w:tc>
        <w:tc>
          <w:tcPr>
            <w:tcW w:w="432" w:type="pct"/>
            <w:tcBorders>
              <w:top w:val="single" w:sz="12" w:space="0" w:color="auto"/>
              <w:bottom w:val="single" w:sz="4" w:space="0" w:color="auto"/>
            </w:tcBorders>
            <w:vAlign w:val="center"/>
          </w:tcPr>
          <w:p w14:paraId="7E78C6FA"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SO</w:t>
            </w:r>
            <w:r w:rsidRPr="00735B94">
              <w:rPr>
                <w:color w:val="000000" w:themeColor="text1"/>
                <w:szCs w:val="21"/>
                <w:vertAlign w:val="subscript"/>
                <w14:ligatures w14:val="standardContextual"/>
              </w:rPr>
              <w:t>3</w:t>
            </w:r>
          </w:p>
        </w:tc>
        <w:tc>
          <w:tcPr>
            <w:tcW w:w="486" w:type="pct"/>
            <w:tcBorders>
              <w:top w:val="single" w:sz="12" w:space="0" w:color="auto"/>
              <w:bottom w:val="single" w:sz="4" w:space="0" w:color="auto"/>
            </w:tcBorders>
            <w:vAlign w:val="center"/>
          </w:tcPr>
          <w:p w14:paraId="7A766C36"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MgO</w:t>
            </w:r>
          </w:p>
        </w:tc>
        <w:tc>
          <w:tcPr>
            <w:tcW w:w="438" w:type="pct"/>
            <w:tcBorders>
              <w:top w:val="single" w:sz="12" w:space="0" w:color="auto"/>
              <w:bottom w:val="single" w:sz="4" w:space="0" w:color="auto"/>
            </w:tcBorders>
            <w:vAlign w:val="center"/>
          </w:tcPr>
          <w:p w14:paraId="2C225C83"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K</w:t>
            </w:r>
            <w:r w:rsidRPr="00735B94">
              <w:rPr>
                <w:color w:val="000000" w:themeColor="text1"/>
                <w:szCs w:val="21"/>
                <w:vertAlign w:val="subscript"/>
                <w14:ligatures w14:val="standardContextual"/>
              </w:rPr>
              <w:t>2</w:t>
            </w:r>
            <w:r w:rsidRPr="00735B94">
              <w:rPr>
                <w:color w:val="000000" w:themeColor="text1"/>
                <w:szCs w:val="21"/>
                <w14:ligatures w14:val="standardContextual"/>
              </w:rPr>
              <w:t>O</w:t>
            </w:r>
          </w:p>
        </w:tc>
        <w:tc>
          <w:tcPr>
            <w:tcW w:w="424" w:type="pct"/>
            <w:tcBorders>
              <w:top w:val="single" w:sz="12" w:space="0" w:color="auto"/>
              <w:bottom w:val="single" w:sz="4" w:space="0" w:color="auto"/>
            </w:tcBorders>
            <w:vAlign w:val="center"/>
          </w:tcPr>
          <w:p w14:paraId="3D43E209" w14:textId="77777777" w:rsidR="005E0F90" w:rsidRPr="00735B94" w:rsidRDefault="005E0F90" w:rsidP="00735B94">
            <w:pPr>
              <w:widowControl/>
              <w:adjustRightInd w:val="0"/>
              <w:snapToGrid w:val="0"/>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LOI</w:t>
            </w:r>
          </w:p>
        </w:tc>
      </w:tr>
      <w:tr w:rsidR="005E0F90" w:rsidRPr="005E0F90" w14:paraId="5E8C7713" w14:textId="77777777" w:rsidTr="009C1F39">
        <w:trPr>
          <w:trHeight w:val="353"/>
        </w:trPr>
        <w:tc>
          <w:tcPr>
            <w:tcW w:w="1344" w:type="pct"/>
            <w:tcBorders>
              <w:top w:val="single" w:sz="4" w:space="0" w:color="auto"/>
              <w:bottom w:val="single" w:sz="12" w:space="0" w:color="auto"/>
            </w:tcBorders>
            <w:vAlign w:val="center"/>
          </w:tcPr>
          <w:p w14:paraId="5F45B01D"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Content</w:t>
            </w:r>
            <w:r w:rsidRPr="00735B94">
              <w:rPr>
                <w:color w:val="000000" w:themeColor="text1"/>
                <w:szCs w:val="21"/>
                <w14:ligatures w14:val="standardContextual"/>
              </w:rPr>
              <w:t>/%</w:t>
            </w:r>
          </w:p>
        </w:tc>
        <w:tc>
          <w:tcPr>
            <w:tcW w:w="427" w:type="pct"/>
            <w:tcBorders>
              <w:top w:val="single" w:sz="4" w:space="0" w:color="auto"/>
              <w:bottom w:val="single" w:sz="12" w:space="0" w:color="auto"/>
            </w:tcBorders>
            <w:vAlign w:val="center"/>
          </w:tcPr>
          <w:p w14:paraId="0F82223A" w14:textId="30F69C51" w:rsidR="005E0F90" w:rsidRPr="00735B94" w:rsidRDefault="00B83B99"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61</w:t>
            </w:r>
            <w:r w:rsidR="005E0F90" w:rsidRPr="00735B94">
              <w:rPr>
                <w:color w:val="000000" w:themeColor="text1"/>
                <w:szCs w:val="21"/>
                <w14:ligatures w14:val="standardContextual"/>
              </w:rPr>
              <w:t>.</w:t>
            </w:r>
            <w:r w:rsidR="005E0F90" w:rsidRPr="00735B94">
              <w:rPr>
                <w:rFonts w:hint="eastAsia"/>
                <w:color w:val="000000" w:themeColor="text1"/>
                <w:szCs w:val="21"/>
                <w14:ligatures w14:val="standardContextual"/>
              </w:rPr>
              <w:t>26</w:t>
            </w:r>
          </w:p>
        </w:tc>
        <w:tc>
          <w:tcPr>
            <w:tcW w:w="395" w:type="pct"/>
            <w:tcBorders>
              <w:top w:val="single" w:sz="4" w:space="0" w:color="auto"/>
              <w:bottom w:val="single" w:sz="12" w:space="0" w:color="auto"/>
            </w:tcBorders>
            <w:vAlign w:val="center"/>
          </w:tcPr>
          <w:p w14:paraId="0E67CECF" w14:textId="0F7CC7C4" w:rsidR="005E0F90" w:rsidRPr="00735B94" w:rsidRDefault="00B83B99"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1</w:t>
            </w:r>
            <w:r w:rsidR="005E0F90" w:rsidRPr="00735B94">
              <w:rPr>
                <w:color w:val="000000" w:themeColor="text1"/>
                <w:szCs w:val="21"/>
                <w14:ligatures w14:val="standardContextual"/>
              </w:rPr>
              <w:t>.</w:t>
            </w:r>
            <w:r w:rsidR="005E0F90" w:rsidRPr="00735B94">
              <w:rPr>
                <w:rFonts w:hint="eastAsia"/>
                <w:color w:val="000000" w:themeColor="text1"/>
                <w:szCs w:val="21"/>
                <w14:ligatures w14:val="standardContextual"/>
              </w:rPr>
              <w:t>43</w:t>
            </w:r>
          </w:p>
        </w:tc>
        <w:tc>
          <w:tcPr>
            <w:tcW w:w="542" w:type="pct"/>
            <w:tcBorders>
              <w:top w:val="single" w:sz="4" w:space="0" w:color="auto"/>
              <w:bottom w:val="single" w:sz="12" w:space="0" w:color="auto"/>
            </w:tcBorders>
            <w:vAlign w:val="center"/>
          </w:tcPr>
          <w:p w14:paraId="3F759678" w14:textId="1483A7BB" w:rsidR="005E0F90" w:rsidRPr="00735B94" w:rsidRDefault="00B83B99"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31</w:t>
            </w:r>
            <w:r w:rsidR="005E0F90" w:rsidRPr="00735B94">
              <w:rPr>
                <w:color w:val="000000" w:themeColor="text1"/>
                <w:szCs w:val="21"/>
                <w14:ligatures w14:val="standardContextual"/>
              </w:rPr>
              <w:t>.</w:t>
            </w:r>
            <w:r w:rsidRPr="00735B94">
              <w:rPr>
                <w:rFonts w:hint="eastAsia"/>
                <w:color w:val="000000" w:themeColor="text1"/>
                <w:szCs w:val="21"/>
                <w14:ligatures w14:val="standardContextual"/>
              </w:rPr>
              <w:t>54</w:t>
            </w:r>
          </w:p>
        </w:tc>
        <w:tc>
          <w:tcPr>
            <w:tcW w:w="509" w:type="pct"/>
            <w:tcBorders>
              <w:top w:val="single" w:sz="4" w:space="0" w:color="auto"/>
              <w:bottom w:val="single" w:sz="12" w:space="0" w:color="auto"/>
            </w:tcBorders>
            <w:vAlign w:val="center"/>
          </w:tcPr>
          <w:p w14:paraId="1D1A4712" w14:textId="1C3DA025" w:rsidR="005E0F90" w:rsidRPr="00735B94" w:rsidRDefault="00B83B99"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3.21</w:t>
            </w:r>
          </w:p>
        </w:tc>
        <w:tc>
          <w:tcPr>
            <w:tcW w:w="432" w:type="pct"/>
            <w:tcBorders>
              <w:top w:val="single" w:sz="4" w:space="0" w:color="auto"/>
              <w:bottom w:val="single" w:sz="12" w:space="0" w:color="auto"/>
            </w:tcBorders>
            <w:vAlign w:val="center"/>
          </w:tcPr>
          <w:p w14:paraId="14255056" w14:textId="03910FBE"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0.</w:t>
            </w:r>
            <w:r w:rsidR="00B83B99" w:rsidRPr="00735B94">
              <w:rPr>
                <w:rFonts w:hint="eastAsia"/>
                <w:color w:val="000000" w:themeColor="text1"/>
                <w:szCs w:val="21"/>
                <w14:ligatures w14:val="standardContextual"/>
              </w:rPr>
              <w:t>42</w:t>
            </w:r>
          </w:p>
        </w:tc>
        <w:tc>
          <w:tcPr>
            <w:tcW w:w="486" w:type="pct"/>
            <w:tcBorders>
              <w:top w:val="single" w:sz="4" w:space="0" w:color="auto"/>
              <w:bottom w:val="single" w:sz="12" w:space="0" w:color="auto"/>
            </w:tcBorders>
            <w:vAlign w:val="center"/>
          </w:tcPr>
          <w:p w14:paraId="7687C210" w14:textId="602FC1D6"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0.</w:t>
            </w:r>
            <w:r w:rsidR="00B83B99" w:rsidRPr="00735B94">
              <w:rPr>
                <w:rFonts w:hint="eastAsia"/>
                <w:color w:val="000000" w:themeColor="text1"/>
                <w:szCs w:val="21"/>
                <w14:ligatures w14:val="standardContextual"/>
              </w:rPr>
              <w:t>46</w:t>
            </w:r>
          </w:p>
        </w:tc>
        <w:tc>
          <w:tcPr>
            <w:tcW w:w="438" w:type="pct"/>
            <w:tcBorders>
              <w:top w:val="single" w:sz="4" w:space="0" w:color="auto"/>
              <w:bottom w:val="single" w:sz="12" w:space="0" w:color="auto"/>
            </w:tcBorders>
            <w:vAlign w:val="center"/>
          </w:tcPr>
          <w:p w14:paraId="512CE350"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0.7</w:t>
            </w:r>
            <w:r w:rsidRPr="00735B94">
              <w:rPr>
                <w:rFonts w:hint="eastAsia"/>
                <w:color w:val="000000" w:themeColor="text1"/>
                <w:szCs w:val="21"/>
                <w14:ligatures w14:val="standardContextual"/>
              </w:rPr>
              <w:t>4</w:t>
            </w:r>
          </w:p>
        </w:tc>
        <w:tc>
          <w:tcPr>
            <w:tcW w:w="424" w:type="pct"/>
            <w:tcBorders>
              <w:top w:val="single" w:sz="4" w:space="0" w:color="auto"/>
              <w:bottom w:val="single" w:sz="12" w:space="0" w:color="auto"/>
            </w:tcBorders>
            <w:vAlign w:val="center"/>
          </w:tcPr>
          <w:p w14:paraId="42194582" w14:textId="4963BEFF" w:rsidR="005E0F90" w:rsidRPr="00735B94" w:rsidRDefault="005E0F90" w:rsidP="00735B94">
            <w:pPr>
              <w:widowControl/>
              <w:adjustRightInd w:val="0"/>
              <w:snapToGrid w:val="0"/>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0.</w:t>
            </w:r>
            <w:r w:rsidR="00B83B99" w:rsidRPr="00735B94">
              <w:rPr>
                <w:rFonts w:hint="eastAsia"/>
                <w:color w:val="000000" w:themeColor="text1"/>
                <w:szCs w:val="21"/>
                <w14:ligatures w14:val="standardContextual"/>
              </w:rPr>
              <w:t>94</w:t>
            </w:r>
          </w:p>
        </w:tc>
      </w:tr>
    </w:tbl>
    <w:p w14:paraId="7D8A2266" w14:textId="4710947B" w:rsidR="005E0F90" w:rsidRDefault="005E0F90" w:rsidP="00735B94">
      <w:pPr>
        <w:widowControl/>
        <w:adjustRightInd w:val="0"/>
        <w:snapToGrid w:val="0"/>
        <w:jc w:val="center"/>
        <w:rPr>
          <w:rFonts w:ascii="Times New Roman" w:hAnsi="Times New Roman" w:cs="Times New Roman"/>
          <w:color w:val="000000" w:themeColor="text1"/>
          <w:szCs w:val="21"/>
          <w14:ligatures w14:val="standardContextual"/>
        </w:rPr>
      </w:pPr>
      <w:r w:rsidRPr="00735B94">
        <w:rPr>
          <w:rFonts w:ascii="Times New Roman" w:hAnsi="Times New Roman" w:cs="Times New Roman"/>
          <w:color w:val="000000" w:themeColor="text1"/>
          <w:szCs w:val="21"/>
          <w14:ligatures w14:val="standardContextual"/>
        </w:rPr>
        <w:t xml:space="preserve">Table. </w:t>
      </w:r>
      <w:r w:rsidRPr="00735B94">
        <w:rPr>
          <w:rFonts w:ascii="Times New Roman" w:hAnsi="Times New Roman" w:cs="Times New Roman" w:hint="eastAsia"/>
          <w:color w:val="000000" w:themeColor="text1"/>
          <w:szCs w:val="21"/>
          <w14:ligatures w14:val="standardContextual"/>
        </w:rPr>
        <w:t>1</w:t>
      </w:r>
      <w:r w:rsidRPr="00735B94">
        <w:rPr>
          <w:rFonts w:ascii="Times New Roman" w:hAnsi="Times New Roman" w:cs="Times New Roman"/>
          <w:color w:val="000000" w:themeColor="text1"/>
          <w:szCs w:val="21"/>
          <w14:ligatures w14:val="standardContextual"/>
        </w:rPr>
        <w:t xml:space="preserve"> Chemical composition of </w:t>
      </w:r>
      <w:r w:rsidRPr="00735B94">
        <w:rPr>
          <w:rFonts w:ascii="Times New Roman" w:hAnsi="Times New Roman" w:cs="Times New Roman" w:hint="eastAsia"/>
          <w:color w:val="000000" w:themeColor="text1"/>
          <w:szCs w:val="21"/>
          <w14:ligatures w14:val="standardContextual"/>
        </w:rPr>
        <w:t>f</w:t>
      </w:r>
      <w:r w:rsidRPr="00735B94">
        <w:rPr>
          <w:rFonts w:ascii="Times New Roman" w:hAnsi="Times New Roman" w:cs="Times New Roman"/>
          <w:color w:val="000000" w:themeColor="text1"/>
          <w:szCs w:val="21"/>
          <w14:ligatures w14:val="standardContextual"/>
        </w:rPr>
        <w:t xml:space="preserve">ly </w:t>
      </w:r>
      <w:r w:rsidRPr="00735B94">
        <w:rPr>
          <w:rFonts w:ascii="Times New Roman" w:hAnsi="Times New Roman" w:cs="Times New Roman" w:hint="eastAsia"/>
          <w:color w:val="000000" w:themeColor="text1"/>
          <w:szCs w:val="21"/>
          <w14:ligatures w14:val="standardContextual"/>
        </w:rPr>
        <w:t>a</w:t>
      </w:r>
      <w:r w:rsidRPr="00735B94">
        <w:rPr>
          <w:rFonts w:ascii="Times New Roman" w:hAnsi="Times New Roman" w:cs="Times New Roman"/>
          <w:color w:val="000000" w:themeColor="text1"/>
          <w:szCs w:val="21"/>
          <w14:ligatures w14:val="standardContextual"/>
        </w:rPr>
        <w:t>sh</w:t>
      </w:r>
    </w:p>
    <w:p w14:paraId="107336F9" w14:textId="77777777" w:rsidR="00735B94" w:rsidRPr="00735B94" w:rsidRDefault="00735B94" w:rsidP="00735B94">
      <w:pPr>
        <w:widowControl/>
        <w:adjustRightInd w:val="0"/>
        <w:snapToGrid w:val="0"/>
        <w:jc w:val="center"/>
        <w:rPr>
          <w:rFonts w:ascii="Times New Roman" w:hAnsi="Times New Roman" w:cs="Times New Roman"/>
          <w:color w:val="000000" w:themeColor="text1"/>
          <w:szCs w:val="21"/>
          <w14:ligatures w14:val="standardContextual"/>
        </w:rPr>
      </w:pPr>
    </w:p>
    <w:tbl>
      <w:tblPr>
        <w:tblW w:w="5000" w:type="pct"/>
        <w:tblBorders>
          <w:top w:val="single" w:sz="4" w:space="0" w:color="auto"/>
        </w:tblBorders>
        <w:tblLook w:val="04A0" w:firstRow="1" w:lastRow="0" w:firstColumn="1" w:lastColumn="0" w:noHBand="0" w:noVBand="1"/>
      </w:tblPr>
      <w:tblGrid>
        <w:gridCol w:w="3751"/>
        <w:gridCol w:w="2968"/>
        <w:gridCol w:w="3361"/>
      </w:tblGrid>
      <w:tr w:rsidR="005E0F90" w:rsidRPr="005E0F90" w14:paraId="1EF89CDC" w14:textId="77777777" w:rsidTr="009C1F39">
        <w:trPr>
          <w:trHeight w:val="365"/>
        </w:trPr>
        <w:tc>
          <w:tcPr>
            <w:tcW w:w="1861" w:type="pct"/>
            <w:tcBorders>
              <w:top w:val="single" w:sz="12" w:space="0" w:color="auto"/>
              <w:bottom w:val="single" w:sz="4" w:space="0" w:color="auto"/>
            </w:tcBorders>
            <w:vAlign w:val="center"/>
          </w:tcPr>
          <w:p w14:paraId="37569FF6"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Performance Index</w:t>
            </w:r>
          </w:p>
        </w:tc>
        <w:tc>
          <w:tcPr>
            <w:tcW w:w="1472" w:type="pct"/>
            <w:tcBorders>
              <w:top w:val="single" w:sz="12" w:space="0" w:color="auto"/>
              <w:bottom w:val="single" w:sz="4" w:space="0" w:color="auto"/>
            </w:tcBorders>
            <w:vAlign w:val="center"/>
          </w:tcPr>
          <w:p w14:paraId="1143726B"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Standard Value (Grade II)</w:t>
            </w:r>
          </w:p>
        </w:tc>
        <w:tc>
          <w:tcPr>
            <w:tcW w:w="1667" w:type="pct"/>
            <w:tcBorders>
              <w:top w:val="single" w:sz="12" w:space="0" w:color="auto"/>
              <w:bottom w:val="single" w:sz="4" w:space="0" w:color="auto"/>
            </w:tcBorders>
            <w:vAlign w:val="center"/>
          </w:tcPr>
          <w:p w14:paraId="63892260"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Measured Value</w:t>
            </w:r>
          </w:p>
        </w:tc>
      </w:tr>
      <w:tr w:rsidR="005E0F90" w:rsidRPr="005E0F90" w14:paraId="67CFF75B" w14:textId="77777777" w:rsidTr="009C1F39">
        <w:trPr>
          <w:trHeight w:val="365"/>
        </w:trPr>
        <w:tc>
          <w:tcPr>
            <w:tcW w:w="1861" w:type="pct"/>
            <w:tcBorders>
              <w:top w:val="single" w:sz="4" w:space="0" w:color="auto"/>
            </w:tcBorders>
            <w:vAlign w:val="center"/>
          </w:tcPr>
          <w:p w14:paraId="42A6718C"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 xml:space="preserve">Density </w:t>
            </w:r>
            <w:r w:rsidRPr="00735B94">
              <w:rPr>
                <w:color w:val="000000" w:themeColor="text1"/>
                <w:szCs w:val="21"/>
                <w14:ligatures w14:val="standardContextual"/>
              </w:rPr>
              <w:t>/（g/cm3）</w:t>
            </w:r>
          </w:p>
        </w:tc>
        <w:tc>
          <w:tcPr>
            <w:tcW w:w="1472" w:type="pct"/>
            <w:tcBorders>
              <w:top w:val="single" w:sz="4" w:space="0" w:color="auto"/>
            </w:tcBorders>
            <w:vAlign w:val="center"/>
          </w:tcPr>
          <w:p w14:paraId="065EE898"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≤2.6</w:t>
            </w:r>
          </w:p>
        </w:tc>
        <w:tc>
          <w:tcPr>
            <w:tcW w:w="1667" w:type="pct"/>
            <w:tcBorders>
              <w:top w:val="single" w:sz="4" w:space="0" w:color="auto"/>
            </w:tcBorders>
            <w:vAlign w:val="center"/>
          </w:tcPr>
          <w:p w14:paraId="020DD5CE" w14:textId="172346AA"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2.</w:t>
            </w:r>
            <w:r w:rsidR="00B83B99" w:rsidRPr="00735B94">
              <w:rPr>
                <w:rFonts w:hint="eastAsia"/>
                <w:color w:val="000000" w:themeColor="text1"/>
                <w:szCs w:val="21"/>
                <w14:ligatures w14:val="standardContextual"/>
              </w:rPr>
              <w:t>2</w:t>
            </w:r>
          </w:p>
        </w:tc>
      </w:tr>
      <w:tr w:rsidR="005E0F90" w:rsidRPr="005E0F90" w14:paraId="425D8D5F" w14:textId="77777777" w:rsidTr="009C1F39">
        <w:trPr>
          <w:trHeight w:val="374"/>
        </w:trPr>
        <w:tc>
          <w:tcPr>
            <w:tcW w:w="1861" w:type="pct"/>
            <w:tcBorders>
              <w:bottom w:val="nil"/>
            </w:tcBorders>
            <w:vAlign w:val="center"/>
          </w:tcPr>
          <w:p w14:paraId="30514EC1"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Activity Index</w:t>
            </w:r>
            <w:r w:rsidRPr="00735B94">
              <w:rPr>
                <w:color w:val="000000" w:themeColor="text1"/>
                <w:szCs w:val="21"/>
                <w14:ligatures w14:val="standardContextual"/>
              </w:rPr>
              <w:t>/%</w:t>
            </w:r>
          </w:p>
        </w:tc>
        <w:tc>
          <w:tcPr>
            <w:tcW w:w="1472" w:type="pct"/>
            <w:tcBorders>
              <w:bottom w:val="nil"/>
            </w:tcBorders>
            <w:vAlign w:val="center"/>
          </w:tcPr>
          <w:p w14:paraId="3A4713C9"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≥70.0</w:t>
            </w:r>
          </w:p>
        </w:tc>
        <w:tc>
          <w:tcPr>
            <w:tcW w:w="1667" w:type="pct"/>
            <w:tcBorders>
              <w:bottom w:val="nil"/>
            </w:tcBorders>
            <w:vAlign w:val="center"/>
          </w:tcPr>
          <w:p w14:paraId="53CEDF68" w14:textId="156BF728"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8</w:t>
            </w:r>
            <w:r w:rsidR="00B83B99" w:rsidRPr="00735B94">
              <w:rPr>
                <w:rFonts w:hint="eastAsia"/>
                <w:color w:val="000000" w:themeColor="text1"/>
                <w:szCs w:val="21"/>
                <w14:ligatures w14:val="standardContextual"/>
              </w:rPr>
              <w:t>7</w:t>
            </w:r>
            <w:r w:rsidRPr="00735B94">
              <w:rPr>
                <w:color w:val="000000" w:themeColor="text1"/>
                <w:szCs w:val="21"/>
                <w14:ligatures w14:val="standardContextual"/>
              </w:rPr>
              <w:t>.4</w:t>
            </w:r>
          </w:p>
        </w:tc>
      </w:tr>
      <w:tr w:rsidR="005E0F90" w:rsidRPr="005E0F90" w14:paraId="3169323D" w14:textId="77777777" w:rsidTr="009C1F39">
        <w:trPr>
          <w:trHeight w:val="365"/>
        </w:trPr>
        <w:tc>
          <w:tcPr>
            <w:tcW w:w="1861" w:type="pct"/>
            <w:tcBorders>
              <w:top w:val="nil"/>
              <w:bottom w:val="nil"/>
            </w:tcBorders>
            <w:vAlign w:val="center"/>
          </w:tcPr>
          <w:p w14:paraId="1A054144"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Fineness (45 µm sieve residue, %)</w:t>
            </w:r>
            <w:r w:rsidRPr="00735B94">
              <w:rPr>
                <w:color w:val="000000" w:themeColor="text1"/>
                <w:szCs w:val="21"/>
                <w14:ligatures w14:val="standardContextual"/>
              </w:rPr>
              <w:t>/%</w:t>
            </w:r>
          </w:p>
        </w:tc>
        <w:tc>
          <w:tcPr>
            <w:tcW w:w="1472" w:type="pct"/>
            <w:tcBorders>
              <w:top w:val="nil"/>
              <w:bottom w:val="nil"/>
            </w:tcBorders>
            <w:vAlign w:val="center"/>
          </w:tcPr>
          <w:p w14:paraId="56A599AE"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≤30.0</w:t>
            </w:r>
          </w:p>
        </w:tc>
        <w:tc>
          <w:tcPr>
            <w:tcW w:w="1667" w:type="pct"/>
            <w:tcBorders>
              <w:top w:val="nil"/>
              <w:bottom w:val="nil"/>
            </w:tcBorders>
            <w:vAlign w:val="center"/>
          </w:tcPr>
          <w:p w14:paraId="2A058918" w14:textId="094C616B"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18.</w:t>
            </w:r>
            <w:r w:rsidR="00B83B99" w:rsidRPr="00735B94">
              <w:rPr>
                <w:rFonts w:hint="eastAsia"/>
                <w:color w:val="000000" w:themeColor="text1"/>
                <w:szCs w:val="21"/>
                <w14:ligatures w14:val="standardContextual"/>
              </w:rPr>
              <w:t>3</w:t>
            </w:r>
          </w:p>
        </w:tc>
      </w:tr>
      <w:tr w:rsidR="005E0F90" w:rsidRPr="005E0F90" w14:paraId="17597853" w14:textId="77777777" w:rsidTr="009C1F39">
        <w:trPr>
          <w:trHeight w:val="326"/>
        </w:trPr>
        <w:tc>
          <w:tcPr>
            <w:tcW w:w="1861" w:type="pct"/>
            <w:tcBorders>
              <w:top w:val="nil"/>
              <w:bottom w:val="single" w:sz="12" w:space="0" w:color="auto"/>
            </w:tcBorders>
            <w:vAlign w:val="center"/>
          </w:tcPr>
          <w:p w14:paraId="2BB923CE"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Loss on Ignition（LOI）</w:t>
            </w:r>
            <w:r w:rsidRPr="00735B94">
              <w:rPr>
                <w:color w:val="000000" w:themeColor="text1"/>
                <w:szCs w:val="21"/>
                <w14:ligatures w14:val="standardContextual"/>
              </w:rPr>
              <w:t>/%</w:t>
            </w:r>
          </w:p>
        </w:tc>
        <w:tc>
          <w:tcPr>
            <w:tcW w:w="1472" w:type="pct"/>
            <w:tcBorders>
              <w:top w:val="nil"/>
              <w:bottom w:val="single" w:sz="12" w:space="0" w:color="auto"/>
            </w:tcBorders>
            <w:vAlign w:val="center"/>
          </w:tcPr>
          <w:p w14:paraId="789F60E9" w14:textId="77777777"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≤8.0</w:t>
            </w:r>
          </w:p>
        </w:tc>
        <w:tc>
          <w:tcPr>
            <w:tcW w:w="1667" w:type="pct"/>
            <w:tcBorders>
              <w:top w:val="nil"/>
              <w:bottom w:val="single" w:sz="12" w:space="0" w:color="auto"/>
            </w:tcBorders>
            <w:vAlign w:val="center"/>
          </w:tcPr>
          <w:p w14:paraId="1555CB00" w14:textId="46752F1C" w:rsidR="005E0F90" w:rsidRPr="00735B94" w:rsidRDefault="005E0F90" w:rsidP="00735B94">
            <w:pPr>
              <w:widowControl/>
              <w:spacing w:before="100" w:beforeAutospacing="1" w:line="300" w:lineRule="auto"/>
              <w:jc w:val="center"/>
              <w:rPr>
                <w:color w:val="000000" w:themeColor="text1"/>
                <w:szCs w:val="21"/>
                <w14:ligatures w14:val="standardContextual"/>
              </w:rPr>
            </w:pPr>
            <w:r w:rsidRPr="00735B94">
              <w:rPr>
                <w:color w:val="000000" w:themeColor="text1"/>
                <w:szCs w:val="21"/>
                <w14:ligatures w14:val="standardContextual"/>
              </w:rPr>
              <w:t>5.</w:t>
            </w:r>
            <w:r w:rsidR="00B83B99" w:rsidRPr="00735B94">
              <w:rPr>
                <w:rFonts w:hint="eastAsia"/>
                <w:color w:val="000000" w:themeColor="text1"/>
                <w:szCs w:val="21"/>
                <w14:ligatures w14:val="standardContextual"/>
              </w:rPr>
              <w:t>1</w:t>
            </w:r>
          </w:p>
        </w:tc>
      </w:tr>
    </w:tbl>
    <w:p w14:paraId="5E69B9E7" w14:textId="77777777" w:rsidR="005E0F90" w:rsidRPr="00735B94" w:rsidRDefault="005E0F90" w:rsidP="00735B94">
      <w:pPr>
        <w:widowControl/>
        <w:adjustRightInd w:val="0"/>
        <w:snapToGrid w:val="0"/>
        <w:jc w:val="center"/>
        <w:rPr>
          <w:rFonts w:ascii="Times New Roman" w:hAnsi="Times New Roman" w:cs="Times New Roman"/>
          <w:color w:val="000000" w:themeColor="text1"/>
          <w:szCs w:val="21"/>
          <w14:ligatures w14:val="standardContextual"/>
        </w:rPr>
      </w:pPr>
      <w:r w:rsidRPr="00735B94">
        <w:rPr>
          <w:rFonts w:ascii="Times New Roman" w:hAnsi="Times New Roman" w:cs="Times New Roman"/>
          <w:color w:val="000000" w:themeColor="text1"/>
          <w:szCs w:val="21"/>
          <w14:ligatures w14:val="standardContextual"/>
        </w:rPr>
        <w:t>Table. 2Performance index of fly ash</w:t>
      </w:r>
    </w:p>
    <w:p w14:paraId="797E1C6B" w14:textId="77777777" w:rsidR="00AF194E" w:rsidRDefault="00AF194E" w:rsidP="00AF194E">
      <w:pPr>
        <w:adjustRightInd w:val="0"/>
        <w:snapToGrid w:val="0"/>
        <w:spacing w:line="300" w:lineRule="auto"/>
        <w:rPr>
          <w:rFonts w:ascii="Times New Roman" w:hAnsi="Times New Roman" w:cs="Times New Roman"/>
          <w:color w:val="000000" w:themeColor="text1"/>
          <w:szCs w:val="21"/>
        </w:rPr>
      </w:pPr>
    </w:p>
    <w:p w14:paraId="7DAE089F" w14:textId="17963BBA" w:rsidR="00AF194E" w:rsidRDefault="005E0F90" w:rsidP="00AF194E">
      <w:pPr>
        <w:adjustRightInd w:val="0"/>
        <w:snapToGrid w:val="0"/>
        <w:spacing w:line="300" w:lineRule="auto"/>
        <w:rPr>
          <w:rFonts w:ascii="Times New Roman" w:hAnsi="Times New Roman" w:cs="Times New Roman"/>
          <w:color w:val="000000" w:themeColor="text1"/>
          <w:szCs w:val="21"/>
        </w:rPr>
      </w:pPr>
      <w:r w:rsidRPr="00AF194E">
        <w:rPr>
          <w:rFonts w:ascii="Times New Roman" w:hAnsi="Times New Roman" w:cs="Times New Roman" w:hint="eastAsia"/>
          <w:color w:val="000000" w:themeColor="text1"/>
          <w:szCs w:val="21"/>
        </w:rPr>
        <w:t>（</w:t>
      </w:r>
      <w:r w:rsidRPr="005D0C9F">
        <w:rPr>
          <w:rFonts w:ascii="Times New Roman" w:hAnsi="Times New Roman" w:cs="Times New Roman" w:hint="eastAsia"/>
          <w:color w:val="000000" w:themeColor="text1"/>
          <w:szCs w:val="21"/>
        </w:rPr>
        <w:t>2</w:t>
      </w:r>
      <w:r w:rsidRPr="005D0C9F">
        <w:rPr>
          <w:rFonts w:ascii="Times New Roman" w:hAnsi="Times New Roman" w:cs="Times New Roman" w:hint="eastAsia"/>
          <w:color w:val="000000" w:themeColor="text1"/>
          <w:szCs w:val="21"/>
        </w:rPr>
        <w:t>）</w:t>
      </w:r>
      <w:r w:rsidRPr="005D0C9F">
        <w:rPr>
          <w:rFonts w:ascii="Times New Roman" w:hAnsi="Times New Roman" w:cs="Times New Roman"/>
          <w:color w:val="000000" w:themeColor="text1"/>
          <w:szCs w:val="21"/>
        </w:rPr>
        <w:t>Granulated Blast Furnace Slag Powder</w:t>
      </w:r>
    </w:p>
    <w:p w14:paraId="2EAB7915" w14:textId="3E271DC6" w:rsidR="005E0F90" w:rsidRDefault="005E0F90" w:rsidP="00AF194E">
      <w:pPr>
        <w:adjustRightInd w:val="0"/>
        <w:snapToGrid w:val="0"/>
        <w:spacing w:line="300" w:lineRule="auto"/>
        <w:ind w:firstLineChars="200" w:firstLine="420"/>
        <w:rPr>
          <w:rFonts w:ascii="Times New Roman" w:hAnsi="Times New Roman" w:cs="Times New Roman"/>
          <w:color w:val="000000" w:themeColor="text1"/>
          <w:szCs w:val="21"/>
        </w:rPr>
      </w:pPr>
      <w:r w:rsidRPr="005D0C9F">
        <w:rPr>
          <w:rFonts w:ascii="Times New Roman" w:hAnsi="Times New Roman" w:cs="Times New Roman"/>
          <w:color w:val="000000" w:themeColor="text1"/>
          <w:szCs w:val="21"/>
        </w:rPr>
        <w:t xml:space="preserve">The granulated blast furnace slag powder (abbreviated as GGBFS) is S95-grade. According to the standard "Granulated Blast Furnace Slag Powder for Cement and Concrete" (GB/T 18046-2017), its performance indicators meet </w:t>
      </w:r>
      <w:r w:rsidRPr="005D0C9F">
        <w:rPr>
          <w:rFonts w:ascii="Times New Roman" w:hAnsi="Times New Roman" w:cs="Times New Roman"/>
          <w:color w:val="000000" w:themeColor="text1"/>
          <w:szCs w:val="21"/>
        </w:rPr>
        <w:lastRenderedPageBreak/>
        <w:t>the requirements for S95-grade slag powder. The test results are shown in Table 3.</w:t>
      </w:r>
    </w:p>
    <w:p w14:paraId="46B87BBD" w14:textId="77777777" w:rsidR="005D0C9F" w:rsidRPr="005D0C9F" w:rsidRDefault="005D0C9F" w:rsidP="005D0C9F">
      <w:pPr>
        <w:adjustRightInd w:val="0"/>
        <w:snapToGrid w:val="0"/>
        <w:spacing w:line="300" w:lineRule="auto"/>
        <w:rPr>
          <w:rFonts w:ascii="Times New Roman" w:hAnsi="Times New Roman" w:cs="Times New Roman"/>
          <w:color w:val="000000" w:themeColor="text1"/>
          <w:szCs w:val="21"/>
        </w:rPr>
      </w:pPr>
    </w:p>
    <w:tbl>
      <w:tblPr>
        <w:tblW w:w="9400" w:type="dxa"/>
        <w:jc w:val="center"/>
        <w:tblBorders>
          <w:top w:val="single" w:sz="4" w:space="0" w:color="auto"/>
        </w:tblBorders>
        <w:tblLook w:val="04A0" w:firstRow="1" w:lastRow="0" w:firstColumn="1" w:lastColumn="0" w:noHBand="0" w:noVBand="1"/>
      </w:tblPr>
      <w:tblGrid>
        <w:gridCol w:w="3133"/>
        <w:gridCol w:w="3133"/>
        <w:gridCol w:w="3134"/>
      </w:tblGrid>
      <w:tr w:rsidR="005E0F90" w:rsidRPr="005E0F90" w14:paraId="149ACE63" w14:textId="77777777" w:rsidTr="009C1F39">
        <w:trPr>
          <w:trHeight w:val="406"/>
          <w:jc w:val="center"/>
        </w:trPr>
        <w:tc>
          <w:tcPr>
            <w:tcW w:w="3133" w:type="dxa"/>
            <w:tcBorders>
              <w:top w:val="single" w:sz="12" w:space="0" w:color="auto"/>
              <w:bottom w:val="single" w:sz="4" w:space="0" w:color="auto"/>
            </w:tcBorders>
            <w:vAlign w:val="center"/>
          </w:tcPr>
          <w:p w14:paraId="0350EAA8"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Performance Index</w:t>
            </w:r>
          </w:p>
        </w:tc>
        <w:tc>
          <w:tcPr>
            <w:tcW w:w="3133" w:type="dxa"/>
            <w:tcBorders>
              <w:top w:val="single" w:sz="12" w:space="0" w:color="auto"/>
              <w:bottom w:val="single" w:sz="4" w:space="0" w:color="auto"/>
            </w:tcBorders>
            <w:vAlign w:val="center"/>
          </w:tcPr>
          <w:p w14:paraId="5246E235"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Standard Value (S95 Grade)</w:t>
            </w:r>
          </w:p>
        </w:tc>
        <w:tc>
          <w:tcPr>
            <w:tcW w:w="3134" w:type="dxa"/>
            <w:tcBorders>
              <w:top w:val="single" w:sz="12" w:space="0" w:color="auto"/>
              <w:bottom w:val="single" w:sz="4" w:space="0" w:color="auto"/>
            </w:tcBorders>
            <w:vAlign w:val="center"/>
          </w:tcPr>
          <w:p w14:paraId="0460E76C"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Measured Value</w:t>
            </w:r>
          </w:p>
        </w:tc>
      </w:tr>
      <w:tr w:rsidR="005E0F90" w:rsidRPr="005E0F90" w14:paraId="18E20C9C" w14:textId="77777777" w:rsidTr="009C1F39">
        <w:trPr>
          <w:trHeight w:val="406"/>
          <w:jc w:val="center"/>
        </w:trPr>
        <w:tc>
          <w:tcPr>
            <w:tcW w:w="3133" w:type="dxa"/>
            <w:tcBorders>
              <w:top w:val="single" w:sz="4" w:space="0" w:color="auto"/>
            </w:tcBorders>
            <w:vAlign w:val="center"/>
          </w:tcPr>
          <w:p w14:paraId="11EC6FA1"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Density</w:t>
            </w:r>
            <w:r w:rsidRPr="005D0C9F">
              <w:rPr>
                <w:color w:val="000000" w:themeColor="text1"/>
                <w:szCs w:val="21"/>
                <w14:ligatures w14:val="standardContextual"/>
              </w:rPr>
              <w:t>/（g/cm3）</w:t>
            </w:r>
          </w:p>
        </w:tc>
        <w:tc>
          <w:tcPr>
            <w:tcW w:w="3133" w:type="dxa"/>
            <w:tcBorders>
              <w:top w:val="single" w:sz="4" w:space="0" w:color="auto"/>
            </w:tcBorders>
            <w:vAlign w:val="center"/>
          </w:tcPr>
          <w:p w14:paraId="368327CA"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w:t>
            </w:r>
            <w:r w:rsidRPr="005D0C9F">
              <w:rPr>
                <w:color w:val="000000" w:themeColor="text1"/>
                <w:szCs w:val="21"/>
                <w14:ligatures w14:val="standardContextual"/>
              </w:rPr>
              <w:t>2.8</w:t>
            </w:r>
          </w:p>
        </w:tc>
        <w:tc>
          <w:tcPr>
            <w:tcW w:w="3134" w:type="dxa"/>
            <w:tcBorders>
              <w:top w:val="single" w:sz="4" w:space="0" w:color="auto"/>
            </w:tcBorders>
            <w:vAlign w:val="center"/>
          </w:tcPr>
          <w:p w14:paraId="609A41FA" w14:textId="3A672362"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2.</w:t>
            </w:r>
            <w:r w:rsidR="00FA0038" w:rsidRPr="005D0C9F">
              <w:rPr>
                <w:rFonts w:hint="eastAsia"/>
                <w:color w:val="000000" w:themeColor="text1"/>
                <w:szCs w:val="21"/>
                <w14:ligatures w14:val="standardContextual"/>
              </w:rPr>
              <w:t>91</w:t>
            </w:r>
          </w:p>
        </w:tc>
      </w:tr>
      <w:tr w:rsidR="005E0F90" w:rsidRPr="005E0F90" w14:paraId="6A81C810" w14:textId="77777777" w:rsidTr="009C1F39">
        <w:trPr>
          <w:trHeight w:val="419"/>
          <w:jc w:val="center"/>
        </w:trPr>
        <w:tc>
          <w:tcPr>
            <w:tcW w:w="3133" w:type="dxa"/>
            <w:tcBorders>
              <w:bottom w:val="nil"/>
            </w:tcBorders>
            <w:vAlign w:val="center"/>
          </w:tcPr>
          <w:p w14:paraId="330A68A8"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Specific Surface Area</w:t>
            </w:r>
            <w:r w:rsidRPr="005D0C9F">
              <w:rPr>
                <w:color w:val="000000" w:themeColor="text1"/>
                <w:szCs w:val="21"/>
                <w14:ligatures w14:val="standardContextual"/>
              </w:rPr>
              <w:t>/（</w:t>
            </w:r>
            <w:r w:rsidRPr="005D0C9F">
              <w:rPr>
                <w:rFonts w:hint="eastAsia"/>
                <w:color w:val="000000" w:themeColor="text1"/>
                <w:szCs w:val="21"/>
                <w14:ligatures w14:val="standardContextual"/>
              </w:rPr>
              <w:t>m2</w:t>
            </w:r>
            <w:r w:rsidRPr="005D0C9F">
              <w:rPr>
                <w:color w:val="000000" w:themeColor="text1"/>
                <w:szCs w:val="21"/>
                <w14:ligatures w14:val="standardContextual"/>
              </w:rPr>
              <w:t>/kg）</w:t>
            </w:r>
          </w:p>
        </w:tc>
        <w:tc>
          <w:tcPr>
            <w:tcW w:w="3133" w:type="dxa"/>
            <w:tcBorders>
              <w:bottom w:val="nil"/>
            </w:tcBorders>
            <w:vAlign w:val="center"/>
          </w:tcPr>
          <w:p w14:paraId="315DC069"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w:t>
            </w:r>
            <w:r w:rsidRPr="005D0C9F">
              <w:rPr>
                <w:color w:val="000000" w:themeColor="text1"/>
                <w:szCs w:val="21"/>
                <w14:ligatures w14:val="standardContextual"/>
              </w:rPr>
              <w:t>400</w:t>
            </w:r>
          </w:p>
        </w:tc>
        <w:tc>
          <w:tcPr>
            <w:tcW w:w="3134" w:type="dxa"/>
            <w:tcBorders>
              <w:bottom w:val="nil"/>
            </w:tcBorders>
            <w:vAlign w:val="center"/>
          </w:tcPr>
          <w:p w14:paraId="74AB4BA4" w14:textId="793E0D1B"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color w:val="000000" w:themeColor="text1"/>
                <w:szCs w:val="21"/>
                <w14:ligatures w14:val="standardContextual"/>
              </w:rPr>
              <w:t>4</w:t>
            </w:r>
            <w:r w:rsidR="00FA0038" w:rsidRPr="005D0C9F">
              <w:rPr>
                <w:rFonts w:hint="eastAsia"/>
                <w:color w:val="000000" w:themeColor="text1"/>
                <w:szCs w:val="21"/>
                <w14:ligatures w14:val="standardContextual"/>
              </w:rPr>
              <w:t>34</w:t>
            </w:r>
          </w:p>
        </w:tc>
      </w:tr>
      <w:tr w:rsidR="005E0F90" w:rsidRPr="005E0F90" w14:paraId="19478E37" w14:textId="77777777" w:rsidTr="009C1F39">
        <w:trPr>
          <w:trHeight w:val="406"/>
          <w:jc w:val="center"/>
        </w:trPr>
        <w:tc>
          <w:tcPr>
            <w:tcW w:w="3133" w:type="dxa"/>
            <w:tcBorders>
              <w:bottom w:val="nil"/>
            </w:tcBorders>
            <w:vAlign w:val="center"/>
          </w:tcPr>
          <w:p w14:paraId="0FE506D3"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Activity Index</w:t>
            </w:r>
            <w:r w:rsidRPr="005D0C9F">
              <w:rPr>
                <w:color w:val="000000" w:themeColor="text1"/>
                <w:szCs w:val="21"/>
                <w14:ligatures w14:val="standardContextual"/>
              </w:rPr>
              <w:t>/%</w:t>
            </w:r>
          </w:p>
        </w:tc>
        <w:tc>
          <w:tcPr>
            <w:tcW w:w="3133" w:type="dxa"/>
            <w:tcBorders>
              <w:bottom w:val="nil"/>
            </w:tcBorders>
            <w:vAlign w:val="center"/>
          </w:tcPr>
          <w:p w14:paraId="60438D8A"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≥95</w:t>
            </w:r>
          </w:p>
        </w:tc>
        <w:tc>
          <w:tcPr>
            <w:tcW w:w="3134" w:type="dxa"/>
            <w:tcBorders>
              <w:bottom w:val="nil"/>
            </w:tcBorders>
            <w:vAlign w:val="center"/>
          </w:tcPr>
          <w:p w14:paraId="1A99CC83" w14:textId="287B0254"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9</w:t>
            </w:r>
            <w:r w:rsidR="00FA0038" w:rsidRPr="005D0C9F">
              <w:rPr>
                <w:rFonts w:hint="eastAsia"/>
                <w:color w:val="000000" w:themeColor="text1"/>
                <w:szCs w:val="21"/>
                <w14:ligatures w14:val="standardContextual"/>
              </w:rPr>
              <w:t>7</w:t>
            </w:r>
            <w:r w:rsidRPr="005D0C9F">
              <w:rPr>
                <w:color w:val="000000" w:themeColor="text1"/>
                <w:szCs w:val="21"/>
                <w14:ligatures w14:val="standardContextual"/>
              </w:rPr>
              <w:t>.5</w:t>
            </w:r>
          </w:p>
        </w:tc>
      </w:tr>
      <w:tr w:rsidR="005E0F90" w:rsidRPr="005E0F90" w14:paraId="572CB71D" w14:textId="77777777" w:rsidTr="009C1F39">
        <w:trPr>
          <w:trHeight w:val="257"/>
          <w:jc w:val="center"/>
        </w:trPr>
        <w:tc>
          <w:tcPr>
            <w:tcW w:w="3133" w:type="dxa"/>
            <w:tcBorders>
              <w:top w:val="nil"/>
              <w:bottom w:val="single" w:sz="12" w:space="0" w:color="auto"/>
            </w:tcBorders>
            <w:vAlign w:val="center"/>
          </w:tcPr>
          <w:p w14:paraId="6927988A"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Loss on Ignition（LOI）</w:t>
            </w:r>
          </w:p>
        </w:tc>
        <w:tc>
          <w:tcPr>
            <w:tcW w:w="3133" w:type="dxa"/>
            <w:tcBorders>
              <w:top w:val="nil"/>
              <w:bottom w:val="single" w:sz="12" w:space="0" w:color="auto"/>
            </w:tcBorders>
            <w:vAlign w:val="center"/>
          </w:tcPr>
          <w:p w14:paraId="2F13C7B1" w14:textId="77777777"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≤1.0</w:t>
            </w:r>
          </w:p>
        </w:tc>
        <w:tc>
          <w:tcPr>
            <w:tcW w:w="3134" w:type="dxa"/>
            <w:tcBorders>
              <w:top w:val="nil"/>
              <w:bottom w:val="single" w:sz="12" w:space="0" w:color="auto"/>
            </w:tcBorders>
            <w:vAlign w:val="center"/>
          </w:tcPr>
          <w:p w14:paraId="24E097CF" w14:textId="4BFC10CC" w:rsidR="005E0F90" w:rsidRPr="005D0C9F" w:rsidRDefault="005E0F90" w:rsidP="005D0C9F">
            <w:pPr>
              <w:widowControl/>
              <w:spacing w:before="100" w:beforeAutospacing="1" w:line="300" w:lineRule="auto"/>
              <w:jc w:val="center"/>
              <w:rPr>
                <w:color w:val="000000" w:themeColor="text1"/>
                <w:szCs w:val="21"/>
                <w14:ligatures w14:val="standardContextual"/>
              </w:rPr>
            </w:pPr>
            <w:r w:rsidRPr="005D0C9F">
              <w:rPr>
                <w:rFonts w:hint="eastAsia"/>
                <w:color w:val="000000" w:themeColor="text1"/>
                <w:szCs w:val="21"/>
                <w14:ligatures w14:val="standardContextual"/>
              </w:rPr>
              <w:t>0.</w:t>
            </w:r>
            <w:r w:rsidR="00FA0038" w:rsidRPr="005D0C9F">
              <w:rPr>
                <w:rFonts w:hint="eastAsia"/>
                <w:color w:val="000000" w:themeColor="text1"/>
                <w:szCs w:val="21"/>
                <w14:ligatures w14:val="standardContextual"/>
              </w:rPr>
              <w:t>6</w:t>
            </w:r>
          </w:p>
        </w:tc>
      </w:tr>
    </w:tbl>
    <w:p w14:paraId="6979C859" w14:textId="77777777" w:rsidR="005E0F90" w:rsidRPr="005D0C9F" w:rsidRDefault="005E0F90" w:rsidP="005D0C9F">
      <w:pPr>
        <w:widowControl/>
        <w:adjustRightInd w:val="0"/>
        <w:snapToGrid w:val="0"/>
        <w:jc w:val="center"/>
        <w:rPr>
          <w:rFonts w:ascii="Times New Roman" w:hAnsi="Times New Roman" w:cs="Times New Roman"/>
          <w:color w:val="000000" w:themeColor="text1"/>
          <w:szCs w:val="21"/>
          <w14:ligatures w14:val="standardContextual"/>
        </w:rPr>
      </w:pPr>
      <w:r w:rsidRPr="005D0C9F">
        <w:rPr>
          <w:rFonts w:ascii="Times New Roman" w:hAnsi="Times New Roman" w:cs="Times New Roman"/>
          <w:color w:val="000000" w:themeColor="text1"/>
          <w:szCs w:val="21"/>
          <w14:ligatures w14:val="standardContextual"/>
        </w:rPr>
        <w:t xml:space="preserve">Table. </w:t>
      </w:r>
      <w:r w:rsidRPr="005D0C9F">
        <w:rPr>
          <w:rFonts w:ascii="Times New Roman" w:hAnsi="Times New Roman" w:cs="Times New Roman" w:hint="eastAsia"/>
          <w:color w:val="000000" w:themeColor="text1"/>
          <w:szCs w:val="21"/>
          <w14:ligatures w14:val="standardContextual"/>
        </w:rPr>
        <w:t>3</w:t>
      </w:r>
      <w:r w:rsidRPr="005D0C9F">
        <w:rPr>
          <w:rFonts w:ascii="Times New Roman" w:hAnsi="Times New Roman" w:cs="Times New Roman"/>
          <w:color w:val="000000" w:themeColor="text1"/>
          <w:szCs w:val="21"/>
          <w14:ligatures w14:val="standardContextual"/>
        </w:rPr>
        <w:t xml:space="preserve"> Performance index of granulated blast furnace slag powder</w:t>
      </w:r>
    </w:p>
    <w:p w14:paraId="0007DEFE" w14:textId="77777777" w:rsidR="005E0F90" w:rsidRPr="005E0F90" w:rsidRDefault="005E0F90" w:rsidP="00AF194E">
      <w:pPr>
        <w:adjustRightInd w:val="0"/>
        <w:snapToGrid w:val="0"/>
        <w:spacing w:line="300" w:lineRule="auto"/>
        <w:ind w:firstLineChars="200" w:firstLine="420"/>
        <w:rPr>
          <w:rFonts w:ascii="Times New Roman" w:hAnsi="Times New Roman" w:cs="Times New Roman"/>
          <w:color w:val="EE0000"/>
          <w:szCs w:val="21"/>
        </w:rPr>
      </w:pPr>
    </w:p>
    <w:p w14:paraId="490275E3" w14:textId="77777777" w:rsidR="005E0F90" w:rsidRPr="00AF194E" w:rsidRDefault="005E0F90" w:rsidP="005E0F90">
      <w:pPr>
        <w:adjustRightInd w:val="0"/>
        <w:snapToGrid w:val="0"/>
        <w:spacing w:line="300" w:lineRule="auto"/>
        <w:ind w:firstLineChars="200" w:firstLine="420"/>
        <w:rPr>
          <w:rFonts w:ascii="Times New Roman" w:hAnsi="Times New Roman" w:cs="Times New Roman"/>
          <w:color w:val="000000" w:themeColor="text1"/>
          <w:szCs w:val="21"/>
        </w:rPr>
      </w:pPr>
      <w:r w:rsidRPr="00AF194E">
        <w:rPr>
          <w:rFonts w:ascii="Times New Roman" w:hAnsi="Times New Roman" w:cs="Times New Roman"/>
          <w:color w:val="000000" w:themeColor="text1"/>
          <w:szCs w:val="21"/>
        </w:rPr>
        <w:t xml:space="preserve">The chemical composition of the granulated blast furnace slag powder was analyzed using XRF, and the results are shown in Table 4. The main components, such as </w:t>
      </w:r>
      <w:proofErr w:type="spellStart"/>
      <w:r w:rsidRPr="00AF194E">
        <w:rPr>
          <w:rFonts w:ascii="Times New Roman" w:hAnsi="Times New Roman" w:cs="Times New Roman"/>
          <w:color w:val="000000" w:themeColor="text1"/>
          <w:szCs w:val="21"/>
        </w:rPr>
        <w:t>SiO</w:t>
      </w:r>
      <w:proofErr w:type="spellEnd"/>
      <w:r w:rsidRPr="00AF194E">
        <w:rPr>
          <w:rFonts w:ascii="Times New Roman" w:hAnsi="Times New Roman" w:cs="Times New Roman"/>
          <w:color w:val="000000" w:themeColor="text1"/>
          <w:szCs w:val="21"/>
        </w:rPr>
        <w:t xml:space="preserve">₂, </w:t>
      </w:r>
      <w:proofErr w:type="spellStart"/>
      <w:r w:rsidRPr="00AF194E">
        <w:rPr>
          <w:rFonts w:ascii="Times New Roman" w:hAnsi="Times New Roman" w:cs="Times New Roman"/>
          <w:color w:val="000000" w:themeColor="text1"/>
          <w:szCs w:val="21"/>
        </w:rPr>
        <w:t>Al₂O</w:t>
      </w:r>
      <w:proofErr w:type="spellEnd"/>
      <w:r w:rsidRPr="00AF194E">
        <w:rPr>
          <w:rFonts w:ascii="Times New Roman" w:hAnsi="Times New Roman" w:cs="Times New Roman"/>
          <w:color w:val="000000" w:themeColor="text1"/>
          <w:szCs w:val="21"/>
        </w:rPr>
        <w:t xml:space="preserve">₃, and </w:t>
      </w:r>
      <w:proofErr w:type="spellStart"/>
      <w:r w:rsidRPr="00AF194E">
        <w:rPr>
          <w:rFonts w:ascii="Times New Roman" w:hAnsi="Times New Roman" w:cs="Times New Roman"/>
          <w:color w:val="000000" w:themeColor="text1"/>
          <w:szCs w:val="21"/>
        </w:rPr>
        <w:t>CaO</w:t>
      </w:r>
      <w:proofErr w:type="spellEnd"/>
      <w:r w:rsidRPr="00AF194E">
        <w:rPr>
          <w:rFonts w:ascii="Times New Roman" w:hAnsi="Times New Roman" w:cs="Times New Roman"/>
          <w:color w:val="000000" w:themeColor="text1"/>
          <w:szCs w:val="21"/>
        </w:rPr>
        <w:t>, account for more than 85% of the total mass fraction.</w:t>
      </w:r>
    </w:p>
    <w:tbl>
      <w:tblPr>
        <w:tblW w:w="9007" w:type="dxa"/>
        <w:jc w:val="center"/>
        <w:tblBorders>
          <w:top w:val="single" w:sz="12" w:space="0" w:color="000000"/>
          <w:bottom w:val="single" w:sz="12" w:space="0" w:color="000000"/>
          <w:insideH w:val="single" w:sz="4" w:space="0" w:color="000000"/>
        </w:tblBorders>
        <w:tblLayout w:type="fixed"/>
        <w:tblCellMar>
          <w:top w:w="28" w:type="dxa"/>
          <w:left w:w="85" w:type="dxa"/>
          <w:bottom w:w="28" w:type="dxa"/>
          <w:right w:w="85" w:type="dxa"/>
        </w:tblCellMar>
        <w:tblLook w:val="04A0" w:firstRow="1" w:lastRow="0" w:firstColumn="1" w:lastColumn="0" w:noHBand="0" w:noVBand="1"/>
      </w:tblPr>
      <w:tblGrid>
        <w:gridCol w:w="2312"/>
        <w:gridCol w:w="710"/>
        <w:gridCol w:w="665"/>
        <w:gridCol w:w="665"/>
        <w:gridCol w:w="720"/>
        <w:gridCol w:w="851"/>
        <w:gridCol w:w="709"/>
        <w:gridCol w:w="850"/>
        <w:gridCol w:w="851"/>
        <w:gridCol w:w="674"/>
      </w:tblGrid>
      <w:tr w:rsidR="005E0F90" w:rsidRPr="005E0F90" w14:paraId="03A94490" w14:textId="77777777" w:rsidTr="009C1F39">
        <w:trPr>
          <w:trHeight w:val="340"/>
          <w:jc w:val="center"/>
        </w:trPr>
        <w:tc>
          <w:tcPr>
            <w:tcW w:w="2312" w:type="dxa"/>
            <w:tcBorders>
              <w:top w:val="single" w:sz="12" w:space="0" w:color="auto"/>
              <w:left w:val="nil"/>
              <w:bottom w:val="single" w:sz="4" w:space="0" w:color="auto"/>
              <w:right w:val="nil"/>
            </w:tcBorders>
            <w:vAlign w:val="center"/>
          </w:tcPr>
          <w:p w14:paraId="7E716778"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bookmarkStart w:id="4" w:name="OLE_LINK7"/>
            <w:r w:rsidRPr="00AF194E">
              <w:rPr>
                <w:rFonts w:hint="eastAsia"/>
                <w:color w:val="000000" w:themeColor="text1"/>
                <w:szCs w:val="21"/>
                <w14:ligatures w14:val="standardContextual"/>
              </w:rPr>
              <w:t>Chemical Composition</w:t>
            </w:r>
          </w:p>
        </w:tc>
        <w:tc>
          <w:tcPr>
            <w:tcW w:w="710" w:type="dxa"/>
            <w:tcBorders>
              <w:top w:val="single" w:sz="12" w:space="0" w:color="auto"/>
              <w:left w:val="nil"/>
              <w:bottom w:val="single" w:sz="4" w:space="0" w:color="auto"/>
              <w:right w:val="nil"/>
            </w:tcBorders>
            <w:vAlign w:val="center"/>
          </w:tcPr>
          <w:p w14:paraId="5F9B648C"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SiO</w:t>
            </w:r>
            <w:r w:rsidRPr="00AF194E">
              <w:rPr>
                <w:color w:val="000000" w:themeColor="text1"/>
                <w:szCs w:val="21"/>
                <w:vertAlign w:val="subscript"/>
                <w14:ligatures w14:val="standardContextual"/>
              </w:rPr>
              <w:t>2</w:t>
            </w:r>
          </w:p>
        </w:tc>
        <w:tc>
          <w:tcPr>
            <w:tcW w:w="665" w:type="dxa"/>
            <w:tcBorders>
              <w:top w:val="single" w:sz="12" w:space="0" w:color="auto"/>
              <w:left w:val="nil"/>
              <w:bottom w:val="single" w:sz="4" w:space="0" w:color="auto"/>
              <w:right w:val="nil"/>
            </w:tcBorders>
            <w:vAlign w:val="center"/>
          </w:tcPr>
          <w:p w14:paraId="676D35BC"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Al</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r w:rsidRPr="00AF194E">
              <w:rPr>
                <w:color w:val="000000" w:themeColor="text1"/>
                <w:szCs w:val="21"/>
                <w:vertAlign w:val="subscript"/>
                <w14:ligatures w14:val="standardContextual"/>
              </w:rPr>
              <w:t>3</w:t>
            </w:r>
          </w:p>
        </w:tc>
        <w:tc>
          <w:tcPr>
            <w:tcW w:w="665" w:type="dxa"/>
            <w:tcBorders>
              <w:top w:val="single" w:sz="12" w:space="0" w:color="auto"/>
              <w:left w:val="nil"/>
              <w:bottom w:val="single" w:sz="4" w:space="0" w:color="auto"/>
              <w:right w:val="nil"/>
            </w:tcBorders>
            <w:vAlign w:val="center"/>
          </w:tcPr>
          <w:p w14:paraId="63B35632"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CaO</w:t>
            </w:r>
          </w:p>
        </w:tc>
        <w:tc>
          <w:tcPr>
            <w:tcW w:w="720" w:type="dxa"/>
            <w:tcBorders>
              <w:top w:val="single" w:sz="12" w:space="0" w:color="auto"/>
              <w:left w:val="nil"/>
              <w:bottom w:val="single" w:sz="4" w:space="0" w:color="auto"/>
              <w:right w:val="nil"/>
            </w:tcBorders>
            <w:vAlign w:val="center"/>
          </w:tcPr>
          <w:p w14:paraId="71FEA164"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Fe</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r w:rsidRPr="00AF194E">
              <w:rPr>
                <w:color w:val="000000" w:themeColor="text1"/>
                <w:szCs w:val="21"/>
                <w:vertAlign w:val="subscript"/>
                <w14:ligatures w14:val="standardContextual"/>
              </w:rPr>
              <w:t>3</w:t>
            </w:r>
          </w:p>
        </w:tc>
        <w:tc>
          <w:tcPr>
            <w:tcW w:w="851" w:type="dxa"/>
            <w:tcBorders>
              <w:top w:val="single" w:sz="12" w:space="0" w:color="auto"/>
              <w:left w:val="nil"/>
              <w:bottom w:val="single" w:sz="4" w:space="0" w:color="auto"/>
              <w:right w:val="nil"/>
            </w:tcBorders>
            <w:vAlign w:val="center"/>
          </w:tcPr>
          <w:p w14:paraId="50826260"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Na</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p>
        </w:tc>
        <w:tc>
          <w:tcPr>
            <w:tcW w:w="709" w:type="dxa"/>
            <w:tcBorders>
              <w:top w:val="single" w:sz="12" w:space="0" w:color="auto"/>
              <w:left w:val="nil"/>
              <w:bottom w:val="single" w:sz="4" w:space="0" w:color="auto"/>
              <w:right w:val="nil"/>
            </w:tcBorders>
            <w:vAlign w:val="center"/>
          </w:tcPr>
          <w:p w14:paraId="3504F031"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K</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p>
        </w:tc>
        <w:tc>
          <w:tcPr>
            <w:tcW w:w="850" w:type="dxa"/>
            <w:tcBorders>
              <w:top w:val="single" w:sz="12" w:space="0" w:color="auto"/>
              <w:left w:val="nil"/>
              <w:bottom w:val="single" w:sz="4" w:space="0" w:color="auto"/>
              <w:right w:val="nil"/>
            </w:tcBorders>
            <w:vAlign w:val="center"/>
          </w:tcPr>
          <w:p w14:paraId="197F502F"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TiO</w:t>
            </w:r>
            <w:r w:rsidRPr="00AF194E">
              <w:rPr>
                <w:color w:val="000000" w:themeColor="text1"/>
                <w:szCs w:val="21"/>
                <w:vertAlign w:val="subscript"/>
                <w14:ligatures w14:val="standardContextual"/>
              </w:rPr>
              <w:t>2</w:t>
            </w:r>
          </w:p>
        </w:tc>
        <w:tc>
          <w:tcPr>
            <w:tcW w:w="851" w:type="dxa"/>
            <w:tcBorders>
              <w:top w:val="single" w:sz="12" w:space="0" w:color="auto"/>
              <w:left w:val="nil"/>
              <w:bottom w:val="single" w:sz="4" w:space="0" w:color="auto"/>
              <w:right w:val="nil"/>
            </w:tcBorders>
            <w:vAlign w:val="center"/>
          </w:tcPr>
          <w:p w14:paraId="4433E062"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MgO</w:t>
            </w:r>
          </w:p>
        </w:tc>
        <w:tc>
          <w:tcPr>
            <w:tcW w:w="674" w:type="dxa"/>
            <w:tcBorders>
              <w:top w:val="single" w:sz="12" w:space="0" w:color="auto"/>
              <w:left w:val="nil"/>
              <w:bottom w:val="single" w:sz="4" w:space="0" w:color="auto"/>
              <w:right w:val="nil"/>
            </w:tcBorders>
            <w:vAlign w:val="center"/>
          </w:tcPr>
          <w:p w14:paraId="1533EA1E"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LOI</w:t>
            </w:r>
          </w:p>
        </w:tc>
      </w:tr>
      <w:tr w:rsidR="005E0F90" w:rsidRPr="005E0F90" w14:paraId="083F21C2" w14:textId="77777777" w:rsidTr="009C1F39">
        <w:trPr>
          <w:trHeight w:val="341"/>
          <w:jc w:val="center"/>
        </w:trPr>
        <w:tc>
          <w:tcPr>
            <w:tcW w:w="2312" w:type="dxa"/>
            <w:tcBorders>
              <w:top w:val="single" w:sz="4" w:space="0" w:color="auto"/>
              <w:left w:val="nil"/>
              <w:bottom w:val="single" w:sz="12" w:space="0" w:color="auto"/>
              <w:right w:val="nil"/>
            </w:tcBorders>
            <w:vAlign w:val="center"/>
          </w:tcPr>
          <w:p w14:paraId="0FB7FC9E" w14:textId="77777777"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成分占比</w:t>
            </w:r>
            <w:r w:rsidRPr="00AF194E">
              <w:rPr>
                <w:color w:val="000000" w:themeColor="text1"/>
                <w:szCs w:val="21"/>
                <w14:ligatures w14:val="standardContextual"/>
              </w:rPr>
              <w:t>/%</w:t>
            </w:r>
          </w:p>
        </w:tc>
        <w:tc>
          <w:tcPr>
            <w:tcW w:w="710" w:type="dxa"/>
            <w:tcBorders>
              <w:top w:val="single" w:sz="4" w:space="0" w:color="auto"/>
              <w:left w:val="nil"/>
              <w:bottom w:val="single" w:sz="12" w:space="0" w:color="auto"/>
              <w:right w:val="nil"/>
            </w:tcBorders>
            <w:vAlign w:val="center"/>
          </w:tcPr>
          <w:p w14:paraId="2062E4A2" w14:textId="5858B5CF"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3</w:t>
            </w:r>
            <w:r w:rsidR="00C65626" w:rsidRPr="00AF194E">
              <w:rPr>
                <w:rFonts w:hint="eastAsia"/>
                <w:color w:val="000000" w:themeColor="text1"/>
                <w:szCs w:val="21"/>
                <w14:ligatures w14:val="standardContextual"/>
              </w:rPr>
              <w:t>4</w:t>
            </w:r>
            <w:r w:rsidRPr="00AF194E">
              <w:rPr>
                <w:color w:val="000000" w:themeColor="text1"/>
                <w:szCs w:val="21"/>
                <w14:ligatures w14:val="standardContextual"/>
              </w:rPr>
              <w:t>.</w:t>
            </w:r>
            <w:r w:rsidR="00C65626" w:rsidRPr="00AF194E">
              <w:rPr>
                <w:rFonts w:hint="eastAsia"/>
                <w:color w:val="000000" w:themeColor="text1"/>
                <w:szCs w:val="21"/>
                <w14:ligatures w14:val="standardContextual"/>
              </w:rPr>
              <w:t>7</w:t>
            </w:r>
            <w:r w:rsidRPr="00AF194E">
              <w:rPr>
                <w:color w:val="000000" w:themeColor="text1"/>
                <w:szCs w:val="21"/>
                <w14:ligatures w14:val="standardContextual"/>
              </w:rPr>
              <w:t>4</w:t>
            </w:r>
          </w:p>
        </w:tc>
        <w:tc>
          <w:tcPr>
            <w:tcW w:w="665" w:type="dxa"/>
            <w:tcBorders>
              <w:top w:val="single" w:sz="4" w:space="0" w:color="auto"/>
              <w:left w:val="nil"/>
              <w:bottom w:val="single" w:sz="12" w:space="0" w:color="auto"/>
              <w:right w:val="nil"/>
            </w:tcBorders>
            <w:vAlign w:val="center"/>
          </w:tcPr>
          <w:p w14:paraId="0CE9ED47" w14:textId="7096A483"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1</w:t>
            </w:r>
            <w:r w:rsidR="00C65626" w:rsidRPr="00AF194E">
              <w:rPr>
                <w:rFonts w:hint="eastAsia"/>
                <w:color w:val="000000" w:themeColor="text1"/>
                <w:szCs w:val="21"/>
                <w14:ligatures w14:val="standardContextual"/>
              </w:rPr>
              <w:t>4</w:t>
            </w:r>
            <w:r w:rsidRPr="00AF194E">
              <w:rPr>
                <w:color w:val="000000" w:themeColor="text1"/>
                <w:szCs w:val="21"/>
                <w14:ligatures w14:val="standardContextual"/>
              </w:rPr>
              <w:t>.</w:t>
            </w:r>
            <w:r w:rsidR="00C65626" w:rsidRPr="00AF194E">
              <w:rPr>
                <w:rFonts w:hint="eastAsia"/>
                <w:color w:val="000000" w:themeColor="text1"/>
                <w:szCs w:val="21"/>
                <w14:ligatures w14:val="standardContextual"/>
              </w:rPr>
              <w:t>8</w:t>
            </w:r>
            <w:r w:rsidRPr="00AF194E">
              <w:rPr>
                <w:color w:val="000000" w:themeColor="text1"/>
                <w:szCs w:val="21"/>
                <w14:ligatures w14:val="standardContextual"/>
              </w:rPr>
              <w:t>5</w:t>
            </w:r>
          </w:p>
        </w:tc>
        <w:tc>
          <w:tcPr>
            <w:tcW w:w="665" w:type="dxa"/>
            <w:tcBorders>
              <w:top w:val="single" w:sz="4" w:space="0" w:color="auto"/>
              <w:left w:val="nil"/>
              <w:bottom w:val="single" w:sz="12" w:space="0" w:color="auto"/>
              <w:right w:val="nil"/>
            </w:tcBorders>
            <w:vAlign w:val="center"/>
          </w:tcPr>
          <w:p w14:paraId="054068C8" w14:textId="4577B364"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3</w:t>
            </w:r>
            <w:r w:rsidR="00C65626" w:rsidRPr="00AF194E">
              <w:rPr>
                <w:rFonts w:hint="eastAsia"/>
                <w:color w:val="000000" w:themeColor="text1"/>
                <w:szCs w:val="21"/>
                <w14:ligatures w14:val="standardContextual"/>
              </w:rPr>
              <w:t>8</w:t>
            </w:r>
            <w:r w:rsidRPr="00AF194E">
              <w:rPr>
                <w:color w:val="000000" w:themeColor="text1"/>
                <w:szCs w:val="21"/>
                <w14:ligatures w14:val="standardContextual"/>
              </w:rPr>
              <w:t>.47</w:t>
            </w:r>
          </w:p>
        </w:tc>
        <w:tc>
          <w:tcPr>
            <w:tcW w:w="720" w:type="dxa"/>
            <w:tcBorders>
              <w:top w:val="single" w:sz="4" w:space="0" w:color="auto"/>
              <w:left w:val="nil"/>
              <w:bottom w:val="single" w:sz="12" w:space="0" w:color="auto"/>
              <w:right w:val="nil"/>
            </w:tcBorders>
            <w:vAlign w:val="center"/>
          </w:tcPr>
          <w:p w14:paraId="130065AD" w14:textId="114470BE"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w:t>
            </w:r>
            <w:r w:rsidR="00C65626" w:rsidRPr="00AF194E">
              <w:rPr>
                <w:rFonts w:hint="eastAsia"/>
                <w:color w:val="000000" w:themeColor="text1"/>
                <w:szCs w:val="21"/>
                <w14:ligatures w14:val="standardContextual"/>
              </w:rPr>
              <w:t>43</w:t>
            </w:r>
          </w:p>
        </w:tc>
        <w:tc>
          <w:tcPr>
            <w:tcW w:w="851" w:type="dxa"/>
            <w:tcBorders>
              <w:top w:val="single" w:sz="4" w:space="0" w:color="auto"/>
              <w:left w:val="nil"/>
              <w:bottom w:val="single" w:sz="12" w:space="0" w:color="auto"/>
              <w:right w:val="nil"/>
            </w:tcBorders>
            <w:vAlign w:val="center"/>
          </w:tcPr>
          <w:p w14:paraId="114946FD" w14:textId="3C75FBBF"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0.4</w:t>
            </w:r>
            <w:r w:rsidR="00C65626" w:rsidRPr="00AF194E">
              <w:rPr>
                <w:rFonts w:hint="eastAsia"/>
                <w:color w:val="000000" w:themeColor="text1"/>
                <w:szCs w:val="21"/>
                <w14:ligatures w14:val="standardContextual"/>
              </w:rPr>
              <w:t>9</w:t>
            </w:r>
          </w:p>
        </w:tc>
        <w:tc>
          <w:tcPr>
            <w:tcW w:w="709" w:type="dxa"/>
            <w:tcBorders>
              <w:top w:val="single" w:sz="4" w:space="0" w:color="auto"/>
              <w:left w:val="nil"/>
              <w:bottom w:val="single" w:sz="12" w:space="0" w:color="auto"/>
              <w:right w:val="nil"/>
            </w:tcBorders>
            <w:vAlign w:val="center"/>
          </w:tcPr>
          <w:p w14:paraId="433500AC" w14:textId="7B0A53D9"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w:t>
            </w:r>
            <w:r w:rsidR="00C65626" w:rsidRPr="00AF194E">
              <w:rPr>
                <w:rFonts w:hint="eastAsia"/>
                <w:color w:val="000000" w:themeColor="text1"/>
                <w:szCs w:val="21"/>
                <w14:ligatures w14:val="standardContextual"/>
              </w:rPr>
              <w:t>6</w:t>
            </w:r>
            <w:r w:rsidRPr="00AF194E">
              <w:rPr>
                <w:color w:val="000000" w:themeColor="text1"/>
                <w:szCs w:val="21"/>
                <w14:ligatures w14:val="standardContextual"/>
              </w:rPr>
              <w:t>5</w:t>
            </w:r>
          </w:p>
        </w:tc>
        <w:tc>
          <w:tcPr>
            <w:tcW w:w="850" w:type="dxa"/>
            <w:tcBorders>
              <w:top w:val="single" w:sz="4" w:space="0" w:color="auto"/>
              <w:left w:val="nil"/>
              <w:bottom w:val="single" w:sz="12" w:space="0" w:color="auto"/>
              <w:right w:val="nil"/>
            </w:tcBorders>
            <w:vAlign w:val="center"/>
          </w:tcPr>
          <w:p w14:paraId="63679921" w14:textId="639248C5"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w:t>
            </w:r>
            <w:r w:rsidR="00C65626" w:rsidRPr="00AF194E">
              <w:rPr>
                <w:rFonts w:hint="eastAsia"/>
                <w:color w:val="000000" w:themeColor="text1"/>
                <w:szCs w:val="21"/>
                <w14:ligatures w14:val="standardContextual"/>
              </w:rPr>
              <w:t>7</w:t>
            </w:r>
            <w:r w:rsidRPr="00AF194E">
              <w:rPr>
                <w:color w:val="000000" w:themeColor="text1"/>
                <w:szCs w:val="21"/>
                <w14:ligatures w14:val="standardContextual"/>
              </w:rPr>
              <w:t>4</w:t>
            </w:r>
          </w:p>
        </w:tc>
        <w:tc>
          <w:tcPr>
            <w:tcW w:w="851" w:type="dxa"/>
            <w:tcBorders>
              <w:top w:val="single" w:sz="4" w:space="0" w:color="auto"/>
              <w:left w:val="nil"/>
              <w:bottom w:val="single" w:sz="12" w:space="0" w:color="auto"/>
              <w:right w:val="nil"/>
            </w:tcBorders>
            <w:vAlign w:val="center"/>
          </w:tcPr>
          <w:p w14:paraId="186A6E3E" w14:textId="2CEA60EC" w:rsidR="005E0F90" w:rsidRPr="00AF194E" w:rsidRDefault="00C65626"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8</w:t>
            </w:r>
            <w:r w:rsidR="005E0F90" w:rsidRPr="00AF194E">
              <w:rPr>
                <w:color w:val="000000" w:themeColor="text1"/>
                <w:szCs w:val="21"/>
                <w14:ligatures w14:val="standardContextual"/>
              </w:rPr>
              <w:t>.76</w:t>
            </w:r>
          </w:p>
        </w:tc>
        <w:tc>
          <w:tcPr>
            <w:tcW w:w="674" w:type="dxa"/>
            <w:tcBorders>
              <w:top w:val="single" w:sz="4" w:space="0" w:color="auto"/>
              <w:left w:val="nil"/>
              <w:bottom w:val="single" w:sz="12" w:space="0" w:color="auto"/>
              <w:right w:val="nil"/>
            </w:tcBorders>
            <w:vAlign w:val="center"/>
          </w:tcPr>
          <w:p w14:paraId="4613FF8A" w14:textId="1F8452D3" w:rsidR="005E0F90" w:rsidRPr="00AF194E" w:rsidRDefault="005E0F90"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w:t>
            </w:r>
            <w:r w:rsidR="00C65626" w:rsidRPr="00AF194E">
              <w:rPr>
                <w:rFonts w:hint="eastAsia"/>
                <w:color w:val="000000" w:themeColor="text1"/>
                <w:szCs w:val="21"/>
                <w14:ligatures w14:val="standardContextual"/>
              </w:rPr>
              <w:t>87</w:t>
            </w:r>
          </w:p>
        </w:tc>
      </w:tr>
    </w:tbl>
    <w:p w14:paraId="78FED408" w14:textId="77777777" w:rsidR="005E0F90" w:rsidRPr="00AF194E" w:rsidRDefault="005E0F90" w:rsidP="00AF194E">
      <w:pPr>
        <w:widowControl/>
        <w:adjustRightInd w:val="0"/>
        <w:snapToGrid w:val="0"/>
        <w:jc w:val="center"/>
        <w:rPr>
          <w:rFonts w:ascii="Times New Roman" w:hAnsi="Times New Roman" w:cs="Times New Roman"/>
          <w:color w:val="000000" w:themeColor="text1"/>
          <w:szCs w:val="21"/>
          <w14:ligatures w14:val="standardContextual"/>
        </w:rPr>
      </w:pPr>
      <w:r w:rsidRPr="00AF194E">
        <w:rPr>
          <w:rFonts w:ascii="Times New Roman" w:hAnsi="Times New Roman" w:cs="Times New Roman"/>
          <w:color w:val="000000" w:themeColor="text1"/>
          <w:szCs w:val="21"/>
          <w14:ligatures w14:val="standardContextual"/>
        </w:rPr>
        <w:t xml:space="preserve">Table. </w:t>
      </w:r>
      <w:r w:rsidRPr="00AF194E">
        <w:rPr>
          <w:rFonts w:ascii="Times New Roman" w:hAnsi="Times New Roman" w:cs="Times New Roman" w:hint="eastAsia"/>
          <w:color w:val="000000" w:themeColor="text1"/>
          <w:szCs w:val="21"/>
          <w14:ligatures w14:val="standardContextual"/>
        </w:rPr>
        <w:t>4</w:t>
      </w:r>
      <w:r w:rsidRPr="00AF194E">
        <w:rPr>
          <w:rFonts w:ascii="Times New Roman" w:hAnsi="Times New Roman" w:cs="Times New Roman"/>
          <w:color w:val="000000" w:themeColor="text1"/>
          <w:szCs w:val="21"/>
          <w14:ligatures w14:val="standardContextual"/>
        </w:rPr>
        <w:t xml:space="preserve"> Chemical composition of granulated blast furnace slag powder</w:t>
      </w:r>
    </w:p>
    <w:bookmarkEnd w:id="4"/>
    <w:p w14:paraId="36BA3A98" w14:textId="77777777" w:rsidR="00C65626" w:rsidRDefault="00C65626" w:rsidP="0057222A">
      <w:pPr>
        <w:adjustRightInd w:val="0"/>
        <w:snapToGrid w:val="0"/>
        <w:spacing w:line="300" w:lineRule="auto"/>
        <w:rPr>
          <w:rFonts w:ascii="Times New Roman" w:hAnsi="Times New Roman" w:cs="Times New Roman"/>
          <w:color w:val="EE0000"/>
          <w:szCs w:val="21"/>
        </w:rPr>
      </w:pPr>
    </w:p>
    <w:p w14:paraId="3ECB932B" w14:textId="53971FF2" w:rsidR="0057222A" w:rsidRPr="00AF194E" w:rsidRDefault="0057222A" w:rsidP="0057222A">
      <w:pPr>
        <w:adjustRightInd w:val="0"/>
        <w:snapToGrid w:val="0"/>
        <w:spacing w:line="300" w:lineRule="auto"/>
        <w:rPr>
          <w:rFonts w:ascii="Times New Roman" w:hAnsi="Times New Roman" w:cs="Times New Roman"/>
          <w:color w:val="000000" w:themeColor="text1"/>
          <w:szCs w:val="21"/>
        </w:rPr>
      </w:pPr>
      <w:r w:rsidRPr="00AF194E">
        <w:rPr>
          <w:rFonts w:ascii="Times New Roman" w:hAnsi="Times New Roman" w:cs="Times New Roman" w:hint="eastAsia"/>
          <w:color w:val="000000" w:themeColor="text1"/>
          <w:szCs w:val="21"/>
        </w:rPr>
        <w:t>（</w:t>
      </w:r>
      <w:r w:rsidRPr="00AF194E">
        <w:rPr>
          <w:rFonts w:ascii="Times New Roman" w:hAnsi="Times New Roman" w:cs="Times New Roman" w:hint="eastAsia"/>
          <w:color w:val="000000" w:themeColor="text1"/>
          <w:szCs w:val="21"/>
        </w:rPr>
        <w:t>3</w:t>
      </w:r>
      <w:r w:rsidRPr="00AF194E">
        <w:rPr>
          <w:rFonts w:ascii="Times New Roman" w:hAnsi="Times New Roman" w:cs="Times New Roman" w:hint="eastAsia"/>
          <w:color w:val="000000" w:themeColor="text1"/>
          <w:szCs w:val="21"/>
        </w:rPr>
        <w:t>）</w:t>
      </w:r>
      <w:r w:rsidR="00AF194E" w:rsidRPr="00AF194E">
        <w:rPr>
          <w:rFonts w:ascii="Times New Roman" w:hAnsi="Times New Roman" w:cs="Times New Roman" w:hint="eastAsia"/>
          <w:color w:val="000000" w:themeColor="text1"/>
          <w:szCs w:val="21"/>
        </w:rPr>
        <w:t>C</w:t>
      </w:r>
      <w:r w:rsidR="00AF194E" w:rsidRPr="00AF194E">
        <w:rPr>
          <w:rFonts w:ascii="Times New Roman" w:hAnsi="Times New Roman" w:cs="Times New Roman"/>
          <w:color w:val="000000" w:themeColor="text1"/>
          <w:szCs w:val="21"/>
        </w:rPr>
        <w:t>arbide slag</w:t>
      </w:r>
    </w:p>
    <w:p w14:paraId="6DEE3687" w14:textId="23EA141F" w:rsidR="0057222A" w:rsidRPr="00AF194E" w:rsidRDefault="00AF194E" w:rsidP="00AF194E">
      <w:pPr>
        <w:adjustRightInd w:val="0"/>
        <w:snapToGrid w:val="0"/>
        <w:spacing w:line="300" w:lineRule="auto"/>
        <w:ind w:firstLineChars="200" w:firstLine="420"/>
        <w:rPr>
          <w:rFonts w:ascii="Times New Roman" w:hAnsi="Times New Roman" w:cs="Times New Roman"/>
          <w:color w:val="000000" w:themeColor="text1"/>
          <w:szCs w:val="21"/>
        </w:rPr>
      </w:pPr>
      <w:r w:rsidRPr="00AF194E">
        <w:rPr>
          <w:rFonts w:ascii="Times New Roman" w:hAnsi="Times New Roman" w:cs="Times New Roman" w:hint="eastAsia"/>
          <w:color w:val="000000" w:themeColor="text1"/>
          <w:szCs w:val="21"/>
        </w:rPr>
        <w:t xml:space="preserve">Calcium carbide slag is an industrial solid waste mainly composed of calcium hydroxide obtained by hydrolyzing calcium carbide to obtain acetylene gas. It comes from </w:t>
      </w:r>
      <w:proofErr w:type="spellStart"/>
      <w:r w:rsidRPr="00AF194E">
        <w:rPr>
          <w:rFonts w:ascii="Times New Roman" w:hAnsi="Times New Roman" w:cs="Times New Roman" w:hint="eastAsia"/>
          <w:color w:val="000000" w:themeColor="text1"/>
          <w:szCs w:val="21"/>
        </w:rPr>
        <w:t>Lingshou</w:t>
      </w:r>
      <w:proofErr w:type="spellEnd"/>
      <w:r w:rsidRPr="00AF194E">
        <w:rPr>
          <w:rFonts w:ascii="Times New Roman" w:hAnsi="Times New Roman" w:cs="Times New Roman" w:hint="eastAsia"/>
          <w:color w:val="000000" w:themeColor="text1"/>
          <w:szCs w:val="21"/>
        </w:rPr>
        <w:t xml:space="preserve"> County, Hebei Province, and is alkaline. Its chemical composition was </w:t>
      </w:r>
      <w:proofErr w:type="spellStart"/>
      <w:r w:rsidRPr="00AF194E">
        <w:rPr>
          <w:rFonts w:ascii="Times New Roman" w:hAnsi="Times New Roman" w:cs="Times New Roman" w:hint="eastAsia"/>
          <w:color w:val="000000" w:themeColor="text1"/>
          <w:szCs w:val="21"/>
        </w:rPr>
        <w:t>characteri</w:t>
      </w:r>
      <w:r w:rsidR="002A1E38">
        <w:rPr>
          <w:rFonts w:ascii="Times New Roman" w:hAnsi="Times New Roman" w:cs="Times New Roman"/>
          <w:color w:val="000000" w:themeColor="text1"/>
          <w:szCs w:val="21"/>
        </w:rPr>
        <w:t>s</w:t>
      </w:r>
      <w:r w:rsidRPr="00AF194E">
        <w:rPr>
          <w:rFonts w:ascii="Times New Roman" w:hAnsi="Times New Roman" w:cs="Times New Roman" w:hint="eastAsia"/>
          <w:color w:val="000000" w:themeColor="text1"/>
          <w:szCs w:val="21"/>
        </w:rPr>
        <w:t>ed</w:t>
      </w:r>
      <w:proofErr w:type="spellEnd"/>
      <w:r w:rsidRPr="00AF194E">
        <w:rPr>
          <w:rFonts w:ascii="Times New Roman" w:hAnsi="Times New Roman" w:cs="Times New Roman" w:hint="eastAsia"/>
          <w:color w:val="000000" w:themeColor="text1"/>
          <w:szCs w:val="21"/>
        </w:rPr>
        <w:t xml:space="preserve"> by XRF, and the results are shown in Table 5. </w:t>
      </w:r>
    </w:p>
    <w:tbl>
      <w:tblPr>
        <w:tblW w:w="7482" w:type="dxa"/>
        <w:jc w:val="center"/>
        <w:tblBorders>
          <w:top w:val="single" w:sz="12" w:space="0" w:color="000000"/>
          <w:bottom w:val="single" w:sz="12" w:space="0" w:color="000000"/>
          <w:insideH w:val="single" w:sz="4" w:space="0" w:color="000000"/>
        </w:tblBorders>
        <w:tblLayout w:type="fixed"/>
        <w:tblCellMar>
          <w:top w:w="28" w:type="dxa"/>
          <w:left w:w="85" w:type="dxa"/>
          <w:bottom w:w="28" w:type="dxa"/>
          <w:right w:w="85" w:type="dxa"/>
        </w:tblCellMar>
        <w:tblLook w:val="04A0" w:firstRow="1" w:lastRow="0" w:firstColumn="1" w:lastColumn="0" w:noHBand="0" w:noVBand="1"/>
      </w:tblPr>
      <w:tblGrid>
        <w:gridCol w:w="2312"/>
        <w:gridCol w:w="710"/>
        <w:gridCol w:w="665"/>
        <w:gridCol w:w="665"/>
        <w:gridCol w:w="720"/>
        <w:gridCol w:w="851"/>
        <w:gridCol w:w="709"/>
        <w:gridCol w:w="850"/>
      </w:tblGrid>
      <w:tr w:rsidR="00E91902" w:rsidRPr="005E0F90" w14:paraId="5678F047" w14:textId="77777777" w:rsidTr="00E91902">
        <w:trPr>
          <w:trHeight w:val="340"/>
          <w:jc w:val="center"/>
        </w:trPr>
        <w:tc>
          <w:tcPr>
            <w:tcW w:w="2312" w:type="dxa"/>
            <w:tcBorders>
              <w:top w:val="single" w:sz="12" w:space="0" w:color="auto"/>
              <w:left w:val="nil"/>
              <w:bottom w:val="single" w:sz="4" w:space="0" w:color="auto"/>
              <w:right w:val="nil"/>
            </w:tcBorders>
            <w:vAlign w:val="center"/>
          </w:tcPr>
          <w:p w14:paraId="73503B16" w14:textId="77777777"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Chemical Composition</w:t>
            </w:r>
          </w:p>
        </w:tc>
        <w:tc>
          <w:tcPr>
            <w:tcW w:w="710" w:type="dxa"/>
            <w:tcBorders>
              <w:top w:val="single" w:sz="12" w:space="0" w:color="auto"/>
              <w:left w:val="nil"/>
              <w:bottom w:val="single" w:sz="4" w:space="0" w:color="auto"/>
              <w:right w:val="nil"/>
            </w:tcBorders>
            <w:vAlign w:val="center"/>
          </w:tcPr>
          <w:p w14:paraId="67F7BEB7" w14:textId="7CED73CD"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CaO</w:t>
            </w:r>
          </w:p>
        </w:tc>
        <w:tc>
          <w:tcPr>
            <w:tcW w:w="665" w:type="dxa"/>
            <w:tcBorders>
              <w:top w:val="single" w:sz="12" w:space="0" w:color="auto"/>
              <w:left w:val="nil"/>
              <w:bottom w:val="single" w:sz="4" w:space="0" w:color="auto"/>
              <w:right w:val="nil"/>
            </w:tcBorders>
            <w:vAlign w:val="center"/>
          </w:tcPr>
          <w:p w14:paraId="265C58E9" w14:textId="7046FAA5"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SiO</w:t>
            </w:r>
            <w:r w:rsidRPr="00AF194E">
              <w:rPr>
                <w:color w:val="000000" w:themeColor="text1"/>
                <w:szCs w:val="21"/>
                <w:vertAlign w:val="subscript"/>
                <w14:ligatures w14:val="standardContextual"/>
              </w:rPr>
              <w:t>2</w:t>
            </w:r>
          </w:p>
        </w:tc>
        <w:tc>
          <w:tcPr>
            <w:tcW w:w="665" w:type="dxa"/>
            <w:tcBorders>
              <w:top w:val="single" w:sz="12" w:space="0" w:color="auto"/>
              <w:left w:val="nil"/>
              <w:bottom w:val="single" w:sz="4" w:space="0" w:color="auto"/>
              <w:right w:val="nil"/>
            </w:tcBorders>
            <w:vAlign w:val="center"/>
          </w:tcPr>
          <w:p w14:paraId="3FCBA1BC" w14:textId="0E804124"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P</w:t>
            </w:r>
            <w:r w:rsidRPr="00AF194E">
              <w:rPr>
                <w:rFonts w:hint="eastAsia"/>
                <w:color w:val="000000" w:themeColor="text1"/>
                <w:szCs w:val="21"/>
                <w:vertAlign w:val="subscript"/>
                <w14:ligatures w14:val="standardContextual"/>
              </w:rPr>
              <w:t>2</w:t>
            </w:r>
            <w:r w:rsidRPr="00AF194E">
              <w:rPr>
                <w:rFonts w:hint="eastAsia"/>
                <w:color w:val="000000" w:themeColor="text1"/>
                <w:szCs w:val="21"/>
                <w14:ligatures w14:val="standardContextual"/>
              </w:rPr>
              <w:t>O</w:t>
            </w:r>
            <w:r w:rsidRPr="00AF194E">
              <w:rPr>
                <w:rFonts w:hint="eastAsia"/>
                <w:color w:val="000000" w:themeColor="text1"/>
                <w:szCs w:val="21"/>
                <w:vertAlign w:val="subscript"/>
                <w14:ligatures w14:val="standardContextual"/>
              </w:rPr>
              <w:t>5</w:t>
            </w:r>
          </w:p>
        </w:tc>
        <w:tc>
          <w:tcPr>
            <w:tcW w:w="720" w:type="dxa"/>
            <w:tcBorders>
              <w:top w:val="single" w:sz="12" w:space="0" w:color="auto"/>
              <w:left w:val="nil"/>
              <w:bottom w:val="single" w:sz="4" w:space="0" w:color="auto"/>
              <w:right w:val="nil"/>
            </w:tcBorders>
            <w:vAlign w:val="center"/>
          </w:tcPr>
          <w:p w14:paraId="020880E4" w14:textId="44002046"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CI</w:t>
            </w:r>
          </w:p>
        </w:tc>
        <w:tc>
          <w:tcPr>
            <w:tcW w:w="851" w:type="dxa"/>
            <w:tcBorders>
              <w:top w:val="single" w:sz="12" w:space="0" w:color="auto"/>
              <w:left w:val="nil"/>
              <w:bottom w:val="single" w:sz="4" w:space="0" w:color="auto"/>
              <w:right w:val="nil"/>
            </w:tcBorders>
            <w:vAlign w:val="center"/>
          </w:tcPr>
          <w:p w14:paraId="1B456B45" w14:textId="5150DEFA"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Al</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r w:rsidRPr="00AF194E">
              <w:rPr>
                <w:color w:val="000000" w:themeColor="text1"/>
                <w:szCs w:val="21"/>
                <w:vertAlign w:val="subscript"/>
                <w14:ligatures w14:val="standardContextual"/>
              </w:rPr>
              <w:t>3</w:t>
            </w:r>
          </w:p>
        </w:tc>
        <w:tc>
          <w:tcPr>
            <w:tcW w:w="709" w:type="dxa"/>
            <w:tcBorders>
              <w:top w:val="single" w:sz="12" w:space="0" w:color="auto"/>
              <w:left w:val="nil"/>
              <w:bottom w:val="single" w:sz="4" w:space="0" w:color="auto"/>
              <w:right w:val="nil"/>
            </w:tcBorders>
            <w:vAlign w:val="center"/>
          </w:tcPr>
          <w:p w14:paraId="5130F1A3" w14:textId="17FAE2A8"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Fe</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r w:rsidRPr="00AF194E">
              <w:rPr>
                <w:color w:val="000000" w:themeColor="text1"/>
                <w:szCs w:val="21"/>
                <w:vertAlign w:val="subscript"/>
                <w14:ligatures w14:val="standardContextual"/>
              </w:rPr>
              <w:t>3</w:t>
            </w:r>
          </w:p>
        </w:tc>
        <w:tc>
          <w:tcPr>
            <w:tcW w:w="850" w:type="dxa"/>
            <w:tcBorders>
              <w:top w:val="single" w:sz="12" w:space="0" w:color="auto"/>
              <w:left w:val="nil"/>
              <w:bottom w:val="single" w:sz="4" w:space="0" w:color="auto"/>
              <w:right w:val="nil"/>
            </w:tcBorders>
            <w:vAlign w:val="center"/>
          </w:tcPr>
          <w:p w14:paraId="5DB2D434" w14:textId="2B1DC531"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K</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p>
        </w:tc>
      </w:tr>
      <w:tr w:rsidR="00E91902" w:rsidRPr="005E0F90" w14:paraId="2E233FB2" w14:textId="77777777" w:rsidTr="00E91902">
        <w:trPr>
          <w:trHeight w:val="341"/>
          <w:jc w:val="center"/>
        </w:trPr>
        <w:tc>
          <w:tcPr>
            <w:tcW w:w="2312" w:type="dxa"/>
            <w:tcBorders>
              <w:top w:val="single" w:sz="4" w:space="0" w:color="auto"/>
              <w:left w:val="nil"/>
              <w:bottom w:val="single" w:sz="12" w:space="0" w:color="auto"/>
              <w:right w:val="nil"/>
            </w:tcBorders>
            <w:vAlign w:val="center"/>
          </w:tcPr>
          <w:p w14:paraId="78A6BEDD" w14:textId="1D585CAF" w:rsidR="00E91902" w:rsidRPr="00AF194E" w:rsidRDefault="00AF194E" w:rsidP="00AF194E">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Content</w:t>
            </w:r>
            <w:r w:rsidRPr="00735B94">
              <w:rPr>
                <w:color w:val="000000" w:themeColor="text1"/>
                <w:szCs w:val="21"/>
                <w14:ligatures w14:val="standardContextual"/>
              </w:rPr>
              <w:t>/%</w:t>
            </w:r>
          </w:p>
        </w:tc>
        <w:tc>
          <w:tcPr>
            <w:tcW w:w="710" w:type="dxa"/>
            <w:tcBorders>
              <w:top w:val="single" w:sz="4" w:space="0" w:color="auto"/>
              <w:left w:val="nil"/>
              <w:bottom w:val="single" w:sz="12" w:space="0" w:color="auto"/>
              <w:right w:val="nil"/>
            </w:tcBorders>
            <w:vAlign w:val="center"/>
          </w:tcPr>
          <w:p w14:paraId="2FF513C8" w14:textId="000FB47C"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90.73</w:t>
            </w:r>
          </w:p>
        </w:tc>
        <w:tc>
          <w:tcPr>
            <w:tcW w:w="665" w:type="dxa"/>
            <w:tcBorders>
              <w:top w:val="single" w:sz="4" w:space="0" w:color="auto"/>
              <w:left w:val="nil"/>
              <w:bottom w:val="single" w:sz="12" w:space="0" w:color="auto"/>
              <w:right w:val="nil"/>
            </w:tcBorders>
            <w:vAlign w:val="center"/>
          </w:tcPr>
          <w:p w14:paraId="68049DEB" w14:textId="5CC36C62"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3.29</w:t>
            </w:r>
          </w:p>
        </w:tc>
        <w:tc>
          <w:tcPr>
            <w:tcW w:w="665" w:type="dxa"/>
            <w:tcBorders>
              <w:top w:val="single" w:sz="4" w:space="0" w:color="auto"/>
              <w:left w:val="nil"/>
              <w:bottom w:val="single" w:sz="12" w:space="0" w:color="auto"/>
              <w:right w:val="nil"/>
            </w:tcBorders>
            <w:vAlign w:val="center"/>
          </w:tcPr>
          <w:p w14:paraId="142B3E67" w14:textId="77721D86"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2.83</w:t>
            </w:r>
          </w:p>
        </w:tc>
        <w:tc>
          <w:tcPr>
            <w:tcW w:w="720" w:type="dxa"/>
            <w:tcBorders>
              <w:top w:val="single" w:sz="4" w:space="0" w:color="auto"/>
              <w:left w:val="nil"/>
              <w:bottom w:val="single" w:sz="12" w:space="0" w:color="auto"/>
              <w:right w:val="nil"/>
            </w:tcBorders>
            <w:vAlign w:val="center"/>
          </w:tcPr>
          <w:p w14:paraId="5A05BCD3" w14:textId="571F97A1"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1.11</w:t>
            </w:r>
          </w:p>
        </w:tc>
        <w:tc>
          <w:tcPr>
            <w:tcW w:w="851" w:type="dxa"/>
            <w:tcBorders>
              <w:top w:val="single" w:sz="4" w:space="0" w:color="auto"/>
              <w:left w:val="nil"/>
              <w:bottom w:val="single" w:sz="12" w:space="0" w:color="auto"/>
              <w:right w:val="nil"/>
            </w:tcBorders>
            <w:vAlign w:val="center"/>
          </w:tcPr>
          <w:p w14:paraId="2929C877" w14:textId="228ECF51"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1.08</w:t>
            </w:r>
          </w:p>
        </w:tc>
        <w:tc>
          <w:tcPr>
            <w:tcW w:w="709" w:type="dxa"/>
            <w:tcBorders>
              <w:top w:val="single" w:sz="4" w:space="0" w:color="auto"/>
              <w:left w:val="nil"/>
              <w:bottom w:val="single" w:sz="12" w:space="0" w:color="auto"/>
              <w:right w:val="nil"/>
            </w:tcBorders>
            <w:vAlign w:val="center"/>
          </w:tcPr>
          <w:p w14:paraId="42FC4097" w14:textId="6E06DF73"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w:t>
            </w:r>
            <w:r w:rsidRPr="00AF194E">
              <w:rPr>
                <w:rFonts w:hint="eastAsia"/>
                <w:color w:val="000000" w:themeColor="text1"/>
                <w:szCs w:val="21"/>
                <w14:ligatures w14:val="standardContextual"/>
              </w:rPr>
              <w:t>37</w:t>
            </w:r>
          </w:p>
        </w:tc>
        <w:tc>
          <w:tcPr>
            <w:tcW w:w="850" w:type="dxa"/>
            <w:tcBorders>
              <w:top w:val="single" w:sz="4" w:space="0" w:color="auto"/>
              <w:left w:val="nil"/>
              <w:bottom w:val="single" w:sz="12" w:space="0" w:color="auto"/>
              <w:right w:val="nil"/>
            </w:tcBorders>
            <w:vAlign w:val="center"/>
          </w:tcPr>
          <w:p w14:paraId="6246C602" w14:textId="3F896A3A"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w:t>
            </w:r>
            <w:r w:rsidRPr="00AF194E">
              <w:rPr>
                <w:rFonts w:hint="eastAsia"/>
                <w:color w:val="000000" w:themeColor="text1"/>
                <w:szCs w:val="21"/>
                <w14:ligatures w14:val="standardContextual"/>
              </w:rPr>
              <w:t>59</w:t>
            </w:r>
          </w:p>
        </w:tc>
      </w:tr>
    </w:tbl>
    <w:p w14:paraId="194F60BD" w14:textId="6F80B7AA" w:rsidR="00EE46B0" w:rsidRPr="00AF194E" w:rsidRDefault="00EE46B0" w:rsidP="00AF194E">
      <w:pPr>
        <w:widowControl/>
        <w:adjustRightInd w:val="0"/>
        <w:snapToGrid w:val="0"/>
        <w:jc w:val="center"/>
        <w:rPr>
          <w:rFonts w:ascii="Times New Roman" w:hAnsi="Times New Roman" w:cs="Times New Roman"/>
          <w:color w:val="000000" w:themeColor="text1"/>
          <w:szCs w:val="21"/>
          <w14:ligatures w14:val="standardContextual"/>
        </w:rPr>
      </w:pPr>
      <w:r w:rsidRPr="00AF194E">
        <w:rPr>
          <w:rFonts w:ascii="Times New Roman" w:hAnsi="Times New Roman" w:cs="Times New Roman"/>
          <w:color w:val="000000" w:themeColor="text1"/>
          <w:szCs w:val="21"/>
          <w14:ligatures w14:val="standardContextual"/>
        </w:rPr>
        <w:t xml:space="preserve">Table. </w:t>
      </w:r>
      <w:r w:rsidRPr="00AF194E">
        <w:rPr>
          <w:rFonts w:ascii="Times New Roman" w:hAnsi="Times New Roman" w:cs="Times New Roman" w:hint="eastAsia"/>
          <w:color w:val="000000" w:themeColor="text1"/>
          <w:szCs w:val="21"/>
          <w14:ligatures w14:val="standardContextual"/>
        </w:rPr>
        <w:t>5</w:t>
      </w:r>
      <w:r w:rsidRPr="00AF194E">
        <w:rPr>
          <w:rFonts w:ascii="Times New Roman" w:hAnsi="Times New Roman" w:cs="Times New Roman"/>
          <w:color w:val="000000" w:themeColor="text1"/>
          <w:szCs w:val="21"/>
          <w14:ligatures w14:val="standardContextual"/>
        </w:rPr>
        <w:t xml:space="preserve"> Chemical composition of </w:t>
      </w:r>
      <w:bookmarkStart w:id="5" w:name="OLE_LINK16"/>
      <w:r w:rsidRPr="00AF194E">
        <w:rPr>
          <w:rFonts w:ascii="Times New Roman" w:hAnsi="Times New Roman" w:cs="Times New Roman"/>
          <w:color w:val="000000" w:themeColor="text1"/>
          <w:szCs w:val="21"/>
          <w14:ligatures w14:val="standardContextual"/>
        </w:rPr>
        <w:t>carbide slag</w:t>
      </w:r>
      <w:bookmarkEnd w:id="5"/>
    </w:p>
    <w:p w14:paraId="4A3F23E1" w14:textId="77777777" w:rsidR="00EE46B0" w:rsidRPr="00EE46B0" w:rsidRDefault="00EE46B0" w:rsidP="0057222A">
      <w:pPr>
        <w:pStyle w:val="NoSpacing"/>
        <w:spacing w:line="360" w:lineRule="auto"/>
        <w:ind w:firstLineChars="200" w:firstLine="420"/>
        <w:rPr>
          <w:color w:val="EE0000"/>
        </w:rPr>
      </w:pPr>
    </w:p>
    <w:p w14:paraId="1E54E525" w14:textId="2ADE210F" w:rsidR="0057222A" w:rsidRPr="00AF194E" w:rsidRDefault="0057222A" w:rsidP="0057222A">
      <w:pPr>
        <w:adjustRightInd w:val="0"/>
        <w:snapToGrid w:val="0"/>
        <w:spacing w:line="300" w:lineRule="auto"/>
        <w:rPr>
          <w:rFonts w:ascii="Times New Roman" w:hAnsi="Times New Roman" w:cs="Times New Roman"/>
          <w:color w:val="000000" w:themeColor="text1"/>
          <w:szCs w:val="21"/>
        </w:rPr>
      </w:pPr>
      <w:r w:rsidRPr="00AF194E">
        <w:rPr>
          <w:rFonts w:ascii="Times New Roman" w:hAnsi="Times New Roman" w:cs="Times New Roman" w:hint="eastAsia"/>
          <w:color w:val="000000" w:themeColor="text1"/>
          <w:szCs w:val="21"/>
        </w:rPr>
        <w:t>（</w:t>
      </w:r>
      <w:r w:rsidRPr="00AF194E">
        <w:rPr>
          <w:rFonts w:ascii="Times New Roman" w:hAnsi="Times New Roman" w:cs="Times New Roman" w:hint="eastAsia"/>
          <w:color w:val="000000" w:themeColor="text1"/>
          <w:szCs w:val="21"/>
        </w:rPr>
        <w:t>4</w:t>
      </w:r>
      <w:r w:rsidRPr="00AF194E">
        <w:rPr>
          <w:rFonts w:ascii="Times New Roman" w:hAnsi="Times New Roman" w:cs="Times New Roman" w:hint="eastAsia"/>
          <w:color w:val="000000" w:themeColor="text1"/>
          <w:szCs w:val="21"/>
        </w:rPr>
        <w:t>）</w:t>
      </w:r>
      <w:r w:rsidR="00AF194E" w:rsidRPr="00AF194E">
        <w:rPr>
          <w:rFonts w:ascii="Times New Roman" w:hAnsi="Times New Roman" w:cs="Times New Roman" w:hint="eastAsia"/>
          <w:color w:val="000000" w:themeColor="text1"/>
          <w:szCs w:val="21"/>
        </w:rPr>
        <w:t>D</w:t>
      </w:r>
      <w:r w:rsidR="00AF194E" w:rsidRPr="00AF194E">
        <w:rPr>
          <w:rFonts w:ascii="Times New Roman" w:hAnsi="Times New Roman" w:cs="Times New Roman"/>
          <w:color w:val="000000" w:themeColor="text1"/>
          <w:szCs w:val="21"/>
        </w:rPr>
        <w:t xml:space="preserve">esulfurization </w:t>
      </w:r>
      <w:r w:rsidR="00AF194E" w:rsidRPr="00AF194E">
        <w:rPr>
          <w:rFonts w:ascii="Times New Roman" w:hAnsi="Times New Roman" w:cs="Times New Roman" w:hint="eastAsia"/>
          <w:color w:val="000000" w:themeColor="text1"/>
          <w:szCs w:val="21"/>
        </w:rPr>
        <w:t>g</w:t>
      </w:r>
      <w:r w:rsidR="00AF194E" w:rsidRPr="00AF194E">
        <w:rPr>
          <w:rFonts w:ascii="Times New Roman" w:hAnsi="Times New Roman" w:cs="Times New Roman"/>
          <w:color w:val="000000" w:themeColor="text1"/>
          <w:szCs w:val="21"/>
        </w:rPr>
        <w:t>ypsum</w:t>
      </w:r>
    </w:p>
    <w:p w14:paraId="5EE68D3E" w14:textId="08C62786" w:rsidR="00C65626" w:rsidRPr="00AF194E" w:rsidRDefault="00AF194E" w:rsidP="00AF194E">
      <w:pPr>
        <w:adjustRightInd w:val="0"/>
        <w:snapToGrid w:val="0"/>
        <w:spacing w:line="300" w:lineRule="auto"/>
        <w:ind w:firstLineChars="200" w:firstLine="420"/>
        <w:rPr>
          <w:rFonts w:ascii="Times New Roman" w:hAnsi="Times New Roman" w:cs="Times New Roman"/>
          <w:color w:val="000000" w:themeColor="text1"/>
          <w:szCs w:val="21"/>
        </w:rPr>
      </w:pPr>
      <w:r w:rsidRPr="00AF194E">
        <w:rPr>
          <w:rFonts w:ascii="Times New Roman" w:hAnsi="Times New Roman" w:cs="Times New Roman" w:hint="eastAsia"/>
          <w:color w:val="000000" w:themeColor="text1"/>
          <w:szCs w:val="21"/>
        </w:rPr>
        <w:t xml:space="preserve">An industrial solid waste obtained by absorbing SO2 generated from coal combustion with lime and limestone was provided by Zhengzhou </w:t>
      </w:r>
      <w:proofErr w:type="spellStart"/>
      <w:r w:rsidRPr="00AF194E">
        <w:rPr>
          <w:rFonts w:ascii="Times New Roman" w:hAnsi="Times New Roman" w:cs="Times New Roman" w:hint="eastAsia"/>
          <w:color w:val="000000" w:themeColor="text1"/>
          <w:szCs w:val="21"/>
        </w:rPr>
        <w:t>Guoneng</w:t>
      </w:r>
      <w:proofErr w:type="spellEnd"/>
      <w:r w:rsidRPr="00AF194E">
        <w:rPr>
          <w:rFonts w:ascii="Times New Roman" w:hAnsi="Times New Roman" w:cs="Times New Roman" w:hint="eastAsia"/>
          <w:color w:val="000000" w:themeColor="text1"/>
          <w:szCs w:val="21"/>
        </w:rPr>
        <w:t xml:space="preserve"> </w:t>
      </w:r>
      <w:proofErr w:type="spellStart"/>
      <w:r w:rsidRPr="00AF194E">
        <w:rPr>
          <w:rFonts w:ascii="Times New Roman" w:hAnsi="Times New Roman" w:cs="Times New Roman" w:hint="eastAsia"/>
          <w:color w:val="000000" w:themeColor="text1"/>
          <w:szCs w:val="21"/>
        </w:rPr>
        <w:t>Xingyang</w:t>
      </w:r>
      <w:proofErr w:type="spellEnd"/>
      <w:r w:rsidRPr="00AF194E">
        <w:rPr>
          <w:rFonts w:ascii="Times New Roman" w:hAnsi="Times New Roman" w:cs="Times New Roman" w:hint="eastAsia"/>
          <w:color w:val="000000" w:themeColor="text1"/>
          <w:szCs w:val="21"/>
        </w:rPr>
        <w:t xml:space="preserve"> Thermal Power Company. Its chemical composition was </w:t>
      </w:r>
      <w:proofErr w:type="spellStart"/>
      <w:r w:rsidRPr="00AF194E">
        <w:rPr>
          <w:rFonts w:ascii="Times New Roman" w:hAnsi="Times New Roman" w:cs="Times New Roman" w:hint="eastAsia"/>
          <w:color w:val="000000" w:themeColor="text1"/>
          <w:szCs w:val="21"/>
        </w:rPr>
        <w:t>characteri</w:t>
      </w:r>
      <w:r w:rsidR="002A1E38">
        <w:rPr>
          <w:rFonts w:ascii="Times New Roman" w:hAnsi="Times New Roman" w:cs="Times New Roman"/>
          <w:color w:val="000000" w:themeColor="text1"/>
          <w:szCs w:val="21"/>
        </w:rPr>
        <w:t>s</w:t>
      </w:r>
      <w:r w:rsidRPr="00AF194E">
        <w:rPr>
          <w:rFonts w:ascii="Times New Roman" w:hAnsi="Times New Roman" w:cs="Times New Roman" w:hint="eastAsia"/>
          <w:color w:val="000000" w:themeColor="text1"/>
          <w:szCs w:val="21"/>
        </w:rPr>
        <w:t>ed</w:t>
      </w:r>
      <w:proofErr w:type="spellEnd"/>
      <w:r w:rsidRPr="00AF194E">
        <w:rPr>
          <w:rFonts w:ascii="Times New Roman" w:hAnsi="Times New Roman" w:cs="Times New Roman" w:hint="eastAsia"/>
          <w:color w:val="000000" w:themeColor="text1"/>
          <w:szCs w:val="21"/>
        </w:rPr>
        <w:t xml:space="preserve"> by XRF, and the results are shown in Table 6. Wet dark yellow soil</w:t>
      </w:r>
      <w:r w:rsidR="002A1E38">
        <w:rPr>
          <w:rFonts w:ascii="Times New Roman" w:hAnsi="Times New Roman" w:cs="Times New Roman"/>
          <w:color w:val="000000" w:themeColor="text1"/>
          <w:szCs w:val="21"/>
        </w:rPr>
        <w:t>-</w:t>
      </w:r>
      <w:r w:rsidRPr="00AF194E">
        <w:rPr>
          <w:rFonts w:ascii="Times New Roman" w:hAnsi="Times New Roman" w:cs="Times New Roman" w:hint="eastAsia"/>
          <w:color w:val="000000" w:themeColor="text1"/>
          <w:szCs w:val="21"/>
        </w:rPr>
        <w:t>like particles need to be pre</w:t>
      </w:r>
      <w:r w:rsidR="002A1E38">
        <w:rPr>
          <w:rFonts w:ascii="Times New Roman" w:hAnsi="Times New Roman" w:cs="Times New Roman"/>
          <w:color w:val="000000" w:themeColor="text1"/>
          <w:szCs w:val="21"/>
        </w:rPr>
        <w:t>-</w:t>
      </w:r>
      <w:r w:rsidRPr="00AF194E">
        <w:rPr>
          <w:rFonts w:ascii="Times New Roman" w:hAnsi="Times New Roman" w:cs="Times New Roman" w:hint="eastAsia"/>
          <w:color w:val="000000" w:themeColor="text1"/>
          <w:szCs w:val="21"/>
        </w:rPr>
        <w:t xml:space="preserve">treated before use. They should be dried in a vacuum drying oven at 45 </w:t>
      </w:r>
      <w:r w:rsidRPr="00AF194E">
        <w:rPr>
          <w:rFonts w:ascii="Times New Roman" w:hAnsi="Times New Roman" w:cs="Times New Roman" w:hint="eastAsia"/>
          <w:color w:val="000000" w:themeColor="text1"/>
          <w:szCs w:val="21"/>
        </w:rPr>
        <w:t>°</w:t>
      </w:r>
      <w:r w:rsidRPr="00AF194E">
        <w:rPr>
          <w:rFonts w:ascii="Times New Roman" w:hAnsi="Times New Roman" w:cs="Times New Roman" w:hint="eastAsia"/>
          <w:color w:val="000000" w:themeColor="text1"/>
          <w:szCs w:val="21"/>
        </w:rPr>
        <w:t xml:space="preserve"> C for 24 hours, cooled, and ground in a small ball mill for 30 minutes before passing through a 70 mesh square sieve. According to the "Methods for Chemical Analysis of Gypsum" (GB/T 5484-2012), chemical analysis was carried out on it, and the attached water content was measured to be 14%, and the content of calcium sulfate dihydrate was 75%. </w:t>
      </w:r>
    </w:p>
    <w:tbl>
      <w:tblPr>
        <w:tblW w:w="7482" w:type="dxa"/>
        <w:jc w:val="center"/>
        <w:tblBorders>
          <w:top w:val="single" w:sz="12" w:space="0" w:color="000000"/>
          <w:bottom w:val="single" w:sz="12" w:space="0" w:color="000000"/>
          <w:insideH w:val="single" w:sz="4" w:space="0" w:color="000000"/>
        </w:tblBorders>
        <w:tblLayout w:type="fixed"/>
        <w:tblCellMar>
          <w:top w:w="28" w:type="dxa"/>
          <w:left w:w="85" w:type="dxa"/>
          <w:bottom w:w="28" w:type="dxa"/>
          <w:right w:w="85" w:type="dxa"/>
        </w:tblCellMar>
        <w:tblLook w:val="04A0" w:firstRow="1" w:lastRow="0" w:firstColumn="1" w:lastColumn="0" w:noHBand="0" w:noVBand="1"/>
      </w:tblPr>
      <w:tblGrid>
        <w:gridCol w:w="2312"/>
        <w:gridCol w:w="710"/>
        <w:gridCol w:w="665"/>
        <w:gridCol w:w="665"/>
        <w:gridCol w:w="720"/>
        <w:gridCol w:w="851"/>
        <w:gridCol w:w="709"/>
        <w:gridCol w:w="850"/>
      </w:tblGrid>
      <w:tr w:rsidR="00E91902" w:rsidRPr="005E0F90" w14:paraId="1FD019D8" w14:textId="77777777" w:rsidTr="00E91902">
        <w:trPr>
          <w:trHeight w:val="340"/>
          <w:jc w:val="center"/>
        </w:trPr>
        <w:tc>
          <w:tcPr>
            <w:tcW w:w="2312" w:type="dxa"/>
            <w:tcBorders>
              <w:top w:val="single" w:sz="12" w:space="0" w:color="auto"/>
              <w:left w:val="nil"/>
              <w:bottom w:val="single" w:sz="4" w:space="0" w:color="auto"/>
              <w:right w:val="nil"/>
            </w:tcBorders>
            <w:vAlign w:val="center"/>
          </w:tcPr>
          <w:p w14:paraId="2F5FFD0B" w14:textId="77777777" w:rsidR="00E91902" w:rsidRPr="00AF194E" w:rsidRDefault="00E91902" w:rsidP="00AF194E">
            <w:pPr>
              <w:widowControl/>
              <w:spacing w:before="100" w:beforeAutospacing="1" w:line="300" w:lineRule="auto"/>
              <w:jc w:val="center"/>
              <w:rPr>
                <w:color w:val="000000" w:themeColor="text1"/>
                <w:szCs w:val="21"/>
                <w14:ligatures w14:val="standardContextual"/>
              </w:rPr>
            </w:pPr>
            <w:bookmarkStart w:id="6" w:name="_Hlk213581467"/>
            <w:r w:rsidRPr="00AF194E">
              <w:rPr>
                <w:rFonts w:hint="eastAsia"/>
                <w:color w:val="000000" w:themeColor="text1"/>
                <w:szCs w:val="21"/>
                <w14:ligatures w14:val="standardContextual"/>
              </w:rPr>
              <w:t>Chemical Composition</w:t>
            </w:r>
          </w:p>
        </w:tc>
        <w:tc>
          <w:tcPr>
            <w:tcW w:w="710" w:type="dxa"/>
            <w:tcBorders>
              <w:top w:val="single" w:sz="12" w:space="0" w:color="auto"/>
              <w:left w:val="nil"/>
              <w:bottom w:val="single" w:sz="4" w:space="0" w:color="auto"/>
              <w:right w:val="nil"/>
            </w:tcBorders>
            <w:vAlign w:val="center"/>
          </w:tcPr>
          <w:p w14:paraId="107B5608" w14:textId="1B0DF384"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SO</w:t>
            </w:r>
            <w:r w:rsidRPr="00AF194E">
              <w:rPr>
                <w:rFonts w:hint="eastAsia"/>
                <w:color w:val="000000" w:themeColor="text1"/>
                <w:szCs w:val="21"/>
                <w:vertAlign w:val="subscript"/>
                <w14:ligatures w14:val="standardContextual"/>
              </w:rPr>
              <w:t>3</w:t>
            </w:r>
          </w:p>
        </w:tc>
        <w:tc>
          <w:tcPr>
            <w:tcW w:w="665" w:type="dxa"/>
            <w:tcBorders>
              <w:top w:val="single" w:sz="12" w:space="0" w:color="auto"/>
              <w:left w:val="nil"/>
              <w:bottom w:val="single" w:sz="4" w:space="0" w:color="auto"/>
              <w:right w:val="nil"/>
            </w:tcBorders>
            <w:vAlign w:val="center"/>
          </w:tcPr>
          <w:p w14:paraId="66A02BDF" w14:textId="29D27CA6"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CaO</w:t>
            </w:r>
          </w:p>
        </w:tc>
        <w:tc>
          <w:tcPr>
            <w:tcW w:w="665" w:type="dxa"/>
            <w:tcBorders>
              <w:top w:val="single" w:sz="12" w:space="0" w:color="auto"/>
              <w:left w:val="nil"/>
              <w:bottom w:val="single" w:sz="4" w:space="0" w:color="auto"/>
              <w:right w:val="nil"/>
            </w:tcBorders>
            <w:vAlign w:val="center"/>
          </w:tcPr>
          <w:p w14:paraId="29C00858" w14:textId="26AB739E"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Si</w:t>
            </w:r>
            <w:r w:rsidRPr="00AF194E">
              <w:rPr>
                <w:color w:val="000000" w:themeColor="text1"/>
                <w:szCs w:val="21"/>
                <w14:ligatures w14:val="standardContextual"/>
              </w:rPr>
              <w:t>O</w:t>
            </w:r>
            <w:r w:rsidRPr="00AF194E">
              <w:rPr>
                <w:rFonts w:hint="eastAsia"/>
                <w:color w:val="000000" w:themeColor="text1"/>
                <w:szCs w:val="21"/>
                <w:vertAlign w:val="subscript"/>
                <w14:ligatures w14:val="standardContextual"/>
              </w:rPr>
              <w:t>2</w:t>
            </w:r>
          </w:p>
        </w:tc>
        <w:tc>
          <w:tcPr>
            <w:tcW w:w="720" w:type="dxa"/>
            <w:tcBorders>
              <w:top w:val="single" w:sz="12" w:space="0" w:color="auto"/>
              <w:left w:val="nil"/>
              <w:bottom w:val="single" w:sz="4" w:space="0" w:color="auto"/>
              <w:right w:val="nil"/>
            </w:tcBorders>
            <w:vAlign w:val="center"/>
          </w:tcPr>
          <w:p w14:paraId="470CD4E3" w14:textId="7DB621AA"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Al</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r w:rsidRPr="00AF194E">
              <w:rPr>
                <w:color w:val="000000" w:themeColor="text1"/>
                <w:szCs w:val="21"/>
                <w:vertAlign w:val="subscript"/>
                <w14:ligatures w14:val="standardContextual"/>
              </w:rPr>
              <w:t>3</w:t>
            </w:r>
          </w:p>
        </w:tc>
        <w:tc>
          <w:tcPr>
            <w:tcW w:w="851" w:type="dxa"/>
            <w:tcBorders>
              <w:top w:val="single" w:sz="12" w:space="0" w:color="auto"/>
              <w:left w:val="nil"/>
              <w:bottom w:val="single" w:sz="4" w:space="0" w:color="auto"/>
              <w:right w:val="nil"/>
            </w:tcBorders>
            <w:vAlign w:val="center"/>
          </w:tcPr>
          <w:p w14:paraId="524FD5CA" w14:textId="5BC9DA36"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MgO</w:t>
            </w:r>
          </w:p>
        </w:tc>
        <w:tc>
          <w:tcPr>
            <w:tcW w:w="709" w:type="dxa"/>
            <w:tcBorders>
              <w:top w:val="single" w:sz="12" w:space="0" w:color="auto"/>
              <w:left w:val="nil"/>
              <w:bottom w:val="single" w:sz="4" w:space="0" w:color="auto"/>
              <w:right w:val="nil"/>
            </w:tcBorders>
            <w:vAlign w:val="center"/>
          </w:tcPr>
          <w:p w14:paraId="5BC9919B" w14:textId="62A85F2C"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Fe</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r w:rsidRPr="00AF194E">
              <w:rPr>
                <w:color w:val="000000" w:themeColor="text1"/>
                <w:szCs w:val="21"/>
                <w:vertAlign w:val="subscript"/>
                <w14:ligatures w14:val="standardContextual"/>
              </w:rPr>
              <w:t>3</w:t>
            </w:r>
          </w:p>
        </w:tc>
        <w:tc>
          <w:tcPr>
            <w:tcW w:w="850" w:type="dxa"/>
            <w:tcBorders>
              <w:top w:val="single" w:sz="12" w:space="0" w:color="auto"/>
              <w:left w:val="nil"/>
              <w:bottom w:val="single" w:sz="4" w:space="0" w:color="auto"/>
              <w:right w:val="nil"/>
            </w:tcBorders>
            <w:vAlign w:val="center"/>
          </w:tcPr>
          <w:p w14:paraId="5EE3BE60" w14:textId="25B0550E"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K</w:t>
            </w:r>
            <w:r w:rsidRPr="00AF194E">
              <w:rPr>
                <w:color w:val="000000" w:themeColor="text1"/>
                <w:szCs w:val="21"/>
                <w:vertAlign w:val="subscript"/>
                <w14:ligatures w14:val="standardContextual"/>
              </w:rPr>
              <w:t>2</w:t>
            </w:r>
            <w:r w:rsidRPr="00AF194E">
              <w:rPr>
                <w:color w:val="000000" w:themeColor="text1"/>
                <w:szCs w:val="21"/>
                <w14:ligatures w14:val="standardContextual"/>
              </w:rPr>
              <w:t>O</w:t>
            </w:r>
          </w:p>
        </w:tc>
      </w:tr>
      <w:tr w:rsidR="00E91902" w:rsidRPr="005E0F90" w14:paraId="6179D886" w14:textId="77777777" w:rsidTr="00E91902">
        <w:trPr>
          <w:trHeight w:val="341"/>
          <w:jc w:val="center"/>
        </w:trPr>
        <w:tc>
          <w:tcPr>
            <w:tcW w:w="2312" w:type="dxa"/>
            <w:tcBorders>
              <w:top w:val="single" w:sz="4" w:space="0" w:color="auto"/>
              <w:left w:val="nil"/>
              <w:bottom w:val="single" w:sz="12" w:space="0" w:color="auto"/>
              <w:right w:val="nil"/>
            </w:tcBorders>
            <w:vAlign w:val="center"/>
          </w:tcPr>
          <w:p w14:paraId="0D7C2812" w14:textId="2C64BA19" w:rsidR="00E91902" w:rsidRPr="00AF194E" w:rsidRDefault="00AF194E" w:rsidP="00AF194E">
            <w:pPr>
              <w:widowControl/>
              <w:spacing w:before="100" w:beforeAutospacing="1" w:line="300" w:lineRule="auto"/>
              <w:jc w:val="center"/>
              <w:rPr>
                <w:color w:val="000000" w:themeColor="text1"/>
                <w:szCs w:val="21"/>
                <w14:ligatures w14:val="standardContextual"/>
              </w:rPr>
            </w:pPr>
            <w:r w:rsidRPr="00735B94">
              <w:rPr>
                <w:rFonts w:hint="eastAsia"/>
                <w:color w:val="000000" w:themeColor="text1"/>
                <w:szCs w:val="21"/>
                <w14:ligatures w14:val="standardContextual"/>
              </w:rPr>
              <w:t>Content</w:t>
            </w:r>
            <w:r w:rsidRPr="00735B94">
              <w:rPr>
                <w:color w:val="000000" w:themeColor="text1"/>
                <w:szCs w:val="21"/>
                <w14:ligatures w14:val="standardContextual"/>
              </w:rPr>
              <w:t>/%</w:t>
            </w:r>
          </w:p>
        </w:tc>
        <w:tc>
          <w:tcPr>
            <w:tcW w:w="710" w:type="dxa"/>
            <w:tcBorders>
              <w:top w:val="single" w:sz="4" w:space="0" w:color="auto"/>
              <w:left w:val="nil"/>
              <w:bottom w:val="single" w:sz="12" w:space="0" w:color="auto"/>
              <w:right w:val="nil"/>
            </w:tcBorders>
            <w:vAlign w:val="center"/>
          </w:tcPr>
          <w:p w14:paraId="6F1A01A5" w14:textId="2624E494"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54.92</w:t>
            </w:r>
          </w:p>
        </w:tc>
        <w:tc>
          <w:tcPr>
            <w:tcW w:w="665" w:type="dxa"/>
            <w:tcBorders>
              <w:top w:val="single" w:sz="4" w:space="0" w:color="auto"/>
              <w:left w:val="nil"/>
              <w:bottom w:val="single" w:sz="12" w:space="0" w:color="auto"/>
              <w:right w:val="nil"/>
            </w:tcBorders>
            <w:vAlign w:val="center"/>
          </w:tcPr>
          <w:p w14:paraId="53BDFF3E" w14:textId="52CB6A50"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38.97</w:t>
            </w:r>
          </w:p>
        </w:tc>
        <w:tc>
          <w:tcPr>
            <w:tcW w:w="665" w:type="dxa"/>
            <w:tcBorders>
              <w:top w:val="single" w:sz="4" w:space="0" w:color="auto"/>
              <w:left w:val="nil"/>
              <w:bottom w:val="single" w:sz="12" w:space="0" w:color="auto"/>
              <w:right w:val="nil"/>
            </w:tcBorders>
            <w:vAlign w:val="center"/>
          </w:tcPr>
          <w:p w14:paraId="3AF5C15E" w14:textId="5593943C"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2.24</w:t>
            </w:r>
          </w:p>
        </w:tc>
        <w:tc>
          <w:tcPr>
            <w:tcW w:w="720" w:type="dxa"/>
            <w:tcBorders>
              <w:top w:val="single" w:sz="4" w:space="0" w:color="auto"/>
              <w:left w:val="nil"/>
              <w:bottom w:val="single" w:sz="12" w:space="0" w:color="auto"/>
              <w:right w:val="nil"/>
            </w:tcBorders>
            <w:vAlign w:val="center"/>
          </w:tcPr>
          <w:p w14:paraId="010816CF" w14:textId="1B35B510"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rFonts w:hint="eastAsia"/>
                <w:color w:val="000000" w:themeColor="text1"/>
                <w:szCs w:val="21"/>
                <w14:ligatures w14:val="standardContextual"/>
              </w:rPr>
              <w:t>1.49</w:t>
            </w:r>
          </w:p>
        </w:tc>
        <w:tc>
          <w:tcPr>
            <w:tcW w:w="851" w:type="dxa"/>
            <w:tcBorders>
              <w:top w:val="single" w:sz="4" w:space="0" w:color="auto"/>
              <w:left w:val="nil"/>
              <w:bottom w:val="single" w:sz="12" w:space="0" w:color="auto"/>
              <w:right w:val="nil"/>
            </w:tcBorders>
            <w:vAlign w:val="center"/>
          </w:tcPr>
          <w:p w14:paraId="2E5FA6A4" w14:textId="0EEE3156"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w:t>
            </w:r>
            <w:r w:rsidRPr="00AF194E">
              <w:rPr>
                <w:rFonts w:hint="eastAsia"/>
                <w:color w:val="000000" w:themeColor="text1"/>
                <w:szCs w:val="21"/>
                <w14:ligatures w14:val="standardContextual"/>
              </w:rPr>
              <w:t>84</w:t>
            </w:r>
          </w:p>
        </w:tc>
        <w:tc>
          <w:tcPr>
            <w:tcW w:w="709" w:type="dxa"/>
            <w:tcBorders>
              <w:top w:val="single" w:sz="4" w:space="0" w:color="auto"/>
              <w:left w:val="nil"/>
              <w:bottom w:val="single" w:sz="12" w:space="0" w:color="auto"/>
              <w:right w:val="nil"/>
            </w:tcBorders>
            <w:vAlign w:val="center"/>
          </w:tcPr>
          <w:p w14:paraId="2688B833" w14:textId="37C5EC89"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w:t>
            </w:r>
            <w:r w:rsidRPr="00AF194E">
              <w:rPr>
                <w:rFonts w:hint="eastAsia"/>
                <w:color w:val="000000" w:themeColor="text1"/>
                <w:szCs w:val="21"/>
                <w14:ligatures w14:val="standardContextual"/>
              </w:rPr>
              <w:t>56</w:t>
            </w:r>
          </w:p>
        </w:tc>
        <w:tc>
          <w:tcPr>
            <w:tcW w:w="850" w:type="dxa"/>
            <w:tcBorders>
              <w:top w:val="single" w:sz="4" w:space="0" w:color="auto"/>
              <w:left w:val="nil"/>
              <w:bottom w:val="single" w:sz="12" w:space="0" w:color="auto"/>
              <w:right w:val="nil"/>
            </w:tcBorders>
            <w:vAlign w:val="center"/>
          </w:tcPr>
          <w:p w14:paraId="660F3A9A" w14:textId="06870245" w:rsidR="00E91902" w:rsidRPr="00AF194E" w:rsidRDefault="00E91902" w:rsidP="00AF194E">
            <w:pPr>
              <w:widowControl/>
              <w:spacing w:before="100" w:beforeAutospacing="1" w:line="300" w:lineRule="auto"/>
              <w:jc w:val="center"/>
              <w:rPr>
                <w:color w:val="000000" w:themeColor="text1"/>
                <w:szCs w:val="21"/>
                <w14:ligatures w14:val="standardContextual"/>
              </w:rPr>
            </w:pPr>
            <w:r w:rsidRPr="00AF194E">
              <w:rPr>
                <w:color w:val="000000" w:themeColor="text1"/>
                <w:szCs w:val="21"/>
                <w14:ligatures w14:val="standardContextual"/>
              </w:rPr>
              <w:t>0.</w:t>
            </w:r>
            <w:r w:rsidRPr="00AF194E">
              <w:rPr>
                <w:rFonts w:hint="eastAsia"/>
                <w:color w:val="000000" w:themeColor="text1"/>
                <w:szCs w:val="21"/>
                <w14:ligatures w14:val="standardContextual"/>
              </w:rPr>
              <w:t>98</w:t>
            </w:r>
          </w:p>
        </w:tc>
      </w:tr>
    </w:tbl>
    <w:bookmarkEnd w:id="6"/>
    <w:p w14:paraId="1A747C1A" w14:textId="48F082D6" w:rsidR="00EE46B0" w:rsidRDefault="00EE46B0" w:rsidP="00AF194E">
      <w:pPr>
        <w:widowControl/>
        <w:adjustRightInd w:val="0"/>
        <w:snapToGrid w:val="0"/>
        <w:jc w:val="center"/>
        <w:rPr>
          <w:rFonts w:ascii="Times New Roman" w:hAnsi="Times New Roman" w:cs="Times New Roman"/>
          <w:color w:val="000000" w:themeColor="text1"/>
          <w:szCs w:val="21"/>
          <w14:ligatures w14:val="standardContextual"/>
        </w:rPr>
      </w:pPr>
      <w:r w:rsidRPr="00AF194E">
        <w:rPr>
          <w:rFonts w:ascii="Times New Roman" w:hAnsi="Times New Roman" w:cs="Times New Roman"/>
          <w:color w:val="000000" w:themeColor="text1"/>
          <w:szCs w:val="21"/>
          <w14:ligatures w14:val="standardContextual"/>
        </w:rPr>
        <w:t xml:space="preserve">Table. </w:t>
      </w:r>
      <w:r w:rsidRPr="00AF194E">
        <w:rPr>
          <w:rFonts w:ascii="Times New Roman" w:hAnsi="Times New Roman" w:cs="Times New Roman" w:hint="eastAsia"/>
          <w:color w:val="000000" w:themeColor="text1"/>
          <w:szCs w:val="21"/>
          <w14:ligatures w14:val="standardContextual"/>
        </w:rPr>
        <w:t>6</w:t>
      </w:r>
      <w:r w:rsidRPr="00AF194E">
        <w:rPr>
          <w:rFonts w:ascii="Times New Roman" w:hAnsi="Times New Roman" w:cs="Times New Roman"/>
          <w:color w:val="000000" w:themeColor="text1"/>
          <w:szCs w:val="21"/>
          <w14:ligatures w14:val="standardContextual"/>
        </w:rPr>
        <w:t xml:space="preserve"> Chemical composition of </w:t>
      </w:r>
      <w:bookmarkStart w:id="7" w:name="OLE_LINK17"/>
      <w:r w:rsidRPr="00AF194E">
        <w:rPr>
          <w:rFonts w:ascii="Times New Roman" w:hAnsi="Times New Roman" w:cs="Times New Roman" w:hint="eastAsia"/>
          <w:color w:val="000000" w:themeColor="text1"/>
          <w:szCs w:val="21"/>
          <w14:ligatures w14:val="standardContextual"/>
        </w:rPr>
        <w:t>d</w:t>
      </w:r>
      <w:r w:rsidRPr="00AF194E">
        <w:rPr>
          <w:rFonts w:ascii="Times New Roman" w:hAnsi="Times New Roman" w:cs="Times New Roman"/>
          <w:color w:val="000000" w:themeColor="text1"/>
          <w:szCs w:val="21"/>
          <w14:ligatures w14:val="standardContextual"/>
        </w:rPr>
        <w:t xml:space="preserve">esulfurization </w:t>
      </w:r>
      <w:r w:rsidRPr="00AF194E">
        <w:rPr>
          <w:rFonts w:ascii="Times New Roman" w:hAnsi="Times New Roman" w:cs="Times New Roman" w:hint="eastAsia"/>
          <w:color w:val="000000" w:themeColor="text1"/>
          <w:szCs w:val="21"/>
          <w14:ligatures w14:val="standardContextual"/>
        </w:rPr>
        <w:t>g</w:t>
      </w:r>
      <w:r w:rsidRPr="00AF194E">
        <w:rPr>
          <w:rFonts w:ascii="Times New Roman" w:hAnsi="Times New Roman" w:cs="Times New Roman"/>
          <w:color w:val="000000" w:themeColor="text1"/>
          <w:szCs w:val="21"/>
          <w14:ligatures w14:val="standardContextual"/>
        </w:rPr>
        <w:t>ypsum</w:t>
      </w:r>
      <w:bookmarkEnd w:id="7"/>
    </w:p>
    <w:p w14:paraId="73E482A8" w14:textId="77777777" w:rsidR="00AF194E" w:rsidRPr="00AF194E" w:rsidRDefault="00AF194E" w:rsidP="00AF194E">
      <w:pPr>
        <w:widowControl/>
        <w:adjustRightInd w:val="0"/>
        <w:snapToGrid w:val="0"/>
        <w:jc w:val="center"/>
        <w:rPr>
          <w:rFonts w:ascii="Times New Roman" w:hAnsi="Times New Roman" w:cs="Times New Roman"/>
          <w:color w:val="000000" w:themeColor="text1"/>
          <w:szCs w:val="21"/>
          <w14:ligatures w14:val="standardContextual"/>
        </w:rPr>
      </w:pPr>
    </w:p>
    <w:p w14:paraId="2DE43B40" w14:textId="3A204C86" w:rsidR="005207A7" w:rsidRPr="00AF194E" w:rsidRDefault="00AF194E" w:rsidP="00AF194E">
      <w:pPr>
        <w:adjustRightInd w:val="0"/>
        <w:snapToGrid w:val="0"/>
        <w:rPr>
          <w:rFonts w:ascii="Times New Roman" w:eastAsia="SimSun" w:hAnsi="Times New Roman" w:cs="Times New Roman"/>
          <w:b/>
          <w:bCs/>
          <w:szCs w:val="21"/>
        </w:rPr>
      </w:pPr>
      <w:r w:rsidRPr="00AF194E">
        <w:rPr>
          <w:rFonts w:ascii="Times New Roman" w:eastAsia="SimSun" w:hAnsi="Times New Roman" w:cs="Times New Roman" w:hint="eastAsia"/>
          <w:b/>
          <w:bCs/>
          <w:szCs w:val="21"/>
        </w:rPr>
        <w:lastRenderedPageBreak/>
        <w:t>2</w:t>
      </w:r>
      <w:r w:rsidR="005207A7" w:rsidRPr="00AF194E">
        <w:rPr>
          <w:rFonts w:ascii="Times New Roman" w:eastAsia="SimSun" w:hAnsi="Times New Roman" w:cs="Times New Roman" w:hint="eastAsia"/>
          <w:b/>
          <w:bCs/>
          <w:szCs w:val="21"/>
        </w:rPr>
        <w:t>.2</w:t>
      </w:r>
      <w:r w:rsidRPr="00AF194E">
        <w:rPr>
          <w:rFonts w:ascii="Times New Roman" w:eastAsia="SimSun" w:hAnsi="Times New Roman" w:cs="Times New Roman"/>
          <w:b/>
          <w:bCs/>
          <w:szCs w:val="21"/>
        </w:rPr>
        <w:t xml:space="preserve"> </w:t>
      </w:r>
      <w:r w:rsidRPr="00AF194E">
        <w:rPr>
          <w:rFonts w:ascii="Times New Roman" w:eastAsia="SimSun" w:hAnsi="Times New Roman" w:cs="Times New Roman" w:hint="eastAsia"/>
          <w:b/>
          <w:bCs/>
          <w:szCs w:val="21"/>
        </w:rPr>
        <w:t>E</w:t>
      </w:r>
      <w:r w:rsidRPr="00AF194E">
        <w:rPr>
          <w:rFonts w:ascii="Times New Roman" w:eastAsia="SimSun" w:hAnsi="Times New Roman" w:cs="Times New Roman"/>
          <w:b/>
          <w:bCs/>
          <w:szCs w:val="21"/>
        </w:rPr>
        <w:t>xperimental design</w:t>
      </w:r>
    </w:p>
    <w:p w14:paraId="2C233AF4" w14:textId="1CFC60D5" w:rsidR="00EE46B0" w:rsidRPr="00AF194E" w:rsidRDefault="00AF194E" w:rsidP="00AF194E">
      <w:pPr>
        <w:adjustRightInd w:val="0"/>
        <w:snapToGrid w:val="0"/>
        <w:spacing w:line="300" w:lineRule="auto"/>
        <w:ind w:firstLineChars="200" w:firstLine="420"/>
        <w:rPr>
          <w:rFonts w:ascii="Times New Roman" w:hAnsi="Times New Roman" w:cs="Times New Roman"/>
          <w:color w:val="000000" w:themeColor="text1"/>
          <w:szCs w:val="21"/>
        </w:rPr>
      </w:pPr>
      <w:r w:rsidRPr="00AF194E">
        <w:rPr>
          <w:rFonts w:ascii="Times New Roman" w:hAnsi="Times New Roman" w:cs="Times New Roman" w:hint="eastAsia"/>
          <w:color w:val="000000" w:themeColor="text1"/>
          <w:szCs w:val="21"/>
        </w:rPr>
        <w:t>In this experiment, coal gangue aggregate with a thickness of less than 2mm is used instead of standard sand. The ratio of solid waste cementitious material to coal gangue is 1:1.5, and the water</w:t>
      </w:r>
      <w:r w:rsidR="002A1E38">
        <w:rPr>
          <w:rFonts w:ascii="Times New Roman" w:hAnsi="Times New Roman" w:cs="Times New Roman"/>
          <w:color w:val="000000" w:themeColor="text1"/>
          <w:szCs w:val="21"/>
        </w:rPr>
        <w:t>-</w:t>
      </w:r>
      <w:r w:rsidRPr="00AF194E">
        <w:rPr>
          <w:rFonts w:ascii="Times New Roman" w:hAnsi="Times New Roman" w:cs="Times New Roman" w:hint="eastAsia"/>
          <w:color w:val="000000" w:themeColor="text1"/>
          <w:szCs w:val="21"/>
        </w:rPr>
        <w:t xml:space="preserve">cement ratio is 0.52. According to the requirements and steps of GB/T17671-1999 "Test Method for Strength of Cement Mortar (ISO Method)", the test block is formed by weighing the material with an electronic scale that meets the test accuracy, pouring the evenly mixed powder into a mixing pot, adding water, and stirring according to the procedure until the corresponding time is reached. The mixed material is divided into two parts and loaded into a 40mm </w:t>
      </w:r>
      <w:r w:rsidRPr="00AF194E">
        <w:rPr>
          <w:rFonts w:ascii="Times New Roman" w:hAnsi="Times New Roman" w:cs="Times New Roman" w:hint="eastAsia"/>
          <w:color w:val="000000" w:themeColor="text1"/>
          <w:szCs w:val="21"/>
        </w:rPr>
        <w:t>×</w:t>
      </w:r>
      <w:r w:rsidRPr="00AF194E">
        <w:rPr>
          <w:rFonts w:ascii="Times New Roman" w:hAnsi="Times New Roman" w:cs="Times New Roman" w:hint="eastAsia"/>
          <w:color w:val="000000" w:themeColor="text1"/>
          <w:szCs w:val="21"/>
        </w:rPr>
        <w:t xml:space="preserve"> 40mm </w:t>
      </w:r>
      <w:r w:rsidRPr="00AF194E">
        <w:rPr>
          <w:rFonts w:ascii="Times New Roman" w:hAnsi="Times New Roman" w:cs="Times New Roman" w:hint="eastAsia"/>
          <w:color w:val="000000" w:themeColor="text1"/>
          <w:szCs w:val="21"/>
        </w:rPr>
        <w:t>×</w:t>
      </w:r>
      <w:r w:rsidRPr="00AF194E">
        <w:rPr>
          <w:rFonts w:ascii="Times New Roman" w:hAnsi="Times New Roman" w:cs="Times New Roman" w:hint="eastAsia"/>
          <w:color w:val="000000" w:themeColor="text1"/>
          <w:szCs w:val="21"/>
        </w:rPr>
        <w:t xml:space="preserve"> 160mm test mold. It is then compacted and smoothed on a cement mortar compaction table to make the surface smooth. After being cured in a standard curing box for 1 day, the mold is removed and numbered. The test piece is taken out after continuing to cure for 3 days and 28 days, and the surface moisture is wiped dry before conducting compressive strength testing according to the specifications. Using the </w:t>
      </w:r>
      <w:proofErr w:type="gramStart"/>
      <w:r w:rsidRPr="00AF194E">
        <w:rPr>
          <w:rFonts w:ascii="Times New Roman" w:hAnsi="Times New Roman" w:cs="Times New Roman" w:hint="eastAsia"/>
          <w:color w:val="000000" w:themeColor="text1"/>
          <w:szCs w:val="21"/>
        </w:rPr>
        <w:t>28 day</w:t>
      </w:r>
      <w:proofErr w:type="gramEnd"/>
      <w:r w:rsidRPr="00AF194E">
        <w:rPr>
          <w:rFonts w:ascii="Times New Roman" w:hAnsi="Times New Roman" w:cs="Times New Roman" w:hint="eastAsia"/>
          <w:color w:val="000000" w:themeColor="text1"/>
          <w:szCs w:val="21"/>
        </w:rPr>
        <w:t xml:space="preserve"> compressive strength value as the response value, the optimal level combination between different factors was predicted through response surface optimization. The factors and levels are shown in Table 7.</w:t>
      </w:r>
    </w:p>
    <w:tbl>
      <w:tblPr>
        <w:tblW w:w="5072" w:type="dxa"/>
        <w:jc w:val="center"/>
        <w:tblBorders>
          <w:top w:val="single" w:sz="12" w:space="0" w:color="000000"/>
          <w:bottom w:val="single" w:sz="12" w:space="0" w:color="000000"/>
          <w:insideH w:val="single" w:sz="4" w:space="0" w:color="000000"/>
        </w:tblBorders>
        <w:tblLayout w:type="fixed"/>
        <w:tblCellMar>
          <w:top w:w="28" w:type="dxa"/>
          <w:left w:w="85" w:type="dxa"/>
          <w:bottom w:w="28" w:type="dxa"/>
          <w:right w:w="85" w:type="dxa"/>
        </w:tblCellMar>
        <w:tblLook w:val="04A0" w:firstRow="1" w:lastRow="0" w:firstColumn="1" w:lastColumn="0" w:noHBand="0" w:noVBand="1"/>
      </w:tblPr>
      <w:tblGrid>
        <w:gridCol w:w="2694"/>
        <w:gridCol w:w="708"/>
        <w:gridCol w:w="426"/>
        <w:gridCol w:w="524"/>
        <w:gridCol w:w="720"/>
      </w:tblGrid>
      <w:tr w:rsidR="00D70699" w:rsidRPr="005E0F90" w14:paraId="18028983" w14:textId="77777777" w:rsidTr="0006020D">
        <w:trPr>
          <w:trHeight w:val="340"/>
          <w:jc w:val="center"/>
        </w:trPr>
        <w:tc>
          <w:tcPr>
            <w:tcW w:w="2694" w:type="dxa"/>
            <w:vMerge w:val="restart"/>
            <w:tcBorders>
              <w:top w:val="single" w:sz="4" w:space="0" w:color="auto"/>
              <w:left w:val="nil"/>
              <w:right w:val="nil"/>
            </w:tcBorders>
            <w:vAlign w:val="center"/>
          </w:tcPr>
          <w:p w14:paraId="4A583095" w14:textId="318FA381" w:rsidR="00D70699" w:rsidRPr="0006020D" w:rsidRDefault="0006020D"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F</w:t>
            </w:r>
            <w:r w:rsidR="00AF194E" w:rsidRPr="0006020D">
              <w:rPr>
                <w:rFonts w:hint="eastAsia"/>
                <w:color w:val="000000" w:themeColor="text1"/>
                <w:szCs w:val="21"/>
                <w14:ligatures w14:val="standardContextual"/>
              </w:rPr>
              <w:t>actor</w:t>
            </w:r>
          </w:p>
        </w:tc>
        <w:tc>
          <w:tcPr>
            <w:tcW w:w="708" w:type="dxa"/>
            <w:vMerge w:val="restart"/>
            <w:tcBorders>
              <w:top w:val="single" w:sz="4" w:space="0" w:color="auto"/>
              <w:left w:val="nil"/>
              <w:right w:val="nil"/>
            </w:tcBorders>
            <w:vAlign w:val="center"/>
          </w:tcPr>
          <w:p w14:paraId="344CB20D" w14:textId="5AD46362" w:rsidR="00D70699" w:rsidRPr="0006020D" w:rsidRDefault="0006020D"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Coding</w:t>
            </w:r>
          </w:p>
        </w:tc>
        <w:tc>
          <w:tcPr>
            <w:tcW w:w="1670" w:type="dxa"/>
            <w:gridSpan w:val="3"/>
            <w:tcBorders>
              <w:top w:val="single" w:sz="4" w:space="0" w:color="auto"/>
              <w:left w:val="nil"/>
              <w:bottom w:val="single" w:sz="4" w:space="0" w:color="auto"/>
              <w:right w:val="nil"/>
            </w:tcBorders>
            <w:vAlign w:val="center"/>
          </w:tcPr>
          <w:p w14:paraId="7E6207DB" w14:textId="09918F95" w:rsidR="00D70699" w:rsidRPr="0006020D" w:rsidRDefault="0006020D"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Level</w:t>
            </w:r>
          </w:p>
        </w:tc>
      </w:tr>
      <w:tr w:rsidR="00D70699" w:rsidRPr="005E0F90" w14:paraId="5B0DCDCA" w14:textId="77777777" w:rsidTr="0006020D">
        <w:trPr>
          <w:trHeight w:val="341"/>
          <w:jc w:val="center"/>
        </w:trPr>
        <w:tc>
          <w:tcPr>
            <w:tcW w:w="2694" w:type="dxa"/>
            <w:vMerge/>
            <w:tcBorders>
              <w:left w:val="nil"/>
              <w:bottom w:val="single" w:sz="4" w:space="0" w:color="auto"/>
              <w:right w:val="nil"/>
            </w:tcBorders>
            <w:vAlign w:val="center"/>
          </w:tcPr>
          <w:p w14:paraId="3462321E" w14:textId="1E5E76F0" w:rsidR="00D70699" w:rsidRPr="0006020D" w:rsidRDefault="00D70699" w:rsidP="0006020D">
            <w:pPr>
              <w:widowControl/>
              <w:spacing w:before="100" w:beforeAutospacing="1" w:line="300" w:lineRule="auto"/>
              <w:jc w:val="center"/>
              <w:rPr>
                <w:color w:val="000000" w:themeColor="text1"/>
                <w:szCs w:val="21"/>
                <w14:ligatures w14:val="standardContextual"/>
              </w:rPr>
            </w:pPr>
          </w:p>
        </w:tc>
        <w:tc>
          <w:tcPr>
            <w:tcW w:w="708" w:type="dxa"/>
            <w:vMerge/>
            <w:tcBorders>
              <w:left w:val="nil"/>
              <w:bottom w:val="single" w:sz="4" w:space="0" w:color="auto"/>
              <w:right w:val="nil"/>
            </w:tcBorders>
            <w:vAlign w:val="center"/>
          </w:tcPr>
          <w:p w14:paraId="36298656" w14:textId="29D2FDC7" w:rsidR="00D70699" w:rsidRPr="0006020D" w:rsidRDefault="00D70699" w:rsidP="0006020D">
            <w:pPr>
              <w:widowControl/>
              <w:spacing w:before="100" w:beforeAutospacing="1" w:line="300" w:lineRule="auto"/>
              <w:jc w:val="center"/>
              <w:rPr>
                <w:color w:val="000000" w:themeColor="text1"/>
                <w:szCs w:val="21"/>
                <w14:ligatures w14:val="standardContextual"/>
              </w:rPr>
            </w:pPr>
          </w:p>
        </w:tc>
        <w:tc>
          <w:tcPr>
            <w:tcW w:w="426" w:type="dxa"/>
            <w:tcBorders>
              <w:top w:val="single" w:sz="4" w:space="0" w:color="auto"/>
              <w:left w:val="nil"/>
              <w:bottom w:val="single" w:sz="4" w:space="0" w:color="auto"/>
              <w:right w:val="nil"/>
            </w:tcBorders>
            <w:vAlign w:val="center"/>
          </w:tcPr>
          <w:p w14:paraId="7213581F" w14:textId="5151B552"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-1</w:t>
            </w:r>
          </w:p>
        </w:tc>
        <w:tc>
          <w:tcPr>
            <w:tcW w:w="524" w:type="dxa"/>
            <w:tcBorders>
              <w:top w:val="single" w:sz="4" w:space="0" w:color="auto"/>
              <w:left w:val="nil"/>
              <w:bottom w:val="single" w:sz="4" w:space="0" w:color="auto"/>
              <w:right w:val="nil"/>
            </w:tcBorders>
            <w:vAlign w:val="center"/>
          </w:tcPr>
          <w:p w14:paraId="6B289705" w14:textId="46A5F590"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0</w:t>
            </w:r>
          </w:p>
        </w:tc>
        <w:tc>
          <w:tcPr>
            <w:tcW w:w="720" w:type="dxa"/>
            <w:tcBorders>
              <w:top w:val="single" w:sz="4" w:space="0" w:color="auto"/>
              <w:left w:val="nil"/>
              <w:bottom w:val="single" w:sz="4" w:space="0" w:color="auto"/>
              <w:right w:val="nil"/>
            </w:tcBorders>
            <w:vAlign w:val="center"/>
          </w:tcPr>
          <w:p w14:paraId="0F367B1A" w14:textId="67CA68EE"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1</w:t>
            </w:r>
          </w:p>
        </w:tc>
      </w:tr>
      <w:tr w:rsidR="00D70699" w:rsidRPr="005E0F90" w14:paraId="442F5379" w14:textId="77777777" w:rsidTr="0006020D">
        <w:trPr>
          <w:trHeight w:val="341"/>
          <w:jc w:val="center"/>
        </w:trPr>
        <w:tc>
          <w:tcPr>
            <w:tcW w:w="2694" w:type="dxa"/>
            <w:tcBorders>
              <w:top w:val="single" w:sz="4" w:space="0" w:color="auto"/>
              <w:left w:val="nil"/>
              <w:bottom w:val="single" w:sz="4" w:space="0" w:color="auto"/>
              <w:right w:val="nil"/>
            </w:tcBorders>
            <w:vAlign w:val="center"/>
          </w:tcPr>
          <w:p w14:paraId="30D5D759" w14:textId="3B3D4273" w:rsidR="00D70699" w:rsidRPr="0006020D" w:rsidRDefault="00AF194E" w:rsidP="0006020D">
            <w:pPr>
              <w:widowControl/>
              <w:spacing w:before="100" w:beforeAutospacing="1" w:line="300" w:lineRule="auto"/>
              <w:jc w:val="center"/>
              <w:rPr>
                <w:color w:val="000000" w:themeColor="text1"/>
                <w:szCs w:val="21"/>
                <w14:ligatures w14:val="standardContextual"/>
              </w:rPr>
            </w:pPr>
            <w:r w:rsidRPr="0006020D">
              <w:rPr>
                <w:color w:val="000000" w:themeColor="text1"/>
                <w:szCs w:val="21"/>
                <w14:ligatures w14:val="standardContextual"/>
              </w:rPr>
              <w:t>Fly Ash</w:t>
            </w:r>
            <w:r w:rsidRPr="0006020D">
              <w:rPr>
                <w:rFonts w:hint="eastAsia"/>
                <w:color w:val="000000" w:themeColor="text1"/>
                <w:szCs w:val="21"/>
                <w14:ligatures w14:val="standardContextual"/>
              </w:rPr>
              <w:t xml:space="preserve"> </w:t>
            </w:r>
            <w:r w:rsidR="00D70699" w:rsidRPr="0006020D">
              <w:rPr>
                <w:rFonts w:hint="eastAsia"/>
                <w:color w:val="000000" w:themeColor="text1"/>
                <w:szCs w:val="21"/>
                <w14:ligatures w14:val="standardContextual"/>
              </w:rPr>
              <w:t>/%</w:t>
            </w:r>
          </w:p>
        </w:tc>
        <w:tc>
          <w:tcPr>
            <w:tcW w:w="708" w:type="dxa"/>
            <w:tcBorders>
              <w:top w:val="single" w:sz="4" w:space="0" w:color="auto"/>
              <w:left w:val="nil"/>
              <w:bottom w:val="single" w:sz="4" w:space="0" w:color="auto"/>
              <w:right w:val="nil"/>
            </w:tcBorders>
            <w:vAlign w:val="center"/>
          </w:tcPr>
          <w:p w14:paraId="16B348ED" w14:textId="4D93581F"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A/%</w:t>
            </w:r>
          </w:p>
        </w:tc>
        <w:tc>
          <w:tcPr>
            <w:tcW w:w="426" w:type="dxa"/>
            <w:tcBorders>
              <w:top w:val="single" w:sz="4" w:space="0" w:color="auto"/>
              <w:left w:val="nil"/>
              <w:bottom w:val="single" w:sz="4" w:space="0" w:color="auto"/>
              <w:right w:val="nil"/>
            </w:tcBorders>
            <w:vAlign w:val="center"/>
          </w:tcPr>
          <w:p w14:paraId="77016C88" w14:textId="381A4892"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10</w:t>
            </w:r>
          </w:p>
        </w:tc>
        <w:tc>
          <w:tcPr>
            <w:tcW w:w="524" w:type="dxa"/>
            <w:tcBorders>
              <w:top w:val="single" w:sz="4" w:space="0" w:color="auto"/>
              <w:left w:val="nil"/>
              <w:bottom w:val="single" w:sz="4" w:space="0" w:color="auto"/>
              <w:right w:val="nil"/>
            </w:tcBorders>
            <w:vAlign w:val="center"/>
          </w:tcPr>
          <w:p w14:paraId="0CADA5B4" w14:textId="498BEAE9"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20</w:t>
            </w:r>
          </w:p>
        </w:tc>
        <w:tc>
          <w:tcPr>
            <w:tcW w:w="720" w:type="dxa"/>
            <w:tcBorders>
              <w:top w:val="single" w:sz="4" w:space="0" w:color="auto"/>
              <w:left w:val="nil"/>
              <w:bottom w:val="single" w:sz="4" w:space="0" w:color="auto"/>
              <w:right w:val="nil"/>
            </w:tcBorders>
            <w:vAlign w:val="center"/>
          </w:tcPr>
          <w:p w14:paraId="7CBAAD73" w14:textId="3470463C"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30</w:t>
            </w:r>
          </w:p>
        </w:tc>
      </w:tr>
      <w:tr w:rsidR="00D70699" w:rsidRPr="005E0F90" w14:paraId="0EF4525B" w14:textId="77777777" w:rsidTr="0006020D">
        <w:trPr>
          <w:trHeight w:val="341"/>
          <w:jc w:val="center"/>
        </w:trPr>
        <w:tc>
          <w:tcPr>
            <w:tcW w:w="2694" w:type="dxa"/>
            <w:tcBorders>
              <w:top w:val="single" w:sz="4" w:space="0" w:color="auto"/>
              <w:left w:val="nil"/>
              <w:bottom w:val="single" w:sz="4" w:space="0" w:color="auto"/>
              <w:right w:val="nil"/>
            </w:tcBorders>
            <w:vAlign w:val="center"/>
          </w:tcPr>
          <w:p w14:paraId="31D778CD" w14:textId="4F4336A1" w:rsidR="00D70699" w:rsidRPr="0006020D" w:rsidRDefault="00AF194E"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C</w:t>
            </w:r>
            <w:r w:rsidRPr="0006020D">
              <w:rPr>
                <w:color w:val="000000" w:themeColor="text1"/>
                <w:szCs w:val="21"/>
                <w14:ligatures w14:val="standardContextual"/>
              </w:rPr>
              <w:t>arbide</w:t>
            </w:r>
            <w:r w:rsidRPr="0006020D">
              <w:rPr>
                <w:rFonts w:hint="eastAsia"/>
                <w:color w:val="000000" w:themeColor="text1"/>
                <w:szCs w:val="21"/>
                <w14:ligatures w14:val="standardContextual"/>
              </w:rPr>
              <w:t xml:space="preserve"> </w:t>
            </w:r>
            <w:r w:rsidR="0006020D" w:rsidRPr="0006020D">
              <w:rPr>
                <w:rFonts w:hint="eastAsia"/>
                <w:color w:val="000000" w:themeColor="text1"/>
                <w:szCs w:val="21"/>
                <w14:ligatures w14:val="standardContextual"/>
              </w:rPr>
              <w:t>S</w:t>
            </w:r>
            <w:r w:rsidRPr="0006020D">
              <w:rPr>
                <w:color w:val="000000" w:themeColor="text1"/>
                <w:szCs w:val="21"/>
                <w14:ligatures w14:val="standardContextual"/>
              </w:rPr>
              <w:t>lag</w:t>
            </w:r>
            <w:r w:rsidRPr="0006020D">
              <w:rPr>
                <w:rFonts w:hint="eastAsia"/>
                <w:color w:val="000000" w:themeColor="text1"/>
                <w:szCs w:val="21"/>
                <w14:ligatures w14:val="standardContextual"/>
              </w:rPr>
              <w:t xml:space="preserve"> </w:t>
            </w:r>
            <w:r w:rsidR="00D70699" w:rsidRPr="0006020D">
              <w:rPr>
                <w:rFonts w:hint="eastAsia"/>
                <w:color w:val="000000" w:themeColor="text1"/>
                <w:szCs w:val="21"/>
                <w14:ligatures w14:val="standardContextual"/>
              </w:rPr>
              <w:t>/%</w:t>
            </w:r>
          </w:p>
        </w:tc>
        <w:tc>
          <w:tcPr>
            <w:tcW w:w="708" w:type="dxa"/>
            <w:tcBorders>
              <w:top w:val="single" w:sz="4" w:space="0" w:color="auto"/>
              <w:left w:val="nil"/>
              <w:bottom w:val="single" w:sz="4" w:space="0" w:color="auto"/>
              <w:right w:val="nil"/>
            </w:tcBorders>
            <w:vAlign w:val="center"/>
          </w:tcPr>
          <w:p w14:paraId="32422FDC" w14:textId="2F1B43A4"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B/%</w:t>
            </w:r>
          </w:p>
        </w:tc>
        <w:tc>
          <w:tcPr>
            <w:tcW w:w="426" w:type="dxa"/>
            <w:tcBorders>
              <w:top w:val="single" w:sz="4" w:space="0" w:color="auto"/>
              <w:left w:val="nil"/>
              <w:bottom w:val="single" w:sz="4" w:space="0" w:color="auto"/>
              <w:right w:val="nil"/>
            </w:tcBorders>
            <w:vAlign w:val="center"/>
          </w:tcPr>
          <w:p w14:paraId="3032C72A" w14:textId="524343FD"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8</w:t>
            </w:r>
          </w:p>
        </w:tc>
        <w:tc>
          <w:tcPr>
            <w:tcW w:w="524" w:type="dxa"/>
            <w:tcBorders>
              <w:top w:val="single" w:sz="4" w:space="0" w:color="auto"/>
              <w:left w:val="nil"/>
              <w:bottom w:val="single" w:sz="4" w:space="0" w:color="auto"/>
              <w:right w:val="nil"/>
            </w:tcBorders>
            <w:vAlign w:val="center"/>
          </w:tcPr>
          <w:p w14:paraId="270F7199" w14:textId="409F7743"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14</w:t>
            </w:r>
          </w:p>
        </w:tc>
        <w:tc>
          <w:tcPr>
            <w:tcW w:w="720" w:type="dxa"/>
            <w:tcBorders>
              <w:top w:val="single" w:sz="4" w:space="0" w:color="auto"/>
              <w:left w:val="nil"/>
              <w:bottom w:val="single" w:sz="4" w:space="0" w:color="auto"/>
              <w:right w:val="nil"/>
            </w:tcBorders>
            <w:vAlign w:val="center"/>
          </w:tcPr>
          <w:p w14:paraId="1685BE2C" w14:textId="16551B87"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20</w:t>
            </w:r>
          </w:p>
        </w:tc>
      </w:tr>
      <w:tr w:rsidR="00D70699" w:rsidRPr="005E0F90" w14:paraId="0C05DCE4" w14:textId="77777777" w:rsidTr="0006020D">
        <w:trPr>
          <w:trHeight w:val="341"/>
          <w:jc w:val="center"/>
        </w:trPr>
        <w:tc>
          <w:tcPr>
            <w:tcW w:w="2694" w:type="dxa"/>
            <w:tcBorders>
              <w:top w:val="single" w:sz="4" w:space="0" w:color="auto"/>
              <w:left w:val="nil"/>
              <w:bottom w:val="single" w:sz="12" w:space="0" w:color="auto"/>
              <w:right w:val="nil"/>
            </w:tcBorders>
            <w:vAlign w:val="center"/>
          </w:tcPr>
          <w:p w14:paraId="7160A071" w14:textId="1C0500A2" w:rsidR="00D70699" w:rsidRPr="0006020D" w:rsidRDefault="0006020D"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D</w:t>
            </w:r>
            <w:r w:rsidRPr="0006020D">
              <w:rPr>
                <w:color w:val="000000" w:themeColor="text1"/>
                <w:szCs w:val="21"/>
                <w14:ligatures w14:val="standardContextual"/>
              </w:rPr>
              <w:t xml:space="preserve">esulfurization </w:t>
            </w:r>
            <w:r w:rsidRPr="0006020D">
              <w:rPr>
                <w:rFonts w:hint="eastAsia"/>
                <w:color w:val="000000" w:themeColor="text1"/>
                <w:szCs w:val="21"/>
                <w14:ligatures w14:val="standardContextual"/>
              </w:rPr>
              <w:t>G</w:t>
            </w:r>
            <w:r w:rsidRPr="0006020D">
              <w:rPr>
                <w:color w:val="000000" w:themeColor="text1"/>
                <w:szCs w:val="21"/>
                <w14:ligatures w14:val="standardContextual"/>
              </w:rPr>
              <w:t>ypsum</w:t>
            </w:r>
            <w:r w:rsidRPr="0006020D">
              <w:rPr>
                <w:rFonts w:hint="eastAsia"/>
                <w:color w:val="000000" w:themeColor="text1"/>
                <w:szCs w:val="21"/>
                <w14:ligatures w14:val="standardContextual"/>
              </w:rPr>
              <w:t xml:space="preserve"> </w:t>
            </w:r>
            <w:r w:rsidR="00D70699" w:rsidRPr="0006020D">
              <w:rPr>
                <w:rFonts w:hint="eastAsia"/>
                <w:color w:val="000000" w:themeColor="text1"/>
                <w:szCs w:val="21"/>
                <w14:ligatures w14:val="standardContextual"/>
              </w:rPr>
              <w:t>/%</w:t>
            </w:r>
          </w:p>
        </w:tc>
        <w:tc>
          <w:tcPr>
            <w:tcW w:w="708" w:type="dxa"/>
            <w:tcBorders>
              <w:top w:val="single" w:sz="4" w:space="0" w:color="auto"/>
              <w:left w:val="nil"/>
              <w:bottom w:val="single" w:sz="12" w:space="0" w:color="auto"/>
              <w:right w:val="nil"/>
            </w:tcBorders>
            <w:vAlign w:val="center"/>
          </w:tcPr>
          <w:p w14:paraId="22F80391" w14:textId="182DF147"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C/%</w:t>
            </w:r>
          </w:p>
        </w:tc>
        <w:tc>
          <w:tcPr>
            <w:tcW w:w="426" w:type="dxa"/>
            <w:tcBorders>
              <w:top w:val="single" w:sz="4" w:space="0" w:color="auto"/>
              <w:left w:val="nil"/>
              <w:bottom w:val="single" w:sz="12" w:space="0" w:color="auto"/>
              <w:right w:val="nil"/>
            </w:tcBorders>
            <w:vAlign w:val="center"/>
          </w:tcPr>
          <w:p w14:paraId="1FAD968A" w14:textId="5A0DCADB"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5</w:t>
            </w:r>
          </w:p>
        </w:tc>
        <w:tc>
          <w:tcPr>
            <w:tcW w:w="524" w:type="dxa"/>
            <w:tcBorders>
              <w:top w:val="single" w:sz="4" w:space="0" w:color="auto"/>
              <w:left w:val="nil"/>
              <w:bottom w:val="single" w:sz="12" w:space="0" w:color="auto"/>
              <w:right w:val="nil"/>
            </w:tcBorders>
            <w:vAlign w:val="center"/>
          </w:tcPr>
          <w:p w14:paraId="6174DCD6" w14:textId="23A6033E"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7.5</w:t>
            </w:r>
          </w:p>
        </w:tc>
        <w:tc>
          <w:tcPr>
            <w:tcW w:w="720" w:type="dxa"/>
            <w:tcBorders>
              <w:top w:val="single" w:sz="4" w:space="0" w:color="auto"/>
              <w:left w:val="nil"/>
              <w:bottom w:val="single" w:sz="12" w:space="0" w:color="auto"/>
              <w:right w:val="nil"/>
            </w:tcBorders>
            <w:vAlign w:val="center"/>
          </w:tcPr>
          <w:p w14:paraId="5B48DA21" w14:textId="0338D10D" w:rsidR="00D70699" w:rsidRPr="0006020D" w:rsidRDefault="00D70699" w:rsidP="0006020D">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10</w:t>
            </w:r>
          </w:p>
        </w:tc>
      </w:tr>
    </w:tbl>
    <w:p w14:paraId="46333AEF" w14:textId="3A405910" w:rsidR="0006020D" w:rsidRPr="0006020D" w:rsidRDefault="0006020D" w:rsidP="0006020D">
      <w:pPr>
        <w:widowControl/>
        <w:adjustRightInd w:val="0"/>
        <w:snapToGrid w:val="0"/>
        <w:jc w:val="center"/>
        <w:rPr>
          <w:rFonts w:ascii="Times New Roman" w:hAnsi="Times New Roman" w:cs="Times New Roman"/>
          <w:color w:val="000000" w:themeColor="text1"/>
          <w:szCs w:val="21"/>
          <w14:ligatures w14:val="standardContextual"/>
        </w:rPr>
      </w:pPr>
      <w:bookmarkStart w:id="8" w:name="OLE_LINK14"/>
      <w:bookmarkEnd w:id="1"/>
      <w:bookmarkEnd w:id="2"/>
      <w:r w:rsidRPr="0006020D">
        <w:rPr>
          <w:rFonts w:ascii="Times New Roman" w:hAnsi="Times New Roman" w:cs="Times New Roman" w:hint="eastAsia"/>
          <w:color w:val="000000" w:themeColor="text1"/>
          <w:szCs w:val="21"/>
          <w14:ligatures w14:val="standardContextual"/>
        </w:rPr>
        <w:t>Table 7 Factors and Levels</w:t>
      </w:r>
    </w:p>
    <w:p w14:paraId="1E7184C9" w14:textId="004CC478" w:rsidR="00DE7C8F" w:rsidRPr="00DE7C8F" w:rsidRDefault="00DE7C8F" w:rsidP="00DE7C8F">
      <w:pPr>
        <w:numPr>
          <w:ilvl w:val="0"/>
          <w:numId w:val="8"/>
        </w:numPr>
        <w:rPr>
          <w:rFonts w:ascii="Times New Roman" w:eastAsia="SimSun" w:hAnsi="Times New Roman" w:cs="Times New Roman"/>
          <w:b/>
          <w:bCs/>
          <w:sz w:val="28"/>
          <w:szCs w:val="28"/>
        </w:rPr>
      </w:pPr>
      <w:bookmarkStart w:id="9" w:name="OLE_LINK15"/>
      <w:bookmarkEnd w:id="8"/>
      <w:r w:rsidRPr="00DE7C8F">
        <w:rPr>
          <w:rFonts w:ascii="Times New Roman" w:eastAsia="SimSun" w:hAnsi="Times New Roman" w:cs="Times New Roman" w:hint="eastAsia"/>
          <w:b/>
          <w:bCs/>
          <w:sz w:val="28"/>
          <w:szCs w:val="28"/>
        </w:rPr>
        <w:t xml:space="preserve"> Results and </w:t>
      </w:r>
      <w:r w:rsidR="00CF27F3">
        <w:rPr>
          <w:rFonts w:ascii="Times New Roman" w:eastAsia="SimSun" w:hAnsi="Times New Roman" w:cs="Times New Roman"/>
          <w:b/>
          <w:bCs/>
          <w:sz w:val="28"/>
          <w:szCs w:val="28"/>
        </w:rPr>
        <w:t>Discussion</w:t>
      </w:r>
    </w:p>
    <w:bookmarkEnd w:id="9"/>
    <w:p w14:paraId="647E2250" w14:textId="77777777" w:rsidR="00DE7C8F" w:rsidRPr="00DE7C8F" w:rsidRDefault="00DE7C8F" w:rsidP="00DE7C8F">
      <w:pPr>
        <w:adjustRightInd w:val="0"/>
        <w:snapToGrid w:val="0"/>
        <w:spacing w:line="300" w:lineRule="auto"/>
        <w:ind w:firstLineChars="200" w:firstLine="420"/>
        <w:rPr>
          <w:rFonts w:ascii="Times New Roman" w:hAnsi="Times New Roman" w:cs="Times New Roman"/>
          <w:color w:val="000000" w:themeColor="text1"/>
          <w:szCs w:val="21"/>
        </w:rPr>
      </w:pPr>
      <w:r w:rsidRPr="00DE7C8F">
        <w:rPr>
          <w:rFonts w:ascii="Times New Roman" w:hAnsi="Times New Roman" w:cs="Times New Roman" w:hint="eastAsia"/>
          <w:color w:val="000000" w:themeColor="text1"/>
          <w:szCs w:val="21"/>
        </w:rPr>
        <w:t>The response surface optimization test group and compressive strength results are shown in Table 8. Under the optimal combination of the test, the compressive strength of the sand specimens can reach 27.5MPa at 28 days, demonstrating excellent mechanical properties. It can be observed that:</w:t>
      </w:r>
    </w:p>
    <w:p w14:paraId="55F74D73" w14:textId="77777777" w:rsidR="00DE7C8F" w:rsidRPr="00DE7C8F" w:rsidRDefault="00DE7C8F" w:rsidP="00DE7C8F">
      <w:pPr>
        <w:adjustRightInd w:val="0"/>
        <w:snapToGrid w:val="0"/>
        <w:spacing w:line="300" w:lineRule="auto"/>
        <w:ind w:firstLineChars="200" w:firstLine="420"/>
        <w:rPr>
          <w:rFonts w:ascii="Times New Roman" w:hAnsi="Times New Roman" w:cs="Times New Roman"/>
          <w:color w:val="000000" w:themeColor="text1"/>
          <w:szCs w:val="21"/>
        </w:rPr>
      </w:pPr>
      <w:r w:rsidRPr="00DE7C8F">
        <w:rPr>
          <w:rFonts w:ascii="Times New Roman" w:hAnsi="Times New Roman" w:cs="Times New Roman" w:hint="eastAsia"/>
          <w:color w:val="000000" w:themeColor="text1"/>
          <w:szCs w:val="21"/>
        </w:rPr>
        <w:t xml:space="preserve">Comparing the specimens S9F1C1D1-1 (8% carbide slag) and S9F1C2D1-3 (20% carbide slag), it can be found that when the dosage of fly ash and desulfurization gypsum is fixed, the 3D compressive strength (16.3MPa) of S9F1C2D1-3 with higher carbide slag dosage is slightly lower than that of S9F1C1D1-1 (18.9MPa), but its strength growth from 3D to 28d (8.6MPa) is more significant. This shows that, within a certain range, the higher calcium carbide slag content provides a more adequate alkaline environment for the system. Although it may slightly delay the formation rate of early gel, it promotes the more thorough depolymerization of the precursor, so that more </w:t>
      </w:r>
      <w:proofErr w:type="spellStart"/>
      <w:r w:rsidRPr="00DE7C8F">
        <w:rPr>
          <w:rFonts w:ascii="Times New Roman" w:hAnsi="Times New Roman" w:cs="Times New Roman" w:hint="eastAsia"/>
          <w:color w:val="000000" w:themeColor="text1"/>
          <w:szCs w:val="21"/>
        </w:rPr>
        <w:t>silicoaluminal</w:t>
      </w:r>
      <w:proofErr w:type="spellEnd"/>
      <w:r w:rsidRPr="00DE7C8F">
        <w:rPr>
          <w:rFonts w:ascii="Times New Roman" w:hAnsi="Times New Roman" w:cs="Times New Roman" w:hint="eastAsia"/>
          <w:color w:val="000000" w:themeColor="text1"/>
          <w:szCs w:val="21"/>
        </w:rPr>
        <w:t xml:space="preserve"> monomers participate in the polymerization reaction in the later period, thus bringing a higher strength development rate.</w:t>
      </w:r>
    </w:p>
    <w:p w14:paraId="0B630E52" w14:textId="70677530" w:rsidR="00DE7C8F" w:rsidRPr="00DE7C8F" w:rsidRDefault="00DE7C8F" w:rsidP="00DE7C8F">
      <w:pPr>
        <w:adjustRightInd w:val="0"/>
        <w:snapToGrid w:val="0"/>
        <w:spacing w:line="300" w:lineRule="auto"/>
        <w:ind w:firstLineChars="200" w:firstLine="420"/>
        <w:rPr>
          <w:rFonts w:ascii="Times New Roman" w:hAnsi="Times New Roman" w:cs="Times New Roman"/>
          <w:color w:val="000000" w:themeColor="text1"/>
          <w:szCs w:val="21"/>
        </w:rPr>
      </w:pPr>
      <w:r w:rsidRPr="00DE7C8F">
        <w:rPr>
          <w:rFonts w:ascii="Times New Roman" w:hAnsi="Times New Roman" w:cs="Times New Roman" w:hint="eastAsia"/>
          <w:color w:val="000000" w:themeColor="text1"/>
          <w:szCs w:val="21"/>
        </w:rPr>
        <w:t xml:space="preserve">Comparing the specimens S8F2C1D1-9 (desulfurization gypsum 5%) and S8F2C1D1-11 (desulfurization gypsum 10%), it can be observed that the 3D compressive strength (18.2 MPa) of S8F2C1D1-11 with an increase in desulfurization gypsum content to 10% is significantly higher than that of S8F2C1D1-9 (13.9 MPa) with a content of 5%. This is mainly because the sulfate ion provided by desulfurization gypsum in </w:t>
      </w:r>
      <w:r w:rsidR="002A1E38">
        <w:rPr>
          <w:rFonts w:ascii="Times New Roman" w:hAnsi="Times New Roman" w:cs="Times New Roman"/>
          <w:color w:val="000000" w:themeColor="text1"/>
          <w:szCs w:val="21"/>
        </w:rPr>
        <w:t xml:space="preserve">an </w:t>
      </w:r>
      <w:r w:rsidRPr="00DE7C8F">
        <w:rPr>
          <w:rFonts w:ascii="Times New Roman" w:hAnsi="Times New Roman" w:cs="Times New Roman" w:hint="eastAsia"/>
          <w:color w:val="000000" w:themeColor="text1"/>
          <w:szCs w:val="21"/>
        </w:rPr>
        <w:t>alkaline environment can effectively stimulate the early hydration of slag and other phases and accelerate the formation of gel. However, the 28</w:t>
      </w:r>
      <w:r w:rsidR="002A1E38">
        <w:rPr>
          <w:rFonts w:ascii="Times New Roman" w:hAnsi="Times New Roman" w:cs="Times New Roman"/>
          <w:color w:val="000000" w:themeColor="text1"/>
          <w:szCs w:val="21"/>
        </w:rPr>
        <w:t>-</w:t>
      </w:r>
      <w:r w:rsidRPr="00DE7C8F">
        <w:rPr>
          <w:rFonts w:ascii="Times New Roman" w:hAnsi="Times New Roman" w:cs="Times New Roman" w:hint="eastAsia"/>
          <w:color w:val="000000" w:themeColor="text1"/>
          <w:szCs w:val="21"/>
        </w:rPr>
        <w:t>day strength (23.2MPa) of S8F2C1D1-11 is actually lower than that of S8F2C1D1-9 (25.1MPa), indicating that excessive sulfate may lead to the generation of excessive expansive products such as ettringite in the later stage, causing micro damage to the already formed matrix structure and inhibiting the continuous growth of strength.</w:t>
      </w:r>
    </w:p>
    <w:p w14:paraId="3CD699B7" w14:textId="72291596" w:rsidR="00C45441" w:rsidRPr="00DE7C8F" w:rsidRDefault="00DE7C8F" w:rsidP="00DE7C8F">
      <w:pPr>
        <w:adjustRightInd w:val="0"/>
        <w:snapToGrid w:val="0"/>
        <w:spacing w:line="300" w:lineRule="auto"/>
        <w:ind w:firstLineChars="200" w:firstLine="420"/>
        <w:rPr>
          <w:rFonts w:ascii="Times New Roman" w:hAnsi="Times New Roman" w:cs="Times New Roman"/>
          <w:color w:val="000000" w:themeColor="text1"/>
          <w:szCs w:val="21"/>
        </w:rPr>
      </w:pPr>
      <w:r w:rsidRPr="00DE7C8F">
        <w:rPr>
          <w:rFonts w:ascii="Times New Roman" w:hAnsi="Times New Roman" w:cs="Times New Roman" w:hint="eastAsia"/>
          <w:color w:val="000000" w:themeColor="text1"/>
          <w:szCs w:val="21"/>
        </w:rPr>
        <w:t xml:space="preserve">Overall, the dosage of carbide slag and desulfurization gypsum as composite activators has a significant impact on the strength development sequence of solid waste cementitious materials. Calcium carbide slag is the key to maintaining </w:t>
      </w:r>
      <w:r w:rsidRPr="00DE7C8F">
        <w:rPr>
          <w:rFonts w:ascii="Times New Roman" w:hAnsi="Times New Roman" w:cs="Times New Roman" w:hint="eastAsia"/>
          <w:color w:val="000000" w:themeColor="text1"/>
          <w:szCs w:val="21"/>
        </w:rPr>
        <w:lastRenderedPageBreak/>
        <w:t>an alkaline environment and ensuring the continuous deepening of polymerization reactions; And desulfurization gypsum mainly plays the role of an early strength activator. From the fact that S8F2C2D1-16 reached its highest strength (27.5MPa) at 28 days of age, it can be concluded that when the dosage of the two is at an optimal equilibrium point (such as 14% carbide slag and 7.5% desulfurization gypsum in this experiment), they can synergistically optimize the early and long-term mechanical properties of the material.</w:t>
      </w:r>
    </w:p>
    <w:tbl>
      <w:tblPr>
        <w:tblW w:w="8580" w:type="dxa"/>
        <w:jc w:val="center"/>
        <w:tblCellMar>
          <w:left w:w="0" w:type="dxa"/>
          <w:right w:w="0" w:type="dxa"/>
        </w:tblCellMar>
        <w:tblLook w:val="0600" w:firstRow="0" w:lastRow="0" w:firstColumn="0" w:lastColumn="0" w:noHBand="1" w:noVBand="1"/>
      </w:tblPr>
      <w:tblGrid>
        <w:gridCol w:w="1480"/>
        <w:gridCol w:w="788"/>
        <w:gridCol w:w="1276"/>
        <w:gridCol w:w="1559"/>
        <w:gridCol w:w="1701"/>
        <w:gridCol w:w="1776"/>
      </w:tblGrid>
      <w:tr w:rsidR="007A68F1" w:rsidRPr="007A68F1" w14:paraId="4039E21F" w14:textId="77777777" w:rsidTr="00AD221F">
        <w:trPr>
          <w:trHeight w:val="331"/>
          <w:jc w:val="center"/>
        </w:trPr>
        <w:tc>
          <w:tcPr>
            <w:tcW w:w="1480" w:type="dxa"/>
            <w:tcBorders>
              <w:top w:val="single" w:sz="8" w:space="0" w:color="394761"/>
              <w:bottom w:val="single" w:sz="8" w:space="0" w:color="394761"/>
              <w:right w:val="nil"/>
            </w:tcBorders>
            <w:tcMar>
              <w:top w:w="12" w:type="dxa"/>
              <w:left w:w="12" w:type="dxa"/>
              <w:bottom w:w="0" w:type="dxa"/>
              <w:right w:w="12" w:type="dxa"/>
            </w:tcMar>
            <w:vAlign w:val="bottom"/>
            <w:hideMark/>
          </w:tcPr>
          <w:p w14:paraId="3B0C4B60" w14:textId="245730A9" w:rsidR="007A68F1" w:rsidRPr="00DE7C8F" w:rsidRDefault="00DE7C8F"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Serial number</w:t>
            </w:r>
          </w:p>
        </w:tc>
        <w:tc>
          <w:tcPr>
            <w:tcW w:w="788" w:type="dxa"/>
            <w:tcBorders>
              <w:top w:val="single" w:sz="8" w:space="0" w:color="394761"/>
              <w:left w:val="nil"/>
              <w:bottom w:val="single" w:sz="8" w:space="0" w:color="394761"/>
              <w:right w:val="nil"/>
            </w:tcBorders>
            <w:tcMar>
              <w:top w:w="12" w:type="dxa"/>
              <w:left w:w="12" w:type="dxa"/>
              <w:bottom w:w="0" w:type="dxa"/>
              <w:right w:w="12" w:type="dxa"/>
            </w:tcMar>
            <w:vAlign w:val="bottom"/>
            <w:hideMark/>
          </w:tcPr>
          <w:p w14:paraId="61B467EE" w14:textId="47D29222" w:rsidR="007A68F1" w:rsidRPr="00DE7C8F" w:rsidRDefault="00DE7C8F" w:rsidP="00DE7C8F">
            <w:pPr>
              <w:widowControl/>
              <w:spacing w:before="100" w:beforeAutospacing="1" w:line="300" w:lineRule="auto"/>
              <w:jc w:val="center"/>
              <w:rPr>
                <w:color w:val="000000" w:themeColor="text1"/>
                <w:szCs w:val="21"/>
                <w14:ligatures w14:val="standardContextual"/>
              </w:rPr>
            </w:pPr>
            <w:r w:rsidRPr="0006020D">
              <w:rPr>
                <w:color w:val="000000" w:themeColor="text1"/>
                <w:szCs w:val="21"/>
                <w14:ligatures w14:val="standardContextual"/>
              </w:rPr>
              <w:t>Fly Ash</w:t>
            </w:r>
            <w:r w:rsidRPr="00DE7C8F">
              <w:rPr>
                <w:color w:val="000000" w:themeColor="text1"/>
                <w:szCs w:val="21"/>
                <w14:ligatures w14:val="standardContextual"/>
              </w:rPr>
              <w:t xml:space="preserve"> </w:t>
            </w:r>
            <w:r w:rsidR="007A68F1" w:rsidRPr="00DE7C8F">
              <w:rPr>
                <w:color w:val="000000" w:themeColor="text1"/>
                <w:szCs w:val="21"/>
                <w14:ligatures w14:val="standardContextual"/>
              </w:rPr>
              <w:t>/%</w:t>
            </w:r>
          </w:p>
        </w:tc>
        <w:tc>
          <w:tcPr>
            <w:tcW w:w="1276" w:type="dxa"/>
            <w:tcBorders>
              <w:top w:val="single" w:sz="8" w:space="0" w:color="394761"/>
              <w:left w:val="nil"/>
              <w:bottom w:val="single" w:sz="8" w:space="0" w:color="394761"/>
              <w:right w:val="nil"/>
            </w:tcBorders>
            <w:tcMar>
              <w:top w:w="12" w:type="dxa"/>
              <w:left w:w="12" w:type="dxa"/>
              <w:bottom w:w="0" w:type="dxa"/>
              <w:right w:w="12" w:type="dxa"/>
            </w:tcMar>
            <w:vAlign w:val="bottom"/>
            <w:hideMark/>
          </w:tcPr>
          <w:p w14:paraId="61040F4B" w14:textId="477D42E5" w:rsidR="007A68F1" w:rsidRPr="00DE7C8F" w:rsidRDefault="00DE7C8F" w:rsidP="00DE7C8F">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C</w:t>
            </w:r>
            <w:r w:rsidRPr="0006020D">
              <w:rPr>
                <w:color w:val="000000" w:themeColor="text1"/>
                <w:szCs w:val="21"/>
                <w14:ligatures w14:val="standardContextual"/>
              </w:rPr>
              <w:t>arbide</w:t>
            </w:r>
            <w:r w:rsidRPr="0006020D">
              <w:rPr>
                <w:rFonts w:hint="eastAsia"/>
                <w:color w:val="000000" w:themeColor="text1"/>
                <w:szCs w:val="21"/>
                <w14:ligatures w14:val="standardContextual"/>
              </w:rPr>
              <w:t xml:space="preserve"> S</w:t>
            </w:r>
            <w:r w:rsidRPr="0006020D">
              <w:rPr>
                <w:color w:val="000000" w:themeColor="text1"/>
                <w:szCs w:val="21"/>
                <w14:ligatures w14:val="standardContextual"/>
              </w:rPr>
              <w:t>lag</w:t>
            </w:r>
            <w:r w:rsidRPr="00DE7C8F">
              <w:rPr>
                <w:color w:val="000000" w:themeColor="text1"/>
                <w:szCs w:val="21"/>
                <w14:ligatures w14:val="standardContextual"/>
              </w:rPr>
              <w:t xml:space="preserve"> </w:t>
            </w:r>
            <w:r w:rsidR="007A68F1" w:rsidRPr="00DE7C8F">
              <w:rPr>
                <w:color w:val="000000" w:themeColor="text1"/>
                <w:szCs w:val="21"/>
                <w14:ligatures w14:val="standardContextual"/>
              </w:rPr>
              <w:t>/%</w:t>
            </w:r>
          </w:p>
        </w:tc>
        <w:tc>
          <w:tcPr>
            <w:tcW w:w="1559" w:type="dxa"/>
            <w:tcBorders>
              <w:top w:val="single" w:sz="8" w:space="0" w:color="394761"/>
              <w:left w:val="nil"/>
              <w:bottom w:val="single" w:sz="8" w:space="0" w:color="394761"/>
              <w:right w:val="nil"/>
            </w:tcBorders>
            <w:tcMar>
              <w:top w:w="12" w:type="dxa"/>
              <w:left w:w="12" w:type="dxa"/>
              <w:bottom w:w="0" w:type="dxa"/>
              <w:right w:w="12" w:type="dxa"/>
            </w:tcMar>
            <w:vAlign w:val="bottom"/>
            <w:hideMark/>
          </w:tcPr>
          <w:p w14:paraId="73CB976B" w14:textId="3BAC70B4" w:rsidR="007A68F1" w:rsidRPr="00DE7C8F" w:rsidRDefault="00DE7C8F" w:rsidP="00DE7C8F">
            <w:pPr>
              <w:widowControl/>
              <w:spacing w:before="100" w:beforeAutospacing="1" w:line="300" w:lineRule="auto"/>
              <w:jc w:val="center"/>
              <w:rPr>
                <w:color w:val="000000" w:themeColor="text1"/>
                <w:szCs w:val="21"/>
                <w14:ligatures w14:val="standardContextual"/>
              </w:rPr>
            </w:pPr>
            <w:r w:rsidRPr="0006020D">
              <w:rPr>
                <w:rFonts w:hint="eastAsia"/>
                <w:color w:val="000000" w:themeColor="text1"/>
                <w:szCs w:val="21"/>
                <w14:ligatures w14:val="standardContextual"/>
              </w:rPr>
              <w:t>D</w:t>
            </w:r>
            <w:r w:rsidRPr="0006020D">
              <w:rPr>
                <w:color w:val="000000" w:themeColor="text1"/>
                <w:szCs w:val="21"/>
                <w14:ligatures w14:val="standardContextual"/>
              </w:rPr>
              <w:t xml:space="preserve">esulfurization </w:t>
            </w:r>
            <w:r w:rsidRPr="0006020D">
              <w:rPr>
                <w:rFonts w:hint="eastAsia"/>
                <w:color w:val="000000" w:themeColor="text1"/>
                <w:szCs w:val="21"/>
                <w14:ligatures w14:val="standardContextual"/>
              </w:rPr>
              <w:t>G</w:t>
            </w:r>
            <w:r w:rsidRPr="0006020D">
              <w:rPr>
                <w:color w:val="000000" w:themeColor="text1"/>
                <w:szCs w:val="21"/>
                <w14:ligatures w14:val="standardContextual"/>
              </w:rPr>
              <w:t>ypsum</w:t>
            </w:r>
            <w:r w:rsidRPr="00DE7C8F">
              <w:rPr>
                <w:color w:val="000000" w:themeColor="text1"/>
                <w:szCs w:val="21"/>
                <w14:ligatures w14:val="standardContextual"/>
              </w:rPr>
              <w:t xml:space="preserve"> </w:t>
            </w:r>
            <w:r w:rsidR="007A68F1" w:rsidRPr="00DE7C8F">
              <w:rPr>
                <w:color w:val="000000" w:themeColor="text1"/>
                <w:szCs w:val="21"/>
                <w14:ligatures w14:val="standardContextual"/>
              </w:rPr>
              <w:t>/%</w:t>
            </w:r>
          </w:p>
        </w:tc>
        <w:tc>
          <w:tcPr>
            <w:tcW w:w="1701" w:type="dxa"/>
            <w:tcBorders>
              <w:top w:val="single" w:sz="8" w:space="0" w:color="394761"/>
              <w:left w:val="nil"/>
              <w:bottom w:val="single" w:sz="8" w:space="0" w:color="394761"/>
              <w:right w:val="nil"/>
            </w:tcBorders>
            <w:tcMar>
              <w:top w:w="12" w:type="dxa"/>
              <w:left w:w="12" w:type="dxa"/>
              <w:bottom w:w="0" w:type="dxa"/>
              <w:right w:w="12" w:type="dxa"/>
            </w:tcMar>
            <w:vAlign w:val="bottom"/>
            <w:hideMark/>
          </w:tcPr>
          <w:p w14:paraId="647CE8A4" w14:textId="4C866364" w:rsidR="007A68F1" w:rsidRPr="00DE7C8F" w:rsidRDefault="00DE7C8F"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3-day compressive strength </w:t>
            </w:r>
            <w:r w:rsidR="005377F3" w:rsidRPr="00DE7C8F">
              <w:rPr>
                <w:rFonts w:hint="eastAsia"/>
                <w:color w:val="000000" w:themeColor="text1"/>
                <w:szCs w:val="21"/>
                <w14:ligatures w14:val="standardContextual"/>
              </w:rPr>
              <w:t>/MPa</w:t>
            </w:r>
          </w:p>
        </w:tc>
        <w:tc>
          <w:tcPr>
            <w:tcW w:w="1776" w:type="dxa"/>
            <w:tcBorders>
              <w:top w:val="single" w:sz="8" w:space="0" w:color="394761"/>
              <w:left w:val="nil"/>
              <w:bottom w:val="single" w:sz="8" w:space="0" w:color="394761"/>
            </w:tcBorders>
            <w:tcMar>
              <w:top w:w="12" w:type="dxa"/>
              <w:left w:w="12" w:type="dxa"/>
              <w:bottom w:w="0" w:type="dxa"/>
              <w:right w:w="12" w:type="dxa"/>
            </w:tcMar>
            <w:vAlign w:val="bottom"/>
            <w:hideMark/>
          </w:tcPr>
          <w:p w14:paraId="26F5D6B0" w14:textId="5678B2BF" w:rsidR="007A68F1" w:rsidRPr="00DE7C8F" w:rsidRDefault="00DE7C8F"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28-day compressive strength </w:t>
            </w:r>
            <w:r w:rsidR="005377F3" w:rsidRPr="00DE7C8F">
              <w:rPr>
                <w:rFonts w:hint="eastAsia"/>
                <w:color w:val="000000" w:themeColor="text1"/>
                <w:szCs w:val="21"/>
                <w14:ligatures w14:val="standardContextual"/>
              </w:rPr>
              <w:t>MPa</w:t>
            </w:r>
          </w:p>
        </w:tc>
      </w:tr>
      <w:tr w:rsidR="00B96D39" w:rsidRPr="007A68F1" w14:paraId="07F892D4" w14:textId="77777777" w:rsidTr="00AD221F">
        <w:trPr>
          <w:trHeight w:val="226"/>
          <w:jc w:val="center"/>
        </w:trPr>
        <w:tc>
          <w:tcPr>
            <w:tcW w:w="1480" w:type="dxa"/>
            <w:tcBorders>
              <w:top w:val="single" w:sz="8" w:space="0" w:color="394761"/>
              <w:right w:val="nil"/>
            </w:tcBorders>
            <w:tcMar>
              <w:top w:w="12" w:type="dxa"/>
              <w:left w:w="12" w:type="dxa"/>
              <w:bottom w:w="0" w:type="dxa"/>
              <w:right w:w="12" w:type="dxa"/>
            </w:tcMar>
            <w:vAlign w:val="bottom"/>
            <w:hideMark/>
          </w:tcPr>
          <w:p w14:paraId="07A4A458" w14:textId="6E82372B" w:rsidR="00B96D39" w:rsidRPr="00DE7C8F" w:rsidRDefault="00B96D39" w:rsidP="00DE7C8F">
            <w:pPr>
              <w:widowControl/>
              <w:spacing w:before="100" w:beforeAutospacing="1" w:line="300" w:lineRule="auto"/>
              <w:jc w:val="center"/>
              <w:rPr>
                <w:color w:val="000000" w:themeColor="text1"/>
                <w:szCs w:val="21"/>
                <w14:ligatures w14:val="standardContextual"/>
              </w:rPr>
            </w:pPr>
            <w:bookmarkStart w:id="10" w:name="OLE_LINK13"/>
            <w:r w:rsidRPr="00DE7C8F">
              <w:rPr>
                <w:color w:val="000000" w:themeColor="text1"/>
                <w:szCs w:val="21"/>
                <w14:ligatures w14:val="standardContextual"/>
              </w:rPr>
              <w:t>S</w:t>
            </w:r>
            <w:r w:rsidRPr="00DE7C8F">
              <w:rPr>
                <w:rFonts w:hint="eastAsia"/>
                <w:color w:val="000000" w:themeColor="text1"/>
                <w:szCs w:val="21"/>
                <w14:ligatures w14:val="standardContextual"/>
              </w:rPr>
              <w:t>9F1C1</w:t>
            </w:r>
            <w:r w:rsidRPr="00DE7C8F">
              <w:rPr>
                <w:color w:val="000000" w:themeColor="text1"/>
                <w:szCs w:val="21"/>
                <w14:ligatures w14:val="standardContextual"/>
              </w:rPr>
              <w:t>D1-1</w:t>
            </w:r>
            <w:bookmarkEnd w:id="10"/>
          </w:p>
        </w:tc>
        <w:tc>
          <w:tcPr>
            <w:tcW w:w="788" w:type="dxa"/>
            <w:tcBorders>
              <w:top w:val="single" w:sz="8" w:space="0" w:color="394761"/>
              <w:left w:val="nil"/>
              <w:right w:val="nil"/>
            </w:tcBorders>
            <w:tcMar>
              <w:top w:w="12" w:type="dxa"/>
              <w:left w:w="12" w:type="dxa"/>
              <w:bottom w:w="0" w:type="dxa"/>
              <w:right w:w="12" w:type="dxa"/>
            </w:tcMar>
            <w:vAlign w:val="bottom"/>
            <w:hideMark/>
          </w:tcPr>
          <w:p w14:paraId="524178B8" w14:textId="3D8F4F8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10</w:t>
            </w:r>
          </w:p>
        </w:tc>
        <w:tc>
          <w:tcPr>
            <w:tcW w:w="1276" w:type="dxa"/>
            <w:tcBorders>
              <w:top w:val="single" w:sz="8" w:space="0" w:color="394761"/>
              <w:left w:val="nil"/>
              <w:right w:val="nil"/>
            </w:tcBorders>
            <w:tcMar>
              <w:top w:w="12" w:type="dxa"/>
              <w:left w:w="12" w:type="dxa"/>
              <w:bottom w:w="0" w:type="dxa"/>
              <w:right w:w="12" w:type="dxa"/>
            </w:tcMar>
            <w:vAlign w:val="bottom"/>
            <w:hideMark/>
          </w:tcPr>
          <w:p w14:paraId="34C0FFE3" w14:textId="5D0F579B"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8</w:t>
            </w:r>
          </w:p>
        </w:tc>
        <w:tc>
          <w:tcPr>
            <w:tcW w:w="1559" w:type="dxa"/>
            <w:tcBorders>
              <w:top w:val="single" w:sz="8" w:space="0" w:color="394761"/>
              <w:left w:val="nil"/>
              <w:right w:val="nil"/>
            </w:tcBorders>
            <w:tcMar>
              <w:top w:w="12" w:type="dxa"/>
              <w:left w:w="12" w:type="dxa"/>
              <w:bottom w:w="0" w:type="dxa"/>
              <w:right w:w="12" w:type="dxa"/>
            </w:tcMar>
            <w:vAlign w:val="bottom"/>
            <w:hideMark/>
          </w:tcPr>
          <w:p w14:paraId="6B258785" w14:textId="1F69369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7.5</w:t>
            </w:r>
          </w:p>
        </w:tc>
        <w:tc>
          <w:tcPr>
            <w:tcW w:w="1701" w:type="dxa"/>
            <w:tcBorders>
              <w:top w:val="single" w:sz="8" w:space="0" w:color="394761"/>
              <w:left w:val="nil"/>
              <w:right w:val="nil"/>
            </w:tcBorders>
            <w:tcMar>
              <w:top w:w="12" w:type="dxa"/>
              <w:left w:w="12" w:type="dxa"/>
              <w:bottom w:w="0" w:type="dxa"/>
              <w:right w:w="12" w:type="dxa"/>
            </w:tcMar>
            <w:vAlign w:val="bottom"/>
            <w:hideMark/>
          </w:tcPr>
          <w:p w14:paraId="19CCF447" w14:textId="5524C2B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18.9 </w:t>
            </w:r>
          </w:p>
        </w:tc>
        <w:tc>
          <w:tcPr>
            <w:tcW w:w="1776" w:type="dxa"/>
            <w:tcBorders>
              <w:top w:val="single" w:sz="8" w:space="0" w:color="394761"/>
              <w:left w:val="nil"/>
            </w:tcBorders>
            <w:tcMar>
              <w:top w:w="12" w:type="dxa"/>
              <w:left w:w="12" w:type="dxa"/>
              <w:bottom w:w="0" w:type="dxa"/>
              <w:right w:w="12" w:type="dxa"/>
            </w:tcMar>
            <w:vAlign w:val="bottom"/>
            <w:hideMark/>
          </w:tcPr>
          <w:p w14:paraId="66C3FE1D" w14:textId="4B6F2AD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25.1</w:t>
            </w:r>
          </w:p>
        </w:tc>
      </w:tr>
      <w:tr w:rsidR="00B96D39" w:rsidRPr="007A68F1" w14:paraId="3F17FF02"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66257EE5" w14:textId="79CFE7C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7F3C1</w:t>
            </w:r>
            <w:r w:rsidRPr="00DE7C8F">
              <w:rPr>
                <w:color w:val="000000" w:themeColor="text1"/>
                <w:szCs w:val="21"/>
                <w14:ligatures w14:val="standardContextual"/>
              </w:rPr>
              <w:t>D1-</w:t>
            </w:r>
            <w:r w:rsidRPr="00DE7C8F">
              <w:rPr>
                <w:rFonts w:hint="eastAsia"/>
                <w:color w:val="000000" w:themeColor="text1"/>
                <w:szCs w:val="21"/>
                <w14:ligatures w14:val="standardContextual"/>
              </w:rPr>
              <w:t>2</w:t>
            </w:r>
          </w:p>
        </w:tc>
        <w:tc>
          <w:tcPr>
            <w:tcW w:w="788" w:type="dxa"/>
            <w:tcBorders>
              <w:left w:val="nil"/>
              <w:right w:val="nil"/>
            </w:tcBorders>
            <w:tcMar>
              <w:top w:w="12" w:type="dxa"/>
              <w:left w:w="12" w:type="dxa"/>
              <w:bottom w:w="0" w:type="dxa"/>
              <w:right w:w="12" w:type="dxa"/>
            </w:tcMar>
            <w:vAlign w:val="bottom"/>
            <w:hideMark/>
          </w:tcPr>
          <w:p w14:paraId="4781F3A7" w14:textId="27AB4C41"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30</w:t>
            </w:r>
          </w:p>
        </w:tc>
        <w:tc>
          <w:tcPr>
            <w:tcW w:w="1276" w:type="dxa"/>
            <w:tcBorders>
              <w:left w:val="nil"/>
              <w:right w:val="nil"/>
            </w:tcBorders>
            <w:tcMar>
              <w:top w:w="12" w:type="dxa"/>
              <w:left w:w="12" w:type="dxa"/>
              <w:bottom w:w="0" w:type="dxa"/>
              <w:right w:w="12" w:type="dxa"/>
            </w:tcMar>
            <w:vAlign w:val="bottom"/>
            <w:hideMark/>
          </w:tcPr>
          <w:p w14:paraId="5F6D2D0D" w14:textId="1A669CB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8</w:t>
            </w:r>
          </w:p>
        </w:tc>
        <w:tc>
          <w:tcPr>
            <w:tcW w:w="1559" w:type="dxa"/>
            <w:tcBorders>
              <w:left w:val="nil"/>
              <w:right w:val="nil"/>
            </w:tcBorders>
            <w:tcMar>
              <w:top w:w="12" w:type="dxa"/>
              <w:left w:w="12" w:type="dxa"/>
              <w:bottom w:w="0" w:type="dxa"/>
              <w:right w:w="12" w:type="dxa"/>
            </w:tcMar>
            <w:vAlign w:val="bottom"/>
            <w:hideMark/>
          </w:tcPr>
          <w:p w14:paraId="7A662E53" w14:textId="36DFC7B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7.5</w:t>
            </w:r>
          </w:p>
        </w:tc>
        <w:tc>
          <w:tcPr>
            <w:tcW w:w="1701" w:type="dxa"/>
            <w:tcBorders>
              <w:left w:val="nil"/>
              <w:right w:val="nil"/>
            </w:tcBorders>
            <w:tcMar>
              <w:top w:w="12" w:type="dxa"/>
              <w:left w:w="12" w:type="dxa"/>
              <w:bottom w:w="0" w:type="dxa"/>
              <w:right w:w="12" w:type="dxa"/>
            </w:tcMar>
            <w:vAlign w:val="bottom"/>
            <w:hideMark/>
          </w:tcPr>
          <w:p w14:paraId="3D0C27DB" w14:textId="38836CE0"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14.6 </w:t>
            </w:r>
          </w:p>
        </w:tc>
        <w:tc>
          <w:tcPr>
            <w:tcW w:w="1776" w:type="dxa"/>
            <w:tcBorders>
              <w:left w:val="nil"/>
            </w:tcBorders>
            <w:tcMar>
              <w:top w:w="12" w:type="dxa"/>
              <w:left w:w="12" w:type="dxa"/>
              <w:bottom w:w="0" w:type="dxa"/>
              <w:right w:w="12" w:type="dxa"/>
            </w:tcMar>
            <w:vAlign w:val="bottom"/>
            <w:hideMark/>
          </w:tcPr>
          <w:p w14:paraId="1661C039" w14:textId="5652ED97"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21.6</w:t>
            </w:r>
          </w:p>
        </w:tc>
      </w:tr>
      <w:tr w:rsidR="00B96D39" w:rsidRPr="007A68F1" w14:paraId="4684F66A"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169EC154" w14:textId="38634E97"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9F1C2</w:t>
            </w:r>
            <w:r w:rsidRPr="00DE7C8F">
              <w:rPr>
                <w:color w:val="000000" w:themeColor="text1"/>
                <w:szCs w:val="21"/>
                <w14:ligatures w14:val="standardContextual"/>
              </w:rPr>
              <w:t>D1-</w:t>
            </w:r>
            <w:r w:rsidRPr="00DE7C8F">
              <w:rPr>
                <w:rFonts w:hint="eastAsia"/>
                <w:color w:val="000000" w:themeColor="text1"/>
                <w:szCs w:val="21"/>
                <w14:ligatures w14:val="standardContextual"/>
              </w:rPr>
              <w:t>3</w:t>
            </w:r>
          </w:p>
        </w:tc>
        <w:tc>
          <w:tcPr>
            <w:tcW w:w="788" w:type="dxa"/>
            <w:tcBorders>
              <w:left w:val="nil"/>
              <w:right w:val="nil"/>
            </w:tcBorders>
            <w:tcMar>
              <w:top w:w="12" w:type="dxa"/>
              <w:left w:w="12" w:type="dxa"/>
              <w:bottom w:w="0" w:type="dxa"/>
              <w:right w:w="12" w:type="dxa"/>
            </w:tcMar>
            <w:vAlign w:val="bottom"/>
            <w:hideMark/>
          </w:tcPr>
          <w:p w14:paraId="636B5F92" w14:textId="1B4E95A6"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10</w:t>
            </w:r>
          </w:p>
        </w:tc>
        <w:tc>
          <w:tcPr>
            <w:tcW w:w="1276" w:type="dxa"/>
            <w:tcBorders>
              <w:left w:val="nil"/>
              <w:right w:val="nil"/>
            </w:tcBorders>
            <w:tcMar>
              <w:top w:w="12" w:type="dxa"/>
              <w:left w:w="12" w:type="dxa"/>
              <w:bottom w:w="0" w:type="dxa"/>
              <w:right w:w="12" w:type="dxa"/>
            </w:tcMar>
            <w:vAlign w:val="bottom"/>
            <w:hideMark/>
          </w:tcPr>
          <w:p w14:paraId="293E5CC0" w14:textId="2E84A9BB"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559" w:type="dxa"/>
            <w:tcBorders>
              <w:left w:val="nil"/>
              <w:right w:val="nil"/>
            </w:tcBorders>
            <w:tcMar>
              <w:top w:w="12" w:type="dxa"/>
              <w:left w:w="12" w:type="dxa"/>
              <w:bottom w:w="0" w:type="dxa"/>
              <w:right w:w="12" w:type="dxa"/>
            </w:tcMar>
            <w:vAlign w:val="bottom"/>
            <w:hideMark/>
          </w:tcPr>
          <w:p w14:paraId="5878FD20" w14:textId="15ACACE4"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7.5</w:t>
            </w:r>
          </w:p>
        </w:tc>
        <w:tc>
          <w:tcPr>
            <w:tcW w:w="1701" w:type="dxa"/>
            <w:tcBorders>
              <w:left w:val="nil"/>
              <w:right w:val="nil"/>
            </w:tcBorders>
            <w:tcMar>
              <w:top w:w="12" w:type="dxa"/>
              <w:left w:w="12" w:type="dxa"/>
              <w:bottom w:w="0" w:type="dxa"/>
              <w:right w:w="12" w:type="dxa"/>
            </w:tcMar>
            <w:vAlign w:val="bottom"/>
            <w:hideMark/>
          </w:tcPr>
          <w:p w14:paraId="3493AA7D" w14:textId="0DF9C850"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16.3 </w:t>
            </w:r>
          </w:p>
        </w:tc>
        <w:tc>
          <w:tcPr>
            <w:tcW w:w="1776" w:type="dxa"/>
            <w:tcBorders>
              <w:left w:val="nil"/>
            </w:tcBorders>
            <w:tcMar>
              <w:top w:w="12" w:type="dxa"/>
              <w:left w:w="12" w:type="dxa"/>
              <w:bottom w:w="0" w:type="dxa"/>
              <w:right w:w="12" w:type="dxa"/>
            </w:tcMar>
            <w:vAlign w:val="bottom"/>
            <w:hideMark/>
          </w:tcPr>
          <w:p w14:paraId="20004C89" w14:textId="39A2F96A"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24.9</w:t>
            </w:r>
          </w:p>
        </w:tc>
      </w:tr>
      <w:tr w:rsidR="00B96D39" w:rsidRPr="007A68F1" w14:paraId="57DC1DF4"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75EE27C2" w14:textId="01060D40"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7F3C2</w:t>
            </w:r>
            <w:r w:rsidRPr="00DE7C8F">
              <w:rPr>
                <w:color w:val="000000" w:themeColor="text1"/>
                <w:szCs w:val="21"/>
                <w14:ligatures w14:val="standardContextual"/>
              </w:rPr>
              <w:t>D1-</w:t>
            </w:r>
            <w:r w:rsidRPr="00DE7C8F">
              <w:rPr>
                <w:rFonts w:hint="eastAsia"/>
                <w:color w:val="000000" w:themeColor="text1"/>
                <w:szCs w:val="21"/>
                <w14:ligatures w14:val="standardContextual"/>
              </w:rPr>
              <w:t>4</w:t>
            </w:r>
          </w:p>
        </w:tc>
        <w:tc>
          <w:tcPr>
            <w:tcW w:w="788" w:type="dxa"/>
            <w:tcBorders>
              <w:left w:val="nil"/>
              <w:right w:val="nil"/>
            </w:tcBorders>
            <w:tcMar>
              <w:top w:w="12" w:type="dxa"/>
              <w:left w:w="12" w:type="dxa"/>
              <w:bottom w:w="0" w:type="dxa"/>
              <w:right w:w="12" w:type="dxa"/>
            </w:tcMar>
            <w:vAlign w:val="bottom"/>
            <w:hideMark/>
          </w:tcPr>
          <w:p w14:paraId="4C7822DB" w14:textId="5D7364DF"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30</w:t>
            </w:r>
          </w:p>
        </w:tc>
        <w:tc>
          <w:tcPr>
            <w:tcW w:w="1276" w:type="dxa"/>
            <w:tcBorders>
              <w:left w:val="nil"/>
              <w:right w:val="nil"/>
            </w:tcBorders>
            <w:tcMar>
              <w:top w:w="12" w:type="dxa"/>
              <w:left w:w="12" w:type="dxa"/>
              <w:bottom w:w="0" w:type="dxa"/>
              <w:right w:w="12" w:type="dxa"/>
            </w:tcMar>
            <w:vAlign w:val="bottom"/>
            <w:hideMark/>
          </w:tcPr>
          <w:p w14:paraId="37DDFC42" w14:textId="089DF10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559" w:type="dxa"/>
            <w:tcBorders>
              <w:left w:val="nil"/>
              <w:right w:val="nil"/>
            </w:tcBorders>
            <w:tcMar>
              <w:top w:w="12" w:type="dxa"/>
              <w:left w:w="12" w:type="dxa"/>
              <w:bottom w:w="0" w:type="dxa"/>
              <w:right w:w="12" w:type="dxa"/>
            </w:tcMar>
            <w:vAlign w:val="bottom"/>
            <w:hideMark/>
          </w:tcPr>
          <w:p w14:paraId="5A233B81" w14:textId="45905006"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7.5</w:t>
            </w:r>
          </w:p>
        </w:tc>
        <w:tc>
          <w:tcPr>
            <w:tcW w:w="1701" w:type="dxa"/>
            <w:tcBorders>
              <w:left w:val="nil"/>
              <w:right w:val="nil"/>
            </w:tcBorders>
            <w:tcMar>
              <w:top w:w="12" w:type="dxa"/>
              <w:left w:w="12" w:type="dxa"/>
              <w:bottom w:w="0" w:type="dxa"/>
              <w:right w:w="12" w:type="dxa"/>
            </w:tcMar>
            <w:vAlign w:val="bottom"/>
            <w:hideMark/>
          </w:tcPr>
          <w:p w14:paraId="14AEA14D" w14:textId="10C465F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16.4 </w:t>
            </w:r>
          </w:p>
        </w:tc>
        <w:tc>
          <w:tcPr>
            <w:tcW w:w="1776" w:type="dxa"/>
            <w:tcBorders>
              <w:left w:val="nil"/>
            </w:tcBorders>
            <w:tcMar>
              <w:top w:w="12" w:type="dxa"/>
              <w:left w:w="12" w:type="dxa"/>
              <w:bottom w:w="0" w:type="dxa"/>
              <w:right w:w="12" w:type="dxa"/>
            </w:tcMar>
            <w:vAlign w:val="bottom"/>
            <w:hideMark/>
          </w:tcPr>
          <w:p w14:paraId="0A6ECDDC" w14:textId="4A6CAFC7"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20.2</w:t>
            </w:r>
          </w:p>
        </w:tc>
      </w:tr>
      <w:tr w:rsidR="00B96D39" w:rsidRPr="007A68F1" w14:paraId="568F2CCA"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3275F9DA" w14:textId="2B3F3FF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9F1C2</w:t>
            </w:r>
            <w:r w:rsidRPr="00DE7C8F">
              <w:rPr>
                <w:color w:val="000000" w:themeColor="text1"/>
                <w:szCs w:val="21"/>
                <w14:ligatures w14:val="standardContextual"/>
              </w:rPr>
              <w:t>D1-</w:t>
            </w:r>
            <w:r w:rsidRPr="00DE7C8F">
              <w:rPr>
                <w:rFonts w:hint="eastAsia"/>
                <w:color w:val="000000" w:themeColor="text1"/>
                <w:szCs w:val="21"/>
                <w14:ligatures w14:val="standardContextual"/>
              </w:rPr>
              <w:t>5</w:t>
            </w:r>
          </w:p>
        </w:tc>
        <w:tc>
          <w:tcPr>
            <w:tcW w:w="788" w:type="dxa"/>
            <w:tcBorders>
              <w:left w:val="nil"/>
              <w:right w:val="nil"/>
            </w:tcBorders>
            <w:tcMar>
              <w:top w:w="12" w:type="dxa"/>
              <w:left w:w="12" w:type="dxa"/>
              <w:bottom w:w="0" w:type="dxa"/>
              <w:right w:w="12" w:type="dxa"/>
            </w:tcMar>
            <w:vAlign w:val="bottom"/>
            <w:hideMark/>
          </w:tcPr>
          <w:p w14:paraId="72FEDC5C" w14:textId="1889A6D0"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10</w:t>
            </w:r>
          </w:p>
        </w:tc>
        <w:tc>
          <w:tcPr>
            <w:tcW w:w="1276" w:type="dxa"/>
            <w:tcBorders>
              <w:left w:val="nil"/>
              <w:right w:val="nil"/>
            </w:tcBorders>
            <w:tcMar>
              <w:top w:w="12" w:type="dxa"/>
              <w:left w:w="12" w:type="dxa"/>
              <w:bottom w:w="0" w:type="dxa"/>
              <w:right w:w="12" w:type="dxa"/>
            </w:tcMar>
            <w:vAlign w:val="bottom"/>
            <w:hideMark/>
          </w:tcPr>
          <w:p w14:paraId="3658B028" w14:textId="3C82B5B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14</w:t>
            </w:r>
          </w:p>
        </w:tc>
        <w:tc>
          <w:tcPr>
            <w:tcW w:w="1559" w:type="dxa"/>
            <w:tcBorders>
              <w:left w:val="nil"/>
              <w:right w:val="nil"/>
            </w:tcBorders>
            <w:tcMar>
              <w:top w:w="12" w:type="dxa"/>
              <w:left w:w="12" w:type="dxa"/>
              <w:bottom w:w="0" w:type="dxa"/>
              <w:right w:w="12" w:type="dxa"/>
            </w:tcMar>
            <w:vAlign w:val="bottom"/>
            <w:hideMark/>
          </w:tcPr>
          <w:p w14:paraId="036AB664" w14:textId="28199CE8"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5</w:t>
            </w:r>
          </w:p>
        </w:tc>
        <w:tc>
          <w:tcPr>
            <w:tcW w:w="1701" w:type="dxa"/>
            <w:tcBorders>
              <w:left w:val="nil"/>
              <w:right w:val="nil"/>
            </w:tcBorders>
            <w:tcMar>
              <w:top w:w="12" w:type="dxa"/>
              <w:left w:w="12" w:type="dxa"/>
              <w:bottom w:w="0" w:type="dxa"/>
              <w:right w:w="12" w:type="dxa"/>
            </w:tcMar>
            <w:vAlign w:val="bottom"/>
            <w:hideMark/>
          </w:tcPr>
          <w:p w14:paraId="2FE3D539" w14:textId="0AABC3A9"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14.2 </w:t>
            </w:r>
          </w:p>
        </w:tc>
        <w:tc>
          <w:tcPr>
            <w:tcW w:w="1776" w:type="dxa"/>
            <w:tcBorders>
              <w:left w:val="nil"/>
            </w:tcBorders>
            <w:tcMar>
              <w:top w:w="12" w:type="dxa"/>
              <w:left w:w="12" w:type="dxa"/>
              <w:bottom w:w="0" w:type="dxa"/>
              <w:right w:w="12" w:type="dxa"/>
            </w:tcMar>
            <w:vAlign w:val="bottom"/>
            <w:hideMark/>
          </w:tcPr>
          <w:p w14:paraId="5277BCB4" w14:textId="487C33C8"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25.7</w:t>
            </w:r>
          </w:p>
        </w:tc>
      </w:tr>
      <w:tr w:rsidR="00B96D39" w:rsidRPr="007A68F1" w14:paraId="40E63554"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4DB634B2" w14:textId="724EC62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7F3C2</w:t>
            </w:r>
            <w:r w:rsidRPr="00DE7C8F">
              <w:rPr>
                <w:color w:val="000000" w:themeColor="text1"/>
                <w:szCs w:val="21"/>
                <w14:ligatures w14:val="standardContextual"/>
              </w:rPr>
              <w:t>D1-</w:t>
            </w:r>
            <w:r w:rsidRPr="00DE7C8F">
              <w:rPr>
                <w:rFonts w:hint="eastAsia"/>
                <w:color w:val="000000" w:themeColor="text1"/>
                <w:szCs w:val="21"/>
                <w14:ligatures w14:val="standardContextual"/>
              </w:rPr>
              <w:t>6</w:t>
            </w:r>
          </w:p>
        </w:tc>
        <w:tc>
          <w:tcPr>
            <w:tcW w:w="788" w:type="dxa"/>
            <w:tcBorders>
              <w:left w:val="nil"/>
              <w:right w:val="nil"/>
            </w:tcBorders>
            <w:tcMar>
              <w:top w:w="12" w:type="dxa"/>
              <w:left w:w="12" w:type="dxa"/>
              <w:bottom w:w="0" w:type="dxa"/>
              <w:right w:w="12" w:type="dxa"/>
            </w:tcMar>
            <w:vAlign w:val="bottom"/>
            <w:hideMark/>
          </w:tcPr>
          <w:p w14:paraId="62107F68" w14:textId="76198F8D"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30</w:t>
            </w:r>
          </w:p>
        </w:tc>
        <w:tc>
          <w:tcPr>
            <w:tcW w:w="1276" w:type="dxa"/>
            <w:tcBorders>
              <w:left w:val="nil"/>
              <w:right w:val="nil"/>
            </w:tcBorders>
            <w:tcMar>
              <w:top w:w="12" w:type="dxa"/>
              <w:left w:w="12" w:type="dxa"/>
              <w:bottom w:w="0" w:type="dxa"/>
              <w:right w:w="12" w:type="dxa"/>
            </w:tcMar>
            <w:vAlign w:val="bottom"/>
            <w:hideMark/>
          </w:tcPr>
          <w:p w14:paraId="2DF4A474" w14:textId="4DBD716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14</w:t>
            </w:r>
          </w:p>
        </w:tc>
        <w:tc>
          <w:tcPr>
            <w:tcW w:w="1559" w:type="dxa"/>
            <w:tcBorders>
              <w:left w:val="nil"/>
              <w:right w:val="nil"/>
            </w:tcBorders>
            <w:tcMar>
              <w:top w:w="12" w:type="dxa"/>
              <w:left w:w="12" w:type="dxa"/>
              <w:bottom w:w="0" w:type="dxa"/>
              <w:right w:w="12" w:type="dxa"/>
            </w:tcMar>
            <w:vAlign w:val="bottom"/>
            <w:hideMark/>
          </w:tcPr>
          <w:p w14:paraId="1D55D0A8" w14:textId="77425DE9"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5</w:t>
            </w:r>
          </w:p>
        </w:tc>
        <w:tc>
          <w:tcPr>
            <w:tcW w:w="1701" w:type="dxa"/>
            <w:tcBorders>
              <w:left w:val="nil"/>
              <w:right w:val="nil"/>
            </w:tcBorders>
            <w:tcMar>
              <w:top w:w="12" w:type="dxa"/>
              <w:left w:w="12" w:type="dxa"/>
              <w:bottom w:w="0" w:type="dxa"/>
              <w:right w:w="12" w:type="dxa"/>
            </w:tcMar>
            <w:vAlign w:val="bottom"/>
            <w:hideMark/>
          </w:tcPr>
          <w:p w14:paraId="003280B2" w14:textId="7B4A82B9"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15.9 </w:t>
            </w:r>
          </w:p>
        </w:tc>
        <w:tc>
          <w:tcPr>
            <w:tcW w:w="1776" w:type="dxa"/>
            <w:tcBorders>
              <w:left w:val="nil"/>
            </w:tcBorders>
            <w:tcMar>
              <w:top w:w="12" w:type="dxa"/>
              <w:left w:w="12" w:type="dxa"/>
              <w:bottom w:w="0" w:type="dxa"/>
              <w:right w:w="12" w:type="dxa"/>
            </w:tcMar>
            <w:vAlign w:val="bottom"/>
            <w:hideMark/>
          </w:tcPr>
          <w:p w14:paraId="2C7FE0F7" w14:textId="4F25F3E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24.4</w:t>
            </w:r>
          </w:p>
        </w:tc>
      </w:tr>
      <w:tr w:rsidR="00B96D39" w:rsidRPr="007A68F1" w14:paraId="73A7187E"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5A98B852" w14:textId="7A9EBEA2"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9F1C2</w:t>
            </w:r>
            <w:r w:rsidRPr="00DE7C8F">
              <w:rPr>
                <w:color w:val="000000" w:themeColor="text1"/>
                <w:szCs w:val="21"/>
                <w14:ligatures w14:val="standardContextual"/>
              </w:rPr>
              <w:t>D1-</w:t>
            </w:r>
            <w:r w:rsidRPr="00DE7C8F">
              <w:rPr>
                <w:rFonts w:hint="eastAsia"/>
                <w:color w:val="000000" w:themeColor="text1"/>
                <w:szCs w:val="21"/>
                <w14:ligatures w14:val="standardContextual"/>
              </w:rPr>
              <w:t>7</w:t>
            </w:r>
          </w:p>
        </w:tc>
        <w:tc>
          <w:tcPr>
            <w:tcW w:w="788" w:type="dxa"/>
            <w:tcBorders>
              <w:left w:val="nil"/>
              <w:right w:val="nil"/>
            </w:tcBorders>
            <w:tcMar>
              <w:top w:w="12" w:type="dxa"/>
              <w:left w:w="12" w:type="dxa"/>
              <w:bottom w:w="0" w:type="dxa"/>
              <w:right w:w="12" w:type="dxa"/>
            </w:tcMar>
            <w:vAlign w:val="bottom"/>
            <w:hideMark/>
          </w:tcPr>
          <w:p w14:paraId="2FE415B4" w14:textId="100A5FCD"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10</w:t>
            </w:r>
          </w:p>
        </w:tc>
        <w:tc>
          <w:tcPr>
            <w:tcW w:w="1276" w:type="dxa"/>
            <w:tcBorders>
              <w:left w:val="nil"/>
              <w:right w:val="nil"/>
            </w:tcBorders>
            <w:tcMar>
              <w:top w:w="12" w:type="dxa"/>
              <w:left w:w="12" w:type="dxa"/>
              <w:bottom w:w="0" w:type="dxa"/>
              <w:right w:w="12" w:type="dxa"/>
            </w:tcMar>
            <w:vAlign w:val="bottom"/>
            <w:hideMark/>
          </w:tcPr>
          <w:p w14:paraId="5C217427" w14:textId="0F7C56CB"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14</w:t>
            </w:r>
          </w:p>
        </w:tc>
        <w:tc>
          <w:tcPr>
            <w:tcW w:w="1559" w:type="dxa"/>
            <w:tcBorders>
              <w:left w:val="nil"/>
              <w:right w:val="nil"/>
            </w:tcBorders>
            <w:tcMar>
              <w:top w:w="12" w:type="dxa"/>
              <w:left w:w="12" w:type="dxa"/>
              <w:bottom w:w="0" w:type="dxa"/>
              <w:right w:w="12" w:type="dxa"/>
            </w:tcMar>
            <w:vAlign w:val="bottom"/>
            <w:hideMark/>
          </w:tcPr>
          <w:p w14:paraId="0A71ED3D" w14:textId="00EF88E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10</w:t>
            </w:r>
          </w:p>
        </w:tc>
        <w:tc>
          <w:tcPr>
            <w:tcW w:w="1701" w:type="dxa"/>
            <w:tcBorders>
              <w:left w:val="nil"/>
              <w:right w:val="nil"/>
            </w:tcBorders>
            <w:tcMar>
              <w:top w:w="12" w:type="dxa"/>
              <w:left w:w="12" w:type="dxa"/>
              <w:bottom w:w="0" w:type="dxa"/>
              <w:right w:w="12" w:type="dxa"/>
            </w:tcMar>
            <w:vAlign w:val="bottom"/>
            <w:hideMark/>
          </w:tcPr>
          <w:p w14:paraId="4FA6F44F" w14:textId="253E1DC0"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14.0 </w:t>
            </w:r>
          </w:p>
        </w:tc>
        <w:tc>
          <w:tcPr>
            <w:tcW w:w="1776" w:type="dxa"/>
            <w:tcBorders>
              <w:left w:val="nil"/>
            </w:tcBorders>
            <w:tcMar>
              <w:top w:w="12" w:type="dxa"/>
              <w:left w:w="12" w:type="dxa"/>
              <w:bottom w:w="0" w:type="dxa"/>
              <w:right w:w="12" w:type="dxa"/>
            </w:tcMar>
            <w:vAlign w:val="bottom"/>
            <w:hideMark/>
          </w:tcPr>
          <w:p w14:paraId="52F7488D" w14:textId="609196FA"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24.7</w:t>
            </w:r>
          </w:p>
        </w:tc>
      </w:tr>
      <w:tr w:rsidR="00B96D39" w:rsidRPr="007A68F1" w14:paraId="7B9A65CA"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6C63A0B8" w14:textId="37442F7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7F3C2</w:t>
            </w:r>
            <w:r w:rsidRPr="00DE7C8F">
              <w:rPr>
                <w:color w:val="000000" w:themeColor="text1"/>
                <w:szCs w:val="21"/>
                <w14:ligatures w14:val="standardContextual"/>
              </w:rPr>
              <w:t>D1-</w:t>
            </w:r>
            <w:r w:rsidRPr="00DE7C8F">
              <w:rPr>
                <w:rFonts w:hint="eastAsia"/>
                <w:color w:val="000000" w:themeColor="text1"/>
                <w:szCs w:val="21"/>
                <w14:ligatures w14:val="standardContextual"/>
              </w:rPr>
              <w:t>8</w:t>
            </w:r>
          </w:p>
        </w:tc>
        <w:tc>
          <w:tcPr>
            <w:tcW w:w="788" w:type="dxa"/>
            <w:tcBorders>
              <w:left w:val="nil"/>
              <w:right w:val="nil"/>
            </w:tcBorders>
            <w:tcMar>
              <w:top w:w="12" w:type="dxa"/>
              <w:left w:w="12" w:type="dxa"/>
              <w:bottom w:w="0" w:type="dxa"/>
              <w:right w:w="12" w:type="dxa"/>
            </w:tcMar>
            <w:vAlign w:val="bottom"/>
            <w:hideMark/>
          </w:tcPr>
          <w:p w14:paraId="451991EE" w14:textId="3F3F0CA5"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30</w:t>
            </w:r>
          </w:p>
        </w:tc>
        <w:tc>
          <w:tcPr>
            <w:tcW w:w="1276" w:type="dxa"/>
            <w:tcBorders>
              <w:left w:val="nil"/>
              <w:right w:val="nil"/>
            </w:tcBorders>
            <w:tcMar>
              <w:top w:w="12" w:type="dxa"/>
              <w:left w:w="12" w:type="dxa"/>
              <w:bottom w:w="0" w:type="dxa"/>
              <w:right w:w="12" w:type="dxa"/>
            </w:tcMar>
            <w:vAlign w:val="bottom"/>
            <w:hideMark/>
          </w:tcPr>
          <w:p w14:paraId="01001E46" w14:textId="360DA5AA"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14</w:t>
            </w:r>
          </w:p>
        </w:tc>
        <w:tc>
          <w:tcPr>
            <w:tcW w:w="1559" w:type="dxa"/>
            <w:tcBorders>
              <w:left w:val="nil"/>
              <w:right w:val="nil"/>
            </w:tcBorders>
            <w:tcMar>
              <w:top w:w="12" w:type="dxa"/>
              <w:left w:w="12" w:type="dxa"/>
              <w:bottom w:w="0" w:type="dxa"/>
              <w:right w:w="12" w:type="dxa"/>
            </w:tcMar>
            <w:vAlign w:val="bottom"/>
            <w:hideMark/>
          </w:tcPr>
          <w:p w14:paraId="7C96097D" w14:textId="43125F7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10</w:t>
            </w:r>
          </w:p>
        </w:tc>
        <w:tc>
          <w:tcPr>
            <w:tcW w:w="1701" w:type="dxa"/>
            <w:tcBorders>
              <w:left w:val="nil"/>
              <w:right w:val="nil"/>
            </w:tcBorders>
            <w:tcMar>
              <w:top w:w="12" w:type="dxa"/>
              <w:left w:w="12" w:type="dxa"/>
              <w:bottom w:w="0" w:type="dxa"/>
              <w:right w:w="12" w:type="dxa"/>
            </w:tcMar>
            <w:vAlign w:val="bottom"/>
            <w:hideMark/>
          </w:tcPr>
          <w:p w14:paraId="22F70B1B" w14:textId="2FEC11F1"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15.5 </w:t>
            </w:r>
          </w:p>
        </w:tc>
        <w:tc>
          <w:tcPr>
            <w:tcW w:w="1776" w:type="dxa"/>
            <w:tcBorders>
              <w:left w:val="nil"/>
            </w:tcBorders>
            <w:tcMar>
              <w:top w:w="12" w:type="dxa"/>
              <w:left w:w="12" w:type="dxa"/>
              <w:bottom w:w="0" w:type="dxa"/>
              <w:right w:w="12" w:type="dxa"/>
            </w:tcMar>
            <w:vAlign w:val="bottom"/>
            <w:hideMark/>
          </w:tcPr>
          <w:p w14:paraId="7A71D236" w14:textId="5778ED61"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24.2</w:t>
            </w:r>
          </w:p>
        </w:tc>
      </w:tr>
      <w:tr w:rsidR="00B96D39" w:rsidRPr="007A68F1" w14:paraId="060FE8D6"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6D3FE01B" w14:textId="409C76F5"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8F2C1</w:t>
            </w:r>
            <w:r w:rsidRPr="00DE7C8F">
              <w:rPr>
                <w:color w:val="000000" w:themeColor="text1"/>
                <w:szCs w:val="21"/>
                <w14:ligatures w14:val="standardContextual"/>
              </w:rPr>
              <w:t>D1-</w:t>
            </w:r>
            <w:r w:rsidRPr="00DE7C8F">
              <w:rPr>
                <w:rFonts w:hint="eastAsia"/>
                <w:color w:val="000000" w:themeColor="text1"/>
                <w:szCs w:val="21"/>
                <w14:ligatures w14:val="standardContextual"/>
              </w:rPr>
              <w:t>9</w:t>
            </w:r>
          </w:p>
        </w:tc>
        <w:tc>
          <w:tcPr>
            <w:tcW w:w="788" w:type="dxa"/>
            <w:tcBorders>
              <w:left w:val="nil"/>
              <w:right w:val="nil"/>
            </w:tcBorders>
            <w:tcMar>
              <w:top w:w="12" w:type="dxa"/>
              <w:left w:w="12" w:type="dxa"/>
              <w:bottom w:w="0" w:type="dxa"/>
              <w:right w:w="12" w:type="dxa"/>
            </w:tcMar>
            <w:vAlign w:val="bottom"/>
            <w:hideMark/>
          </w:tcPr>
          <w:p w14:paraId="46855109" w14:textId="4D3D0141"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276" w:type="dxa"/>
            <w:tcBorders>
              <w:left w:val="nil"/>
              <w:right w:val="nil"/>
            </w:tcBorders>
            <w:tcMar>
              <w:top w:w="12" w:type="dxa"/>
              <w:left w:w="12" w:type="dxa"/>
              <w:bottom w:w="0" w:type="dxa"/>
              <w:right w:w="12" w:type="dxa"/>
            </w:tcMar>
            <w:vAlign w:val="bottom"/>
            <w:hideMark/>
          </w:tcPr>
          <w:p w14:paraId="0382AF66" w14:textId="3C5F80CB"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8</w:t>
            </w:r>
          </w:p>
        </w:tc>
        <w:tc>
          <w:tcPr>
            <w:tcW w:w="1559" w:type="dxa"/>
            <w:tcBorders>
              <w:left w:val="nil"/>
              <w:right w:val="nil"/>
            </w:tcBorders>
            <w:tcMar>
              <w:top w:w="12" w:type="dxa"/>
              <w:left w:w="12" w:type="dxa"/>
              <w:bottom w:w="0" w:type="dxa"/>
              <w:right w:w="12" w:type="dxa"/>
            </w:tcMar>
            <w:vAlign w:val="bottom"/>
            <w:hideMark/>
          </w:tcPr>
          <w:p w14:paraId="478F8976" w14:textId="4DD165F5"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5</w:t>
            </w:r>
          </w:p>
        </w:tc>
        <w:tc>
          <w:tcPr>
            <w:tcW w:w="1701" w:type="dxa"/>
            <w:tcBorders>
              <w:left w:val="nil"/>
              <w:right w:val="nil"/>
            </w:tcBorders>
            <w:tcMar>
              <w:top w:w="12" w:type="dxa"/>
              <w:left w:w="12" w:type="dxa"/>
              <w:bottom w:w="0" w:type="dxa"/>
              <w:right w:w="12" w:type="dxa"/>
            </w:tcMar>
            <w:vAlign w:val="bottom"/>
            <w:hideMark/>
          </w:tcPr>
          <w:p w14:paraId="6899508D" w14:textId="4F297FB6"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13.9 </w:t>
            </w:r>
          </w:p>
        </w:tc>
        <w:tc>
          <w:tcPr>
            <w:tcW w:w="1776" w:type="dxa"/>
            <w:tcBorders>
              <w:left w:val="nil"/>
            </w:tcBorders>
            <w:tcMar>
              <w:top w:w="12" w:type="dxa"/>
              <w:left w:w="12" w:type="dxa"/>
              <w:bottom w:w="0" w:type="dxa"/>
              <w:right w:w="12" w:type="dxa"/>
            </w:tcMar>
            <w:vAlign w:val="bottom"/>
            <w:hideMark/>
          </w:tcPr>
          <w:p w14:paraId="5CB42583" w14:textId="770D15D0"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25.1</w:t>
            </w:r>
          </w:p>
        </w:tc>
      </w:tr>
      <w:tr w:rsidR="00B96D39" w:rsidRPr="007A68F1" w14:paraId="05441820"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2B640FD8" w14:textId="0371AA8D"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8F2C2</w:t>
            </w:r>
            <w:r w:rsidRPr="00DE7C8F">
              <w:rPr>
                <w:color w:val="000000" w:themeColor="text1"/>
                <w:szCs w:val="21"/>
                <w14:ligatures w14:val="standardContextual"/>
              </w:rPr>
              <w:t>D1-1</w:t>
            </w:r>
            <w:r w:rsidRPr="00DE7C8F">
              <w:rPr>
                <w:rFonts w:hint="eastAsia"/>
                <w:color w:val="000000" w:themeColor="text1"/>
                <w:szCs w:val="21"/>
                <w14:ligatures w14:val="standardContextual"/>
              </w:rPr>
              <w:t>0</w:t>
            </w:r>
          </w:p>
        </w:tc>
        <w:tc>
          <w:tcPr>
            <w:tcW w:w="788" w:type="dxa"/>
            <w:tcBorders>
              <w:left w:val="nil"/>
              <w:right w:val="nil"/>
            </w:tcBorders>
            <w:tcMar>
              <w:top w:w="12" w:type="dxa"/>
              <w:left w:w="12" w:type="dxa"/>
              <w:bottom w:w="0" w:type="dxa"/>
              <w:right w:w="12" w:type="dxa"/>
            </w:tcMar>
            <w:vAlign w:val="bottom"/>
            <w:hideMark/>
          </w:tcPr>
          <w:p w14:paraId="38C08A7D" w14:textId="5BDBBE0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276" w:type="dxa"/>
            <w:tcBorders>
              <w:left w:val="nil"/>
              <w:right w:val="nil"/>
            </w:tcBorders>
            <w:tcMar>
              <w:top w:w="12" w:type="dxa"/>
              <w:left w:w="12" w:type="dxa"/>
              <w:bottom w:w="0" w:type="dxa"/>
              <w:right w:w="12" w:type="dxa"/>
            </w:tcMar>
            <w:vAlign w:val="bottom"/>
            <w:hideMark/>
          </w:tcPr>
          <w:p w14:paraId="4D8DC004" w14:textId="0911F87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559" w:type="dxa"/>
            <w:tcBorders>
              <w:left w:val="nil"/>
              <w:right w:val="nil"/>
            </w:tcBorders>
            <w:tcMar>
              <w:top w:w="12" w:type="dxa"/>
              <w:left w:w="12" w:type="dxa"/>
              <w:bottom w:w="0" w:type="dxa"/>
              <w:right w:w="12" w:type="dxa"/>
            </w:tcMar>
            <w:vAlign w:val="bottom"/>
            <w:hideMark/>
          </w:tcPr>
          <w:p w14:paraId="520C34CA" w14:textId="05C661D4"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5</w:t>
            </w:r>
          </w:p>
        </w:tc>
        <w:tc>
          <w:tcPr>
            <w:tcW w:w="1701" w:type="dxa"/>
            <w:tcBorders>
              <w:left w:val="nil"/>
              <w:right w:val="nil"/>
            </w:tcBorders>
            <w:tcMar>
              <w:top w:w="12" w:type="dxa"/>
              <w:left w:w="12" w:type="dxa"/>
              <w:bottom w:w="0" w:type="dxa"/>
              <w:right w:w="12" w:type="dxa"/>
            </w:tcMar>
            <w:vAlign w:val="bottom"/>
            <w:hideMark/>
          </w:tcPr>
          <w:p w14:paraId="39521355" w14:textId="54B7947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14.3 </w:t>
            </w:r>
          </w:p>
        </w:tc>
        <w:tc>
          <w:tcPr>
            <w:tcW w:w="1776" w:type="dxa"/>
            <w:tcBorders>
              <w:left w:val="nil"/>
            </w:tcBorders>
            <w:tcMar>
              <w:top w:w="12" w:type="dxa"/>
              <w:left w:w="12" w:type="dxa"/>
              <w:bottom w:w="0" w:type="dxa"/>
              <w:right w:w="12" w:type="dxa"/>
            </w:tcMar>
            <w:vAlign w:val="bottom"/>
            <w:hideMark/>
          </w:tcPr>
          <w:p w14:paraId="1CBC7794" w14:textId="66E4998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22.8</w:t>
            </w:r>
          </w:p>
        </w:tc>
      </w:tr>
      <w:tr w:rsidR="00B96D39" w:rsidRPr="007A68F1" w14:paraId="39DF79B9"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205E2F4F" w14:textId="16C3729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8F2C1</w:t>
            </w:r>
            <w:r w:rsidRPr="00DE7C8F">
              <w:rPr>
                <w:color w:val="000000" w:themeColor="text1"/>
                <w:szCs w:val="21"/>
                <w14:ligatures w14:val="standardContextual"/>
              </w:rPr>
              <w:t>D1-1</w:t>
            </w:r>
            <w:r w:rsidRPr="00DE7C8F">
              <w:rPr>
                <w:rFonts w:hint="eastAsia"/>
                <w:color w:val="000000" w:themeColor="text1"/>
                <w:szCs w:val="21"/>
                <w14:ligatures w14:val="standardContextual"/>
              </w:rPr>
              <w:t>1</w:t>
            </w:r>
          </w:p>
        </w:tc>
        <w:tc>
          <w:tcPr>
            <w:tcW w:w="788" w:type="dxa"/>
            <w:tcBorders>
              <w:left w:val="nil"/>
              <w:right w:val="nil"/>
            </w:tcBorders>
            <w:tcMar>
              <w:top w:w="12" w:type="dxa"/>
              <w:left w:w="12" w:type="dxa"/>
              <w:bottom w:w="0" w:type="dxa"/>
              <w:right w:w="12" w:type="dxa"/>
            </w:tcMar>
            <w:vAlign w:val="bottom"/>
            <w:hideMark/>
          </w:tcPr>
          <w:p w14:paraId="5849BF91" w14:textId="2920EAA4"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276" w:type="dxa"/>
            <w:tcBorders>
              <w:left w:val="nil"/>
              <w:right w:val="nil"/>
            </w:tcBorders>
            <w:tcMar>
              <w:top w:w="12" w:type="dxa"/>
              <w:left w:w="12" w:type="dxa"/>
              <w:bottom w:w="0" w:type="dxa"/>
              <w:right w:w="12" w:type="dxa"/>
            </w:tcMar>
            <w:vAlign w:val="bottom"/>
            <w:hideMark/>
          </w:tcPr>
          <w:p w14:paraId="2046FDA9" w14:textId="2F587D44"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8</w:t>
            </w:r>
          </w:p>
        </w:tc>
        <w:tc>
          <w:tcPr>
            <w:tcW w:w="1559" w:type="dxa"/>
            <w:tcBorders>
              <w:left w:val="nil"/>
              <w:right w:val="nil"/>
            </w:tcBorders>
            <w:tcMar>
              <w:top w:w="12" w:type="dxa"/>
              <w:left w:w="12" w:type="dxa"/>
              <w:bottom w:w="0" w:type="dxa"/>
              <w:right w:w="12" w:type="dxa"/>
            </w:tcMar>
            <w:vAlign w:val="bottom"/>
            <w:hideMark/>
          </w:tcPr>
          <w:p w14:paraId="5E7E0A05" w14:textId="1F9D45B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10</w:t>
            </w:r>
          </w:p>
        </w:tc>
        <w:tc>
          <w:tcPr>
            <w:tcW w:w="1701" w:type="dxa"/>
            <w:tcBorders>
              <w:left w:val="nil"/>
              <w:right w:val="nil"/>
            </w:tcBorders>
            <w:tcMar>
              <w:top w:w="12" w:type="dxa"/>
              <w:left w:w="12" w:type="dxa"/>
              <w:bottom w:w="0" w:type="dxa"/>
              <w:right w:w="12" w:type="dxa"/>
            </w:tcMar>
            <w:vAlign w:val="bottom"/>
            <w:hideMark/>
          </w:tcPr>
          <w:p w14:paraId="2453428D" w14:textId="42692541"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18.2 </w:t>
            </w:r>
          </w:p>
        </w:tc>
        <w:tc>
          <w:tcPr>
            <w:tcW w:w="1776" w:type="dxa"/>
            <w:tcBorders>
              <w:left w:val="nil"/>
            </w:tcBorders>
            <w:tcMar>
              <w:top w:w="12" w:type="dxa"/>
              <w:left w:w="12" w:type="dxa"/>
              <w:bottom w:w="0" w:type="dxa"/>
              <w:right w:w="12" w:type="dxa"/>
            </w:tcMar>
            <w:vAlign w:val="bottom"/>
            <w:hideMark/>
          </w:tcPr>
          <w:p w14:paraId="292CE1CF" w14:textId="2B8DE7F8"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23.2</w:t>
            </w:r>
          </w:p>
        </w:tc>
      </w:tr>
      <w:tr w:rsidR="00B96D39" w:rsidRPr="007A68F1" w14:paraId="6F63B171"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4D4D7889" w14:textId="49331D17"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8F2C2</w:t>
            </w:r>
            <w:r w:rsidRPr="00DE7C8F">
              <w:rPr>
                <w:color w:val="000000" w:themeColor="text1"/>
                <w:szCs w:val="21"/>
                <w14:ligatures w14:val="standardContextual"/>
              </w:rPr>
              <w:t>D1-1</w:t>
            </w:r>
            <w:r w:rsidRPr="00DE7C8F">
              <w:rPr>
                <w:rFonts w:hint="eastAsia"/>
                <w:color w:val="000000" w:themeColor="text1"/>
                <w:szCs w:val="21"/>
                <w14:ligatures w14:val="standardContextual"/>
              </w:rPr>
              <w:t>2</w:t>
            </w:r>
          </w:p>
        </w:tc>
        <w:tc>
          <w:tcPr>
            <w:tcW w:w="788" w:type="dxa"/>
            <w:tcBorders>
              <w:left w:val="nil"/>
              <w:right w:val="nil"/>
            </w:tcBorders>
            <w:tcMar>
              <w:top w:w="12" w:type="dxa"/>
              <w:left w:w="12" w:type="dxa"/>
              <w:bottom w:w="0" w:type="dxa"/>
              <w:right w:w="12" w:type="dxa"/>
            </w:tcMar>
            <w:vAlign w:val="bottom"/>
            <w:hideMark/>
          </w:tcPr>
          <w:p w14:paraId="301600CE" w14:textId="6F6481E8"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276" w:type="dxa"/>
            <w:tcBorders>
              <w:left w:val="nil"/>
              <w:right w:val="nil"/>
            </w:tcBorders>
            <w:tcMar>
              <w:top w:w="12" w:type="dxa"/>
              <w:left w:w="12" w:type="dxa"/>
              <w:bottom w:w="0" w:type="dxa"/>
              <w:right w:w="12" w:type="dxa"/>
            </w:tcMar>
            <w:vAlign w:val="bottom"/>
            <w:hideMark/>
          </w:tcPr>
          <w:p w14:paraId="57299AED" w14:textId="77650A12"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559" w:type="dxa"/>
            <w:tcBorders>
              <w:left w:val="nil"/>
              <w:right w:val="nil"/>
            </w:tcBorders>
            <w:tcMar>
              <w:top w:w="12" w:type="dxa"/>
              <w:left w:w="12" w:type="dxa"/>
              <w:bottom w:w="0" w:type="dxa"/>
              <w:right w:w="12" w:type="dxa"/>
            </w:tcMar>
            <w:vAlign w:val="bottom"/>
            <w:hideMark/>
          </w:tcPr>
          <w:p w14:paraId="722969DC" w14:textId="10D1D0D8"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10</w:t>
            </w:r>
          </w:p>
        </w:tc>
        <w:tc>
          <w:tcPr>
            <w:tcW w:w="1701" w:type="dxa"/>
            <w:tcBorders>
              <w:left w:val="nil"/>
              <w:right w:val="nil"/>
            </w:tcBorders>
            <w:tcMar>
              <w:top w:w="12" w:type="dxa"/>
              <w:left w:w="12" w:type="dxa"/>
              <w:bottom w:w="0" w:type="dxa"/>
              <w:right w:w="12" w:type="dxa"/>
            </w:tcMar>
            <w:vAlign w:val="bottom"/>
            <w:hideMark/>
          </w:tcPr>
          <w:p w14:paraId="39CF0F1D" w14:textId="384192C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17.0 </w:t>
            </w:r>
          </w:p>
        </w:tc>
        <w:tc>
          <w:tcPr>
            <w:tcW w:w="1776" w:type="dxa"/>
            <w:tcBorders>
              <w:left w:val="nil"/>
            </w:tcBorders>
            <w:tcMar>
              <w:top w:w="12" w:type="dxa"/>
              <w:left w:w="12" w:type="dxa"/>
              <w:bottom w:w="0" w:type="dxa"/>
              <w:right w:w="12" w:type="dxa"/>
            </w:tcMar>
            <w:vAlign w:val="bottom"/>
            <w:hideMark/>
          </w:tcPr>
          <w:p w14:paraId="57839E7B" w14:textId="7B2526E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22.4</w:t>
            </w:r>
          </w:p>
        </w:tc>
      </w:tr>
      <w:tr w:rsidR="00B96D39" w:rsidRPr="007A68F1" w14:paraId="30C2734F"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5E9B374E" w14:textId="58329168"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8F2C2</w:t>
            </w:r>
            <w:r w:rsidRPr="00DE7C8F">
              <w:rPr>
                <w:color w:val="000000" w:themeColor="text1"/>
                <w:szCs w:val="21"/>
                <w14:ligatures w14:val="standardContextual"/>
              </w:rPr>
              <w:t>D1-1</w:t>
            </w:r>
            <w:r w:rsidRPr="00DE7C8F">
              <w:rPr>
                <w:rFonts w:hint="eastAsia"/>
                <w:color w:val="000000" w:themeColor="text1"/>
                <w:szCs w:val="21"/>
                <w14:ligatures w14:val="standardContextual"/>
              </w:rPr>
              <w:t>3</w:t>
            </w:r>
          </w:p>
        </w:tc>
        <w:tc>
          <w:tcPr>
            <w:tcW w:w="788" w:type="dxa"/>
            <w:tcBorders>
              <w:left w:val="nil"/>
              <w:right w:val="nil"/>
            </w:tcBorders>
            <w:tcMar>
              <w:top w:w="12" w:type="dxa"/>
              <w:left w:w="12" w:type="dxa"/>
              <w:bottom w:w="0" w:type="dxa"/>
              <w:right w:w="12" w:type="dxa"/>
            </w:tcMar>
            <w:vAlign w:val="bottom"/>
            <w:hideMark/>
          </w:tcPr>
          <w:p w14:paraId="03A5A3E6" w14:textId="0924612D"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276" w:type="dxa"/>
            <w:tcBorders>
              <w:left w:val="nil"/>
              <w:right w:val="nil"/>
            </w:tcBorders>
            <w:tcMar>
              <w:top w:w="12" w:type="dxa"/>
              <w:left w:w="12" w:type="dxa"/>
              <w:bottom w:w="0" w:type="dxa"/>
              <w:right w:w="12" w:type="dxa"/>
            </w:tcMar>
            <w:vAlign w:val="bottom"/>
            <w:hideMark/>
          </w:tcPr>
          <w:p w14:paraId="048D6C00" w14:textId="3ED607C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14</w:t>
            </w:r>
          </w:p>
        </w:tc>
        <w:tc>
          <w:tcPr>
            <w:tcW w:w="1559" w:type="dxa"/>
            <w:tcBorders>
              <w:left w:val="nil"/>
              <w:right w:val="nil"/>
            </w:tcBorders>
            <w:tcMar>
              <w:top w:w="12" w:type="dxa"/>
              <w:left w:w="12" w:type="dxa"/>
              <w:bottom w:w="0" w:type="dxa"/>
              <w:right w:w="12" w:type="dxa"/>
            </w:tcMar>
            <w:vAlign w:val="bottom"/>
            <w:hideMark/>
          </w:tcPr>
          <w:p w14:paraId="4074ED61" w14:textId="07786D94"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7.5</w:t>
            </w:r>
          </w:p>
        </w:tc>
        <w:tc>
          <w:tcPr>
            <w:tcW w:w="1701" w:type="dxa"/>
            <w:tcBorders>
              <w:left w:val="nil"/>
              <w:right w:val="nil"/>
            </w:tcBorders>
            <w:tcMar>
              <w:top w:w="12" w:type="dxa"/>
              <w:left w:w="12" w:type="dxa"/>
              <w:bottom w:w="0" w:type="dxa"/>
              <w:right w:w="12" w:type="dxa"/>
            </w:tcMar>
            <w:vAlign w:val="bottom"/>
            <w:hideMark/>
          </w:tcPr>
          <w:p w14:paraId="60C3709D" w14:textId="28B6CCA2"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16.6 </w:t>
            </w:r>
          </w:p>
        </w:tc>
        <w:tc>
          <w:tcPr>
            <w:tcW w:w="1776" w:type="dxa"/>
            <w:tcBorders>
              <w:left w:val="nil"/>
            </w:tcBorders>
            <w:tcMar>
              <w:top w:w="12" w:type="dxa"/>
              <w:left w:w="12" w:type="dxa"/>
              <w:bottom w:w="0" w:type="dxa"/>
              <w:right w:w="12" w:type="dxa"/>
            </w:tcMar>
            <w:vAlign w:val="bottom"/>
            <w:hideMark/>
          </w:tcPr>
          <w:p w14:paraId="44C410B9" w14:textId="16AC3056"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25.8</w:t>
            </w:r>
          </w:p>
        </w:tc>
      </w:tr>
      <w:tr w:rsidR="00B96D39" w:rsidRPr="007A68F1" w14:paraId="68BC95DA"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2ECE58F8" w14:textId="7D6D8DD8"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8F2C2</w:t>
            </w:r>
            <w:r w:rsidRPr="00DE7C8F">
              <w:rPr>
                <w:color w:val="000000" w:themeColor="text1"/>
                <w:szCs w:val="21"/>
                <w14:ligatures w14:val="standardContextual"/>
              </w:rPr>
              <w:t>D1-1</w:t>
            </w:r>
            <w:r w:rsidRPr="00DE7C8F">
              <w:rPr>
                <w:rFonts w:hint="eastAsia"/>
                <w:color w:val="000000" w:themeColor="text1"/>
                <w:szCs w:val="21"/>
                <w14:ligatures w14:val="standardContextual"/>
              </w:rPr>
              <w:t>4</w:t>
            </w:r>
          </w:p>
        </w:tc>
        <w:tc>
          <w:tcPr>
            <w:tcW w:w="788" w:type="dxa"/>
            <w:tcBorders>
              <w:left w:val="nil"/>
              <w:right w:val="nil"/>
            </w:tcBorders>
            <w:tcMar>
              <w:top w:w="12" w:type="dxa"/>
              <w:left w:w="12" w:type="dxa"/>
              <w:bottom w:w="0" w:type="dxa"/>
              <w:right w:w="12" w:type="dxa"/>
            </w:tcMar>
            <w:vAlign w:val="bottom"/>
            <w:hideMark/>
          </w:tcPr>
          <w:p w14:paraId="3D37EF92" w14:textId="1E2279E7"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276" w:type="dxa"/>
            <w:tcBorders>
              <w:left w:val="nil"/>
              <w:right w:val="nil"/>
            </w:tcBorders>
            <w:tcMar>
              <w:top w:w="12" w:type="dxa"/>
              <w:left w:w="12" w:type="dxa"/>
              <w:bottom w:w="0" w:type="dxa"/>
              <w:right w:w="12" w:type="dxa"/>
            </w:tcMar>
            <w:vAlign w:val="bottom"/>
            <w:hideMark/>
          </w:tcPr>
          <w:p w14:paraId="25EE86D6" w14:textId="670E4776"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14</w:t>
            </w:r>
          </w:p>
        </w:tc>
        <w:tc>
          <w:tcPr>
            <w:tcW w:w="1559" w:type="dxa"/>
            <w:tcBorders>
              <w:left w:val="nil"/>
              <w:right w:val="nil"/>
            </w:tcBorders>
            <w:tcMar>
              <w:top w:w="12" w:type="dxa"/>
              <w:left w:w="12" w:type="dxa"/>
              <w:bottom w:w="0" w:type="dxa"/>
              <w:right w:w="12" w:type="dxa"/>
            </w:tcMar>
            <w:vAlign w:val="bottom"/>
            <w:hideMark/>
          </w:tcPr>
          <w:p w14:paraId="4AB78E91" w14:textId="6EC4ADBF"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7.5</w:t>
            </w:r>
          </w:p>
        </w:tc>
        <w:tc>
          <w:tcPr>
            <w:tcW w:w="1701" w:type="dxa"/>
            <w:tcBorders>
              <w:left w:val="nil"/>
              <w:right w:val="nil"/>
            </w:tcBorders>
            <w:tcMar>
              <w:top w:w="12" w:type="dxa"/>
              <w:left w:w="12" w:type="dxa"/>
              <w:bottom w:w="0" w:type="dxa"/>
              <w:right w:w="12" w:type="dxa"/>
            </w:tcMar>
            <w:vAlign w:val="bottom"/>
            <w:hideMark/>
          </w:tcPr>
          <w:p w14:paraId="7EE52DCF" w14:textId="7B653D81"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15.4 </w:t>
            </w:r>
          </w:p>
        </w:tc>
        <w:tc>
          <w:tcPr>
            <w:tcW w:w="1776" w:type="dxa"/>
            <w:tcBorders>
              <w:left w:val="nil"/>
            </w:tcBorders>
            <w:tcMar>
              <w:top w:w="12" w:type="dxa"/>
              <w:left w:w="12" w:type="dxa"/>
              <w:bottom w:w="0" w:type="dxa"/>
              <w:right w:w="12" w:type="dxa"/>
            </w:tcMar>
            <w:vAlign w:val="bottom"/>
            <w:hideMark/>
          </w:tcPr>
          <w:p w14:paraId="391B55EF" w14:textId="66A17BF5"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27.3</w:t>
            </w:r>
          </w:p>
        </w:tc>
      </w:tr>
      <w:tr w:rsidR="00B96D39" w:rsidRPr="007A68F1" w14:paraId="0FD4F5E5"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25CDB8D8" w14:textId="473961A5"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8F2C2</w:t>
            </w:r>
            <w:r w:rsidRPr="00DE7C8F">
              <w:rPr>
                <w:color w:val="000000" w:themeColor="text1"/>
                <w:szCs w:val="21"/>
                <w14:ligatures w14:val="standardContextual"/>
              </w:rPr>
              <w:t>D1-1</w:t>
            </w:r>
            <w:r w:rsidRPr="00DE7C8F">
              <w:rPr>
                <w:rFonts w:hint="eastAsia"/>
                <w:color w:val="000000" w:themeColor="text1"/>
                <w:szCs w:val="21"/>
                <w14:ligatures w14:val="standardContextual"/>
              </w:rPr>
              <w:t>5</w:t>
            </w:r>
          </w:p>
        </w:tc>
        <w:tc>
          <w:tcPr>
            <w:tcW w:w="788" w:type="dxa"/>
            <w:tcBorders>
              <w:left w:val="nil"/>
              <w:right w:val="nil"/>
            </w:tcBorders>
            <w:tcMar>
              <w:top w:w="12" w:type="dxa"/>
              <w:left w:w="12" w:type="dxa"/>
              <w:bottom w:w="0" w:type="dxa"/>
              <w:right w:w="12" w:type="dxa"/>
            </w:tcMar>
            <w:vAlign w:val="bottom"/>
            <w:hideMark/>
          </w:tcPr>
          <w:p w14:paraId="6038F87B" w14:textId="2AD9A640"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276" w:type="dxa"/>
            <w:tcBorders>
              <w:left w:val="nil"/>
              <w:right w:val="nil"/>
            </w:tcBorders>
            <w:tcMar>
              <w:top w:w="12" w:type="dxa"/>
              <w:left w:w="12" w:type="dxa"/>
              <w:bottom w:w="0" w:type="dxa"/>
              <w:right w:w="12" w:type="dxa"/>
            </w:tcMar>
            <w:vAlign w:val="bottom"/>
            <w:hideMark/>
          </w:tcPr>
          <w:p w14:paraId="04A16180" w14:textId="7066E0F6"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14</w:t>
            </w:r>
          </w:p>
        </w:tc>
        <w:tc>
          <w:tcPr>
            <w:tcW w:w="1559" w:type="dxa"/>
            <w:tcBorders>
              <w:left w:val="nil"/>
              <w:right w:val="nil"/>
            </w:tcBorders>
            <w:tcMar>
              <w:top w:w="12" w:type="dxa"/>
              <w:left w:w="12" w:type="dxa"/>
              <w:bottom w:w="0" w:type="dxa"/>
              <w:right w:w="12" w:type="dxa"/>
            </w:tcMar>
            <w:vAlign w:val="bottom"/>
            <w:hideMark/>
          </w:tcPr>
          <w:p w14:paraId="3E2624AC" w14:textId="37E05407"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7.5</w:t>
            </w:r>
          </w:p>
        </w:tc>
        <w:tc>
          <w:tcPr>
            <w:tcW w:w="1701" w:type="dxa"/>
            <w:tcBorders>
              <w:left w:val="nil"/>
              <w:right w:val="nil"/>
            </w:tcBorders>
            <w:tcMar>
              <w:top w:w="12" w:type="dxa"/>
              <w:left w:w="12" w:type="dxa"/>
              <w:bottom w:w="0" w:type="dxa"/>
              <w:right w:w="12" w:type="dxa"/>
            </w:tcMar>
            <w:vAlign w:val="bottom"/>
            <w:hideMark/>
          </w:tcPr>
          <w:p w14:paraId="5859A4AA" w14:textId="6BAAF62B"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17.3 </w:t>
            </w:r>
          </w:p>
        </w:tc>
        <w:tc>
          <w:tcPr>
            <w:tcW w:w="1776" w:type="dxa"/>
            <w:tcBorders>
              <w:left w:val="nil"/>
            </w:tcBorders>
            <w:tcMar>
              <w:top w:w="12" w:type="dxa"/>
              <w:left w:w="12" w:type="dxa"/>
              <w:bottom w:w="0" w:type="dxa"/>
              <w:right w:w="12" w:type="dxa"/>
            </w:tcMar>
            <w:vAlign w:val="bottom"/>
            <w:hideMark/>
          </w:tcPr>
          <w:p w14:paraId="020EE0DB" w14:textId="1E6E6851"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26.3</w:t>
            </w:r>
          </w:p>
        </w:tc>
      </w:tr>
      <w:tr w:rsidR="00B96D39" w:rsidRPr="007A68F1" w14:paraId="23EB1DB2" w14:textId="77777777" w:rsidTr="00AD221F">
        <w:trPr>
          <w:trHeight w:val="226"/>
          <w:jc w:val="center"/>
        </w:trPr>
        <w:tc>
          <w:tcPr>
            <w:tcW w:w="1480" w:type="dxa"/>
            <w:tcBorders>
              <w:right w:val="nil"/>
            </w:tcBorders>
            <w:tcMar>
              <w:top w:w="12" w:type="dxa"/>
              <w:left w:w="12" w:type="dxa"/>
              <w:bottom w:w="0" w:type="dxa"/>
              <w:right w:w="12" w:type="dxa"/>
            </w:tcMar>
            <w:vAlign w:val="bottom"/>
            <w:hideMark/>
          </w:tcPr>
          <w:p w14:paraId="77EA1ED8" w14:textId="30C9774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8F2C2</w:t>
            </w:r>
            <w:r w:rsidRPr="00DE7C8F">
              <w:rPr>
                <w:color w:val="000000" w:themeColor="text1"/>
                <w:szCs w:val="21"/>
                <w14:ligatures w14:val="standardContextual"/>
              </w:rPr>
              <w:t>D1-1</w:t>
            </w:r>
            <w:r w:rsidRPr="00DE7C8F">
              <w:rPr>
                <w:rFonts w:hint="eastAsia"/>
                <w:color w:val="000000" w:themeColor="text1"/>
                <w:szCs w:val="21"/>
                <w14:ligatures w14:val="standardContextual"/>
              </w:rPr>
              <w:t>6</w:t>
            </w:r>
          </w:p>
        </w:tc>
        <w:tc>
          <w:tcPr>
            <w:tcW w:w="788" w:type="dxa"/>
            <w:tcBorders>
              <w:left w:val="nil"/>
              <w:right w:val="nil"/>
            </w:tcBorders>
            <w:tcMar>
              <w:top w:w="12" w:type="dxa"/>
              <w:left w:w="12" w:type="dxa"/>
              <w:bottom w:w="0" w:type="dxa"/>
              <w:right w:w="12" w:type="dxa"/>
            </w:tcMar>
            <w:vAlign w:val="bottom"/>
            <w:hideMark/>
          </w:tcPr>
          <w:p w14:paraId="6BAE2E57" w14:textId="13DE6FC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276" w:type="dxa"/>
            <w:tcBorders>
              <w:left w:val="nil"/>
              <w:right w:val="nil"/>
            </w:tcBorders>
            <w:tcMar>
              <w:top w:w="12" w:type="dxa"/>
              <w:left w:w="12" w:type="dxa"/>
              <w:bottom w:w="0" w:type="dxa"/>
              <w:right w:w="12" w:type="dxa"/>
            </w:tcMar>
            <w:vAlign w:val="bottom"/>
            <w:hideMark/>
          </w:tcPr>
          <w:p w14:paraId="1434B2C6" w14:textId="09CB377E"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14</w:t>
            </w:r>
          </w:p>
        </w:tc>
        <w:tc>
          <w:tcPr>
            <w:tcW w:w="1559" w:type="dxa"/>
            <w:tcBorders>
              <w:left w:val="nil"/>
              <w:right w:val="nil"/>
            </w:tcBorders>
            <w:tcMar>
              <w:top w:w="12" w:type="dxa"/>
              <w:left w:w="12" w:type="dxa"/>
              <w:bottom w:w="0" w:type="dxa"/>
              <w:right w:w="12" w:type="dxa"/>
            </w:tcMar>
            <w:vAlign w:val="bottom"/>
            <w:hideMark/>
          </w:tcPr>
          <w:p w14:paraId="44BB1073" w14:textId="697D1A66"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7.5</w:t>
            </w:r>
          </w:p>
        </w:tc>
        <w:tc>
          <w:tcPr>
            <w:tcW w:w="1701" w:type="dxa"/>
            <w:tcBorders>
              <w:left w:val="nil"/>
              <w:right w:val="nil"/>
            </w:tcBorders>
            <w:tcMar>
              <w:top w:w="12" w:type="dxa"/>
              <w:left w:w="12" w:type="dxa"/>
              <w:bottom w:w="0" w:type="dxa"/>
              <w:right w:w="12" w:type="dxa"/>
            </w:tcMar>
            <w:vAlign w:val="bottom"/>
            <w:hideMark/>
          </w:tcPr>
          <w:p w14:paraId="5772E04C" w14:textId="23E3A4E9"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16.4 </w:t>
            </w:r>
          </w:p>
        </w:tc>
        <w:tc>
          <w:tcPr>
            <w:tcW w:w="1776" w:type="dxa"/>
            <w:tcBorders>
              <w:left w:val="nil"/>
            </w:tcBorders>
            <w:tcMar>
              <w:top w:w="12" w:type="dxa"/>
              <w:left w:w="12" w:type="dxa"/>
              <w:bottom w:w="0" w:type="dxa"/>
              <w:right w:w="12" w:type="dxa"/>
            </w:tcMar>
            <w:vAlign w:val="bottom"/>
            <w:hideMark/>
          </w:tcPr>
          <w:p w14:paraId="6D139940" w14:textId="27623845"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27.5</w:t>
            </w:r>
          </w:p>
        </w:tc>
      </w:tr>
      <w:tr w:rsidR="00B96D39" w:rsidRPr="007A68F1" w14:paraId="600C0D61" w14:textId="77777777" w:rsidTr="00AD221F">
        <w:trPr>
          <w:trHeight w:val="226"/>
          <w:jc w:val="center"/>
        </w:trPr>
        <w:tc>
          <w:tcPr>
            <w:tcW w:w="1480" w:type="dxa"/>
            <w:tcBorders>
              <w:bottom w:val="single" w:sz="8" w:space="0" w:color="394761"/>
              <w:right w:val="nil"/>
            </w:tcBorders>
            <w:tcMar>
              <w:top w:w="12" w:type="dxa"/>
              <w:left w:w="12" w:type="dxa"/>
              <w:bottom w:w="0" w:type="dxa"/>
              <w:right w:w="12" w:type="dxa"/>
            </w:tcMar>
            <w:vAlign w:val="bottom"/>
            <w:hideMark/>
          </w:tcPr>
          <w:p w14:paraId="0DDEE971" w14:textId="605421D4"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color w:val="000000" w:themeColor="text1"/>
                <w:szCs w:val="21"/>
                <w14:ligatures w14:val="standardContextual"/>
              </w:rPr>
              <w:t>S</w:t>
            </w:r>
            <w:r w:rsidRPr="00DE7C8F">
              <w:rPr>
                <w:rFonts w:hint="eastAsia"/>
                <w:color w:val="000000" w:themeColor="text1"/>
                <w:szCs w:val="21"/>
                <w14:ligatures w14:val="standardContextual"/>
              </w:rPr>
              <w:t>8F2C2</w:t>
            </w:r>
            <w:r w:rsidRPr="00DE7C8F">
              <w:rPr>
                <w:color w:val="000000" w:themeColor="text1"/>
                <w:szCs w:val="21"/>
                <w14:ligatures w14:val="standardContextual"/>
              </w:rPr>
              <w:t>D1-1</w:t>
            </w:r>
            <w:r w:rsidRPr="00DE7C8F">
              <w:rPr>
                <w:rFonts w:hint="eastAsia"/>
                <w:color w:val="000000" w:themeColor="text1"/>
                <w:szCs w:val="21"/>
                <w14:ligatures w14:val="standardContextual"/>
              </w:rPr>
              <w:t>7</w:t>
            </w:r>
          </w:p>
        </w:tc>
        <w:tc>
          <w:tcPr>
            <w:tcW w:w="788" w:type="dxa"/>
            <w:tcBorders>
              <w:left w:val="nil"/>
              <w:bottom w:val="single" w:sz="8" w:space="0" w:color="394761"/>
              <w:right w:val="nil"/>
            </w:tcBorders>
            <w:tcMar>
              <w:top w:w="12" w:type="dxa"/>
              <w:left w:w="12" w:type="dxa"/>
              <w:bottom w:w="0" w:type="dxa"/>
              <w:right w:w="12" w:type="dxa"/>
            </w:tcMar>
            <w:vAlign w:val="bottom"/>
            <w:hideMark/>
          </w:tcPr>
          <w:p w14:paraId="3BAE5B3C" w14:textId="233F2C8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20</w:t>
            </w:r>
          </w:p>
        </w:tc>
        <w:tc>
          <w:tcPr>
            <w:tcW w:w="1276" w:type="dxa"/>
            <w:tcBorders>
              <w:left w:val="nil"/>
              <w:bottom w:val="single" w:sz="8" w:space="0" w:color="394761"/>
              <w:right w:val="nil"/>
            </w:tcBorders>
            <w:tcMar>
              <w:top w:w="12" w:type="dxa"/>
              <w:left w:w="12" w:type="dxa"/>
              <w:bottom w:w="0" w:type="dxa"/>
              <w:right w:w="12" w:type="dxa"/>
            </w:tcMar>
            <w:vAlign w:val="bottom"/>
            <w:hideMark/>
          </w:tcPr>
          <w:p w14:paraId="2AEED5B4" w14:textId="67175282"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14</w:t>
            </w:r>
          </w:p>
        </w:tc>
        <w:tc>
          <w:tcPr>
            <w:tcW w:w="1559" w:type="dxa"/>
            <w:tcBorders>
              <w:left w:val="nil"/>
              <w:bottom w:val="single" w:sz="8" w:space="0" w:color="394761"/>
              <w:right w:val="nil"/>
            </w:tcBorders>
            <w:tcMar>
              <w:top w:w="12" w:type="dxa"/>
              <w:left w:w="12" w:type="dxa"/>
              <w:bottom w:w="0" w:type="dxa"/>
              <w:right w:w="12" w:type="dxa"/>
            </w:tcMar>
            <w:vAlign w:val="bottom"/>
            <w:hideMark/>
          </w:tcPr>
          <w:p w14:paraId="27892A1E" w14:textId="1ADDCE7C"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7.5</w:t>
            </w:r>
          </w:p>
        </w:tc>
        <w:tc>
          <w:tcPr>
            <w:tcW w:w="1701" w:type="dxa"/>
            <w:tcBorders>
              <w:left w:val="nil"/>
              <w:bottom w:val="single" w:sz="8" w:space="0" w:color="394761"/>
              <w:right w:val="nil"/>
            </w:tcBorders>
            <w:tcMar>
              <w:top w:w="12" w:type="dxa"/>
              <w:left w:w="12" w:type="dxa"/>
              <w:bottom w:w="0" w:type="dxa"/>
              <w:right w:w="12" w:type="dxa"/>
            </w:tcMar>
            <w:vAlign w:val="bottom"/>
            <w:hideMark/>
          </w:tcPr>
          <w:p w14:paraId="54217E90" w14:textId="1A014BAA"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 xml:space="preserve">17.4 </w:t>
            </w:r>
          </w:p>
        </w:tc>
        <w:tc>
          <w:tcPr>
            <w:tcW w:w="1776" w:type="dxa"/>
            <w:tcBorders>
              <w:left w:val="nil"/>
              <w:bottom w:val="single" w:sz="8" w:space="0" w:color="394761"/>
            </w:tcBorders>
            <w:tcMar>
              <w:top w:w="12" w:type="dxa"/>
              <w:left w:w="12" w:type="dxa"/>
              <w:bottom w:w="0" w:type="dxa"/>
              <w:right w:w="12" w:type="dxa"/>
            </w:tcMar>
            <w:vAlign w:val="bottom"/>
            <w:hideMark/>
          </w:tcPr>
          <w:p w14:paraId="240146F6" w14:textId="792CF2A3" w:rsidR="00B96D39" w:rsidRPr="00DE7C8F" w:rsidRDefault="00B96D39" w:rsidP="00DE7C8F">
            <w:pPr>
              <w:widowControl/>
              <w:spacing w:before="100" w:beforeAutospacing="1" w:line="300" w:lineRule="auto"/>
              <w:jc w:val="center"/>
              <w:rPr>
                <w:color w:val="000000" w:themeColor="text1"/>
                <w:szCs w:val="21"/>
                <w14:ligatures w14:val="standardContextual"/>
              </w:rPr>
            </w:pPr>
            <w:r w:rsidRPr="00DE7C8F">
              <w:rPr>
                <w:rFonts w:hint="eastAsia"/>
                <w:color w:val="000000" w:themeColor="text1"/>
                <w:szCs w:val="21"/>
                <w14:ligatures w14:val="standardContextual"/>
              </w:rPr>
              <w:t>26.8</w:t>
            </w:r>
          </w:p>
        </w:tc>
      </w:tr>
    </w:tbl>
    <w:p w14:paraId="2E3DD27F" w14:textId="77777777" w:rsidR="00AD221F" w:rsidRDefault="00AD221F" w:rsidP="00AD221F">
      <w:pPr>
        <w:widowControl/>
        <w:adjustRightInd w:val="0"/>
        <w:snapToGrid w:val="0"/>
        <w:jc w:val="center"/>
        <w:rPr>
          <w:rFonts w:ascii="Times New Roman" w:hAnsi="Times New Roman" w:cs="Times New Roman"/>
          <w:color w:val="000000" w:themeColor="text1"/>
          <w:szCs w:val="21"/>
          <w14:ligatures w14:val="standardContextual"/>
        </w:rPr>
      </w:pPr>
      <w:r w:rsidRPr="00AD221F">
        <w:rPr>
          <w:rFonts w:ascii="Times New Roman" w:hAnsi="Times New Roman" w:cs="Times New Roman" w:hint="eastAsia"/>
          <w:color w:val="000000" w:themeColor="text1"/>
          <w:szCs w:val="21"/>
          <w14:ligatures w14:val="standardContextual"/>
        </w:rPr>
        <w:t>Table 8 Test Schemes and Compressive Strength Values</w:t>
      </w:r>
    </w:p>
    <w:p w14:paraId="21F8F2DB" w14:textId="77777777" w:rsidR="00AD221F" w:rsidRPr="00AD221F" w:rsidRDefault="00AD221F" w:rsidP="00AD221F">
      <w:pPr>
        <w:widowControl/>
        <w:adjustRightInd w:val="0"/>
        <w:snapToGrid w:val="0"/>
        <w:jc w:val="center"/>
        <w:rPr>
          <w:rFonts w:ascii="Times New Roman" w:hAnsi="Times New Roman" w:cs="Times New Roman"/>
          <w:color w:val="000000" w:themeColor="text1"/>
          <w:szCs w:val="21"/>
          <w14:ligatures w14:val="standardContextual"/>
        </w:rPr>
      </w:pPr>
    </w:p>
    <w:p w14:paraId="61A9C298" w14:textId="77777777" w:rsidR="00AD221F" w:rsidRPr="00AD221F" w:rsidRDefault="00AD221F" w:rsidP="00AD221F">
      <w:pPr>
        <w:adjustRightInd w:val="0"/>
        <w:snapToGrid w:val="0"/>
        <w:spacing w:line="300" w:lineRule="auto"/>
        <w:ind w:firstLineChars="200" w:firstLine="420"/>
        <w:rPr>
          <w:rFonts w:ascii="Times New Roman" w:hAnsi="Times New Roman" w:cs="Times New Roman"/>
          <w:color w:val="000000" w:themeColor="text1"/>
          <w:szCs w:val="21"/>
        </w:rPr>
      </w:pPr>
      <w:r w:rsidRPr="00AD221F">
        <w:rPr>
          <w:rFonts w:ascii="Times New Roman" w:hAnsi="Times New Roman" w:cs="Times New Roman" w:hint="eastAsia"/>
          <w:color w:val="000000" w:themeColor="text1"/>
          <w:szCs w:val="21"/>
        </w:rPr>
        <w:t xml:space="preserve">Response surface analysis was conducted on the </w:t>
      </w:r>
      <w:proofErr w:type="gramStart"/>
      <w:r w:rsidRPr="00AD221F">
        <w:rPr>
          <w:rFonts w:ascii="Times New Roman" w:hAnsi="Times New Roman" w:cs="Times New Roman" w:hint="eastAsia"/>
          <w:color w:val="000000" w:themeColor="text1"/>
          <w:szCs w:val="21"/>
        </w:rPr>
        <w:t>28 day</w:t>
      </w:r>
      <w:proofErr w:type="gramEnd"/>
      <w:r w:rsidRPr="00AD221F">
        <w:rPr>
          <w:rFonts w:ascii="Times New Roman" w:hAnsi="Times New Roman" w:cs="Times New Roman" w:hint="eastAsia"/>
          <w:color w:val="000000" w:themeColor="text1"/>
          <w:szCs w:val="21"/>
        </w:rPr>
        <w:t xml:space="preserve"> compressive strength value, and the analysis image is shown in Figure 1. When the content of calcium carbide slag is 14% and the content of desulfurization gypsum remains unchanged, the compressive strength at 28 days shows a trend of first increasing and then decreasing with the increase of fly ash content, indicating the existence of an optimal fly ash content (about 20%); Keeping the fly ash content constant, as the desulfurization gypsum content increases, the 28 day strength also shows a trend of first increasing and then decreasing, indicating that there is also an optimal range for the desulfurization gypsum content. When the fly ash content is 20% and the desulfurization gypsum content remains unchanged, the </w:t>
      </w:r>
      <w:proofErr w:type="gramStart"/>
      <w:r w:rsidRPr="00AD221F">
        <w:rPr>
          <w:rFonts w:ascii="Times New Roman" w:hAnsi="Times New Roman" w:cs="Times New Roman" w:hint="eastAsia"/>
          <w:color w:val="000000" w:themeColor="text1"/>
          <w:szCs w:val="21"/>
        </w:rPr>
        <w:t>28 day</w:t>
      </w:r>
      <w:proofErr w:type="gramEnd"/>
      <w:r w:rsidRPr="00AD221F">
        <w:rPr>
          <w:rFonts w:ascii="Times New Roman" w:hAnsi="Times New Roman" w:cs="Times New Roman" w:hint="eastAsia"/>
          <w:color w:val="000000" w:themeColor="text1"/>
          <w:szCs w:val="21"/>
        </w:rPr>
        <w:t xml:space="preserve"> compressive strength first increases and then slightly decreases with the increase of calcium carbide slag content; Keeping the amount of carbide slag constant, as the amount of desulfurization gypsum increases, the 28 day strength also shows a similar change pattern, further </w:t>
      </w:r>
      <w:r w:rsidRPr="00AD221F">
        <w:rPr>
          <w:rFonts w:ascii="Times New Roman" w:hAnsi="Times New Roman" w:cs="Times New Roman" w:hint="eastAsia"/>
          <w:color w:val="000000" w:themeColor="text1"/>
          <w:szCs w:val="21"/>
        </w:rPr>
        <w:lastRenderedPageBreak/>
        <w:t xml:space="preserve">confirming the significant interaction between carbide slag and desulfurization gypsum. When the content of desulfurization gypsum is 7.5%, keeping the content of calcium carbide slag unchanged, the </w:t>
      </w:r>
      <w:proofErr w:type="gramStart"/>
      <w:r w:rsidRPr="00AD221F">
        <w:rPr>
          <w:rFonts w:ascii="Times New Roman" w:hAnsi="Times New Roman" w:cs="Times New Roman" w:hint="eastAsia"/>
          <w:color w:val="000000" w:themeColor="text1"/>
          <w:szCs w:val="21"/>
        </w:rPr>
        <w:t>28 day</w:t>
      </w:r>
      <w:proofErr w:type="gramEnd"/>
      <w:r w:rsidRPr="00AD221F">
        <w:rPr>
          <w:rFonts w:ascii="Times New Roman" w:hAnsi="Times New Roman" w:cs="Times New Roman" w:hint="eastAsia"/>
          <w:color w:val="000000" w:themeColor="text1"/>
          <w:szCs w:val="21"/>
        </w:rPr>
        <w:t xml:space="preserve"> strength first increases and then decreases with the increase of fly ash content; Keeping the amount of fly ash constant, as the amount of carbide slag increases, the 28 day strength also shows a similar trend, indicating that there is also a synergistic effect between fly ash and carbide slag.</w:t>
      </w:r>
    </w:p>
    <w:p w14:paraId="6D758538" w14:textId="489B282C" w:rsidR="00804AFD" w:rsidRPr="00AD221F" w:rsidRDefault="00AD221F" w:rsidP="00AD221F">
      <w:pPr>
        <w:adjustRightInd w:val="0"/>
        <w:snapToGrid w:val="0"/>
        <w:spacing w:line="300" w:lineRule="auto"/>
        <w:ind w:firstLineChars="200" w:firstLine="420"/>
        <w:rPr>
          <w:rFonts w:ascii="Times New Roman" w:hAnsi="Times New Roman" w:cs="Times New Roman"/>
          <w:color w:val="000000" w:themeColor="text1"/>
          <w:szCs w:val="21"/>
        </w:rPr>
      </w:pPr>
      <w:r w:rsidRPr="00AD221F">
        <w:rPr>
          <w:rFonts w:ascii="Times New Roman" w:hAnsi="Times New Roman" w:cs="Times New Roman" w:hint="eastAsia"/>
          <w:color w:val="000000" w:themeColor="text1"/>
          <w:szCs w:val="21"/>
        </w:rPr>
        <w:t>It should be pointed out that the change rule of 28 d compressive strength in this system is highly consistent with the development of 3 d strength, indicating that the development of late strength mainly depends on the structure and quantity of gel formed by early geological polymerization reaction, and the late strength growth is essentially the result of further crosslinking, hardening and densification of early gel. Calcium carbide slag and desulfurization gypsum, as composite activators, can synergistically promote the depolymerization and re polymerization of aluminosilicate precursors at appropriate dosages, forming a stable three-dimensional network structure and achieving excellent mechanical properties.</w:t>
      </w:r>
    </w:p>
    <w:p w14:paraId="579D9F2C" w14:textId="431A7A9F" w:rsidR="007A68F1" w:rsidRDefault="00804AFD" w:rsidP="00804AFD">
      <w:pPr>
        <w:pStyle w:val="NoSpacing"/>
        <w:spacing w:line="360" w:lineRule="auto"/>
        <w:ind w:firstLineChars="200" w:firstLine="360"/>
        <w:jc w:val="center"/>
        <w:rPr>
          <w:noProof/>
          <w:color w:val="EE0000"/>
          <w:sz w:val="18"/>
          <w:szCs w:val="18"/>
        </w:rPr>
      </w:pPr>
      <w:r>
        <w:rPr>
          <w:rFonts w:hint="eastAsia"/>
          <w:noProof/>
          <w:color w:val="EE0000"/>
          <w:sz w:val="18"/>
          <w:szCs w:val="18"/>
        </w:rPr>
        <w:drawing>
          <wp:inline distT="0" distB="0" distL="0" distR="0" wp14:anchorId="0487FBCF" wp14:editId="1CE6D0B8">
            <wp:extent cx="5403273" cy="3039341"/>
            <wp:effectExtent l="0" t="0" r="0" b="0"/>
            <wp:docPr id="16725046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04630" name="图片 16725046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3273" cy="3039341"/>
                    </a:xfrm>
                    <a:prstGeom prst="rect">
                      <a:avLst/>
                    </a:prstGeom>
                  </pic:spPr>
                </pic:pic>
              </a:graphicData>
            </a:graphic>
          </wp:inline>
        </w:drawing>
      </w:r>
      <w:r>
        <w:rPr>
          <w:rFonts w:hint="eastAsia"/>
          <w:noProof/>
          <w:color w:val="EE0000"/>
          <w:sz w:val="18"/>
          <w:szCs w:val="18"/>
        </w:rPr>
        <w:lastRenderedPageBreak/>
        <w:drawing>
          <wp:inline distT="0" distB="0" distL="0" distR="0" wp14:anchorId="69DF0D76" wp14:editId="6032EE24">
            <wp:extent cx="5401600" cy="3038400"/>
            <wp:effectExtent l="0" t="0" r="0" b="0"/>
            <wp:docPr id="3870463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46341" name="图片 38704634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1600" cy="3038400"/>
                    </a:xfrm>
                    <a:prstGeom prst="rect">
                      <a:avLst/>
                    </a:prstGeom>
                  </pic:spPr>
                </pic:pic>
              </a:graphicData>
            </a:graphic>
          </wp:inline>
        </w:drawing>
      </w:r>
    </w:p>
    <w:p w14:paraId="3380BEA2" w14:textId="77777777" w:rsidR="00804AFD" w:rsidRDefault="00804AFD" w:rsidP="00804AFD">
      <w:pPr>
        <w:rPr>
          <w:noProof/>
          <w:color w:val="EE0000"/>
          <w:sz w:val="18"/>
          <w:szCs w:val="18"/>
        </w:rPr>
      </w:pPr>
    </w:p>
    <w:p w14:paraId="044166D8" w14:textId="585B2D26" w:rsidR="00804AFD" w:rsidRDefault="00804AFD" w:rsidP="008707B5">
      <w:pPr>
        <w:tabs>
          <w:tab w:val="left" w:pos="1211"/>
        </w:tabs>
        <w:jc w:val="center"/>
        <w:rPr>
          <w:noProof/>
        </w:rPr>
      </w:pPr>
      <w:r>
        <w:rPr>
          <w:noProof/>
        </w:rPr>
        <w:drawing>
          <wp:inline distT="0" distB="0" distL="0" distR="0" wp14:anchorId="1E608E70" wp14:editId="4A48A6C7">
            <wp:extent cx="5401600" cy="3038400"/>
            <wp:effectExtent l="0" t="0" r="0" b="0"/>
            <wp:docPr id="200955969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59699" name="图片 20095596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1600" cy="3038400"/>
                    </a:xfrm>
                    <a:prstGeom prst="rect">
                      <a:avLst/>
                    </a:prstGeom>
                  </pic:spPr>
                </pic:pic>
              </a:graphicData>
            </a:graphic>
          </wp:inline>
        </w:drawing>
      </w:r>
    </w:p>
    <w:p w14:paraId="5FDFFB96" w14:textId="77777777" w:rsidR="00AD221F" w:rsidRDefault="00804AFD" w:rsidP="00AD221F">
      <w:pPr>
        <w:widowControl/>
        <w:adjustRightInd w:val="0"/>
        <w:snapToGrid w:val="0"/>
        <w:jc w:val="center"/>
        <w:rPr>
          <w:rFonts w:ascii="Times New Roman" w:hAnsi="Times New Roman" w:cs="Times New Roman"/>
          <w:color w:val="000000" w:themeColor="text1"/>
          <w:szCs w:val="21"/>
          <w14:ligatures w14:val="standardContextual"/>
        </w:rPr>
      </w:pPr>
      <w:r w:rsidRPr="00AD221F">
        <w:rPr>
          <w:rFonts w:ascii="Times New Roman" w:hAnsi="Times New Roman" w:cs="Times New Roman" w:hint="eastAsia"/>
          <w:color w:val="000000" w:themeColor="text1"/>
          <w:szCs w:val="21"/>
          <w14:ligatures w14:val="standardContextual"/>
        </w:rPr>
        <w:tab/>
      </w:r>
      <w:r w:rsidR="00AD221F" w:rsidRPr="00AD221F">
        <w:rPr>
          <w:rFonts w:ascii="Times New Roman" w:hAnsi="Times New Roman" w:cs="Times New Roman" w:hint="eastAsia"/>
          <w:color w:val="000000" w:themeColor="text1"/>
          <w:szCs w:val="21"/>
          <w14:ligatures w14:val="standardContextual"/>
        </w:rPr>
        <w:t>Figure 1 Response Surface Analysis Diagram</w:t>
      </w:r>
    </w:p>
    <w:p w14:paraId="2318CC2A" w14:textId="77777777" w:rsidR="00AD221F" w:rsidRPr="00AD221F" w:rsidRDefault="00AD221F" w:rsidP="00AD221F">
      <w:pPr>
        <w:widowControl/>
        <w:adjustRightInd w:val="0"/>
        <w:snapToGrid w:val="0"/>
        <w:jc w:val="center"/>
        <w:rPr>
          <w:rFonts w:ascii="Times New Roman" w:hAnsi="Times New Roman" w:cs="Times New Roman"/>
          <w:color w:val="000000" w:themeColor="text1"/>
          <w:szCs w:val="21"/>
          <w14:ligatures w14:val="standardContextual"/>
        </w:rPr>
      </w:pPr>
    </w:p>
    <w:p w14:paraId="222BFCE2" w14:textId="00AD5B22" w:rsidR="008707B5" w:rsidRDefault="00AD221F" w:rsidP="00AD221F">
      <w:pPr>
        <w:adjustRightInd w:val="0"/>
        <w:snapToGrid w:val="0"/>
        <w:spacing w:line="300" w:lineRule="auto"/>
        <w:ind w:firstLineChars="200" w:firstLine="420"/>
        <w:rPr>
          <w:rFonts w:ascii="Times New Roman" w:hAnsi="Times New Roman" w:cs="Times New Roman"/>
          <w:color w:val="000000" w:themeColor="text1"/>
          <w:szCs w:val="21"/>
        </w:rPr>
      </w:pPr>
      <w:r w:rsidRPr="00AD221F">
        <w:rPr>
          <w:rFonts w:ascii="Times New Roman" w:hAnsi="Times New Roman" w:cs="Times New Roman" w:hint="eastAsia"/>
          <w:color w:val="000000" w:themeColor="text1"/>
          <w:szCs w:val="21"/>
        </w:rPr>
        <w:t>The fitted correlation equation is y=26.74-1.25A-0.5875B-0.4375C-0.3000AB+0.2000AC+0.3750BC-1.21A2-2.58B2-0.7825C2</w:t>
      </w:r>
      <w:r w:rsidRPr="00AD221F">
        <w:rPr>
          <w:rFonts w:ascii="Times New Roman" w:hAnsi="Times New Roman" w:cs="Times New Roman" w:hint="eastAsia"/>
          <w:color w:val="000000" w:themeColor="text1"/>
          <w:szCs w:val="21"/>
        </w:rPr>
        <w:t>，</w:t>
      </w:r>
      <w:r w:rsidRPr="00AD221F">
        <w:rPr>
          <w:rFonts w:ascii="Times New Roman" w:hAnsi="Times New Roman" w:cs="Times New Roman" w:hint="eastAsia"/>
          <w:color w:val="000000" w:themeColor="text1"/>
          <w:szCs w:val="21"/>
        </w:rPr>
        <w:t xml:space="preserve">R2=0.8847 Approaching 1 indicates a good fitting effect of the model. By optimizing the proportion of solid waste cementitious materials through the fitted response surface, the optimal level combination obtained from the optimization is: fly ash 27.2%, slag 52.8%, carbide slag 13.1%, desulfurization </w:t>
      </w:r>
      <w:proofErr w:type="gramStart"/>
      <w:r w:rsidRPr="00AD221F">
        <w:rPr>
          <w:rFonts w:ascii="Times New Roman" w:hAnsi="Times New Roman" w:cs="Times New Roman" w:hint="eastAsia"/>
          <w:color w:val="000000" w:themeColor="text1"/>
          <w:szCs w:val="21"/>
        </w:rPr>
        <w:t>paste</w:t>
      </w:r>
      <w:proofErr w:type="gramEnd"/>
      <w:r w:rsidRPr="00AD221F">
        <w:rPr>
          <w:rFonts w:ascii="Times New Roman" w:hAnsi="Times New Roman" w:cs="Times New Roman" w:hint="eastAsia"/>
          <w:color w:val="000000" w:themeColor="text1"/>
          <w:szCs w:val="21"/>
        </w:rPr>
        <w:t xml:space="preserve"> 6.9% according to the fitting equation, with a compressive strength of 27.72 MPa at 28 days.</w:t>
      </w:r>
    </w:p>
    <w:p w14:paraId="5AC91339" w14:textId="77777777" w:rsidR="00AD221F" w:rsidRPr="00AD221F" w:rsidRDefault="00AD221F" w:rsidP="00AD221F">
      <w:pPr>
        <w:adjustRightInd w:val="0"/>
        <w:snapToGrid w:val="0"/>
        <w:spacing w:line="300" w:lineRule="auto"/>
        <w:ind w:firstLineChars="200" w:firstLine="420"/>
        <w:rPr>
          <w:rFonts w:ascii="Times New Roman" w:hAnsi="Times New Roman" w:cs="Times New Roman"/>
          <w:color w:val="000000" w:themeColor="text1"/>
          <w:szCs w:val="21"/>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51"/>
        <w:gridCol w:w="1276"/>
        <w:gridCol w:w="865"/>
        <w:gridCol w:w="1276"/>
        <w:gridCol w:w="1000"/>
        <w:gridCol w:w="1126"/>
        <w:gridCol w:w="982"/>
      </w:tblGrid>
      <w:tr w:rsidR="00AD221F" w:rsidRPr="00272D68" w14:paraId="52089BC9" w14:textId="77777777" w:rsidTr="00AD221F">
        <w:trPr>
          <w:tblCellSpacing w:w="15" w:type="dxa"/>
          <w:jc w:val="center"/>
        </w:trPr>
        <w:tc>
          <w:tcPr>
            <w:tcW w:w="806" w:type="dxa"/>
            <w:tcBorders>
              <w:top w:val="single" w:sz="4" w:space="0" w:color="auto"/>
              <w:bottom w:val="single" w:sz="4" w:space="0" w:color="auto"/>
            </w:tcBorders>
            <w:shd w:val="clear" w:color="auto" w:fill="FFFFFF"/>
            <w:vAlign w:val="center"/>
          </w:tcPr>
          <w:p w14:paraId="2A88B25C" w14:textId="381C6BE3" w:rsidR="00272D68" w:rsidRPr="00AD221F" w:rsidRDefault="00AD221F" w:rsidP="00AD221F">
            <w:pPr>
              <w:widowControl/>
              <w:spacing w:before="100" w:beforeAutospacing="1" w:line="300" w:lineRule="auto"/>
              <w:jc w:val="center"/>
              <w:rPr>
                <w:color w:val="000000" w:themeColor="text1"/>
                <w:szCs w:val="21"/>
                <w14:ligatures w14:val="standardContextual"/>
              </w:rPr>
            </w:pPr>
            <w:r w:rsidRPr="00AD221F">
              <w:rPr>
                <w:rFonts w:hint="eastAsia"/>
                <w:color w:val="000000" w:themeColor="text1"/>
                <w:szCs w:val="21"/>
                <w14:ligatures w14:val="standardContextual"/>
              </w:rPr>
              <w:lastRenderedPageBreak/>
              <w:t>Source</w:t>
            </w:r>
          </w:p>
        </w:tc>
        <w:tc>
          <w:tcPr>
            <w:tcW w:w="1246" w:type="dxa"/>
            <w:tcBorders>
              <w:top w:val="single" w:sz="4" w:space="0" w:color="auto"/>
              <w:bottom w:val="single" w:sz="4" w:space="0" w:color="auto"/>
            </w:tcBorders>
            <w:shd w:val="clear" w:color="auto" w:fill="FFFFFF"/>
            <w:vAlign w:val="center"/>
          </w:tcPr>
          <w:p w14:paraId="592F39DA" w14:textId="79573E9F" w:rsidR="00272D68" w:rsidRPr="00AD221F" w:rsidRDefault="00AD221F" w:rsidP="00AD221F">
            <w:pPr>
              <w:widowControl/>
              <w:spacing w:before="100" w:beforeAutospacing="1" w:line="300" w:lineRule="auto"/>
              <w:jc w:val="center"/>
              <w:rPr>
                <w:color w:val="000000" w:themeColor="text1"/>
                <w:szCs w:val="21"/>
                <w14:ligatures w14:val="standardContextual"/>
              </w:rPr>
            </w:pPr>
            <w:r w:rsidRPr="00AD221F">
              <w:rPr>
                <w:rFonts w:hint="eastAsia"/>
                <w:color w:val="000000" w:themeColor="text1"/>
                <w:szCs w:val="21"/>
                <w14:ligatures w14:val="standardContextual"/>
              </w:rPr>
              <w:t>Sum of Squares</w:t>
            </w:r>
          </w:p>
        </w:tc>
        <w:tc>
          <w:tcPr>
            <w:tcW w:w="820" w:type="dxa"/>
            <w:tcBorders>
              <w:top w:val="single" w:sz="4" w:space="0" w:color="auto"/>
              <w:bottom w:val="single" w:sz="4" w:space="0" w:color="auto"/>
            </w:tcBorders>
            <w:shd w:val="clear" w:color="auto" w:fill="FFFFFF"/>
            <w:vAlign w:val="center"/>
          </w:tcPr>
          <w:p w14:paraId="03CB5683" w14:textId="70104796" w:rsidR="00272D68" w:rsidRPr="00AD221F" w:rsidRDefault="00AD221F" w:rsidP="00AD221F">
            <w:pPr>
              <w:widowControl/>
              <w:spacing w:before="100" w:beforeAutospacing="1" w:line="300" w:lineRule="auto"/>
              <w:jc w:val="center"/>
              <w:rPr>
                <w:color w:val="000000" w:themeColor="text1"/>
                <w:szCs w:val="21"/>
                <w14:ligatures w14:val="standardContextual"/>
              </w:rPr>
            </w:pPr>
            <w:r>
              <w:rPr>
                <w:rFonts w:hint="eastAsia"/>
                <w:color w:val="000000" w:themeColor="text1"/>
                <w:szCs w:val="21"/>
                <w14:ligatures w14:val="standardContextual"/>
              </w:rPr>
              <w:t>D</w:t>
            </w:r>
            <w:r w:rsidRPr="00AD221F">
              <w:rPr>
                <w:rFonts w:hint="eastAsia"/>
                <w:color w:val="000000" w:themeColor="text1"/>
                <w:szCs w:val="21"/>
                <w14:ligatures w14:val="standardContextual"/>
              </w:rPr>
              <w:t xml:space="preserve">egree </w:t>
            </w:r>
            <w:r>
              <w:rPr>
                <w:rFonts w:hint="eastAsia"/>
                <w:color w:val="000000" w:themeColor="text1"/>
                <w:szCs w:val="21"/>
                <w14:ligatures w14:val="standardContextual"/>
              </w:rPr>
              <w:t>O</w:t>
            </w:r>
            <w:r w:rsidRPr="00AD221F">
              <w:rPr>
                <w:rFonts w:hint="eastAsia"/>
                <w:color w:val="000000" w:themeColor="text1"/>
                <w:szCs w:val="21"/>
                <w14:ligatures w14:val="standardContextual"/>
              </w:rPr>
              <w:t xml:space="preserve">f </w:t>
            </w:r>
            <w:r>
              <w:rPr>
                <w:rFonts w:hint="eastAsia"/>
                <w:color w:val="000000" w:themeColor="text1"/>
                <w:szCs w:val="21"/>
                <w14:ligatures w14:val="standardContextual"/>
              </w:rPr>
              <w:t>F</w:t>
            </w:r>
            <w:r w:rsidRPr="00AD221F">
              <w:rPr>
                <w:rFonts w:hint="eastAsia"/>
                <w:color w:val="000000" w:themeColor="text1"/>
                <w:szCs w:val="21"/>
                <w14:ligatures w14:val="standardContextual"/>
              </w:rPr>
              <w:t>reedom</w:t>
            </w:r>
          </w:p>
        </w:tc>
        <w:tc>
          <w:tcPr>
            <w:tcW w:w="1246" w:type="dxa"/>
            <w:tcBorders>
              <w:top w:val="single" w:sz="4" w:space="0" w:color="auto"/>
              <w:bottom w:val="single" w:sz="4" w:space="0" w:color="auto"/>
            </w:tcBorders>
            <w:shd w:val="clear" w:color="auto" w:fill="FFFFFF"/>
            <w:vAlign w:val="center"/>
          </w:tcPr>
          <w:p w14:paraId="2AC28BCD" w14:textId="696CCDA5" w:rsidR="00272D68" w:rsidRPr="00AD221F" w:rsidRDefault="00AD221F" w:rsidP="00AD221F">
            <w:pPr>
              <w:widowControl/>
              <w:spacing w:before="100" w:beforeAutospacing="1" w:line="300" w:lineRule="auto"/>
              <w:jc w:val="center"/>
              <w:rPr>
                <w:color w:val="000000" w:themeColor="text1"/>
                <w:szCs w:val="21"/>
                <w14:ligatures w14:val="standardContextual"/>
              </w:rPr>
            </w:pPr>
            <w:r>
              <w:rPr>
                <w:rFonts w:hint="eastAsia"/>
                <w:color w:val="000000" w:themeColor="text1"/>
                <w:szCs w:val="21"/>
                <w14:ligatures w14:val="standardContextual"/>
              </w:rPr>
              <w:t>M</w:t>
            </w:r>
            <w:r w:rsidRPr="00AD221F">
              <w:rPr>
                <w:rFonts w:hint="eastAsia"/>
                <w:color w:val="000000" w:themeColor="text1"/>
                <w:szCs w:val="21"/>
                <w14:ligatures w14:val="standardContextual"/>
              </w:rPr>
              <w:t xml:space="preserve">ean </w:t>
            </w:r>
            <w:r>
              <w:rPr>
                <w:rFonts w:hint="eastAsia"/>
                <w:color w:val="000000" w:themeColor="text1"/>
                <w:szCs w:val="21"/>
                <w14:ligatures w14:val="standardContextual"/>
              </w:rPr>
              <w:t>S</w:t>
            </w:r>
            <w:r w:rsidRPr="00AD221F">
              <w:rPr>
                <w:rFonts w:hint="eastAsia"/>
                <w:color w:val="000000" w:themeColor="text1"/>
                <w:szCs w:val="21"/>
                <w14:ligatures w14:val="standardContextual"/>
              </w:rPr>
              <w:t>quare</w:t>
            </w:r>
          </w:p>
        </w:tc>
        <w:tc>
          <w:tcPr>
            <w:tcW w:w="970" w:type="dxa"/>
            <w:tcBorders>
              <w:top w:val="single" w:sz="4" w:space="0" w:color="auto"/>
              <w:bottom w:val="single" w:sz="4" w:space="0" w:color="auto"/>
            </w:tcBorders>
            <w:shd w:val="clear" w:color="auto" w:fill="FFFFFF"/>
            <w:vAlign w:val="center"/>
          </w:tcPr>
          <w:p w14:paraId="0479F165" w14:textId="1A4EF07A" w:rsidR="00272D68" w:rsidRPr="00AD221F" w:rsidRDefault="00AD221F" w:rsidP="00AD221F">
            <w:pPr>
              <w:widowControl/>
              <w:spacing w:before="100" w:beforeAutospacing="1" w:line="300" w:lineRule="auto"/>
              <w:jc w:val="center"/>
              <w:rPr>
                <w:color w:val="000000" w:themeColor="text1"/>
                <w:szCs w:val="21"/>
                <w14:ligatures w14:val="standardContextual"/>
              </w:rPr>
            </w:pPr>
            <w:r w:rsidRPr="00AD221F">
              <w:rPr>
                <w:rFonts w:hint="eastAsia"/>
                <w:color w:val="000000" w:themeColor="text1"/>
                <w:szCs w:val="21"/>
                <w14:ligatures w14:val="standardContextual"/>
              </w:rPr>
              <w:t xml:space="preserve">F </w:t>
            </w:r>
            <w:r>
              <w:rPr>
                <w:rFonts w:hint="eastAsia"/>
                <w:color w:val="000000" w:themeColor="text1"/>
                <w:szCs w:val="21"/>
                <w14:ligatures w14:val="standardContextual"/>
              </w:rPr>
              <w:t>V</w:t>
            </w:r>
            <w:r w:rsidRPr="00AD221F">
              <w:rPr>
                <w:rFonts w:hint="eastAsia"/>
                <w:color w:val="000000" w:themeColor="text1"/>
                <w:szCs w:val="21"/>
                <w14:ligatures w14:val="standardContextual"/>
              </w:rPr>
              <w:t>alue</w:t>
            </w:r>
          </w:p>
        </w:tc>
        <w:tc>
          <w:tcPr>
            <w:tcW w:w="924" w:type="dxa"/>
            <w:tcBorders>
              <w:top w:val="single" w:sz="4" w:space="0" w:color="auto"/>
              <w:bottom w:val="single" w:sz="4" w:space="0" w:color="auto"/>
            </w:tcBorders>
            <w:shd w:val="clear" w:color="auto" w:fill="FFFFFF"/>
            <w:vAlign w:val="center"/>
          </w:tcPr>
          <w:p w14:paraId="552E72D4" w14:textId="504ED559" w:rsidR="00272D68" w:rsidRPr="00AD221F" w:rsidRDefault="00AD221F" w:rsidP="00AD221F">
            <w:pPr>
              <w:widowControl/>
              <w:spacing w:before="100" w:beforeAutospacing="1" w:line="300" w:lineRule="auto"/>
              <w:jc w:val="center"/>
              <w:rPr>
                <w:color w:val="000000" w:themeColor="text1"/>
                <w:szCs w:val="21"/>
                <w14:ligatures w14:val="standardContextual"/>
              </w:rPr>
            </w:pPr>
            <w:r>
              <w:rPr>
                <w:rFonts w:hint="eastAsia"/>
                <w:color w:val="000000" w:themeColor="text1"/>
                <w:szCs w:val="21"/>
                <w14:ligatures w14:val="standardContextual"/>
              </w:rPr>
              <w:t>S</w:t>
            </w:r>
            <w:r w:rsidRPr="00AD221F">
              <w:rPr>
                <w:rFonts w:hint="eastAsia"/>
                <w:color w:val="000000" w:themeColor="text1"/>
                <w:szCs w:val="21"/>
                <w14:ligatures w14:val="standardContextual"/>
              </w:rPr>
              <w:t xml:space="preserve">ignificance </w:t>
            </w:r>
            <w:r>
              <w:rPr>
                <w:rFonts w:hint="eastAsia"/>
                <w:color w:val="000000" w:themeColor="text1"/>
                <w:szCs w:val="21"/>
                <w14:ligatures w14:val="standardContextual"/>
              </w:rPr>
              <w:t>L</w:t>
            </w:r>
            <w:r w:rsidRPr="00AD221F">
              <w:rPr>
                <w:rFonts w:hint="eastAsia"/>
                <w:color w:val="000000" w:themeColor="text1"/>
                <w:szCs w:val="21"/>
                <w14:ligatures w14:val="standardContextual"/>
              </w:rPr>
              <w:t>evel</w:t>
            </w:r>
          </w:p>
        </w:tc>
        <w:tc>
          <w:tcPr>
            <w:tcW w:w="808" w:type="dxa"/>
            <w:tcBorders>
              <w:top w:val="single" w:sz="4" w:space="0" w:color="auto"/>
              <w:bottom w:val="single" w:sz="4" w:space="0" w:color="auto"/>
            </w:tcBorders>
            <w:shd w:val="clear" w:color="auto" w:fill="FFFFFF"/>
            <w:vAlign w:val="center"/>
          </w:tcPr>
          <w:p w14:paraId="71F7FF43"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2669E2AF" w14:textId="77777777" w:rsidTr="00AD221F">
        <w:trPr>
          <w:tblCellSpacing w:w="15" w:type="dxa"/>
          <w:jc w:val="center"/>
        </w:trPr>
        <w:tc>
          <w:tcPr>
            <w:tcW w:w="806" w:type="dxa"/>
            <w:shd w:val="clear" w:color="auto" w:fill="FFFFFF"/>
            <w:vAlign w:val="center"/>
            <w:hideMark/>
          </w:tcPr>
          <w:p w14:paraId="6AE3F765"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Model</w:t>
            </w:r>
          </w:p>
        </w:tc>
        <w:tc>
          <w:tcPr>
            <w:tcW w:w="1246" w:type="dxa"/>
            <w:shd w:val="clear" w:color="auto" w:fill="FFFFFF"/>
            <w:vAlign w:val="center"/>
            <w:hideMark/>
          </w:tcPr>
          <w:p w14:paraId="4696CC83"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57.75</w:t>
            </w:r>
          </w:p>
        </w:tc>
        <w:tc>
          <w:tcPr>
            <w:tcW w:w="820" w:type="dxa"/>
            <w:shd w:val="clear" w:color="auto" w:fill="FFFFFF"/>
            <w:vAlign w:val="center"/>
            <w:hideMark/>
          </w:tcPr>
          <w:p w14:paraId="223089F2"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9</w:t>
            </w:r>
          </w:p>
        </w:tc>
        <w:tc>
          <w:tcPr>
            <w:tcW w:w="1246" w:type="dxa"/>
            <w:shd w:val="clear" w:color="auto" w:fill="FFFFFF"/>
            <w:vAlign w:val="center"/>
            <w:hideMark/>
          </w:tcPr>
          <w:p w14:paraId="3B28BFE9"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6.42</w:t>
            </w:r>
          </w:p>
        </w:tc>
        <w:tc>
          <w:tcPr>
            <w:tcW w:w="970" w:type="dxa"/>
            <w:shd w:val="clear" w:color="auto" w:fill="FFFFFF"/>
            <w:vAlign w:val="center"/>
            <w:hideMark/>
          </w:tcPr>
          <w:p w14:paraId="255733EC"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5.97</w:t>
            </w:r>
          </w:p>
        </w:tc>
        <w:tc>
          <w:tcPr>
            <w:tcW w:w="924" w:type="dxa"/>
            <w:shd w:val="clear" w:color="auto" w:fill="FFFFFF"/>
            <w:vAlign w:val="center"/>
            <w:hideMark/>
          </w:tcPr>
          <w:p w14:paraId="1D6FBC41"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0.0140</w:t>
            </w:r>
          </w:p>
        </w:tc>
        <w:tc>
          <w:tcPr>
            <w:tcW w:w="808" w:type="dxa"/>
            <w:shd w:val="clear" w:color="auto" w:fill="FFFFFF"/>
            <w:vAlign w:val="center"/>
            <w:hideMark/>
          </w:tcPr>
          <w:p w14:paraId="6295C315"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significant</w:t>
            </w:r>
          </w:p>
        </w:tc>
      </w:tr>
      <w:tr w:rsidR="00AD221F" w:rsidRPr="00272D68" w14:paraId="7E6E36F0" w14:textId="77777777" w:rsidTr="00AD221F">
        <w:trPr>
          <w:tblCellSpacing w:w="15" w:type="dxa"/>
          <w:jc w:val="center"/>
        </w:trPr>
        <w:tc>
          <w:tcPr>
            <w:tcW w:w="806" w:type="dxa"/>
            <w:shd w:val="clear" w:color="auto" w:fill="FFFFFF"/>
            <w:vAlign w:val="center"/>
            <w:hideMark/>
          </w:tcPr>
          <w:p w14:paraId="472A162F" w14:textId="394DB768"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A</w:t>
            </w:r>
          </w:p>
        </w:tc>
        <w:tc>
          <w:tcPr>
            <w:tcW w:w="1246" w:type="dxa"/>
            <w:shd w:val="clear" w:color="auto" w:fill="FFFFFF"/>
            <w:vAlign w:val="center"/>
            <w:hideMark/>
          </w:tcPr>
          <w:p w14:paraId="34A1F54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12.50</w:t>
            </w:r>
          </w:p>
        </w:tc>
        <w:tc>
          <w:tcPr>
            <w:tcW w:w="820" w:type="dxa"/>
            <w:shd w:val="clear" w:color="auto" w:fill="FFFFFF"/>
            <w:vAlign w:val="center"/>
            <w:hideMark/>
          </w:tcPr>
          <w:p w14:paraId="444B3CFF"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w:t>
            </w:r>
          </w:p>
        </w:tc>
        <w:tc>
          <w:tcPr>
            <w:tcW w:w="1246" w:type="dxa"/>
            <w:shd w:val="clear" w:color="auto" w:fill="FFFFFF"/>
            <w:vAlign w:val="center"/>
            <w:hideMark/>
          </w:tcPr>
          <w:p w14:paraId="156FCFD1"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12.50</w:t>
            </w:r>
          </w:p>
        </w:tc>
        <w:tc>
          <w:tcPr>
            <w:tcW w:w="970" w:type="dxa"/>
            <w:shd w:val="clear" w:color="auto" w:fill="FFFFFF"/>
            <w:vAlign w:val="center"/>
            <w:hideMark/>
          </w:tcPr>
          <w:p w14:paraId="7D843BD8"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11.63</w:t>
            </w:r>
          </w:p>
        </w:tc>
        <w:tc>
          <w:tcPr>
            <w:tcW w:w="924" w:type="dxa"/>
            <w:shd w:val="clear" w:color="auto" w:fill="FFFFFF"/>
            <w:vAlign w:val="center"/>
            <w:hideMark/>
          </w:tcPr>
          <w:p w14:paraId="54F8D324"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0.0113</w:t>
            </w:r>
          </w:p>
        </w:tc>
        <w:tc>
          <w:tcPr>
            <w:tcW w:w="808" w:type="dxa"/>
            <w:shd w:val="clear" w:color="auto" w:fill="FFFFFF"/>
            <w:vAlign w:val="center"/>
            <w:hideMark/>
          </w:tcPr>
          <w:p w14:paraId="68C8E7B7"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1CC30BFD" w14:textId="77777777" w:rsidTr="00AD221F">
        <w:trPr>
          <w:tblCellSpacing w:w="15" w:type="dxa"/>
          <w:jc w:val="center"/>
        </w:trPr>
        <w:tc>
          <w:tcPr>
            <w:tcW w:w="806" w:type="dxa"/>
            <w:shd w:val="clear" w:color="auto" w:fill="FFFFFF"/>
            <w:vAlign w:val="center"/>
            <w:hideMark/>
          </w:tcPr>
          <w:p w14:paraId="653E7EC2" w14:textId="24B11A61"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B</w:t>
            </w:r>
          </w:p>
        </w:tc>
        <w:tc>
          <w:tcPr>
            <w:tcW w:w="1246" w:type="dxa"/>
            <w:shd w:val="clear" w:color="auto" w:fill="FFFFFF"/>
            <w:vAlign w:val="center"/>
            <w:hideMark/>
          </w:tcPr>
          <w:p w14:paraId="2991D622"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2.76</w:t>
            </w:r>
          </w:p>
        </w:tc>
        <w:tc>
          <w:tcPr>
            <w:tcW w:w="820" w:type="dxa"/>
            <w:shd w:val="clear" w:color="auto" w:fill="FFFFFF"/>
            <w:vAlign w:val="center"/>
            <w:hideMark/>
          </w:tcPr>
          <w:p w14:paraId="5AD0A147"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w:t>
            </w:r>
          </w:p>
        </w:tc>
        <w:tc>
          <w:tcPr>
            <w:tcW w:w="1246" w:type="dxa"/>
            <w:shd w:val="clear" w:color="auto" w:fill="FFFFFF"/>
            <w:vAlign w:val="center"/>
            <w:hideMark/>
          </w:tcPr>
          <w:p w14:paraId="10C8133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2.76</w:t>
            </w:r>
          </w:p>
        </w:tc>
        <w:tc>
          <w:tcPr>
            <w:tcW w:w="970" w:type="dxa"/>
            <w:shd w:val="clear" w:color="auto" w:fill="FFFFFF"/>
            <w:vAlign w:val="center"/>
            <w:hideMark/>
          </w:tcPr>
          <w:p w14:paraId="6695C01A"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2.57</w:t>
            </w:r>
          </w:p>
        </w:tc>
        <w:tc>
          <w:tcPr>
            <w:tcW w:w="924" w:type="dxa"/>
            <w:shd w:val="clear" w:color="auto" w:fill="FFFFFF"/>
            <w:vAlign w:val="center"/>
            <w:hideMark/>
          </w:tcPr>
          <w:p w14:paraId="19F79C3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0.1530</w:t>
            </w:r>
          </w:p>
        </w:tc>
        <w:tc>
          <w:tcPr>
            <w:tcW w:w="808" w:type="dxa"/>
            <w:shd w:val="clear" w:color="auto" w:fill="FFFFFF"/>
            <w:vAlign w:val="center"/>
            <w:hideMark/>
          </w:tcPr>
          <w:p w14:paraId="4B307345"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419F456E" w14:textId="77777777" w:rsidTr="00AD221F">
        <w:trPr>
          <w:tblCellSpacing w:w="15" w:type="dxa"/>
          <w:jc w:val="center"/>
        </w:trPr>
        <w:tc>
          <w:tcPr>
            <w:tcW w:w="806" w:type="dxa"/>
            <w:shd w:val="clear" w:color="auto" w:fill="FFFFFF"/>
            <w:vAlign w:val="center"/>
            <w:hideMark/>
          </w:tcPr>
          <w:p w14:paraId="01AFAE4C" w14:textId="6E03D938"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C</w:t>
            </w:r>
          </w:p>
        </w:tc>
        <w:tc>
          <w:tcPr>
            <w:tcW w:w="1246" w:type="dxa"/>
            <w:shd w:val="clear" w:color="auto" w:fill="FFFFFF"/>
            <w:vAlign w:val="center"/>
            <w:hideMark/>
          </w:tcPr>
          <w:p w14:paraId="4BBE54BA"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1.53</w:t>
            </w:r>
          </w:p>
        </w:tc>
        <w:tc>
          <w:tcPr>
            <w:tcW w:w="820" w:type="dxa"/>
            <w:shd w:val="clear" w:color="auto" w:fill="FFFFFF"/>
            <w:vAlign w:val="center"/>
            <w:hideMark/>
          </w:tcPr>
          <w:p w14:paraId="5FC54979"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w:t>
            </w:r>
          </w:p>
        </w:tc>
        <w:tc>
          <w:tcPr>
            <w:tcW w:w="1246" w:type="dxa"/>
            <w:shd w:val="clear" w:color="auto" w:fill="FFFFFF"/>
            <w:vAlign w:val="center"/>
            <w:hideMark/>
          </w:tcPr>
          <w:p w14:paraId="2EA09900"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1.53</w:t>
            </w:r>
          </w:p>
        </w:tc>
        <w:tc>
          <w:tcPr>
            <w:tcW w:w="970" w:type="dxa"/>
            <w:shd w:val="clear" w:color="auto" w:fill="FFFFFF"/>
            <w:vAlign w:val="center"/>
            <w:hideMark/>
          </w:tcPr>
          <w:p w14:paraId="621A5A02"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1.42</w:t>
            </w:r>
          </w:p>
        </w:tc>
        <w:tc>
          <w:tcPr>
            <w:tcW w:w="924" w:type="dxa"/>
            <w:shd w:val="clear" w:color="auto" w:fill="FFFFFF"/>
            <w:vAlign w:val="center"/>
            <w:hideMark/>
          </w:tcPr>
          <w:p w14:paraId="27FBE3BB"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0.2715</w:t>
            </w:r>
          </w:p>
        </w:tc>
        <w:tc>
          <w:tcPr>
            <w:tcW w:w="808" w:type="dxa"/>
            <w:shd w:val="clear" w:color="auto" w:fill="FFFFFF"/>
            <w:vAlign w:val="center"/>
            <w:hideMark/>
          </w:tcPr>
          <w:p w14:paraId="055C5115"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66142FA1" w14:textId="77777777" w:rsidTr="00AD221F">
        <w:trPr>
          <w:tblCellSpacing w:w="15" w:type="dxa"/>
          <w:jc w:val="center"/>
        </w:trPr>
        <w:tc>
          <w:tcPr>
            <w:tcW w:w="806" w:type="dxa"/>
            <w:shd w:val="clear" w:color="auto" w:fill="FFFFFF"/>
            <w:vAlign w:val="center"/>
            <w:hideMark/>
          </w:tcPr>
          <w:p w14:paraId="16376CA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AB</w:t>
            </w:r>
          </w:p>
        </w:tc>
        <w:tc>
          <w:tcPr>
            <w:tcW w:w="1246" w:type="dxa"/>
            <w:shd w:val="clear" w:color="auto" w:fill="FFFFFF"/>
            <w:vAlign w:val="center"/>
            <w:hideMark/>
          </w:tcPr>
          <w:p w14:paraId="674FCE0E"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0.3600</w:t>
            </w:r>
          </w:p>
        </w:tc>
        <w:tc>
          <w:tcPr>
            <w:tcW w:w="820" w:type="dxa"/>
            <w:shd w:val="clear" w:color="auto" w:fill="FFFFFF"/>
            <w:vAlign w:val="center"/>
            <w:hideMark/>
          </w:tcPr>
          <w:p w14:paraId="7BA0E04D"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w:t>
            </w:r>
          </w:p>
        </w:tc>
        <w:tc>
          <w:tcPr>
            <w:tcW w:w="1246" w:type="dxa"/>
            <w:shd w:val="clear" w:color="auto" w:fill="FFFFFF"/>
            <w:vAlign w:val="center"/>
            <w:hideMark/>
          </w:tcPr>
          <w:p w14:paraId="65C9D56B"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0.3600</w:t>
            </w:r>
          </w:p>
        </w:tc>
        <w:tc>
          <w:tcPr>
            <w:tcW w:w="970" w:type="dxa"/>
            <w:shd w:val="clear" w:color="auto" w:fill="FFFFFF"/>
            <w:vAlign w:val="center"/>
            <w:hideMark/>
          </w:tcPr>
          <w:p w14:paraId="0B0D55FF"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0.3349</w:t>
            </w:r>
          </w:p>
        </w:tc>
        <w:tc>
          <w:tcPr>
            <w:tcW w:w="924" w:type="dxa"/>
            <w:shd w:val="clear" w:color="auto" w:fill="FFFFFF"/>
            <w:vAlign w:val="center"/>
            <w:hideMark/>
          </w:tcPr>
          <w:p w14:paraId="19A8CF3C"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0.5809</w:t>
            </w:r>
          </w:p>
        </w:tc>
        <w:tc>
          <w:tcPr>
            <w:tcW w:w="808" w:type="dxa"/>
            <w:shd w:val="clear" w:color="auto" w:fill="FFFFFF"/>
            <w:vAlign w:val="center"/>
            <w:hideMark/>
          </w:tcPr>
          <w:p w14:paraId="7C230217"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5BEB4011" w14:textId="77777777" w:rsidTr="00AD221F">
        <w:trPr>
          <w:tblCellSpacing w:w="15" w:type="dxa"/>
          <w:jc w:val="center"/>
        </w:trPr>
        <w:tc>
          <w:tcPr>
            <w:tcW w:w="806" w:type="dxa"/>
            <w:shd w:val="clear" w:color="auto" w:fill="FFFFFF"/>
            <w:vAlign w:val="center"/>
            <w:hideMark/>
          </w:tcPr>
          <w:p w14:paraId="2F741652"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AC</w:t>
            </w:r>
          </w:p>
        </w:tc>
        <w:tc>
          <w:tcPr>
            <w:tcW w:w="1246" w:type="dxa"/>
            <w:shd w:val="clear" w:color="auto" w:fill="FFFFFF"/>
            <w:vAlign w:val="center"/>
            <w:hideMark/>
          </w:tcPr>
          <w:p w14:paraId="138911AC"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0.1600</w:t>
            </w:r>
          </w:p>
        </w:tc>
        <w:tc>
          <w:tcPr>
            <w:tcW w:w="820" w:type="dxa"/>
            <w:shd w:val="clear" w:color="auto" w:fill="FFFFFF"/>
            <w:vAlign w:val="center"/>
            <w:hideMark/>
          </w:tcPr>
          <w:p w14:paraId="0C77AAB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w:t>
            </w:r>
          </w:p>
        </w:tc>
        <w:tc>
          <w:tcPr>
            <w:tcW w:w="1246" w:type="dxa"/>
            <w:shd w:val="clear" w:color="auto" w:fill="FFFFFF"/>
            <w:vAlign w:val="center"/>
            <w:hideMark/>
          </w:tcPr>
          <w:p w14:paraId="65DCB692"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0.1600</w:t>
            </w:r>
          </w:p>
        </w:tc>
        <w:tc>
          <w:tcPr>
            <w:tcW w:w="970" w:type="dxa"/>
            <w:shd w:val="clear" w:color="auto" w:fill="FFFFFF"/>
            <w:vAlign w:val="center"/>
            <w:hideMark/>
          </w:tcPr>
          <w:p w14:paraId="5F54F08E"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0.1488</w:t>
            </w:r>
          </w:p>
        </w:tc>
        <w:tc>
          <w:tcPr>
            <w:tcW w:w="924" w:type="dxa"/>
            <w:shd w:val="clear" w:color="auto" w:fill="FFFFFF"/>
            <w:vAlign w:val="center"/>
            <w:hideMark/>
          </w:tcPr>
          <w:p w14:paraId="589D588B"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0.7111</w:t>
            </w:r>
          </w:p>
        </w:tc>
        <w:tc>
          <w:tcPr>
            <w:tcW w:w="808" w:type="dxa"/>
            <w:shd w:val="clear" w:color="auto" w:fill="FFFFFF"/>
            <w:vAlign w:val="center"/>
            <w:hideMark/>
          </w:tcPr>
          <w:p w14:paraId="275AA7FC"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584D1ED4" w14:textId="77777777" w:rsidTr="00AD221F">
        <w:trPr>
          <w:tblCellSpacing w:w="15" w:type="dxa"/>
          <w:jc w:val="center"/>
        </w:trPr>
        <w:tc>
          <w:tcPr>
            <w:tcW w:w="806" w:type="dxa"/>
            <w:shd w:val="clear" w:color="auto" w:fill="FFFFFF"/>
            <w:vAlign w:val="center"/>
            <w:hideMark/>
          </w:tcPr>
          <w:p w14:paraId="6B05BDFD"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BC</w:t>
            </w:r>
          </w:p>
        </w:tc>
        <w:tc>
          <w:tcPr>
            <w:tcW w:w="1246" w:type="dxa"/>
            <w:shd w:val="clear" w:color="auto" w:fill="FFFFFF"/>
            <w:vAlign w:val="center"/>
            <w:hideMark/>
          </w:tcPr>
          <w:p w14:paraId="56568FBD"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0.5625</w:t>
            </w:r>
          </w:p>
        </w:tc>
        <w:tc>
          <w:tcPr>
            <w:tcW w:w="820" w:type="dxa"/>
            <w:shd w:val="clear" w:color="auto" w:fill="FFFFFF"/>
            <w:vAlign w:val="center"/>
            <w:hideMark/>
          </w:tcPr>
          <w:p w14:paraId="51D5372D"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w:t>
            </w:r>
          </w:p>
        </w:tc>
        <w:tc>
          <w:tcPr>
            <w:tcW w:w="1246" w:type="dxa"/>
            <w:shd w:val="clear" w:color="auto" w:fill="FFFFFF"/>
            <w:vAlign w:val="center"/>
            <w:hideMark/>
          </w:tcPr>
          <w:p w14:paraId="7BB29A4D"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0.5625</w:t>
            </w:r>
          </w:p>
        </w:tc>
        <w:tc>
          <w:tcPr>
            <w:tcW w:w="970" w:type="dxa"/>
            <w:shd w:val="clear" w:color="auto" w:fill="FFFFFF"/>
            <w:vAlign w:val="center"/>
            <w:hideMark/>
          </w:tcPr>
          <w:p w14:paraId="0DD67DD4"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0.5233</w:t>
            </w:r>
          </w:p>
        </w:tc>
        <w:tc>
          <w:tcPr>
            <w:tcW w:w="924" w:type="dxa"/>
            <w:shd w:val="clear" w:color="auto" w:fill="FFFFFF"/>
            <w:vAlign w:val="center"/>
            <w:hideMark/>
          </w:tcPr>
          <w:p w14:paraId="78A5D93F"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0.4929</w:t>
            </w:r>
          </w:p>
        </w:tc>
        <w:tc>
          <w:tcPr>
            <w:tcW w:w="808" w:type="dxa"/>
            <w:shd w:val="clear" w:color="auto" w:fill="FFFFFF"/>
            <w:vAlign w:val="center"/>
            <w:hideMark/>
          </w:tcPr>
          <w:p w14:paraId="0D8C3EAD"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6A7722D7" w14:textId="77777777" w:rsidTr="00AD221F">
        <w:trPr>
          <w:tblCellSpacing w:w="15" w:type="dxa"/>
          <w:jc w:val="center"/>
        </w:trPr>
        <w:tc>
          <w:tcPr>
            <w:tcW w:w="806" w:type="dxa"/>
            <w:shd w:val="clear" w:color="auto" w:fill="FFFFFF"/>
            <w:vAlign w:val="center"/>
            <w:hideMark/>
          </w:tcPr>
          <w:p w14:paraId="21A49CC2"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A²</w:t>
            </w:r>
          </w:p>
        </w:tc>
        <w:tc>
          <w:tcPr>
            <w:tcW w:w="1246" w:type="dxa"/>
            <w:shd w:val="clear" w:color="auto" w:fill="FFFFFF"/>
            <w:vAlign w:val="center"/>
            <w:hideMark/>
          </w:tcPr>
          <w:p w14:paraId="431E8DFA"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6.14</w:t>
            </w:r>
          </w:p>
        </w:tc>
        <w:tc>
          <w:tcPr>
            <w:tcW w:w="820" w:type="dxa"/>
            <w:shd w:val="clear" w:color="auto" w:fill="FFFFFF"/>
            <w:vAlign w:val="center"/>
            <w:hideMark/>
          </w:tcPr>
          <w:p w14:paraId="06397EF3"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w:t>
            </w:r>
          </w:p>
        </w:tc>
        <w:tc>
          <w:tcPr>
            <w:tcW w:w="1246" w:type="dxa"/>
            <w:shd w:val="clear" w:color="auto" w:fill="FFFFFF"/>
            <w:vAlign w:val="center"/>
            <w:hideMark/>
          </w:tcPr>
          <w:p w14:paraId="66C7DC8F"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6.14</w:t>
            </w:r>
          </w:p>
        </w:tc>
        <w:tc>
          <w:tcPr>
            <w:tcW w:w="970" w:type="dxa"/>
            <w:shd w:val="clear" w:color="auto" w:fill="FFFFFF"/>
            <w:vAlign w:val="center"/>
            <w:hideMark/>
          </w:tcPr>
          <w:p w14:paraId="1C654134"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5.71</w:t>
            </w:r>
          </w:p>
        </w:tc>
        <w:tc>
          <w:tcPr>
            <w:tcW w:w="924" w:type="dxa"/>
            <w:shd w:val="clear" w:color="auto" w:fill="FFFFFF"/>
            <w:vAlign w:val="center"/>
            <w:hideMark/>
          </w:tcPr>
          <w:p w14:paraId="738326E7"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0.0482</w:t>
            </w:r>
          </w:p>
        </w:tc>
        <w:tc>
          <w:tcPr>
            <w:tcW w:w="808" w:type="dxa"/>
            <w:shd w:val="clear" w:color="auto" w:fill="FFFFFF"/>
            <w:vAlign w:val="center"/>
            <w:hideMark/>
          </w:tcPr>
          <w:p w14:paraId="097862E8"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7F7D8C3D" w14:textId="77777777" w:rsidTr="00AD221F">
        <w:trPr>
          <w:tblCellSpacing w:w="15" w:type="dxa"/>
          <w:jc w:val="center"/>
        </w:trPr>
        <w:tc>
          <w:tcPr>
            <w:tcW w:w="806" w:type="dxa"/>
            <w:shd w:val="clear" w:color="auto" w:fill="FFFFFF"/>
            <w:vAlign w:val="center"/>
            <w:hideMark/>
          </w:tcPr>
          <w:p w14:paraId="778073A9"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B²</w:t>
            </w:r>
          </w:p>
        </w:tc>
        <w:tc>
          <w:tcPr>
            <w:tcW w:w="1246" w:type="dxa"/>
            <w:shd w:val="clear" w:color="auto" w:fill="FFFFFF"/>
            <w:vAlign w:val="center"/>
            <w:hideMark/>
          </w:tcPr>
          <w:p w14:paraId="15E20745"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28.08</w:t>
            </w:r>
          </w:p>
        </w:tc>
        <w:tc>
          <w:tcPr>
            <w:tcW w:w="820" w:type="dxa"/>
            <w:shd w:val="clear" w:color="auto" w:fill="FFFFFF"/>
            <w:vAlign w:val="center"/>
            <w:hideMark/>
          </w:tcPr>
          <w:p w14:paraId="1B3D92B3"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w:t>
            </w:r>
          </w:p>
        </w:tc>
        <w:tc>
          <w:tcPr>
            <w:tcW w:w="1246" w:type="dxa"/>
            <w:shd w:val="clear" w:color="auto" w:fill="FFFFFF"/>
            <w:vAlign w:val="center"/>
            <w:hideMark/>
          </w:tcPr>
          <w:p w14:paraId="24318C1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28.08</w:t>
            </w:r>
          </w:p>
        </w:tc>
        <w:tc>
          <w:tcPr>
            <w:tcW w:w="970" w:type="dxa"/>
            <w:shd w:val="clear" w:color="auto" w:fill="FFFFFF"/>
            <w:vAlign w:val="center"/>
            <w:hideMark/>
          </w:tcPr>
          <w:p w14:paraId="1BD7DE2B"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26.12</w:t>
            </w:r>
          </w:p>
        </w:tc>
        <w:tc>
          <w:tcPr>
            <w:tcW w:w="924" w:type="dxa"/>
            <w:shd w:val="clear" w:color="auto" w:fill="FFFFFF"/>
            <w:vAlign w:val="center"/>
            <w:hideMark/>
          </w:tcPr>
          <w:p w14:paraId="4372D79C"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0.0014</w:t>
            </w:r>
          </w:p>
        </w:tc>
        <w:tc>
          <w:tcPr>
            <w:tcW w:w="808" w:type="dxa"/>
            <w:shd w:val="clear" w:color="auto" w:fill="FFFFFF"/>
            <w:vAlign w:val="center"/>
            <w:hideMark/>
          </w:tcPr>
          <w:p w14:paraId="27C65A29"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0E2ED203" w14:textId="77777777" w:rsidTr="00AD221F">
        <w:trPr>
          <w:tblCellSpacing w:w="15" w:type="dxa"/>
          <w:jc w:val="center"/>
        </w:trPr>
        <w:tc>
          <w:tcPr>
            <w:tcW w:w="806" w:type="dxa"/>
            <w:shd w:val="clear" w:color="auto" w:fill="FFFFFF"/>
            <w:vAlign w:val="center"/>
            <w:hideMark/>
          </w:tcPr>
          <w:p w14:paraId="0E7A0CF4"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C²</w:t>
            </w:r>
          </w:p>
        </w:tc>
        <w:tc>
          <w:tcPr>
            <w:tcW w:w="1246" w:type="dxa"/>
            <w:shd w:val="clear" w:color="auto" w:fill="FFFFFF"/>
            <w:vAlign w:val="center"/>
            <w:hideMark/>
          </w:tcPr>
          <w:p w14:paraId="7B4FABCD"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2.58</w:t>
            </w:r>
          </w:p>
        </w:tc>
        <w:tc>
          <w:tcPr>
            <w:tcW w:w="820" w:type="dxa"/>
            <w:shd w:val="clear" w:color="auto" w:fill="FFFFFF"/>
            <w:vAlign w:val="center"/>
            <w:hideMark/>
          </w:tcPr>
          <w:p w14:paraId="3A7EDC65"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w:t>
            </w:r>
          </w:p>
        </w:tc>
        <w:tc>
          <w:tcPr>
            <w:tcW w:w="1246" w:type="dxa"/>
            <w:shd w:val="clear" w:color="auto" w:fill="FFFFFF"/>
            <w:vAlign w:val="center"/>
            <w:hideMark/>
          </w:tcPr>
          <w:p w14:paraId="2FD9F18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2.58</w:t>
            </w:r>
          </w:p>
        </w:tc>
        <w:tc>
          <w:tcPr>
            <w:tcW w:w="970" w:type="dxa"/>
            <w:shd w:val="clear" w:color="auto" w:fill="FFFFFF"/>
            <w:vAlign w:val="center"/>
            <w:hideMark/>
          </w:tcPr>
          <w:p w14:paraId="57136B8F"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2.40</w:t>
            </w:r>
          </w:p>
        </w:tc>
        <w:tc>
          <w:tcPr>
            <w:tcW w:w="924" w:type="dxa"/>
            <w:shd w:val="clear" w:color="auto" w:fill="FFFFFF"/>
            <w:vAlign w:val="center"/>
            <w:hideMark/>
          </w:tcPr>
          <w:p w14:paraId="1F122A89"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0.1654</w:t>
            </w:r>
          </w:p>
        </w:tc>
        <w:tc>
          <w:tcPr>
            <w:tcW w:w="808" w:type="dxa"/>
            <w:shd w:val="clear" w:color="auto" w:fill="FFFFFF"/>
            <w:vAlign w:val="center"/>
            <w:hideMark/>
          </w:tcPr>
          <w:p w14:paraId="16F69E97"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6BDE53FE" w14:textId="77777777" w:rsidTr="00AD221F">
        <w:trPr>
          <w:tblCellSpacing w:w="15" w:type="dxa"/>
          <w:jc w:val="center"/>
        </w:trPr>
        <w:tc>
          <w:tcPr>
            <w:tcW w:w="806" w:type="dxa"/>
            <w:shd w:val="clear" w:color="auto" w:fill="FFFFFF"/>
            <w:vAlign w:val="center"/>
            <w:hideMark/>
          </w:tcPr>
          <w:p w14:paraId="353B77AF"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Residual</w:t>
            </w:r>
          </w:p>
        </w:tc>
        <w:tc>
          <w:tcPr>
            <w:tcW w:w="1246" w:type="dxa"/>
            <w:shd w:val="clear" w:color="auto" w:fill="FFFFFF"/>
            <w:vAlign w:val="center"/>
            <w:hideMark/>
          </w:tcPr>
          <w:p w14:paraId="456B5010"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7.52</w:t>
            </w:r>
          </w:p>
        </w:tc>
        <w:tc>
          <w:tcPr>
            <w:tcW w:w="820" w:type="dxa"/>
            <w:shd w:val="clear" w:color="auto" w:fill="FFFFFF"/>
            <w:vAlign w:val="center"/>
            <w:hideMark/>
          </w:tcPr>
          <w:p w14:paraId="40EB475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7</w:t>
            </w:r>
          </w:p>
        </w:tc>
        <w:tc>
          <w:tcPr>
            <w:tcW w:w="1246" w:type="dxa"/>
            <w:shd w:val="clear" w:color="auto" w:fill="FFFFFF"/>
            <w:vAlign w:val="center"/>
            <w:hideMark/>
          </w:tcPr>
          <w:p w14:paraId="1D1C79B3"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1.07</w:t>
            </w:r>
          </w:p>
        </w:tc>
        <w:tc>
          <w:tcPr>
            <w:tcW w:w="970" w:type="dxa"/>
            <w:shd w:val="clear" w:color="auto" w:fill="FFFFFF"/>
            <w:vAlign w:val="center"/>
            <w:hideMark/>
          </w:tcPr>
          <w:p w14:paraId="68757821"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c>
          <w:tcPr>
            <w:tcW w:w="924" w:type="dxa"/>
            <w:shd w:val="clear" w:color="auto" w:fill="FFFFFF"/>
            <w:vAlign w:val="center"/>
            <w:hideMark/>
          </w:tcPr>
          <w:p w14:paraId="7D8E7B5A"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c>
          <w:tcPr>
            <w:tcW w:w="808" w:type="dxa"/>
            <w:shd w:val="clear" w:color="auto" w:fill="FFFFFF"/>
            <w:vAlign w:val="center"/>
            <w:hideMark/>
          </w:tcPr>
          <w:p w14:paraId="5E1F2514"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61D12506" w14:textId="77777777" w:rsidTr="00AD221F">
        <w:trPr>
          <w:tblCellSpacing w:w="15" w:type="dxa"/>
          <w:jc w:val="center"/>
        </w:trPr>
        <w:tc>
          <w:tcPr>
            <w:tcW w:w="806" w:type="dxa"/>
            <w:shd w:val="clear" w:color="auto" w:fill="FFFFFF"/>
            <w:vAlign w:val="center"/>
            <w:hideMark/>
          </w:tcPr>
          <w:p w14:paraId="4B492E69"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Lack of Fit</w:t>
            </w:r>
          </w:p>
        </w:tc>
        <w:tc>
          <w:tcPr>
            <w:tcW w:w="1246" w:type="dxa"/>
            <w:shd w:val="clear" w:color="auto" w:fill="FFFFFF"/>
            <w:vAlign w:val="center"/>
            <w:hideMark/>
          </w:tcPr>
          <w:p w14:paraId="518644CA"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5.55</w:t>
            </w:r>
          </w:p>
        </w:tc>
        <w:tc>
          <w:tcPr>
            <w:tcW w:w="820" w:type="dxa"/>
            <w:shd w:val="clear" w:color="auto" w:fill="FFFFFF"/>
            <w:vAlign w:val="center"/>
            <w:hideMark/>
          </w:tcPr>
          <w:p w14:paraId="2709E0A3"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3</w:t>
            </w:r>
          </w:p>
        </w:tc>
        <w:tc>
          <w:tcPr>
            <w:tcW w:w="1246" w:type="dxa"/>
            <w:shd w:val="clear" w:color="auto" w:fill="FFFFFF"/>
            <w:vAlign w:val="center"/>
            <w:hideMark/>
          </w:tcPr>
          <w:p w14:paraId="40FB8C3B"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1.85</w:t>
            </w:r>
          </w:p>
        </w:tc>
        <w:tc>
          <w:tcPr>
            <w:tcW w:w="970" w:type="dxa"/>
            <w:shd w:val="clear" w:color="auto" w:fill="FFFFFF"/>
            <w:vAlign w:val="center"/>
            <w:hideMark/>
          </w:tcPr>
          <w:p w14:paraId="0D3F840F"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3.75</w:t>
            </w:r>
          </w:p>
        </w:tc>
        <w:tc>
          <w:tcPr>
            <w:tcW w:w="924" w:type="dxa"/>
            <w:shd w:val="clear" w:color="auto" w:fill="FFFFFF"/>
            <w:vAlign w:val="center"/>
            <w:hideMark/>
          </w:tcPr>
          <w:p w14:paraId="58B9F802"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0.1169</w:t>
            </w:r>
          </w:p>
        </w:tc>
        <w:tc>
          <w:tcPr>
            <w:tcW w:w="808" w:type="dxa"/>
            <w:shd w:val="clear" w:color="auto" w:fill="FFFFFF"/>
            <w:vAlign w:val="center"/>
            <w:hideMark/>
          </w:tcPr>
          <w:p w14:paraId="716C4648"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not significant</w:t>
            </w:r>
          </w:p>
        </w:tc>
      </w:tr>
      <w:tr w:rsidR="00AD221F" w:rsidRPr="00272D68" w14:paraId="7398EB5D" w14:textId="77777777" w:rsidTr="00AD221F">
        <w:trPr>
          <w:tblCellSpacing w:w="15" w:type="dxa"/>
          <w:jc w:val="center"/>
        </w:trPr>
        <w:tc>
          <w:tcPr>
            <w:tcW w:w="806" w:type="dxa"/>
            <w:shd w:val="clear" w:color="auto" w:fill="FFFFFF"/>
            <w:vAlign w:val="center"/>
            <w:hideMark/>
          </w:tcPr>
          <w:p w14:paraId="2F865489"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Pure Error</w:t>
            </w:r>
          </w:p>
        </w:tc>
        <w:tc>
          <w:tcPr>
            <w:tcW w:w="1246" w:type="dxa"/>
            <w:shd w:val="clear" w:color="auto" w:fill="FFFFFF"/>
            <w:vAlign w:val="center"/>
            <w:hideMark/>
          </w:tcPr>
          <w:p w14:paraId="4F65E130"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1.97</w:t>
            </w:r>
          </w:p>
        </w:tc>
        <w:tc>
          <w:tcPr>
            <w:tcW w:w="820" w:type="dxa"/>
            <w:shd w:val="clear" w:color="auto" w:fill="FFFFFF"/>
            <w:vAlign w:val="center"/>
            <w:hideMark/>
          </w:tcPr>
          <w:p w14:paraId="127CCAFA"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4</w:t>
            </w:r>
          </w:p>
        </w:tc>
        <w:tc>
          <w:tcPr>
            <w:tcW w:w="1246" w:type="dxa"/>
            <w:shd w:val="clear" w:color="auto" w:fill="FFFFFF"/>
            <w:vAlign w:val="center"/>
            <w:hideMark/>
          </w:tcPr>
          <w:p w14:paraId="588398CF"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0.4930</w:t>
            </w:r>
          </w:p>
        </w:tc>
        <w:tc>
          <w:tcPr>
            <w:tcW w:w="970" w:type="dxa"/>
            <w:shd w:val="clear" w:color="auto" w:fill="FFFFFF"/>
            <w:vAlign w:val="center"/>
            <w:hideMark/>
          </w:tcPr>
          <w:p w14:paraId="4B8A1BAF"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c>
          <w:tcPr>
            <w:tcW w:w="924" w:type="dxa"/>
            <w:shd w:val="clear" w:color="auto" w:fill="FFFFFF"/>
            <w:vAlign w:val="center"/>
            <w:hideMark/>
          </w:tcPr>
          <w:p w14:paraId="0C54E44A"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c>
          <w:tcPr>
            <w:tcW w:w="808" w:type="dxa"/>
            <w:shd w:val="clear" w:color="auto" w:fill="FFFFFF"/>
            <w:vAlign w:val="center"/>
            <w:hideMark/>
          </w:tcPr>
          <w:p w14:paraId="2FC6AAF3"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r w:rsidR="00AD221F" w:rsidRPr="00272D68" w14:paraId="05B387D4" w14:textId="77777777" w:rsidTr="00AD221F">
        <w:trPr>
          <w:tblCellSpacing w:w="15" w:type="dxa"/>
          <w:jc w:val="center"/>
        </w:trPr>
        <w:tc>
          <w:tcPr>
            <w:tcW w:w="806" w:type="dxa"/>
            <w:tcBorders>
              <w:bottom w:val="single" w:sz="4" w:space="0" w:color="auto"/>
            </w:tcBorders>
            <w:shd w:val="clear" w:color="auto" w:fill="FFFFFF"/>
            <w:vAlign w:val="center"/>
            <w:hideMark/>
          </w:tcPr>
          <w:p w14:paraId="4C8A4CBD"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Cor Total</w:t>
            </w:r>
          </w:p>
        </w:tc>
        <w:tc>
          <w:tcPr>
            <w:tcW w:w="1246" w:type="dxa"/>
            <w:tcBorders>
              <w:bottom w:val="single" w:sz="4" w:space="0" w:color="auto"/>
            </w:tcBorders>
            <w:shd w:val="clear" w:color="auto" w:fill="FFFFFF"/>
            <w:vAlign w:val="center"/>
            <w:hideMark/>
          </w:tcPr>
          <w:p w14:paraId="70AED589"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65.28</w:t>
            </w:r>
          </w:p>
        </w:tc>
        <w:tc>
          <w:tcPr>
            <w:tcW w:w="820" w:type="dxa"/>
            <w:tcBorders>
              <w:bottom w:val="single" w:sz="4" w:space="0" w:color="auto"/>
            </w:tcBorders>
            <w:shd w:val="clear" w:color="auto" w:fill="FFFFFF"/>
            <w:vAlign w:val="center"/>
            <w:hideMark/>
          </w:tcPr>
          <w:p w14:paraId="7E42D1AA"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r w:rsidRPr="00AD221F">
              <w:rPr>
                <w:color w:val="000000" w:themeColor="text1"/>
                <w:szCs w:val="21"/>
                <w14:ligatures w14:val="standardContextual"/>
              </w:rPr>
              <w:t>16</w:t>
            </w:r>
          </w:p>
        </w:tc>
        <w:tc>
          <w:tcPr>
            <w:tcW w:w="1246" w:type="dxa"/>
            <w:tcBorders>
              <w:bottom w:val="single" w:sz="4" w:space="0" w:color="auto"/>
            </w:tcBorders>
            <w:shd w:val="clear" w:color="auto" w:fill="FFFFFF"/>
            <w:vAlign w:val="center"/>
            <w:hideMark/>
          </w:tcPr>
          <w:p w14:paraId="64727259"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c>
          <w:tcPr>
            <w:tcW w:w="970" w:type="dxa"/>
            <w:tcBorders>
              <w:bottom w:val="single" w:sz="4" w:space="0" w:color="auto"/>
            </w:tcBorders>
            <w:shd w:val="clear" w:color="auto" w:fill="FFFFFF"/>
            <w:vAlign w:val="center"/>
            <w:hideMark/>
          </w:tcPr>
          <w:p w14:paraId="1599A97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c>
          <w:tcPr>
            <w:tcW w:w="924" w:type="dxa"/>
            <w:tcBorders>
              <w:bottom w:val="single" w:sz="4" w:space="0" w:color="auto"/>
            </w:tcBorders>
            <w:shd w:val="clear" w:color="auto" w:fill="FFFFFF"/>
            <w:vAlign w:val="center"/>
            <w:hideMark/>
          </w:tcPr>
          <w:p w14:paraId="4306C146"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c>
          <w:tcPr>
            <w:tcW w:w="808" w:type="dxa"/>
            <w:tcBorders>
              <w:bottom w:val="single" w:sz="4" w:space="0" w:color="auto"/>
            </w:tcBorders>
            <w:shd w:val="clear" w:color="auto" w:fill="FFFFFF"/>
            <w:vAlign w:val="center"/>
            <w:hideMark/>
          </w:tcPr>
          <w:p w14:paraId="7531771D" w14:textId="77777777" w:rsidR="00272D68" w:rsidRPr="00AD221F" w:rsidRDefault="00272D68" w:rsidP="00AD221F">
            <w:pPr>
              <w:widowControl/>
              <w:spacing w:before="100" w:beforeAutospacing="1" w:line="300" w:lineRule="auto"/>
              <w:jc w:val="center"/>
              <w:rPr>
                <w:color w:val="000000" w:themeColor="text1"/>
                <w:szCs w:val="21"/>
                <w14:ligatures w14:val="standardContextual"/>
              </w:rPr>
            </w:pPr>
          </w:p>
        </w:tc>
      </w:tr>
    </w:tbl>
    <w:p w14:paraId="4AB86A70" w14:textId="77777777" w:rsidR="00AD221F" w:rsidRDefault="00AD221F" w:rsidP="00AD221F">
      <w:pPr>
        <w:widowControl/>
        <w:adjustRightInd w:val="0"/>
        <w:snapToGrid w:val="0"/>
        <w:jc w:val="center"/>
        <w:rPr>
          <w:rFonts w:ascii="Times New Roman" w:hAnsi="Times New Roman" w:cs="Times New Roman"/>
          <w:color w:val="000000" w:themeColor="text1"/>
          <w:szCs w:val="21"/>
          <w14:ligatures w14:val="standardContextual"/>
        </w:rPr>
      </w:pPr>
      <w:r w:rsidRPr="00AD221F">
        <w:rPr>
          <w:rFonts w:ascii="Times New Roman" w:hAnsi="Times New Roman" w:cs="Times New Roman" w:hint="eastAsia"/>
          <w:color w:val="000000" w:themeColor="text1"/>
          <w:szCs w:val="21"/>
          <w14:ligatures w14:val="standardContextual"/>
        </w:rPr>
        <w:t>Table 9 Analysis of Variance for Quadratic Model Test Results</w:t>
      </w:r>
    </w:p>
    <w:p w14:paraId="039106A0" w14:textId="77777777" w:rsidR="00051CA2" w:rsidRPr="00AD221F" w:rsidRDefault="00051CA2" w:rsidP="00AD221F">
      <w:pPr>
        <w:widowControl/>
        <w:adjustRightInd w:val="0"/>
        <w:snapToGrid w:val="0"/>
        <w:jc w:val="center"/>
        <w:rPr>
          <w:rFonts w:ascii="Times New Roman" w:hAnsi="Times New Roman" w:cs="Times New Roman"/>
          <w:color w:val="000000" w:themeColor="text1"/>
          <w:szCs w:val="21"/>
          <w14:ligatures w14:val="standardContextual"/>
        </w:rPr>
      </w:pPr>
    </w:p>
    <w:p w14:paraId="2BA2101D" w14:textId="77777777" w:rsidR="00051CA2" w:rsidRDefault="00051CA2" w:rsidP="00051CA2">
      <w:pPr>
        <w:rPr>
          <w:rFonts w:ascii="Times New Roman" w:eastAsia="SimSun" w:hAnsi="Times New Roman" w:cs="Times New Roman"/>
          <w:b/>
          <w:bCs/>
          <w:sz w:val="28"/>
          <w:szCs w:val="28"/>
        </w:rPr>
      </w:pPr>
      <w:r>
        <w:rPr>
          <w:rFonts w:ascii="Times New Roman" w:eastAsia="SimSun" w:hAnsi="Times New Roman" w:cs="Times New Roman" w:hint="eastAsia"/>
          <w:b/>
          <w:bCs/>
          <w:sz w:val="28"/>
          <w:szCs w:val="28"/>
        </w:rPr>
        <w:t>4.Conclusion</w:t>
      </w:r>
    </w:p>
    <w:p w14:paraId="2DF49D7E" w14:textId="5669257F" w:rsidR="00051CA2" w:rsidRPr="00051CA2" w:rsidRDefault="00051CA2" w:rsidP="00051CA2">
      <w:pPr>
        <w:adjustRightInd w:val="0"/>
        <w:snapToGrid w:val="0"/>
        <w:spacing w:line="300" w:lineRule="auto"/>
        <w:ind w:firstLineChars="200" w:firstLine="420"/>
        <w:rPr>
          <w:rFonts w:ascii="Times New Roman" w:hAnsi="Times New Roman" w:cs="Times New Roman"/>
          <w:color w:val="000000" w:themeColor="text1"/>
          <w:szCs w:val="21"/>
        </w:rPr>
      </w:pPr>
      <w:r w:rsidRPr="00051CA2">
        <w:rPr>
          <w:rFonts w:ascii="Times New Roman" w:hAnsi="Times New Roman" w:cs="Times New Roman" w:hint="eastAsia"/>
          <w:color w:val="000000" w:themeColor="text1"/>
          <w:szCs w:val="21"/>
        </w:rPr>
        <w:t>Through response surface methodology optimization design, a fully solid waste geopolymer cementitious material with a compressive strength of 27.5 MPa at 28 days was successfully prepared using fly ash and slag powder as the main silicon</w:t>
      </w:r>
      <w:r w:rsidR="002A1E38">
        <w:rPr>
          <w:rFonts w:ascii="Times New Roman" w:hAnsi="Times New Roman" w:cs="Times New Roman"/>
          <w:color w:val="000000" w:themeColor="text1"/>
          <w:szCs w:val="21"/>
        </w:rPr>
        <w:t>-</w:t>
      </w:r>
      <w:proofErr w:type="spellStart"/>
      <w:r w:rsidR="002A1E38">
        <w:rPr>
          <w:rFonts w:ascii="Times New Roman" w:hAnsi="Times New Roman" w:cs="Times New Roman"/>
          <w:color w:val="000000" w:themeColor="text1"/>
          <w:szCs w:val="21"/>
        </w:rPr>
        <w:t>alumini</w:t>
      </w:r>
      <w:r w:rsidRPr="00051CA2">
        <w:rPr>
          <w:rFonts w:ascii="Times New Roman" w:hAnsi="Times New Roman" w:cs="Times New Roman" w:hint="eastAsia"/>
          <w:color w:val="000000" w:themeColor="text1"/>
          <w:szCs w:val="21"/>
        </w:rPr>
        <w:t>um</w:t>
      </w:r>
      <w:proofErr w:type="spellEnd"/>
      <w:r w:rsidRPr="00051CA2">
        <w:rPr>
          <w:rFonts w:ascii="Times New Roman" w:hAnsi="Times New Roman" w:cs="Times New Roman" w:hint="eastAsia"/>
          <w:color w:val="000000" w:themeColor="text1"/>
          <w:szCs w:val="21"/>
        </w:rPr>
        <w:t xml:space="preserve"> raw materials, and carbide slag and desulfurization gypsum as composite activators. The optimal ratio is 20% fly ash, 14% carbide slag, 7.5% desulfurization gypsum, and the remaining components are slag powder. This research achievement provides </w:t>
      </w:r>
      <w:r w:rsidR="002A1E38">
        <w:rPr>
          <w:rFonts w:ascii="Times New Roman" w:hAnsi="Times New Roman" w:cs="Times New Roman"/>
          <w:color w:val="000000" w:themeColor="text1"/>
          <w:szCs w:val="21"/>
        </w:rPr>
        <w:t xml:space="preserve">an </w:t>
      </w:r>
      <w:r w:rsidRPr="00051CA2">
        <w:rPr>
          <w:rFonts w:ascii="Times New Roman" w:hAnsi="Times New Roman" w:cs="Times New Roman" w:hint="eastAsia"/>
          <w:color w:val="000000" w:themeColor="text1"/>
          <w:szCs w:val="21"/>
        </w:rPr>
        <w:t xml:space="preserve">important theoretical basis and </w:t>
      </w:r>
      <w:r w:rsidR="002A1E38">
        <w:rPr>
          <w:rFonts w:ascii="Times New Roman" w:hAnsi="Times New Roman" w:cs="Times New Roman"/>
          <w:color w:val="000000" w:themeColor="text1"/>
          <w:szCs w:val="21"/>
        </w:rPr>
        <w:t xml:space="preserve">a </w:t>
      </w:r>
      <w:r w:rsidRPr="00051CA2">
        <w:rPr>
          <w:rFonts w:ascii="Times New Roman" w:hAnsi="Times New Roman" w:cs="Times New Roman" w:hint="eastAsia"/>
          <w:color w:val="000000" w:themeColor="text1"/>
          <w:szCs w:val="21"/>
        </w:rPr>
        <w:t>practical path for the development of high-performance, low-cost, green and low-carbon new cementitious materials.</w:t>
      </w:r>
    </w:p>
    <w:p w14:paraId="1C4AC943" w14:textId="443FFBAD" w:rsidR="00051CA2" w:rsidRPr="00051CA2" w:rsidRDefault="00051CA2" w:rsidP="00051CA2">
      <w:pPr>
        <w:adjustRightInd w:val="0"/>
        <w:snapToGrid w:val="0"/>
        <w:spacing w:line="300" w:lineRule="auto"/>
        <w:ind w:firstLineChars="200" w:firstLine="420"/>
        <w:rPr>
          <w:rFonts w:ascii="Times New Roman" w:hAnsi="Times New Roman" w:cs="Times New Roman"/>
          <w:color w:val="000000" w:themeColor="text1"/>
          <w:szCs w:val="21"/>
        </w:rPr>
      </w:pPr>
      <w:r w:rsidRPr="00051CA2">
        <w:rPr>
          <w:rFonts w:ascii="Times New Roman" w:hAnsi="Times New Roman" w:cs="Times New Roman" w:hint="eastAsia"/>
          <w:color w:val="000000" w:themeColor="text1"/>
          <w:szCs w:val="21"/>
        </w:rPr>
        <w:t>The fully solid waste geopolymer developed in this study exhibits significant advantages. The production of traditional Portland cement heavily relies on limestone calcination, which not only consumes a large amount of non</w:t>
      </w:r>
      <w:r w:rsidR="002A1E38">
        <w:rPr>
          <w:rFonts w:ascii="Times New Roman" w:hAnsi="Times New Roman" w:cs="Times New Roman"/>
          <w:color w:val="000000" w:themeColor="text1"/>
          <w:szCs w:val="21"/>
        </w:rPr>
        <w:t>-</w:t>
      </w:r>
      <w:r w:rsidRPr="00051CA2">
        <w:rPr>
          <w:rFonts w:ascii="Times New Roman" w:hAnsi="Times New Roman" w:cs="Times New Roman" w:hint="eastAsia"/>
          <w:color w:val="000000" w:themeColor="text1"/>
          <w:szCs w:val="21"/>
        </w:rPr>
        <w:t xml:space="preserve">renewable mineral resources, but is also one of the main industrial sources of global carbon dioxide emissions. In contrast, geological polymerization reactions are achieved through alkaline excitation under conditions close to room temperature, </w:t>
      </w:r>
      <w:r w:rsidRPr="00051CA2">
        <w:rPr>
          <w:rFonts w:ascii="Times New Roman" w:hAnsi="Times New Roman" w:cs="Times New Roman" w:hint="eastAsia"/>
          <w:color w:val="000000" w:themeColor="text1"/>
          <w:szCs w:val="21"/>
        </w:rPr>
        <w:lastRenderedPageBreak/>
        <w:t xml:space="preserve">completely avoiding the high-temperature calcination process. This means that if such materials are widely used in </w:t>
      </w:r>
      <w:proofErr w:type="spellStart"/>
      <w:r w:rsidRPr="00051CA2">
        <w:rPr>
          <w:rFonts w:ascii="Times New Roman" w:hAnsi="Times New Roman" w:cs="Times New Roman" w:hint="eastAsia"/>
          <w:color w:val="000000" w:themeColor="text1"/>
          <w:szCs w:val="21"/>
        </w:rPr>
        <w:t>non structural</w:t>
      </w:r>
      <w:proofErr w:type="spellEnd"/>
      <w:r w:rsidRPr="00051CA2">
        <w:rPr>
          <w:rFonts w:ascii="Times New Roman" w:hAnsi="Times New Roman" w:cs="Times New Roman" w:hint="eastAsia"/>
          <w:color w:val="000000" w:themeColor="text1"/>
          <w:szCs w:val="21"/>
        </w:rPr>
        <w:t xml:space="preserve"> or secondary structural fields such as civil engineering, road base, prefabricated components, etc., they can directly replace traditional cement in equal or partial quantities, thereby significantly reducing the huge carbon emissions caused by cement production from the source and providing a feasible technical route for the building materials industry to achieve deep decarbonization. This system has an economy that is incomparable to traditional alkali activated materials and ordinary cement. Firstly, all of its core components - fly ash, slag powder, carbide slag, desulfurization gypsum, and even aggregate coal gangue - are bulk industrial solid waste with extremely low raw material acquisition costs, and can even achieve negative costs (i.e. disposal fees converted into raw material value). Secondly, it abandons expensive and corrosive chemical activators such as water glass and sodium hydroxide, and instead uses solid </w:t>
      </w:r>
      <w:r w:rsidRPr="00051CA2">
        <w:rPr>
          <w:rFonts w:ascii="Times New Roman" w:hAnsi="Times New Roman" w:cs="Times New Roman"/>
          <w:color w:val="000000" w:themeColor="text1"/>
          <w:szCs w:val="21"/>
        </w:rPr>
        <w:t>waste materials such as carbide slag (providing OH ⁻ alkaline environment) and desulfurization gypsum (providing SO ₄</w:t>
      </w:r>
      <w:r w:rsidRPr="00051CA2">
        <w:rPr>
          <w:rFonts w:ascii="Times New Roman" w:hAnsi="Times New Roman" w:cs="Times New Roman" w:hint="eastAsia"/>
          <w:color w:val="000000" w:themeColor="text1"/>
          <w:szCs w:val="21"/>
        </w:rPr>
        <w:t>²</w:t>
      </w:r>
      <w:r w:rsidRPr="00051CA2">
        <w:rPr>
          <w:rFonts w:ascii="Times New Roman" w:hAnsi="Times New Roman" w:cs="Times New Roman"/>
          <w:color w:val="000000" w:themeColor="text1"/>
          <w:szCs w:val="21"/>
        </w:rPr>
        <w:t xml:space="preserve"> ⁻ excitation effect), achieving the goal of "treating waste with waste". The fundamental change in the composition of this raw material h</w:t>
      </w:r>
      <w:r w:rsidRPr="00051CA2">
        <w:rPr>
          <w:rFonts w:ascii="Times New Roman" w:hAnsi="Times New Roman" w:cs="Times New Roman" w:hint="eastAsia"/>
          <w:color w:val="000000" w:themeColor="text1"/>
          <w:szCs w:val="21"/>
        </w:rPr>
        <w:t>as significantly reduced the overall preparation cost of the material, greatly enhancing its attractiveness in market price competition and clearing economic barriers for its industrial application.</w:t>
      </w:r>
    </w:p>
    <w:p w14:paraId="7C17C4AF" w14:textId="6E3DE7BE" w:rsidR="00051CA2" w:rsidRPr="00051CA2" w:rsidRDefault="00051CA2" w:rsidP="00051CA2">
      <w:pPr>
        <w:adjustRightInd w:val="0"/>
        <w:snapToGrid w:val="0"/>
        <w:spacing w:line="300" w:lineRule="auto"/>
        <w:ind w:firstLineChars="200" w:firstLine="420"/>
        <w:rPr>
          <w:rFonts w:ascii="Times New Roman" w:hAnsi="Times New Roman" w:cs="Times New Roman"/>
          <w:color w:val="000000" w:themeColor="text1"/>
          <w:szCs w:val="21"/>
        </w:rPr>
      </w:pPr>
      <w:r w:rsidRPr="00051CA2">
        <w:rPr>
          <w:rFonts w:ascii="Times New Roman" w:hAnsi="Times New Roman" w:cs="Times New Roman" w:hint="eastAsia"/>
          <w:color w:val="000000" w:themeColor="text1"/>
          <w:szCs w:val="21"/>
        </w:rPr>
        <w:t>This technology achieves the synergy of multiple environmental benefits. On the one hand, it converts various industrial solid wastes that urgently need to be treated (such as carbide slag, desulfurization gypsum, fly ash, slag) into high</w:t>
      </w:r>
      <w:r w:rsidR="002A1E38">
        <w:rPr>
          <w:rFonts w:ascii="Times New Roman" w:hAnsi="Times New Roman" w:cs="Times New Roman"/>
          <w:color w:val="000000" w:themeColor="text1"/>
          <w:szCs w:val="21"/>
        </w:rPr>
        <w:t>-</w:t>
      </w:r>
      <w:r w:rsidRPr="00051CA2">
        <w:rPr>
          <w:rFonts w:ascii="Times New Roman" w:hAnsi="Times New Roman" w:cs="Times New Roman" w:hint="eastAsia"/>
          <w:color w:val="000000" w:themeColor="text1"/>
          <w:szCs w:val="21"/>
        </w:rPr>
        <w:t>value-added building materials, which is a model of resource recycling and effectively reduces the occupation of land resources and potential risks to the ecological environment caused by solid waste storage. On the other hand, its "no calcination" ambient temperature prep</w:t>
      </w:r>
      <w:r w:rsidRPr="00051CA2">
        <w:rPr>
          <w:rFonts w:ascii="Times New Roman" w:hAnsi="Times New Roman" w:cs="Times New Roman"/>
          <w:color w:val="000000" w:themeColor="text1"/>
          <w:szCs w:val="21"/>
        </w:rPr>
        <w:t>aration process directly avoids the CO ₂ produced by limestone decomposition and fossil fuel combustion. It is estimated that the carbon dioxide emissions from producing one ton of this type of geopolymer cementitious material may be less than 20% of tradi</w:t>
      </w:r>
      <w:r w:rsidRPr="00051CA2">
        <w:rPr>
          <w:rFonts w:ascii="Times New Roman" w:hAnsi="Times New Roman" w:cs="Times New Roman" w:hint="eastAsia"/>
          <w:color w:val="000000" w:themeColor="text1"/>
          <w:szCs w:val="21"/>
        </w:rPr>
        <w:t>tional Portland cement. This not only conforms to the national concept of "zero waste city" construction, b</w:t>
      </w:r>
      <w:bookmarkStart w:id="11" w:name="_GoBack"/>
      <w:bookmarkEnd w:id="11"/>
      <w:r w:rsidRPr="00051CA2">
        <w:rPr>
          <w:rFonts w:ascii="Times New Roman" w:hAnsi="Times New Roman" w:cs="Times New Roman" w:hint="eastAsia"/>
          <w:color w:val="000000" w:themeColor="text1"/>
          <w:szCs w:val="21"/>
        </w:rPr>
        <w:t>ut also actively responds to the specific practice of the "dual carbon" strategic goal. It is worth noting that the activator of this system itself i</w:t>
      </w:r>
      <w:r w:rsidRPr="00051CA2">
        <w:rPr>
          <w:rFonts w:ascii="Times New Roman" w:hAnsi="Times New Roman" w:cs="Times New Roman"/>
          <w:color w:val="000000" w:themeColor="text1"/>
          <w:szCs w:val="21"/>
        </w:rPr>
        <w:t>s also solid waste, which is one of the core innovations of the technical route. The main component of carbide slag is Ca (OH) ₂, and its strong alkalinity is sufficient to break the Si-O and Al-O bonds in the glass structure of fly ash and slag, initiating polymerization reactions. The Ca</w:t>
      </w:r>
      <w:r w:rsidRPr="00051CA2">
        <w:rPr>
          <w:rFonts w:ascii="Times New Roman" w:hAnsi="Times New Roman" w:cs="Times New Roman" w:hint="eastAsia"/>
          <w:color w:val="000000" w:themeColor="text1"/>
          <w:szCs w:val="21"/>
        </w:rPr>
        <w:t>²</w:t>
      </w:r>
      <w:r w:rsidRPr="00051CA2">
        <w:rPr>
          <w:rFonts w:ascii="Times New Roman" w:hAnsi="Times New Roman" w:cs="Times New Roman"/>
          <w:color w:val="000000" w:themeColor="text1"/>
          <w:szCs w:val="21"/>
        </w:rPr>
        <w:t>⁺and SO</w:t>
      </w:r>
      <w:r w:rsidRPr="00051CA2">
        <w:rPr>
          <w:rFonts w:ascii="Times New Roman" w:hAnsi="Times New Roman" w:cs="Times New Roman" w:hint="eastAsia"/>
          <w:color w:val="000000" w:themeColor="text1"/>
          <w:szCs w:val="21"/>
        </w:rPr>
        <w:t>²</w:t>
      </w:r>
      <w:r w:rsidRPr="00051CA2">
        <w:rPr>
          <w:rFonts w:ascii="Times New Roman" w:hAnsi="Times New Roman" w:cs="Times New Roman"/>
          <w:color w:val="000000" w:themeColor="text1"/>
          <w:szCs w:val="21"/>
        </w:rPr>
        <w:t xml:space="preserve">⁻ in desulfurization gypsum can not only promote the generation of products such as ettringite in alkaline environments, which helps to establish early strength, but also may modulate and </w:t>
      </w:r>
      <w:proofErr w:type="spellStart"/>
      <w:r w:rsidRPr="00051CA2">
        <w:rPr>
          <w:rFonts w:ascii="Times New Roman" w:hAnsi="Times New Roman" w:cs="Times New Roman"/>
          <w:color w:val="000000" w:themeColor="text1"/>
          <w:szCs w:val="21"/>
        </w:rPr>
        <w:t>optimi</w:t>
      </w:r>
      <w:r w:rsidR="002A1E38">
        <w:rPr>
          <w:rFonts w:ascii="Times New Roman" w:hAnsi="Times New Roman" w:cs="Times New Roman"/>
          <w:color w:val="000000" w:themeColor="text1"/>
          <w:szCs w:val="21"/>
        </w:rPr>
        <w:t>s</w:t>
      </w:r>
      <w:r w:rsidRPr="00051CA2">
        <w:rPr>
          <w:rFonts w:ascii="Times New Roman" w:hAnsi="Times New Roman" w:cs="Times New Roman"/>
          <w:color w:val="000000" w:themeColor="text1"/>
          <w:szCs w:val="21"/>
        </w:rPr>
        <w:t>e</w:t>
      </w:r>
      <w:proofErr w:type="spellEnd"/>
      <w:r w:rsidRPr="00051CA2">
        <w:rPr>
          <w:rFonts w:ascii="Times New Roman" w:hAnsi="Times New Roman" w:cs="Times New Roman"/>
          <w:color w:val="000000" w:themeColor="text1"/>
          <w:szCs w:val="21"/>
        </w:rPr>
        <w:t xml:space="preserve"> the formati</w:t>
      </w:r>
      <w:r w:rsidRPr="00051CA2">
        <w:rPr>
          <w:rFonts w:ascii="Times New Roman" w:hAnsi="Times New Roman" w:cs="Times New Roman" w:hint="eastAsia"/>
          <w:color w:val="000000" w:themeColor="text1"/>
          <w:szCs w:val="21"/>
        </w:rPr>
        <w:t>on of geological polymer network structure. This composite excitation mechanism</w:t>
      </w:r>
      <w:r w:rsidR="002A1E38">
        <w:rPr>
          <w:rFonts w:ascii="Times New Roman" w:hAnsi="Times New Roman" w:cs="Times New Roman"/>
          <w:color w:val="000000" w:themeColor="text1"/>
          <w:szCs w:val="21"/>
        </w:rPr>
        <w:t>,</w:t>
      </w:r>
      <w:r w:rsidRPr="00051CA2">
        <w:rPr>
          <w:rFonts w:ascii="Times New Roman" w:hAnsi="Times New Roman" w:cs="Times New Roman" w:hint="eastAsia"/>
          <w:color w:val="000000" w:themeColor="text1"/>
          <w:szCs w:val="21"/>
        </w:rPr>
        <w:t xml:space="preserve"> based on solid waste not only ensures the mechanical properties of the material, but also elevates the depth and breadth of solid waste resource </w:t>
      </w:r>
      <w:proofErr w:type="spellStart"/>
      <w:r w:rsidRPr="00051CA2">
        <w:rPr>
          <w:rFonts w:ascii="Times New Roman" w:hAnsi="Times New Roman" w:cs="Times New Roman" w:hint="eastAsia"/>
          <w:color w:val="000000" w:themeColor="text1"/>
          <w:szCs w:val="21"/>
        </w:rPr>
        <w:t>utili</w:t>
      </w:r>
      <w:r w:rsidR="002A1E38">
        <w:rPr>
          <w:rFonts w:ascii="Times New Roman" w:hAnsi="Times New Roman" w:cs="Times New Roman"/>
          <w:color w:val="000000" w:themeColor="text1"/>
          <w:szCs w:val="21"/>
        </w:rPr>
        <w:t>s</w:t>
      </w:r>
      <w:r w:rsidRPr="00051CA2">
        <w:rPr>
          <w:rFonts w:ascii="Times New Roman" w:hAnsi="Times New Roman" w:cs="Times New Roman" w:hint="eastAsia"/>
          <w:color w:val="000000" w:themeColor="text1"/>
          <w:szCs w:val="21"/>
        </w:rPr>
        <w:t>ation</w:t>
      </w:r>
      <w:proofErr w:type="spellEnd"/>
      <w:r w:rsidRPr="00051CA2">
        <w:rPr>
          <w:rFonts w:ascii="Times New Roman" w:hAnsi="Times New Roman" w:cs="Times New Roman" w:hint="eastAsia"/>
          <w:color w:val="000000" w:themeColor="text1"/>
          <w:szCs w:val="21"/>
        </w:rPr>
        <w:t xml:space="preserve"> to a new level.</w:t>
      </w:r>
    </w:p>
    <w:p w14:paraId="7835F2DD" w14:textId="1CD262CD" w:rsidR="008707B5" w:rsidRDefault="00051CA2" w:rsidP="00051CA2">
      <w:pPr>
        <w:adjustRightInd w:val="0"/>
        <w:snapToGrid w:val="0"/>
        <w:spacing w:line="300" w:lineRule="auto"/>
        <w:ind w:firstLineChars="200" w:firstLine="420"/>
        <w:rPr>
          <w:rFonts w:ascii="Times New Roman" w:hAnsi="Times New Roman" w:cs="Times New Roman"/>
          <w:color w:val="000000" w:themeColor="text1"/>
          <w:szCs w:val="21"/>
        </w:rPr>
      </w:pPr>
      <w:r w:rsidRPr="00051CA2">
        <w:rPr>
          <w:rFonts w:ascii="Times New Roman" w:hAnsi="Times New Roman" w:cs="Times New Roman" w:hint="eastAsia"/>
          <w:color w:val="000000" w:themeColor="text1"/>
          <w:szCs w:val="21"/>
        </w:rPr>
        <w:t xml:space="preserve">In summary, this study successfully developed a geopolymer cementitious material system using solid waste as raw material. It has demonstrated significant comprehensive advantages in replacing cement, reducing costs, energy conservation and carbon reduction, and solid waste resource </w:t>
      </w:r>
      <w:proofErr w:type="spellStart"/>
      <w:r w:rsidRPr="00051CA2">
        <w:rPr>
          <w:rFonts w:ascii="Times New Roman" w:hAnsi="Times New Roman" w:cs="Times New Roman" w:hint="eastAsia"/>
          <w:color w:val="000000" w:themeColor="text1"/>
          <w:szCs w:val="21"/>
        </w:rPr>
        <w:t>utili</w:t>
      </w:r>
      <w:r w:rsidR="002A1E38">
        <w:rPr>
          <w:rFonts w:ascii="Times New Roman" w:hAnsi="Times New Roman" w:cs="Times New Roman"/>
          <w:color w:val="000000" w:themeColor="text1"/>
          <w:szCs w:val="21"/>
        </w:rPr>
        <w:t>s</w:t>
      </w:r>
      <w:r w:rsidRPr="00051CA2">
        <w:rPr>
          <w:rFonts w:ascii="Times New Roman" w:hAnsi="Times New Roman" w:cs="Times New Roman" w:hint="eastAsia"/>
          <w:color w:val="000000" w:themeColor="text1"/>
          <w:szCs w:val="21"/>
        </w:rPr>
        <w:t>ation</w:t>
      </w:r>
      <w:proofErr w:type="spellEnd"/>
      <w:r w:rsidRPr="00051CA2">
        <w:rPr>
          <w:rFonts w:ascii="Times New Roman" w:hAnsi="Times New Roman" w:cs="Times New Roman" w:hint="eastAsia"/>
          <w:color w:val="000000" w:themeColor="text1"/>
          <w:szCs w:val="21"/>
        </w:rPr>
        <w:t xml:space="preserve">. Although further research and engineering verification are still needed in terms of long-term durability, volume stability, and </w:t>
      </w:r>
      <w:proofErr w:type="spellStart"/>
      <w:r w:rsidRPr="00051CA2">
        <w:rPr>
          <w:rFonts w:ascii="Times New Roman" w:hAnsi="Times New Roman" w:cs="Times New Roman" w:hint="eastAsia"/>
          <w:color w:val="000000" w:themeColor="text1"/>
          <w:szCs w:val="21"/>
        </w:rPr>
        <w:t>standardi</w:t>
      </w:r>
      <w:r w:rsidR="002A1E38">
        <w:rPr>
          <w:rFonts w:ascii="Times New Roman" w:hAnsi="Times New Roman" w:cs="Times New Roman"/>
          <w:color w:val="000000" w:themeColor="text1"/>
          <w:szCs w:val="21"/>
        </w:rPr>
        <w:t>s</w:t>
      </w:r>
      <w:r w:rsidRPr="00051CA2">
        <w:rPr>
          <w:rFonts w:ascii="Times New Roman" w:hAnsi="Times New Roman" w:cs="Times New Roman" w:hint="eastAsia"/>
          <w:color w:val="000000" w:themeColor="text1"/>
          <w:szCs w:val="21"/>
        </w:rPr>
        <w:t>ed</w:t>
      </w:r>
      <w:proofErr w:type="spellEnd"/>
      <w:r w:rsidRPr="00051CA2">
        <w:rPr>
          <w:rFonts w:ascii="Times New Roman" w:hAnsi="Times New Roman" w:cs="Times New Roman" w:hint="eastAsia"/>
          <w:color w:val="000000" w:themeColor="text1"/>
          <w:szCs w:val="21"/>
        </w:rPr>
        <w:t xml:space="preserve"> applications, there is no doubt that this technology provides a promising solution for building a green, low-carbon, and sustainable building material system, with broad industrial application prospects and significant social, environmental, and economic benefits. Future work should focus on scaling up experiments, developing relevant material standards, and exploring their applicability in specific engineering scenarios to drive this green technology from the laboratory to large-scale engineering applications.</w:t>
      </w:r>
    </w:p>
    <w:p w14:paraId="4E2510E3" w14:textId="77777777" w:rsidR="002A1E38" w:rsidRDefault="002A1E38" w:rsidP="00051CA2">
      <w:pPr>
        <w:adjustRightInd w:val="0"/>
        <w:snapToGrid w:val="0"/>
        <w:spacing w:line="300" w:lineRule="auto"/>
        <w:ind w:firstLineChars="200" w:firstLine="420"/>
        <w:rPr>
          <w:rFonts w:ascii="Times New Roman" w:hAnsi="Times New Roman" w:cs="Times New Roman"/>
          <w:color w:val="000000" w:themeColor="text1"/>
          <w:szCs w:val="21"/>
        </w:rPr>
      </w:pPr>
    </w:p>
    <w:p w14:paraId="1062DB4A" w14:textId="77777777" w:rsidR="009864DD" w:rsidRPr="00740879" w:rsidRDefault="009864DD" w:rsidP="009864DD">
      <w:pPr>
        <w:rPr>
          <w:highlight w:val="yellow"/>
        </w:rPr>
      </w:pPr>
      <w:r w:rsidRPr="00740879">
        <w:rPr>
          <w:highlight w:val="yellow"/>
        </w:rPr>
        <w:t>Disclaimer (Artificial intelligence)</w:t>
      </w:r>
    </w:p>
    <w:p w14:paraId="5CF963C3" w14:textId="0A2BC234" w:rsidR="009864DD" w:rsidRPr="008B579D" w:rsidRDefault="009864DD" w:rsidP="009864DD">
      <w:pPr>
        <w:rPr>
          <w:highlight w:val="yellow"/>
        </w:rPr>
      </w:pPr>
    </w:p>
    <w:p w14:paraId="797C1F87" w14:textId="5BD66D0F" w:rsidR="009864DD" w:rsidRDefault="00CF7A35" w:rsidP="00051CA2">
      <w:pPr>
        <w:adjustRightInd w:val="0"/>
        <w:snapToGrid w:val="0"/>
        <w:spacing w:line="300" w:lineRule="auto"/>
        <w:ind w:firstLineChars="200" w:firstLine="420"/>
        <w:rPr>
          <w:rFonts w:ascii="Times New Roman" w:hAnsi="Times New Roman" w:cs="Times New Roman"/>
          <w:color w:val="000000" w:themeColor="text1"/>
          <w:szCs w:val="21"/>
        </w:rPr>
      </w:pPr>
      <w:r w:rsidRPr="00CF7A35">
        <w:rPr>
          <w:rFonts w:ascii="Times New Roman" w:hAnsi="Times New Roman" w:cs="Times New Roman"/>
          <w:color w:val="000000" w:themeColor="text1"/>
          <w:szCs w:val="21"/>
        </w:rPr>
        <w:t>Author(s) hereby declare that NO generative AI technologies such as Large Language Models (</w:t>
      </w:r>
      <w:proofErr w:type="spellStart"/>
      <w:r w:rsidRPr="00CF7A35">
        <w:rPr>
          <w:rFonts w:ascii="Times New Roman" w:hAnsi="Times New Roman" w:cs="Times New Roman"/>
          <w:color w:val="000000" w:themeColor="text1"/>
          <w:szCs w:val="21"/>
        </w:rPr>
        <w:t>ChatGPT</w:t>
      </w:r>
      <w:proofErr w:type="spellEnd"/>
      <w:r w:rsidRPr="00CF7A35">
        <w:rPr>
          <w:rFonts w:ascii="Times New Roman" w:hAnsi="Times New Roman" w:cs="Times New Roman"/>
          <w:color w:val="000000" w:themeColor="text1"/>
          <w:szCs w:val="21"/>
        </w:rPr>
        <w:t>, COPILOT, etc.) and text-to-image generators have been used during the writing or editing of this manuscript.</w:t>
      </w:r>
    </w:p>
    <w:p w14:paraId="6DF05AF3" w14:textId="0FAC5B0B" w:rsidR="00260B0E" w:rsidRDefault="00260B0E" w:rsidP="00272AB5">
      <w:pPr>
        <w:tabs>
          <w:tab w:val="center" w:pos="5040"/>
        </w:tabs>
        <w:rPr>
          <w:rFonts w:ascii="Times New Roman" w:eastAsia="SimSun" w:hAnsi="Times New Roman" w:cs="Times New Roman"/>
          <w:b/>
          <w:color w:val="000000"/>
          <w:sz w:val="32"/>
          <w:szCs w:val="21"/>
          <w:u w:color="000000"/>
        </w:rPr>
      </w:pPr>
      <w:r>
        <w:rPr>
          <w:rFonts w:ascii="Times New Roman" w:eastAsia="SimSun" w:hAnsi="Times New Roman" w:cs="Times New Roman"/>
          <w:b/>
          <w:color w:val="000000"/>
          <w:sz w:val="32"/>
          <w:szCs w:val="21"/>
          <w:u w:color="000000"/>
        </w:rPr>
        <w:lastRenderedPageBreak/>
        <w:t xml:space="preserve">Bibliography </w:t>
      </w:r>
      <w:r w:rsidR="00272AB5">
        <w:rPr>
          <w:rFonts w:ascii="Times New Roman" w:eastAsia="SimSun" w:hAnsi="Times New Roman" w:cs="Times New Roman"/>
          <w:b/>
          <w:color w:val="000000"/>
          <w:sz w:val="32"/>
          <w:szCs w:val="21"/>
          <w:u w:color="000000"/>
        </w:rPr>
        <w:tab/>
      </w:r>
    </w:p>
    <w:p w14:paraId="4582F5A2" w14:textId="3A85B2D0" w:rsidR="00F40E1A" w:rsidRPr="00F40E1A" w:rsidRDefault="00F40E1A" w:rsidP="00F40E1A">
      <w:pPr>
        <w:wordWrap w:val="0"/>
        <w:rPr>
          <w:rFonts w:ascii="Times New Roman" w:eastAsia="SimSun" w:hAnsi="Times New Roman" w:cs="Times New Roman"/>
          <w:szCs w:val="21"/>
        </w:rPr>
      </w:pPr>
      <w:r>
        <w:rPr>
          <w:rFonts w:eastAsia="SimSun"/>
          <w:b/>
          <w:color w:val="000000"/>
          <w:sz w:val="32"/>
          <w:szCs w:val="21"/>
          <w:u w:color="000000"/>
        </w:rPr>
        <w:fldChar w:fldCharType="begin"/>
      </w:r>
      <w:r>
        <w:rPr>
          <w:rFonts w:eastAsia="SimSun"/>
          <w:b/>
          <w:color w:val="000000"/>
          <w:sz w:val="32"/>
          <w:szCs w:val="21"/>
          <w:u w:color="000000"/>
        </w:rPr>
        <w:instrText xml:space="preserve"> ADDIN ZOTERO_BIBL {"uncited":[],"omitted":[],"custom":[]} CSL_BIBLIOGRAPHY </w:instrText>
      </w:r>
      <w:r>
        <w:rPr>
          <w:rFonts w:eastAsia="SimSun"/>
          <w:b/>
          <w:color w:val="000000"/>
          <w:sz w:val="32"/>
          <w:szCs w:val="21"/>
          <w:u w:color="000000"/>
        </w:rPr>
        <w:fldChar w:fldCharType="separate"/>
      </w:r>
      <w:r w:rsidRPr="00F40E1A">
        <w:rPr>
          <w:rFonts w:ascii="Times New Roman" w:eastAsia="SimSun" w:hAnsi="Times New Roman" w:cs="Times New Roman"/>
          <w:szCs w:val="21"/>
        </w:rPr>
        <w:t>[1] SHAH I H,MILLER S A,JIANG D,et al. Cement substitution with secondary materials can reduce annual global CO</w:t>
      </w:r>
      <w:r w:rsidRPr="00D960C5">
        <w:rPr>
          <w:rFonts w:ascii="Times New Roman" w:eastAsia="SimSun" w:hAnsi="Times New Roman" w:cs="Times New Roman"/>
          <w:szCs w:val="21"/>
          <w:vertAlign w:val="subscript"/>
        </w:rPr>
        <w:t>2</w:t>
      </w:r>
      <w:r w:rsidRPr="00F40E1A">
        <w:rPr>
          <w:rFonts w:ascii="Times New Roman" w:eastAsia="SimSun" w:hAnsi="Times New Roman" w:cs="Times New Roman"/>
          <w:szCs w:val="21"/>
        </w:rPr>
        <w:t xml:space="preserve"> emissions by up to 1.3 gigatons[J]. Nature Communications, 2022, 13(1): 5758.</w:t>
      </w:r>
    </w:p>
    <w:p w14:paraId="4C1610C2" w14:textId="3629AB35"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[2] DU H,XU D, LI X, et al. Application of molten iron desulfurization slag to replace steel slag as an alkaline component in solid waste-based cementitious materials</w:t>
      </w:r>
      <w:r w:rsidR="00D960C5" w:rsidRPr="00F40E1A">
        <w:rPr>
          <w:rFonts w:ascii="Times New Roman" w:eastAsia="SimSun" w:hAnsi="Times New Roman" w:cs="Times New Roman"/>
          <w:szCs w:val="21"/>
        </w:rPr>
        <w:t xml:space="preserve"> </w:t>
      </w:r>
      <w:r w:rsidRPr="00F40E1A">
        <w:rPr>
          <w:rFonts w:ascii="Times New Roman" w:eastAsia="SimSun" w:hAnsi="Times New Roman" w:cs="Times New Roman"/>
          <w:szCs w:val="21"/>
        </w:rPr>
        <w:t>[J]. Journal of Cleaner Production, 2022, 377: 134353.</w:t>
      </w:r>
    </w:p>
    <w:p w14:paraId="058DB234" w14:textId="77777777"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[3] ZHAO Y, ZHOU X, ZHOU Q, et al. Development of full-solid waste environmentally binder for cemented paste backfill[J]. Construction and Building Materials, 2024, 443: 137689.</w:t>
      </w:r>
    </w:p>
    <w:p w14:paraId="27FA328F" w14:textId="77777777"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[4] XU Z, LI C, XIAO B, et al. Development of slag-based filling cementitious materials and their application in ultrafine tailing sand filling[J]. Construction and Building Materials, 2024, 452: 138966.</w:t>
      </w:r>
    </w:p>
    <w:p w14:paraId="44725E3B" w14:textId="77777777"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[5] LI K, LI X, YAO J, </w:t>
      </w:r>
      <w:bookmarkStart w:id="12" w:name="_Hlk213595078"/>
      <w:r w:rsidRPr="00F40E1A">
        <w:rPr>
          <w:rFonts w:ascii="Times New Roman" w:eastAsia="SimSun" w:hAnsi="Times New Roman" w:cs="Times New Roman"/>
          <w:szCs w:val="21"/>
        </w:rPr>
        <w:t>et al</w:t>
      </w:r>
      <w:bookmarkEnd w:id="12"/>
      <w:r w:rsidRPr="00F40E1A">
        <w:rPr>
          <w:rFonts w:ascii="Times New Roman" w:eastAsia="SimSun" w:hAnsi="Times New Roman" w:cs="Times New Roman"/>
          <w:szCs w:val="21"/>
        </w:rPr>
        <w:t>. Innovative synthesis of low-carbon cemented backfill materials through synergistic activation of solid wastes: An integrated assessment of economic and environmental impacts[J]. Case Studies in Construction Materials, 2024, 20: e03203.</w:t>
      </w:r>
    </w:p>
    <w:p w14:paraId="7295E5CE" w14:textId="26F9CBF9"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[6] XU D, LIU J, DU H,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Performance optimization and carbon reduction effect of solid waste-based cementitious materials from iron and steel metallurgical slags and ammonia-soda residue[J]. Chemical Engineering Journal Advances, 2024, 17: 100584.</w:t>
      </w:r>
    </w:p>
    <w:p w14:paraId="7B9E1102" w14:textId="77777777"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[7] CHEN T, GAO Y, LI Y, et al. The strength, reaction mechanism, sustainable potential of full solid waste alkali-activated cementitious materials using red mud and carbide slag[J]. Construction and Building Materials, 2024, 449: 138454.</w:t>
      </w:r>
    </w:p>
    <w:p w14:paraId="79FF7F9F" w14:textId="70B92A0A"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[8] YANG J, WEI H, QUAN Z,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A global meta-analysis of coal mining studies provides insights into the hydrologic cycle at watershed scale[J]. Journal of Hydrology, 2023, 617:</w:t>
      </w:r>
      <w:r w:rsidR="00D960C5">
        <w:rPr>
          <w:rFonts w:ascii="Times New Roman" w:eastAsia="SimSun" w:hAnsi="Times New Roman" w:cs="Times New Roman" w:hint="eastAsia"/>
          <w:szCs w:val="21"/>
        </w:rPr>
        <w:t xml:space="preserve"> </w:t>
      </w:r>
      <w:r w:rsidRPr="00F40E1A">
        <w:rPr>
          <w:rFonts w:ascii="Times New Roman" w:eastAsia="SimSun" w:hAnsi="Times New Roman" w:cs="Times New Roman"/>
          <w:szCs w:val="21"/>
        </w:rPr>
        <w:t>129023.</w:t>
      </w:r>
    </w:p>
    <w:p w14:paraId="59CFE761" w14:textId="0DA340B9"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[9] GAO L, LIU Y, XU K,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A short review of the sustainable utilization of coal gangue in environmental applications[J]. RSC Advances, 2024, 14(53): 39285-39296.</w:t>
      </w:r>
    </w:p>
    <w:p w14:paraId="17EC4E61" w14:textId="2047B0BB"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[10] KARACAN C Ö, FIELD R A, OLCZAK M,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Mitigating climate change by abating coal mine methane: A critical review of status and opportunities[J]. International Journal of Coal Geology, 2024, 295: 104623.</w:t>
      </w:r>
    </w:p>
    <w:p w14:paraId="5F87A66B" w14:textId="607F1126"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[11] LIU J, WANG Z, XIE G,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Resource utilization of municipal solid waste incineration fly ash-cement and alkali-activated cementitious materials: A review[J]. Science of The Total Environment, 2022, 852: 158254.</w:t>
      </w:r>
    </w:p>
    <w:p w14:paraId="72084623" w14:textId="2BCD0625"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[12] JI P, LIN H, LI S,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Technical system and prospects for precise methane extraction in the entire life cycle of coal mining under the goal of “carbon peak and carbon neutrality"[J]. Geoenergy Science and Engineering, 2024, 238: 212855.</w:t>
      </w:r>
    </w:p>
    <w:p w14:paraId="4277A2CD" w14:textId="629177DA"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[13] WANG J, LIU X, ZHANG Z,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Synergistic utilization, critical mechanisms, and environmental suitability of bauxite residue (red mud) based multi-solid wastes cementitious materials and special concrete[J]. Journal of Environmental Management, 2024, 361: 121255.</w:t>
      </w:r>
    </w:p>
    <w:p w14:paraId="02AD7682" w14:textId="77777777"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[14] ZHU C, TAN H, DU C, et al. Enhancement of ultra-fine slag on compressive strength of solid waste-based cementitious materials: Towards low carbon emissions[J]. Journal of Building Engineering, 2023, 63: 105475.</w:t>
      </w:r>
    </w:p>
    <w:p w14:paraId="53A7F925" w14:textId="77777777"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[15] LI K, ZHU L, WU Z, et al. Properties of Cemented Filling Materials Prepared from Phosphogypsum-Steel Slag–Blast-Furnace Slag and Its Environmental Effect[J]. Materials, 2024, 17(14): 3618.</w:t>
      </w:r>
    </w:p>
    <w:p w14:paraId="6E0DE8D1" w14:textId="4E94E8DF"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lastRenderedPageBreak/>
        <w:t xml:space="preserve">[16] WANG Y, HUANG X, ZHANG S,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Utilization of ultrafine solid waste in the sustainable cementitious material for enhanced performance[J]. Construction and Building Materials, 2024, 417: 135239.</w:t>
      </w:r>
    </w:p>
    <w:p w14:paraId="26A98BBE" w14:textId="14D31E07"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[17] LI Y, LUO Y, ZHOU H,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Preparation of environmental-friendly cementitious material from red mud and waste glass sludge by mechanical activation[J]. Construction and Building Materials, 2024, 423: 135861.</w:t>
      </w:r>
    </w:p>
    <w:p w14:paraId="5162CE91" w14:textId="3301A9AA"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[18] LIU J, WANG Z, XIE G,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Resource utilization of municipal solid waste incineration fly ash-cement and alkali-activated cementitious materials: A review[J]. Science of The Total Environment, 2022, 852: 158254.</w:t>
      </w:r>
    </w:p>
    <w:p w14:paraId="569B62A5" w14:textId="52FAE133" w:rsidR="00F40E1A" w:rsidRPr="00F40E1A" w:rsidRDefault="00F40E1A" w:rsidP="00F40E1A">
      <w:pPr>
        <w:wordWrap w:val="0"/>
        <w:rPr>
          <w:rFonts w:ascii="Times New Roman" w:eastAsia="SimSun" w:hAnsi="Times New Roman" w:cs="Times New Roman"/>
          <w:szCs w:val="21"/>
        </w:rPr>
      </w:pPr>
      <w:r w:rsidRPr="00F40E1A">
        <w:rPr>
          <w:rFonts w:ascii="Times New Roman" w:eastAsia="SimSun" w:hAnsi="Times New Roman" w:cs="Times New Roman"/>
          <w:szCs w:val="21"/>
        </w:rPr>
        <w:t xml:space="preserve">[19] WANG J, LIU X, ZHANG Z,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Synergistic utilization, critical mechanisms, and environmental suitability of bauxite residue (red mud) based multi-solid wastes cementitious materials and special concrete[J]. Journal of Environmental Management, 2024, 361: 121255.</w:t>
      </w:r>
    </w:p>
    <w:p w14:paraId="22244935" w14:textId="3927A488" w:rsidR="00F40E1A" w:rsidRPr="00F40E1A" w:rsidRDefault="00F40E1A" w:rsidP="00F40E1A">
      <w:pPr>
        <w:wordWrap w:val="0"/>
        <w:rPr>
          <w:rFonts w:ascii="DengXian" w:eastAsia="DengXian" w:hAnsi="DengXian"/>
          <w:sz w:val="32"/>
        </w:rPr>
      </w:pPr>
      <w:r w:rsidRPr="00F40E1A">
        <w:rPr>
          <w:rFonts w:ascii="Times New Roman" w:eastAsia="SimSun" w:hAnsi="Times New Roman" w:cs="Times New Roman"/>
          <w:szCs w:val="21"/>
        </w:rPr>
        <w:t xml:space="preserve">[20] CHANG N, LI H, LIU W, </w:t>
      </w:r>
      <w:r w:rsidR="00D960C5" w:rsidRPr="00F40E1A">
        <w:rPr>
          <w:rFonts w:ascii="Times New Roman" w:eastAsia="SimSun" w:hAnsi="Times New Roman" w:cs="Times New Roman"/>
          <w:szCs w:val="21"/>
        </w:rPr>
        <w:t>et al</w:t>
      </w:r>
      <w:r w:rsidRPr="00F40E1A">
        <w:rPr>
          <w:rFonts w:ascii="Times New Roman" w:eastAsia="SimSun" w:hAnsi="Times New Roman" w:cs="Times New Roman"/>
          <w:szCs w:val="21"/>
        </w:rPr>
        <w:t>. Improved macro-microscopic characteristic of gypsum-slag based cementitious materials by incorporating red mud/carbide slag binary alkaline waste-derived activator[J]. Construction and Building Materials, 2024, 428: 136425.</w:t>
      </w:r>
    </w:p>
    <w:p w14:paraId="6B7B243B" w14:textId="12EC8AE4" w:rsidR="00F40E1A" w:rsidRDefault="00F40E1A" w:rsidP="00191A97">
      <w:pPr>
        <w:wordWrap w:val="0"/>
        <w:rPr>
          <w:rFonts w:ascii="Times New Roman" w:eastAsia="SimSun" w:hAnsi="Times New Roman" w:cs="Times New Roman"/>
          <w:b/>
          <w:color w:val="000000"/>
          <w:sz w:val="32"/>
          <w:szCs w:val="21"/>
          <w:u w:color="000000"/>
        </w:rPr>
      </w:pPr>
      <w:r>
        <w:rPr>
          <w:rFonts w:ascii="Times New Roman" w:eastAsia="SimSun" w:hAnsi="Times New Roman" w:cs="Times New Roman"/>
          <w:b/>
          <w:color w:val="000000"/>
          <w:sz w:val="32"/>
          <w:szCs w:val="21"/>
          <w:u w:color="000000"/>
        </w:rPr>
        <w:fldChar w:fldCharType="end"/>
      </w:r>
    </w:p>
    <w:sectPr w:rsidR="00F40E1A" w:rsidSect="008D241C">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E2124" w14:textId="77777777" w:rsidR="0010655D" w:rsidRDefault="0010655D" w:rsidP="00035C11">
      <w:r>
        <w:separator/>
      </w:r>
    </w:p>
  </w:endnote>
  <w:endnote w:type="continuationSeparator" w:id="0">
    <w:p w14:paraId="17A9AFDC" w14:textId="77777777" w:rsidR="0010655D" w:rsidRDefault="0010655D" w:rsidP="0003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楷体">
    <w:altName w:val="KaiT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5E538" w14:textId="77777777" w:rsidR="00FA6E27" w:rsidRDefault="00FA6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AC1F" w14:textId="77777777" w:rsidR="00FA6E27" w:rsidRDefault="00FA6E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C22CA" w14:textId="77777777" w:rsidR="00FA6E27" w:rsidRDefault="00FA6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FD54A" w14:textId="77777777" w:rsidR="0010655D" w:rsidRDefault="0010655D" w:rsidP="00035C11">
      <w:r>
        <w:separator/>
      </w:r>
    </w:p>
  </w:footnote>
  <w:footnote w:type="continuationSeparator" w:id="0">
    <w:p w14:paraId="60D83620" w14:textId="77777777" w:rsidR="0010655D" w:rsidRDefault="0010655D" w:rsidP="00035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8C5BC" w14:textId="51F3D5F6" w:rsidR="00FA6E27" w:rsidRDefault="002A1E38">
    <w:pPr>
      <w:pStyle w:val="Header"/>
    </w:pPr>
    <w:r>
      <w:rPr>
        <w:noProof/>
      </w:rPr>
      <w:pict w14:anchorId="7965D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619891" o:spid="_x0000_s2050" type="#_x0000_t136" style="position:absolute;left:0;text-align:left;margin-left:0;margin-top:0;width:638.5pt;height:72.0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E011D" w14:textId="09BB1399" w:rsidR="00FA6E27" w:rsidRDefault="002A1E38">
    <w:pPr>
      <w:pStyle w:val="Header"/>
    </w:pPr>
    <w:r>
      <w:rPr>
        <w:noProof/>
      </w:rPr>
      <w:pict w14:anchorId="4BAB6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619892" o:spid="_x0000_s2051" type="#_x0000_t136" style="position:absolute;left:0;text-align:left;margin-left:0;margin-top:0;width:638.5pt;height:72.0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E546" w14:textId="1DDCE834" w:rsidR="00FA6E27" w:rsidRDefault="002A1E38">
    <w:pPr>
      <w:pStyle w:val="Header"/>
    </w:pPr>
    <w:r>
      <w:rPr>
        <w:noProof/>
      </w:rPr>
      <w:pict w14:anchorId="283BE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619890" o:spid="_x0000_s2049" type="#_x0000_t136" style="position:absolute;left:0;text-align:left;margin-left:0;margin-top:0;width:638.5pt;height:72.0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1F7315"/>
    <w:multiLevelType w:val="multilevel"/>
    <w:tmpl w:val="EB1F731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572612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29170D0E"/>
    <w:multiLevelType w:val="multilevel"/>
    <w:tmpl w:val="29170D0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B966273"/>
    <w:multiLevelType w:val="hybridMultilevel"/>
    <w:tmpl w:val="B2946AF6"/>
    <w:lvl w:ilvl="0" w:tplc="2384F258">
      <w:start w:val="1"/>
      <w:numFmt w:val="decimal"/>
      <w:lvlText w:val="%1"/>
      <w:lvlJc w:val="left"/>
      <w:pPr>
        <w:ind w:left="362" w:hanging="360"/>
      </w:pPr>
      <w:rPr>
        <w:rFonts w:hint="default"/>
      </w:rPr>
    </w:lvl>
    <w:lvl w:ilvl="1" w:tplc="04090019" w:tentative="1">
      <w:start w:val="1"/>
      <w:numFmt w:val="lowerLetter"/>
      <w:lvlText w:val="%2)"/>
      <w:lvlJc w:val="left"/>
      <w:pPr>
        <w:ind w:left="882" w:hanging="440"/>
      </w:pPr>
    </w:lvl>
    <w:lvl w:ilvl="2" w:tplc="0409001B" w:tentative="1">
      <w:start w:val="1"/>
      <w:numFmt w:val="lowerRoman"/>
      <w:lvlText w:val="%3."/>
      <w:lvlJc w:val="right"/>
      <w:pPr>
        <w:ind w:left="1322" w:hanging="440"/>
      </w:pPr>
    </w:lvl>
    <w:lvl w:ilvl="3" w:tplc="0409000F" w:tentative="1">
      <w:start w:val="1"/>
      <w:numFmt w:val="decimal"/>
      <w:lvlText w:val="%4."/>
      <w:lvlJc w:val="left"/>
      <w:pPr>
        <w:ind w:left="1762" w:hanging="440"/>
      </w:pPr>
    </w:lvl>
    <w:lvl w:ilvl="4" w:tplc="04090019" w:tentative="1">
      <w:start w:val="1"/>
      <w:numFmt w:val="lowerLetter"/>
      <w:lvlText w:val="%5)"/>
      <w:lvlJc w:val="left"/>
      <w:pPr>
        <w:ind w:left="2202" w:hanging="440"/>
      </w:pPr>
    </w:lvl>
    <w:lvl w:ilvl="5" w:tplc="0409001B" w:tentative="1">
      <w:start w:val="1"/>
      <w:numFmt w:val="lowerRoman"/>
      <w:lvlText w:val="%6."/>
      <w:lvlJc w:val="right"/>
      <w:pPr>
        <w:ind w:left="2642" w:hanging="440"/>
      </w:pPr>
    </w:lvl>
    <w:lvl w:ilvl="6" w:tplc="0409000F" w:tentative="1">
      <w:start w:val="1"/>
      <w:numFmt w:val="decimal"/>
      <w:lvlText w:val="%7."/>
      <w:lvlJc w:val="left"/>
      <w:pPr>
        <w:ind w:left="3082" w:hanging="440"/>
      </w:pPr>
    </w:lvl>
    <w:lvl w:ilvl="7" w:tplc="04090019" w:tentative="1">
      <w:start w:val="1"/>
      <w:numFmt w:val="lowerLetter"/>
      <w:lvlText w:val="%8)"/>
      <w:lvlJc w:val="left"/>
      <w:pPr>
        <w:ind w:left="3522" w:hanging="440"/>
      </w:pPr>
    </w:lvl>
    <w:lvl w:ilvl="8" w:tplc="0409001B" w:tentative="1">
      <w:start w:val="1"/>
      <w:numFmt w:val="lowerRoman"/>
      <w:lvlText w:val="%9."/>
      <w:lvlJc w:val="right"/>
      <w:pPr>
        <w:ind w:left="3962" w:hanging="440"/>
      </w:pPr>
    </w:lvl>
  </w:abstractNum>
  <w:abstractNum w:abstractNumId="4" w15:restartNumberingAfterBreak="0">
    <w:nsid w:val="430023F1"/>
    <w:multiLevelType w:val="hybridMultilevel"/>
    <w:tmpl w:val="FAD0B66C"/>
    <w:lvl w:ilvl="0" w:tplc="E386289C">
      <w:start w:val="1"/>
      <w:numFmt w:val="bullet"/>
      <w:lvlText w:val=""/>
      <w:lvlJc w:val="left"/>
      <w:pPr>
        <w:tabs>
          <w:tab w:val="num" w:pos="720"/>
        </w:tabs>
        <w:ind w:left="720" w:hanging="360"/>
      </w:pPr>
      <w:rPr>
        <w:rFonts w:ascii="Wingdings" w:hAnsi="Wingdings" w:hint="default"/>
      </w:rPr>
    </w:lvl>
    <w:lvl w:ilvl="1" w:tplc="5F9EC4CE" w:tentative="1">
      <w:start w:val="1"/>
      <w:numFmt w:val="bullet"/>
      <w:lvlText w:val=""/>
      <w:lvlJc w:val="left"/>
      <w:pPr>
        <w:tabs>
          <w:tab w:val="num" w:pos="1440"/>
        </w:tabs>
        <w:ind w:left="1440" w:hanging="360"/>
      </w:pPr>
      <w:rPr>
        <w:rFonts w:ascii="Wingdings" w:hAnsi="Wingdings" w:hint="default"/>
      </w:rPr>
    </w:lvl>
    <w:lvl w:ilvl="2" w:tplc="A750347E" w:tentative="1">
      <w:start w:val="1"/>
      <w:numFmt w:val="bullet"/>
      <w:lvlText w:val=""/>
      <w:lvlJc w:val="left"/>
      <w:pPr>
        <w:tabs>
          <w:tab w:val="num" w:pos="2160"/>
        </w:tabs>
        <w:ind w:left="2160" w:hanging="360"/>
      </w:pPr>
      <w:rPr>
        <w:rFonts w:ascii="Wingdings" w:hAnsi="Wingdings" w:hint="default"/>
      </w:rPr>
    </w:lvl>
    <w:lvl w:ilvl="3" w:tplc="40B83DF2" w:tentative="1">
      <w:start w:val="1"/>
      <w:numFmt w:val="bullet"/>
      <w:lvlText w:val=""/>
      <w:lvlJc w:val="left"/>
      <w:pPr>
        <w:tabs>
          <w:tab w:val="num" w:pos="2880"/>
        </w:tabs>
        <w:ind w:left="2880" w:hanging="360"/>
      </w:pPr>
      <w:rPr>
        <w:rFonts w:ascii="Wingdings" w:hAnsi="Wingdings" w:hint="default"/>
      </w:rPr>
    </w:lvl>
    <w:lvl w:ilvl="4" w:tplc="EBE09572" w:tentative="1">
      <w:start w:val="1"/>
      <w:numFmt w:val="bullet"/>
      <w:lvlText w:val=""/>
      <w:lvlJc w:val="left"/>
      <w:pPr>
        <w:tabs>
          <w:tab w:val="num" w:pos="3600"/>
        </w:tabs>
        <w:ind w:left="3600" w:hanging="360"/>
      </w:pPr>
      <w:rPr>
        <w:rFonts w:ascii="Wingdings" w:hAnsi="Wingdings" w:hint="default"/>
      </w:rPr>
    </w:lvl>
    <w:lvl w:ilvl="5" w:tplc="CB32B234" w:tentative="1">
      <w:start w:val="1"/>
      <w:numFmt w:val="bullet"/>
      <w:lvlText w:val=""/>
      <w:lvlJc w:val="left"/>
      <w:pPr>
        <w:tabs>
          <w:tab w:val="num" w:pos="4320"/>
        </w:tabs>
        <w:ind w:left="4320" w:hanging="360"/>
      </w:pPr>
      <w:rPr>
        <w:rFonts w:ascii="Wingdings" w:hAnsi="Wingdings" w:hint="default"/>
      </w:rPr>
    </w:lvl>
    <w:lvl w:ilvl="6" w:tplc="134E08BE" w:tentative="1">
      <w:start w:val="1"/>
      <w:numFmt w:val="bullet"/>
      <w:lvlText w:val=""/>
      <w:lvlJc w:val="left"/>
      <w:pPr>
        <w:tabs>
          <w:tab w:val="num" w:pos="5040"/>
        </w:tabs>
        <w:ind w:left="5040" w:hanging="360"/>
      </w:pPr>
      <w:rPr>
        <w:rFonts w:ascii="Wingdings" w:hAnsi="Wingdings" w:hint="default"/>
      </w:rPr>
    </w:lvl>
    <w:lvl w:ilvl="7" w:tplc="9A22AB10" w:tentative="1">
      <w:start w:val="1"/>
      <w:numFmt w:val="bullet"/>
      <w:lvlText w:val=""/>
      <w:lvlJc w:val="left"/>
      <w:pPr>
        <w:tabs>
          <w:tab w:val="num" w:pos="5760"/>
        </w:tabs>
        <w:ind w:left="5760" w:hanging="360"/>
      </w:pPr>
      <w:rPr>
        <w:rFonts w:ascii="Wingdings" w:hAnsi="Wingdings" w:hint="default"/>
      </w:rPr>
    </w:lvl>
    <w:lvl w:ilvl="8" w:tplc="F11AFB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896355"/>
    <w:multiLevelType w:val="hybridMultilevel"/>
    <w:tmpl w:val="BB4ABB30"/>
    <w:lvl w:ilvl="0" w:tplc="866A0382">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C720252"/>
    <w:multiLevelType w:val="hybridMultilevel"/>
    <w:tmpl w:val="5A0E21F4"/>
    <w:lvl w:ilvl="0" w:tplc="54F6E2B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F727EF3"/>
    <w:multiLevelType w:val="hybridMultilevel"/>
    <w:tmpl w:val="034A950A"/>
    <w:lvl w:ilvl="0" w:tplc="3A0EB5E0">
      <w:start w:val="1"/>
      <w:numFmt w:val="bullet"/>
      <w:lvlText w:val=""/>
      <w:lvlJc w:val="left"/>
      <w:pPr>
        <w:tabs>
          <w:tab w:val="num" w:pos="720"/>
        </w:tabs>
        <w:ind w:left="720" w:hanging="360"/>
      </w:pPr>
      <w:rPr>
        <w:rFonts w:ascii="Wingdings" w:hAnsi="Wingdings" w:hint="default"/>
      </w:rPr>
    </w:lvl>
    <w:lvl w:ilvl="1" w:tplc="D8F482E2" w:tentative="1">
      <w:start w:val="1"/>
      <w:numFmt w:val="bullet"/>
      <w:lvlText w:val=""/>
      <w:lvlJc w:val="left"/>
      <w:pPr>
        <w:tabs>
          <w:tab w:val="num" w:pos="1440"/>
        </w:tabs>
        <w:ind w:left="1440" w:hanging="360"/>
      </w:pPr>
      <w:rPr>
        <w:rFonts w:ascii="Wingdings" w:hAnsi="Wingdings" w:hint="default"/>
      </w:rPr>
    </w:lvl>
    <w:lvl w:ilvl="2" w:tplc="7C66DD16" w:tentative="1">
      <w:start w:val="1"/>
      <w:numFmt w:val="bullet"/>
      <w:lvlText w:val=""/>
      <w:lvlJc w:val="left"/>
      <w:pPr>
        <w:tabs>
          <w:tab w:val="num" w:pos="2160"/>
        </w:tabs>
        <w:ind w:left="2160" w:hanging="360"/>
      </w:pPr>
      <w:rPr>
        <w:rFonts w:ascii="Wingdings" w:hAnsi="Wingdings" w:hint="default"/>
      </w:rPr>
    </w:lvl>
    <w:lvl w:ilvl="3" w:tplc="3B0EF45E" w:tentative="1">
      <w:start w:val="1"/>
      <w:numFmt w:val="bullet"/>
      <w:lvlText w:val=""/>
      <w:lvlJc w:val="left"/>
      <w:pPr>
        <w:tabs>
          <w:tab w:val="num" w:pos="2880"/>
        </w:tabs>
        <w:ind w:left="2880" w:hanging="360"/>
      </w:pPr>
      <w:rPr>
        <w:rFonts w:ascii="Wingdings" w:hAnsi="Wingdings" w:hint="default"/>
      </w:rPr>
    </w:lvl>
    <w:lvl w:ilvl="4" w:tplc="5C1060E6" w:tentative="1">
      <w:start w:val="1"/>
      <w:numFmt w:val="bullet"/>
      <w:lvlText w:val=""/>
      <w:lvlJc w:val="left"/>
      <w:pPr>
        <w:tabs>
          <w:tab w:val="num" w:pos="3600"/>
        </w:tabs>
        <w:ind w:left="3600" w:hanging="360"/>
      </w:pPr>
      <w:rPr>
        <w:rFonts w:ascii="Wingdings" w:hAnsi="Wingdings" w:hint="default"/>
      </w:rPr>
    </w:lvl>
    <w:lvl w:ilvl="5" w:tplc="ED98A59E" w:tentative="1">
      <w:start w:val="1"/>
      <w:numFmt w:val="bullet"/>
      <w:lvlText w:val=""/>
      <w:lvlJc w:val="left"/>
      <w:pPr>
        <w:tabs>
          <w:tab w:val="num" w:pos="4320"/>
        </w:tabs>
        <w:ind w:left="4320" w:hanging="360"/>
      </w:pPr>
      <w:rPr>
        <w:rFonts w:ascii="Wingdings" w:hAnsi="Wingdings" w:hint="default"/>
      </w:rPr>
    </w:lvl>
    <w:lvl w:ilvl="6" w:tplc="379A65DA" w:tentative="1">
      <w:start w:val="1"/>
      <w:numFmt w:val="bullet"/>
      <w:lvlText w:val=""/>
      <w:lvlJc w:val="left"/>
      <w:pPr>
        <w:tabs>
          <w:tab w:val="num" w:pos="5040"/>
        </w:tabs>
        <w:ind w:left="5040" w:hanging="360"/>
      </w:pPr>
      <w:rPr>
        <w:rFonts w:ascii="Wingdings" w:hAnsi="Wingdings" w:hint="default"/>
      </w:rPr>
    </w:lvl>
    <w:lvl w:ilvl="7" w:tplc="FBB85116" w:tentative="1">
      <w:start w:val="1"/>
      <w:numFmt w:val="bullet"/>
      <w:lvlText w:val=""/>
      <w:lvlJc w:val="left"/>
      <w:pPr>
        <w:tabs>
          <w:tab w:val="num" w:pos="5760"/>
        </w:tabs>
        <w:ind w:left="5760" w:hanging="360"/>
      </w:pPr>
      <w:rPr>
        <w:rFonts w:ascii="Wingdings" w:hAnsi="Wingdings" w:hint="default"/>
      </w:rPr>
    </w:lvl>
    <w:lvl w:ilvl="8" w:tplc="17821D6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0MjIwMDIwtjSxNDRU0lEKTi0uzszPAykwrAUAxre3hiwAAAA="/>
  </w:docVars>
  <w:rsids>
    <w:rsidRoot w:val="00830F56"/>
    <w:rsid w:val="00025FD8"/>
    <w:rsid w:val="000356FA"/>
    <w:rsid w:val="00035C11"/>
    <w:rsid w:val="00051CA2"/>
    <w:rsid w:val="0006020D"/>
    <w:rsid w:val="000865E9"/>
    <w:rsid w:val="00093104"/>
    <w:rsid w:val="000C23A7"/>
    <w:rsid w:val="000D0F3E"/>
    <w:rsid w:val="000F0172"/>
    <w:rsid w:val="0010655D"/>
    <w:rsid w:val="0011385D"/>
    <w:rsid w:val="00117F54"/>
    <w:rsid w:val="00147E19"/>
    <w:rsid w:val="00174EB3"/>
    <w:rsid w:val="0017534A"/>
    <w:rsid w:val="00191A97"/>
    <w:rsid w:val="0019617D"/>
    <w:rsid w:val="001C4644"/>
    <w:rsid w:val="001E120E"/>
    <w:rsid w:val="001E3383"/>
    <w:rsid w:val="001F17C0"/>
    <w:rsid w:val="002262D9"/>
    <w:rsid w:val="0022730D"/>
    <w:rsid w:val="00260519"/>
    <w:rsid w:val="00260B0E"/>
    <w:rsid w:val="00272AB5"/>
    <w:rsid w:val="00272D68"/>
    <w:rsid w:val="002770EE"/>
    <w:rsid w:val="00291942"/>
    <w:rsid w:val="00297D4F"/>
    <w:rsid w:val="002A1E38"/>
    <w:rsid w:val="002C0456"/>
    <w:rsid w:val="002C2252"/>
    <w:rsid w:val="002E3617"/>
    <w:rsid w:val="00310569"/>
    <w:rsid w:val="00321DE7"/>
    <w:rsid w:val="00325357"/>
    <w:rsid w:val="00336459"/>
    <w:rsid w:val="0036334E"/>
    <w:rsid w:val="003704BD"/>
    <w:rsid w:val="00374C72"/>
    <w:rsid w:val="003A04B5"/>
    <w:rsid w:val="003B6199"/>
    <w:rsid w:val="003F2533"/>
    <w:rsid w:val="003F68A8"/>
    <w:rsid w:val="00437909"/>
    <w:rsid w:val="00453C59"/>
    <w:rsid w:val="00455928"/>
    <w:rsid w:val="00466947"/>
    <w:rsid w:val="0049155A"/>
    <w:rsid w:val="004E2363"/>
    <w:rsid w:val="004E38B2"/>
    <w:rsid w:val="004F2905"/>
    <w:rsid w:val="004F5B6F"/>
    <w:rsid w:val="00502305"/>
    <w:rsid w:val="00504D25"/>
    <w:rsid w:val="00505A84"/>
    <w:rsid w:val="005207A7"/>
    <w:rsid w:val="00533CDE"/>
    <w:rsid w:val="00534CB5"/>
    <w:rsid w:val="005377F3"/>
    <w:rsid w:val="00540440"/>
    <w:rsid w:val="0057222A"/>
    <w:rsid w:val="00573AE3"/>
    <w:rsid w:val="005859D5"/>
    <w:rsid w:val="005B6ED7"/>
    <w:rsid w:val="005C00A7"/>
    <w:rsid w:val="005D0C9F"/>
    <w:rsid w:val="005D2C29"/>
    <w:rsid w:val="005D7989"/>
    <w:rsid w:val="005E0F90"/>
    <w:rsid w:val="005F6D7E"/>
    <w:rsid w:val="0060391F"/>
    <w:rsid w:val="006046EC"/>
    <w:rsid w:val="00607035"/>
    <w:rsid w:val="0062588B"/>
    <w:rsid w:val="00627AC1"/>
    <w:rsid w:val="006759E9"/>
    <w:rsid w:val="006E12D5"/>
    <w:rsid w:val="006F4D6C"/>
    <w:rsid w:val="007238B3"/>
    <w:rsid w:val="00726029"/>
    <w:rsid w:val="00727564"/>
    <w:rsid w:val="00735B94"/>
    <w:rsid w:val="00740CD2"/>
    <w:rsid w:val="007537DF"/>
    <w:rsid w:val="00783EBD"/>
    <w:rsid w:val="007914B8"/>
    <w:rsid w:val="007A206D"/>
    <w:rsid w:val="007A68F1"/>
    <w:rsid w:val="007B6386"/>
    <w:rsid w:val="007B6B31"/>
    <w:rsid w:val="007C42BB"/>
    <w:rsid w:val="007D344F"/>
    <w:rsid w:val="007D7FD8"/>
    <w:rsid w:val="007E361B"/>
    <w:rsid w:val="00804AFD"/>
    <w:rsid w:val="00816300"/>
    <w:rsid w:val="00821533"/>
    <w:rsid w:val="00830F56"/>
    <w:rsid w:val="008707B5"/>
    <w:rsid w:val="00883A69"/>
    <w:rsid w:val="0088625E"/>
    <w:rsid w:val="00896515"/>
    <w:rsid w:val="008B2765"/>
    <w:rsid w:val="008B579D"/>
    <w:rsid w:val="008D241C"/>
    <w:rsid w:val="008D7C1C"/>
    <w:rsid w:val="008E3120"/>
    <w:rsid w:val="009052E3"/>
    <w:rsid w:val="0091117F"/>
    <w:rsid w:val="00914463"/>
    <w:rsid w:val="00925E05"/>
    <w:rsid w:val="00930502"/>
    <w:rsid w:val="00931D87"/>
    <w:rsid w:val="00974F67"/>
    <w:rsid w:val="00976AE9"/>
    <w:rsid w:val="009864DD"/>
    <w:rsid w:val="009865A2"/>
    <w:rsid w:val="009B2A38"/>
    <w:rsid w:val="009B5906"/>
    <w:rsid w:val="009F4927"/>
    <w:rsid w:val="00A417EA"/>
    <w:rsid w:val="00A81D2A"/>
    <w:rsid w:val="00AA3598"/>
    <w:rsid w:val="00AB103D"/>
    <w:rsid w:val="00AD221F"/>
    <w:rsid w:val="00AD575F"/>
    <w:rsid w:val="00AF194E"/>
    <w:rsid w:val="00AF21B0"/>
    <w:rsid w:val="00AF7B85"/>
    <w:rsid w:val="00B62312"/>
    <w:rsid w:val="00B83B99"/>
    <w:rsid w:val="00B96D39"/>
    <w:rsid w:val="00BB6FD3"/>
    <w:rsid w:val="00BC38EC"/>
    <w:rsid w:val="00BF4E79"/>
    <w:rsid w:val="00C07EED"/>
    <w:rsid w:val="00C45441"/>
    <w:rsid w:val="00C53EF6"/>
    <w:rsid w:val="00C54617"/>
    <w:rsid w:val="00C65626"/>
    <w:rsid w:val="00C727DC"/>
    <w:rsid w:val="00CD5EB0"/>
    <w:rsid w:val="00CF27F3"/>
    <w:rsid w:val="00CF7A35"/>
    <w:rsid w:val="00D049CE"/>
    <w:rsid w:val="00D5199B"/>
    <w:rsid w:val="00D54DC3"/>
    <w:rsid w:val="00D70699"/>
    <w:rsid w:val="00D960C5"/>
    <w:rsid w:val="00DC0781"/>
    <w:rsid w:val="00DE67AC"/>
    <w:rsid w:val="00DE7C8F"/>
    <w:rsid w:val="00E048AD"/>
    <w:rsid w:val="00E1119B"/>
    <w:rsid w:val="00E245B3"/>
    <w:rsid w:val="00E707F2"/>
    <w:rsid w:val="00E75AD0"/>
    <w:rsid w:val="00E77C08"/>
    <w:rsid w:val="00E91902"/>
    <w:rsid w:val="00E9780E"/>
    <w:rsid w:val="00EC7D58"/>
    <w:rsid w:val="00EE404A"/>
    <w:rsid w:val="00EE46B0"/>
    <w:rsid w:val="00F024C3"/>
    <w:rsid w:val="00F40E1A"/>
    <w:rsid w:val="00F412A6"/>
    <w:rsid w:val="00F8169F"/>
    <w:rsid w:val="00F84210"/>
    <w:rsid w:val="00FA0038"/>
    <w:rsid w:val="00FA6E27"/>
    <w:rsid w:val="00FB5C50"/>
    <w:rsid w:val="00FE2077"/>
    <w:rsid w:val="00FE43EC"/>
    <w:rsid w:val="00FE4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564474"/>
  <w15:chartTrackingRefBased/>
  <w15:docId w15:val="{3B39DA8D-4A41-4089-B14C-E18672BA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44F"/>
    <w:pPr>
      <w:widowControl w:val="0"/>
      <w:jc w:val="both"/>
    </w:pPr>
  </w:style>
  <w:style w:type="paragraph" w:styleId="Heading1">
    <w:name w:val="heading 1"/>
    <w:basedOn w:val="Normal"/>
    <w:next w:val="Normal"/>
    <w:link w:val="Heading1Char"/>
    <w:uiPriority w:val="9"/>
    <w:qFormat/>
    <w:rsid w:val="00035C11"/>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iPriority w:val="9"/>
    <w:semiHidden/>
    <w:unhideWhenUsed/>
    <w:qFormat/>
    <w:rsid w:val="0022730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C11"/>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35C11"/>
    <w:rPr>
      <w:sz w:val="18"/>
      <w:szCs w:val="18"/>
    </w:rPr>
  </w:style>
  <w:style w:type="paragraph" w:styleId="Footer">
    <w:name w:val="footer"/>
    <w:basedOn w:val="Normal"/>
    <w:link w:val="FooterChar"/>
    <w:uiPriority w:val="99"/>
    <w:unhideWhenUsed/>
    <w:rsid w:val="00035C1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35C11"/>
    <w:rPr>
      <w:sz w:val="18"/>
      <w:szCs w:val="18"/>
    </w:rPr>
  </w:style>
  <w:style w:type="paragraph" w:styleId="NoSpacing">
    <w:name w:val="No Spacing"/>
    <w:uiPriority w:val="1"/>
    <w:qFormat/>
    <w:rsid w:val="00035C11"/>
    <w:pPr>
      <w:widowControl w:val="0"/>
      <w:jc w:val="both"/>
    </w:pPr>
  </w:style>
  <w:style w:type="character" w:customStyle="1" w:styleId="Heading1Char">
    <w:name w:val="Heading 1 Char"/>
    <w:basedOn w:val="DefaultParagraphFont"/>
    <w:link w:val="Heading1"/>
    <w:uiPriority w:val="9"/>
    <w:rsid w:val="00035C11"/>
    <w:rPr>
      <w:b/>
      <w:bCs/>
      <w:kern w:val="44"/>
      <w:sz w:val="44"/>
      <w:szCs w:val="44"/>
    </w:rPr>
  </w:style>
  <w:style w:type="character" w:styleId="PlaceholderText">
    <w:name w:val="Placeholder Text"/>
    <w:basedOn w:val="DefaultParagraphFont"/>
    <w:uiPriority w:val="99"/>
    <w:semiHidden/>
    <w:rsid w:val="00914463"/>
    <w:rPr>
      <w:color w:val="666666"/>
    </w:rPr>
  </w:style>
  <w:style w:type="paragraph" w:styleId="BodyText">
    <w:name w:val="Body Text"/>
    <w:basedOn w:val="Normal"/>
    <w:link w:val="BodyTextChar"/>
    <w:uiPriority w:val="99"/>
    <w:unhideWhenUsed/>
    <w:rsid w:val="00AA3598"/>
    <w:pPr>
      <w:widowControl/>
      <w:kinsoku w:val="0"/>
      <w:autoSpaceDE w:val="0"/>
      <w:autoSpaceDN w:val="0"/>
      <w:adjustRightInd w:val="0"/>
      <w:snapToGrid w:val="0"/>
      <w:jc w:val="left"/>
      <w:textAlignment w:val="baseline"/>
    </w:pPr>
    <w:rPr>
      <w:rFonts w:ascii="Microsoft YaHei" w:eastAsia="Microsoft YaHei" w:hAnsi="Microsoft YaHei" w:cs="SimSun"/>
      <w:color w:val="000000"/>
      <w:kern w:val="0"/>
      <w:sz w:val="15"/>
      <w:szCs w:val="15"/>
    </w:rPr>
  </w:style>
  <w:style w:type="character" w:customStyle="1" w:styleId="BodyTextChar">
    <w:name w:val="Body Text Char"/>
    <w:basedOn w:val="DefaultParagraphFont"/>
    <w:link w:val="BodyText"/>
    <w:uiPriority w:val="99"/>
    <w:rsid w:val="00AA3598"/>
    <w:rPr>
      <w:rFonts w:ascii="Microsoft YaHei" w:eastAsia="Microsoft YaHei" w:hAnsi="Microsoft YaHei" w:cs="SimSun"/>
      <w:color w:val="000000"/>
      <w:kern w:val="0"/>
      <w:sz w:val="15"/>
      <w:szCs w:val="15"/>
    </w:rPr>
  </w:style>
  <w:style w:type="paragraph" w:customStyle="1" w:styleId="1">
    <w:name w:val="正文1"/>
    <w:rsid w:val="00AA3598"/>
    <w:pPr>
      <w:jc w:val="both"/>
    </w:pPr>
    <w:rPr>
      <w:rFonts w:ascii="Arial" w:eastAsia="SimSun" w:hAnsi="Arial" w:cs="Arial"/>
      <w:szCs w:val="21"/>
    </w:rPr>
  </w:style>
  <w:style w:type="character" w:styleId="Strong">
    <w:name w:val="Strong"/>
    <w:basedOn w:val="DefaultParagraphFont"/>
    <w:uiPriority w:val="22"/>
    <w:qFormat/>
    <w:rsid w:val="008B2765"/>
    <w:rPr>
      <w:b/>
      <w:bCs/>
    </w:rPr>
  </w:style>
  <w:style w:type="character" w:styleId="Emphasis">
    <w:name w:val="Emphasis"/>
    <w:basedOn w:val="DefaultParagraphFont"/>
    <w:uiPriority w:val="20"/>
    <w:qFormat/>
    <w:rsid w:val="008B2765"/>
    <w:rPr>
      <w:i/>
      <w:iCs/>
    </w:rPr>
  </w:style>
  <w:style w:type="paragraph" w:styleId="Title">
    <w:name w:val="Title"/>
    <w:basedOn w:val="Normal"/>
    <w:next w:val="Normal"/>
    <w:link w:val="TitleChar"/>
    <w:uiPriority w:val="10"/>
    <w:qFormat/>
    <w:rsid w:val="001E3383"/>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1E3383"/>
    <w:rPr>
      <w:rFonts w:asciiTheme="majorHAnsi" w:eastAsiaTheme="majorEastAsia" w:hAnsiTheme="majorHAnsi" w:cstheme="majorBidi"/>
      <w:b/>
      <w:bCs/>
      <w:sz w:val="32"/>
      <w:szCs w:val="32"/>
    </w:rPr>
  </w:style>
  <w:style w:type="character" w:customStyle="1" w:styleId="NormalCharacter">
    <w:name w:val="NormalCharacter"/>
    <w:rsid w:val="006F4D6C"/>
  </w:style>
  <w:style w:type="paragraph" w:styleId="ListParagraph">
    <w:name w:val="List Paragraph"/>
    <w:basedOn w:val="Normal"/>
    <w:uiPriority w:val="34"/>
    <w:qFormat/>
    <w:rsid w:val="006046EC"/>
    <w:pPr>
      <w:ind w:firstLineChars="200" w:firstLine="420"/>
    </w:pPr>
  </w:style>
  <w:style w:type="paragraph" w:styleId="NormalWeb">
    <w:name w:val="Normal (Web)"/>
    <w:basedOn w:val="Normal"/>
    <w:uiPriority w:val="99"/>
    <w:semiHidden/>
    <w:unhideWhenUsed/>
    <w:rsid w:val="00A81D2A"/>
    <w:pPr>
      <w:widowControl/>
      <w:spacing w:before="100" w:beforeAutospacing="1" w:after="100" w:afterAutospacing="1"/>
      <w:jc w:val="left"/>
    </w:pPr>
    <w:rPr>
      <w:rFonts w:ascii="SimSun" w:eastAsia="SimSun" w:hAnsi="SimSun" w:cs="SimSun"/>
      <w:kern w:val="0"/>
      <w:sz w:val="24"/>
      <w:szCs w:val="24"/>
    </w:rPr>
  </w:style>
  <w:style w:type="paragraph" w:styleId="Bibliography">
    <w:name w:val="Bibliography"/>
    <w:basedOn w:val="Normal"/>
    <w:next w:val="Normal"/>
    <w:uiPriority w:val="37"/>
    <w:unhideWhenUsed/>
    <w:rsid w:val="00F40E1A"/>
  </w:style>
  <w:style w:type="character" w:customStyle="1" w:styleId="Heading3Char">
    <w:name w:val="Heading 3 Char"/>
    <w:basedOn w:val="DefaultParagraphFont"/>
    <w:link w:val="Heading3"/>
    <w:uiPriority w:val="9"/>
    <w:semiHidden/>
    <w:rsid w:val="0022730D"/>
    <w:rPr>
      <w:rFonts w:asciiTheme="majorHAnsi" w:eastAsiaTheme="majorEastAsia" w:hAnsiTheme="majorHAnsi" w:cstheme="majorBidi"/>
      <w:color w:val="1F3763" w:themeColor="accent1" w:themeShade="7F"/>
      <w:sz w:val="24"/>
      <w:szCs w:val="24"/>
    </w:rPr>
  </w:style>
  <w:style w:type="paragraph" w:customStyle="1" w:styleId="Author">
    <w:name w:val="Author"/>
    <w:basedOn w:val="Normal"/>
    <w:rsid w:val="00573AE3"/>
    <w:pPr>
      <w:widowControl/>
      <w:spacing w:line="280" w:lineRule="exact"/>
      <w:jc w:val="right"/>
    </w:pPr>
    <w:rPr>
      <w:rFonts w:ascii="Helvetica" w:eastAsia="Times New Roman" w:hAnsi="Helvetica" w:cs="Times New Roman"/>
      <w:b/>
      <w:kern w:val="0"/>
      <w:sz w:val="24"/>
      <w:szCs w:val="20"/>
      <w:lang w:eastAsia="en-US"/>
    </w:rPr>
  </w:style>
  <w:style w:type="character" w:styleId="Hyperlink">
    <w:name w:val="Hyperlink"/>
    <w:basedOn w:val="DefaultParagraphFont"/>
    <w:uiPriority w:val="99"/>
    <w:unhideWhenUsed/>
    <w:rsid w:val="0091117F"/>
    <w:rPr>
      <w:color w:val="0563C1" w:themeColor="hyperlink"/>
      <w:u w:val="single"/>
    </w:rPr>
  </w:style>
  <w:style w:type="character" w:styleId="UnresolvedMention">
    <w:name w:val="Unresolved Mention"/>
    <w:basedOn w:val="DefaultParagraphFont"/>
    <w:uiPriority w:val="99"/>
    <w:semiHidden/>
    <w:unhideWhenUsed/>
    <w:rsid w:val="00911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45">
      <w:bodyDiv w:val="1"/>
      <w:marLeft w:val="0"/>
      <w:marRight w:val="0"/>
      <w:marTop w:val="0"/>
      <w:marBottom w:val="0"/>
      <w:divBdr>
        <w:top w:val="none" w:sz="0" w:space="0" w:color="auto"/>
        <w:left w:val="none" w:sz="0" w:space="0" w:color="auto"/>
        <w:bottom w:val="none" w:sz="0" w:space="0" w:color="auto"/>
        <w:right w:val="none" w:sz="0" w:space="0" w:color="auto"/>
      </w:divBdr>
      <w:divsChild>
        <w:div w:id="997807243">
          <w:marLeft w:val="0"/>
          <w:marRight w:val="0"/>
          <w:marTop w:val="0"/>
          <w:marBottom w:val="0"/>
          <w:divBdr>
            <w:top w:val="none" w:sz="0" w:space="0" w:color="auto"/>
            <w:left w:val="none" w:sz="0" w:space="0" w:color="auto"/>
            <w:bottom w:val="none" w:sz="0" w:space="0" w:color="auto"/>
            <w:right w:val="none" w:sz="0" w:space="0" w:color="auto"/>
          </w:divBdr>
        </w:div>
      </w:divsChild>
    </w:div>
    <w:div w:id="34504268">
      <w:bodyDiv w:val="1"/>
      <w:marLeft w:val="0"/>
      <w:marRight w:val="0"/>
      <w:marTop w:val="0"/>
      <w:marBottom w:val="0"/>
      <w:divBdr>
        <w:top w:val="none" w:sz="0" w:space="0" w:color="auto"/>
        <w:left w:val="none" w:sz="0" w:space="0" w:color="auto"/>
        <w:bottom w:val="none" w:sz="0" w:space="0" w:color="auto"/>
        <w:right w:val="none" w:sz="0" w:space="0" w:color="auto"/>
      </w:divBdr>
      <w:divsChild>
        <w:div w:id="1565334510">
          <w:marLeft w:val="0"/>
          <w:marRight w:val="0"/>
          <w:marTop w:val="0"/>
          <w:marBottom w:val="0"/>
          <w:divBdr>
            <w:top w:val="none" w:sz="0" w:space="0" w:color="auto"/>
            <w:left w:val="none" w:sz="0" w:space="0" w:color="auto"/>
            <w:bottom w:val="none" w:sz="0" w:space="0" w:color="auto"/>
            <w:right w:val="none" w:sz="0" w:space="0" w:color="auto"/>
          </w:divBdr>
        </w:div>
      </w:divsChild>
    </w:div>
    <w:div w:id="63382829">
      <w:bodyDiv w:val="1"/>
      <w:marLeft w:val="0"/>
      <w:marRight w:val="0"/>
      <w:marTop w:val="0"/>
      <w:marBottom w:val="0"/>
      <w:divBdr>
        <w:top w:val="none" w:sz="0" w:space="0" w:color="auto"/>
        <w:left w:val="none" w:sz="0" w:space="0" w:color="auto"/>
        <w:bottom w:val="none" w:sz="0" w:space="0" w:color="auto"/>
        <w:right w:val="none" w:sz="0" w:space="0" w:color="auto"/>
      </w:divBdr>
      <w:divsChild>
        <w:div w:id="488205496">
          <w:marLeft w:val="0"/>
          <w:marRight w:val="0"/>
          <w:marTop w:val="0"/>
          <w:marBottom w:val="0"/>
          <w:divBdr>
            <w:top w:val="none" w:sz="0" w:space="0" w:color="auto"/>
            <w:left w:val="none" w:sz="0" w:space="0" w:color="auto"/>
            <w:bottom w:val="none" w:sz="0" w:space="0" w:color="auto"/>
            <w:right w:val="none" w:sz="0" w:space="0" w:color="auto"/>
          </w:divBdr>
        </w:div>
      </w:divsChild>
    </w:div>
    <w:div w:id="65997621">
      <w:bodyDiv w:val="1"/>
      <w:marLeft w:val="0"/>
      <w:marRight w:val="0"/>
      <w:marTop w:val="0"/>
      <w:marBottom w:val="0"/>
      <w:divBdr>
        <w:top w:val="none" w:sz="0" w:space="0" w:color="auto"/>
        <w:left w:val="none" w:sz="0" w:space="0" w:color="auto"/>
        <w:bottom w:val="none" w:sz="0" w:space="0" w:color="auto"/>
        <w:right w:val="none" w:sz="0" w:space="0" w:color="auto"/>
      </w:divBdr>
      <w:divsChild>
        <w:div w:id="1848133700">
          <w:marLeft w:val="0"/>
          <w:marRight w:val="0"/>
          <w:marTop w:val="0"/>
          <w:marBottom w:val="0"/>
          <w:divBdr>
            <w:top w:val="none" w:sz="0" w:space="0" w:color="auto"/>
            <w:left w:val="none" w:sz="0" w:space="0" w:color="auto"/>
            <w:bottom w:val="none" w:sz="0" w:space="0" w:color="auto"/>
            <w:right w:val="none" w:sz="0" w:space="0" w:color="auto"/>
          </w:divBdr>
        </w:div>
      </w:divsChild>
    </w:div>
    <w:div w:id="125973910">
      <w:bodyDiv w:val="1"/>
      <w:marLeft w:val="0"/>
      <w:marRight w:val="0"/>
      <w:marTop w:val="0"/>
      <w:marBottom w:val="0"/>
      <w:divBdr>
        <w:top w:val="none" w:sz="0" w:space="0" w:color="auto"/>
        <w:left w:val="none" w:sz="0" w:space="0" w:color="auto"/>
        <w:bottom w:val="none" w:sz="0" w:space="0" w:color="auto"/>
        <w:right w:val="none" w:sz="0" w:space="0" w:color="auto"/>
      </w:divBdr>
      <w:divsChild>
        <w:div w:id="1821918977">
          <w:marLeft w:val="0"/>
          <w:marRight w:val="0"/>
          <w:marTop w:val="0"/>
          <w:marBottom w:val="0"/>
          <w:divBdr>
            <w:top w:val="none" w:sz="0" w:space="0" w:color="auto"/>
            <w:left w:val="none" w:sz="0" w:space="0" w:color="auto"/>
            <w:bottom w:val="none" w:sz="0" w:space="0" w:color="auto"/>
            <w:right w:val="none" w:sz="0" w:space="0" w:color="auto"/>
          </w:divBdr>
        </w:div>
      </w:divsChild>
    </w:div>
    <w:div w:id="160660192">
      <w:bodyDiv w:val="1"/>
      <w:marLeft w:val="0"/>
      <w:marRight w:val="0"/>
      <w:marTop w:val="0"/>
      <w:marBottom w:val="0"/>
      <w:divBdr>
        <w:top w:val="none" w:sz="0" w:space="0" w:color="auto"/>
        <w:left w:val="none" w:sz="0" w:space="0" w:color="auto"/>
        <w:bottom w:val="none" w:sz="0" w:space="0" w:color="auto"/>
        <w:right w:val="none" w:sz="0" w:space="0" w:color="auto"/>
      </w:divBdr>
      <w:divsChild>
        <w:div w:id="1571312279">
          <w:marLeft w:val="0"/>
          <w:marRight w:val="0"/>
          <w:marTop w:val="0"/>
          <w:marBottom w:val="0"/>
          <w:divBdr>
            <w:top w:val="none" w:sz="0" w:space="0" w:color="auto"/>
            <w:left w:val="none" w:sz="0" w:space="0" w:color="auto"/>
            <w:bottom w:val="none" w:sz="0" w:space="0" w:color="auto"/>
            <w:right w:val="none" w:sz="0" w:space="0" w:color="auto"/>
          </w:divBdr>
        </w:div>
      </w:divsChild>
    </w:div>
    <w:div w:id="295260739">
      <w:bodyDiv w:val="1"/>
      <w:marLeft w:val="0"/>
      <w:marRight w:val="0"/>
      <w:marTop w:val="0"/>
      <w:marBottom w:val="0"/>
      <w:divBdr>
        <w:top w:val="none" w:sz="0" w:space="0" w:color="auto"/>
        <w:left w:val="none" w:sz="0" w:space="0" w:color="auto"/>
        <w:bottom w:val="none" w:sz="0" w:space="0" w:color="auto"/>
        <w:right w:val="none" w:sz="0" w:space="0" w:color="auto"/>
      </w:divBdr>
      <w:divsChild>
        <w:div w:id="1802841155">
          <w:marLeft w:val="0"/>
          <w:marRight w:val="0"/>
          <w:marTop w:val="0"/>
          <w:marBottom w:val="0"/>
          <w:divBdr>
            <w:top w:val="none" w:sz="0" w:space="0" w:color="auto"/>
            <w:left w:val="none" w:sz="0" w:space="0" w:color="auto"/>
            <w:bottom w:val="none" w:sz="0" w:space="0" w:color="auto"/>
            <w:right w:val="none" w:sz="0" w:space="0" w:color="auto"/>
          </w:divBdr>
        </w:div>
      </w:divsChild>
    </w:div>
    <w:div w:id="296029855">
      <w:bodyDiv w:val="1"/>
      <w:marLeft w:val="0"/>
      <w:marRight w:val="0"/>
      <w:marTop w:val="0"/>
      <w:marBottom w:val="0"/>
      <w:divBdr>
        <w:top w:val="none" w:sz="0" w:space="0" w:color="auto"/>
        <w:left w:val="none" w:sz="0" w:space="0" w:color="auto"/>
        <w:bottom w:val="none" w:sz="0" w:space="0" w:color="auto"/>
        <w:right w:val="none" w:sz="0" w:space="0" w:color="auto"/>
      </w:divBdr>
      <w:divsChild>
        <w:div w:id="1634747244">
          <w:marLeft w:val="0"/>
          <w:marRight w:val="0"/>
          <w:marTop w:val="0"/>
          <w:marBottom w:val="0"/>
          <w:divBdr>
            <w:top w:val="none" w:sz="0" w:space="0" w:color="auto"/>
            <w:left w:val="none" w:sz="0" w:space="0" w:color="auto"/>
            <w:bottom w:val="none" w:sz="0" w:space="0" w:color="auto"/>
            <w:right w:val="none" w:sz="0" w:space="0" w:color="auto"/>
          </w:divBdr>
        </w:div>
      </w:divsChild>
    </w:div>
    <w:div w:id="304822532">
      <w:bodyDiv w:val="1"/>
      <w:marLeft w:val="0"/>
      <w:marRight w:val="0"/>
      <w:marTop w:val="0"/>
      <w:marBottom w:val="0"/>
      <w:divBdr>
        <w:top w:val="none" w:sz="0" w:space="0" w:color="auto"/>
        <w:left w:val="none" w:sz="0" w:space="0" w:color="auto"/>
        <w:bottom w:val="none" w:sz="0" w:space="0" w:color="auto"/>
        <w:right w:val="none" w:sz="0" w:space="0" w:color="auto"/>
      </w:divBdr>
      <w:divsChild>
        <w:div w:id="1810706572">
          <w:marLeft w:val="0"/>
          <w:marRight w:val="0"/>
          <w:marTop w:val="0"/>
          <w:marBottom w:val="0"/>
          <w:divBdr>
            <w:top w:val="none" w:sz="0" w:space="0" w:color="auto"/>
            <w:left w:val="none" w:sz="0" w:space="0" w:color="auto"/>
            <w:bottom w:val="none" w:sz="0" w:space="0" w:color="auto"/>
            <w:right w:val="none" w:sz="0" w:space="0" w:color="auto"/>
          </w:divBdr>
        </w:div>
      </w:divsChild>
    </w:div>
    <w:div w:id="479614989">
      <w:bodyDiv w:val="1"/>
      <w:marLeft w:val="0"/>
      <w:marRight w:val="0"/>
      <w:marTop w:val="0"/>
      <w:marBottom w:val="0"/>
      <w:divBdr>
        <w:top w:val="none" w:sz="0" w:space="0" w:color="auto"/>
        <w:left w:val="none" w:sz="0" w:space="0" w:color="auto"/>
        <w:bottom w:val="none" w:sz="0" w:space="0" w:color="auto"/>
        <w:right w:val="none" w:sz="0" w:space="0" w:color="auto"/>
      </w:divBdr>
      <w:divsChild>
        <w:div w:id="1654602300">
          <w:marLeft w:val="0"/>
          <w:marRight w:val="0"/>
          <w:marTop w:val="0"/>
          <w:marBottom w:val="0"/>
          <w:divBdr>
            <w:top w:val="none" w:sz="0" w:space="0" w:color="auto"/>
            <w:left w:val="none" w:sz="0" w:space="0" w:color="auto"/>
            <w:bottom w:val="none" w:sz="0" w:space="0" w:color="auto"/>
            <w:right w:val="none" w:sz="0" w:space="0" w:color="auto"/>
          </w:divBdr>
        </w:div>
      </w:divsChild>
    </w:div>
    <w:div w:id="510293199">
      <w:bodyDiv w:val="1"/>
      <w:marLeft w:val="0"/>
      <w:marRight w:val="0"/>
      <w:marTop w:val="0"/>
      <w:marBottom w:val="0"/>
      <w:divBdr>
        <w:top w:val="none" w:sz="0" w:space="0" w:color="auto"/>
        <w:left w:val="none" w:sz="0" w:space="0" w:color="auto"/>
        <w:bottom w:val="none" w:sz="0" w:space="0" w:color="auto"/>
        <w:right w:val="none" w:sz="0" w:space="0" w:color="auto"/>
      </w:divBdr>
      <w:divsChild>
        <w:div w:id="680545596">
          <w:marLeft w:val="0"/>
          <w:marRight w:val="0"/>
          <w:marTop w:val="0"/>
          <w:marBottom w:val="0"/>
          <w:divBdr>
            <w:top w:val="none" w:sz="0" w:space="0" w:color="auto"/>
            <w:left w:val="none" w:sz="0" w:space="0" w:color="auto"/>
            <w:bottom w:val="none" w:sz="0" w:space="0" w:color="auto"/>
            <w:right w:val="none" w:sz="0" w:space="0" w:color="auto"/>
          </w:divBdr>
        </w:div>
      </w:divsChild>
    </w:div>
    <w:div w:id="57960623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39">
          <w:marLeft w:val="0"/>
          <w:marRight w:val="0"/>
          <w:marTop w:val="0"/>
          <w:marBottom w:val="0"/>
          <w:divBdr>
            <w:top w:val="none" w:sz="0" w:space="0" w:color="auto"/>
            <w:left w:val="none" w:sz="0" w:space="0" w:color="auto"/>
            <w:bottom w:val="none" w:sz="0" w:space="0" w:color="auto"/>
            <w:right w:val="none" w:sz="0" w:space="0" w:color="auto"/>
          </w:divBdr>
        </w:div>
      </w:divsChild>
    </w:div>
    <w:div w:id="646208125">
      <w:bodyDiv w:val="1"/>
      <w:marLeft w:val="0"/>
      <w:marRight w:val="0"/>
      <w:marTop w:val="0"/>
      <w:marBottom w:val="0"/>
      <w:divBdr>
        <w:top w:val="none" w:sz="0" w:space="0" w:color="auto"/>
        <w:left w:val="none" w:sz="0" w:space="0" w:color="auto"/>
        <w:bottom w:val="none" w:sz="0" w:space="0" w:color="auto"/>
        <w:right w:val="none" w:sz="0" w:space="0" w:color="auto"/>
      </w:divBdr>
      <w:divsChild>
        <w:div w:id="718241351">
          <w:marLeft w:val="0"/>
          <w:marRight w:val="0"/>
          <w:marTop w:val="0"/>
          <w:marBottom w:val="0"/>
          <w:divBdr>
            <w:top w:val="none" w:sz="0" w:space="0" w:color="auto"/>
            <w:left w:val="none" w:sz="0" w:space="0" w:color="auto"/>
            <w:bottom w:val="none" w:sz="0" w:space="0" w:color="auto"/>
            <w:right w:val="none" w:sz="0" w:space="0" w:color="auto"/>
          </w:divBdr>
        </w:div>
      </w:divsChild>
    </w:div>
    <w:div w:id="725835695">
      <w:bodyDiv w:val="1"/>
      <w:marLeft w:val="0"/>
      <w:marRight w:val="0"/>
      <w:marTop w:val="0"/>
      <w:marBottom w:val="0"/>
      <w:divBdr>
        <w:top w:val="none" w:sz="0" w:space="0" w:color="auto"/>
        <w:left w:val="none" w:sz="0" w:space="0" w:color="auto"/>
        <w:bottom w:val="none" w:sz="0" w:space="0" w:color="auto"/>
        <w:right w:val="none" w:sz="0" w:space="0" w:color="auto"/>
      </w:divBdr>
      <w:divsChild>
        <w:div w:id="97409505">
          <w:marLeft w:val="0"/>
          <w:marRight w:val="0"/>
          <w:marTop w:val="0"/>
          <w:marBottom w:val="0"/>
          <w:divBdr>
            <w:top w:val="none" w:sz="0" w:space="0" w:color="auto"/>
            <w:left w:val="none" w:sz="0" w:space="0" w:color="auto"/>
            <w:bottom w:val="none" w:sz="0" w:space="0" w:color="auto"/>
            <w:right w:val="none" w:sz="0" w:space="0" w:color="auto"/>
          </w:divBdr>
        </w:div>
      </w:divsChild>
    </w:div>
    <w:div w:id="855004163">
      <w:bodyDiv w:val="1"/>
      <w:marLeft w:val="0"/>
      <w:marRight w:val="0"/>
      <w:marTop w:val="0"/>
      <w:marBottom w:val="0"/>
      <w:divBdr>
        <w:top w:val="none" w:sz="0" w:space="0" w:color="auto"/>
        <w:left w:val="none" w:sz="0" w:space="0" w:color="auto"/>
        <w:bottom w:val="none" w:sz="0" w:space="0" w:color="auto"/>
        <w:right w:val="none" w:sz="0" w:space="0" w:color="auto"/>
      </w:divBdr>
      <w:divsChild>
        <w:div w:id="1876698042">
          <w:marLeft w:val="0"/>
          <w:marRight w:val="0"/>
          <w:marTop w:val="0"/>
          <w:marBottom w:val="0"/>
          <w:divBdr>
            <w:top w:val="none" w:sz="0" w:space="0" w:color="auto"/>
            <w:left w:val="none" w:sz="0" w:space="0" w:color="auto"/>
            <w:bottom w:val="none" w:sz="0" w:space="0" w:color="auto"/>
            <w:right w:val="none" w:sz="0" w:space="0" w:color="auto"/>
          </w:divBdr>
        </w:div>
      </w:divsChild>
    </w:div>
    <w:div w:id="873536383">
      <w:bodyDiv w:val="1"/>
      <w:marLeft w:val="0"/>
      <w:marRight w:val="0"/>
      <w:marTop w:val="0"/>
      <w:marBottom w:val="0"/>
      <w:divBdr>
        <w:top w:val="none" w:sz="0" w:space="0" w:color="auto"/>
        <w:left w:val="none" w:sz="0" w:space="0" w:color="auto"/>
        <w:bottom w:val="none" w:sz="0" w:space="0" w:color="auto"/>
        <w:right w:val="none" w:sz="0" w:space="0" w:color="auto"/>
      </w:divBdr>
      <w:divsChild>
        <w:div w:id="1554267959">
          <w:marLeft w:val="0"/>
          <w:marRight w:val="0"/>
          <w:marTop w:val="0"/>
          <w:marBottom w:val="0"/>
          <w:divBdr>
            <w:top w:val="none" w:sz="0" w:space="0" w:color="auto"/>
            <w:left w:val="none" w:sz="0" w:space="0" w:color="auto"/>
            <w:bottom w:val="none" w:sz="0" w:space="0" w:color="auto"/>
            <w:right w:val="none" w:sz="0" w:space="0" w:color="auto"/>
          </w:divBdr>
        </w:div>
      </w:divsChild>
    </w:div>
    <w:div w:id="1099985318">
      <w:bodyDiv w:val="1"/>
      <w:marLeft w:val="0"/>
      <w:marRight w:val="0"/>
      <w:marTop w:val="0"/>
      <w:marBottom w:val="0"/>
      <w:divBdr>
        <w:top w:val="none" w:sz="0" w:space="0" w:color="auto"/>
        <w:left w:val="none" w:sz="0" w:space="0" w:color="auto"/>
        <w:bottom w:val="none" w:sz="0" w:space="0" w:color="auto"/>
        <w:right w:val="none" w:sz="0" w:space="0" w:color="auto"/>
      </w:divBdr>
      <w:divsChild>
        <w:div w:id="1626161412">
          <w:marLeft w:val="0"/>
          <w:marRight w:val="0"/>
          <w:marTop w:val="0"/>
          <w:marBottom w:val="0"/>
          <w:divBdr>
            <w:top w:val="none" w:sz="0" w:space="0" w:color="auto"/>
            <w:left w:val="none" w:sz="0" w:space="0" w:color="auto"/>
            <w:bottom w:val="none" w:sz="0" w:space="0" w:color="auto"/>
            <w:right w:val="none" w:sz="0" w:space="0" w:color="auto"/>
          </w:divBdr>
        </w:div>
      </w:divsChild>
    </w:div>
    <w:div w:id="1100955608">
      <w:bodyDiv w:val="1"/>
      <w:marLeft w:val="0"/>
      <w:marRight w:val="0"/>
      <w:marTop w:val="0"/>
      <w:marBottom w:val="0"/>
      <w:divBdr>
        <w:top w:val="none" w:sz="0" w:space="0" w:color="auto"/>
        <w:left w:val="none" w:sz="0" w:space="0" w:color="auto"/>
        <w:bottom w:val="none" w:sz="0" w:space="0" w:color="auto"/>
        <w:right w:val="none" w:sz="0" w:space="0" w:color="auto"/>
      </w:divBdr>
      <w:divsChild>
        <w:div w:id="1865895379">
          <w:marLeft w:val="0"/>
          <w:marRight w:val="0"/>
          <w:marTop w:val="0"/>
          <w:marBottom w:val="0"/>
          <w:divBdr>
            <w:top w:val="none" w:sz="0" w:space="0" w:color="auto"/>
            <w:left w:val="none" w:sz="0" w:space="0" w:color="auto"/>
            <w:bottom w:val="none" w:sz="0" w:space="0" w:color="auto"/>
            <w:right w:val="none" w:sz="0" w:space="0" w:color="auto"/>
          </w:divBdr>
        </w:div>
      </w:divsChild>
    </w:div>
    <w:div w:id="1111704204">
      <w:bodyDiv w:val="1"/>
      <w:marLeft w:val="0"/>
      <w:marRight w:val="0"/>
      <w:marTop w:val="0"/>
      <w:marBottom w:val="0"/>
      <w:divBdr>
        <w:top w:val="none" w:sz="0" w:space="0" w:color="auto"/>
        <w:left w:val="none" w:sz="0" w:space="0" w:color="auto"/>
        <w:bottom w:val="none" w:sz="0" w:space="0" w:color="auto"/>
        <w:right w:val="none" w:sz="0" w:space="0" w:color="auto"/>
      </w:divBdr>
      <w:divsChild>
        <w:div w:id="153647798">
          <w:marLeft w:val="0"/>
          <w:marRight w:val="0"/>
          <w:marTop w:val="0"/>
          <w:marBottom w:val="0"/>
          <w:divBdr>
            <w:top w:val="none" w:sz="0" w:space="0" w:color="auto"/>
            <w:left w:val="none" w:sz="0" w:space="0" w:color="auto"/>
            <w:bottom w:val="none" w:sz="0" w:space="0" w:color="auto"/>
            <w:right w:val="none" w:sz="0" w:space="0" w:color="auto"/>
          </w:divBdr>
        </w:div>
      </w:divsChild>
    </w:div>
    <w:div w:id="1184398176">
      <w:bodyDiv w:val="1"/>
      <w:marLeft w:val="0"/>
      <w:marRight w:val="0"/>
      <w:marTop w:val="0"/>
      <w:marBottom w:val="0"/>
      <w:divBdr>
        <w:top w:val="none" w:sz="0" w:space="0" w:color="auto"/>
        <w:left w:val="none" w:sz="0" w:space="0" w:color="auto"/>
        <w:bottom w:val="none" w:sz="0" w:space="0" w:color="auto"/>
        <w:right w:val="none" w:sz="0" w:space="0" w:color="auto"/>
      </w:divBdr>
      <w:divsChild>
        <w:div w:id="535626854">
          <w:marLeft w:val="0"/>
          <w:marRight w:val="0"/>
          <w:marTop w:val="0"/>
          <w:marBottom w:val="0"/>
          <w:divBdr>
            <w:top w:val="none" w:sz="0" w:space="0" w:color="auto"/>
            <w:left w:val="none" w:sz="0" w:space="0" w:color="auto"/>
            <w:bottom w:val="none" w:sz="0" w:space="0" w:color="auto"/>
            <w:right w:val="none" w:sz="0" w:space="0" w:color="auto"/>
          </w:divBdr>
        </w:div>
      </w:divsChild>
    </w:div>
    <w:div w:id="1250233471">
      <w:bodyDiv w:val="1"/>
      <w:marLeft w:val="0"/>
      <w:marRight w:val="0"/>
      <w:marTop w:val="0"/>
      <w:marBottom w:val="0"/>
      <w:divBdr>
        <w:top w:val="none" w:sz="0" w:space="0" w:color="auto"/>
        <w:left w:val="none" w:sz="0" w:space="0" w:color="auto"/>
        <w:bottom w:val="none" w:sz="0" w:space="0" w:color="auto"/>
        <w:right w:val="none" w:sz="0" w:space="0" w:color="auto"/>
      </w:divBdr>
      <w:divsChild>
        <w:div w:id="1642272551">
          <w:marLeft w:val="0"/>
          <w:marRight w:val="0"/>
          <w:marTop w:val="0"/>
          <w:marBottom w:val="0"/>
          <w:divBdr>
            <w:top w:val="none" w:sz="0" w:space="0" w:color="auto"/>
            <w:left w:val="none" w:sz="0" w:space="0" w:color="auto"/>
            <w:bottom w:val="none" w:sz="0" w:space="0" w:color="auto"/>
            <w:right w:val="none" w:sz="0" w:space="0" w:color="auto"/>
          </w:divBdr>
        </w:div>
      </w:divsChild>
    </w:div>
    <w:div w:id="1347514659">
      <w:bodyDiv w:val="1"/>
      <w:marLeft w:val="0"/>
      <w:marRight w:val="0"/>
      <w:marTop w:val="0"/>
      <w:marBottom w:val="0"/>
      <w:divBdr>
        <w:top w:val="none" w:sz="0" w:space="0" w:color="auto"/>
        <w:left w:val="none" w:sz="0" w:space="0" w:color="auto"/>
        <w:bottom w:val="none" w:sz="0" w:space="0" w:color="auto"/>
        <w:right w:val="none" w:sz="0" w:space="0" w:color="auto"/>
      </w:divBdr>
      <w:divsChild>
        <w:div w:id="1423650021">
          <w:marLeft w:val="0"/>
          <w:marRight w:val="0"/>
          <w:marTop w:val="0"/>
          <w:marBottom w:val="0"/>
          <w:divBdr>
            <w:top w:val="none" w:sz="0" w:space="0" w:color="auto"/>
            <w:left w:val="none" w:sz="0" w:space="0" w:color="auto"/>
            <w:bottom w:val="none" w:sz="0" w:space="0" w:color="auto"/>
            <w:right w:val="none" w:sz="0" w:space="0" w:color="auto"/>
          </w:divBdr>
        </w:div>
      </w:divsChild>
    </w:div>
    <w:div w:id="1395350948">
      <w:bodyDiv w:val="1"/>
      <w:marLeft w:val="0"/>
      <w:marRight w:val="0"/>
      <w:marTop w:val="0"/>
      <w:marBottom w:val="0"/>
      <w:divBdr>
        <w:top w:val="none" w:sz="0" w:space="0" w:color="auto"/>
        <w:left w:val="none" w:sz="0" w:space="0" w:color="auto"/>
        <w:bottom w:val="none" w:sz="0" w:space="0" w:color="auto"/>
        <w:right w:val="none" w:sz="0" w:space="0" w:color="auto"/>
      </w:divBdr>
      <w:divsChild>
        <w:div w:id="707532660">
          <w:marLeft w:val="0"/>
          <w:marRight w:val="0"/>
          <w:marTop w:val="0"/>
          <w:marBottom w:val="0"/>
          <w:divBdr>
            <w:top w:val="none" w:sz="0" w:space="0" w:color="auto"/>
            <w:left w:val="none" w:sz="0" w:space="0" w:color="auto"/>
            <w:bottom w:val="none" w:sz="0" w:space="0" w:color="auto"/>
            <w:right w:val="none" w:sz="0" w:space="0" w:color="auto"/>
          </w:divBdr>
        </w:div>
      </w:divsChild>
    </w:div>
    <w:div w:id="1654136123">
      <w:bodyDiv w:val="1"/>
      <w:marLeft w:val="0"/>
      <w:marRight w:val="0"/>
      <w:marTop w:val="0"/>
      <w:marBottom w:val="0"/>
      <w:divBdr>
        <w:top w:val="none" w:sz="0" w:space="0" w:color="auto"/>
        <w:left w:val="none" w:sz="0" w:space="0" w:color="auto"/>
        <w:bottom w:val="none" w:sz="0" w:space="0" w:color="auto"/>
        <w:right w:val="none" w:sz="0" w:space="0" w:color="auto"/>
      </w:divBdr>
      <w:divsChild>
        <w:div w:id="814759359">
          <w:marLeft w:val="0"/>
          <w:marRight w:val="0"/>
          <w:marTop w:val="0"/>
          <w:marBottom w:val="0"/>
          <w:divBdr>
            <w:top w:val="none" w:sz="0" w:space="0" w:color="auto"/>
            <w:left w:val="none" w:sz="0" w:space="0" w:color="auto"/>
            <w:bottom w:val="none" w:sz="0" w:space="0" w:color="auto"/>
            <w:right w:val="none" w:sz="0" w:space="0" w:color="auto"/>
          </w:divBdr>
        </w:div>
      </w:divsChild>
    </w:div>
    <w:div w:id="1661231858">
      <w:bodyDiv w:val="1"/>
      <w:marLeft w:val="0"/>
      <w:marRight w:val="0"/>
      <w:marTop w:val="0"/>
      <w:marBottom w:val="0"/>
      <w:divBdr>
        <w:top w:val="none" w:sz="0" w:space="0" w:color="auto"/>
        <w:left w:val="none" w:sz="0" w:space="0" w:color="auto"/>
        <w:bottom w:val="none" w:sz="0" w:space="0" w:color="auto"/>
        <w:right w:val="none" w:sz="0" w:space="0" w:color="auto"/>
      </w:divBdr>
      <w:divsChild>
        <w:div w:id="9336376">
          <w:marLeft w:val="0"/>
          <w:marRight w:val="0"/>
          <w:marTop w:val="0"/>
          <w:marBottom w:val="0"/>
          <w:divBdr>
            <w:top w:val="none" w:sz="0" w:space="0" w:color="auto"/>
            <w:left w:val="none" w:sz="0" w:space="0" w:color="auto"/>
            <w:bottom w:val="none" w:sz="0" w:space="0" w:color="auto"/>
            <w:right w:val="none" w:sz="0" w:space="0" w:color="auto"/>
          </w:divBdr>
        </w:div>
      </w:divsChild>
    </w:div>
    <w:div w:id="1689676757">
      <w:bodyDiv w:val="1"/>
      <w:marLeft w:val="0"/>
      <w:marRight w:val="0"/>
      <w:marTop w:val="0"/>
      <w:marBottom w:val="0"/>
      <w:divBdr>
        <w:top w:val="none" w:sz="0" w:space="0" w:color="auto"/>
        <w:left w:val="none" w:sz="0" w:space="0" w:color="auto"/>
        <w:bottom w:val="none" w:sz="0" w:space="0" w:color="auto"/>
        <w:right w:val="none" w:sz="0" w:space="0" w:color="auto"/>
      </w:divBdr>
      <w:divsChild>
        <w:div w:id="1941061205">
          <w:marLeft w:val="0"/>
          <w:marRight w:val="0"/>
          <w:marTop w:val="0"/>
          <w:marBottom w:val="0"/>
          <w:divBdr>
            <w:top w:val="none" w:sz="0" w:space="0" w:color="auto"/>
            <w:left w:val="none" w:sz="0" w:space="0" w:color="auto"/>
            <w:bottom w:val="none" w:sz="0" w:space="0" w:color="auto"/>
            <w:right w:val="none" w:sz="0" w:space="0" w:color="auto"/>
          </w:divBdr>
        </w:div>
      </w:divsChild>
    </w:div>
    <w:div w:id="1716392439">
      <w:bodyDiv w:val="1"/>
      <w:marLeft w:val="0"/>
      <w:marRight w:val="0"/>
      <w:marTop w:val="0"/>
      <w:marBottom w:val="0"/>
      <w:divBdr>
        <w:top w:val="none" w:sz="0" w:space="0" w:color="auto"/>
        <w:left w:val="none" w:sz="0" w:space="0" w:color="auto"/>
        <w:bottom w:val="none" w:sz="0" w:space="0" w:color="auto"/>
        <w:right w:val="none" w:sz="0" w:space="0" w:color="auto"/>
      </w:divBdr>
      <w:divsChild>
        <w:div w:id="1244529757">
          <w:marLeft w:val="0"/>
          <w:marRight w:val="0"/>
          <w:marTop w:val="0"/>
          <w:marBottom w:val="0"/>
          <w:divBdr>
            <w:top w:val="none" w:sz="0" w:space="0" w:color="auto"/>
            <w:left w:val="none" w:sz="0" w:space="0" w:color="auto"/>
            <w:bottom w:val="none" w:sz="0" w:space="0" w:color="auto"/>
            <w:right w:val="none" w:sz="0" w:space="0" w:color="auto"/>
          </w:divBdr>
        </w:div>
      </w:divsChild>
    </w:div>
    <w:div w:id="1775783567">
      <w:bodyDiv w:val="1"/>
      <w:marLeft w:val="0"/>
      <w:marRight w:val="0"/>
      <w:marTop w:val="0"/>
      <w:marBottom w:val="0"/>
      <w:divBdr>
        <w:top w:val="none" w:sz="0" w:space="0" w:color="auto"/>
        <w:left w:val="none" w:sz="0" w:space="0" w:color="auto"/>
        <w:bottom w:val="none" w:sz="0" w:space="0" w:color="auto"/>
        <w:right w:val="none" w:sz="0" w:space="0" w:color="auto"/>
      </w:divBdr>
      <w:divsChild>
        <w:div w:id="637299732">
          <w:marLeft w:val="0"/>
          <w:marRight w:val="0"/>
          <w:marTop w:val="0"/>
          <w:marBottom w:val="0"/>
          <w:divBdr>
            <w:top w:val="none" w:sz="0" w:space="0" w:color="auto"/>
            <w:left w:val="none" w:sz="0" w:space="0" w:color="auto"/>
            <w:bottom w:val="none" w:sz="0" w:space="0" w:color="auto"/>
            <w:right w:val="none" w:sz="0" w:space="0" w:color="auto"/>
          </w:divBdr>
        </w:div>
      </w:divsChild>
    </w:div>
    <w:div w:id="1778721055">
      <w:bodyDiv w:val="1"/>
      <w:marLeft w:val="0"/>
      <w:marRight w:val="0"/>
      <w:marTop w:val="0"/>
      <w:marBottom w:val="0"/>
      <w:divBdr>
        <w:top w:val="none" w:sz="0" w:space="0" w:color="auto"/>
        <w:left w:val="none" w:sz="0" w:space="0" w:color="auto"/>
        <w:bottom w:val="none" w:sz="0" w:space="0" w:color="auto"/>
        <w:right w:val="none" w:sz="0" w:space="0" w:color="auto"/>
      </w:divBdr>
      <w:divsChild>
        <w:div w:id="1482622609">
          <w:marLeft w:val="0"/>
          <w:marRight w:val="0"/>
          <w:marTop w:val="0"/>
          <w:marBottom w:val="0"/>
          <w:divBdr>
            <w:top w:val="none" w:sz="0" w:space="0" w:color="auto"/>
            <w:left w:val="none" w:sz="0" w:space="0" w:color="auto"/>
            <w:bottom w:val="none" w:sz="0" w:space="0" w:color="auto"/>
            <w:right w:val="none" w:sz="0" w:space="0" w:color="auto"/>
          </w:divBdr>
        </w:div>
      </w:divsChild>
    </w:div>
    <w:div w:id="1831091659">
      <w:bodyDiv w:val="1"/>
      <w:marLeft w:val="0"/>
      <w:marRight w:val="0"/>
      <w:marTop w:val="0"/>
      <w:marBottom w:val="0"/>
      <w:divBdr>
        <w:top w:val="none" w:sz="0" w:space="0" w:color="auto"/>
        <w:left w:val="none" w:sz="0" w:space="0" w:color="auto"/>
        <w:bottom w:val="none" w:sz="0" w:space="0" w:color="auto"/>
        <w:right w:val="none" w:sz="0" w:space="0" w:color="auto"/>
      </w:divBdr>
      <w:divsChild>
        <w:div w:id="317077794">
          <w:marLeft w:val="0"/>
          <w:marRight w:val="0"/>
          <w:marTop w:val="0"/>
          <w:marBottom w:val="0"/>
          <w:divBdr>
            <w:top w:val="none" w:sz="0" w:space="0" w:color="auto"/>
            <w:left w:val="none" w:sz="0" w:space="0" w:color="auto"/>
            <w:bottom w:val="none" w:sz="0" w:space="0" w:color="auto"/>
            <w:right w:val="none" w:sz="0" w:space="0" w:color="auto"/>
          </w:divBdr>
        </w:div>
      </w:divsChild>
    </w:div>
    <w:div w:id="2070420644">
      <w:bodyDiv w:val="1"/>
      <w:marLeft w:val="0"/>
      <w:marRight w:val="0"/>
      <w:marTop w:val="0"/>
      <w:marBottom w:val="0"/>
      <w:divBdr>
        <w:top w:val="none" w:sz="0" w:space="0" w:color="auto"/>
        <w:left w:val="none" w:sz="0" w:space="0" w:color="auto"/>
        <w:bottom w:val="none" w:sz="0" w:space="0" w:color="auto"/>
        <w:right w:val="none" w:sz="0" w:space="0" w:color="auto"/>
      </w:divBdr>
      <w:divsChild>
        <w:div w:id="1363703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8BFA1-E796-454E-8810-117AF9FB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2886</TotalTime>
  <Pages>11</Pages>
  <Words>11813</Words>
  <Characters>67336</Characters>
  <Application>Microsoft Office Word</Application>
  <DocSecurity>0</DocSecurity>
  <Lines>561</Lines>
  <Paragraphs>157</Paragraphs>
  <ScaleCrop>false</ScaleCrop>
  <Company/>
  <LinksUpToDate>false</LinksUpToDate>
  <CharactersWithSpaces>78992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若飞 王</dc:creator>
  <cp:keywords/>
  <dc:description/>
  <cp:lastModifiedBy>SDI PC New 16</cp:lastModifiedBy>
  <cp:revision>112</cp:revision>
  <cp:lastPrinted>2024-05-12T03:58:00Z</cp:lastPrinted>
  <dcterms:created xsi:type="dcterms:W3CDTF">2024-05-07T11:46:00Z</dcterms:created>
  <dcterms:modified xsi:type="dcterms:W3CDTF">2025-11-18T06:49:00Z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id="0fyLBamx"/&gt;&lt;style id="http://www.zotero.org/styles/gb-t-7714-2015-numeric-auup-bilan-ce" hasBibliography="1" bibliographyStyleHasBeenSet="1"/&gt;&lt;prefs&gt;&lt;pref name="fieldType" value="Field"/&gt;&lt;/prefs&gt;</vt:lpwstr>
  </property>
  <property fmtid="{D5CDD505-2E9C-101B-9397-08002B2CF9AE}" pid="3" name="ZOTERO_PREF_2">
    <vt:lpwstr>&lt;/data&gt;</vt:lpwstr>
  </property>
</Properties>
</file>