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BB02F" w14:textId="77777777" w:rsidR="001C4E58" w:rsidRPr="001C4E58" w:rsidRDefault="001C4E58" w:rsidP="001C6C3C">
      <w:pPr>
        <w:pStyle w:val="Author"/>
        <w:jc w:val="center"/>
        <w:rPr>
          <w:rFonts w:ascii="Arial" w:hAnsi="Arial" w:cs="Arial"/>
          <w:bCs/>
          <w:i/>
          <w:iCs/>
          <w:kern w:val="28"/>
          <w:sz w:val="18"/>
          <w:szCs w:val="18"/>
          <w:u w:val="single"/>
        </w:rPr>
      </w:pPr>
      <w:r w:rsidRPr="001C4E58">
        <w:rPr>
          <w:rFonts w:ascii="Arial" w:hAnsi="Arial" w:cs="Arial"/>
          <w:bCs/>
          <w:i/>
          <w:iCs/>
          <w:kern w:val="28"/>
          <w:sz w:val="18"/>
          <w:szCs w:val="18"/>
          <w:u w:val="single"/>
        </w:rPr>
        <w:t>Original Research Article</w:t>
      </w:r>
    </w:p>
    <w:p w14:paraId="5B044CE9" w14:textId="4D34F10E" w:rsidR="00470553" w:rsidRPr="00470553" w:rsidRDefault="00470553" w:rsidP="00301EE5">
      <w:pPr>
        <w:pStyle w:val="Author"/>
        <w:spacing w:line="240" w:lineRule="auto"/>
        <w:rPr>
          <w:rFonts w:ascii="Arial" w:hAnsi="Arial" w:cs="Arial"/>
          <w:bCs/>
          <w:i/>
          <w:iCs/>
          <w:kern w:val="28"/>
          <w:sz w:val="36"/>
        </w:rPr>
      </w:pPr>
      <w:bookmarkStart w:id="0" w:name="_GoBack"/>
      <w:bookmarkEnd w:id="0"/>
      <w:r>
        <w:rPr>
          <w:rFonts w:ascii="Arial" w:hAnsi="Arial" w:cs="Arial"/>
          <w:bCs/>
          <w:iCs/>
          <w:kern w:val="28"/>
          <w:sz w:val="36"/>
        </w:rPr>
        <w:t xml:space="preserve">Development and Characterization of a Beverage Concentrate from </w:t>
      </w:r>
      <w:r>
        <w:rPr>
          <w:rFonts w:ascii="Arial" w:hAnsi="Arial" w:cs="Arial"/>
          <w:bCs/>
          <w:i/>
          <w:iCs/>
          <w:kern w:val="28"/>
          <w:sz w:val="36"/>
        </w:rPr>
        <w:t xml:space="preserve">Garcinia </w:t>
      </w:r>
      <w:proofErr w:type="spellStart"/>
      <w:r>
        <w:rPr>
          <w:rFonts w:ascii="Arial" w:hAnsi="Arial" w:cs="Arial"/>
          <w:bCs/>
          <w:i/>
          <w:iCs/>
          <w:kern w:val="28"/>
          <w:sz w:val="36"/>
        </w:rPr>
        <w:t>atroviridis</w:t>
      </w:r>
      <w:proofErr w:type="spellEnd"/>
      <w:r>
        <w:rPr>
          <w:rFonts w:ascii="Arial" w:hAnsi="Arial" w:cs="Arial"/>
          <w:bCs/>
          <w:i/>
          <w:iCs/>
          <w:kern w:val="28"/>
          <w:sz w:val="36"/>
        </w:rPr>
        <w:t xml:space="preserve"> Fruit and Leaf </w:t>
      </w:r>
    </w:p>
    <w:p w14:paraId="3AFDACD5" w14:textId="0F9D9984" w:rsidR="00B01FCD" w:rsidRDefault="00384689" w:rsidP="00F15A2A">
      <w:pPr>
        <w:pStyle w:val="AbstHead"/>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89"/>
      </w:tblGrid>
      <w:tr w:rsidR="00296529" w:rsidRPr="001E44FE" w14:paraId="69277110" w14:textId="77777777" w:rsidTr="00301EE5">
        <w:tc>
          <w:tcPr>
            <w:tcW w:w="8889" w:type="dxa"/>
            <w:shd w:val="clear" w:color="auto" w:fill="F2F2F2"/>
          </w:tcPr>
          <w:p w14:paraId="272E7889" w14:textId="3E658822"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Aims</w:t>
            </w:r>
            <w:r w:rsidR="009B4251">
              <w:rPr>
                <w:rFonts w:ascii="Arial" w:eastAsia="Calibri" w:hAnsi="Arial" w:cs="Arial"/>
                <w:b/>
                <w:szCs w:val="22"/>
              </w:rPr>
              <w:t xml:space="preserve">: </w:t>
            </w:r>
            <w:r w:rsidR="009B4251" w:rsidRPr="009B4251">
              <w:rPr>
                <w:rFonts w:ascii="Arial" w:eastAsia="Calibri" w:hAnsi="Arial" w:cs="Arial"/>
                <w:szCs w:val="22"/>
              </w:rPr>
              <w:t xml:space="preserve">To formulate a </w:t>
            </w:r>
            <w:r w:rsidR="009B4251" w:rsidRPr="00F15A2A">
              <w:rPr>
                <w:rFonts w:ascii="Arial" w:eastAsia="Calibri" w:hAnsi="Arial" w:cs="Arial"/>
                <w:i/>
                <w:szCs w:val="22"/>
              </w:rPr>
              <w:t>Garcinia</w:t>
            </w:r>
            <w:r w:rsidR="009B4251" w:rsidRPr="009B4251">
              <w:rPr>
                <w:rFonts w:ascii="Arial" w:eastAsia="Calibri" w:hAnsi="Arial" w:cs="Arial"/>
                <w:szCs w:val="22"/>
              </w:rPr>
              <w:t xml:space="preserve"> </w:t>
            </w:r>
            <w:proofErr w:type="spellStart"/>
            <w:r w:rsidR="009B4251" w:rsidRPr="00F15A2A">
              <w:rPr>
                <w:rFonts w:ascii="Arial" w:eastAsia="Calibri" w:hAnsi="Arial" w:cs="Arial"/>
                <w:i/>
                <w:szCs w:val="22"/>
              </w:rPr>
              <w:t>atroviridis</w:t>
            </w:r>
            <w:proofErr w:type="spellEnd"/>
            <w:r w:rsidR="009B4251" w:rsidRPr="009B4251">
              <w:rPr>
                <w:rFonts w:ascii="Arial" w:eastAsia="Calibri" w:hAnsi="Arial" w:cs="Arial"/>
                <w:szCs w:val="22"/>
              </w:rPr>
              <w:t xml:space="preserve"> (</w:t>
            </w:r>
            <w:proofErr w:type="spellStart"/>
            <w:r w:rsidR="009B4251" w:rsidRPr="009B4251">
              <w:rPr>
                <w:rFonts w:ascii="Arial" w:eastAsia="Calibri" w:hAnsi="Arial" w:cs="Arial"/>
                <w:szCs w:val="22"/>
              </w:rPr>
              <w:t>asam</w:t>
            </w:r>
            <w:proofErr w:type="spellEnd"/>
            <w:r w:rsidR="009B4251" w:rsidRPr="009B4251">
              <w:rPr>
                <w:rFonts w:ascii="Arial" w:eastAsia="Calibri" w:hAnsi="Arial" w:cs="Arial"/>
                <w:szCs w:val="22"/>
              </w:rPr>
              <w:t xml:space="preserve"> </w:t>
            </w:r>
            <w:proofErr w:type="spellStart"/>
            <w:r w:rsidR="009B4251" w:rsidRPr="009B4251">
              <w:rPr>
                <w:rFonts w:ascii="Arial" w:eastAsia="Calibri" w:hAnsi="Arial" w:cs="Arial"/>
                <w:szCs w:val="22"/>
              </w:rPr>
              <w:t>gelugur</w:t>
            </w:r>
            <w:proofErr w:type="spellEnd"/>
            <w:r w:rsidR="009B4251" w:rsidRPr="009B4251">
              <w:rPr>
                <w:rFonts w:ascii="Arial" w:eastAsia="Calibri" w:hAnsi="Arial" w:cs="Arial"/>
                <w:szCs w:val="22"/>
              </w:rPr>
              <w:t>) beverage concentrate with enhanced sensory acceptability and high hydroxycitric acid (HCA) content by balancing fruit acidity with young leaf extract, and to evaluate its nutritional composition and shelf-life stability.</w:t>
            </w:r>
          </w:p>
          <w:p w14:paraId="3CD2D6FE" w14:textId="7F19732A"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Study design:</w:t>
            </w:r>
            <w:r w:rsidR="009B4251">
              <w:rPr>
                <w:rFonts w:ascii="Arial" w:eastAsia="Calibri" w:hAnsi="Arial" w:cs="Arial"/>
                <w:b/>
                <w:szCs w:val="22"/>
              </w:rPr>
              <w:t xml:space="preserve"> </w:t>
            </w:r>
            <w:r w:rsidR="009B4251" w:rsidRPr="009B4251">
              <w:rPr>
                <w:rFonts w:ascii="Arial" w:eastAsia="Calibri" w:hAnsi="Arial" w:cs="Arial"/>
                <w:szCs w:val="22"/>
              </w:rPr>
              <w:t xml:space="preserve">A three-factor D-optimal mixture design was used to optimize the proportions of fruit juice, young leaf extract, and </w:t>
            </w:r>
            <w:proofErr w:type="spellStart"/>
            <w:r w:rsidR="009B4251" w:rsidRPr="009B4251">
              <w:rPr>
                <w:rFonts w:ascii="Arial" w:eastAsia="Calibri" w:hAnsi="Arial" w:cs="Arial"/>
                <w:szCs w:val="22"/>
              </w:rPr>
              <w:t>fructooligosaccharides</w:t>
            </w:r>
            <w:proofErr w:type="spellEnd"/>
            <w:r w:rsidR="009B4251" w:rsidRPr="009B4251">
              <w:rPr>
                <w:rFonts w:ascii="Arial" w:eastAsia="Calibri" w:hAnsi="Arial" w:cs="Arial"/>
                <w:szCs w:val="22"/>
              </w:rPr>
              <w:t xml:space="preserve"> (FOS). Sensory acceptance (7-point hedonic), viscosity, and HCA content were modeled. The optimized formulation was characterized for nutritional and physicochemical properties. An accelerated storage study assessed product stability.</w:t>
            </w:r>
          </w:p>
          <w:p w14:paraId="7F8EA317" w14:textId="1F41866F"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B4251" w:rsidRPr="009B4251">
              <w:rPr>
                <w:rFonts w:ascii="Arial" w:eastAsia="Calibri" w:hAnsi="Arial" w:cs="Arial"/>
                <w:szCs w:val="22"/>
              </w:rPr>
              <w:t xml:space="preserve">Raw materials were sourced from Johor, Malaysia; laboratory work was conducted </w:t>
            </w:r>
            <w:r w:rsidR="009B4251">
              <w:rPr>
                <w:rFonts w:ascii="Arial" w:eastAsia="Calibri" w:hAnsi="Arial" w:cs="Arial"/>
                <w:szCs w:val="22"/>
              </w:rPr>
              <w:t xml:space="preserve">at Food Science and Technology Research Center MARDI from </w:t>
            </w:r>
            <w:r w:rsidR="009B4251" w:rsidRPr="009B4251">
              <w:rPr>
                <w:rFonts w:ascii="Arial" w:eastAsia="Calibri" w:hAnsi="Arial" w:cs="Arial"/>
                <w:szCs w:val="22"/>
              </w:rPr>
              <w:t xml:space="preserve">August 2022 </w:t>
            </w:r>
            <w:r w:rsidR="009B4251">
              <w:rPr>
                <w:rFonts w:ascii="Arial" w:eastAsia="Calibri" w:hAnsi="Arial" w:cs="Arial"/>
                <w:szCs w:val="22"/>
              </w:rPr>
              <w:t>to</w:t>
            </w:r>
            <w:r w:rsidR="009B4251" w:rsidRPr="009B4251">
              <w:rPr>
                <w:rFonts w:ascii="Arial" w:eastAsia="Calibri" w:hAnsi="Arial" w:cs="Arial"/>
                <w:szCs w:val="22"/>
              </w:rPr>
              <w:t xml:space="preserve"> December 2023.</w:t>
            </w:r>
          </w:p>
          <w:p w14:paraId="1E139AE0" w14:textId="0310955C"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bCs/>
                <w:szCs w:val="22"/>
              </w:rPr>
              <w:t>Methodology</w:t>
            </w:r>
            <w:r w:rsidR="00F909D6">
              <w:rPr>
                <w:rFonts w:ascii="Arial" w:eastAsia="Calibri" w:hAnsi="Arial" w:cs="Arial"/>
                <w:b/>
                <w:bCs/>
                <w:szCs w:val="22"/>
              </w:rPr>
              <w:t xml:space="preserve">: </w:t>
            </w:r>
            <w:r w:rsidR="009B4251" w:rsidRPr="009B4251">
              <w:rPr>
                <w:rFonts w:ascii="Arial" w:eastAsia="Calibri" w:hAnsi="Arial" w:cs="Arial"/>
                <w:szCs w:val="22"/>
              </w:rPr>
              <w:t>A D-optimal mixture design (16 runs) used fruit juice (10–20% v/v), young leaf extract (50–70% v/v, 1:5 w/w), and FOS (5–10% w/v) as variables. Responses were HCA content, overall hedonic score, and viscosity. The optimized concentrate was pasteurized, packaged, and its composition analyzed by standard methods. Shelf-life was evaluated at 40°C, 75% RH, for 4 weeks (~2 years ambient).</w:t>
            </w:r>
            <w:r w:rsidR="009B4251">
              <w:rPr>
                <w:rFonts w:ascii="Arial" w:eastAsia="Calibri" w:hAnsi="Arial" w:cs="Arial"/>
                <w:szCs w:val="22"/>
              </w:rPr>
              <w:t xml:space="preserve"> </w:t>
            </w:r>
          </w:p>
          <w:p w14:paraId="46B0A0BC" w14:textId="2E3E93C9" w:rsidR="005725E1" w:rsidRDefault="00BA1B01" w:rsidP="005B0820">
            <w:pPr>
              <w:pStyle w:val="Body"/>
              <w:spacing w:after="0"/>
              <w:rPr>
                <w:rFonts w:ascii="Arial" w:eastAsia="Calibri" w:hAnsi="Arial" w:cs="Arial"/>
                <w:szCs w:val="22"/>
              </w:rPr>
            </w:pPr>
            <w:r w:rsidRPr="00BA1B01">
              <w:rPr>
                <w:rFonts w:ascii="Arial" w:eastAsia="Calibri" w:hAnsi="Arial" w:cs="Arial"/>
                <w:b/>
                <w:bCs/>
                <w:szCs w:val="22"/>
              </w:rPr>
              <w:t>Results</w:t>
            </w:r>
            <w:r w:rsidR="009B4251">
              <w:rPr>
                <w:rFonts w:ascii="Arial" w:eastAsia="Calibri" w:hAnsi="Arial" w:cs="Arial"/>
                <w:b/>
                <w:bCs/>
                <w:szCs w:val="22"/>
              </w:rPr>
              <w:t xml:space="preserve">: </w:t>
            </w:r>
            <w:r w:rsidR="009B4251" w:rsidRPr="009B4251">
              <w:rPr>
                <w:rFonts w:ascii="Arial" w:eastAsia="Calibri" w:hAnsi="Arial" w:cs="Arial"/>
                <w:szCs w:val="22"/>
              </w:rPr>
              <w:t>The optimized concentrate contained 6</w:t>
            </w:r>
            <w:r w:rsidR="00280457">
              <w:rPr>
                <w:rFonts w:ascii="Arial" w:eastAsia="Calibri" w:hAnsi="Arial" w:cs="Arial"/>
                <w:szCs w:val="22"/>
              </w:rPr>
              <w:t>2</w:t>
            </w:r>
            <w:r w:rsidR="009B4251" w:rsidRPr="009B4251">
              <w:rPr>
                <w:rFonts w:ascii="Arial" w:eastAsia="Calibri" w:hAnsi="Arial" w:cs="Arial"/>
                <w:szCs w:val="22"/>
              </w:rPr>
              <w:t>.7% fruit juice, 1</w:t>
            </w:r>
            <w:r w:rsidR="00280457">
              <w:rPr>
                <w:rFonts w:ascii="Arial" w:eastAsia="Calibri" w:hAnsi="Arial" w:cs="Arial"/>
                <w:szCs w:val="22"/>
              </w:rPr>
              <w:t>9</w:t>
            </w:r>
            <w:r w:rsidR="009B4251" w:rsidRPr="009B4251">
              <w:rPr>
                <w:rFonts w:ascii="Arial" w:eastAsia="Calibri" w:hAnsi="Arial" w:cs="Arial"/>
                <w:szCs w:val="22"/>
              </w:rPr>
              <w:t>.1% young leaf extract, and 10.0% FOS</w:t>
            </w:r>
            <w:r w:rsidR="00280457">
              <w:rPr>
                <w:rFonts w:ascii="Arial" w:eastAsia="Calibri" w:hAnsi="Arial" w:cs="Arial"/>
                <w:szCs w:val="22"/>
              </w:rPr>
              <w:t xml:space="preserve"> with high s</w:t>
            </w:r>
            <w:r w:rsidR="009B4251" w:rsidRPr="009B4251">
              <w:rPr>
                <w:rFonts w:ascii="Arial" w:eastAsia="Calibri" w:hAnsi="Arial" w:cs="Arial"/>
                <w:szCs w:val="22"/>
              </w:rPr>
              <w:t>ensory acceptance (~5.</w:t>
            </w:r>
            <w:r w:rsidR="00280457">
              <w:rPr>
                <w:rFonts w:ascii="Arial" w:eastAsia="Calibri" w:hAnsi="Arial" w:cs="Arial"/>
                <w:szCs w:val="22"/>
              </w:rPr>
              <w:t>5</w:t>
            </w:r>
            <w:r w:rsidR="009B4251" w:rsidRPr="009B4251">
              <w:rPr>
                <w:rFonts w:ascii="Arial" w:eastAsia="Calibri" w:hAnsi="Arial" w:cs="Arial"/>
                <w:szCs w:val="22"/>
              </w:rPr>
              <w:t>/7)</w:t>
            </w:r>
            <w:r w:rsidR="00280457">
              <w:rPr>
                <w:rFonts w:ascii="Arial" w:eastAsia="Calibri" w:hAnsi="Arial" w:cs="Arial"/>
                <w:szCs w:val="22"/>
              </w:rPr>
              <w:t>, viscosity score (</w:t>
            </w:r>
            <w:r w:rsidR="00280457" w:rsidRPr="009B4251">
              <w:rPr>
                <w:rFonts w:ascii="Arial" w:eastAsia="Calibri" w:hAnsi="Arial" w:cs="Arial"/>
                <w:szCs w:val="22"/>
              </w:rPr>
              <w:t>~</w:t>
            </w:r>
            <w:r w:rsidR="00280457">
              <w:rPr>
                <w:rFonts w:ascii="Arial" w:eastAsia="Calibri" w:hAnsi="Arial" w:cs="Arial"/>
                <w:szCs w:val="22"/>
              </w:rPr>
              <w:t xml:space="preserve">5.9/7), and </w:t>
            </w:r>
            <w:r w:rsidR="009B4251" w:rsidRPr="009B4251">
              <w:rPr>
                <w:rFonts w:ascii="Arial" w:eastAsia="Calibri" w:hAnsi="Arial" w:cs="Arial"/>
                <w:szCs w:val="22"/>
              </w:rPr>
              <w:t>HCA (~1</w:t>
            </w:r>
            <w:r w:rsidR="006322F8">
              <w:rPr>
                <w:rFonts w:ascii="Arial" w:eastAsia="Calibri" w:hAnsi="Arial" w:cs="Arial"/>
                <w:szCs w:val="22"/>
              </w:rPr>
              <w:t>70</w:t>
            </w:r>
            <w:r w:rsidR="00280457">
              <w:rPr>
                <w:rFonts w:ascii="Arial" w:eastAsia="Calibri" w:hAnsi="Arial" w:cs="Arial"/>
                <w:szCs w:val="22"/>
              </w:rPr>
              <w:t>.0</w:t>
            </w:r>
            <w:r w:rsidR="009B4251" w:rsidRPr="009B4251">
              <w:rPr>
                <w:rFonts w:ascii="Arial" w:eastAsia="Calibri" w:hAnsi="Arial" w:cs="Arial"/>
                <w:szCs w:val="22"/>
              </w:rPr>
              <w:t> mg/100 mL). The product had pH ~2.00, 14.2°Brix, was fat-free (&lt;0.1 g/100 mL), and contained ~13.1 g/100 mL sugars. No microbial growth (&lt;10 CFU/mL) occurred during storage. Minimal changes occurred in pH (1.93–2.00), °Brix (13.8–14.5), viscosity (17.6–24.4 </w:t>
            </w:r>
            <w:proofErr w:type="spellStart"/>
            <w:r w:rsidR="009B4251" w:rsidRPr="009B4251">
              <w:rPr>
                <w:rFonts w:ascii="Arial" w:eastAsia="Calibri" w:hAnsi="Arial" w:cs="Arial"/>
                <w:szCs w:val="22"/>
              </w:rPr>
              <w:t>mPa·s</w:t>
            </w:r>
            <w:proofErr w:type="spellEnd"/>
            <w:r w:rsidR="009B4251" w:rsidRPr="009B4251">
              <w:rPr>
                <w:rFonts w:ascii="Arial" w:eastAsia="Calibri" w:hAnsi="Arial" w:cs="Arial"/>
                <w:szCs w:val="22"/>
              </w:rPr>
              <w:t>), and color brightness (L ~24). Sensory scores remained moderately liked (</w:t>
            </w:r>
            <w:r w:rsidR="009B4251" w:rsidRPr="00CD4EC9">
              <w:rPr>
                <w:rFonts w:ascii="Arial" w:eastAsia="Calibri" w:hAnsi="Arial" w:cs="Arial"/>
                <w:i/>
                <w:iCs/>
                <w:szCs w:val="22"/>
              </w:rPr>
              <w:t>P</w:t>
            </w:r>
            <w:r w:rsidR="009B4251">
              <w:rPr>
                <w:rFonts w:ascii="Arial" w:eastAsia="Calibri" w:hAnsi="Arial" w:cs="Arial"/>
                <w:szCs w:val="22"/>
              </w:rPr>
              <w:t>=</w:t>
            </w:r>
            <w:r w:rsidR="009B4251" w:rsidRPr="009B4251">
              <w:rPr>
                <w:rFonts w:ascii="Arial" w:eastAsia="Calibri" w:hAnsi="Arial" w:cs="Arial"/>
                <w:szCs w:val="22"/>
              </w:rPr>
              <w:t>.05).</w:t>
            </w:r>
          </w:p>
          <w:p w14:paraId="25BD45B1" w14:textId="0C4D121C" w:rsidR="00505F06" w:rsidRPr="00BA1B01" w:rsidRDefault="00BA1B01">
            <w:pPr>
              <w:pStyle w:val="Body"/>
              <w:spacing w:after="0"/>
              <w:rPr>
                <w:rFonts w:ascii="Arial" w:eastAsia="Calibri" w:hAnsi="Arial" w:cs="Arial"/>
                <w:szCs w:val="22"/>
              </w:rPr>
            </w:pPr>
            <w:r w:rsidRPr="00BA1B01">
              <w:rPr>
                <w:rFonts w:ascii="Arial" w:eastAsia="Calibri" w:hAnsi="Arial" w:cs="Arial"/>
                <w:b/>
                <w:bCs/>
                <w:szCs w:val="22"/>
              </w:rPr>
              <w:t>Conclusion:</w:t>
            </w:r>
            <w:r w:rsidR="00CD4EC9">
              <w:rPr>
                <w:rFonts w:ascii="Arial" w:eastAsia="Calibri" w:hAnsi="Arial" w:cs="Arial"/>
                <w:b/>
                <w:bCs/>
                <w:szCs w:val="22"/>
              </w:rPr>
              <w:t xml:space="preserve"> </w:t>
            </w:r>
            <w:r w:rsidR="00CD4EC9" w:rsidRPr="00CD4EC9">
              <w:rPr>
                <w:rFonts w:ascii="Arial" w:eastAsia="Calibri" w:hAnsi="Arial" w:cs="Arial"/>
                <w:szCs w:val="22"/>
              </w:rPr>
              <w:t xml:space="preserve">A </w:t>
            </w:r>
            <w:r w:rsidR="00CD4EC9" w:rsidRPr="00F15A2A">
              <w:rPr>
                <w:rFonts w:ascii="Arial" w:eastAsia="Calibri" w:hAnsi="Arial" w:cs="Arial"/>
                <w:i/>
                <w:szCs w:val="22"/>
              </w:rPr>
              <w:t>G</w:t>
            </w:r>
            <w:r w:rsidR="00CD4EC9" w:rsidRPr="00CD4EC9">
              <w:rPr>
                <w:rFonts w:ascii="Arial" w:eastAsia="Calibri" w:hAnsi="Arial" w:cs="Arial"/>
                <w:szCs w:val="22"/>
              </w:rPr>
              <w:t xml:space="preserve">. </w:t>
            </w:r>
            <w:proofErr w:type="spellStart"/>
            <w:r w:rsidR="00CD4EC9" w:rsidRPr="00F15A2A">
              <w:rPr>
                <w:rFonts w:ascii="Arial" w:eastAsia="Calibri" w:hAnsi="Arial" w:cs="Arial"/>
                <w:i/>
                <w:szCs w:val="22"/>
              </w:rPr>
              <w:t>atroviridis</w:t>
            </w:r>
            <w:proofErr w:type="spellEnd"/>
            <w:r w:rsidR="00CD4EC9" w:rsidRPr="00CD4EC9">
              <w:rPr>
                <w:rFonts w:ascii="Arial" w:eastAsia="Calibri" w:hAnsi="Arial" w:cs="Arial"/>
                <w:szCs w:val="22"/>
              </w:rPr>
              <w:t xml:space="preserve"> concentrate with optimized fruit, leaf extract, and FOS proportions was developed. The fat-free, HCA-rich product suggests potential weight-management benefits. It maintained its sensory acceptance and microbiological safety after 4 weeks of accelerated storage (~2 years ambient) without preservatives. This demonstrates the feasibility of formulating an acidic fruit concentrate with enhanced health attributes while maintaining consumer acceptability.</w:t>
            </w:r>
          </w:p>
        </w:tc>
      </w:tr>
    </w:tbl>
    <w:p w14:paraId="29EB8638" w14:textId="77777777" w:rsidR="00301EE5" w:rsidRDefault="00A24E7E" w:rsidP="00F15A2A">
      <w:pPr>
        <w:pStyle w:val="Body"/>
        <w:spacing w:before="240" w:after="0"/>
        <w:ind w:right="1122" w:firstLine="720"/>
        <w:rPr>
          <w:rFonts w:ascii="Arial" w:hAnsi="Arial" w:cs="Arial"/>
          <w:i/>
        </w:rPr>
      </w:pPr>
      <w:r w:rsidRPr="00F15A2A">
        <w:rPr>
          <w:rFonts w:ascii="Arial" w:hAnsi="Arial" w:cs="Arial"/>
          <w:b/>
          <w:i/>
        </w:rPr>
        <w:t>Keywords</w:t>
      </w:r>
      <w:r>
        <w:rPr>
          <w:rFonts w:ascii="Arial" w:hAnsi="Arial" w:cs="Arial"/>
          <w:i/>
        </w:rPr>
        <w:t>:</w:t>
      </w:r>
      <w:r w:rsidR="00EC3C2D" w:rsidRPr="00EC3C2D">
        <w:t xml:space="preserve"> </w:t>
      </w:r>
      <w:r w:rsidR="00EC3C2D" w:rsidRPr="00EC3C2D">
        <w:rPr>
          <w:rFonts w:ascii="Arial" w:hAnsi="Arial" w:cs="Arial"/>
          <w:i/>
        </w:rPr>
        <w:t xml:space="preserve">Garcinia </w:t>
      </w:r>
      <w:proofErr w:type="spellStart"/>
      <w:r w:rsidR="00EC3C2D" w:rsidRPr="00EC3C2D">
        <w:rPr>
          <w:rFonts w:ascii="Arial" w:hAnsi="Arial" w:cs="Arial"/>
          <w:i/>
        </w:rPr>
        <w:t>atroviridis</w:t>
      </w:r>
      <w:proofErr w:type="spellEnd"/>
      <w:r w:rsidR="00EC3C2D" w:rsidRPr="00EC3C2D">
        <w:rPr>
          <w:rFonts w:ascii="Arial" w:hAnsi="Arial" w:cs="Arial"/>
          <w:i/>
        </w:rPr>
        <w:t xml:space="preserve">; </w:t>
      </w:r>
      <w:proofErr w:type="spellStart"/>
      <w:r w:rsidR="00EC3C2D" w:rsidRPr="00EC3C2D">
        <w:rPr>
          <w:rFonts w:ascii="Arial" w:hAnsi="Arial" w:cs="Arial"/>
          <w:i/>
        </w:rPr>
        <w:t>asam</w:t>
      </w:r>
      <w:proofErr w:type="spellEnd"/>
      <w:r w:rsidR="00EC3C2D" w:rsidRPr="00EC3C2D">
        <w:rPr>
          <w:rFonts w:ascii="Arial" w:hAnsi="Arial" w:cs="Arial"/>
          <w:i/>
        </w:rPr>
        <w:t xml:space="preserve"> </w:t>
      </w:r>
      <w:proofErr w:type="spellStart"/>
      <w:r w:rsidR="00EC3C2D" w:rsidRPr="00EC3C2D">
        <w:rPr>
          <w:rFonts w:ascii="Arial" w:hAnsi="Arial" w:cs="Arial"/>
          <w:i/>
        </w:rPr>
        <w:t>gelugur</w:t>
      </w:r>
      <w:proofErr w:type="spellEnd"/>
      <w:r w:rsidR="00EC3C2D" w:rsidRPr="00EC3C2D">
        <w:rPr>
          <w:rFonts w:ascii="Arial" w:hAnsi="Arial" w:cs="Arial"/>
          <w:i/>
        </w:rPr>
        <w:t xml:space="preserve">; </w:t>
      </w:r>
      <w:r w:rsidR="00EC3C2D">
        <w:rPr>
          <w:rFonts w:ascii="Arial" w:hAnsi="Arial" w:cs="Arial"/>
          <w:i/>
        </w:rPr>
        <w:t xml:space="preserve">young leaf (shoots); </w:t>
      </w:r>
      <w:r w:rsidR="00EC3C2D" w:rsidRPr="00EC3C2D">
        <w:rPr>
          <w:rFonts w:ascii="Arial" w:hAnsi="Arial" w:cs="Arial"/>
          <w:i/>
        </w:rPr>
        <w:t>functional beverage; response</w:t>
      </w:r>
    </w:p>
    <w:p w14:paraId="33E98C40" w14:textId="5B882E04" w:rsidR="00A24E7E" w:rsidRDefault="00EC3C2D" w:rsidP="00F15A2A">
      <w:pPr>
        <w:pStyle w:val="Body"/>
        <w:ind w:right="1122" w:firstLine="720"/>
        <w:rPr>
          <w:rFonts w:ascii="Arial" w:hAnsi="Arial" w:cs="Arial"/>
          <w:i/>
        </w:rPr>
      </w:pPr>
      <w:r w:rsidRPr="00EC3C2D">
        <w:rPr>
          <w:rFonts w:ascii="Arial" w:hAnsi="Arial" w:cs="Arial"/>
          <w:i/>
        </w:rPr>
        <w:t>surface</w:t>
      </w:r>
      <w:r w:rsidR="00384689">
        <w:rPr>
          <w:rFonts w:ascii="Arial" w:hAnsi="Arial" w:cs="Arial"/>
          <w:i/>
        </w:rPr>
        <w:t xml:space="preserve"> </w:t>
      </w:r>
      <w:r w:rsidRPr="00EC3C2D">
        <w:rPr>
          <w:rFonts w:ascii="Arial" w:hAnsi="Arial" w:cs="Arial"/>
          <w:i/>
        </w:rPr>
        <w:t>methodology; shelf-life stability</w:t>
      </w:r>
      <w:r w:rsidR="00A24E7E">
        <w:rPr>
          <w:rFonts w:ascii="Arial" w:hAnsi="Arial" w:cs="Arial"/>
          <w:i/>
        </w:rPr>
        <w:t xml:space="preserve"> </w:t>
      </w:r>
    </w:p>
    <w:p w14:paraId="094106A7" w14:textId="0C582CA3" w:rsidR="007F7B32" w:rsidRDefault="00902823" w:rsidP="00F15A2A">
      <w:pPr>
        <w:pStyle w:val="AbstHead"/>
        <w:ind w:left="567"/>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FDE337" w14:textId="3AACA9A2" w:rsidR="0049705B" w:rsidRPr="0049705B" w:rsidRDefault="0049705B" w:rsidP="00301EE5">
      <w:pPr>
        <w:pStyle w:val="Body"/>
        <w:ind w:left="567" w:right="1122"/>
        <w:rPr>
          <w:rFonts w:ascii="Arial" w:hAnsi="Arial" w:cs="Arial"/>
        </w:rPr>
      </w:pPr>
      <w:r w:rsidRPr="0049705B">
        <w:rPr>
          <w:rFonts w:ascii="Arial" w:hAnsi="Arial" w:cs="Arial"/>
        </w:rPr>
        <w:t>Consumers are increasingly seeking healthier beverages that provide functional benefits beyond basic nutrition. Functional beverages—ranging from enriched juices to fermented drinks—are marketed for positive effects on hydration, energy, immunity, digestion, and overall wellness</w:t>
      </w:r>
      <w:r w:rsidR="00327C2D">
        <w:rPr>
          <w:rFonts w:ascii="Arial" w:hAnsi="Arial" w:cs="Arial"/>
        </w:rPr>
        <w:t xml:space="preserve"> (</w:t>
      </w:r>
      <w:proofErr w:type="spellStart"/>
      <w:r w:rsidR="00327C2D">
        <w:rPr>
          <w:rFonts w:ascii="Arial" w:hAnsi="Arial" w:cs="Arial"/>
        </w:rPr>
        <w:t>Panou</w:t>
      </w:r>
      <w:proofErr w:type="spellEnd"/>
      <w:r w:rsidR="00327C2D">
        <w:rPr>
          <w:rFonts w:ascii="Arial" w:hAnsi="Arial" w:cs="Arial"/>
        </w:rPr>
        <w:t xml:space="preserve"> and </w:t>
      </w:r>
      <w:proofErr w:type="spellStart"/>
      <w:r w:rsidR="00327C2D">
        <w:rPr>
          <w:rFonts w:ascii="Arial" w:hAnsi="Arial" w:cs="Arial"/>
        </w:rPr>
        <w:t>Karabagias</w:t>
      </w:r>
      <w:proofErr w:type="spellEnd"/>
      <w:r w:rsidR="00327C2D">
        <w:rPr>
          <w:rFonts w:ascii="Arial" w:hAnsi="Arial" w:cs="Arial"/>
        </w:rPr>
        <w:t>, 2025).</w:t>
      </w:r>
      <w:r w:rsidRPr="0049705B">
        <w:rPr>
          <w:rFonts w:ascii="Arial" w:hAnsi="Arial" w:cs="Arial"/>
        </w:rPr>
        <w:t xml:space="preserve"> However, many commercial functional drinks contain high levels of added sugars and stimulants, which can undermine their health benefits by contributing to obesity and other issues. There is thus a demand for natural functional drinks that deliver bioactive compounds without excessive sugars or artificial additives. In this context, tropical fruit products and traditional herbs are gaining attention as sources of functional ingredients for novel beverages</w:t>
      </w:r>
      <w:r w:rsidR="00B76406">
        <w:rPr>
          <w:rFonts w:ascii="Arial" w:hAnsi="Arial" w:cs="Arial"/>
        </w:rPr>
        <w:t xml:space="preserve"> </w:t>
      </w:r>
      <w:r w:rsidR="005240CA">
        <w:rPr>
          <w:rFonts w:ascii="Arial" w:hAnsi="Arial" w:cs="Arial"/>
        </w:rPr>
        <w:t xml:space="preserve">(Maleš </w:t>
      </w:r>
      <w:r w:rsidR="005240CA" w:rsidRPr="0050448D">
        <w:rPr>
          <w:rFonts w:ascii="Arial" w:hAnsi="Arial" w:cs="Arial"/>
        </w:rPr>
        <w:t>et al</w:t>
      </w:r>
      <w:r w:rsidR="005240CA">
        <w:rPr>
          <w:rFonts w:ascii="Arial" w:hAnsi="Arial" w:cs="Arial"/>
        </w:rPr>
        <w:t>., 2022)</w:t>
      </w:r>
      <w:r w:rsidRPr="0049705B">
        <w:rPr>
          <w:rFonts w:ascii="Arial" w:hAnsi="Arial" w:cs="Arial"/>
        </w:rPr>
        <w:t>.</w:t>
      </w:r>
    </w:p>
    <w:p w14:paraId="3D026FF3" w14:textId="2B1E4595" w:rsidR="0049705B" w:rsidRPr="0049705B" w:rsidRDefault="0049705B" w:rsidP="00301EE5">
      <w:pPr>
        <w:pStyle w:val="Body"/>
        <w:ind w:left="567" w:right="1122"/>
        <w:rPr>
          <w:rFonts w:ascii="Arial" w:hAnsi="Arial" w:cs="Arial"/>
        </w:rPr>
      </w:pPr>
      <w:r w:rsidRPr="00B76406">
        <w:rPr>
          <w:rFonts w:ascii="Arial" w:hAnsi="Arial" w:cs="Arial"/>
          <w:i/>
          <w:iCs/>
        </w:rPr>
        <w:t xml:space="preserve">Garcinia </w:t>
      </w:r>
      <w:proofErr w:type="spellStart"/>
      <w:r w:rsidRPr="00B76406">
        <w:rPr>
          <w:rFonts w:ascii="Arial" w:hAnsi="Arial" w:cs="Arial"/>
          <w:i/>
          <w:iCs/>
        </w:rPr>
        <w:t>atroviridis</w:t>
      </w:r>
      <w:proofErr w:type="spellEnd"/>
      <w:r w:rsidRPr="0049705B">
        <w:rPr>
          <w:rFonts w:ascii="Arial" w:hAnsi="Arial" w:cs="Arial"/>
        </w:rPr>
        <w:t xml:space="preserve"> Griff. ex T. Anders, locally known as </w:t>
      </w:r>
      <w:r w:rsidR="005240CA">
        <w:rPr>
          <w:rFonts w:ascii="Arial" w:hAnsi="Arial" w:cs="Arial"/>
        </w:rPr>
        <w:t>‘</w:t>
      </w:r>
      <w:proofErr w:type="spellStart"/>
      <w:r w:rsidRPr="0049705B">
        <w:rPr>
          <w:rFonts w:ascii="Arial" w:hAnsi="Arial" w:cs="Arial"/>
        </w:rPr>
        <w:t>asam</w:t>
      </w:r>
      <w:proofErr w:type="spellEnd"/>
      <w:r w:rsidRPr="0049705B">
        <w:rPr>
          <w:rFonts w:ascii="Arial" w:hAnsi="Arial" w:cs="Arial"/>
        </w:rPr>
        <w:t xml:space="preserve"> </w:t>
      </w:r>
      <w:proofErr w:type="spellStart"/>
      <w:r w:rsidRPr="0049705B">
        <w:rPr>
          <w:rFonts w:ascii="Arial" w:hAnsi="Arial" w:cs="Arial"/>
        </w:rPr>
        <w:t>gelugur</w:t>
      </w:r>
      <w:proofErr w:type="spellEnd"/>
      <w:r w:rsidR="005240CA">
        <w:rPr>
          <w:rFonts w:ascii="Arial" w:hAnsi="Arial" w:cs="Arial"/>
        </w:rPr>
        <w:t>’</w:t>
      </w:r>
      <w:r w:rsidRPr="0049705B">
        <w:rPr>
          <w:rFonts w:ascii="Arial" w:hAnsi="Arial" w:cs="Arial"/>
        </w:rPr>
        <w:t xml:space="preserve"> in Malaysia, is an example of a regional food with significant functional potential. </w:t>
      </w:r>
      <w:r w:rsidRPr="005240CA">
        <w:rPr>
          <w:rFonts w:ascii="Arial" w:hAnsi="Arial" w:cs="Arial"/>
          <w:i/>
          <w:iCs/>
        </w:rPr>
        <w:t xml:space="preserve">G. </w:t>
      </w:r>
      <w:proofErr w:type="spellStart"/>
      <w:r w:rsidRPr="005240CA">
        <w:rPr>
          <w:rFonts w:ascii="Arial" w:hAnsi="Arial" w:cs="Arial"/>
          <w:i/>
          <w:iCs/>
        </w:rPr>
        <w:t>atroviridis</w:t>
      </w:r>
      <w:proofErr w:type="spellEnd"/>
      <w:r w:rsidRPr="0049705B">
        <w:rPr>
          <w:rFonts w:ascii="Arial" w:hAnsi="Arial" w:cs="Arial"/>
        </w:rPr>
        <w:t xml:space="preserve"> is a fruit-bearing tree native to Southeast Asia, where the dried ripe fruits are commonly used as a natural acidulant in cooking and as a folk remedy</w:t>
      </w:r>
      <w:r w:rsidR="0050448D">
        <w:rPr>
          <w:rFonts w:ascii="Arial" w:hAnsi="Arial" w:cs="Arial"/>
        </w:rPr>
        <w:t xml:space="preserve">. </w:t>
      </w:r>
      <w:r w:rsidRPr="0049705B">
        <w:rPr>
          <w:rFonts w:ascii="Arial" w:hAnsi="Arial" w:cs="Arial"/>
        </w:rPr>
        <w:t>Various parts of the plant are rich in bioactive constituents, notably the organic acid (-)-hydroxycitric acid (HCA) found abundantly in the fruit rind</w:t>
      </w:r>
      <w:r w:rsidR="0050448D">
        <w:rPr>
          <w:rFonts w:ascii="Arial" w:hAnsi="Arial" w:cs="Arial"/>
        </w:rPr>
        <w:t xml:space="preserve"> (Shahid et al., 2022). </w:t>
      </w:r>
      <w:r w:rsidRPr="0049705B">
        <w:rPr>
          <w:rFonts w:ascii="Arial" w:hAnsi="Arial" w:cs="Arial"/>
        </w:rPr>
        <w:t>HCA has attracted considerable scientific interest for its anti-obesity and lipid-lowering effects. It acts as a competitive inhibitor of ATP citrate lyase, an enzyme critical in de novo fatty acid synthesis, thereby potentially reducing lipogenesis and promoting fat oxidation</w:t>
      </w:r>
      <w:r w:rsidR="00751D01">
        <w:rPr>
          <w:rFonts w:ascii="Arial" w:hAnsi="Arial" w:cs="Arial"/>
        </w:rPr>
        <w:t xml:space="preserve"> </w:t>
      </w:r>
      <w:r w:rsidR="00751D01" w:rsidRPr="00751D01">
        <w:rPr>
          <w:rFonts w:ascii="Arial" w:hAnsi="Arial" w:cs="Arial"/>
        </w:rPr>
        <w:t>(Baky et al., 2022)</w:t>
      </w:r>
      <w:r w:rsidR="00751D01">
        <w:rPr>
          <w:rFonts w:ascii="Arial" w:hAnsi="Arial" w:cs="Arial"/>
        </w:rPr>
        <w:t>.</w:t>
      </w:r>
      <w:r w:rsidRPr="0049705B">
        <w:rPr>
          <w:rFonts w:ascii="Arial" w:hAnsi="Arial" w:cs="Arial"/>
        </w:rPr>
        <w:t xml:space="preserve"> Animal studies have shown that </w:t>
      </w:r>
      <w:r w:rsidRPr="00F15A2A">
        <w:rPr>
          <w:rFonts w:ascii="Arial" w:hAnsi="Arial" w:cs="Arial"/>
          <w:i/>
        </w:rPr>
        <w:t>G</w:t>
      </w:r>
      <w:r w:rsidRPr="0049705B">
        <w:rPr>
          <w:rFonts w:ascii="Arial" w:hAnsi="Arial" w:cs="Arial"/>
        </w:rPr>
        <w:t xml:space="preserve">. </w:t>
      </w:r>
      <w:proofErr w:type="spellStart"/>
      <w:r w:rsidRPr="00F15A2A">
        <w:rPr>
          <w:rFonts w:ascii="Arial" w:hAnsi="Arial" w:cs="Arial"/>
          <w:i/>
        </w:rPr>
        <w:t>atroviridis</w:t>
      </w:r>
      <w:proofErr w:type="spellEnd"/>
      <w:r w:rsidRPr="0049705B">
        <w:rPr>
          <w:rFonts w:ascii="Arial" w:hAnsi="Arial" w:cs="Arial"/>
        </w:rPr>
        <w:t xml:space="preserve"> fruit juice or extracts can reduce body weight gain, lower LDL cholesterol, and improve metabolic profiles in high-fat-diet models. For example, daily supplementation with Garcinia juice significantly lowered rat serum cholesterol and body weight compared to controls</w:t>
      </w:r>
      <w:r w:rsidR="005D4E13">
        <w:rPr>
          <w:rFonts w:ascii="Arial" w:hAnsi="Arial" w:cs="Arial"/>
        </w:rPr>
        <w:t xml:space="preserve"> (Lim et al., 2020)</w:t>
      </w:r>
      <w:r w:rsidR="00345679">
        <w:rPr>
          <w:rFonts w:ascii="Arial" w:hAnsi="Arial" w:cs="Arial"/>
        </w:rPr>
        <w:t xml:space="preserve">. </w:t>
      </w:r>
      <w:r w:rsidR="00101BAE" w:rsidRPr="00101BAE">
        <w:rPr>
          <w:rFonts w:ascii="Arial" w:hAnsi="Arial" w:cs="Arial"/>
        </w:rPr>
        <w:lastRenderedPageBreak/>
        <w:t xml:space="preserve">Furthermore, </w:t>
      </w:r>
      <w:r w:rsidR="00101BAE" w:rsidRPr="00F15A2A">
        <w:rPr>
          <w:rFonts w:ascii="Arial" w:hAnsi="Arial" w:cs="Arial"/>
          <w:i/>
        </w:rPr>
        <w:t>G</w:t>
      </w:r>
      <w:r w:rsidR="00101BAE" w:rsidRPr="00101BAE">
        <w:rPr>
          <w:rFonts w:ascii="Arial" w:hAnsi="Arial" w:cs="Arial"/>
        </w:rPr>
        <w:t xml:space="preserve">. </w:t>
      </w:r>
      <w:proofErr w:type="spellStart"/>
      <w:r w:rsidR="00101BAE" w:rsidRPr="00F15A2A">
        <w:rPr>
          <w:rFonts w:ascii="Arial" w:hAnsi="Arial" w:cs="Arial"/>
          <w:i/>
        </w:rPr>
        <w:t>atroviridis</w:t>
      </w:r>
      <w:proofErr w:type="spellEnd"/>
      <w:r w:rsidR="00101BAE" w:rsidRPr="00101BAE">
        <w:rPr>
          <w:rFonts w:ascii="Arial" w:hAnsi="Arial" w:cs="Arial"/>
        </w:rPr>
        <w:t xml:space="preserve"> fruit extracts have demonstrated antidiabetic potential by inhibiting carbohydrate-digesting enzymes (</w:t>
      </w:r>
      <w:r w:rsidR="00101BAE">
        <w:rPr>
          <w:rFonts w:ascii="Arial" w:hAnsi="Arial" w:cs="Arial"/>
        </w:rPr>
        <w:t>α-</w:t>
      </w:r>
      <w:r w:rsidR="00101BAE" w:rsidRPr="00101BAE">
        <w:rPr>
          <w:rFonts w:ascii="Arial" w:hAnsi="Arial" w:cs="Arial"/>
        </w:rPr>
        <w:t xml:space="preserve">amylase, </w:t>
      </w:r>
      <w:r w:rsidR="00101BAE">
        <w:rPr>
          <w:rFonts w:ascii="Arial" w:hAnsi="Arial" w:cs="Arial"/>
        </w:rPr>
        <w:t>α-</w:t>
      </w:r>
      <w:r w:rsidR="00101BAE" w:rsidRPr="00101BAE">
        <w:rPr>
          <w:rFonts w:ascii="Arial" w:hAnsi="Arial" w:cs="Arial"/>
        </w:rPr>
        <w:t>glucosidase) and enhancing glucose uptake in muscle cells in laboratory models (</w:t>
      </w:r>
      <w:r w:rsidR="00853220">
        <w:rPr>
          <w:rFonts w:ascii="Arial" w:hAnsi="Arial" w:cs="Arial"/>
        </w:rPr>
        <w:t>Shahid</w:t>
      </w:r>
      <w:r w:rsidR="00101BAE" w:rsidRPr="00101BAE">
        <w:rPr>
          <w:rFonts w:ascii="Arial" w:hAnsi="Arial" w:cs="Arial"/>
        </w:rPr>
        <w:t xml:space="preserve"> et al., 2024)</w:t>
      </w:r>
      <w:r w:rsidR="00101BAE">
        <w:rPr>
          <w:rFonts w:ascii="Arial" w:hAnsi="Arial" w:cs="Arial"/>
        </w:rPr>
        <w:t xml:space="preserve">. </w:t>
      </w:r>
      <w:r w:rsidRPr="0049705B">
        <w:rPr>
          <w:rFonts w:ascii="Arial" w:hAnsi="Arial" w:cs="Arial"/>
        </w:rPr>
        <w:t xml:space="preserve">These findings support the traditional use of </w:t>
      </w:r>
      <w:proofErr w:type="spellStart"/>
      <w:r w:rsidRPr="0049705B">
        <w:rPr>
          <w:rFonts w:ascii="Arial" w:hAnsi="Arial" w:cs="Arial"/>
        </w:rPr>
        <w:t>asam</w:t>
      </w:r>
      <w:proofErr w:type="spellEnd"/>
      <w:r w:rsidRPr="0049705B">
        <w:rPr>
          <w:rFonts w:ascii="Arial" w:hAnsi="Arial" w:cs="Arial"/>
        </w:rPr>
        <w:t xml:space="preserve"> </w:t>
      </w:r>
      <w:proofErr w:type="spellStart"/>
      <w:r w:rsidRPr="0049705B">
        <w:rPr>
          <w:rFonts w:ascii="Arial" w:hAnsi="Arial" w:cs="Arial"/>
        </w:rPr>
        <w:t>gelugur</w:t>
      </w:r>
      <w:proofErr w:type="spellEnd"/>
      <w:r w:rsidRPr="0049705B">
        <w:rPr>
          <w:rFonts w:ascii="Arial" w:hAnsi="Arial" w:cs="Arial"/>
        </w:rPr>
        <w:t xml:space="preserve"> for weight management and cardiovascular health.</w:t>
      </w:r>
    </w:p>
    <w:p w14:paraId="387353AA" w14:textId="39FFBC83" w:rsidR="00734B7E" w:rsidRDefault="00734B7E" w:rsidP="00301EE5">
      <w:pPr>
        <w:pStyle w:val="Body"/>
        <w:ind w:left="567" w:right="1122"/>
        <w:rPr>
          <w:rFonts w:ascii="Arial" w:hAnsi="Arial" w:cs="Arial"/>
        </w:rPr>
      </w:pPr>
      <w:r w:rsidRPr="00E63F25">
        <w:rPr>
          <w:rFonts w:ascii="Arial" w:hAnsi="Arial" w:cs="Arial"/>
        </w:rPr>
        <w:t>Beyond the fruit, the young leaves (‘</w:t>
      </w:r>
      <w:proofErr w:type="spellStart"/>
      <w:r w:rsidRPr="00E63F25">
        <w:rPr>
          <w:rFonts w:ascii="Arial" w:hAnsi="Arial" w:cs="Arial"/>
        </w:rPr>
        <w:t>pucuk</w:t>
      </w:r>
      <w:proofErr w:type="spellEnd"/>
      <w:r w:rsidRPr="00E63F25">
        <w:rPr>
          <w:rFonts w:ascii="Arial" w:hAnsi="Arial" w:cs="Arial"/>
        </w:rPr>
        <w:t xml:space="preserve">’)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contribute a diverse profile of phenolic compounds and flavonoids, enhancing the plant’s overall antioxidant capacity (Lubis et al., 2023). Prior research confirms the substantial antioxidant properties of Garcinia leaf extracts; for example, the methanolic extract of the leaf has been shown to improve antioxidant effects and stress resistance in </w:t>
      </w:r>
      <w:r w:rsidRPr="00E63F25">
        <w:rPr>
          <w:rFonts w:ascii="Arial" w:hAnsi="Arial" w:cs="Arial"/>
          <w:i/>
          <w:iCs/>
        </w:rPr>
        <w:t>C. elegans</w:t>
      </w:r>
      <w:r w:rsidRPr="00E63F25">
        <w:rPr>
          <w:rFonts w:ascii="Arial" w:hAnsi="Arial" w:cs="Arial"/>
        </w:rPr>
        <w:t xml:space="preserve"> (</w:t>
      </w:r>
      <w:proofErr w:type="spellStart"/>
      <w:r w:rsidRPr="00E63F25">
        <w:rPr>
          <w:rFonts w:ascii="Arial" w:hAnsi="Arial" w:cs="Arial"/>
        </w:rPr>
        <w:t>Chuaijit</w:t>
      </w:r>
      <w:proofErr w:type="spellEnd"/>
      <w:r w:rsidRPr="00E63F25">
        <w:rPr>
          <w:rFonts w:ascii="Arial" w:hAnsi="Arial" w:cs="Arial"/>
        </w:rPr>
        <w:t xml:space="preserve"> et al., 2024) and exhibits strong antioxidant activity comparable to ascorbic acid (Lubis et al., 2023). While the antioxidant capacity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extracts is often rated moderate compared to other Garcinia species (Chew &amp; Lim, 2018), its inclusion still contributes measurably to the </w:t>
      </w:r>
      <w:r w:rsidR="00853220" w:rsidRPr="00E63F25">
        <w:rPr>
          <w:rFonts w:ascii="Arial" w:hAnsi="Arial" w:cs="Arial"/>
        </w:rPr>
        <w:t>t</w:t>
      </w:r>
      <w:r w:rsidRPr="00E63F25">
        <w:rPr>
          <w:rFonts w:ascii="Arial" w:hAnsi="Arial" w:cs="Arial"/>
        </w:rPr>
        <w:t xml:space="preserve">otal </w:t>
      </w:r>
      <w:r w:rsidR="00853220" w:rsidRPr="00E63F25">
        <w:rPr>
          <w:rFonts w:ascii="Arial" w:hAnsi="Arial" w:cs="Arial"/>
        </w:rPr>
        <w:t>p</w:t>
      </w:r>
      <w:r w:rsidRPr="00E63F25">
        <w:rPr>
          <w:rFonts w:ascii="Arial" w:hAnsi="Arial" w:cs="Arial"/>
        </w:rPr>
        <w:t xml:space="preserve">henolic </w:t>
      </w:r>
      <w:r w:rsidR="00853220" w:rsidRPr="00E63F25">
        <w:rPr>
          <w:rFonts w:ascii="Arial" w:hAnsi="Arial" w:cs="Arial"/>
        </w:rPr>
        <w:t>c</w:t>
      </w:r>
      <w:r w:rsidRPr="00E63F25">
        <w:rPr>
          <w:rFonts w:ascii="Arial" w:hAnsi="Arial" w:cs="Arial"/>
        </w:rPr>
        <w:t>ontent (TPC)</w:t>
      </w:r>
      <w:r w:rsidR="00853220" w:rsidRPr="00E63F25">
        <w:rPr>
          <w:rFonts w:ascii="Arial" w:hAnsi="Arial" w:cs="Arial"/>
        </w:rPr>
        <w:t xml:space="preserve"> </w:t>
      </w:r>
      <w:r w:rsidRPr="00E63F25">
        <w:rPr>
          <w:rFonts w:ascii="Arial" w:hAnsi="Arial" w:cs="Arial"/>
        </w:rPr>
        <w:t>and free-radical</w:t>
      </w:r>
      <w:r w:rsidR="00853220" w:rsidRPr="00E63F25">
        <w:rPr>
          <w:rFonts w:ascii="Arial" w:hAnsi="Arial" w:cs="Arial"/>
        </w:rPr>
        <w:t xml:space="preserve"> </w:t>
      </w:r>
      <w:r w:rsidRPr="00E63F25">
        <w:rPr>
          <w:rFonts w:ascii="Arial" w:hAnsi="Arial" w:cs="Arial"/>
        </w:rPr>
        <w:t>scavenging ability (Shahid et al., 2022).</w:t>
      </w:r>
    </w:p>
    <w:p w14:paraId="7F0A98FD" w14:textId="6BAA4522" w:rsidR="00E63F25" w:rsidRPr="00E63F25" w:rsidRDefault="00E63F25" w:rsidP="00301EE5">
      <w:pPr>
        <w:pStyle w:val="Body"/>
        <w:ind w:left="567" w:right="1122"/>
        <w:rPr>
          <w:rFonts w:ascii="Arial" w:hAnsi="Arial" w:cs="Arial"/>
        </w:rPr>
      </w:pPr>
      <w:r w:rsidRPr="00E63F25">
        <w:rPr>
          <w:rFonts w:ascii="Arial" w:hAnsi="Arial" w:cs="Arial"/>
        </w:rPr>
        <w:t xml:space="preserve">Despite its functional richness, direct utilization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in beverages is challenging due to its extreme natural acidity (pH &lt; 3), which renders the pure juice unpalatably sour. To achieve high consumer acceptance while maintaining a low-sugar profile, this formulation incorporated </w:t>
      </w:r>
      <w:proofErr w:type="spellStart"/>
      <w:r w:rsidRPr="00E63F25">
        <w:rPr>
          <w:rFonts w:ascii="Arial" w:hAnsi="Arial" w:cs="Arial"/>
        </w:rPr>
        <w:t>fructooligosaccharides</w:t>
      </w:r>
      <w:proofErr w:type="spellEnd"/>
      <w:r w:rsidRPr="00E63F25">
        <w:rPr>
          <w:rFonts w:ascii="Arial" w:hAnsi="Arial" w:cs="Arial"/>
        </w:rPr>
        <w:t xml:space="preserve"> (FOS). FOS is a prebiotic fiber that offers mild sweetness</w:t>
      </w:r>
      <w:r w:rsidR="00382A86">
        <w:rPr>
          <w:rFonts w:ascii="Arial" w:hAnsi="Arial" w:cs="Arial"/>
        </w:rPr>
        <w:t xml:space="preserve"> with</w:t>
      </w:r>
      <w:r w:rsidRPr="00E63F25">
        <w:rPr>
          <w:rFonts w:ascii="Arial" w:hAnsi="Arial" w:cs="Arial"/>
        </w:rPr>
        <w:t xml:space="preserve"> low calories, and provides recognized health benefits, including supporting beneficial gut microbiota (</w:t>
      </w:r>
      <w:r>
        <w:rPr>
          <w:rFonts w:ascii="Arial" w:hAnsi="Arial" w:cs="Arial"/>
        </w:rPr>
        <w:t>Fernandes, 2025</w:t>
      </w:r>
      <w:r w:rsidRPr="00E63F25">
        <w:rPr>
          <w:rFonts w:ascii="Arial" w:hAnsi="Arial" w:cs="Arial"/>
        </w:rPr>
        <w:t>).</w:t>
      </w:r>
    </w:p>
    <w:p w14:paraId="549C106E" w14:textId="7E2B26EE" w:rsidR="00E63F25" w:rsidRPr="00E63F25" w:rsidRDefault="00E63F25" w:rsidP="00301EE5">
      <w:pPr>
        <w:pStyle w:val="Body"/>
        <w:ind w:left="567" w:right="1122"/>
        <w:rPr>
          <w:rFonts w:ascii="Arial" w:hAnsi="Arial" w:cs="Arial"/>
        </w:rPr>
      </w:pPr>
      <w:r w:rsidRPr="00E63F25">
        <w:rPr>
          <w:rFonts w:ascii="Arial" w:hAnsi="Arial" w:cs="Arial"/>
        </w:rPr>
        <w:t>The systematic development required Response Surface Methodology (RSM</w:t>
      </w:r>
      <w:r w:rsidR="00B62CFD">
        <w:rPr>
          <w:rFonts w:ascii="Arial" w:hAnsi="Arial" w:cs="Arial"/>
        </w:rPr>
        <w:t>)</w:t>
      </w:r>
      <w:r w:rsidRPr="00E63F25">
        <w:rPr>
          <w:rFonts w:ascii="Arial" w:hAnsi="Arial" w:cs="Arial"/>
        </w:rPr>
        <w:t xml:space="preserve"> using a D-optimal mixture design to navigate the complex interdependencies between the three primary formulation variables: Garcinia fruit juice (acidity/HCA source), Garcinia leaf extract (antioxidant source), and FOS (sweetener/prebiotic fiber). RSM allows for the efficient identification of the formulation optimizing both sensory qualities (palatability) and functional targets (HCA content). Finally, commercial viability mandates confirming the product’s long-term safety and quality retention. Thus, a rigorous</w:t>
      </w:r>
      <w:r w:rsidR="00B62CFD">
        <w:rPr>
          <w:rFonts w:ascii="Arial" w:hAnsi="Arial" w:cs="Arial"/>
        </w:rPr>
        <w:t xml:space="preserve"> </w:t>
      </w:r>
      <w:r w:rsidRPr="00E63F25">
        <w:rPr>
          <w:rFonts w:ascii="Arial" w:hAnsi="Arial" w:cs="Arial"/>
        </w:rPr>
        <w:t>shelf-life study was undertaken, monitoring microbiological, physicochemical, and sensory stability under accelerated thermal conditions in a climatic chamber set at 40</w:t>
      </w:r>
      <w:r w:rsidR="00B62CFD">
        <w:rPr>
          <w:rFonts w:ascii="Arial" w:hAnsi="Arial" w:cs="Arial"/>
        </w:rPr>
        <w:t>°</w:t>
      </w:r>
      <w:r w:rsidRPr="00E63F25">
        <w:rPr>
          <w:rFonts w:ascii="Arial" w:hAnsi="Arial" w:cs="Arial"/>
        </w:rPr>
        <w:t>C and 75%</w:t>
      </w:r>
      <w:r w:rsidR="00B62CFD">
        <w:rPr>
          <w:rFonts w:ascii="Arial" w:hAnsi="Arial" w:cs="Arial"/>
        </w:rPr>
        <w:t xml:space="preserve"> </w:t>
      </w:r>
      <w:r w:rsidRPr="00E63F25">
        <w:rPr>
          <w:rFonts w:ascii="Arial" w:hAnsi="Arial" w:cs="Arial"/>
        </w:rPr>
        <w:t>RH</w:t>
      </w:r>
      <w:r w:rsidR="00B62CFD">
        <w:rPr>
          <w:rFonts w:ascii="Arial" w:hAnsi="Arial" w:cs="Arial"/>
        </w:rPr>
        <w:t>.</w:t>
      </w:r>
    </w:p>
    <w:p w14:paraId="48DECD42" w14:textId="7A19E425" w:rsidR="00E63F25" w:rsidRPr="00E63F25" w:rsidRDefault="00E63F25" w:rsidP="00301EE5">
      <w:pPr>
        <w:pStyle w:val="Body"/>
        <w:ind w:left="567" w:right="1122"/>
        <w:rPr>
          <w:rFonts w:ascii="Arial" w:hAnsi="Arial" w:cs="Arial"/>
        </w:rPr>
      </w:pPr>
      <w:r w:rsidRPr="00E63F25">
        <w:rPr>
          <w:rFonts w:ascii="Arial" w:hAnsi="Arial" w:cs="Arial"/>
        </w:rPr>
        <w:t xml:space="preserve">In summary, the objectives of this research were: to develop a functional beverage concentrate integrating </w:t>
      </w:r>
      <w:r w:rsidRPr="00B62CFD">
        <w:rPr>
          <w:rFonts w:ascii="Arial" w:hAnsi="Arial" w:cs="Arial"/>
          <w:i/>
          <w:iCs/>
        </w:rPr>
        <w:t xml:space="preserve">G. </w:t>
      </w:r>
      <w:proofErr w:type="spellStart"/>
      <w:r w:rsidRPr="00B62CFD">
        <w:rPr>
          <w:rFonts w:ascii="Arial" w:hAnsi="Arial" w:cs="Arial"/>
          <w:i/>
          <w:iCs/>
        </w:rPr>
        <w:t>atroviridis</w:t>
      </w:r>
      <w:proofErr w:type="spellEnd"/>
      <w:r w:rsidRPr="00E63F25">
        <w:rPr>
          <w:rFonts w:ascii="Arial" w:hAnsi="Arial" w:cs="Arial"/>
        </w:rPr>
        <w:t xml:space="preserve"> fruit and leaf extracts, sweetened with FOS; to statistically optimize the formulation using RSM for maximal sensory acceptance and HCA content; and to characterize the optimized product’s nutritional profile and evaluate its stability and safety over a medium-term storage period.</w:t>
      </w:r>
    </w:p>
    <w:p w14:paraId="404E2DE7" w14:textId="0DB360F1" w:rsidR="007F7B32" w:rsidRDefault="00902823" w:rsidP="00F15A2A">
      <w:pPr>
        <w:pStyle w:val="AbstHead"/>
        <w:ind w:left="567"/>
        <w:jc w:val="both"/>
        <w:rPr>
          <w:rFonts w:ascii="Arial" w:hAnsi="Arial" w:cs="Arial"/>
        </w:rPr>
      </w:pPr>
      <w:r>
        <w:rPr>
          <w:rFonts w:ascii="Arial" w:hAnsi="Arial" w:cs="Arial"/>
        </w:rPr>
        <w:t>2. material and method</w:t>
      </w:r>
      <w:r w:rsidR="00000F8F">
        <w:rPr>
          <w:rFonts w:ascii="Arial" w:hAnsi="Arial" w:cs="Arial"/>
        </w:rPr>
        <w:t xml:space="preserve">s </w:t>
      </w:r>
    </w:p>
    <w:p w14:paraId="6A56E066" w14:textId="77777777" w:rsidR="00B62CFD" w:rsidRDefault="00AA74E0" w:rsidP="00F15A2A">
      <w:pPr>
        <w:pStyle w:val="Body"/>
        <w:ind w:left="567"/>
        <w:rPr>
          <w:rFonts w:ascii="Arial" w:hAnsi="Arial" w:cs="Arial"/>
          <w:b/>
          <w:sz w:val="22"/>
        </w:rPr>
      </w:pPr>
      <w:bookmarkStart w:id="1" w:name="_Hlk212360447"/>
      <w:r w:rsidRPr="00C30A0F">
        <w:rPr>
          <w:rFonts w:ascii="Arial" w:hAnsi="Arial" w:cs="Arial"/>
          <w:b/>
          <w:caps/>
          <w:sz w:val="22"/>
        </w:rPr>
        <w:t xml:space="preserve">2.1 </w:t>
      </w:r>
      <w:r w:rsidR="00B62CFD" w:rsidRPr="00B62CFD">
        <w:rPr>
          <w:rFonts w:ascii="Arial" w:hAnsi="Arial" w:cs="Arial"/>
          <w:b/>
          <w:sz w:val="22"/>
        </w:rPr>
        <w:t>Raw Material Preparation</w:t>
      </w:r>
      <w:bookmarkEnd w:id="1"/>
    </w:p>
    <w:p w14:paraId="4D790020" w14:textId="38B58765" w:rsidR="00AA74E0" w:rsidRDefault="00B62CFD" w:rsidP="00301EE5">
      <w:pPr>
        <w:pStyle w:val="Body"/>
        <w:spacing w:after="0"/>
        <w:ind w:left="567" w:right="1122"/>
        <w:rPr>
          <w:rFonts w:ascii="Arial" w:hAnsi="Arial" w:cs="Arial"/>
        </w:rPr>
      </w:pPr>
      <w:r w:rsidRPr="00B62CFD">
        <w:rPr>
          <w:rFonts w:ascii="Arial" w:hAnsi="Arial" w:cs="Arial"/>
        </w:rPr>
        <w:t xml:space="preserve">Ripe fruits of </w:t>
      </w:r>
      <w:r w:rsidRPr="00B62CFD">
        <w:rPr>
          <w:rFonts w:ascii="Arial" w:hAnsi="Arial" w:cs="Arial"/>
          <w:i/>
          <w:iCs/>
        </w:rPr>
        <w:t xml:space="preserve">Garcinia </w:t>
      </w:r>
      <w:proofErr w:type="spellStart"/>
      <w:r w:rsidRPr="00B62CFD">
        <w:rPr>
          <w:rFonts w:ascii="Arial" w:hAnsi="Arial" w:cs="Arial"/>
          <w:i/>
          <w:iCs/>
        </w:rPr>
        <w:t>atroviridis</w:t>
      </w:r>
      <w:proofErr w:type="spellEnd"/>
      <w:r w:rsidRPr="00B62CFD">
        <w:rPr>
          <w:rFonts w:ascii="Arial" w:hAnsi="Arial" w:cs="Arial"/>
        </w:rPr>
        <w:t xml:space="preserve"> </w:t>
      </w:r>
      <w:r w:rsidR="00D2519C" w:rsidRPr="00D2519C">
        <w:rPr>
          <w:rFonts w:ascii="Arial" w:hAnsi="Arial" w:cs="Arial"/>
        </w:rPr>
        <w:t xml:space="preserve">(approximately 5–7 months old, fully mature) </w:t>
      </w:r>
      <w:r w:rsidRPr="00B62CFD">
        <w:rPr>
          <w:rFonts w:ascii="Arial" w:hAnsi="Arial" w:cs="Arial"/>
        </w:rPr>
        <w:t>and young leaves (</w:t>
      </w:r>
      <w:r>
        <w:rPr>
          <w:rFonts w:ascii="Arial" w:hAnsi="Arial" w:cs="Arial"/>
        </w:rPr>
        <w:t>‘</w:t>
      </w:r>
      <w:proofErr w:type="spellStart"/>
      <w:r w:rsidRPr="00B62CFD">
        <w:rPr>
          <w:rFonts w:ascii="Arial" w:hAnsi="Arial" w:cs="Arial"/>
        </w:rPr>
        <w:t>pucuk</w:t>
      </w:r>
      <w:proofErr w:type="spellEnd"/>
      <w:r>
        <w:rPr>
          <w:rFonts w:ascii="Arial" w:hAnsi="Arial" w:cs="Arial"/>
        </w:rPr>
        <w:t>’</w:t>
      </w:r>
      <w:r w:rsidRPr="00B62CFD">
        <w:rPr>
          <w:rFonts w:ascii="Arial" w:hAnsi="Arial" w:cs="Arial"/>
        </w:rPr>
        <w:t xml:space="preserve">) were harvested </w:t>
      </w:r>
      <w:r w:rsidR="00D2519C">
        <w:rPr>
          <w:rFonts w:ascii="Arial" w:hAnsi="Arial" w:cs="Arial"/>
        </w:rPr>
        <w:t>from a farm in Johor, Malaysia</w:t>
      </w:r>
      <w:r w:rsidRPr="00B62CFD">
        <w:rPr>
          <w:rFonts w:ascii="Arial" w:hAnsi="Arial" w:cs="Arial"/>
        </w:rPr>
        <w:t>. The fruit juice/puree was obtained after washing the fruit and blanching them in boiling water at 95</w:t>
      </w:r>
      <w:r>
        <w:rPr>
          <w:rFonts w:ascii="Arial" w:hAnsi="Arial" w:cs="Arial"/>
        </w:rPr>
        <w:t>°</w:t>
      </w:r>
      <w:r w:rsidRPr="00B62CFD">
        <w:rPr>
          <w:rFonts w:ascii="Arial" w:hAnsi="Arial" w:cs="Arial"/>
        </w:rPr>
        <w:t>C</w:t>
      </w:r>
      <w:r>
        <w:rPr>
          <w:rFonts w:ascii="Arial" w:hAnsi="Arial" w:cs="Arial"/>
        </w:rPr>
        <w:t xml:space="preserve"> </w:t>
      </w:r>
      <w:r w:rsidRPr="00B62CFD">
        <w:rPr>
          <w:rFonts w:ascii="Arial" w:hAnsi="Arial" w:cs="Arial"/>
        </w:rPr>
        <w:t>for 2–3 minutes, a step intended to soften the fruit and potentially concentrate the high</w:t>
      </w:r>
      <w:r>
        <w:rPr>
          <w:rFonts w:ascii="Arial" w:hAnsi="Arial" w:cs="Arial"/>
        </w:rPr>
        <w:t xml:space="preserve"> </w:t>
      </w:r>
      <w:r w:rsidRPr="00B62CFD">
        <w:rPr>
          <w:rFonts w:ascii="Arial" w:hAnsi="Arial" w:cs="Arial"/>
        </w:rPr>
        <w:t xml:space="preserve">HCA content (Hussain Zaki et al., 2024). The young leaf extract was prepared by simmering the leaves in water (1:5 w/v ratio) at </w:t>
      </w:r>
      <w:r w:rsidR="0001685E">
        <w:rPr>
          <w:rFonts w:ascii="Arial" w:hAnsi="Arial" w:cs="Arial"/>
        </w:rPr>
        <w:t>9</w:t>
      </w:r>
      <w:r w:rsidRPr="00B62CFD">
        <w:rPr>
          <w:rFonts w:ascii="Arial" w:hAnsi="Arial" w:cs="Arial"/>
        </w:rPr>
        <w:t>0–95</w:t>
      </w:r>
      <w:r w:rsidR="0001685E">
        <w:rPr>
          <w:rFonts w:ascii="Arial" w:hAnsi="Arial" w:cs="Arial"/>
        </w:rPr>
        <w:t>°</w:t>
      </w:r>
      <w:r w:rsidRPr="00B62CFD">
        <w:rPr>
          <w:rFonts w:ascii="Arial" w:hAnsi="Arial" w:cs="Arial"/>
        </w:rPr>
        <w:t>C</w:t>
      </w:r>
      <w:r w:rsidR="0001685E">
        <w:rPr>
          <w:rFonts w:ascii="Arial" w:hAnsi="Arial" w:cs="Arial"/>
        </w:rPr>
        <w:t xml:space="preserve"> </w:t>
      </w:r>
      <w:r w:rsidRPr="00B62CFD">
        <w:rPr>
          <w:rFonts w:ascii="Arial" w:hAnsi="Arial" w:cs="Arial"/>
        </w:rPr>
        <w:t xml:space="preserve">for 60 minutes, a thermal extraction process optimized </w:t>
      </w:r>
      <w:r w:rsidR="00C9478A">
        <w:rPr>
          <w:rFonts w:ascii="Arial" w:hAnsi="Arial" w:cs="Arial"/>
        </w:rPr>
        <w:t xml:space="preserve">in preliminary studies </w:t>
      </w:r>
      <w:r w:rsidRPr="00B62CFD">
        <w:rPr>
          <w:rFonts w:ascii="Arial" w:hAnsi="Arial" w:cs="Arial"/>
        </w:rPr>
        <w:t xml:space="preserve">for maximizing the yield of water-soluble phenolics. </w:t>
      </w:r>
      <w:r w:rsidR="00D2519C" w:rsidRPr="00D2519C">
        <w:rPr>
          <w:rFonts w:ascii="Arial" w:hAnsi="Arial" w:cs="Arial"/>
        </w:rPr>
        <w:t xml:space="preserve">The extracted liquid was filtered through muslin to remove leaf solids. </w:t>
      </w:r>
      <w:r w:rsidRPr="00B62CFD">
        <w:rPr>
          <w:rFonts w:ascii="Arial" w:hAnsi="Arial" w:cs="Arial"/>
        </w:rPr>
        <w:t>Food-grade</w:t>
      </w:r>
      <w:r w:rsidR="0001685E">
        <w:rPr>
          <w:rFonts w:ascii="Arial" w:hAnsi="Arial" w:cs="Arial"/>
        </w:rPr>
        <w:t xml:space="preserve"> </w:t>
      </w:r>
      <w:r w:rsidRPr="00B62CFD">
        <w:rPr>
          <w:rFonts w:ascii="Arial" w:hAnsi="Arial" w:cs="Arial"/>
        </w:rPr>
        <w:t>FOS (</w:t>
      </w:r>
      <w:r w:rsidR="0001685E">
        <w:rPr>
          <w:rFonts w:ascii="Arial" w:hAnsi="Arial" w:cs="Arial"/>
        </w:rPr>
        <w:t>approx.</w:t>
      </w:r>
      <w:r w:rsidRPr="00B62CFD">
        <w:rPr>
          <w:rFonts w:ascii="Arial" w:hAnsi="Arial" w:cs="Arial"/>
        </w:rPr>
        <w:t xml:space="preserve"> 95% purity) and </w:t>
      </w:r>
      <w:bookmarkStart w:id="2" w:name="_Hlk212360581"/>
      <w:r w:rsidRPr="00B62CFD">
        <w:rPr>
          <w:rFonts w:ascii="Arial" w:hAnsi="Arial" w:cs="Arial"/>
        </w:rPr>
        <w:t>xanthan gum were sourced commercially</w:t>
      </w:r>
      <w:bookmarkEnd w:id="2"/>
      <w:r w:rsidRPr="00B62CFD">
        <w:rPr>
          <w:rFonts w:ascii="Arial" w:hAnsi="Arial" w:cs="Arial"/>
        </w:rPr>
        <w:t>.</w:t>
      </w:r>
      <w:r w:rsidR="00D2519C">
        <w:rPr>
          <w:rFonts w:ascii="Arial" w:hAnsi="Arial" w:cs="Arial"/>
        </w:rPr>
        <w:t xml:space="preserve"> </w:t>
      </w:r>
      <w:r w:rsidR="00D2519C" w:rsidRPr="00D2519C">
        <w:rPr>
          <w:rFonts w:ascii="Arial" w:hAnsi="Arial" w:cs="Arial"/>
        </w:rPr>
        <w:t>All other chemicals (for analysis) were of analytical grade.</w:t>
      </w:r>
    </w:p>
    <w:p w14:paraId="4F458806" w14:textId="3D91BFD7" w:rsidR="0001685E" w:rsidRDefault="0001685E" w:rsidP="00384689">
      <w:pPr>
        <w:pStyle w:val="Body"/>
        <w:spacing w:after="0"/>
        <w:ind w:left="567"/>
        <w:rPr>
          <w:rFonts w:ascii="Arial" w:hAnsi="Arial" w:cs="Arial"/>
        </w:rPr>
      </w:pPr>
      <w:bookmarkStart w:id="3" w:name="_Hlk212362465"/>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1685E">
        <w:rPr>
          <w:rFonts w:ascii="Arial" w:hAnsi="Arial" w:cs="Arial"/>
          <w:b/>
          <w:sz w:val="22"/>
        </w:rPr>
        <w:t>Experimental Design and Optimization</w:t>
      </w:r>
    </w:p>
    <w:bookmarkEnd w:id="3"/>
    <w:p w14:paraId="3814F742" w14:textId="0C0E01A2" w:rsidR="00AA74E0" w:rsidRDefault="00AA74E0" w:rsidP="00384689">
      <w:pPr>
        <w:pStyle w:val="Body"/>
        <w:spacing w:after="0"/>
        <w:ind w:left="567"/>
        <w:rPr>
          <w:rFonts w:ascii="Arial" w:hAnsi="Arial" w:cs="Arial"/>
          <w:b/>
          <w:u w:val="single"/>
        </w:rPr>
      </w:pPr>
      <w:r w:rsidRPr="0001685E">
        <w:rPr>
          <w:rFonts w:ascii="Arial" w:hAnsi="Arial" w:cs="Arial"/>
          <w:b/>
          <w:u w:val="single"/>
        </w:rPr>
        <w:t>2.</w:t>
      </w:r>
      <w:r w:rsidR="008D730B">
        <w:rPr>
          <w:rFonts w:ascii="Arial" w:hAnsi="Arial" w:cs="Arial"/>
          <w:b/>
          <w:u w:val="single"/>
        </w:rPr>
        <w:t>2</w:t>
      </w:r>
      <w:r w:rsidRPr="0001685E">
        <w:rPr>
          <w:rFonts w:ascii="Arial" w:hAnsi="Arial" w:cs="Arial"/>
          <w:b/>
          <w:u w:val="single"/>
        </w:rPr>
        <w:t xml:space="preserve">.1 </w:t>
      </w:r>
      <w:r w:rsidR="0001685E" w:rsidRPr="0001685E">
        <w:rPr>
          <w:rFonts w:ascii="Arial" w:hAnsi="Arial" w:cs="Arial"/>
          <w:b/>
          <w:u w:val="single"/>
        </w:rPr>
        <w:t>D-optimal Mixture Design Parameters</w:t>
      </w:r>
    </w:p>
    <w:p w14:paraId="0CD82EC3" w14:textId="1C06BDF6" w:rsidR="0001685E" w:rsidRDefault="0001685E" w:rsidP="00301EE5">
      <w:pPr>
        <w:pStyle w:val="Body"/>
        <w:spacing w:after="0"/>
        <w:ind w:left="567" w:right="1122"/>
        <w:rPr>
          <w:rFonts w:ascii="Arial" w:hAnsi="Arial" w:cs="Arial"/>
        </w:rPr>
      </w:pPr>
      <w:bookmarkStart w:id="4" w:name="_Hlk212361028"/>
      <w:r w:rsidRPr="0001685E">
        <w:rPr>
          <w:rFonts w:ascii="Arial" w:hAnsi="Arial" w:cs="Arial"/>
        </w:rPr>
        <w:t>The</w:t>
      </w:r>
      <w:bookmarkEnd w:id="4"/>
      <w:r w:rsidRPr="0001685E">
        <w:rPr>
          <w:rFonts w:ascii="Arial" w:hAnsi="Arial" w:cs="Arial"/>
        </w:rPr>
        <w:t xml:space="preserve"> formulation optimization was executed using a three-factor, three-level D-optimal mixture design RSM. The three independent variables tested were: </w:t>
      </w:r>
      <w:proofErr w:type="spellStart"/>
      <w:r w:rsidR="008D730B">
        <w:rPr>
          <w:rFonts w:ascii="Arial" w:hAnsi="Arial" w:cs="Arial"/>
        </w:rPr>
        <w:t>i</w:t>
      </w:r>
      <w:proofErr w:type="spellEnd"/>
      <w:r w:rsidR="008D730B">
        <w:rPr>
          <w:rFonts w:ascii="Arial" w:hAnsi="Arial" w:cs="Arial"/>
        </w:rPr>
        <w:t>)</w:t>
      </w:r>
      <w:r w:rsidRPr="0001685E">
        <w:rPr>
          <w:rFonts w:ascii="Arial" w:hAnsi="Arial" w:cs="Arial"/>
        </w:rPr>
        <w:t xml:space="preserve"> </w:t>
      </w:r>
      <w:r w:rsidR="008D730B" w:rsidRPr="008D730B">
        <w:rPr>
          <w:rFonts w:ascii="Arial" w:hAnsi="Arial" w:cs="Arial"/>
          <w:i/>
          <w:iCs/>
        </w:rPr>
        <w:t xml:space="preserve">G. </w:t>
      </w:r>
      <w:proofErr w:type="spellStart"/>
      <w:r w:rsidR="008D730B" w:rsidRPr="008D730B">
        <w:rPr>
          <w:rFonts w:ascii="Arial" w:hAnsi="Arial" w:cs="Arial"/>
          <w:i/>
          <w:iCs/>
        </w:rPr>
        <w:t>atroviridis</w:t>
      </w:r>
      <w:proofErr w:type="spellEnd"/>
      <w:r w:rsidR="008D730B">
        <w:rPr>
          <w:rFonts w:ascii="Arial" w:hAnsi="Arial" w:cs="Arial"/>
        </w:rPr>
        <w:t xml:space="preserve"> young l</w:t>
      </w:r>
      <w:r w:rsidRPr="0001685E">
        <w:rPr>
          <w:rFonts w:ascii="Arial" w:hAnsi="Arial" w:cs="Arial"/>
        </w:rPr>
        <w:t xml:space="preserve">eaf </w:t>
      </w:r>
      <w:r w:rsidR="008D730B">
        <w:rPr>
          <w:rFonts w:ascii="Arial" w:hAnsi="Arial" w:cs="Arial"/>
        </w:rPr>
        <w:t>e</w:t>
      </w:r>
      <w:r w:rsidRPr="0001685E">
        <w:rPr>
          <w:rFonts w:ascii="Arial" w:hAnsi="Arial" w:cs="Arial"/>
        </w:rPr>
        <w:t xml:space="preserve">xtract (50–70%); </w:t>
      </w:r>
      <w:r w:rsidR="008D730B">
        <w:rPr>
          <w:rFonts w:ascii="Arial" w:hAnsi="Arial" w:cs="Arial"/>
        </w:rPr>
        <w:t xml:space="preserve">ii) </w:t>
      </w:r>
      <w:r w:rsidR="008D730B" w:rsidRPr="008D730B">
        <w:rPr>
          <w:rFonts w:ascii="Arial" w:hAnsi="Arial" w:cs="Arial"/>
          <w:i/>
          <w:iCs/>
        </w:rPr>
        <w:t xml:space="preserve">G. </w:t>
      </w:r>
      <w:proofErr w:type="spellStart"/>
      <w:r w:rsidR="008D730B" w:rsidRPr="008D730B">
        <w:rPr>
          <w:rFonts w:ascii="Arial" w:hAnsi="Arial" w:cs="Arial"/>
          <w:i/>
          <w:iCs/>
        </w:rPr>
        <w:t>atroviridis</w:t>
      </w:r>
      <w:proofErr w:type="spellEnd"/>
      <w:r w:rsidR="008D730B">
        <w:rPr>
          <w:rFonts w:ascii="Arial" w:hAnsi="Arial" w:cs="Arial"/>
        </w:rPr>
        <w:t xml:space="preserve"> f</w:t>
      </w:r>
      <w:r w:rsidRPr="0001685E">
        <w:rPr>
          <w:rFonts w:ascii="Arial" w:hAnsi="Arial" w:cs="Arial"/>
        </w:rPr>
        <w:t xml:space="preserve">ruit </w:t>
      </w:r>
      <w:r w:rsidR="008D730B">
        <w:rPr>
          <w:rFonts w:ascii="Arial" w:hAnsi="Arial" w:cs="Arial"/>
        </w:rPr>
        <w:t>j</w:t>
      </w:r>
      <w:r w:rsidRPr="0001685E">
        <w:rPr>
          <w:rFonts w:ascii="Arial" w:hAnsi="Arial" w:cs="Arial"/>
        </w:rPr>
        <w:t xml:space="preserve">uice (10–20%); and </w:t>
      </w:r>
      <w:r w:rsidR="008D730B">
        <w:rPr>
          <w:rFonts w:ascii="Arial" w:hAnsi="Arial" w:cs="Arial"/>
        </w:rPr>
        <w:t xml:space="preserve">iii) </w:t>
      </w:r>
      <w:r w:rsidRPr="0001685E">
        <w:rPr>
          <w:rFonts w:ascii="Arial" w:hAnsi="Arial" w:cs="Arial"/>
        </w:rPr>
        <w:t>FOS (5–10%), all expressed as percentage by weight. A total of 1</w:t>
      </w:r>
      <w:r w:rsidR="008D730B">
        <w:rPr>
          <w:rFonts w:ascii="Arial" w:hAnsi="Arial" w:cs="Arial"/>
        </w:rPr>
        <w:t>6</w:t>
      </w:r>
      <w:r w:rsidRPr="0001685E">
        <w:rPr>
          <w:rFonts w:ascii="Arial" w:hAnsi="Arial" w:cs="Arial"/>
        </w:rPr>
        <w:t xml:space="preserve"> experimental runs, including three center points, were evaluated. Xanthan gum</w:t>
      </w:r>
      <w:r w:rsidR="008D730B">
        <w:rPr>
          <w:rFonts w:ascii="Arial" w:hAnsi="Arial" w:cs="Arial"/>
        </w:rPr>
        <w:t xml:space="preserve"> </w:t>
      </w:r>
      <w:r w:rsidRPr="0001685E">
        <w:rPr>
          <w:rFonts w:ascii="Arial" w:hAnsi="Arial" w:cs="Arial"/>
        </w:rPr>
        <w:t>was maintained at a constant 0.2%</w:t>
      </w:r>
      <w:r w:rsidR="008D730B">
        <w:rPr>
          <w:rFonts w:ascii="Arial" w:hAnsi="Arial" w:cs="Arial"/>
        </w:rPr>
        <w:t xml:space="preserve"> </w:t>
      </w:r>
      <w:r w:rsidRPr="0001685E">
        <w:rPr>
          <w:rFonts w:ascii="Arial" w:hAnsi="Arial" w:cs="Arial"/>
        </w:rPr>
        <w:t>w/w in all trials to provide minimal stabilization and texture improvement.</w:t>
      </w:r>
      <w:r w:rsidR="00D2519C">
        <w:rPr>
          <w:rFonts w:ascii="Arial" w:hAnsi="Arial" w:cs="Arial"/>
        </w:rPr>
        <w:t xml:space="preserve"> </w:t>
      </w:r>
      <w:r w:rsidR="00D2519C" w:rsidRPr="00D2519C">
        <w:rPr>
          <w:rFonts w:ascii="Arial" w:hAnsi="Arial" w:cs="Arial"/>
        </w:rPr>
        <w:t>The mixtures were homogenized and pasteurized at 90°C for 10 min, then cooled to ~60°C and filled into 100 mL sterile glass bottles for analysis.</w:t>
      </w:r>
    </w:p>
    <w:p w14:paraId="74476D00" w14:textId="3FA296FC" w:rsidR="008D730B" w:rsidRDefault="008D730B" w:rsidP="00384689">
      <w:pPr>
        <w:pStyle w:val="Body"/>
        <w:spacing w:after="0"/>
        <w:ind w:left="567"/>
        <w:rPr>
          <w:rFonts w:ascii="Arial" w:hAnsi="Arial" w:cs="Arial"/>
          <w:b/>
          <w:u w:val="single"/>
        </w:rPr>
      </w:pPr>
      <w:bookmarkStart w:id="5" w:name="_Hlk212362119"/>
      <w:r w:rsidRPr="008D730B">
        <w:rPr>
          <w:rFonts w:ascii="Arial" w:hAnsi="Arial" w:cs="Arial"/>
          <w:b/>
          <w:u w:val="single"/>
        </w:rPr>
        <w:t>2.</w:t>
      </w:r>
      <w:r>
        <w:rPr>
          <w:rFonts w:ascii="Arial" w:hAnsi="Arial" w:cs="Arial"/>
          <w:b/>
          <w:u w:val="single"/>
        </w:rPr>
        <w:t>2</w:t>
      </w:r>
      <w:r w:rsidRPr="008D730B">
        <w:rPr>
          <w:rFonts w:ascii="Arial" w:hAnsi="Arial" w:cs="Arial"/>
          <w:b/>
          <w:u w:val="single"/>
        </w:rPr>
        <w:t>.</w:t>
      </w:r>
      <w:r>
        <w:rPr>
          <w:rFonts w:ascii="Arial" w:hAnsi="Arial" w:cs="Arial"/>
          <w:b/>
          <w:u w:val="single"/>
        </w:rPr>
        <w:t>2</w:t>
      </w:r>
      <w:r w:rsidRPr="008D730B">
        <w:rPr>
          <w:rFonts w:ascii="Arial" w:hAnsi="Arial" w:cs="Arial"/>
          <w:b/>
          <w:u w:val="single"/>
        </w:rPr>
        <w:t xml:space="preserve"> Response Variables and Analytical Methods</w:t>
      </w:r>
    </w:p>
    <w:bookmarkEnd w:id="5"/>
    <w:p w14:paraId="747E50DD" w14:textId="17099811" w:rsidR="008D730B" w:rsidRDefault="00103122" w:rsidP="00301EE5">
      <w:pPr>
        <w:pStyle w:val="Body"/>
        <w:spacing w:after="0"/>
        <w:ind w:left="567" w:right="1122"/>
        <w:rPr>
          <w:rFonts w:ascii="Arial" w:hAnsi="Arial" w:cs="Arial"/>
        </w:rPr>
      </w:pPr>
      <w:r w:rsidRPr="00103122">
        <w:rPr>
          <w:rFonts w:ascii="Arial" w:hAnsi="Arial" w:cs="Arial"/>
        </w:rPr>
        <w:t xml:space="preserve">Three key responses were measured for each RSM trial: - Overall acceptance – determined by sensory evaluation using a </w:t>
      </w:r>
      <w:r>
        <w:rPr>
          <w:rFonts w:ascii="Arial" w:hAnsi="Arial" w:cs="Arial"/>
        </w:rPr>
        <w:t>4</w:t>
      </w:r>
      <w:r w:rsidRPr="00103122">
        <w:rPr>
          <w:rFonts w:ascii="Arial" w:hAnsi="Arial" w:cs="Arial"/>
        </w:rPr>
        <w:t xml:space="preserve">0-member untrained panel. Panelists rated overall liking of each sample </w:t>
      </w:r>
      <w:r w:rsidRPr="00103122">
        <w:rPr>
          <w:rFonts w:ascii="Arial" w:hAnsi="Arial" w:cs="Arial"/>
        </w:rPr>
        <w:lastRenderedPageBreak/>
        <w:t xml:space="preserve">on a 7-point hedonic scale (1 = “dislike very much”, 7 = “like very much”). Testing was done in a sensory lab with samples coded and presented in random order; water was provided for palate rinsing between samples. - Viscosity score – panelists also rated the perceived thickness/viscosity on a 7-point intensity scale (1 = “much too thin”, 7 = “much too thick”) with 4 being just about right. This score helped gauge mouthfeel differences due to varying FOS levels. - HCA content – the concentration of (-)-hydroxycitric acid in each sample was quantified. An HPLC analysis </w:t>
      </w:r>
      <w:r w:rsidR="00DA2F56">
        <w:rPr>
          <w:rFonts w:ascii="Arial" w:hAnsi="Arial" w:cs="Arial"/>
        </w:rPr>
        <w:t xml:space="preserve">adopted from Md Ariff et al. (2024) </w:t>
      </w:r>
      <w:r w:rsidRPr="00103122">
        <w:rPr>
          <w:rFonts w:ascii="Arial" w:hAnsi="Arial" w:cs="Arial"/>
        </w:rPr>
        <w:t xml:space="preserve">was performed (after appropriate dilution of the concentrate) using a reversed-phase C18 column and UV detection at 210 nm, with external calibration using an authentic HCA standard. Results were expressed in mg of HCA per 100 mL of </w:t>
      </w:r>
      <w:bookmarkStart w:id="6" w:name="_Hlk212362207"/>
      <w:r w:rsidRPr="00103122">
        <w:rPr>
          <w:rFonts w:ascii="Arial" w:hAnsi="Arial" w:cs="Arial"/>
        </w:rPr>
        <w:t>concentrate.</w:t>
      </w:r>
      <w:bookmarkEnd w:id="6"/>
    </w:p>
    <w:p w14:paraId="077D7177" w14:textId="3981C4F0" w:rsidR="00103122" w:rsidRDefault="00103122" w:rsidP="00384689">
      <w:pPr>
        <w:pStyle w:val="Body"/>
        <w:spacing w:after="0"/>
        <w:ind w:left="567"/>
        <w:rPr>
          <w:rFonts w:ascii="Arial" w:hAnsi="Arial" w:cs="Arial"/>
          <w:b/>
          <w:u w:val="single"/>
        </w:rPr>
      </w:pPr>
      <w:r w:rsidRPr="008D730B">
        <w:rPr>
          <w:rFonts w:ascii="Arial" w:hAnsi="Arial" w:cs="Arial"/>
          <w:b/>
          <w:u w:val="single"/>
        </w:rPr>
        <w:t>2.</w:t>
      </w:r>
      <w:r>
        <w:rPr>
          <w:rFonts w:ascii="Arial" w:hAnsi="Arial" w:cs="Arial"/>
          <w:b/>
          <w:u w:val="single"/>
        </w:rPr>
        <w:t>2</w:t>
      </w:r>
      <w:r w:rsidRPr="008D730B">
        <w:rPr>
          <w:rFonts w:ascii="Arial" w:hAnsi="Arial" w:cs="Arial"/>
          <w:b/>
          <w:u w:val="single"/>
        </w:rPr>
        <w:t>.</w:t>
      </w:r>
      <w:r>
        <w:rPr>
          <w:rFonts w:ascii="Arial" w:hAnsi="Arial" w:cs="Arial"/>
          <w:b/>
          <w:u w:val="single"/>
        </w:rPr>
        <w:t>3</w:t>
      </w:r>
      <w:r w:rsidRPr="008D730B">
        <w:rPr>
          <w:rFonts w:ascii="Arial" w:hAnsi="Arial" w:cs="Arial"/>
          <w:b/>
          <w:u w:val="single"/>
        </w:rPr>
        <w:t xml:space="preserve"> </w:t>
      </w:r>
      <w:r w:rsidRPr="00103122">
        <w:rPr>
          <w:rFonts w:ascii="Arial" w:hAnsi="Arial" w:cs="Arial"/>
          <w:b/>
          <w:u w:val="single"/>
        </w:rPr>
        <w:t>Statistical Analysis and Optimization Criteria</w:t>
      </w:r>
    </w:p>
    <w:p w14:paraId="17724CCE" w14:textId="207FC6F7" w:rsidR="00103122" w:rsidRDefault="00103122" w:rsidP="00301EE5">
      <w:pPr>
        <w:pStyle w:val="Body"/>
        <w:spacing w:after="0"/>
        <w:ind w:left="567" w:right="1122"/>
        <w:rPr>
          <w:rFonts w:ascii="Arial" w:hAnsi="Arial" w:cs="Arial"/>
        </w:rPr>
      </w:pPr>
      <w:r w:rsidRPr="00103122">
        <w:rPr>
          <w:rFonts w:ascii="Arial" w:hAnsi="Arial" w:cs="Arial"/>
        </w:rPr>
        <w:t>Quadratic models were fitted to the response data and analyzed using ANOVA</w:t>
      </w:r>
      <w:r>
        <w:rPr>
          <w:rFonts w:ascii="Arial" w:hAnsi="Arial" w:cs="Arial"/>
        </w:rPr>
        <w:t xml:space="preserve"> </w:t>
      </w:r>
      <w:r w:rsidRPr="00103122">
        <w:rPr>
          <w:rFonts w:ascii="Arial" w:hAnsi="Arial" w:cs="Arial"/>
        </w:rPr>
        <w:t>to assess significance. The optimization sought the formulation combination that maximized overall sensory acceptance</w:t>
      </w:r>
      <w:r w:rsidR="00C57F49">
        <w:rPr>
          <w:rFonts w:ascii="Arial" w:hAnsi="Arial" w:cs="Arial"/>
        </w:rPr>
        <w:t>,</w:t>
      </w:r>
      <w:r w:rsidRPr="00103122">
        <w:rPr>
          <w:rFonts w:ascii="Arial" w:hAnsi="Arial" w:cs="Arial"/>
        </w:rPr>
        <w:t xml:space="preserve"> HCA</w:t>
      </w:r>
      <w:r>
        <w:rPr>
          <w:rFonts w:ascii="Arial" w:hAnsi="Arial" w:cs="Arial"/>
        </w:rPr>
        <w:t xml:space="preserve"> </w:t>
      </w:r>
      <w:r w:rsidRPr="00103122">
        <w:rPr>
          <w:rFonts w:ascii="Arial" w:hAnsi="Arial" w:cs="Arial"/>
        </w:rPr>
        <w:t xml:space="preserve">content, and ensured the viscosity score remained within the acceptable range of 5.1–5.9. </w:t>
      </w:r>
      <w:r w:rsidRPr="00103122">
        <w:rPr>
          <w:rFonts w:ascii="Arial" w:hAnsi="Arial" w:cs="Arial"/>
          <w:i/>
          <w:iCs/>
        </w:rPr>
        <w:t>P</w:t>
      </w:r>
      <w:r>
        <w:rPr>
          <w:rFonts w:ascii="Arial" w:hAnsi="Arial" w:cs="Arial"/>
        </w:rPr>
        <w:t xml:space="preserve"> </w:t>
      </w:r>
      <w:r w:rsidRPr="00103122">
        <w:rPr>
          <w:rFonts w:ascii="Arial" w:hAnsi="Arial" w:cs="Arial"/>
        </w:rPr>
        <w:t>values were reported as italicized and capitalized.</w:t>
      </w:r>
      <w:r>
        <w:rPr>
          <w:rFonts w:ascii="Arial" w:hAnsi="Arial" w:cs="Arial"/>
        </w:rPr>
        <w:t xml:space="preserve"> These data analyses were performed by </w:t>
      </w:r>
      <w:r w:rsidRPr="00103122">
        <w:rPr>
          <w:rFonts w:ascii="Arial" w:hAnsi="Arial" w:cs="Arial"/>
          <w:i/>
          <w:iCs/>
        </w:rPr>
        <w:t>Design Expert 13.0</w:t>
      </w:r>
      <w:r>
        <w:rPr>
          <w:rFonts w:ascii="Arial" w:hAnsi="Arial" w:cs="Arial"/>
        </w:rPr>
        <w:t xml:space="preserve"> software.</w:t>
      </w:r>
    </w:p>
    <w:p w14:paraId="2AE77C53" w14:textId="6EC081D3" w:rsidR="00103122" w:rsidRDefault="00103122" w:rsidP="00384689">
      <w:pPr>
        <w:pStyle w:val="Body"/>
        <w:spacing w:after="0"/>
        <w:ind w:left="567"/>
        <w:rPr>
          <w:rFonts w:ascii="Arial" w:hAnsi="Arial" w:cs="Arial"/>
          <w:b/>
          <w:sz w:val="22"/>
        </w:rPr>
      </w:pPr>
      <w:bookmarkStart w:id="7" w:name="_Hlk212362636"/>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CD21E7" w:rsidRPr="00CD21E7">
        <w:rPr>
          <w:rFonts w:ascii="Arial" w:hAnsi="Arial" w:cs="Arial"/>
          <w:b/>
          <w:sz w:val="22"/>
        </w:rPr>
        <w:t>Product Preparation and Processing</w:t>
      </w:r>
    </w:p>
    <w:p w14:paraId="7109B7EF" w14:textId="7301C1A0" w:rsidR="00CD21E7" w:rsidRDefault="00CD21E7" w:rsidP="00301EE5">
      <w:pPr>
        <w:pStyle w:val="Body"/>
        <w:spacing w:after="0"/>
        <w:ind w:left="567" w:right="1122"/>
        <w:rPr>
          <w:rFonts w:ascii="Arial" w:hAnsi="Arial" w:cs="Arial"/>
        </w:rPr>
      </w:pPr>
      <w:bookmarkStart w:id="8" w:name="_Hlk212362746"/>
      <w:bookmarkEnd w:id="7"/>
      <w:r w:rsidRPr="00CD21E7">
        <w:rPr>
          <w:rFonts w:ascii="Arial" w:hAnsi="Arial" w:cs="Arial"/>
        </w:rPr>
        <w:t>The</w:t>
      </w:r>
      <w:bookmarkEnd w:id="8"/>
      <w:r w:rsidRPr="00CD21E7">
        <w:rPr>
          <w:rFonts w:ascii="Arial" w:hAnsi="Arial" w:cs="Arial"/>
        </w:rPr>
        <w:t xml:space="preserve"> optimized formula was prepared on a pilot scale. The mixture was pasteurized by heating to 90</w:t>
      </w:r>
      <w:r>
        <w:rPr>
          <w:rFonts w:ascii="Arial" w:hAnsi="Arial" w:cs="Arial"/>
        </w:rPr>
        <w:t>°</w:t>
      </w:r>
      <w:r w:rsidRPr="00CD21E7">
        <w:rPr>
          <w:rFonts w:ascii="Arial" w:hAnsi="Arial" w:cs="Arial"/>
        </w:rPr>
        <w:t>C and holding for 10 minutes. The concentrate was hot-filled into pre-sterilized aluminum foil sachets while maintaining a fill temperature greater than 80</w:t>
      </w:r>
      <w:r>
        <w:rPr>
          <w:rFonts w:ascii="Arial" w:hAnsi="Arial" w:cs="Arial"/>
        </w:rPr>
        <w:t>°</w:t>
      </w:r>
      <w:r w:rsidRPr="00CD21E7">
        <w:rPr>
          <w:rFonts w:ascii="Arial" w:hAnsi="Arial" w:cs="Arial"/>
        </w:rPr>
        <w:t>C. A necessary post-pasteurization step was performed by submerging the sealed sachets in boiling water for 5 minutes, followed by rapid cooling. This dual thermal process, combined with the use of oxygen-impermeable aluminum sachets, was specifically chosen to achieve commercial sterility and minimize oxidative degradation of HCA and phenolics, ensuring robust long-term stability without the need for synthetic additives.</w:t>
      </w:r>
    </w:p>
    <w:p w14:paraId="111DEAC8" w14:textId="3E702672" w:rsidR="00CD21E7" w:rsidRDefault="00CD21E7" w:rsidP="00384689">
      <w:pPr>
        <w:pStyle w:val="Body"/>
        <w:spacing w:after="0"/>
        <w:ind w:left="567"/>
        <w:rPr>
          <w:rFonts w:ascii="Arial" w:hAnsi="Arial" w:cs="Arial"/>
          <w:b/>
          <w:sz w:val="22"/>
        </w:rPr>
      </w:pPr>
      <w:bookmarkStart w:id="9" w:name="_Hlk212363849"/>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CD21E7">
        <w:rPr>
          <w:rFonts w:ascii="Arial" w:hAnsi="Arial" w:cs="Arial"/>
          <w:b/>
          <w:sz w:val="22"/>
        </w:rPr>
        <w:t>Analytical Methods</w:t>
      </w:r>
    </w:p>
    <w:p w14:paraId="6A74FB61" w14:textId="100D1F2C" w:rsidR="00CD21E7" w:rsidRDefault="00CD21E7" w:rsidP="00384689">
      <w:pPr>
        <w:pStyle w:val="Body"/>
        <w:spacing w:after="0"/>
        <w:ind w:left="567"/>
        <w:rPr>
          <w:rFonts w:ascii="Arial" w:hAnsi="Arial" w:cs="Arial"/>
          <w:b/>
          <w:u w:val="single"/>
        </w:rPr>
      </w:pPr>
      <w:bookmarkStart w:id="10" w:name="_Hlk212362994"/>
      <w:bookmarkEnd w:id="9"/>
      <w:r w:rsidRPr="008D730B">
        <w:rPr>
          <w:rFonts w:ascii="Arial" w:hAnsi="Arial" w:cs="Arial"/>
          <w:b/>
          <w:u w:val="single"/>
        </w:rPr>
        <w:t>2.</w:t>
      </w:r>
      <w:r>
        <w:rPr>
          <w:rFonts w:ascii="Arial" w:hAnsi="Arial" w:cs="Arial"/>
          <w:b/>
          <w:u w:val="single"/>
        </w:rPr>
        <w:t>4.1</w:t>
      </w:r>
      <w:r w:rsidRPr="008D730B">
        <w:rPr>
          <w:rFonts w:ascii="Arial" w:hAnsi="Arial" w:cs="Arial"/>
          <w:b/>
          <w:u w:val="single"/>
        </w:rPr>
        <w:t xml:space="preserve"> </w:t>
      </w:r>
      <w:r w:rsidRPr="00CD21E7">
        <w:rPr>
          <w:rFonts w:ascii="Arial" w:hAnsi="Arial" w:cs="Arial"/>
          <w:b/>
          <w:u w:val="single"/>
        </w:rPr>
        <w:t xml:space="preserve">Proximate and </w:t>
      </w:r>
      <w:r w:rsidR="007645C2">
        <w:rPr>
          <w:rFonts w:ascii="Arial" w:hAnsi="Arial" w:cs="Arial"/>
          <w:b/>
          <w:u w:val="single"/>
        </w:rPr>
        <w:t>Nutritional</w:t>
      </w:r>
      <w:r w:rsidRPr="00CD21E7">
        <w:rPr>
          <w:rFonts w:ascii="Arial" w:hAnsi="Arial" w:cs="Arial"/>
          <w:b/>
          <w:u w:val="single"/>
        </w:rPr>
        <w:t xml:space="preserve"> Analysis </w:t>
      </w:r>
      <w:bookmarkEnd w:id="10"/>
      <w:r w:rsidRPr="00CD21E7">
        <w:rPr>
          <w:rFonts w:ascii="Arial" w:hAnsi="Arial" w:cs="Arial"/>
          <w:b/>
          <w:u w:val="single"/>
        </w:rPr>
        <w:t>(AOAC Methods)</w:t>
      </w:r>
    </w:p>
    <w:p w14:paraId="2A342EA7" w14:textId="5219A7E6" w:rsidR="00CD21E7" w:rsidRDefault="007645C2" w:rsidP="00301EE5">
      <w:pPr>
        <w:pStyle w:val="Body"/>
        <w:spacing w:after="0"/>
        <w:ind w:left="567" w:right="1122"/>
        <w:rPr>
          <w:rFonts w:ascii="Arial" w:hAnsi="Arial" w:cs="Arial"/>
        </w:rPr>
      </w:pPr>
      <w:r w:rsidRPr="007645C2">
        <w:rPr>
          <w:rFonts w:ascii="Arial" w:hAnsi="Arial" w:cs="Arial"/>
        </w:rPr>
        <w:t>The optimized concentrate was analyzed for basic nutritional composition. Moisture content was measured by oven drying at 105 °C to constant weight (AOAC 931.04). Protein was determined by the Kjeldahl method (AOAC 988.05; N×6.25). Fat was determined by Soxhlet extraction (AOAC 963.15). Ash was measured by incineration at 550°C (AOAC 942.05). Total carbohydrates were calculated by difference (100 – [</w:t>
      </w:r>
      <w:proofErr w:type="spellStart"/>
      <w:r w:rsidRPr="007645C2">
        <w:rPr>
          <w:rFonts w:ascii="Arial" w:hAnsi="Arial" w:cs="Arial"/>
        </w:rPr>
        <w:t>moisture+protein+fat+ash</w:t>
      </w:r>
      <w:proofErr w:type="spellEnd"/>
      <w:r w:rsidRPr="007645C2">
        <w:rPr>
          <w:rFonts w:ascii="Arial" w:hAnsi="Arial" w:cs="Arial"/>
        </w:rPr>
        <w:t>]</w:t>
      </w:r>
      <w:r>
        <w:rPr>
          <w:rFonts w:ascii="Arial" w:hAnsi="Arial" w:cs="Arial"/>
        </w:rPr>
        <w:t>)</w:t>
      </w:r>
      <w:r w:rsidRPr="007645C2">
        <w:rPr>
          <w:rFonts w:ascii="Arial" w:hAnsi="Arial" w:cs="Arial"/>
        </w:rPr>
        <w:t>. Total sugars (sum of glucose, fructose, sucrose; FOS not fully measured by this method) were analyzed by the Lane-Eynon titration (AOAC 968.28). Energy was calculated using Atwater factors (4 kcal/g for protein &amp; carbs, 9 kcal/g for fat). Additionally, sodium was measured with an atomic absorption spectrophotometer (AOAC 968.08) to gauge salt content.</w:t>
      </w:r>
    </w:p>
    <w:p w14:paraId="218C8499" w14:textId="2B0FDDFC" w:rsidR="001F6B58" w:rsidRDefault="001F6B58" w:rsidP="00384689">
      <w:pPr>
        <w:pStyle w:val="Body"/>
        <w:spacing w:after="0"/>
        <w:ind w:left="567"/>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1F6B58">
        <w:rPr>
          <w:rFonts w:ascii="Arial" w:hAnsi="Arial" w:cs="Arial"/>
          <w:b/>
          <w:sz w:val="22"/>
        </w:rPr>
        <w:t>Shelf-Life Stability Protocol and Evaluation</w:t>
      </w:r>
    </w:p>
    <w:p w14:paraId="0B99E666" w14:textId="3D4AFFC4" w:rsidR="001F6B58" w:rsidRDefault="001F6B58" w:rsidP="00301EE5">
      <w:pPr>
        <w:pStyle w:val="Body"/>
        <w:spacing w:after="0"/>
        <w:ind w:left="567" w:right="1122"/>
        <w:rPr>
          <w:rFonts w:ascii="Arial" w:hAnsi="Arial" w:cs="Arial"/>
        </w:rPr>
      </w:pPr>
      <w:r w:rsidRPr="001F6B58">
        <w:rPr>
          <w:rFonts w:ascii="Arial" w:hAnsi="Arial" w:cs="Arial"/>
        </w:rPr>
        <w:t xml:space="preserve">The storage stability of the packaged </w:t>
      </w:r>
      <w:r w:rsidRPr="001F6B58">
        <w:rPr>
          <w:rFonts w:ascii="Arial" w:hAnsi="Arial" w:cs="Arial"/>
          <w:i/>
          <w:iCs/>
        </w:rPr>
        <w:t xml:space="preserve">G. </w:t>
      </w:r>
      <w:proofErr w:type="spellStart"/>
      <w:r w:rsidRPr="001F6B58">
        <w:rPr>
          <w:rFonts w:ascii="Arial" w:hAnsi="Arial" w:cs="Arial"/>
          <w:i/>
          <w:iCs/>
        </w:rPr>
        <w:t>atroviridis</w:t>
      </w:r>
      <w:proofErr w:type="spellEnd"/>
      <w:r w:rsidRPr="001F6B58">
        <w:rPr>
          <w:rFonts w:ascii="Arial" w:hAnsi="Arial" w:cs="Arial"/>
        </w:rPr>
        <w:t xml:space="preserve"> concentrate was monitored over a period of 4 </w:t>
      </w:r>
      <w:r>
        <w:rPr>
          <w:rFonts w:ascii="Arial" w:hAnsi="Arial" w:cs="Arial"/>
        </w:rPr>
        <w:t>weeks</w:t>
      </w:r>
      <w:r w:rsidRPr="001F6B58">
        <w:rPr>
          <w:rFonts w:ascii="Arial" w:hAnsi="Arial" w:cs="Arial"/>
        </w:rPr>
        <w:t xml:space="preserve"> using an accelerated shelf-life testing protocol. </w:t>
      </w:r>
      <w:r>
        <w:rPr>
          <w:rFonts w:ascii="Arial" w:hAnsi="Arial" w:cs="Arial"/>
        </w:rPr>
        <w:t xml:space="preserve">The samples were kept in </w:t>
      </w:r>
      <w:r w:rsidR="00097F65">
        <w:rPr>
          <w:rFonts w:ascii="Arial" w:hAnsi="Arial" w:cs="Arial"/>
        </w:rPr>
        <w:t xml:space="preserve">a </w:t>
      </w:r>
      <w:r>
        <w:rPr>
          <w:rFonts w:ascii="Arial" w:hAnsi="Arial" w:cs="Arial"/>
        </w:rPr>
        <w:t xml:space="preserve">climatic chamber </w:t>
      </w:r>
      <w:r w:rsidR="00097F65">
        <w:rPr>
          <w:rFonts w:ascii="Arial" w:hAnsi="Arial" w:cs="Arial"/>
        </w:rPr>
        <w:t xml:space="preserve">under specific stress conditions: </w:t>
      </w:r>
      <w:r>
        <w:rPr>
          <w:rFonts w:ascii="Arial" w:hAnsi="Arial" w:cs="Arial"/>
        </w:rPr>
        <w:t xml:space="preserve">40°C and 75% relative humidity (RH). </w:t>
      </w:r>
      <w:r w:rsidR="00097F65" w:rsidRPr="00097F65">
        <w:rPr>
          <w:rFonts w:ascii="Arial" w:hAnsi="Arial" w:cs="Arial"/>
        </w:rPr>
        <w:t xml:space="preserve">This accelerated method shortens the study time, where one week of storage in the climatic chamber is considered equivalent to six months of storage at room temperature. Samples were analyzed at </w:t>
      </w:r>
      <w:r w:rsidR="00097F65">
        <w:rPr>
          <w:rFonts w:ascii="Arial" w:hAnsi="Arial" w:cs="Arial"/>
        </w:rPr>
        <w:t>weekly</w:t>
      </w:r>
      <w:r w:rsidR="00097F65" w:rsidRPr="00097F65">
        <w:rPr>
          <w:rFonts w:ascii="Arial" w:hAnsi="Arial" w:cs="Arial"/>
        </w:rPr>
        <w:t xml:space="preserve"> intervals for physicochemical and microbiological stability, and at 0, 2, and 4 </w:t>
      </w:r>
      <w:r w:rsidR="00097F65">
        <w:rPr>
          <w:rFonts w:ascii="Arial" w:hAnsi="Arial" w:cs="Arial"/>
        </w:rPr>
        <w:t>weeks</w:t>
      </w:r>
      <w:r w:rsidR="00097F65" w:rsidRPr="00097F65">
        <w:rPr>
          <w:rFonts w:ascii="Arial" w:hAnsi="Arial" w:cs="Arial"/>
        </w:rPr>
        <w:t xml:space="preserve"> for sensory quality.</w:t>
      </w:r>
    </w:p>
    <w:p w14:paraId="6B24E78D" w14:textId="0A50A2C6" w:rsidR="00097F65" w:rsidRDefault="00097F65" w:rsidP="00384689">
      <w:pPr>
        <w:pStyle w:val="Body"/>
        <w:spacing w:after="0"/>
        <w:ind w:left="567"/>
        <w:rPr>
          <w:rFonts w:ascii="Arial" w:hAnsi="Arial" w:cs="Arial"/>
          <w:b/>
          <w:u w:val="single"/>
        </w:rPr>
      </w:pPr>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1</w:t>
      </w:r>
      <w:r w:rsidRPr="00CD21E7">
        <w:rPr>
          <w:rFonts w:ascii="Arial" w:hAnsi="Arial" w:cs="Arial"/>
          <w:b/>
          <w:u w:val="single"/>
        </w:rPr>
        <w:t xml:space="preserve"> Physicochemical </w:t>
      </w:r>
      <w:r>
        <w:rPr>
          <w:rFonts w:ascii="Arial" w:hAnsi="Arial" w:cs="Arial"/>
          <w:b/>
          <w:u w:val="single"/>
        </w:rPr>
        <w:t>Analysis</w:t>
      </w:r>
    </w:p>
    <w:p w14:paraId="3A169B02" w14:textId="757C2AB2" w:rsidR="00097F65" w:rsidRDefault="00097F65" w:rsidP="00301EE5">
      <w:pPr>
        <w:pStyle w:val="Body"/>
        <w:spacing w:after="0"/>
        <w:ind w:left="567" w:right="1122"/>
        <w:rPr>
          <w:rFonts w:ascii="Arial" w:hAnsi="Arial" w:cs="Arial"/>
        </w:rPr>
      </w:pPr>
      <w:r w:rsidRPr="00337850">
        <w:rPr>
          <w:rFonts w:ascii="Arial" w:hAnsi="Arial" w:cs="Arial"/>
        </w:rPr>
        <w:t>The pH of homogenized samples was measured at room temperature (25 ± 2°C) using a digital pH meter (Hanna Instruments, USA) calibrated with standard buffer solutions (pH 4.0 and 7.0).</w:t>
      </w:r>
      <w:r>
        <w:rPr>
          <w:rFonts w:ascii="Arial" w:hAnsi="Arial" w:cs="Arial"/>
        </w:rPr>
        <w:t xml:space="preserve"> Total s</w:t>
      </w:r>
      <w:r w:rsidRPr="00CD21E7">
        <w:rPr>
          <w:rFonts w:ascii="Arial" w:hAnsi="Arial" w:cs="Arial"/>
        </w:rPr>
        <w:t xml:space="preserve">oluble </w:t>
      </w:r>
      <w:r>
        <w:rPr>
          <w:rFonts w:ascii="Arial" w:hAnsi="Arial" w:cs="Arial"/>
        </w:rPr>
        <w:t>s</w:t>
      </w:r>
      <w:r w:rsidRPr="00CD21E7">
        <w:rPr>
          <w:rFonts w:ascii="Arial" w:hAnsi="Arial" w:cs="Arial"/>
        </w:rPr>
        <w:t>olids (TSS) were measured using a digital refractometer and expressed as °Brix</w:t>
      </w:r>
      <w:r>
        <w:rPr>
          <w:rFonts w:ascii="Arial" w:hAnsi="Arial" w:cs="Arial"/>
        </w:rPr>
        <w:t xml:space="preserve"> (</w:t>
      </w:r>
      <w:proofErr w:type="spellStart"/>
      <w:r>
        <w:rPr>
          <w:rFonts w:ascii="Arial" w:hAnsi="Arial" w:cs="Arial"/>
        </w:rPr>
        <w:t>Atago</w:t>
      </w:r>
      <w:proofErr w:type="spellEnd"/>
      <w:r>
        <w:rPr>
          <w:rFonts w:ascii="Arial" w:hAnsi="Arial" w:cs="Arial"/>
        </w:rPr>
        <w:t>, Japan)</w:t>
      </w:r>
      <w:r w:rsidRPr="00CD21E7">
        <w:rPr>
          <w:rFonts w:ascii="Arial" w:hAnsi="Arial" w:cs="Arial"/>
        </w:rPr>
        <w:t xml:space="preserve">. Viscosity was </w:t>
      </w:r>
      <w:r w:rsidR="00B9159F">
        <w:rPr>
          <w:rFonts w:ascii="Arial" w:hAnsi="Arial" w:cs="Arial"/>
        </w:rPr>
        <w:t>m</w:t>
      </w:r>
      <w:r w:rsidR="00B9159F" w:rsidRPr="00B9159F">
        <w:rPr>
          <w:rFonts w:ascii="Arial" w:hAnsi="Arial" w:cs="Arial"/>
        </w:rPr>
        <w:t xml:space="preserve">easured with a Brookfield viscometer (spindle #2, 60 rpm, 25°C) </w:t>
      </w:r>
      <w:r w:rsidR="00B9159F" w:rsidRPr="00CD21E7">
        <w:rPr>
          <w:rFonts w:ascii="Arial" w:hAnsi="Arial" w:cs="Arial"/>
        </w:rPr>
        <w:t xml:space="preserve">and reported in </w:t>
      </w:r>
      <w:proofErr w:type="spellStart"/>
      <w:r w:rsidR="00B9159F" w:rsidRPr="00CD21E7">
        <w:rPr>
          <w:rFonts w:ascii="Arial" w:hAnsi="Arial" w:cs="Arial"/>
        </w:rPr>
        <w:t>mPa.s</w:t>
      </w:r>
      <w:proofErr w:type="spellEnd"/>
      <w:r w:rsidR="00B9159F" w:rsidRPr="00CD21E7">
        <w:rPr>
          <w:rFonts w:ascii="Arial" w:hAnsi="Arial" w:cs="Arial"/>
        </w:rPr>
        <w:t>.</w:t>
      </w:r>
      <w:r w:rsidR="00B9159F">
        <w:rPr>
          <w:rFonts w:ascii="Arial" w:hAnsi="Arial" w:cs="Arial"/>
        </w:rPr>
        <w:t xml:space="preserve"> </w:t>
      </w:r>
      <w:r w:rsidR="00E2120B">
        <w:rPr>
          <w:rFonts w:ascii="Arial" w:hAnsi="Arial" w:cs="Arial"/>
        </w:rPr>
        <w:t>which</w:t>
      </w:r>
      <w:r w:rsidR="00B9159F" w:rsidRPr="00B9159F">
        <w:rPr>
          <w:rFonts w:ascii="Arial" w:hAnsi="Arial" w:cs="Arial"/>
        </w:rPr>
        <w:t xml:space="preserve"> reflect</w:t>
      </w:r>
      <w:r w:rsidR="00E2120B">
        <w:rPr>
          <w:rFonts w:ascii="Arial" w:hAnsi="Arial" w:cs="Arial"/>
        </w:rPr>
        <w:t>s</w:t>
      </w:r>
      <w:r w:rsidR="00B9159F" w:rsidRPr="00B9159F">
        <w:rPr>
          <w:rFonts w:ascii="Arial" w:hAnsi="Arial" w:cs="Arial"/>
        </w:rPr>
        <w:t xml:space="preserve"> consistency; significant changes could imply hydrocolloid breakdown or other colloidal changes.</w:t>
      </w:r>
      <w:r w:rsidR="00B9159F">
        <w:rPr>
          <w:rFonts w:ascii="Arial" w:hAnsi="Arial" w:cs="Arial"/>
        </w:rPr>
        <w:t xml:space="preserve"> </w:t>
      </w:r>
      <w:r w:rsidR="00B9159F" w:rsidRPr="001F6B58">
        <w:rPr>
          <w:rFonts w:ascii="Arial" w:hAnsi="Arial" w:cs="Arial"/>
        </w:rPr>
        <w:t>Color</w:t>
      </w:r>
      <w:r w:rsidRPr="001F6B58">
        <w:rPr>
          <w:rFonts w:ascii="Arial" w:hAnsi="Arial" w:cs="Arial"/>
        </w:rPr>
        <w:t xml:space="preserve"> measurement was performed with a Minolta Chromameter (Konica Minolta, Japan) calibrated with a white standard plate, and results were expressed in CIE L, a, b values representing lightness, redness, and yellowness, respectively. All measurements were conducted in triplicate, and mean values were used for statistical </w:t>
      </w:r>
      <w:bookmarkStart w:id="11" w:name="_Hlk212364839"/>
      <w:r w:rsidRPr="001F6B58">
        <w:rPr>
          <w:rFonts w:ascii="Arial" w:hAnsi="Arial" w:cs="Arial"/>
        </w:rPr>
        <w:t>analysis</w:t>
      </w:r>
      <w:bookmarkEnd w:id="11"/>
      <w:r w:rsidRPr="001F6B58">
        <w:rPr>
          <w:rFonts w:ascii="Arial" w:hAnsi="Arial" w:cs="Arial"/>
        </w:rPr>
        <w:t>.</w:t>
      </w:r>
    </w:p>
    <w:p w14:paraId="7CE4B266" w14:textId="486E24AB" w:rsidR="00097F65" w:rsidRDefault="00097F65" w:rsidP="00384689">
      <w:pPr>
        <w:pStyle w:val="Body"/>
        <w:spacing w:after="0"/>
        <w:ind w:left="567"/>
        <w:rPr>
          <w:rFonts w:ascii="Arial" w:hAnsi="Arial" w:cs="Arial"/>
          <w:b/>
          <w:u w:val="single"/>
        </w:rPr>
      </w:pPr>
      <w:bookmarkStart w:id="12" w:name="_Hlk212364893"/>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097F65">
        <w:rPr>
          <w:rFonts w:ascii="Arial" w:hAnsi="Arial" w:cs="Arial"/>
          <w:b/>
          <w:u w:val="single"/>
        </w:rPr>
        <w:t>Microbiological Analysis</w:t>
      </w:r>
    </w:p>
    <w:bookmarkEnd w:id="12"/>
    <w:p w14:paraId="72E4F527" w14:textId="6189830A" w:rsidR="00097F65" w:rsidRDefault="00097F65" w:rsidP="00301EE5">
      <w:pPr>
        <w:pStyle w:val="Body"/>
        <w:tabs>
          <w:tab w:val="left" w:pos="9498"/>
        </w:tabs>
        <w:spacing w:after="0"/>
        <w:ind w:left="567" w:right="1122"/>
        <w:rPr>
          <w:rFonts w:ascii="Arial" w:hAnsi="Arial" w:cs="Arial"/>
          <w:b/>
          <w:u w:val="single"/>
        </w:rPr>
      </w:pPr>
      <w:r w:rsidRPr="00097F65">
        <w:rPr>
          <w:rFonts w:ascii="Arial" w:hAnsi="Arial" w:cs="Arial"/>
        </w:rPr>
        <w:t xml:space="preserve">Microbiological stability was assessed by determining the Total Plate Count (TPC), Total Coliform, E. coli, Total Yeast and </w:t>
      </w:r>
      <w:proofErr w:type="spellStart"/>
      <w:r w:rsidRPr="00097F65">
        <w:rPr>
          <w:rFonts w:ascii="Arial" w:hAnsi="Arial" w:cs="Arial"/>
        </w:rPr>
        <w:t>Mould</w:t>
      </w:r>
      <w:proofErr w:type="spellEnd"/>
      <w:r w:rsidRPr="00097F65">
        <w:rPr>
          <w:rFonts w:ascii="Arial" w:hAnsi="Arial" w:cs="Arial"/>
        </w:rPr>
        <w:t xml:space="preserve"> (Y&amp;M) counts, and Staphylococcus aureus counts. Results </w:t>
      </w:r>
      <w:bookmarkStart w:id="13" w:name="_Hlk212364965"/>
      <w:r w:rsidRPr="00097F65">
        <w:rPr>
          <w:rFonts w:ascii="Arial" w:hAnsi="Arial" w:cs="Arial"/>
        </w:rPr>
        <w:t xml:space="preserve">were expressed </w:t>
      </w:r>
      <w:bookmarkEnd w:id="13"/>
      <w:r w:rsidRPr="00097F65">
        <w:rPr>
          <w:rFonts w:ascii="Arial" w:hAnsi="Arial" w:cs="Arial"/>
        </w:rPr>
        <w:t>as colony-forming units per milliliter (</w:t>
      </w:r>
      <w:proofErr w:type="spellStart"/>
      <w:r w:rsidRPr="00097F65">
        <w:rPr>
          <w:rFonts w:ascii="Arial" w:hAnsi="Arial" w:cs="Arial"/>
        </w:rPr>
        <w:t>cfu</w:t>
      </w:r>
      <w:proofErr w:type="spellEnd"/>
      <w:r w:rsidRPr="00097F65">
        <w:rPr>
          <w:rFonts w:ascii="Arial" w:hAnsi="Arial" w:cs="Arial"/>
        </w:rPr>
        <w:t>/ml).</w:t>
      </w:r>
    </w:p>
    <w:p w14:paraId="55D85148" w14:textId="45980444" w:rsidR="00097F65" w:rsidRDefault="00097F65" w:rsidP="00384689">
      <w:pPr>
        <w:pStyle w:val="Body"/>
        <w:spacing w:after="0"/>
        <w:ind w:left="567"/>
        <w:rPr>
          <w:rFonts w:ascii="Arial" w:hAnsi="Arial" w:cs="Arial"/>
          <w:b/>
          <w:u w:val="single"/>
        </w:rPr>
      </w:pPr>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3</w:t>
      </w:r>
      <w:r w:rsidRPr="00CD21E7">
        <w:rPr>
          <w:rFonts w:ascii="Arial" w:hAnsi="Arial" w:cs="Arial"/>
          <w:b/>
          <w:u w:val="single"/>
        </w:rPr>
        <w:t xml:space="preserve"> </w:t>
      </w:r>
      <w:r w:rsidRPr="00097F65">
        <w:rPr>
          <w:rFonts w:ascii="Arial" w:hAnsi="Arial" w:cs="Arial"/>
          <w:b/>
          <w:u w:val="single"/>
        </w:rPr>
        <w:t>Sensory Evaluation</w:t>
      </w:r>
    </w:p>
    <w:p w14:paraId="38AE384B" w14:textId="02FE3363" w:rsidR="007645C2" w:rsidRDefault="007645C2" w:rsidP="00301EE5">
      <w:pPr>
        <w:pStyle w:val="Body"/>
        <w:spacing w:after="0"/>
        <w:ind w:left="567" w:right="1122"/>
        <w:rPr>
          <w:rFonts w:ascii="Arial" w:hAnsi="Arial" w:cs="Arial"/>
          <w:b/>
          <w:u w:val="single"/>
        </w:rPr>
      </w:pPr>
      <w:r w:rsidRPr="007645C2">
        <w:rPr>
          <w:rFonts w:ascii="Arial" w:hAnsi="Arial" w:cs="Arial"/>
        </w:rPr>
        <w:t>A consumer panel of 40 panelists was recruited to evaluate the sensory attributes of the</w:t>
      </w:r>
      <w:r>
        <w:rPr>
          <w:rFonts w:ascii="Arial" w:hAnsi="Arial" w:cs="Arial"/>
        </w:rPr>
        <w:t xml:space="preserve"> </w:t>
      </w:r>
      <w:r w:rsidRPr="007645C2">
        <w:rPr>
          <w:rFonts w:ascii="Arial" w:hAnsi="Arial" w:cs="Arial"/>
          <w:i/>
          <w:iCs/>
        </w:rPr>
        <w:t xml:space="preserve">Garcinia </w:t>
      </w:r>
      <w:proofErr w:type="spellStart"/>
      <w:r w:rsidRPr="007645C2">
        <w:rPr>
          <w:rFonts w:ascii="Arial" w:hAnsi="Arial" w:cs="Arial"/>
          <w:i/>
          <w:iCs/>
        </w:rPr>
        <w:t>atroviridis</w:t>
      </w:r>
      <w:proofErr w:type="spellEnd"/>
      <w:r w:rsidRPr="007645C2">
        <w:rPr>
          <w:rFonts w:ascii="Arial" w:hAnsi="Arial" w:cs="Arial"/>
        </w:rPr>
        <w:t xml:space="preserve"> beverage concentrate. The attributes evaluated included color, aroma, viscosity, sour taste, sweet taste, taste balance (sour-sweet), and overall acceptability. A 7-point hedonic scale was used, where 1 represented "dislike extremely" and 7 represented "like extremely."</w:t>
      </w:r>
    </w:p>
    <w:p w14:paraId="61C5C40B" w14:textId="232F1F0F" w:rsidR="00B9159F" w:rsidRDefault="00B9159F" w:rsidP="00384689">
      <w:pPr>
        <w:pStyle w:val="Body"/>
        <w:spacing w:after="0"/>
        <w:ind w:left="567"/>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B9159F">
        <w:rPr>
          <w:rFonts w:ascii="Arial" w:hAnsi="Arial" w:cs="Arial"/>
          <w:b/>
          <w:sz w:val="22"/>
        </w:rPr>
        <w:t>Statistical Analysis</w:t>
      </w:r>
    </w:p>
    <w:p w14:paraId="6023F5A9" w14:textId="035A61FA" w:rsidR="00103122" w:rsidRDefault="00B9159F" w:rsidP="00301EE5">
      <w:pPr>
        <w:pStyle w:val="Body"/>
        <w:ind w:left="567" w:right="1122"/>
        <w:rPr>
          <w:rFonts w:ascii="Arial" w:hAnsi="Arial" w:cs="Arial"/>
        </w:rPr>
      </w:pPr>
      <w:r w:rsidRPr="00B9159F">
        <w:rPr>
          <w:rFonts w:ascii="Arial" w:hAnsi="Arial" w:cs="Arial"/>
        </w:rPr>
        <w:lastRenderedPageBreak/>
        <w:t xml:space="preserve">All analyses were performed in triplicate, and the results were expressed as the mean ± standard deviation (SD). Data from the storage stability study were subjected to appropriate statistical analysis (e.g., ANOVA, followed by post-hoc tests) to determine significant differences between storage periods. Statistical significance was set at </w:t>
      </w:r>
      <w:r w:rsidRPr="00B9159F">
        <w:rPr>
          <w:rFonts w:ascii="Arial" w:hAnsi="Arial" w:cs="Arial"/>
          <w:i/>
          <w:iCs/>
        </w:rPr>
        <w:t>P</w:t>
      </w:r>
      <w:r>
        <w:rPr>
          <w:rFonts w:ascii="Arial" w:hAnsi="Arial" w:cs="Arial"/>
        </w:rPr>
        <w:t>=</w:t>
      </w:r>
      <w:r w:rsidRPr="00B9159F">
        <w:rPr>
          <w:rFonts w:ascii="Arial" w:hAnsi="Arial" w:cs="Arial"/>
        </w:rPr>
        <w:t>.05.</w:t>
      </w:r>
      <w:r>
        <w:rPr>
          <w:rFonts w:ascii="Arial" w:hAnsi="Arial" w:cs="Arial"/>
        </w:rPr>
        <w:t xml:space="preserve"> </w:t>
      </w:r>
      <w:r w:rsidR="006972E5">
        <w:rPr>
          <w:rFonts w:ascii="Arial" w:hAnsi="Arial" w:cs="Arial"/>
        </w:rPr>
        <w:t xml:space="preserve">These </w:t>
      </w:r>
      <w:r w:rsidRPr="00B9159F">
        <w:rPr>
          <w:rFonts w:ascii="Arial" w:hAnsi="Arial" w:cs="Arial"/>
        </w:rPr>
        <w:t xml:space="preserve">analyses were performed using </w:t>
      </w:r>
      <w:r w:rsidR="006972E5">
        <w:rPr>
          <w:rFonts w:ascii="Arial" w:hAnsi="Arial" w:cs="Arial"/>
        </w:rPr>
        <w:t>MINITAB 16.0.</w:t>
      </w:r>
    </w:p>
    <w:p w14:paraId="5AE7D6B4" w14:textId="785B42F0" w:rsidR="00902823" w:rsidRDefault="00000F8F" w:rsidP="00384689">
      <w:pPr>
        <w:pStyle w:val="Head1"/>
        <w:spacing w:after="0"/>
        <w:ind w:left="567"/>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09CE7F" w14:textId="2FB09642" w:rsidR="00D4446C" w:rsidRDefault="00D4446C" w:rsidP="00384689">
      <w:pPr>
        <w:pStyle w:val="Body"/>
        <w:spacing w:after="0"/>
        <w:ind w:left="567"/>
        <w:rPr>
          <w:rFonts w:ascii="Arial" w:hAnsi="Arial" w:cs="Arial"/>
          <w:b/>
          <w:sz w:val="22"/>
        </w:rPr>
      </w:pPr>
      <w:bookmarkStart w:id="14" w:name="_Hlk212548399"/>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D4446C">
        <w:rPr>
          <w:rFonts w:ascii="Arial" w:hAnsi="Arial" w:cs="Arial"/>
          <w:b/>
          <w:sz w:val="22"/>
        </w:rPr>
        <w:t>Optimization of Beverage Concentrate Formulation via RSM</w:t>
      </w:r>
    </w:p>
    <w:bookmarkEnd w:id="14"/>
    <w:p w14:paraId="709ABEAD" w14:textId="7CB0630B" w:rsidR="00D4446C" w:rsidRDefault="002E63F2" w:rsidP="00301EE5">
      <w:pPr>
        <w:pStyle w:val="Body"/>
        <w:spacing w:after="0"/>
        <w:ind w:left="567" w:right="1122"/>
        <w:rPr>
          <w:rFonts w:ascii="Arial" w:hAnsi="Arial" w:cs="Arial"/>
        </w:rPr>
      </w:pPr>
      <w:r w:rsidRPr="002E63F2">
        <w:rPr>
          <w:rFonts w:ascii="Arial" w:hAnsi="Arial" w:cs="Arial"/>
        </w:rPr>
        <w:t>Optimization of the formulation, which required balancing extreme acidity and palatability, was achieved using a D-optimal mixture Response Surface Methodology (RSM) design. The 16 experimental runs, derived from the factor level combinations, resulted in ranges for HCA content (39–162 mg/100 mL), viscosity score (5.1–5.9), and overall acceptance scores (4.0–5.8) (</w:t>
      </w:r>
      <w:r w:rsidRPr="00F15A2A">
        <w:rPr>
          <w:rFonts w:ascii="Arial" w:hAnsi="Arial" w:cs="Arial"/>
        </w:rPr>
        <w:t>Table 1</w:t>
      </w:r>
      <w:r w:rsidRPr="002A1FB3">
        <w:rPr>
          <w:rFonts w:ascii="Arial" w:hAnsi="Arial" w:cs="Arial"/>
        </w:rPr>
        <w:t>)</w:t>
      </w:r>
      <w:r w:rsidRPr="002E63F2">
        <w:rPr>
          <w:rFonts w:ascii="Arial" w:hAnsi="Arial" w:cs="Arial"/>
        </w:rPr>
        <w:t>. Data points identified as outliers were removed prior to statistical analysis. The resulting statistical models, developed through the RSM process, rigorously quantified factor effects, which are detailed in the Analysis of Variance (ANOVA) results (</w:t>
      </w:r>
      <w:r w:rsidRPr="002E63F2">
        <w:rPr>
          <w:rFonts w:ascii="Arial" w:hAnsi="Arial" w:cs="Arial"/>
          <w:b/>
          <w:bCs/>
        </w:rPr>
        <w:t>Table 2</w:t>
      </w:r>
      <w:r w:rsidRPr="002E63F2">
        <w:rPr>
          <w:rFonts w:ascii="Arial" w:hAnsi="Arial" w:cs="Arial"/>
        </w:rPr>
        <w:t>).</w:t>
      </w:r>
    </w:p>
    <w:p w14:paraId="6928D187" w14:textId="77777777" w:rsidR="002E63F2" w:rsidRDefault="002E63F2" w:rsidP="005B0820">
      <w:pPr>
        <w:tabs>
          <w:tab w:val="left" w:pos="1080"/>
        </w:tabs>
        <w:jc w:val="both"/>
        <w:rPr>
          <w:rFonts w:ascii="Arial" w:hAnsi="Arial"/>
          <w:b/>
        </w:rPr>
      </w:pPr>
      <w:bookmarkStart w:id="15" w:name="_Hlk212368154"/>
    </w:p>
    <w:p w14:paraId="3F6C0274" w14:textId="29B6E981" w:rsidR="00863BD3" w:rsidRDefault="009500A6" w:rsidP="00301EE5">
      <w:pPr>
        <w:tabs>
          <w:tab w:val="left" w:pos="1080"/>
        </w:tabs>
        <w:ind w:left="567" w:right="1122"/>
        <w:jc w:val="both"/>
        <w:rPr>
          <w:rFonts w:ascii="Arial" w:hAnsi="Arial"/>
          <w:b/>
        </w:rPr>
      </w:pPr>
      <w:r>
        <w:rPr>
          <w:rFonts w:ascii="Arial" w:hAnsi="Arial"/>
          <w:b/>
        </w:rPr>
        <w:t>Table 1.</w:t>
      </w:r>
      <w:r w:rsidR="00504396">
        <w:rPr>
          <w:rFonts w:ascii="Arial" w:hAnsi="Arial"/>
          <w:b/>
        </w:rPr>
        <w:t xml:space="preserve"> HCA content, viscosity, and overall acceptance score of 16 combinations factors levels generated by D-optimal mixture design RSM</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709"/>
        <w:gridCol w:w="1418"/>
        <w:gridCol w:w="1275"/>
        <w:gridCol w:w="993"/>
        <w:gridCol w:w="1842"/>
        <w:gridCol w:w="1560"/>
        <w:gridCol w:w="1258"/>
      </w:tblGrid>
      <w:tr w:rsidR="00504396" w:rsidRPr="00A26827" w14:paraId="43DA4AD7" w14:textId="77777777" w:rsidTr="00301EE5">
        <w:trPr>
          <w:tblCellSpacing w:w="15" w:type="dxa"/>
        </w:trPr>
        <w:tc>
          <w:tcPr>
            <w:tcW w:w="664" w:type="dxa"/>
            <w:vMerge w:val="restart"/>
            <w:shd w:val="clear" w:color="auto" w:fill="FFFFFF"/>
            <w:vAlign w:val="center"/>
            <w:hideMark/>
          </w:tcPr>
          <w:bookmarkEnd w:id="15"/>
          <w:p w14:paraId="2E523B01" w14:textId="32BD65E6" w:rsidR="00504396" w:rsidRPr="00A26827" w:rsidRDefault="00504396" w:rsidP="005B0820">
            <w:pPr>
              <w:jc w:val="center"/>
              <w:rPr>
                <w:rFonts w:ascii="Arial" w:hAnsi="Arial" w:cs="Arial"/>
                <w:b/>
                <w:bCs/>
                <w:lang w:eastAsia="en-MY"/>
              </w:rPr>
            </w:pPr>
            <w:r w:rsidRPr="00A26827">
              <w:rPr>
                <w:rFonts w:ascii="Arial" w:hAnsi="Arial" w:cs="Arial"/>
                <w:b/>
                <w:bCs/>
                <w:color w:val="000000"/>
                <w:lang w:eastAsia="en-MY"/>
              </w:rPr>
              <w:t>Run</w:t>
            </w:r>
          </w:p>
        </w:tc>
        <w:tc>
          <w:tcPr>
            <w:tcW w:w="1388" w:type="dxa"/>
            <w:tcBorders>
              <w:bottom w:val="single" w:sz="4" w:space="0" w:color="auto"/>
            </w:tcBorders>
            <w:shd w:val="clear" w:color="auto" w:fill="FFFFFF"/>
            <w:vAlign w:val="center"/>
            <w:hideMark/>
          </w:tcPr>
          <w:p w14:paraId="23AE62D7"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1</w:t>
            </w:r>
          </w:p>
        </w:tc>
        <w:tc>
          <w:tcPr>
            <w:tcW w:w="1245" w:type="dxa"/>
            <w:tcBorders>
              <w:bottom w:val="single" w:sz="4" w:space="0" w:color="auto"/>
            </w:tcBorders>
            <w:shd w:val="clear" w:color="auto" w:fill="FFFFFF"/>
            <w:vAlign w:val="center"/>
            <w:hideMark/>
          </w:tcPr>
          <w:p w14:paraId="7412A4E6"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2</w:t>
            </w:r>
          </w:p>
        </w:tc>
        <w:tc>
          <w:tcPr>
            <w:tcW w:w="963" w:type="dxa"/>
            <w:tcBorders>
              <w:bottom w:val="single" w:sz="4" w:space="0" w:color="auto"/>
            </w:tcBorders>
            <w:shd w:val="clear" w:color="auto" w:fill="FFFFFF"/>
            <w:vAlign w:val="center"/>
            <w:hideMark/>
          </w:tcPr>
          <w:p w14:paraId="0A4D00BF"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3</w:t>
            </w:r>
          </w:p>
        </w:tc>
        <w:tc>
          <w:tcPr>
            <w:tcW w:w="1812" w:type="dxa"/>
            <w:tcBorders>
              <w:bottom w:val="single" w:sz="4" w:space="0" w:color="auto"/>
            </w:tcBorders>
            <w:shd w:val="clear" w:color="auto" w:fill="FFFFFF"/>
            <w:vAlign w:val="center"/>
            <w:hideMark/>
          </w:tcPr>
          <w:p w14:paraId="47225629"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1</w:t>
            </w:r>
          </w:p>
        </w:tc>
        <w:tc>
          <w:tcPr>
            <w:tcW w:w="1530" w:type="dxa"/>
            <w:tcBorders>
              <w:bottom w:val="single" w:sz="4" w:space="0" w:color="auto"/>
            </w:tcBorders>
            <w:shd w:val="clear" w:color="auto" w:fill="FFFFFF"/>
            <w:vAlign w:val="center"/>
            <w:hideMark/>
          </w:tcPr>
          <w:p w14:paraId="0B503445"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2</w:t>
            </w:r>
          </w:p>
        </w:tc>
        <w:tc>
          <w:tcPr>
            <w:tcW w:w="1213" w:type="dxa"/>
            <w:tcBorders>
              <w:bottom w:val="single" w:sz="4" w:space="0" w:color="auto"/>
            </w:tcBorders>
            <w:shd w:val="clear" w:color="auto" w:fill="FFFFFF"/>
            <w:vAlign w:val="center"/>
            <w:hideMark/>
          </w:tcPr>
          <w:p w14:paraId="1EF1F896"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3</w:t>
            </w:r>
          </w:p>
        </w:tc>
      </w:tr>
      <w:tr w:rsidR="00504396" w:rsidRPr="00A26827" w14:paraId="51E02A77" w14:textId="77777777" w:rsidTr="00301EE5">
        <w:trPr>
          <w:tblCellSpacing w:w="15" w:type="dxa"/>
        </w:trPr>
        <w:tc>
          <w:tcPr>
            <w:tcW w:w="664" w:type="dxa"/>
            <w:vMerge/>
            <w:tcBorders>
              <w:bottom w:val="single" w:sz="4" w:space="0" w:color="auto"/>
            </w:tcBorders>
            <w:shd w:val="clear" w:color="auto" w:fill="FFFFFF"/>
            <w:vAlign w:val="center"/>
            <w:hideMark/>
          </w:tcPr>
          <w:p w14:paraId="2875E45C" w14:textId="572B49DC" w:rsidR="00504396" w:rsidRPr="00A26827" w:rsidRDefault="00504396" w:rsidP="005B0820">
            <w:pPr>
              <w:jc w:val="center"/>
              <w:rPr>
                <w:rFonts w:ascii="Arial" w:hAnsi="Arial" w:cs="Arial"/>
                <w:b/>
                <w:bCs/>
                <w:color w:val="000000"/>
                <w:lang w:eastAsia="en-MY"/>
              </w:rPr>
            </w:pPr>
          </w:p>
        </w:tc>
        <w:tc>
          <w:tcPr>
            <w:tcW w:w="1388" w:type="dxa"/>
            <w:tcBorders>
              <w:bottom w:val="single" w:sz="4" w:space="0" w:color="auto"/>
            </w:tcBorders>
            <w:shd w:val="clear" w:color="auto" w:fill="FFFFFF"/>
            <w:vAlign w:val="center"/>
            <w:hideMark/>
          </w:tcPr>
          <w:p w14:paraId="4DC6777C" w14:textId="4FAEF374" w:rsidR="00504396" w:rsidRPr="00A26827" w:rsidRDefault="00504396" w:rsidP="005B0820">
            <w:pPr>
              <w:jc w:val="center"/>
              <w:rPr>
                <w:rFonts w:ascii="Arial" w:hAnsi="Arial" w:cs="Arial"/>
                <w:b/>
                <w:bCs/>
                <w:color w:val="000000"/>
                <w:lang w:eastAsia="en-MY"/>
              </w:rPr>
            </w:pPr>
            <w:proofErr w:type="spellStart"/>
            <w:r w:rsidRPr="009D105D">
              <w:rPr>
                <w:rFonts w:ascii="Arial" w:hAnsi="Arial" w:cs="Arial"/>
                <w:b/>
                <w:bCs/>
                <w:i/>
                <w:iCs/>
                <w:color w:val="000000"/>
                <w:lang w:eastAsia="en-MY"/>
              </w:rPr>
              <w:t>G.atroviridis</w:t>
            </w:r>
            <w:proofErr w:type="spellEnd"/>
            <w:r w:rsidRPr="009D105D">
              <w:rPr>
                <w:rFonts w:ascii="Arial" w:hAnsi="Arial" w:cs="Arial"/>
                <w:b/>
                <w:bCs/>
                <w:color w:val="000000"/>
                <w:lang w:eastAsia="en-MY"/>
              </w:rPr>
              <w:t xml:space="preserve"> young leaf extract (%)</w:t>
            </w:r>
            <w:r w:rsidRPr="00A26827">
              <w:rPr>
                <w:rFonts w:ascii="Arial" w:hAnsi="Arial" w:cs="Arial"/>
                <w:b/>
                <w:bCs/>
                <w:color w:val="000000"/>
                <w:lang w:eastAsia="en-MY"/>
              </w:rPr>
              <w:t xml:space="preserve"> </w:t>
            </w:r>
          </w:p>
        </w:tc>
        <w:tc>
          <w:tcPr>
            <w:tcW w:w="1245" w:type="dxa"/>
            <w:tcBorders>
              <w:bottom w:val="single" w:sz="4" w:space="0" w:color="auto"/>
            </w:tcBorders>
            <w:shd w:val="clear" w:color="auto" w:fill="FFFFFF"/>
            <w:vAlign w:val="center"/>
            <w:hideMark/>
          </w:tcPr>
          <w:p w14:paraId="51E2B69F" w14:textId="79A37A51" w:rsidR="00504396" w:rsidRPr="00A26827" w:rsidRDefault="00504396" w:rsidP="005B0820">
            <w:pPr>
              <w:jc w:val="center"/>
              <w:rPr>
                <w:rFonts w:ascii="Arial" w:hAnsi="Arial" w:cs="Arial"/>
                <w:b/>
                <w:bCs/>
                <w:color w:val="000000"/>
                <w:lang w:eastAsia="en-MY"/>
              </w:rPr>
            </w:pPr>
            <w:proofErr w:type="spellStart"/>
            <w:r w:rsidRPr="009D105D">
              <w:rPr>
                <w:rFonts w:ascii="Arial" w:hAnsi="Arial" w:cs="Arial"/>
                <w:b/>
                <w:bCs/>
                <w:color w:val="000000"/>
                <w:lang w:eastAsia="en-MY"/>
              </w:rPr>
              <w:t>G.atroviridis</w:t>
            </w:r>
            <w:proofErr w:type="spellEnd"/>
            <w:r w:rsidRPr="009D105D">
              <w:rPr>
                <w:rFonts w:ascii="Arial" w:hAnsi="Arial" w:cs="Arial"/>
                <w:b/>
                <w:bCs/>
                <w:color w:val="000000"/>
                <w:lang w:eastAsia="en-MY"/>
              </w:rPr>
              <w:t xml:space="preserve"> fruit juice (%) </w:t>
            </w:r>
          </w:p>
        </w:tc>
        <w:tc>
          <w:tcPr>
            <w:tcW w:w="963" w:type="dxa"/>
            <w:tcBorders>
              <w:bottom w:val="single" w:sz="4" w:space="0" w:color="auto"/>
            </w:tcBorders>
            <w:shd w:val="clear" w:color="auto" w:fill="FFFFFF"/>
            <w:vAlign w:val="center"/>
            <w:hideMark/>
          </w:tcPr>
          <w:p w14:paraId="0184E528" w14:textId="2ABB601F"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FOS</w:t>
            </w:r>
            <w:r w:rsidRPr="009D105D">
              <w:rPr>
                <w:rFonts w:ascii="Arial" w:hAnsi="Arial" w:cs="Arial"/>
                <w:b/>
                <w:bCs/>
                <w:color w:val="000000"/>
                <w:lang w:eastAsia="en-MY"/>
              </w:rPr>
              <w:t xml:space="preserve"> (%)</w:t>
            </w:r>
          </w:p>
        </w:tc>
        <w:tc>
          <w:tcPr>
            <w:tcW w:w="1812" w:type="dxa"/>
            <w:tcBorders>
              <w:bottom w:val="single" w:sz="4" w:space="0" w:color="auto"/>
            </w:tcBorders>
            <w:shd w:val="clear" w:color="auto" w:fill="FFFFFF"/>
            <w:vAlign w:val="center"/>
            <w:hideMark/>
          </w:tcPr>
          <w:p w14:paraId="6257D884" w14:textId="62B5A206"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 xml:space="preserve">Overall </w:t>
            </w:r>
            <w:r w:rsidRPr="009D105D">
              <w:rPr>
                <w:rFonts w:ascii="Arial" w:hAnsi="Arial" w:cs="Arial"/>
                <w:b/>
                <w:bCs/>
                <w:color w:val="000000"/>
                <w:lang w:eastAsia="en-MY"/>
              </w:rPr>
              <w:t>acceptance score</w:t>
            </w:r>
          </w:p>
        </w:tc>
        <w:tc>
          <w:tcPr>
            <w:tcW w:w="1530" w:type="dxa"/>
            <w:tcBorders>
              <w:bottom w:val="single" w:sz="4" w:space="0" w:color="auto"/>
            </w:tcBorders>
            <w:shd w:val="clear" w:color="auto" w:fill="FFFFFF"/>
            <w:vAlign w:val="center"/>
            <w:hideMark/>
          </w:tcPr>
          <w:p w14:paraId="5F1A2781"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Viscosity score</w:t>
            </w:r>
          </w:p>
        </w:tc>
        <w:tc>
          <w:tcPr>
            <w:tcW w:w="1213" w:type="dxa"/>
            <w:tcBorders>
              <w:bottom w:val="single" w:sz="4" w:space="0" w:color="auto"/>
            </w:tcBorders>
            <w:shd w:val="clear" w:color="auto" w:fill="FFFFFF"/>
            <w:vAlign w:val="center"/>
            <w:hideMark/>
          </w:tcPr>
          <w:p w14:paraId="096A6638"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HCA content</w:t>
            </w:r>
          </w:p>
        </w:tc>
      </w:tr>
      <w:tr w:rsidR="00504396" w:rsidRPr="00A26827" w14:paraId="2D825772" w14:textId="77777777" w:rsidTr="00301EE5">
        <w:trPr>
          <w:tblCellSpacing w:w="15" w:type="dxa"/>
        </w:trPr>
        <w:tc>
          <w:tcPr>
            <w:tcW w:w="664" w:type="dxa"/>
            <w:shd w:val="clear" w:color="auto" w:fill="FFFFFF"/>
            <w:vAlign w:val="center"/>
            <w:hideMark/>
          </w:tcPr>
          <w:p w14:paraId="2DC701C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w:t>
            </w:r>
          </w:p>
        </w:tc>
        <w:tc>
          <w:tcPr>
            <w:tcW w:w="1388" w:type="dxa"/>
            <w:shd w:val="clear" w:color="auto" w:fill="FFFFFF"/>
            <w:vAlign w:val="center"/>
            <w:hideMark/>
          </w:tcPr>
          <w:p w14:paraId="469B923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9455C43" w14:textId="782197F1"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54F16216" w14:textId="7DD7B65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4B4CC77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4.1</w:t>
            </w:r>
          </w:p>
        </w:tc>
        <w:tc>
          <w:tcPr>
            <w:tcW w:w="1530" w:type="dxa"/>
            <w:shd w:val="clear" w:color="auto" w:fill="FFFFFF"/>
            <w:vAlign w:val="center"/>
            <w:hideMark/>
          </w:tcPr>
          <w:p w14:paraId="5B8D52D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5.1</w:t>
            </w:r>
          </w:p>
        </w:tc>
        <w:tc>
          <w:tcPr>
            <w:tcW w:w="1213" w:type="dxa"/>
            <w:shd w:val="clear" w:color="auto" w:fill="FFFFFF"/>
            <w:vAlign w:val="center"/>
            <w:hideMark/>
          </w:tcPr>
          <w:p w14:paraId="57B09CF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39.4</w:t>
            </w:r>
          </w:p>
        </w:tc>
      </w:tr>
      <w:tr w:rsidR="00504396" w:rsidRPr="00A26827" w14:paraId="0833F280" w14:textId="77777777" w:rsidTr="00301EE5">
        <w:trPr>
          <w:tblCellSpacing w:w="15" w:type="dxa"/>
        </w:trPr>
        <w:tc>
          <w:tcPr>
            <w:tcW w:w="664" w:type="dxa"/>
            <w:shd w:val="clear" w:color="auto" w:fill="FFFFFF"/>
            <w:vAlign w:val="center"/>
            <w:hideMark/>
          </w:tcPr>
          <w:p w14:paraId="7C616E3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w:t>
            </w:r>
          </w:p>
        </w:tc>
        <w:tc>
          <w:tcPr>
            <w:tcW w:w="1388" w:type="dxa"/>
            <w:shd w:val="clear" w:color="auto" w:fill="FFFFFF"/>
            <w:vAlign w:val="center"/>
            <w:hideMark/>
          </w:tcPr>
          <w:p w14:paraId="40CEA1A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21C63CD" w14:textId="3BCEF7E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262D8B09" w14:textId="577B2D0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3C3BB0C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5.3</w:t>
            </w:r>
          </w:p>
        </w:tc>
        <w:tc>
          <w:tcPr>
            <w:tcW w:w="1530" w:type="dxa"/>
            <w:shd w:val="clear" w:color="auto" w:fill="FFFFFF"/>
            <w:vAlign w:val="center"/>
            <w:hideMark/>
          </w:tcPr>
          <w:p w14:paraId="58F8F02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61229ED3" w14:textId="5E4A065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147</w:t>
            </w:r>
            <w:r w:rsidR="00917C83">
              <w:rPr>
                <w:rFonts w:ascii="Arial" w:hAnsi="Arial" w:cs="Arial"/>
                <w:color w:val="000000"/>
                <w:lang w:eastAsia="en-MY"/>
              </w:rPr>
              <w:t>.0</w:t>
            </w:r>
          </w:p>
        </w:tc>
      </w:tr>
      <w:tr w:rsidR="00504396" w:rsidRPr="00A26827" w14:paraId="4D5C1794" w14:textId="77777777" w:rsidTr="00301EE5">
        <w:trPr>
          <w:tblCellSpacing w:w="15" w:type="dxa"/>
        </w:trPr>
        <w:tc>
          <w:tcPr>
            <w:tcW w:w="664" w:type="dxa"/>
            <w:shd w:val="clear" w:color="auto" w:fill="FFFFFF"/>
            <w:vAlign w:val="center"/>
            <w:hideMark/>
          </w:tcPr>
          <w:p w14:paraId="4BEAD6E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w:t>
            </w:r>
          </w:p>
        </w:tc>
        <w:tc>
          <w:tcPr>
            <w:tcW w:w="1388" w:type="dxa"/>
            <w:shd w:val="clear" w:color="auto" w:fill="FFFFFF"/>
            <w:vAlign w:val="center"/>
            <w:hideMark/>
          </w:tcPr>
          <w:p w14:paraId="0B43B49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3F74AA33" w14:textId="0E0A373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79B24515" w14:textId="2B7C38E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47113FA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5.4</w:t>
            </w:r>
          </w:p>
        </w:tc>
        <w:tc>
          <w:tcPr>
            <w:tcW w:w="1530" w:type="dxa"/>
            <w:shd w:val="clear" w:color="auto" w:fill="FFFFFF"/>
            <w:vAlign w:val="center"/>
            <w:hideMark/>
          </w:tcPr>
          <w:p w14:paraId="7BC48BD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3E368A1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85.1</w:t>
            </w:r>
          </w:p>
        </w:tc>
      </w:tr>
      <w:tr w:rsidR="00504396" w:rsidRPr="00A26827" w14:paraId="6C0A9394" w14:textId="77777777" w:rsidTr="00301EE5">
        <w:trPr>
          <w:tblCellSpacing w:w="15" w:type="dxa"/>
        </w:trPr>
        <w:tc>
          <w:tcPr>
            <w:tcW w:w="664" w:type="dxa"/>
            <w:shd w:val="clear" w:color="auto" w:fill="FFFFFF"/>
            <w:vAlign w:val="center"/>
            <w:hideMark/>
          </w:tcPr>
          <w:p w14:paraId="61015B5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p>
        </w:tc>
        <w:tc>
          <w:tcPr>
            <w:tcW w:w="1388" w:type="dxa"/>
            <w:shd w:val="clear" w:color="auto" w:fill="FFFFFF"/>
            <w:vAlign w:val="center"/>
            <w:hideMark/>
          </w:tcPr>
          <w:p w14:paraId="0C19D2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5AE482D" w14:textId="38F4CC9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1A13DCF6" w14:textId="579F759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0710917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5.4</w:t>
            </w:r>
          </w:p>
        </w:tc>
        <w:tc>
          <w:tcPr>
            <w:tcW w:w="1530" w:type="dxa"/>
            <w:shd w:val="clear" w:color="auto" w:fill="FFFFFF"/>
            <w:vAlign w:val="center"/>
            <w:hideMark/>
          </w:tcPr>
          <w:p w14:paraId="21A8B89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60BDCA6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67.7</w:t>
            </w:r>
          </w:p>
        </w:tc>
      </w:tr>
      <w:tr w:rsidR="00504396" w:rsidRPr="00A26827" w14:paraId="1F092B59" w14:textId="77777777" w:rsidTr="00301EE5">
        <w:trPr>
          <w:tblCellSpacing w:w="15" w:type="dxa"/>
        </w:trPr>
        <w:tc>
          <w:tcPr>
            <w:tcW w:w="664" w:type="dxa"/>
            <w:shd w:val="clear" w:color="auto" w:fill="FFFFFF"/>
            <w:vAlign w:val="center"/>
            <w:hideMark/>
          </w:tcPr>
          <w:p w14:paraId="6CCC7D8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w:t>
            </w:r>
          </w:p>
        </w:tc>
        <w:tc>
          <w:tcPr>
            <w:tcW w:w="1388" w:type="dxa"/>
            <w:shd w:val="clear" w:color="auto" w:fill="FFFFFF"/>
            <w:vAlign w:val="center"/>
            <w:hideMark/>
          </w:tcPr>
          <w:p w14:paraId="7BF8086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7566E3A1" w14:textId="225A6D24"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073788B5" w14:textId="1B7012BB"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78844CE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4.9</w:t>
            </w:r>
          </w:p>
        </w:tc>
        <w:tc>
          <w:tcPr>
            <w:tcW w:w="1530" w:type="dxa"/>
            <w:shd w:val="clear" w:color="auto" w:fill="FFFFFF"/>
            <w:vAlign w:val="center"/>
            <w:hideMark/>
          </w:tcPr>
          <w:p w14:paraId="0687799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5.2</w:t>
            </w:r>
          </w:p>
        </w:tc>
        <w:tc>
          <w:tcPr>
            <w:tcW w:w="1213" w:type="dxa"/>
            <w:shd w:val="clear" w:color="auto" w:fill="FFFFFF"/>
            <w:vAlign w:val="center"/>
            <w:hideMark/>
          </w:tcPr>
          <w:p w14:paraId="16503B8C" w14:textId="12AD900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113</w:t>
            </w:r>
            <w:r w:rsidR="00917C83">
              <w:rPr>
                <w:rFonts w:ascii="Arial" w:hAnsi="Arial" w:cs="Arial"/>
                <w:color w:val="000000"/>
                <w:lang w:eastAsia="en-MY"/>
              </w:rPr>
              <w:t>.0</w:t>
            </w:r>
          </w:p>
        </w:tc>
      </w:tr>
      <w:tr w:rsidR="00504396" w:rsidRPr="00A26827" w14:paraId="0C48A3B5" w14:textId="77777777" w:rsidTr="00301EE5">
        <w:trPr>
          <w:tblCellSpacing w:w="15" w:type="dxa"/>
        </w:trPr>
        <w:tc>
          <w:tcPr>
            <w:tcW w:w="664" w:type="dxa"/>
            <w:shd w:val="clear" w:color="auto" w:fill="FFFFFF"/>
            <w:vAlign w:val="center"/>
            <w:hideMark/>
          </w:tcPr>
          <w:p w14:paraId="3DD0C5BB"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w:t>
            </w:r>
          </w:p>
        </w:tc>
        <w:tc>
          <w:tcPr>
            <w:tcW w:w="1388" w:type="dxa"/>
            <w:shd w:val="clear" w:color="auto" w:fill="FFFFFF"/>
            <w:vAlign w:val="center"/>
            <w:hideMark/>
          </w:tcPr>
          <w:p w14:paraId="0D3E6CF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2EE69433" w14:textId="0219CA3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5ED02DE9" w14:textId="358B4BB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737E252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4.8</w:t>
            </w:r>
          </w:p>
        </w:tc>
        <w:tc>
          <w:tcPr>
            <w:tcW w:w="1530" w:type="dxa"/>
            <w:shd w:val="clear" w:color="auto" w:fill="FFFFFF"/>
            <w:vAlign w:val="center"/>
            <w:hideMark/>
          </w:tcPr>
          <w:p w14:paraId="496322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7B30701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89.3</w:t>
            </w:r>
          </w:p>
        </w:tc>
      </w:tr>
      <w:tr w:rsidR="00504396" w:rsidRPr="00A26827" w14:paraId="29B28A39" w14:textId="77777777" w:rsidTr="00301EE5">
        <w:trPr>
          <w:tblCellSpacing w:w="15" w:type="dxa"/>
        </w:trPr>
        <w:tc>
          <w:tcPr>
            <w:tcW w:w="664" w:type="dxa"/>
            <w:shd w:val="clear" w:color="auto" w:fill="FFFFFF"/>
            <w:vAlign w:val="center"/>
            <w:hideMark/>
          </w:tcPr>
          <w:p w14:paraId="59BD14B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w:t>
            </w:r>
          </w:p>
        </w:tc>
        <w:tc>
          <w:tcPr>
            <w:tcW w:w="1388" w:type="dxa"/>
            <w:shd w:val="clear" w:color="auto" w:fill="FFFFFF"/>
            <w:vAlign w:val="center"/>
            <w:hideMark/>
          </w:tcPr>
          <w:p w14:paraId="45D0B90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73560CE3" w14:textId="326F1BB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47396324" w14:textId="3BE4F67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7F9D2D8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4.7</w:t>
            </w:r>
          </w:p>
        </w:tc>
        <w:tc>
          <w:tcPr>
            <w:tcW w:w="1530" w:type="dxa"/>
            <w:shd w:val="clear" w:color="auto" w:fill="FFFFFF"/>
            <w:vAlign w:val="center"/>
            <w:hideMark/>
          </w:tcPr>
          <w:p w14:paraId="4BE858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2B990DC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98.4</w:t>
            </w:r>
          </w:p>
        </w:tc>
      </w:tr>
      <w:tr w:rsidR="00504396" w:rsidRPr="00A26827" w14:paraId="0F0364BC" w14:textId="77777777" w:rsidTr="00301EE5">
        <w:trPr>
          <w:tblCellSpacing w:w="15" w:type="dxa"/>
        </w:trPr>
        <w:tc>
          <w:tcPr>
            <w:tcW w:w="664" w:type="dxa"/>
            <w:shd w:val="clear" w:color="auto" w:fill="FFFFFF"/>
            <w:vAlign w:val="center"/>
            <w:hideMark/>
          </w:tcPr>
          <w:p w14:paraId="416D7B0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w:t>
            </w:r>
          </w:p>
        </w:tc>
        <w:tc>
          <w:tcPr>
            <w:tcW w:w="1388" w:type="dxa"/>
            <w:shd w:val="clear" w:color="auto" w:fill="FFFFFF"/>
            <w:vAlign w:val="center"/>
            <w:hideMark/>
          </w:tcPr>
          <w:p w14:paraId="2014CE7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5940D9A2" w14:textId="6B86E16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27E9FD1C" w14:textId="59CFE92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569FEC2B" w14:textId="4B01AB4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5034150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79175421" w14:textId="60D9210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162</w:t>
            </w:r>
            <w:r w:rsidR="00917C83">
              <w:rPr>
                <w:rFonts w:ascii="Arial" w:hAnsi="Arial" w:cs="Arial"/>
                <w:color w:val="000000"/>
                <w:lang w:eastAsia="en-MY"/>
              </w:rPr>
              <w:t>.0</w:t>
            </w:r>
          </w:p>
        </w:tc>
      </w:tr>
      <w:tr w:rsidR="00504396" w:rsidRPr="00A26827" w14:paraId="412D7B90" w14:textId="77777777" w:rsidTr="00301EE5">
        <w:trPr>
          <w:tblCellSpacing w:w="15" w:type="dxa"/>
        </w:trPr>
        <w:tc>
          <w:tcPr>
            <w:tcW w:w="664" w:type="dxa"/>
            <w:shd w:val="clear" w:color="auto" w:fill="FFFFFF"/>
            <w:vAlign w:val="center"/>
            <w:hideMark/>
          </w:tcPr>
          <w:p w14:paraId="103C45C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9</w:t>
            </w:r>
          </w:p>
        </w:tc>
        <w:tc>
          <w:tcPr>
            <w:tcW w:w="1388" w:type="dxa"/>
            <w:shd w:val="clear" w:color="auto" w:fill="FFFFFF"/>
            <w:vAlign w:val="center"/>
            <w:hideMark/>
          </w:tcPr>
          <w:p w14:paraId="734CE58F"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680FA718" w14:textId="3081CD1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3B8A1F35" w14:textId="18315B29"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3CDC05C7" w14:textId="203A8D8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5FD66EBF"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40636BDB" w14:textId="0CA754F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36</w:t>
            </w:r>
            <w:r w:rsidR="00917C83">
              <w:rPr>
                <w:rFonts w:ascii="Arial" w:hAnsi="Arial" w:cs="Arial"/>
                <w:color w:val="000000"/>
                <w:lang w:eastAsia="en-MY"/>
              </w:rPr>
              <w:t>.0</w:t>
            </w:r>
          </w:p>
        </w:tc>
      </w:tr>
      <w:tr w:rsidR="00504396" w:rsidRPr="00A26827" w14:paraId="7B5D72CD" w14:textId="77777777" w:rsidTr="00301EE5">
        <w:trPr>
          <w:tblCellSpacing w:w="15" w:type="dxa"/>
        </w:trPr>
        <w:tc>
          <w:tcPr>
            <w:tcW w:w="664" w:type="dxa"/>
            <w:shd w:val="clear" w:color="auto" w:fill="FFFFFF"/>
            <w:vAlign w:val="center"/>
            <w:hideMark/>
          </w:tcPr>
          <w:p w14:paraId="08EA165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w:t>
            </w:r>
          </w:p>
        </w:tc>
        <w:tc>
          <w:tcPr>
            <w:tcW w:w="1388" w:type="dxa"/>
            <w:shd w:val="clear" w:color="auto" w:fill="FFFFFF"/>
            <w:vAlign w:val="center"/>
            <w:hideMark/>
          </w:tcPr>
          <w:p w14:paraId="17679E9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7D3C9771" w14:textId="7EA5A652"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188AC2EA" w14:textId="1ABAEFD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1E643E0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4.4</w:t>
            </w:r>
          </w:p>
        </w:tc>
        <w:tc>
          <w:tcPr>
            <w:tcW w:w="1530" w:type="dxa"/>
            <w:shd w:val="clear" w:color="auto" w:fill="FFFFFF"/>
            <w:vAlign w:val="center"/>
            <w:hideMark/>
          </w:tcPr>
          <w:p w14:paraId="06ACAD8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5.5</w:t>
            </w:r>
          </w:p>
        </w:tc>
        <w:tc>
          <w:tcPr>
            <w:tcW w:w="1213" w:type="dxa"/>
            <w:shd w:val="clear" w:color="auto" w:fill="FFFFFF"/>
            <w:vAlign w:val="center"/>
            <w:hideMark/>
          </w:tcPr>
          <w:p w14:paraId="2988ACE4" w14:textId="1670631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124</w:t>
            </w:r>
            <w:r w:rsidR="00917C83">
              <w:rPr>
                <w:rFonts w:ascii="Arial" w:hAnsi="Arial" w:cs="Arial"/>
                <w:color w:val="000000"/>
                <w:lang w:eastAsia="en-MY"/>
              </w:rPr>
              <w:t>.0</w:t>
            </w:r>
          </w:p>
        </w:tc>
      </w:tr>
      <w:tr w:rsidR="00504396" w:rsidRPr="00A26827" w14:paraId="3C1AF7BA" w14:textId="77777777" w:rsidTr="00301EE5">
        <w:trPr>
          <w:tblCellSpacing w:w="15" w:type="dxa"/>
        </w:trPr>
        <w:tc>
          <w:tcPr>
            <w:tcW w:w="664" w:type="dxa"/>
            <w:shd w:val="clear" w:color="auto" w:fill="FFFFFF"/>
            <w:vAlign w:val="center"/>
            <w:hideMark/>
          </w:tcPr>
          <w:p w14:paraId="4B0A29B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11</w:t>
            </w:r>
          </w:p>
        </w:tc>
        <w:tc>
          <w:tcPr>
            <w:tcW w:w="1388" w:type="dxa"/>
            <w:shd w:val="clear" w:color="auto" w:fill="FFFFFF"/>
            <w:vAlign w:val="center"/>
            <w:hideMark/>
          </w:tcPr>
          <w:p w14:paraId="5FEF4C7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7A54414C" w14:textId="33EA961F"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0D59EDEF" w14:textId="108EB47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4E099DE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5.9</w:t>
            </w:r>
          </w:p>
        </w:tc>
        <w:tc>
          <w:tcPr>
            <w:tcW w:w="1530" w:type="dxa"/>
            <w:shd w:val="clear" w:color="auto" w:fill="FFFFFF"/>
            <w:vAlign w:val="center"/>
            <w:hideMark/>
          </w:tcPr>
          <w:p w14:paraId="61FB639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0429367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67.7</w:t>
            </w:r>
          </w:p>
        </w:tc>
      </w:tr>
      <w:tr w:rsidR="00504396" w:rsidRPr="00A26827" w14:paraId="68F986D4" w14:textId="77777777" w:rsidTr="00301EE5">
        <w:trPr>
          <w:tblCellSpacing w:w="15" w:type="dxa"/>
        </w:trPr>
        <w:tc>
          <w:tcPr>
            <w:tcW w:w="664" w:type="dxa"/>
            <w:shd w:val="clear" w:color="auto" w:fill="FFFFFF"/>
            <w:vAlign w:val="center"/>
            <w:hideMark/>
          </w:tcPr>
          <w:p w14:paraId="719E708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w:t>
            </w:r>
          </w:p>
        </w:tc>
        <w:tc>
          <w:tcPr>
            <w:tcW w:w="1388" w:type="dxa"/>
            <w:shd w:val="clear" w:color="auto" w:fill="FFFFFF"/>
            <w:vAlign w:val="center"/>
            <w:hideMark/>
          </w:tcPr>
          <w:p w14:paraId="664F388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0838F628" w14:textId="6C671C3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0C47FEDA" w14:textId="5270E6E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4108AC0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4.6</w:t>
            </w:r>
          </w:p>
        </w:tc>
        <w:tc>
          <w:tcPr>
            <w:tcW w:w="1530" w:type="dxa"/>
            <w:shd w:val="clear" w:color="auto" w:fill="FFFFFF"/>
            <w:vAlign w:val="center"/>
            <w:hideMark/>
          </w:tcPr>
          <w:p w14:paraId="04BBDF7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36795D35" w14:textId="24F4722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133</w:t>
            </w:r>
            <w:r w:rsidR="00917C83">
              <w:rPr>
                <w:rFonts w:ascii="Arial" w:hAnsi="Arial" w:cs="Arial"/>
                <w:color w:val="000000"/>
                <w:lang w:eastAsia="en-MY"/>
              </w:rPr>
              <w:t>.0</w:t>
            </w:r>
          </w:p>
        </w:tc>
      </w:tr>
      <w:tr w:rsidR="00504396" w:rsidRPr="00A26827" w14:paraId="0258AF32" w14:textId="77777777" w:rsidTr="00301EE5">
        <w:trPr>
          <w:tblCellSpacing w:w="15" w:type="dxa"/>
        </w:trPr>
        <w:tc>
          <w:tcPr>
            <w:tcW w:w="664" w:type="dxa"/>
            <w:shd w:val="clear" w:color="auto" w:fill="FFFFFF"/>
            <w:vAlign w:val="center"/>
            <w:hideMark/>
          </w:tcPr>
          <w:p w14:paraId="47B6654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13</w:t>
            </w:r>
          </w:p>
        </w:tc>
        <w:tc>
          <w:tcPr>
            <w:tcW w:w="1388" w:type="dxa"/>
            <w:shd w:val="clear" w:color="auto" w:fill="FFFFFF"/>
            <w:vAlign w:val="center"/>
            <w:hideMark/>
          </w:tcPr>
          <w:p w14:paraId="3B58551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46C46C2E" w14:textId="3BE8665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7876F5FA" w14:textId="7043FB4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06C76CC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4.9</w:t>
            </w:r>
          </w:p>
        </w:tc>
        <w:tc>
          <w:tcPr>
            <w:tcW w:w="1530" w:type="dxa"/>
            <w:shd w:val="clear" w:color="auto" w:fill="FFFFFF"/>
            <w:vAlign w:val="center"/>
            <w:hideMark/>
          </w:tcPr>
          <w:p w14:paraId="2BA5235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5.5</w:t>
            </w:r>
          </w:p>
        </w:tc>
        <w:tc>
          <w:tcPr>
            <w:tcW w:w="1213" w:type="dxa"/>
            <w:shd w:val="clear" w:color="auto" w:fill="FFFFFF"/>
            <w:vAlign w:val="center"/>
            <w:hideMark/>
          </w:tcPr>
          <w:p w14:paraId="79490BDA" w14:textId="030F965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63</w:t>
            </w:r>
            <w:r w:rsidR="00917C83">
              <w:rPr>
                <w:rFonts w:ascii="Arial" w:hAnsi="Arial" w:cs="Arial"/>
                <w:color w:val="000000"/>
                <w:lang w:eastAsia="en-MY"/>
              </w:rPr>
              <w:t>.0</w:t>
            </w:r>
          </w:p>
        </w:tc>
      </w:tr>
      <w:tr w:rsidR="00504396" w:rsidRPr="00A26827" w14:paraId="60822E9D" w14:textId="77777777" w:rsidTr="00301EE5">
        <w:trPr>
          <w:tblCellSpacing w:w="15" w:type="dxa"/>
        </w:trPr>
        <w:tc>
          <w:tcPr>
            <w:tcW w:w="664" w:type="dxa"/>
            <w:shd w:val="clear" w:color="auto" w:fill="FFFFFF"/>
            <w:vAlign w:val="center"/>
            <w:hideMark/>
          </w:tcPr>
          <w:p w14:paraId="1F45D4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14</w:t>
            </w:r>
          </w:p>
        </w:tc>
        <w:tc>
          <w:tcPr>
            <w:tcW w:w="1388" w:type="dxa"/>
            <w:shd w:val="clear" w:color="auto" w:fill="FFFFFF"/>
            <w:vAlign w:val="center"/>
            <w:hideMark/>
          </w:tcPr>
          <w:p w14:paraId="54F6FDD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2274CD77" w14:textId="5DABC85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12.5</w:t>
            </w:r>
          </w:p>
        </w:tc>
        <w:tc>
          <w:tcPr>
            <w:tcW w:w="963" w:type="dxa"/>
            <w:shd w:val="clear" w:color="auto" w:fill="FFFFFF"/>
            <w:vAlign w:val="center"/>
            <w:hideMark/>
          </w:tcPr>
          <w:p w14:paraId="75FB1615" w14:textId="059F4152"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3C8B2B4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5.8</w:t>
            </w:r>
          </w:p>
        </w:tc>
        <w:tc>
          <w:tcPr>
            <w:tcW w:w="1530" w:type="dxa"/>
            <w:shd w:val="clear" w:color="auto" w:fill="FFFFFF"/>
            <w:vAlign w:val="center"/>
            <w:hideMark/>
          </w:tcPr>
          <w:p w14:paraId="4207076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5.9</w:t>
            </w:r>
          </w:p>
        </w:tc>
        <w:tc>
          <w:tcPr>
            <w:tcW w:w="1213" w:type="dxa"/>
            <w:shd w:val="clear" w:color="auto" w:fill="FFFFFF"/>
            <w:vAlign w:val="center"/>
            <w:hideMark/>
          </w:tcPr>
          <w:p w14:paraId="22B3A30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63.1</w:t>
            </w:r>
          </w:p>
        </w:tc>
      </w:tr>
      <w:tr w:rsidR="00504396" w:rsidRPr="00A26827" w14:paraId="2998A777" w14:textId="77777777" w:rsidTr="00301EE5">
        <w:trPr>
          <w:tblCellSpacing w:w="15" w:type="dxa"/>
        </w:trPr>
        <w:tc>
          <w:tcPr>
            <w:tcW w:w="664" w:type="dxa"/>
            <w:shd w:val="clear" w:color="auto" w:fill="FFFFFF"/>
            <w:vAlign w:val="center"/>
            <w:hideMark/>
          </w:tcPr>
          <w:p w14:paraId="7D432C8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w:t>
            </w:r>
          </w:p>
        </w:tc>
        <w:tc>
          <w:tcPr>
            <w:tcW w:w="1388" w:type="dxa"/>
            <w:shd w:val="clear" w:color="auto" w:fill="FFFFFF"/>
            <w:vAlign w:val="center"/>
            <w:hideMark/>
          </w:tcPr>
          <w:p w14:paraId="15101BA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26026D3A" w14:textId="6BF717D9"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46251872" w14:textId="4FA3366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1827A71B" w14:textId="011307F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44427A8B"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5.1</w:t>
            </w:r>
          </w:p>
        </w:tc>
        <w:tc>
          <w:tcPr>
            <w:tcW w:w="1213" w:type="dxa"/>
            <w:shd w:val="clear" w:color="auto" w:fill="FFFFFF"/>
            <w:vAlign w:val="center"/>
            <w:hideMark/>
          </w:tcPr>
          <w:p w14:paraId="45640821"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58.2</w:t>
            </w:r>
          </w:p>
        </w:tc>
      </w:tr>
      <w:tr w:rsidR="00504396" w:rsidRPr="00A26827" w14:paraId="758FC7AE" w14:textId="77777777" w:rsidTr="00301EE5">
        <w:trPr>
          <w:tblCellSpacing w:w="15" w:type="dxa"/>
        </w:trPr>
        <w:tc>
          <w:tcPr>
            <w:tcW w:w="664" w:type="dxa"/>
            <w:tcBorders>
              <w:bottom w:val="single" w:sz="4" w:space="0" w:color="auto"/>
            </w:tcBorders>
            <w:shd w:val="clear" w:color="auto" w:fill="FFFFFF"/>
            <w:vAlign w:val="center"/>
            <w:hideMark/>
          </w:tcPr>
          <w:p w14:paraId="605D530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16</w:t>
            </w:r>
          </w:p>
        </w:tc>
        <w:tc>
          <w:tcPr>
            <w:tcW w:w="1388" w:type="dxa"/>
            <w:tcBorders>
              <w:bottom w:val="single" w:sz="4" w:space="0" w:color="auto"/>
            </w:tcBorders>
            <w:shd w:val="clear" w:color="auto" w:fill="FFFFFF"/>
            <w:vAlign w:val="center"/>
            <w:hideMark/>
          </w:tcPr>
          <w:p w14:paraId="7747025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tcBorders>
              <w:bottom w:val="single" w:sz="4" w:space="0" w:color="auto"/>
            </w:tcBorders>
            <w:shd w:val="clear" w:color="auto" w:fill="FFFFFF"/>
            <w:vAlign w:val="center"/>
            <w:hideMark/>
          </w:tcPr>
          <w:p w14:paraId="7A32AD48" w14:textId="10578BF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tcBorders>
              <w:bottom w:val="single" w:sz="4" w:space="0" w:color="auto"/>
            </w:tcBorders>
            <w:shd w:val="clear" w:color="auto" w:fill="FFFFFF"/>
            <w:vAlign w:val="center"/>
            <w:hideMark/>
          </w:tcPr>
          <w:p w14:paraId="052E9AF8" w14:textId="409BDE34"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tcBorders>
              <w:bottom w:val="single" w:sz="4" w:space="0" w:color="auto"/>
            </w:tcBorders>
            <w:shd w:val="clear" w:color="auto" w:fill="FFFFFF"/>
            <w:vAlign w:val="center"/>
            <w:hideMark/>
          </w:tcPr>
          <w:p w14:paraId="67FBE0A7" w14:textId="725B9B1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w:t>
            </w:r>
            <w:r w:rsidR="00917C83">
              <w:rPr>
                <w:rFonts w:ascii="Arial" w:hAnsi="Arial" w:cs="Arial"/>
                <w:color w:val="000000"/>
                <w:lang w:eastAsia="en-MY"/>
              </w:rPr>
              <w:t>.0</w:t>
            </w:r>
          </w:p>
        </w:tc>
        <w:tc>
          <w:tcPr>
            <w:tcW w:w="1530" w:type="dxa"/>
            <w:tcBorders>
              <w:bottom w:val="single" w:sz="4" w:space="0" w:color="auto"/>
            </w:tcBorders>
            <w:shd w:val="clear" w:color="auto" w:fill="FFFFFF"/>
            <w:vAlign w:val="center"/>
            <w:hideMark/>
          </w:tcPr>
          <w:p w14:paraId="44E6483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tcBorders>
              <w:bottom w:val="single" w:sz="4" w:space="0" w:color="auto"/>
            </w:tcBorders>
            <w:shd w:val="clear" w:color="auto" w:fill="FFFFFF"/>
            <w:vAlign w:val="center"/>
            <w:hideMark/>
          </w:tcPr>
          <w:p w14:paraId="516D9F9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64.4</w:t>
            </w:r>
          </w:p>
        </w:tc>
      </w:tr>
    </w:tbl>
    <w:p w14:paraId="6B706ED5" w14:textId="77777777" w:rsidR="00504396" w:rsidRDefault="00504396" w:rsidP="005B0820">
      <w:pPr>
        <w:tabs>
          <w:tab w:val="left" w:pos="1080"/>
        </w:tabs>
        <w:jc w:val="both"/>
        <w:rPr>
          <w:rFonts w:ascii="Arial" w:hAnsi="Arial"/>
          <w:b/>
        </w:rPr>
      </w:pPr>
    </w:p>
    <w:p w14:paraId="54384DDB" w14:textId="77777777" w:rsidR="009D105D" w:rsidRDefault="009D105D" w:rsidP="005B0820">
      <w:pPr>
        <w:tabs>
          <w:tab w:val="left" w:pos="1080"/>
        </w:tabs>
        <w:jc w:val="both"/>
        <w:rPr>
          <w:rFonts w:ascii="Arial" w:hAnsi="Arial"/>
          <w:b/>
        </w:rPr>
      </w:pPr>
    </w:p>
    <w:p w14:paraId="168CBFDF" w14:textId="53ED6C31" w:rsidR="009D105D" w:rsidRDefault="009D105D" w:rsidP="00384689">
      <w:pPr>
        <w:tabs>
          <w:tab w:val="left" w:pos="1080"/>
        </w:tabs>
        <w:ind w:left="851"/>
        <w:jc w:val="both"/>
        <w:rPr>
          <w:rFonts w:ascii="Arial" w:hAnsi="Arial"/>
          <w:b/>
        </w:rPr>
      </w:pPr>
      <w:bookmarkStart w:id="16" w:name="_Hlk212548872"/>
      <w:r>
        <w:rPr>
          <w:rFonts w:ascii="Arial" w:hAnsi="Arial"/>
          <w:b/>
        </w:rPr>
        <w:t xml:space="preserve">Table 2. </w:t>
      </w:r>
      <w:r w:rsidRPr="009D105D">
        <w:rPr>
          <w:rFonts w:ascii="Arial" w:hAnsi="Arial"/>
          <w:b/>
        </w:rPr>
        <w:t>Summary of ANOVA for D-optimal Mixture Design Responses</w:t>
      </w:r>
    </w:p>
    <w:bookmarkEnd w:id="16"/>
    <w:p w14:paraId="421A6550" w14:textId="77777777" w:rsidR="00B43C3A" w:rsidRDefault="00B43C3A" w:rsidP="005B0820">
      <w:pPr>
        <w:tabs>
          <w:tab w:val="left" w:pos="1080"/>
        </w:tabs>
        <w:jc w:val="both"/>
        <w:rPr>
          <w:rFonts w:ascii="Arial" w:hAnsi="Arial"/>
          <w:b/>
        </w:rPr>
      </w:pPr>
    </w:p>
    <w:tbl>
      <w:tblPr>
        <w:tblW w:w="0" w:type="auto"/>
        <w:tblCellSpacing w:w="15" w:type="dxa"/>
        <w:tblInd w:w="933" w:type="dxa"/>
        <w:tblLayout w:type="fixed"/>
        <w:tblCellMar>
          <w:left w:w="0" w:type="dxa"/>
          <w:right w:w="0" w:type="dxa"/>
        </w:tblCellMar>
        <w:tblLook w:val="04A0" w:firstRow="1" w:lastRow="0" w:firstColumn="1" w:lastColumn="0" w:noHBand="0" w:noVBand="1"/>
      </w:tblPr>
      <w:tblGrid>
        <w:gridCol w:w="1560"/>
        <w:gridCol w:w="1275"/>
        <w:gridCol w:w="1134"/>
        <w:gridCol w:w="993"/>
        <w:gridCol w:w="1417"/>
        <w:gridCol w:w="1620"/>
        <w:gridCol w:w="122"/>
      </w:tblGrid>
      <w:tr w:rsidR="00B43C3A" w:rsidRPr="00C715FE" w14:paraId="0E567083" w14:textId="77777777" w:rsidTr="00384689">
        <w:trPr>
          <w:gridAfter w:val="1"/>
          <w:wAfter w:w="77" w:type="dxa"/>
          <w:tblHeader/>
          <w:tblCellSpacing w:w="15" w:type="dxa"/>
        </w:trPr>
        <w:tc>
          <w:tcPr>
            <w:tcW w:w="1515" w:type="dxa"/>
            <w:tcBorders>
              <w:top w:val="single" w:sz="4" w:space="0" w:color="auto"/>
              <w:bottom w:val="single" w:sz="4" w:space="0" w:color="auto"/>
            </w:tcBorders>
            <w:tcMar>
              <w:top w:w="120" w:type="dxa"/>
              <w:left w:w="180" w:type="dxa"/>
              <w:bottom w:w="120" w:type="dxa"/>
              <w:right w:w="180" w:type="dxa"/>
            </w:tcMar>
            <w:vAlign w:val="center"/>
            <w:hideMark/>
          </w:tcPr>
          <w:p w14:paraId="660C176E" w14:textId="77777777"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Response</w:t>
            </w:r>
          </w:p>
        </w:tc>
        <w:tc>
          <w:tcPr>
            <w:tcW w:w="1245" w:type="dxa"/>
            <w:tcBorders>
              <w:top w:val="single" w:sz="4" w:space="0" w:color="auto"/>
              <w:bottom w:val="single" w:sz="4" w:space="0" w:color="auto"/>
            </w:tcBorders>
            <w:tcMar>
              <w:top w:w="120" w:type="dxa"/>
              <w:left w:w="180" w:type="dxa"/>
              <w:bottom w:w="120" w:type="dxa"/>
              <w:right w:w="180" w:type="dxa"/>
            </w:tcMar>
            <w:vAlign w:val="center"/>
            <w:hideMark/>
          </w:tcPr>
          <w:p w14:paraId="6F7E931C" w14:textId="77777777" w:rsidR="00B43C3A" w:rsidRDefault="00B43C3A"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 xml:space="preserve">Model Fit </w:t>
            </w:r>
          </w:p>
          <w:p w14:paraId="78EBD716" w14:textId="6E41DB14"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-Value)</w:t>
            </w:r>
          </w:p>
        </w:tc>
        <w:tc>
          <w:tcPr>
            <w:tcW w:w="1104" w:type="dxa"/>
            <w:tcBorders>
              <w:top w:val="single" w:sz="4" w:space="0" w:color="auto"/>
              <w:bottom w:val="single" w:sz="4" w:space="0" w:color="auto"/>
            </w:tcBorders>
            <w:vAlign w:val="center"/>
          </w:tcPr>
          <w:p w14:paraId="089D210B" w14:textId="77777777" w:rsidR="00B43C3A" w:rsidRDefault="00B43C3A" w:rsidP="005B0820">
            <w:pPr>
              <w:jc w:val="center"/>
              <w:rPr>
                <w:rFonts w:ascii="Arial" w:hAnsi="Arial" w:cs="Arial"/>
                <w:b/>
                <w:bCs/>
                <w:color w:val="1B1C1D"/>
                <w:bdr w:val="none" w:sz="0" w:space="0" w:color="auto" w:frame="1"/>
                <w:lang w:eastAsia="en-MY"/>
              </w:rPr>
            </w:pPr>
            <w:r>
              <w:rPr>
                <w:rFonts w:ascii="Arial" w:hAnsi="Arial" w:cs="Arial"/>
                <w:b/>
                <w:bCs/>
                <w:color w:val="1B1C1D"/>
                <w:bdr w:val="none" w:sz="0" w:space="0" w:color="auto" w:frame="1"/>
                <w:lang w:eastAsia="en-MY"/>
              </w:rPr>
              <w:t>Model (Lack of fit)</w:t>
            </w:r>
          </w:p>
          <w:p w14:paraId="65AAA064" w14:textId="0B1C5C65" w:rsidR="00613440" w:rsidRPr="009D105D" w:rsidRDefault="00613440"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 xml:space="preserve"> </w:t>
            </w:r>
            <w:r>
              <w:rPr>
                <w:rFonts w:ascii="Arial" w:hAnsi="Arial" w:cs="Arial"/>
                <w:b/>
                <w:bCs/>
                <w:color w:val="1B1C1D"/>
                <w:bdr w:val="none" w:sz="0" w:space="0" w:color="auto" w:frame="1"/>
                <w:lang w:eastAsia="en-MY"/>
              </w:rPr>
              <w:t xml:space="preserve">= </w:t>
            </w:r>
            <w:r w:rsidRPr="009D105D">
              <w:rPr>
                <w:rFonts w:ascii="Arial" w:hAnsi="Arial" w:cs="Arial"/>
                <w:b/>
                <w:bCs/>
                <w:color w:val="1B1C1D"/>
                <w:bdr w:val="none" w:sz="0" w:space="0" w:color="auto" w:frame="1"/>
                <w:lang w:eastAsia="en-MY"/>
              </w:rPr>
              <w:t>.05)</w:t>
            </w:r>
          </w:p>
        </w:tc>
        <w:tc>
          <w:tcPr>
            <w:tcW w:w="963" w:type="dxa"/>
            <w:tcBorders>
              <w:top w:val="single" w:sz="4" w:space="0" w:color="auto"/>
              <w:bottom w:val="single" w:sz="4" w:space="0" w:color="auto"/>
            </w:tcBorders>
            <w:tcMar>
              <w:top w:w="120" w:type="dxa"/>
              <w:left w:w="180" w:type="dxa"/>
              <w:bottom w:w="120" w:type="dxa"/>
              <w:right w:w="180" w:type="dxa"/>
            </w:tcMar>
            <w:vAlign w:val="center"/>
            <w:hideMark/>
          </w:tcPr>
          <w:p w14:paraId="0AA75810" w14:textId="3E926723" w:rsidR="00B43C3A" w:rsidRPr="009D105D" w:rsidRDefault="00997E47"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 xml:space="preserve">Model </w:t>
            </w:r>
            <w:r>
              <w:rPr>
                <w:rFonts w:ascii="Arial" w:hAnsi="Arial" w:cs="Arial"/>
                <w:b/>
                <w:bCs/>
                <w:color w:val="1B1C1D"/>
                <w:bdr w:val="none" w:sz="0" w:space="0" w:color="auto" w:frame="1"/>
                <w:lang w:eastAsia="en-MY"/>
              </w:rPr>
              <w:t>(</w:t>
            </w:r>
            <w:r w:rsidR="00B43C3A" w:rsidRPr="009D105D">
              <w:rPr>
                <w:rFonts w:ascii="Arial" w:hAnsi="Arial" w:cs="Arial"/>
                <w:b/>
                <w:bCs/>
                <w:color w:val="1B1C1D"/>
                <w:bdr w:val="none" w:sz="0" w:space="0" w:color="auto" w:frame="1"/>
                <w:lang w:eastAsia="en-MY"/>
              </w:rPr>
              <w:t>R</w:t>
            </w:r>
            <w:r w:rsidR="00B43C3A" w:rsidRPr="00C2411C">
              <w:rPr>
                <w:rFonts w:ascii="Arial" w:hAnsi="Arial" w:cs="Arial"/>
                <w:b/>
                <w:bCs/>
                <w:color w:val="1B1C1D"/>
                <w:bdr w:val="none" w:sz="0" w:space="0" w:color="auto" w:frame="1"/>
                <w:vertAlign w:val="superscript"/>
                <w:lang w:eastAsia="en-MY"/>
              </w:rPr>
              <w:t>2</w:t>
            </w:r>
            <w:r w:rsidR="00B43C3A" w:rsidRPr="00C2411C">
              <w:rPr>
                <w:rFonts w:ascii="Arial" w:hAnsi="Arial" w:cs="Arial"/>
                <w:b/>
                <w:bCs/>
                <w:color w:val="1B1C1D"/>
                <w:bdr w:val="none" w:sz="0" w:space="0" w:color="auto" w:frame="1"/>
                <w:lang w:eastAsia="en-MY"/>
              </w:rPr>
              <w:t>)</w:t>
            </w:r>
          </w:p>
        </w:tc>
        <w:tc>
          <w:tcPr>
            <w:tcW w:w="1387" w:type="dxa"/>
            <w:tcBorders>
              <w:top w:val="single" w:sz="4" w:space="0" w:color="auto"/>
              <w:bottom w:val="single" w:sz="4" w:space="0" w:color="auto"/>
            </w:tcBorders>
            <w:tcMar>
              <w:top w:w="120" w:type="dxa"/>
              <w:left w:w="180" w:type="dxa"/>
              <w:bottom w:w="120" w:type="dxa"/>
              <w:right w:w="180" w:type="dxa"/>
            </w:tcMar>
            <w:vAlign w:val="center"/>
            <w:hideMark/>
          </w:tcPr>
          <w:p w14:paraId="75F204E4" w14:textId="77777777" w:rsidR="00B43C3A" w:rsidRDefault="00B43C3A"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 xml:space="preserve">Significant Linear Factors </w:t>
            </w:r>
          </w:p>
          <w:p w14:paraId="50EA1509" w14:textId="580C9662"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 xml:space="preserve"> </w:t>
            </w:r>
            <w:r>
              <w:rPr>
                <w:rFonts w:ascii="Arial" w:hAnsi="Arial" w:cs="Arial"/>
                <w:b/>
                <w:bCs/>
                <w:color w:val="1B1C1D"/>
                <w:bdr w:val="none" w:sz="0" w:space="0" w:color="auto" w:frame="1"/>
                <w:lang w:eastAsia="en-MY"/>
              </w:rPr>
              <w:t xml:space="preserve">= </w:t>
            </w:r>
            <w:r w:rsidRPr="009D105D">
              <w:rPr>
                <w:rFonts w:ascii="Arial" w:hAnsi="Arial" w:cs="Arial"/>
                <w:b/>
                <w:bCs/>
                <w:color w:val="1B1C1D"/>
                <w:bdr w:val="none" w:sz="0" w:space="0" w:color="auto" w:frame="1"/>
                <w:lang w:eastAsia="en-MY"/>
              </w:rPr>
              <w:t>.05)</w:t>
            </w:r>
          </w:p>
        </w:tc>
        <w:tc>
          <w:tcPr>
            <w:tcW w:w="1590" w:type="dxa"/>
            <w:tcBorders>
              <w:top w:val="single" w:sz="4" w:space="0" w:color="auto"/>
              <w:bottom w:val="single" w:sz="4" w:space="0" w:color="auto"/>
            </w:tcBorders>
            <w:tcMar>
              <w:top w:w="120" w:type="dxa"/>
              <w:left w:w="180" w:type="dxa"/>
              <w:bottom w:w="120" w:type="dxa"/>
              <w:right w:w="180" w:type="dxa"/>
            </w:tcMar>
            <w:vAlign w:val="center"/>
            <w:hideMark/>
          </w:tcPr>
          <w:p w14:paraId="3F35CF17" w14:textId="0F43DA0A" w:rsidR="00B43C3A" w:rsidRPr="009D105D" w:rsidRDefault="00B43C3A" w:rsidP="005B0820">
            <w:pPr>
              <w:rPr>
                <w:rFonts w:ascii="Arial" w:hAnsi="Arial" w:cs="Arial"/>
                <w:color w:val="1B1C1D"/>
                <w:lang w:eastAsia="en-MY"/>
              </w:rPr>
            </w:pPr>
            <w:r w:rsidRPr="009D105D">
              <w:rPr>
                <w:rFonts w:ascii="Arial" w:hAnsi="Arial" w:cs="Arial"/>
                <w:b/>
                <w:bCs/>
                <w:color w:val="1B1C1D"/>
                <w:bdr w:val="none" w:sz="0" w:space="0" w:color="auto" w:frame="1"/>
                <w:lang w:eastAsia="en-MY"/>
              </w:rPr>
              <w:t>Significant Interactions</w:t>
            </w:r>
            <w:r>
              <w:rPr>
                <w:rFonts w:ascii="Arial" w:hAnsi="Arial" w:cs="Arial"/>
                <w:b/>
                <w:bCs/>
                <w:color w:val="1B1C1D"/>
                <w:bdr w:val="none" w:sz="0" w:space="0" w:color="auto" w:frame="1"/>
                <w:lang w:eastAsia="en-MY"/>
              </w:rPr>
              <w:t xml:space="preserve"> </w:t>
            </w:r>
            <w:r w:rsidRPr="00C2411C">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C2411C">
              <w:rPr>
                <w:rFonts w:ascii="Arial" w:hAnsi="Arial" w:cs="Arial"/>
                <w:b/>
                <w:bCs/>
                <w:color w:val="1B1C1D"/>
                <w:bdr w:val="none" w:sz="0" w:space="0" w:color="auto" w:frame="1"/>
                <w:lang w:eastAsia="en-MY"/>
              </w:rPr>
              <w:t xml:space="preserve"> = .05)</w:t>
            </w:r>
          </w:p>
        </w:tc>
      </w:tr>
      <w:tr w:rsidR="00B43C3A" w:rsidRPr="00C715FE" w14:paraId="0AB4F5DC" w14:textId="77777777" w:rsidTr="00384689">
        <w:trPr>
          <w:trHeight w:val="376"/>
          <w:tblCellSpacing w:w="15" w:type="dxa"/>
        </w:trPr>
        <w:tc>
          <w:tcPr>
            <w:tcW w:w="1515" w:type="dxa"/>
            <w:tcMar>
              <w:top w:w="120" w:type="dxa"/>
              <w:left w:w="180" w:type="dxa"/>
              <w:bottom w:w="120" w:type="dxa"/>
              <w:right w:w="180" w:type="dxa"/>
            </w:tcMar>
            <w:vAlign w:val="center"/>
            <w:hideMark/>
          </w:tcPr>
          <w:p w14:paraId="25270C30"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Overall Acceptance</w:t>
            </w:r>
          </w:p>
        </w:tc>
        <w:tc>
          <w:tcPr>
            <w:tcW w:w="1245" w:type="dxa"/>
            <w:tcMar>
              <w:top w:w="120" w:type="dxa"/>
              <w:left w:w="180" w:type="dxa"/>
              <w:bottom w:w="120" w:type="dxa"/>
              <w:right w:w="180" w:type="dxa"/>
            </w:tcMar>
            <w:vAlign w:val="center"/>
            <w:hideMark/>
          </w:tcPr>
          <w:p w14:paraId="660B428F" w14:textId="6F351BB0" w:rsidR="00B43C3A" w:rsidRPr="00997E47"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97E47">
              <w:rPr>
                <w:rFonts w:ascii="Arial" w:hAnsi="Arial" w:cs="Arial"/>
                <w:color w:val="1B1C1D"/>
                <w:lang w:eastAsia="en-MY"/>
              </w:rPr>
              <w:t>0013</w:t>
            </w:r>
          </w:p>
        </w:tc>
        <w:tc>
          <w:tcPr>
            <w:tcW w:w="1104" w:type="dxa"/>
            <w:vAlign w:val="center"/>
          </w:tcPr>
          <w:p w14:paraId="446CDA5E" w14:textId="45A1C96D"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0.924</w:t>
            </w:r>
            <w:r>
              <w:rPr>
                <w:rFonts w:ascii="Arial" w:hAnsi="Arial" w:cs="Arial"/>
                <w:color w:val="1B1C1D"/>
                <w:lang w:eastAsia="en-MY"/>
              </w:rPr>
              <w:t>0</w:t>
            </w:r>
          </w:p>
        </w:tc>
        <w:tc>
          <w:tcPr>
            <w:tcW w:w="963" w:type="dxa"/>
            <w:tcMar>
              <w:top w:w="120" w:type="dxa"/>
              <w:left w:w="180" w:type="dxa"/>
              <w:bottom w:w="120" w:type="dxa"/>
              <w:right w:w="180" w:type="dxa"/>
            </w:tcMar>
            <w:vAlign w:val="center"/>
            <w:hideMark/>
          </w:tcPr>
          <w:p w14:paraId="59055FD5" w14:textId="5DD80CB8"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0.969</w:t>
            </w:r>
          </w:p>
        </w:tc>
        <w:tc>
          <w:tcPr>
            <w:tcW w:w="1387" w:type="dxa"/>
            <w:tcMar>
              <w:top w:w="120" w:type="dxa"/>
              <w:left w:w="180" w:type="dxa"/>
              <w:bottom w:w="120" w:type="dxa"/>
              <w:right w:w="180" w:type="dxa"/>
            </w:tcMar>
            <w:vAlign w:val="center"/>
            <w:hideMark/>
          </w:tcPr>
          <w:p w14:paraId="3E3A6032" w14:textId="41387BD3"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r>
              <w:rPr>
                <w:rFonts w:ascii="Arial" w:hAnsi="Arial" w:cs="Arial"/>
                <w:color w:val="1B1C1D"/>
                <w:lang w:eastAsia="en-MY"/>
              </w:rPr>
              <w:t xml:space="preserve"> and </w:t>
            </w:r>
            <w:r w:rsidRPr="009D105D">
              <w:rPr>
                <w:rFonts w:ascii="Arial" w:hAnsi="Arial" w:cs="Arial"/>
                <w:color w:val="1B1C1D"/>
                <w:lang w:eastAsia="en-MY"/>
              </w:rPr>
              <w:t>C</w:t>
            </w:r>
          </w:p>
        </w:tc>
        <w:tc>
          <w:tcPr>
            <w:tcW w:w="1697" w:type="dxa"/>
            <w:gridSpan w:val="2"/>
            <w:tcMar>
              <w:top w:w="120" w:type="dxa"/>
              <w:left w:w="180" w:type="dxa"/>
              <w:bottom w:w="120" w:type="dxa"/>
              <w:right w:w="180" w:type="dxa"/>
            </w:tcMar>
            <w:vAlign w:val="center"/>
            <w:hideMark/>
          </w:tcPr>
          <w:p w14:paraId="608934A1" w14:textId="77777777"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None</w:t>
            </w:r>
          </w:p>
        </w:tc>
      </w:tr>
      <w:tr w:rsidR="00B43C3A" w:rsidRPr="00C715FE" w14:paraId="1538AEF3" w14:textId="77777777" w:rsidTr="00384689">
        <w:trPr>
          <w:trHeight w:val="358"/>
          <w:tblCellSpacing w:w="15" w:type="dxa"/>
        </w:trPr>
        <w:tc>
          <w:tcPr>
            <w:tcW w:w="1515" w:type="dxa"/>
            <w:tcMar>
              <w:top w:w="120" w:type="dxa"/>
              <w:left w:w="180" w:type="dxa"/>
              <w:bottom w:w="120" w:type="dxa"/>
              <w:right w:w="180" w:type="dxa"/>
            </w:tcMar>
            <w:vAlign w:val="center"/>
            <w:hideMark/>
          </w:tcPr>
          <w:p w14:paraId="5B48A594"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HCA Content</w:t>
            </w:r>
          </w:p>
        </w:tc>
        <w:tc>
          <w:tcPr>
            <w:tcW w:w="1245" w:type="dxa"/>
            <w:tcMar>
              <w:top w:w="120" w:type="dxa"/>
              <w:left w:w="180" w:type="dxa"/>
              <w:bottom w:w="120" w:type="dxa"/>
              <w:right w:w="180" w:type="dxa"/>
            </w:tcMar>
            <w:vAlign w:val="center"/>
            <w:hideMark/>
          </w:tcPr>
          <w:p w14:paraId="0D050280" w14:textId="35A6FB7C" w:rsidR="00B43C3A" w:rsidRPr="009D105D"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D105D">
              <w:rPr>
                <w:rFonts w:ascii="Arial" w:hAnsi="Arial" w:cs="Arial"/>
                <w:color w:val="1B1C1D"/>
                <w:lang w:eastAsia="en-MY"/>
              </w:rPr>
              <w:t>0151</w:t>
            </w:r>
          </w:p>
        </w:tc>
        <w:tc>
          <w:tcPr>
            <w:tcW w:w="1104" w:type="dxa"/>
            <w:vAlign w:val="center"/>
          </w:tcPr>
          <w:p w14:paraId="2DE1EF79" w14:textId="465B279C"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0.9346</w:t>
            </w:r>
          </w:p>
        </w:tc>
        <w:tc>
          <w:tcPr>
            <w:tcW w:w="963" w:type="dxa"/>
            <w:tcMar>
              <w:top w:w="120" w:type="dxa"/>
              <w:left w:w="180" w:type="dxa"/>
              <w:bottom w:w="120" w:type="dxa"/>
              <w:right w:w="180" w:type="dxa"/>
            </w:tcMar>
            <w:vAlign w:val="center"/>
            <w:hideMark/>
          </w:tcPr>
          <w:p w14:paraId="143D92EA" w14:textId="1F0214BA"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0.914</w:t>
            </w:r>
          </w:p>
        </w:tc>
        <w:tc>
          <w:tcPr>
            <w:tcW w:w="1387" w:type="dxa"/>
            <w:tcMar>
              <w:top w:w="120" w:type="dxa"/>
              <w:left w:w="180" w:type="dxa"/>
              <w:bottom w:w="120" w:type="dxa"/>
              <w:right w:w="180" w:type="dxa"/>
            </w:tcMar>
            <w:vAlign w:val="center"/>
            <w:hideMark/>
          </w:tcPr>
          <w:p w14:paraId="1939C725" w14:textId="457AA348"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p>
        </w:tc>
        <w:tc>
          <w:tcPr>
            <w:tcW w:w="1697" w:type="dxa"/>
            <w:gridSpan w:val="2"/>
            <w:tcMar>
              <w:top w:w="120" w:type="dxa"/>
              <w:left w:w="180" w:type="dxa"/>
              <w:bottom w:w="120" w:type="dxa"/>
              <w:right w:w="180" w:type="dxa"/>
            </w:tcMar>
            <w:vAlign w:val="center"/>
            <w:hideMark/>
          </w:tcPr>
          <w:p w14:paraId="58998964" w14:textId="0446A237"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 xml:space="preserve">AB </w:t>
            </w:r>
            <w:r>
              <w:rPr>
                <w:rFonts w:ascii="Arial" w:hAnsi="Arial" w:cs="Arial"/>
                <w:color w:val="1B1C1D"/>
                <w:lang w:eastAsia="en-MY"/>
              </w:rPr>
              <w:t>and</w:t>
            </w:r>
            <w:r w:rsidRPr="009D105D">
              <w:rPr>
                <w:rFonts w:ascii="Arial" w:hAnsi="Arial" w:cs="Arial"/>
                <w:color w:val="1B1C1D"/>
                <w:lang w:eastAsia="en-MY"/>
              </w:rPr>
              <w:t xml:space="preserve"> BC</w:t>
            </w:r>
          </w:p>
        </w:tc>
      </w:tr>
      <w:tr w:rsidR="00B43C3A" w:rsidRPr="00C715FE" w14:paraId="0B2A483A" w14:textId="77777777" w:rsidTr="00384689">
        <w:trPr>
          <w:trHeight w:val="117"/>
          <w:tblCellSpacing w:w="15" w:type="dxa"/>
        </w:trPr>
        <w:tc>
          <w:tcPr>
            <w:tcW w:w="1515" w:type="dxa"/>
            <w:tcBorders>
              <w:bottom w:val="single" w:sz="4" w:space="0" w:color="auto"/>
            </w:tcBorders>
            <w:tcMar>
              <w:top w:w="120" w:type="dxa"/>
              <w:left w:w="180" w:type="dxa"/>
              <w:bottom w:w="120" w:type="dxa"/>
              <w:right w:w="180" w:type="dxa"/>
            </w:tcMar>
            <w:vAlign w:val="center"/>
            <w:hideMark/>
          </w:tcPr>
          <w:p w14:paraId="3A9C7027"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lastRenderedPageBreak/>
              <w:t>Viscosity Score</w:t>
            </w:r>
          </w:p>
        </w:tc>
        <w:tc>
          <w:tcPr>
            <w:tcW w:w="1245" w:type="dxa"/>
            <w:tcBorders>
              <w:bottom w:val="single" w:sz="4" w:space="0" w:color="auto"/>
            </w:tcBorders>
            <w:tcMar>
              <w:top w:w="120" w:type="dxa"/>
              <w:left w:w="180" w:type="dxa"/>
              <w:bottom w:w="120" w:type="dxa"/>
              <w:right w:w="180" w:type="dxa"/>
            </w:tcMar>
            <w:vAlign w:val="center"/>
            <w:hideMark/>
          </w:tcPr>
          <w:p w14:paraId="1E8753C6" w14:textId="47631167" w:rsidR="00B43C3A" w:rsidRPr="009D105D"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97E47">
              <w:rPr>
                <w:rFonts w:ascii="Arial" w:hAnsi="Arial" w:cs="Arial"/>
                <w:color w:val="1B1C1D"/>
                <w:lang w:eastAsia="en-MY"/>
              </w:rPr>
              <w:t>.</w:t>
            </w:r>
            <w:r w:rsidR="00B43C3A" w:rsidRPr="009D105D">
              <w:rPr>
                <w:rFonts w:ascii="Arial" w:hAnsi="Arial" w:cs="Arial"/>
                <w:color w:val="1B1C1D"/>
                <w:lang w:eastAsia="en-MY"/>
              </w:rPr>
              <w:t>0057</w:t>
            </w:r>
          </w:p>
        </w:tc>
        <w:tc>
          <w:tcPr>
            <w:tcW w:w="1104" w:type="dxa"/>
            <w:tcBorders>
              <w:bottom w:val="single" w:sz="4" w:space="0" w:color="auto"/>
            </w:tcBorders>
            <w:vAlign w:val="center"/>
          </w:tcPr>
          <w:p w14:paraId="338919A7" w14:textId="733B5110"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0.13</w:t>
            </w:r>
            <w:r>
              <w:rPr>
                <w:rFonts w:ascii="Arial" w:hAnsi="Arial" w:cs="Arial"/>
                <w:color w:val="1B1C1D"/>
                <w:lang w:eastAsia="en-MY"/>
              </w:rPr>
              <w:t>55</w:t>
            </w:r>
          </w:p>
        </w:tc>
        <w:tc>
          <w:tcPr>
            <w:tcW w:w="963" w:type="dxa"/>
            <w:tcBorders>
              <w:bottom w:val="single" w:sz="4" w:space="0" w:color="auto"/>
            </w:tcBorders>
            <w:tcMar>
              <w:top w:w="120" w:type="dxa"/>
              <w:left w:w="180" w:type="dxa"/>
              <w:bottom w:w="120" w:type="dxa"/>
              <w:right w:w="180" w:type="dxa"/>
            </w:tcMar>
            <w:vAlign w:val="center"/>
            <w:hideMark/>
          </w:tcPr>
          <w:p w14:paraId="48A590F8" w14:textId="4FACCEDF"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0.943</w:t>
            </w:r>
          </w:p>
        </w:tc>
        <w:tc>
          <w:tcPr>
            <w:tcW w:w="1387" w:type="dxa"/>
            <w:tcBorders>
              <w:bottom w:val="single" w:sz="4" w:space="0" w:color="auto"/>
            </w:tcBorders>
            <w:tcMar>
              <w:top w:w="120" w:type="dxa"/>
              <w:left w:w="180" w:type="dxa"/>
              <w:bottom w:w="120" w:type="dxa"/>
              <w:right w:w="180" w:type="dxa"/>
            </w:tcMar>
            <w:vAlign w:val="center"/>
            <w:hideMark/>
          </w:tcPr>
          <w:p w14:paraId="12B76339" w14:textId="65B2960C"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r>
              <w:rPr>
                <w:rFonts w:ascii="Arial" w:hAnsi="Arial" w:cs="Arial"/>
                <w:color w:val="1B1C1D"/>
                <w:lang w:eastAsia="en-MY"/>
              </w:rPr>
              <w:t xml:space="preserve"> and </w:t>
            </w:r>
            <w:r w:rsidRPr="009D105D">
              <w:rPr>
                <w:rFonts w:ascii="Arial" w:hAnsi="Arial" w:cs="Arial"/>
                <w:color w:val="1B1C1D"/>
                <w:lang w:eastAsia="en-MY"/>
              </w:rPr>
              <w:t>C</w:t>
            </w:r>
          </w:p>
        </w:tc>
        <w:tc>
          <w:tcPr>
            <w:tcW w:w="1697" w:type="dxa"/>
            <w:gridSpan w:val="2"/>
            <w:tcBorders>
              <w:bottom w:val="single" w:sz="4" w:space="0" w:color="auto"/>
            </w:tcBorders>
            <w:tcMar>
              <w:top w:w="120" w:type="dxa"/>
              <w:left w:w="180" w:type="dxa"/>
              <w:bottom w:w="120" w:type="dxa"/>
              <w:right w:w="180" w:type="dxa"/>
            </w:tcMar>
            <w:vAlign w:val="center"/>
            <w:hideMark/>
          </w:tcPr>
          <w:p w14:paraId="20662F1E" w14:textId="24C9D20D"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AB</w:t>
            </w:r>
          </w:p>
        </w:tc>
      </w:tr>
    </w:tbl>
    <w:p w14:paraId="2DA6F575" w14:textId="3D766E2E" w:rsidR="00863BD3" w:rsidRPr="00E037F3" w:rsidRDefault="00C2411C" w:rsidP="00384689">
      <w:pPr>
        <w:tabs>
          <w:tab w:val="left" w:pos="1080"/>
        </w:tabs>
        <w:ind w:left="993"/>
        <w:jc w:val="both"/>
        <w:rPr>
          <w:rFonts w:ascii="Arial" w:hAnsi="Arial"/>
          <w:bCs/>
          <w:sz w:val="18"/>
          <w:szCs w:val="18"/>
        </w:rPr>
      </w:pPr>
      <w:r w:rsidRPr="00E037F3">
        <w:rPr>
          <w:rFonts w:ascii="Arial" w:hAnsi="Arial"/>
          <w:bCs/>
          <w:sz w:val="18"/>
          <w:szCs w:val="18"/>
        </w:rPr>
        <w:t>*A</w:t>
      </w:r>
      <w:r w:rsidR="00E037F3">
        <w:rPr>
          <w:rFonts w:ascii="Arial" w:hAnsi="Arial"/>
          <w:bCs/>
          <w:sz w:val="18"/>
          <w:szCs w:val="18"/>
        </w:rPr>
        <w:t>=</w:t>
      </w:r>
      <w:bookmarkStart w:id="17" w:name="_Hlk212369260"/>
      <w:proofErr w:type="spellStart"/>
      <w:r w:rsidR="00E037F3" w:rsidRPr="00E037F3">
        <w:rPr>
          <w:rFonts w:ascii="Arial" w:hAnsi="Arial"/>
          <w:bCs/>
          <w:i/>
          <w:iCs/>
          <w:sz w:val="18"/>
          <w:szCs w:val="18"/>
        </w:rPr>
        <w:t>G.atroviridis</w:t>
      </w:r>
      <w:proofErr w:type="spellEnd"/>
      <w:r w:rsidR="00E037F3" w:rsidRPr="00E037F3">
        <w:rPr>
          <w:rFonts w:ascii="Arial" w:hAnsi="Arial"/>
          <w:bCs/>
          <w:sz w:val="18"/>
          <w:szCs w:val="18"/>
        </w:rPr>
        <w:t xml:space="preserve"> </w:t>
      </w:r>
      <w:bookmarkEnd w:id="17"/>
      <w:r w:rsidR="00E037F3" w:rsidRPr="00E037F3">
        <w:rPr>
          <w:rFonts w:ascii="Arial" w:hAnsi="Arial"/>
          <w:bCs/>
          <w:sz w:val="18"/>
          <w:szCs w:val="18"/>
        </w:rPr>
        <w:t>young leaf extract, B=</w:t>
      </w:r>
      <w:proofErr w:type="spellStart"/>
      <w:r w:rsidR="00E037F3" w:rsidRPr="00E037F3">
        <w:rPr>
          <w:rFonts w:ascii="Arial" w:hAnsi="Arial"/>
          <w:bCs/>
          <w:i/>
          <w:iCs/>
          <w:sz w:val="18"/>
          <w:szCs w:val="18"/>
        </w:rPr>
        <w:t>G.atroviridis</w:t>
      </w:r>
      <w:proofErr w:type="spellEnd"/>
      <w:r w:rsidR="00E037F3" w:rsidRPr="00E037F3">
        <w:rPr>
          <w:rFonts w:ascii="Arial" w:hAnsi="Arial"/>
          <w:bCs/>
          <w:i/>
          <w:iCs/>
          <w:sz w:val="18"/>
          <w:szCs w:val="18"/>
        </w:rPr>
        <w:t xml:space="preserve"> </w:t>
      </w:r>
      <w:r w:rsidR="00E037F3" w:rsidRPr="00E037F3">
        <w:rPr>
          <w:rFonts w:ascii="Arial" w:hAnsi="Arial"/>
          <w:bCs/>
          <w:sz w:val="18"/>
          <w:szCs w:val="18"/>
        </w:rPr>
        <w:t>juice, C=FOS</w:t>
      </w:r>
    </w:p>
    <w:p w14:paraId="528D17F2" w14:textId="77777777" w:rsidR="00863BD3" w:rsidRDefault="00863BD3" w:rsidP="005B0820">
      <w:pPr>
        <w:pStyle w:val="BodyText3"/>
        <w:tabs>
          <w:tab w:val="left" w:pos="1080"/>
        </w:tabs>
        <w:spacing w:after="0"/>
        <w:ind w:hanging="1080"/>
        <w:jc w:val="both"/>
        <w:rPr>
          <w:rFonts w:ascii="Arial" w:hAnsi="Arial"/>
          <w:b/>
          <w:sz w:val="20"/>
          <w:szCs w:val="20"/>
        </w:rPr>
      </w:pPr>
    </w:p>
    <w:p w14:paraId="446C3ADA" w14:textId="282E7435" w:rsidR="00552B0A" w:rsidRDefault="00552B0A" w:rsidP="0080170D">
      <w:pPr>
        <w:pStyle w:val="Body"/>
        <w:tabs>
          <w:tab w:val="left" w:pos="9356"/>
        </w:tabs>
        <w:ind w:left="993" w:right="981"/>
        <w:rPr>
          <w:rFonts w:ascii="Arial" w:hAnsi="Arial" w:cs="Arial"/>
        </w:rPr>
      </w:pPr>
      <w:r>
        <w:rPr>
          <w:rFonts w:ascii="Arial" w:hAnsi="Arial" w:cs="Arial"/>
        </w:rPr>
        <w:t>T</w:t>
      </w:r>
      <w:r w:rsidRPr="00552B0A">
        <w:rPr>
          <w:rFonts w:ascii="Arial" w:hAnsi="Arial" w:cs="Arial"/>
        </w:rPr>
        <w:t xml:space="preserve">he quadratic model showed an excellent fit </w:t>
      </w:r>
      <w:r>
        <w:rPr>
          <w:rFonts w:ascii="Arial" w:hAnsi="Arial" w:cs="Arial"/>
        </w:rPr>
        <w:t>for all responses</w:t>
      </w:r>
      <w:r w:rsidR="009E1872">
        <w:rPr>
          <w:rFonts w:ascii="Arial" w:hAnsi="Arial" w:cs="Arial"/>
        </w:rPr>
        <w:t xml:space="preserve"> after deleting the outliers of the data in </w:t>
      </w:r>
      <w:r w:rsidR="009E1872" w:rsidRPr="009E1872">
        <w:rPr>
          <w:rFonts w:ascii="Arial" w:hAnsi="Arial" w:cs="Arial"/>
          <w:b/>
          <w:bCs/>
        </w:rPr>
        <w:t>Table 1</w:t>
      </w:r>
      <w:r w:rsidR="009E1872" w:rsidRPr="009E1872">
        <w:rPr>
          <w:rFonts w:ascii="Arial" w:hAnsi="Arial" w:cs="Arial"/>
        </w:rPr>
        <w:t xml:space="preserve">. </w:t>
      </w:r>
      <w:r>
        <w:rPr>
          <w:rFonts w:ascii="Arial" w:hAnsi="Arial" w:cs="Arial"/>
        </w:rPr>
        <w:t xml:space="preserve">All the </w:t>
      </w:r>
      <w:r w:rsidRPr="00552B0A">
        <w:rPr>
          <w:rFonts w:ascii="Arial" w:hAnsi="Arial" w:cs="Arial"/>
          <w:i/>
          <w:iCs/>
        </w:rPr>
        <w:t>P</w:t>
      </w:r>
      <w:r>
        <w:rPr>
          <w:rFonts w:ascii="Arial" w:hAnsi="Arial" w:cs="Arial"/>
        </w:rPr>
        <w:t>-values were less than 0.05</w:t>
      </w:r>
      <w:r w:rsidR="00613440">
        <w:rPr>
          <w:rFonts w:ascii="Arial" w:hAnsi="Arial" w:cs="Arial"/>
        </w:rPr>
        <w:t>; and the lack of fit was not significant (</w:t>
      </w:r>
      <w:r w:rsidR="00613440" w:rsidRPr="00613440">
        <w:rPr>
          <w:rFonts w:ascii="Arial" w:hAnsi="Arial" w:cs="Arial"/>
          <w:i/>
          <w:iCs/>
        </w:rPr>
        <w:t>P</w:t>
      </w:r>
      <w:r w:rsidR="00613440">
        <w:rPr>
          <w:rFonts w:ascii="Arial" w:hAnsi="Arial" w:cs="Arial"/>
        </w:rPr>
        <w:t xml:space="preserve"> &gt; .05) (</w:t>
      </w:r>
      <w:r w:rsidR="00613440" w:rsidRPr="00613440">
        <w:rPr>
          <w:rFonts w:ascii="Arial" w:hAnsi="Arial" w:cs="Arial"/>
          <w:b/>
          <w:bCs/>
        </w:rPr>
        <w:t>Table 2</w:t>
      </w:r>
      <w:r w:rsidR="00613440">
        <w:rPr>
          <w:rFonts w:ascii="Arial" w:hAnsi="Arial" w:cs="Arial"/>
        </w:rPr>
        <w:t xml:space="preserve">). These results implies that </w:t>
      </w:r>
      <w:r>
        <w:rPr>
          <w:rFonts w:ascii="Arial" w:hAnsi="Arial" w:cs="Arial"/>
        </w:rPr>
        <w:t xml:space="preserve">the </w:t>
      </w:r>
      <w:r w:rsidRPr="00552B0A">
        <w:rPr>
          <w:rFonts w:ascii="Arial" w:hAnsi="Arial" w:cs="Arial"/>
        </w:rPr>
        <w:t xml:space="preserve">model terms are </w:t>
      </w:r>
      <w:r w:rsidR="00613440">
        <w:rPr>
          <w:rFonts w:ascii="Arial" w:hAnsi="Arial" w:cs="Arial"/>
        </w:rPr>
        <w:t xml:space="preserve">good and fit. </w:t>
      </w:r>
    </w:p>
    <w:p w14:paraId="6E830D3C" w14:textId="49D3F603" w:rsidR="00997E47" w:rsidRDefault="00E037F3" w:rsidP="0080170D">
      <w:pPr>
        <w:pStyle w:val="Body"/>
        <w:ind w:left="993" w:right="1122"/>
        <w:rPr>
          <w:rFonts w:ascii="Arial" w:hAnsi="Arial" w:cs="Arial"/>
        </w:rPr>
      </w:pPr>
      <w:r w:rsidRPr="00E037F3">
        <w:rPr>
          <w:rFonts w:ascii="Arial" w:hAnsi="Arial" w:cs="Arial"/>
        </w:rPr>
        <w:t xml:space="preserve">For </w:t>
      </w:r>
      <w:r w:rsidR="00E2120B">
        <w:rPr>
          <w:rFonts w:ascii="Arial" w:hAnsi="Arial" w:cs="Arial"/>
          <w:b/>
          <w:bCs/>
        </w:rPr>
        <w:t>overall acceptance</w:t>
      </w:r>
      <w:r w:rsidRPr="00E037F3">
        <w:rPr>
          <w:rFonts w:ascii="Arial" w:hAnsi="Arial" w:cs="Arial"/>
        </w:rPr>
        <w:t xml:space="preserve">, a quadratic model (2FI interaction model) was significant </w:t>
      </w:r>
      <w:r>
        <w:rPr>
          <w:rFonts w:ascii="Arial" w:hAnsi="Arial" w:cs="Arial"/>
          <w:i/>
          <w:iCs/>
        </w:rPr>
        <w:t>P</w:t>
      </w:r>
      <w:r w:rsidRPr="00E037F3">
        <w:rPr>
          <w:rFonts w:ascii="Arial" w:hAnsi="Arial" w:cs="Arial"/>
        </w:rPr>
        <w:t xml:space="preserve"> = 0.0013) with R² = 0.969</w:t>
      </w:r>
      <w:r w:rsidR="00ED3F24">
        <w:rPr>
          <w:rFonts w:ascii="Arial" w:hAnsi="Arial" w:cs="Arial"/>
        </w:rPr>
        <w:t xml:space="preserve">. </w:t>
      </w:r>
      <w:r w:rsidRPr="00E037F3">
        <w:rPr>
          <w:rFonts w:ascii="Arial" w:hAnsi="Arial" w:cs="Arial"/>
        </w:rPr>
        <w:t>The ANOVA showed that fruit juice (Factor B) and FOS (Factor C) had significant positive linear effects on acceptance (</w:t>
      </w:r>
      <w:r w:rsidR="00ED3F24">
        <w:rPr>
          <w:rFonts w:ascii="Arial" w:hAnsi="Arial" w:cs="Arial"/>
          <w:i/>
          <w:iCs/>
        </w:rPr>
        <w:t xml:space="preserve">P </w:t>
      </w:r>
      <w:r w:rsidR="00ED3F24">
        <w:rPr>
          <w:rFonts w:ascii="Arial" w:hAnsi="Arial" w:cs="Arial"/>
        </w:rPr>
        <w:t xml:space="preserve">= </w:t>
      </w:r>
      <w:r w:rsidRPr="00E037F3">
        <w:rPr>
          <w:rFonts w:ascii="Arial" w:hAnsi="Arial" w:cs="Arial"/>
        </w:rPr>
        <w:t>.0</w:t>
      </w:r>
      <w:r w:rsidR="00ED3F24">
        <w:rPr>
          <w:rFonts w:ascii="Arial" w:hAnsi="Arial" w:cs="Arial"/>
        </w:rPr>
        <w:t>5</w:t>
      </w:r>
      <w:r w:rsidRPr="00E037F3">
        <w:rPr>
          <w:rFonts w:ascii="Arial" w:hAnsi="Arial" w:cs="Arial"/>
        </w:rPr>
        <w:t>), whereas leaf extract (Factor A) had no significant linear effect</w:t>
      </w:r>
      <w:r w:rsidR="00ED3F24">
        <w:rPr>
          <w:rFonts w:ascii="Arial" w:hAnsi="Arial" w:cs="Arial"/>
        </w:rPr>
        <w:t xml:space="preserve">. </w:t>
      </w:r>
      <w:r w:rsidRPr="00E037F3">
        <w:rPr>
          <w:rFonts w:ascii="Arial" w:hAnsi="Arial" w:cs="Arial"/>
        </w:rPr>
        <w:t>Interaction te</w:t>
      </w:r>
      <w:r w:rsidR="00ED3F24">
        <w:rPr>
          <w:rFonts w:ascii="Arial" w:hAnsi="Arial" w:cs="Arial"/>
        </w:rPr>
        <w:t>r</w:t>
      </w:r>
      <w:r w:rsidRPr="00E037F3">
        <w:rPr>
          <w:rFonts w:ascii="Arial" w:hAnsi="Arial" w:cs="Arial"/>
        </w:rPr>
        <w:t>ms AB and BC showed</w:t>
      </w:r>
      <w:r w:rsidR="00ED3F24">
        <w:rPr>
          <w:rFonts w:ascii="Arial" w:hAnsi="Arial" w:cs="Arial"/>
        </w:rPr>
        <w:t xml:space="preserve"> not</w:t>
      </w:r>
      <w:r w:rsidRPr="00E037F3">
        <w:rPr>
          <w:rFonts w:ascii="Arial" w:hAnsi="Arial" w:cs="Arial"/>
        </w:rPr>
        <w:t xml:space="preserve"> significant at </w:t>
      </w:r>
      <w:r w:rsidR="00ED3F24" w:rsidRPr="00ED3F24">
        <w:rPr>
          <w:rFonts w:ascii="Arial" w:hAnsi="Arial" w:cs="Arial"/>
          <w:i/>
          <w:iCs/>
        </w:rPr>
        <w:t>P</w:t>
      </w:r>
      <w:r w:rsidR="00ED3F24">
        <w:rPr>
          <w:rFonts w:ascii="Arial" w:hAnsi="Arial" w:cs="Arial"/>
        </w:rPr>
        <w:t>=</w:t>
      </w:r>
      <w:r w:rsidRPr="00E037F3">
        <w:rPr>
          <w:rFonts w:ascii="Arial" w:hAnsi="Arial" w:cs="Arial"/>
        </w:rPr>
        <w:t>.05, though BC was marginal.</w:t>
      </w:r>
      <w:r w:rsidR="00ED3F24">
        <w:rPr>
          <w:rFonts w:ascii="Arial" w:hAnsi="Arial" w:cs="Arial"/>
        </w:rPr>
        <w:t xml:space="preserve"> </w:t>
      </w:r>
      <w:r w:rsidRPr="00E037F3">
        <w:rPr>
          <w:rFonts w:ascii="Arial" w:hAnsi="Arial" w:cs="Arial"/>
        </w:rPr>
        <w:t>These results indicate that increasing the proportion of fruit juice and FOS independently led to higher liking scores, while varying leaf extract in the tested range (50–70%) did not markedly change acceptance. The lack of a significant A effect suggests that the panel tolerated the presence of leaf extract up to 70%, perhaps because its flavor was masked by the dominant sourness of the fruit or balanced by FOS. The insignificant AB and BC interactions imply that the positive effects of fruit juice and FOS on taste were roughly additive and did not negatively interfere with each other or with leaf extract. The model had no significant lack-of-fit and excellent fit statistics (R² = 0.9</w:t>
      </w:r>
      <w:r w:rsidR="00997E47">
        <w:rPr>
          <w:rFonts w:ascii="Arial" w:hAnsi="Arial" w:cs="Arial"/>
        </w:rPr>
        <w:t>69);</w:t>
      </w:r>
      <w:r w:rsidRPr="00E037F3">
        <w:rPr>
          <w:rFonts w:ascii="Arial" w:hAnsi="Arial" w:cs="Arial"/>
        </w:rPr>
        <w:t xml:space="preserve"> indicating it could reliably predict acceptance within the design space.</w:t>
      </w:r>
    </w:p>
    <w:p w14:paraId="68960FCF" w14:textId="6391AC47" w:rsidR="00374F96" w:rsidRPr="00E037F3" w:rsidRDefault="00E037F3" w:rsidP="0080170D">
      <w:pPr>
        <w:pStyle w:val="Body"/>
        <w:ind w:left="993" w:right="1122"/>
        <w:rPr>
          <w:rFonts w:ascii="Arial" w:hAnsi="Arial" w:cs="Arial"/>
        </w:rPr>
      </w:pPr>
      <w:r w:rsidRPr="00E037F3">
        <w:rPr>
          <w:rFonts w:ascii="Arial" w:hAnsi="Arial" w:cs="Arial"/>
        </w:rPr>
        <w:t xml:space="preserve">For </w:t>
      </w:r>
      <w:r w:rsidR="00C57F49">
        <w:rPr>
          <w:rFonts w:ascii="Arial" w:hAnsi="Arial" w:cs="Arial"/>
        </w:rPr>
        <w:t>v</w:t>
      </w:r>
      <w:r w:rsidRPr="00F15A2A">
        <w:rPr>
          <w:rFonts w:ascii="Arial" w:hAnsi="Arial" w:cs="Arial"/>
        </w:rPr>
        <w:t>iscosity Score</w:t>
      </w:r>
      <w:r w:rsidRPr="00E037F3">
        <w:rPr>
          <w:rFonts w:ascii="Arial" w:hAnsi="Arial" w:cs="Arial"/>
        </w:rPr>
        <w:t>, the ANOVA also indicated a significant model (</w:t>
      </w:r>
      <w:r w:rsidR="00997E47" w:rsidRPr="00997E47">
        <w:rPr>
          <w:rFonts w:ascii="Arial" w:hAnsi="Arial" w:cs="Arial"/>
          <w:i/>
          <w:iCs/>
        </w:rPr>
        <w:t>P</w:t>
      </w:r>
      <w:r w:rsidRPr="00E037F3">
        <w:rPr>
          <w:rFonts w:ascii="Arial" w:hAnsi="Arial" w:cs="Arial"/>
        </w:rPr>
        <w:t xml:space="preserve"> = 0.0057, R² = 0.9426)</w:t>
      </w:r>
      <w:r w:rsidR="00997E47">
        <w:rPr>
          <w:rFonts w:ascii="Arial" w:hAnsi="Arial" w:cs="Arial"/>
        </w:rPr>
        <w:t>.</w:t>
      </w:r>
      <w:r w:rsidRPr="00E037F3">
        <w:rPr>
          <w:rFonts w:ascii="Arial" w:hAnsi="Arial" w:cs="Arial"/>
        </w:rPr>
        <w:t xml:space="preserve"> In contrast to overall liking, viscosity perception was influenced by all three factors to some extent. Fruit juice (B) and FOS (C) again showed significant linear effects, and notably, the interaction AB (fruit × leaf) was significant</w:t>
      </w:r>
      <w:r w:rsidR="00374F96">
        <w:rPr>
          <w:rFonts w:ascii="Arial" w:hAnsi="Arial" w:cs="Arial"/>
        </w:rPr>
        <w:t xml:space="preserve">. </w:t>
      </w:r>
      <w:r w:rsidRPr="00E037F3">
        <w:rPr>
          <w:rFonts w:ascii="Arial" w:hAnsi="Arial" w:cs="Arial"/>
        </w:rPr>
        <w:t>The coefficient signs (not shown in table) suggested that higher FOS (up to 10%) increased the perceived thickness (which is expected, as FOS adds solids and slight body)</w:t>
      </w:r>
      <w:r w:rsidR="00374F96">
        <w:rPr>
          <w:rFonts w:ascii="Arial" w:hAnsi="Arial" w:cs="Arial"/>
        </w:rPr>
        <w:t xml:space="preserve"> (Fernandes, 2025)</w:t>
      </w:r>
      <w:r w:rsidRPr="00E037F3">
        <w:rPr>
          <w:rFonts w:ascii="Arial" w:hAnsi="Arial" w:cs="Arial"/>
        </w:rPr>
        <w:t xml:space="preserve">, while higher fruit juice (replacing water) also slightly increased thickness due to natural soluble solids. The AB interaction implied that the effect of leaf extract on viscosity depended on the level of fruit juice: at high fruit juice, increasing leaf extract made the product slightly thinner (possibly because leaf extract is mostly water and has less soluble solids than fruit puree), whereas at low fruit juice, viscosity was uniformly low regardless of leaf. Overall, all formulations’ viscosity scores remained in an acceptable range (5–6 out of 7, near the ideal), but this analysis helped ensure the optimized formula would not be too thin or too thick. </w:t>
      </w:r>
    </w:p>
    <w:p w14:paraId="09DC929B" w14:textId="6D845EC5" w:rsidR="00902823" w:rsidRDefault="00E037F3" w:rsidP="0080170D">
      <w:pPr>
        <w:pStyle w:val="Body"/>
        <w:spacing w:after="0"/>
        <w:ind w:left="993" w:right="1122"/>
        <w:rPr>
          <w:rFonts w:ascii="Arial" w:hAnsi="Arial" w:cs="Arial"/>
        </w:rPr>
      </w:pPr>
      <w:r w:rsidRPr="00E037F3">
        <w:rPr>
          <w:rFonts w:ascii="Arial" w:hAnsi="Arial" w:cs="Arial"/>
        </w:rPr>
        <w:t xml:space="preserve">For </w:t>
      </w:r>
      <w:r w:rsidRPr="00F15A2A">
        <w:rPr>
          <w:rFonts w:ascii="Arial" w:hAnsi="Arial" w:cs="Arial"/>
        </w:rPr>
        <w:t>HCA Content</w:t>
      </w:r>
      <w:r w:rsidRPr="00E037F3">
        <w:rPr>
          <w:rFonts w:ascii="Arial" w:hAnsi="Arial" w:cs="Arial"/>
        </w:rPr>
        <w:t>, the model was also significant (</w:t>
      </w:r>
      <w:r w:rsidR="00374F96" w:rsidRPr="00374F96">
        <w:rPr>
          <w:rFonts w:ascii="Arial" w:hAnsi="Arial" w:cs="Arial"/>
          <w:i/>
          <w:iCs/>
        </w:rPr>
        <w:t>P</w:t>
      </w:r>
      <w:r w:rsidRPr="00E037F3">
        <w:rPr>
          <w:rFonts w:ascii="Arial" w:hAnsi="Arial" w:cs="Arial"/>
        </w:rPr>
        <w:t xml:space="preserve"> = 0.0151, R² = 0.9138). As expected, the fruit juice (Factor B) had a significant positive effect on HCA because the fruit is the primary source of HCA. The leaf extract (Factor A) did not show a significant linear effect – interestingly, the young leaf extract itself contributed relatively little HCA compared to the ripe fruit, which aligns with reports that HCA is concentrated in the fruit rind</w:t>
      </w:r>
      <w:r w:rsidR="00BE2613">
        <w:rPr>
          <w:rFonts w:ascii="Arial" w:hAnsi="Arial" w:cs="Arial"/>
        </w:rPr>
        <w:t xml:space="preserve"> Chew and Lim, 2018)</w:t>
      </w:r>
      <w:r w:rsidRPr="00E037F3">
        <w:rPr>
          <w:rFonts w:ascii="Arial" w:hAnsi="Arial" w:cs="Arial"/>
        </w:rPr>
        <w:t>. FOS (Factor C) had no significant effect on HCA (as expected, being an inert sugar), but there were significant interaction effects: AB (</w:t>
      </w:r>
      <w:r w:rsidR="00552B0A">
        <w:rPr>
          <w:rFonts w:ascii="Arial" w:hAnsi="Arial" w:cs="Arial"/>
        </w:rPr>
        <w:t xml:space="preserve">young leaf </w:t>
      </w:r>
      <w:r w:rsidRPr="00E037F3">
        <w:rPr>
          <w:rFonts w:ascii="Arial" w:hAnsi="Arial" w:cs="Arial"/>
        </w:rPr>
        <w:t xml:space="preserve">extract × juice) and BC (juice × FOS) were both significant. The AB interaction was strongly positive, indicating that the combination of high leaf extract and high fruit juice yielded HCA content higher than the sum of their individual contributions. This could be due to experimental variation or perhaps an extract effect on extraction of HCA from the fruit pulp matrix. The BC interaction was negative – at higher FOS levels, the marginal gain in HCA from increasing fruit juice was slightly less. One possible explanation is dilution: adding FOS (while keeping total solids constant) replaced some fruit content, thus beyond a point, increasing fruit juice under high FOS conditions didn’t raise HCA as efficiently. Nonetheless, the maximum HCA measured (162 mg/100 mL) occurred in a run with the highest fruit (20%) and high leaf (50%) at low FOS, whereas a similarly high HCA (147 mg) </w:t>
      </w:r>
      <w:bookmarkStart w:id="18" w:name="_Hlk212384131"/>
      <w:r w:rsidRPr="00E037F3">
        <w:rPr>
          <w:rFonts w:ascii="Arial" w:hAnsi="Arial" w:cs="Arial"/>
        </w:rPr>
        <w:t>was</w:t>
      </w:r>
      <w:bookmarkEnd w:id="18"/>
      <w:r w:rsidRPr="00E037F3">
        <w:rPr>
          <w:rFonts w:ascii="Arial" w:hAnsi="Arial" w:cs="Arial"/>
        </w:rPr>
        <w:t xml:space="preserve"> seen with fruit 10% + leaf 50% at low FOS (Run 2), suggesting variability. </w:t>
      </w:r>
      <w:r w:rsidR="00C93676">
        <w:rPr>
          <w:rFonts w:ascii="Arial" w:hAnsi="Arial" w:cs="Arial"/>
        </w:rPr>
        <w:t xml:space="preserve"> </w:t>
      </w:r>
    </w:p>
    <w:p w14:paraId="1D310551" w14:textId="46150751" w:rsidR="00C93676" w:rsidRDefault="00C93676" w:rsidP="00F750FD">
      <w:pPr>
        <w:pStyle w:val="Body"/>
        <w:spacing w:after="0"/>
        <w:ind w:left="993"/>
        <w:rPr>
          <w:rFonts w:ascii="Arial" w:hAnsi="Arial" w:cs="Arial"/>
          <w:b/>
          <w:u w:val="single"/>
        </w:rPr>
      </w:pPr>
      <w:r>
        <w:rPr>
          <w:rFonts w:ascii="Arial" w:hAnsi="Arial" w:cs="Arial"/>
          <w:b/>
          <w:u w:val="single"/>
        </w:rPr>
        <w:t>3.1</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C93676">
        <w:rPr>
          <w:rFonts w:ascii="Arial" w:hAnsi="Arial" w:cs="Arial"/>
          <w:b/>
          <w:u w:val="single"/>
        </w:rPr>
        <w:t>Validation of the Optimal Formulation</w:t>
      </w:r>
    </w:p>
    <w:p w14:paraId="0692C828" w14:textId="668AFBCE" w:rsidR="00917C83" w:rsidRDefault="00917C83" w:rsidP="0080170D">
      <w:pPr>
        <w:pStyle w:val="Body"/>
        <w:spacing w:after="0"/>
        <w:ind w:left="993" w:right="1122"/>
        <w:rPr>
          <w:rFonts w:ascii="Arial" w:hAnsi="Arial" w:cs="Arial"/>
        </w:rPr>
      </w:pPr>
      <w:r w:rsidRPr="00917C83">
        <w:rPr>
          <w:rFonts w:ascii="Arial" w:hAnsi="Arial" w:cs="Arial"/>
        </w:rPr>
        <w:lastRenderedPageBreak/>
        <w:t>Using the regression models, a numerical optimization</w:t>
      </w:r>
      <w:r w:rsidR="00BB7675">
        <w:rPr>
          <w:rFonts w:ascii="Arial" w:hAnsi="Arial" w:cs="Arial"/>
        </w:rPr>
        <w:t xml:space="preserve"> was performed</w:t>
      </w:r>
      <w:r w:rsidRPr="00917C83">
        <w:rPr>
          <w:rFonts w:ascii="Arial" w:hAnsi="Arial" w:cs="Arial"/>
        </w:rPr>
        <w:t xml:space="preserve"> with goals set as follows: Overall acceptance = maximize, HCA content = </w:t>
      </w:r>
      <w:r w:rsidR="00280457">
        <w:rPr>
          <w:rFonts w:ascii="Arial" w:hAnsi="Arial" w:cs="Arial"/>
        </w:rPr>
        <w:t>maximize</w:t>
      </w:r>
      <w:r w:rsidRPr="00917C83">
        <w:rPr>
          <w:rFonts w:ascii="Arial" w:hAnsi="Arial" w:cs="Arial"/>
        </w:rPr>
        <w:t>, Viscosity score = in range (to avoid extreme thickness/thinness). The solution with highest desirability was at A = 60.7% leaf extract, B = 18.1% fruit juice, C = 10.0% FOS, with a desirability of 0.</w:t>
      </w:r>
      <w:r w:rsidR="00280457">
        <w:rPr>
          <w:rFonts w:ascii="Arial" w:hAnsi="Arial" w:cs="Arial"/>
        </w:rPr>
        <w:t>890</w:t>
      </w:r>
      <w:r w:rsidRPr="00917C83">
        <w:rPr>
          <w:rFonts w:ascii="Arial" w:hAnsi="Arial" w:cs="Arial"/>
        </w:rPr>
        <w:t xml:space="preserve"> (on a 0–1 scale). This formulation was chosen as the optimum. The model predicted for this point: Overall acceptance = 5.</w:t>
      </w:r>
      <w:r w:rsidR="00280457">
        <w:rPr>
          <w:rFonts w:ascii="Arial" w:hAnsi="Arial" w:cs="Arial"/>
        </w:rPr>
        <w:t>492</w:t>
      </w:r>
      <w:r w:rsidRPr="00917C83">
        <w:rPr>
          <w:rFonts w:ascii="Arial" w:hAnsi="Arial" w:cs="Arial"/>
        </w:rPr>
        <w:t xml:space="preserve"> (approximately “like moderately”), viscosity score = 5.90 (slightly above “just right”, indicating a mildly thick but acceptable body), and HCA content = 1</w:t>
      </w:r>
      <w:r w:rsidR="00280457">
        <w:rPr>
          <w:rFonts w:ascii="Arial" w:hAnsi="Arial" w:cs="Arial"/>
        </w:rPr>
        <w:t>62.0</w:t>
      </w:r>
      <w:r w:rsidRPr="00917C83">
        <w:rPr>
          <w:rFonts w:ascii="Arial" w:hAnsi="Arial" w:cs="Arial"/>
        </w:rPr>
        <w:t xml:space="preserve"> mg/100 </w:t>
      </w:r>
      <w:proofErr w:type="spellStart"/>
      <w:r w:rsidRPr="00917C83">
        <w:rPr>
          <w:rFonts w:ascii="Arial" w:hAnsi="Arial" w:cs="Arial"/>
        </w:rPr>
        <w:t>mL.</w:t>
      </w:r>
      <w:proofErr w:type="spellEnd"/>
      <w:r w:rsidRPr="00917C83">
        <w:rPr>
          <w:rFonts w:ascii="Arial" w:hAnsi="Arial" w:cs="Arial"/>
        </w:rPr>
        <w:t xml:space="preserve"> This optimally balanced point reflects the trade-offs: a moderate amount of fruit (1</w:t>
      </w:r>
      <w:r w:rsidR="00280457">
        <w:rPr>
          <w:rFonts w:ascii="Arial" w:hAnsi="Arial" w:cs="Arial"/>
        </w:rPr>
        <w:t>9</w:t>
      </w:r>
      <w:r w:rsidRPr="00917C83">
        <w:rPr>
          <w:rFonts w:ascii="Arial" w:hAnsi="Arial" w:cs="Arial"/>
        </w:rPr>
        <w:t>.1%) is sufficient to confer good flavor and high HCA while avoiding excessive sourness, the leaf extract (6</w:t>
      </w:r>
      <w:r w:rsidR="00280457">
        <w:rPr>
          <w:rFonts w:ascii="Arial" w:hAnsi="Arial" w:cs="Arial"/>
        </w:rPr>
        <w:t>2</w:t>
      </w:r>
      <w:r w:rsidRPr="00917C83">
        <w:rPr>
          <w:rFonts w:ascii="Arial" w:hAnsi="Arial" w:cs="Arial"/>
        </w:rPr>
        <w:t>.7%) provides additional functional compounds without harming taste, and FOS at the maximum 10% ensures sweetness and mouthfeel that improve acceptance. The inclusion of 0.2% xanthan (constant in all trials) contributed to stability and viscosity without needing to be part of the optimization.</w:t>
      </w:r>
    </w:p>
    <w:p w14:paraId="647363E2" w14:textId="7CEAE9C5" w:rsidR="00C93676" w:rsidRDefault="00917C83" w:rsidP="00F15A2A">
      <w:pPr>
        <w:pStyle w:val="Body"/>
        <w:spacing w:after="0"/>
        <w:ind w:left="993" w:right="1122"/>
        <w:rPr>
          <w:rFonts w:ascii="Arial" w:hAnsi="Arial" w:cs="Arial"/>
          <w:b/>
          <w:u w:val="single"/>
        </w:rPr>
      </w:pPr>
      <w:r w:rsidRPr="00917C83">
        <w:rPr>
          <w:rFonts w:ascii="Arial" w:hAnsi="Arial" w:cs="Arial"/>
        </w:rPr>
        <w:t>Validation confirmed the model’s robust predictive power: the actual overall acceptance score was 5.</w:t>
      </w:r>
      <w:r w:rsidR="006322F8">
        <w:rPr>
          <w:rFonts w:ascii="Arial" w:hAnsi="Arial" w:cs="Arial"/>
        </w:rPr>
        <w:t>49±0.77</w:t>
      </w:r>
      <w:r w:rsidRPr="00917C83">
        <w:rPr>
          <w:rFonts w:ascii="Arial" w:hAnsi="Arial" w:cs="Arial"/>
        </w:rPr>
        <w:t>, slightly exceeding the predicted value</w:t>
      </w:r>
      <w:r w:rsidR="006322F8">
        <w:rPr>
          <w:rFonts w:ascii="Arial" w:hAnsi="Arial" w:cs="Arial"/>
        </w:rPr>
        <w:t xml:space="preserve">, while the sensory score was </w:t>
      </w:r>
      <w:r w:rsidR="00892FCD">
        <w:rPr>
          <w:rFonts w:ascii="Arial" w:hAnsi="Arial" w:cs="Arial"/>
        </w:rPr>
        <w:t>almost the same as predicted (</w:t>
      </w:r>
      <w:r w:rsidR="000E37A0">
        <w:rPr>
          <w:rFonts w:ascii="Arial" w:hAnsi="Arial" w:cs="Arial"/>
        </w:rPr>
        <w:t>5.91±0.78).</w:t>
      </w:r>
      <w:r w:rsidRPr="00917C83">
        <w:rPr>
          <w:rFonts w:ascii="Arial" w:hAnsi="Arial" w:cs="Arial"/>
        </w:rPr>
        <w:t xml:space="preserve"> Crucially, the final measured HCA content was</w:t>
      </w:r>
      <w:r w:rsidR="006322F8">
        <w:rPr>
          <w:rFonts w:ascii="Arial" w:hAnsi="Arial" w:cs="Arial"/>
        </w:rPr>
        <w:t xml:space="preserve"> </w:t>
      </w:r>
      <w:r w:rsidRPr="00917C83">
        <w:rPr>
          <w:rFonts w:ascii="Arial" w:hAnsi="Arial" w:cs="Arial"/>
        </w:rPr>
        <w:t>170</w:t>
      </w:r>
      <w:r w:rsidR="006322F8">
        <w:rPr>
          <w:rFonts w:ascii="Arial" w:hAnsi="Arial" w:cs="Arial"/>
        </w:rPr>
        <w:t xml:space="preserve">±0.24 </w:t>
      </w:r>
      <w:r w:rsidRPr="00917C83">
        <w:rPr>
          <w:rFonts w:ascii="Arial" w:hAnsi="Arial" w:cs="Arial"/>
        </w:rPr>
        <w:t>mg/100 mL</w:t>
      </w:r>
      <w:r w:rsidR="006322F8">
        <w:rPr>
          <w:rFonts w:ascii="Arial" w:hAnsi="Arial" w:cs="Arial"/>
        </w:rPr>
        <w:t xml:space="preserve">, </w:t>
      </w:r>
      <w:r w:rsidRPr="00917C83">
        <w:rPr>
          <w:rFonts w:ascii="Arial" w:hAnsi="Arial" w:cs="Arial"/>
        </w:rPr>
        <w:t>surpass</w:t>
      </w:r>
      <w:r w:rsidR="006322F8">
        <w:rPr>
          <w:rFonts w:ascii="Arial" w:hAnsi="Arial" w:cs="Arial"/>
        </w:rPr>
        <w:t>ed the</w:t>
      </w:r>
      <w:r w:rsidRPr="00917C83">
        <w:rPr>
          <w:rFonts w:ascii="Arial" w:hAnsi="Arial" w:cs="Arial"/>
        </w:rPr>
        <w:t xml:space="preserve"> </w:t>
      </w:r>
      <w:r w:rsidR="006322F8">
        <w:rPr>
          <w:rFonts w:ascii="Arial" w:hAnsi="Arial" w:cs="Arial"/>
        </w:rPr>
        <w:t>predicted</w:t>
      </w:r>
      <w:r w:rsidRPr="00917C83">
        <w:rPr>
          <w:rFonts w:ascii="Arial" w:hAnsi="Arial" w:cs="Arial"/>
        </w:rPr>
        <w:t xml:space="preserve"> concentration and providing a potent dose of the key anti-obesity compound (Lim et al., 2020). This high HCA</w:t>
      </w:r>
      <w:r w:rsidR="000E37A0">
        <w:rPr>
          <w:rFonts w:ascii="Arial" w:hAnsi="Arial" w:cs="Arial"/>
        </w:rPr>
        <w:t xml:space="preserve"> content</w:t>
      </w:r>
      <w:r w:rsidRPr="00917C83">
        <w:rPr>
          <w:rFonts w:ascii="Arial" w:hAnsi="Arial" w:cs="Arial"/>
        </w:rPr>
        <w:t xml:space="preserve"> is consistent with research showing that optimized pre-treatment methods, such as blanching, can effectively concentrate</w:t>
      </w:r>
      <w:r w:rsidR="000E37A0">
        <w:rPr>
          <w:rFonts w:ascii="Arial" w:hAnsi="Arial" w:cs="Arial"/>
        </w:rPr>
        <w:t xml:space="preserve"> </w:t>
      </w:r>
      <w:r w:rsidRPr="00917C83">
        <w:rPr>
          <w:rFonts w:ascii="Arial" w:hAnsi="Arial" w:cs="Arial"/>
        </w:rPr>
        <w:t xml:space="preserve">HCA in Garcinia </w:t>
      </w:r>
      <w:bookmarkStart w:id="19" w:name="_Hlk212548669"/>
      <w:r w:rsidRPr="00917C83">
        <w:rPr>
          <w:rFonts w:ascii="Arial" w:hAnsi="Arial" w:cs="Arial"/>
        </w:rPr>
        <w:t>fruit</w:t>
      </w:r>
      <w:bookmarkEnd w:id="19"/>
      <w:r w:rsidRPr="00917C83">
        <w:rPr>
          <w:rFonts w:ascii="Arial" w:hAnsi="Arial" w:cs="Arial"/>
        </w:rPr>
        <w:t xml:space="preserve"> extracts (Hussain</w:t>
      </w:r>
      <w:r w:rsidR="008F4929">
        <w:rPr>
          <w:rFonts w:ascii="Arial" w:hAnsi="Arial" w:cs="Arial"/>
        </w:rPr>
        <w:t>-</w:t>
      </w:r>
      <w:r w:rsidRPr="00917C83">
        <w:rPr>
          <w:rFonts w:ascii="Arial" w:hAnsi="Arial" w:cs="Arial"/>
        </w:rPr>
        <w:t>Zaki et al., 2024).</w:t>
      </w:r>
    </w:p>
    <w:p w14:paraId="1E99993F" w14:textId="6A41B978" w:rsidR="000E37A0" w:rsidRDefault="000E37A0" w:rsidP="00F750FD">
      <w:pPr>
        <w:pStyle w:val="Body"/>
        <w:spacing w:after="0"/>
        <w:ind w:left="993"/>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0E37A0">
        <w:rPr>
          <w:rFonts w:ascii="Arial" w:hAnsi="Arial" w:cs="Arial"/>
          <w:b/>
          <w:sz w:val="22"/>
        </w:rPr>
        <w:t xml:space="preserve">Proximate </w:t>
      </w:r>
      <w:r>
        <w:rPr>
          <w:rFonts w:ascii="Arial" w:hAnsi="Arial" w:cs="Arial"/>
          <w:b/>
          <w:sz w:val="22"/>
        </w:rPr>
        <w:t xml:space="preserve">and Nutritional </w:t>
      </w:r>
      <w:r w:rsidRPr="000E37A0">
        <w:rPr>
          <w:rFonts w:ascii="Arial" w:hAnsi="Arial" w:cs="Arial"/>
          <w:b/>
          <w:sz w:val="22"/>
        </w:rPr>
        <w:t xml:space="preserve">Composition </w:t>
      </w:r>
    </w:p>
    <w:p w14:paraId="25F842CF" w14:textId="451B4206" w:rsidR="000E37A0" w:rsidRDefault="000E37A0" w:rsidP="00F15A2A">
      <w:pPr>
        <w:pStyle w:val="Body"/>
        <w:ind w:left="993"/>
        <w:rPr>
          <w:rFonts w:ascii="Arial" w:hAnsi="Arial" w:cs="Arial"/>
        </w:rPr>
      </w:pPr>
      <w:r w:rsidRPr="000E37A0">
        <w:rPr>
          <w:rFonts w:ascii="Arial" w:hAnsi="Arial" w:cs="Arial"/>
        </w:rPr>
        <w:t xml:space="preserve">The optimized concentrate’s nutritional </w:t>
      </w:r>
      <w:r w:rsidR="005C4B3B">
        <w:rPr>
          <w:rFonts w:ascii="Arial" w:hAnsi="Arial" w:cs="Arial"/>
        </w:rPr>
        <w:t xml:space="preserve">composition </w:t>
      </w:r>
      <w:proofErr w:type="gramStart"/>
      <w:r w:rsidRPr="000E37A0">
        <w:rPr>
          <w:rFonts w:ascii="Arial" w:hAnsi="Arial" w:cs="Arial"/>
        </w:rPr>
        <w:t>are</w:t>
      </w:r>
      <w:proofErr w:type="gramEnd"/>
      <w:r w:rsidRPr="000E37A0">
        <w:rPr>
          <w:rFonts w:ascii="Arial" w:hAnsi="Arial" w:cs="Arial"/>
        </w:rPr>
        <w:t xml:space="preserve"> summarized in Table </w:t>
      </w:r>
      <w:r w:rsidR="005C4B3B">
        <w:rPr>
          <w:rFonts w:ascii="Arial" w:hAnsi="Arial" w:cs="Arial"/>
        </w:rPr>
        <w:t xml:space="preserve">3. </w:t>
      </w:r>
    </w:p>
    <w:p w14:paraId="0481B25C" w14:textId="718FAF84" w:rsidR="005C4B3B" w:rsidRDefault="005C4B3B" w:rsidP="00F750FD">
      <w:pPr>
        <w:tabs>
          <w:tab w:val="left" w:pos="1080"/>
        </w:tabs>
        <w:ind w:left="993"/>
        <w:jc w:val="both"/>
        <w:rPr>
          <w:rFonts w:ascii="Arial" w:hAnsi="Arial"/>
          <w:b/>
        </w:rPr>
      </w:pPr>
      <w:bookmarkStart w:id="20" w:name="_Hlk212561096"/>
      <w:r>
        <w:rPr>
          <w:rFonts w:ascii="Arial" w:hAnsi="Arial"/>
          <w:b/>
        </w:rPr>
        <w:t xml:space="preserve">Table 3. Nutritional composition of optimized </w:t>
      </w:r>
      <w:r w:rsidRPr="005C4B3B">
        <w:rPr>
          <w:rFonts w:ascii="Arial" w:hAnsi="Arial"/>
          <w:b/>
          <w:i/>
          <w:iCs/>
        </w:rPr>
        <w:t xml:space="preserve">Garcinia </w:t>
      </w:r>
      <w:proofErr w:type="spellStart"/>
      <w:r w:rsidRPr="005C4B3B">
        <w:rPr>
          <w:rFonts w:ascii="Arial" w:hAnsi="Arial"/>
          <w:b/>
          <w:i/>
          <w:iCs/>
        </w:rPr>
        <w:t>atroviridis</w:t>
      </w:r>
      <w:proofErr w:type="spellEnd"/>
      <w:r>
        <w:rPr>
          <w:rFonts w:ascii="Arial" w:hAnsi="Arial"/>
          <w:b/>
        </w:rPr>
        <w:t xml:space="preserve"> beverage concentrate </w:t>
      </w:r>
      <w:bookmarkEnd w:id="20"/>
    </w:p>
    <w:tbl>
      <w:tblPr>
        <w:tblW w:w="0" w:type="auto"/>
        <w:tblCellSpacing w:w="15" w:type="dxa"/>
        <w:tblInd w:w="1221" w:type="dxa"/>
        <w:tblCellMar>
          <w:left w:w="0" w:type="dxa"/>
          <w:right w:w="0" w:type="dxa"/>
        </w:tblCellMar>
        <w:tblLook w:val="04A0" w:firstRow="1" w:lastRow="0" w:firstColumn="1" w:lastColumn="0" w:noHBand="0" w:noVBand="1"/>
      </w:tblPr>
      <w:tblGrid>
        <w:gridCol w:w="2606"/>
        <w:gridCol w:w="2184"/>
      </w:tblGrid>
      <w:tr w:rsidR="005C4B3B" w:rsidRPr="005C4B3B" w14:paraId="15972F17" w14:textId="77777777" w:rsidTr="00F750FD">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C032B0C" w14:textId="77777777" w:rsidR="005C4B3B" w:rsidRPr="005C4B3B" w:rsidRDefault="005C4B3B" w:rsidP="005B0820">
            <w:pPr>
              <w:rPr>
                <w:rFonts w:ascii="Arial" w:hAnsi="Arial" w:cs="Arial"/>
                <w:color w:val="1B1C1D"/>
                <w:lang w:eastAsia="en-MY"/>
              </w:rPr>
            </w:pPr>
            <w:r w:rsidRPr="005C4B3B">
              <w:rPr>
                <w:rFonts w:ascii="Arial" w:hAnsi="Arial" w:cs="Arial"/>
                <w:b/>
                <w:bCs/>
                <w:color w:val="1B1C1D"/>
                <w:bdr w:val="none" w:sz="0" w:space="0" w:color="auto" w:frame="1"/>
                <w:lang w:eastAsia="en-MY"/>
              </w:rPr>
              <w:t>Nutrient</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09740A2" w14:textId="77777777" w:rsidR="005C4B3B" w:rsidRPr="005C4B3B" w:rsidRDefault="005C4B3B" w:rsidP="005B0820">
            <w:pPr>
              <w:rPr>
                <w:rFonts w:ascii="Arial" w:hAnsi="Arial" w:cs="Arial"/>
                <w:color w:val="1B1C1D"/>
                <w:lang w:eastAsia="en-MY"/>
              </w:rPr>
            </w:pPr>
            <w:r w:rsidRPr="005C4B3B">
              <w:rPr>
                <w:rFonts w:ascii="Arial" w:hAnsi="Arial" w:cs="Arial"/>
                <w:b/>
                <w:bCs/>
                <w:color w:val="1B1C1D"/>
                <w:bdr w:val="none" w:sz="0" w:space="0" w:color="auto" w:frame="1"/>
                <w:lang w:eastAsia="en-MY"/>
              </w:rPr>
              <w:t>Value (per 100 mL)</w:t>
            </w:r>
          </w:p>
        </w:tc>
      </w:tr>
      <w:tr w:rsidR="005C4B3B" w:rsidRPr="005C4B3B" w14:paraId="7C3800D3" w14:textId="77777777" w:rsidTr="00F750FD">
        <w:trPr>
          <w:trHeight w:val="210"/>
          <w:tblCellSpacing w:w="15" w:type="dxa"/>
        </w:trPr>
        <w:tc>
          <w:tcPr>
            <w:tcW w:w="0" w:type="auto"/>
            <w:tcMar>
              <w:top w:w="120" w:type="dxa"/>
              <w:left w:w="180" w:type="dxa"/>
              <w:bottom w:w="120" w:type="dxa"/>
              <w:right w:w="180" w:type="dxa"/>
            </w:tcMar>
            <w:vAlign w:val="center"/>
            <w:hideMark/>
          </w:tcPr>
          <w:p w14:paraId="63F64D96"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Moisture</w:t>
            </w:r>
          </w:p>
        </w:tc>
        <w:tc>
          <w:tcPr>
            <w:tcW w:w="0" w:type="auto"/>
            <w:tcMar>
              <w:top w:w="120" w:type="dxa"/>
              <w:left w:w="180" w:type="dxa"/>
              <w:bottom w:w="120" w:type="dxa"/>
              <w:right w:w="180" w:type="dxa"/>
            </w:tcMar>
            <w:vAlign w:val="center"/>
            <w:hideMark/>
          </w:tcPr>
          <w:p w14:paraId="7B0B5139"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88.6 g</w:t>
            </w:r>
          </w:p>
        </w:tc>
      </w:tr>
      <w:tr w:rsidR="005C4B3B" w:rsidRPr="005C4B3B" w14:paraId="230716EF" w14:textId="77777777" w:rsidTr="00F750FD">
        <w:trPr>
          <w:trHeight w:val="146"/>
          <w:tblCellSpacing w:w="15" w:type="dxa"/>
        </w:trPr>
        <w:tc>
          <w:tcPr>
            <w:tcW w:w="0" w:type="auto"/>
            <w:tcMar>
              <w:top w:w="120" w:type="dxa"/>
              <w:left w:w="180" w:type="dxa"/>
              <w:bottom w:w="120" w:type="dxa"/>
              <w:right w:w="180" w:type="dxa"/>
            </w:tcMar>
            <w:vAlign w:val="center"/>
            <w:hideMark/>
          </w:tcPr>
          <w:p w14:paraId="0B848814"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Protein</w:t>
            </w:r>
          </w:p>
        </w:tc>
        <w:tc>
          <w:tcPr>
            <w:tcW w:w="0" w:type="auto"/>
            <w:tcMar>
              <w:top w:w="120" w:type="dxa"/>
              <w:left w:w="180" w:type="dxa"/>
              <w:bottom w:w="120" w:type="dxa"/>
              <w:right w:w="180" w:type="dxa"/>
            </w:tcMar>
            <w:vAlign w:val="center"/>
            <w:hideMark/>
          </w:tcPr>
          <w:p w14:paraId="7665309E"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0.1 g</w:t>
            </w:r>
          </w:p>
        </w:tc>
      </w:tr>
      <w:tr w:rsidR="005C4B3B" w:rsidRPr="005C4B3B" w14:paraId="69641157" w14:textId="77777777" w:rsidTr="00F750FD">
        <w:trPr>
          <w:trHeight w:val="196"/>
          <w:tblCellSpacing w:w="15" w:type="dxa"/>
        </w:trPr>
        <w:tc>
          <w:tcPr>
            <w:tcW w:w="0" w:type="auto"/>
            <w:tcMar>
              <w:top w:w="120" w:type="dxa"/>
              <w:left w:w="180" w:type="dxa"/>
              <w:bottom w:w="120" w:type="dxa"/>
              <w:right w:w="180" w:type="dxa"/>
            </w:tcMar>
            <w:vAlign w:val="center"/>
            <w:hideMark/>
          </w:tcPr>
          <w:p w14:paraId="62079A46"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Fat</w:t>
            </w:r>
          </w:p>
        </w:tc>
        <w:tc>
          <w:tcPr>
            <w:tcW w:w="0" w:type="auto"/>
            <w:tcMar>
              <w:top w:w="120" w:type="dxa"/>
              <w:left w:w="180" w:type="dxa"/>
              <w:bottom w:w="120" w:type="dxa"/>
              <w:right w:w="180" w:type="dxa"/>
            </w:tcMar>
            <w:vAlign w:val="center"/>
            <w:hideMark/>
          </w:tcPr>
          <w:p w14:paraId="58B66C42" w14:textId="4FB81306"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&lt;0.1 g</w:t>
            </w:r>
          </w:p>
        </w:tc>
      </w:tr>
      <w:tr w:rsidR="005C4B3B" w:rsidRPr="005C4B3B" w14:paraId="3F29C45A" w14:textId="77777777" w:rsidTr="00F750FD">
        <w:trPr>
          <w:trHeight w:val="131"/>
          <w:tblCellSpacing w:w="15" w:type="dxa"/>
        </w:trPr>
        <w:tc>
          <w:tcPr>
            <w:tcW w:w="0" w:type="auto"/>
            <w:tcMar>
              <w:top w:w="120" w:type="dxa"/>
              <w:left w:w="180" w:type="dxa"/>
              <w:bottom w:w="120" w:type="dxa"/>
              <w:right w:w="180" w:type="dxa"/>
            </w:tcMar>
            <w:vAlign w:val="center"/>
            <w:hideMark/>
          </w:tcPr>
          <w:p w14:paraId="3EFA2FFD"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Ash (minerals)</w:t>
            </w:r>
          </w:p>
        </w:tc>
        <w:tc>
          <w:tcPr>
            <w:tcW w:w="0" w:type="auto"/>
            <w:tcMar>
              <w:top w:w="120" w:type="dxa"/>
              <w:left w:w="180" w:type="dxa"/>
              <w:bottom w:w="120" w:type="dxa"/>
              <w:right w:w="180" w:type="dxa"/>
            </w:tcMar>
            <w:vAlign w:val="center"/>
            <w:hideMark/>
          </w:tcPr>
          <w:p w14:paraId="1F0FE0A4"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0.6 g</w:t>
            </w:r>
          </w:p>
        </w:tc>
      </w:tr>
      <w:tr w:rsidR="005C4B3B" w:rsidRPr="005C4B3B" w14:paraId="7E98EE27" w14:textId="77777777" w:rsidTr="00F750FD">
        <w:trPr>
          <w:trHeight w:val="54"/>
          <w:tblCellSpacing w:w="15" w:type="dxa"/>
        </w:trPr>
        <w:tc>
          <w:tcPr>
            <w:tcW w:w="0" w:type="auto"/>
            <w:tcMar>
              <w:top w:w="120" w:type="dxa"/>
              <w:left w:w="180" w:type="dxa"/>
              <w:bottom w:w="120" w:type="dxa"/>
              <w:right w:w="180" w:type="dxa"/>
            </w:tcMar>
            <w:vAlign w:val="center"/>
            <w:hideMark/>
          </w:tcPr>
          <w:p w14:paraId="405E8331"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Total Carbohydrates</w:t>
            </w:r>
          </w:p>
        </w:tc>
        <w:tc>
          <w:tcPr>
            <w:tcW w:w="0" w:type="auto"/>
            <w:tcMar>
              <w:top w:w="120" w:type="dxa"/>
              <w:left w:w="180" w:type="dxa"/>
              <w:bottom w:w="120" w:type="dxa"/>
              <w:right w:w="180" w:type="dxa"/>
            </w:tcMar>
            <w:vAlign w:val="center"/>
            <w:hideMark/>
          </w:tcPr>
          <w:p w14:paraId="04DBC81F"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11.0 g</w:t>
            </w:r>
          </w:p>
        </w:tc>
      </w:tr>
      <w:tr w:rsidR="005C4B3B" w:rsidRPr="005C4B3B" w14:paraId="1D9CF4C0" w14:textId="77777777" w:rsidTr="00F750FD">
        <w:trPr>
          <w:trHeight w:val="18"/>
          <w:tblCellSpacing w:w="15" w:type="dxa"/>
        </w:trPr>
        <w:tc>
          <w:tcPr>
            <w:tcW w:w="0" w:type="auto"/>
            <w:tcMar>
              <w:top w:w="120" w:type="dxa"/>
              <w:left w:w="180" w:type="dxa"/>
              <w:bottom w:w="120" w:type="dxa"/>
              <w:right w:w="180" w:type="dxa"/>
            </w:tcMar>
            <w:vAlign w:val="center"/>
            <w:hideMark/>
          </w:tcPr>
          <w:p w14:paraId="4BF54468" w14:textId="17CA17C5"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Total sugars</w:t>
            </w:r>
          </w:p>
        </w:tc>
        <w:tc>
          <w:tcPr>
            <w:tcW w:w="0" w:type="auto"/>
            <w:tcMar>
              <w:top w:w="120" w:type="dxa"/>
              <w:left w:w="180" w:type="dxa"/>
              <w:bottom w:w="120" w:type="dxa"/>
              <w:right w:w="180" w:type="dxa"/>
            </w:tcMar>
            <w:vAlign w:val="center"/>
            <w:hideMark/>
          </w:tcPr>
          <w:p w14:paraId="1B4E1589"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13.1 g</w:t>
            </w:r>
          </w:p>
        </w:tc>
      </w:tr>
      <w:tr w:rsidR="005C4B3B" w:rsidRPr="005C4B3B" w14:paraId="28B63323" w14:textId="77777777" w:rsidTr="00F750FD">
        <w:trPr>
          <w:trHeight w:val="18"/>
          <w:tblCellSpacing w:w="15" w:type="dxa"/>
        </w:trPr>
        <w:tc>
          <w:tcPr>
            <w:tcW w:w="0" w:type="auto"/>
            <w:tcMar>
              <w:top w:w="120" w:type="dxa"/>
              <w:left w:w="180" w:type="dxa"/>
              <w:bottom w:w="120" w:type="dxa"/>
              <w:right w:w="180" w:type="dxa"/>
            </w:tcMar>
            <w:vAlign w:val="center"/>
            <w:hideMark/>
          </w:tcPr>
          <w:p w14:paraId="29662445"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Sodium (Na)</w:t>
            </w:r>
          </w:p>
        </w:tc>
        <w:tc>
          <w:tcPr>
            <w:tcW w:w="0" w:type="auto"/>
            <w:tcMar>
              <w:top w:w="120" w:type="dxa"/>
              <w:left w:w="180" w:type="dxa"/>
              <w:bottom w:w="120" w:type="dxa"/>
              <w:right w:w="180" w:type="dxa"/>
            </w:tcMar>
            <w:vAlign w:val="center"/>
            <w:hideMark/>
          </w:tcPr>
          <w:p w14:paraId="4E8A3F96"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8.1 mg</w:t>
            </w:r>
          </w:p>
        </w:tc>
      </w:tr>
      <w:tr w:rsidR="005C4B3B" w:rsidRPr="005C4B3B" w14:paraId="5B542CFB" w14:textId="77777777" w:rsidTr="00F750FD">
        <w:trPr>
          <w:trHeight w:val="18"/>
          <w:tblCellSpacing w:w="15" w:type="dxa"/>
        </w:trPr>
        <w:tc>
          <w:tcPr>
            <w:tcW w:w="0" w:type="auto"/>
            <w:tcMar>
              <w:top w:w="120" w:type="dxa"/>
              <w:left w:w="180" w:type="dxa"/>
              <w:bottom w:w="120" w:type="dxa"/>
              <w:right w:w="180" w:type="dxa"/>
            </w:tcMar>
            <w:vAlign w:val="center"/>
            <w:hideMark/>
          </w:tcPr>
          <w:p w14:paraId="70D490CA"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Energy</w:t>
            </w:r>
          </w:p>
        </w:tc>
        <w:tc>
          <w:tcPr>
            <w:tcW w:w="0" w:type="auto"/>
            <w:tcMar>
              <w:top w:w="120" w:type="dxa"/>
              <w:left w:w="180" w:type="dxa"/>
              <w:bottom w:w="120" w:type="dxa"/>
              <w:right w:w="180" w:type="dxa"/>
            </w:tcMar>
            <w:vAlign w:val="center"/>
            <w:hideMark/>
          </w:tcPr>
          <w:p w14:paraId="25C395BD"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44 kcal</w:t>
            </w:r>
          </w:p>
        </w:tc>
      </w:tr>
      <w:tr w:rsidR="005C4B3B" w:rsidRPr="005C4B3B" w14:paraId="447EC719" w14:textId="77777777" w:rsidTr="00F750FD">
        <w:trPr>
          <w:trHeight w:val="18"/>
          <w:tblCellSpacing w:w="15" w:type="dxa"/>
        </w:trPr>
        <w:tc>
          <w:tcPr>
            <w:tcW w:w="0" w:type="auto"/>
            <w:tcBorders>
              <w:bottom w:val="single" w:sz="4" w:space="0" w:color="auto"/>
            </w:tcBorders>
            <w:tcMar>
              <w:top w:w="120" w:type="dxa"/>
              <w:left w:w="180" w:type="dxa"/>
              <w:bottom w:w="120" w:type="dxa"/>
              <w:right w:w="180" w:type="dxa"/>
            </w:tcMar>
            <w:vAlign w:val="center"/>
            <w:hideMark/>
          </w:tcPr>
          <w:p w14:paraId="474E714D"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Hydroxycitric Acid (HCA)</w:t>
            </w:r>
          </w:p>
        </w:tc>
        <w:tc>
          <w:tcPr>
            <w:tcW w:w="0" w:type="auto"/>
            <w:tcBorders>
              <w:bottom w:val="single" w:sz="4" w:space="0" w:color="auto"/>
            </w:tcBorders>
            <w:tcMar>
              <w:top w:w="120" w:type="dxa"/>
              <w:left w:w="180" w:type="dxa"/>
              <w:bottom w:w="120" w:type="dxa"/>
              <w:right w:w="180" w:type="dxa"/>
            </w:tcMar>
            <w:vAlign w:val="center"/>
            <w:hideMark/>
          </w:tcPr>
          <w:p w14:paraId="275D61D4" w14:textId="39B0CF84"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bdr w:val="none" w:sz="0" w:space="0" w:color="auto" w:frame="1"/>
                <w:lang w:eastAsia="en-MY"/>
              </w:rPr>
              <w:t>170</w:t>
            </w:r>
            <w:r w:rsidRPr="005C4B3B">
              <w:rPr>
                <w:rFonts w:ascii="Arial" w:hAnsi="Arial" w:cs="Arial"/>
                <w:color w:val="1B1C1D"/>
                <w:lang w:eastAsia="en-MY"/>
              </w:rPr>
              <w:t xml:space="preserve"> mg</w:t>
            </w:r>
          </w:p>
        </w:tc>
      </w:tr>
    </w:tbl>
    <w:p w14:paraId="5603B58F" w14:textId="77742A9F" w:rsidR="005C4B3B" w:rsidRDefault="005C4B3B">
      <w:pPr>
        <w:pStyle w:val="Body"/>
        <w:spacing w:after="0"/>
        <w:rPr>
          <w:rFonts w:ascii="Arial" w:hAnsi="Arial" w:cs="Arial"/>
          <w:b/>
          <w:sz w:val="22"/>
        </w:rPr>
      </w:pPr>
    </w:p>
    <w:p w14:paraId="47A5DFEC" w14:textId="71B4CBF3" w:rsidR="004B22E1" w:rsidRPr="00B625ED" w:rsidRDefault="004B22E1" w:rsidP="00F750FD">
      <w:pPr>
        <w:pStyle w:val="BodyText"/>
        <w:ind w:left="1134" w:right="839"/>
        <w:jc w:val="both"/>
      </w:pPr>
      <w:r>
        <w:t xml:space="preserve">The product is principally made of the fruit and leaf extracts (together nearly </w:t>
      </w:r>
      <w:r w:rsidR="00EC4761">
        <w:t>82</w:t>
      </w:r>
      <w:r>
        <w:t>% of the formula) with FOS as the only significant caloric sweetener (10%). The remaining ~</w:t>
      </w:r>
      <w:r w:rsidR="00EC4761">
        <w:t>10</w:t>
      </w:r>
      <w:r>
        <w:t>% is</w:t>
      </w:r>
      <w:r w:rsidR="00EC4761">
        <w:t xml:space="preserve"> the added</w:t>
      </w:r>
      <w:r>
        <w:t xml:space="preserve"> water plus a small amount of gum. According to proximate analysis, the </w:t>
      </w:r>
      <w:r w:rsidR="00EC4761">
        <w:t xml:space="preserve">moisture of the </w:t>
      </w:r>
      <w:r>
        <w:t xml:space="preserve">concentrate was 88.6%, reflecting it is a concentrated </w:t>
      </w:r>
      <w:r w:rsidRPr="00B625ED">
        <w:t>syrup-like liquid but not as high in solids as typical cordials (which are &gt;50% sugar syrup). The total carbohydrate content is 11.0 g/100 mL, of which measured total sugars (glucose, fructose, sucrose) are 13.1 g/100</w:t>
      </w:r>
      <w:r w:rsidR="00551489">
        <w:t xml:space="preserve"> </w:t>
      </w:r>
      <w:proofErr w:type="spellStart"/>
      <w:r w:rsidRPr="00B625ED">
        <w:t>mL.</w:t>
      </w:r>
      <w:proofErr w:type="spellEnd"/>
      <w:r w:rsidR="00E15B7B">
        <w:t xml:space="preserve"> </w:t>
      </w:r>
      <w:r w:rsidRPr="00B625ED">
        <w:t>The slight discrepancy – sugars exceeding total carbs – is likely due to analytical limitations; FOS may not be fully captured in “total sugars” but contributes to refractometric solids, and the difference method for carbs could under-estimate due to organic acid mass</w:t>
      </w:r>
      <w:r w:rsidR="00E15B7B">
        <w:t xml:space="preserve"> (</w:t>
      </w:r>
      <w:r w:rsidR="00B62084">
        <w:t xml:space="preserve">McLoughlin </w:t>
      </w:r>
      <w:r w:rsidR="00E15B7B">
        <w:t>et al., 202</w:t>
      </w:r>
      <w:r w:rsidR="00B62084">
        <w:t>3</w:t>
      </w:r>
      <w:r w:rsidR="00E15B7B">
        <w:t>)</w:t>
      </w:r>
      <w:r w:rsidRPr="00B625ED">
        <w:t>. Regardless, the product is low in sugars compared to regular fruit syrups, which often exceed 50 g/100 mL; our use of FOS replaces much of that sugar</w:t>
      </w:r>
      <w:r w:rsidR="00FD69B1">
        <w:t xml:space="preserve"> (Malik et al., 2022; </w:t>
      </w:r>
      <w:proofErr w:type="spellStart"/>
      <w:r w:rsidR="00FD69B1">
        <w:t>Kaewsalud</w:t>
      </w:r>
      <w:proofErr w:type="spellEnd"/>
      <w:r w:rsidR="00FD69B1">
        <w:t xml:space="preserve"> et al., 2025).</w:t>
      </w:r>
      <w:r w:rsidRPr="00B625ED">
        <w:t xml:space="preserve"> Protein is negligible at 0.1 g/100 mL, and fat is not detectable (&lt;0.1 g), as expected for fruit-based beverages</w:t>
      </w:r>
      <w:r w:rsidR="009C5F66">
        <w:t xml:space="preserve"> (</w:t>
      </w:r>
      <w:proofErr w:type="spellStart"/>
      <w:r w:rsidR="009C5F66">
        <w:t>Tiencheu</w:t>
      </w:r>
      <w:proofErr w:type="spellEnd"/>
      <w:r w:rsidR="009C5F66">
        <w:t xml:space="preserve"> et al., 2021; Mehboob et al., 2023)</w:t>
      </w:r>
      <w:r w:rsidRPr="00B625ED">
        <w:t xml:space="preserve">. Ash content of 0.6% indicates some mineral contribution from the fruit and leaves (e.g., calcium, potassium); sodium is only 8.1 mg/100 mL, indicating no significant salt </w:t>
      </w:r>
      <w:r w:rsidRPr="00B625ED">
        <w:lastRenderedPageBreak/>
        <w:t>addition. The energy content is 44 kcal per 100 mL, which is modest – for a realistic serving (say 30 mL concentrate diluted in water) it would be only ~13 kcal, making it very diet-friendly</w:t>
      </w:r>
      <w:r w:rsidR="00E15B7B">
        <w:t>.</w:t>
      </w:r>
      <w:r w:rsidR="00E15B7B" w:rsidRPr="00E15B7B">
        <w:t xml:space="preserve"> The measured HCA concentration of</w:t>
      </w:r>
      <w:r w:rsidR="00E15B7B">
        <w:t xml:space="preserve"> </w:t>
      </w:r>
      <w:r w:rsidR="00E15B7B" w:rsidRPr="00E15B7B">
        <w:t>approx</w:t>
      </w:r>
      <w:r w:rsidR="00E15B7B">
        <w:t>imately</w:t>
      </w:r>
      <w:r w:rsidR="00E15B7B" w:rsidRPr="00E15B7B">
        <w:t xml:space="preserve"> 170 mg/100 mL</w:t>
      </w:r>
      <w:r w:rsidR="00E15B7B">
        <w:t xml:space="preserve"> </w:t>
      </w:r>
      <w:r w:rsidR="00E15B7B" w:rsidRPr="00E15B7B">
        <w:t>provides a substantial, functional dosage. This HCA concentration, delivered in a food matrix, positions the product as a viable alternative to Garcinia supplements for individuals seeking support for lipid metabolism and weight management (</w:t>
      </w:r>
      <w:r w:rsidR="00E15B7B">
        <w:t>Andueza, 2021</w:t>
      </w:r>
      <w:r w:rsidR="00E15B7B" w:rsidRPr="00E15B7B">
        <w:t>).</w:t>
      </w:r>
      <w:r w:rsidR="00E15B7B">
        <w:t xml:space="preserve"> </w:t>
      </w:r>
      <w:r w:rsidR="000D6E4B" w:rsidRPr="000D6E4B">
        <w:t>Furthermore, the combination of HCA</w:t>
      </w:r>
      <w:r w:rsidR="000D6E4B">
        <w:t xml:space="preserve"> </w:t>
      </w:r>
      <w:r w:rsidR="000D6E4B" w:rsidRPr="000D6E4B">
        <w:t>(for fat metabolism), the inferred high polyphenol</w:t>
      </w:r>
      <w:r w:rsidR="000D6E4B">
        <w:t xml:space="preserve"> </w:t>
      </w:r>
      <w:r w:rsidR="000D6E4B" w:rsidRPr="000D6E4B">
        <w:t>content from the leaf extract (</w:t>
      </w:r>
      <w:r w:rsidR="000D6E4B" w:rsidRPr="00BC3486">
        <w:t>for antioxidant support)</w:t>
      </w:r>
      <w:r w:rsidR="000D6E4B" w:rsidRPr="000D6E4B">
        <w:t xml:space="preserve">, and the FOS (for gut health) results in a beverage that offers a comprehensive spectrum of functional benefits. The inclusion of the Garcinia leaf extract is particularly beneficial, as leaves are rich in phenolics and </w:t>
      </w:r>
      <w:r w:rsidR="005C4137">
        <w:t xml:space="preserve">flavonoids </w:t>
      </w:r>
      <w:r w:rsidR="005C4137" w:rsidRPr="000D6E4B">
        <w:t>(</w:t>
      </w:r>
      <w:proofErr w:type="spellStart"/>
      <w:r w:rsidR="005C4137" w:rsidRPr="005C4137">
        <w:t>Chuaijit</w:t>
      </w:r>
      <w:proofErr w:type="spellEnd"/>
      <w:r w:rsidR="005C4137" w:rsidRPr="005C4137">
        <w:t xml:space="preserve"> et al., 2024</w:t>
      </w:r>
      <w:r w:rsidR="005C4137" w:rsidRPr="000D6E4B">
        <w:t>)</w:t>
      </w:r>
      <w:r w:rsidR="005C4137">
        <w:t xml:space="preserve">, </w:t>
      </w:r>
      <w:r w:rsidR="000D6E4B" w:rsidRPr="000D6E4B">
        <w:t xml:space="preserve">contributing to antioxidant activity which, while moderate compared to other species, is nutritionally relevant </w:t>
      </w:r>
    </w:p>
    <w:p w14:paraId="7C413FC3" w14:textId="38331DE7" w:rsidR="00BC3486" w:rsidRDefault="00BC3486" w:rsidP="00F750FD">
      <w:pPr>
        <w:pStyle w:val="Body"/>
        <w:spacing w:after="0"/>
        <w:ind w:left="1134"/>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C3486">
        <w:rPr>
          <w:rFonts w:ascii="Arial" w:hAnsi="Arial" w:cs="Arial"/>
          <w:b/>
          <w:sz w:val="22"/>
        </w:rPr>
        <w:t>Shelf-Life Stability Analysis Under Accelerated Conditions</w:t>
      </w:r>
      <w:r w:rsidRPr="000E37A0">
        <w:rPr>
          <w:rFonts w:ascii="Arial" w:hAnsi="Arial" w:cs="Arial"/>
          <w:b/>
          <w:sz w:val="22"/>
        </w:rPr>
        <w:t xml:space="preserve"> </w:t>
      </w:r>
    </w:p>
    <w:p w14:paraId="5C35801C" w14:textId="06B21623" w:rsidR="000E37A0" w:rsidRDefault="00BC3486" w:rsidP="00F750FD">
      <w:pPr>
        <w:pStyle w:val="Body"/>
        <w:spacing w:after="0"/>
        <w:ind w:left="1134" w:right="839"/>
        <w:rPr>
          <w:rFonts w:ascii="Arial" w:hAnsi="Arial" w:cs="Arial"/>
          <w:b/>
          <w:sz w:val="22"/>
        </w:rPr>
      </w:pPr>
      <w:r w:rsidRPr="00BC3486">
        <w:t xml:space="preserve">The stability study rigorously assessed the product's performance over 4 </w:t>
      </w:r>
      <w:r>
        <w:t>weeks</w:t>
      </w:r>
      <w:r w:rsidRPr="00BC3486">
        <w:t xml:space="preserve"> under accelerated conditions (40</w:t>
      </w:r>
      <w:r>
        <w:t xml:space="preserve"> </w:t>
      </w:r>
      <w:r>
        <w:rPr>
          <w:rFonts w:cs="Helvetica"/>
        </w:rPr>
        <w:t>°</w:t>
      </w:r>
      <w:r w:rsidRPr="00BC3486">
        <w:t>C</w:t>
      </w:r>
      <w:r>
        <w:t xml:space="preserve">, </w:t>
      </w:r>
      <w:r w:rsidRPr="00BC3486">
        <w:t>75%</w:t>
      </w:r>
      <w:r>
        <w:t xml:space="preserve"> </w:t>
      </w:r>
      <w:r w:rsidRPr="00BC3486">
        <w:t>RH</w:t>
      </w:r>
      <w:r>
        <w:t xml:space="preserve">); which equal to 2 years of storage at ambient </w:t>
      </w:r>
      <w:bookmarkStart w:id="21" w:name="_Hlk212561039"/>
      <w:r>
        <w:t>temperature.</w:t>
      </w:r>
    </w:p>
    <w:p w14:paraId="2CA4FF5D" w14:textId="064F89AC" w:rsidR="00BC3486" w:rsidRDefault="00BC3486" w:rsidP="00F750FD">
      <w:pPr>
        <w:pStyle w:val="Body"/>
        <w:spacing w:after="0"/>
        <w:ind w:left="1134"/>
        <w:rPr>
          <w:rFonts w:ascii="Arial" w:hAnsi="Arial" w:cs="Arial"/>
          <w:b/>
          <w:u w:val="single"/>
        </w:rPr>
      </w:pPr>
      <w:bookmarkStart w:id="22" w:name="_Hlk212564663"/>
      <w:bookmarkEnd w:id="21"/>
      <w:r>
        <w:rPr>
          <w:rFonts w:ascii="Arial" w:hAnsi="Arial" w:cs="Arial"/>
          <w:b/>
          <w:u w:val="single"/>
        </w:rPr>
        <w:t>3.3</w:t>
      </w:r>
      <w:r w:rsidRPr="00CD21E7">
        <w:rPr>
          <w:rFonts w:ascii="Arial" w:hAnsi="Arial" w:cs="Arial"/>
          <w:b/>
          <w:u w:val="single"/>
        </w:rPr>
        <w:t>.</w:t>
      </w:r>
      <w:r>
        <w:rPr>
          <w:rFonts w:ascii="Arial" w:hAnsi="Arial" w:cs="Arial"/>
          <w:b/>
          <w:u w:val="single"/>
        </w:rPr>
        <w:t>1</w:t>
      </w:r>
      <w:r w:rsidRPr="00CD21E7">
        <w:rPr>
          <w:rFonts w:ascii="Arial" w:hAnsi="Arial" w:cs="Arial"/>
          <w:b/>
          <w:u w:val="single"/>
        </w:rPr>
        <w:t xml:space="preserve"> </w:t>
      </w:r>
      <w:r w:rsidR="005C4137" w:rsidRPr="005C4137">
        <w:rPr>
          <w:rFonts w:ascii="Arial" w:hAnsi="Arial" w:cs="Arial"/>
          <w:b/>
          <w:u w:val="single"/>
        </w:rPr>
        <w:t xml:space="preserve">Physicochemical </w:t>
      </w:r>
      <w:r w:rsidR="005C4137">
        <w:rPr>
          <w:rFonts w:ascii="Arial" w:hAnsi="Arial" w:cs="Arial"/>
          <w:b/>
          <w:u w:val="single"/>
        </w:rPr>
        <w:t>S</w:t>
      </w:r>
      <w:r w:rsidR="005C4137" w:rsidRPr="005C4137">
        <w:rPr>
          <w:rFonts w:ascii="Arial" w:hAnsi="Arial" w:cs="Arial"/>
          <w:b/>
          <w:u w:val="single"/>
        </w:rPr>
        <w:t xml:space="preserve">tability (pH, </w:t>
      </w:r>
      <w:r w:rsidR="005C4137">
        <w:rPr>
          <w:rFonts w:ascii="Arial" w:hAnsi="Arial" w:cs="Arial"/>
          <w:b/>
          <w:u w:val="single"/>
        </w:rPr>
        <w:t>Total soluble solids</w:t>
      </w:r>
      <w:r w:rsidR="005C4137" w:rsidRPr="005C4137">
        <w:rPr>
          <w:rFonts w:ascii="Arial" w:hAnsi="Arial" w:cs="Arial"/>
          <w:b/>
          <w:u w:val="single"/>
        </w:rPr>
        <w:t>, Viscosity, Color)</w:t>
      </w:r>
    </w:p>
    <w:bookmarkEnd w:id="22"/>
    <w:p w14:paraId="57BADF0E" w14:textId="2A2B24B3" w:rsidR="005C4137" w:rsidRDefault="005C4137" w:rsidP="00F15A2A">
      <w:pPr>
        <w:pStyle w:val="Body"/>
        <w:spacing w:after="120"/>
        <w:ind w:left="1134" w:right="839"/>
      </w:pPr>
      <w:r w:rsidRPr="005C4137">
        <w:t>Physicochemical parameters exhibited strong stability, indicating minimal chemical degradation over time (</w:t>
      </w:r>
      <w:r w:rsidRPr="005C4137">
        <w:rPr>
          <w:b/>
          <w:bCs/>
        </w:rPr>
        <w:t>Table 4</w:t>
      </w:r>
      <w:r w:rsidRPr="005C4137">
        <w:t>).</w:t>
      </w:r>
    </w:p>
    <w:p w14:paraId="47287768" w14:textId="4DBA326A" w:rsidR="005C4137" w:rsidRDefault="005C4137" w:rsidP="00F750FD">
      <w:pPr>
        <w:pStyle w:val="Body"/>
        <w:spacing w:after="0"/>
        <w:ind w:left="1134" w:right="839"/>
        <w:rPr>
          <w:rFonts w:ascii="Arial" w:hAnsi="Arial" w:cs="Arial"/>
          <w:b/>
          <w:sz w:val="22"/>
        </w:rPr>
      </w:pPr>
      <w:bookmarkStart w:id="23" w:name="_Hlk212564797"/>
      <w:r>
        <w:rPr>
          <w:rFonts w:ascii="Arial" w:hAnsi="Arial"/>
          <w:b/>
        </w:rPr>
        <w:t xml:space="preserve">Table 4. </w:t>
      </w:r>
      <w:r w:rsidRPr="005C4137">
        <w:rPr>
          <w:rFonts w:ascii="Arial" w:hAnsi="Arial"/>
          <w:b/>
        </w:rPr>
        <w:t xml:space="preserve">Physicochemical </w:t>
      </w:r>
      <w:r>
        <w:rPr>
          <w:rFonts w:ascii="Arial" w:hAnsi="Arial"/>
          <w:b/>
        </w:rPr>
        <w:t>p</w:t>
      </w:r>
      <w:r w:rsidRPr="005C4137">
        <w:rPr>
          <w:rFonts w:ascii="Arial" w:hAnsi="Arial"/>
          <w:b/>
        </w:rPr>
        <w:t xml:space="preserve">roperties of the </w:t>
      </w:r>
      <w:r w:rsidRPr="005C4137">
        <w:rPr>
          <w:rFonts w:ascii="Arial" w:hAnsi="Arial"/>
          <w:b/>
          <w:i/>
          <w:iCs/>
        </w:rPr>
        <w:t xml:space="preserve">Garcinia </w:t>
      </w:r>
      <w:proofErr w:type="spellStart"/>
      <w:r w:rsidRPr="005C4137">
        <w:rPr>
          <w:rFonts w:ascii="Arial" w:hAnsi="Arial"/>
          <w:b/>
          <w:i/>
          <w:iCs/>
        </w:rPr>
        <w:t>atroviridis</w:t>
      </w:r>
      <w:proofErr w:type="spellEnd"/>
      <w:r w:rsidRPr="005C4137">
        <w:rPr>
          <w:rFonts w:ascii="Arial" w:hAnsi="Arial"/>
          <w:b/>
        </w:rPr>
        <w:t xml:space="preserve"> </w:t>
      </w:r>
      <w:r>
        <w:rPr>
          <w:rFonts w:ascii="Arial" w:hAnsi="Arial"/>
          <w:b/>
        </w:rPr>
        <w:t>c</w:t>
      </w:r>
      <w:r w:rsidRPr="005C4137">
        <w:rPr>
          <w:rFonts w:ascii="Arial" w:hAnsi="Arial"/>
          <w:b/>
        </w:rPr>
        <w:t xml:space="preserve">oncentrate during </w:t>
      </w:r>
      <w:r>
        <w:rPr>
          <w:rFonts w:ascii="Arial" w:hAnsi="Arial"/>
          <w:b/>
        </w:rPr>
        <w:t>a</w:t>
      </w:r>
      <w:r w:rsidRPr="005C4137">
        <w:rPr>
          <w:rFonts w:ascii="Arial" w:hAnsi="Arial"/>
          <w:b/>
        </w:rPr>
        <w:t xml:space="preserve">ccelerated </w:t>
      </w:r>
      <w:r>
        <w:rPr>
          <w:rFonts w:ascii="Arial" w:hAnsi="Arial"/>
          <w:b/>
        </w:rPr>
        <w:t>s</w:t>
      </w:r>
      <w:r w:rsidRPr="005C4137">
        <w:rPr>
          <w:rFonts w:ascii="Arial" w:hAnsi="Arial"/>
          <w:b/>
        </w:rPr>
        <w:t>torage</w:t>
      </w:r>
    </w:p>
    <w:tbl>
      <w:tblPr>
        <w:tblW w:w="0" w:type="auto"/>
        <w:tblInd w:w="1305" w:type="dxa"/>
        <w:tblLayout w:type="fixed"/>
        <w:tblCellMar>
          <w:left w:w="0" w:type="dxa"/>
          <w:right w:w="0" w:type="dxa"/>
        </w:tblCellMar>
        <w:tblLook w:val="04A0" w:firstRow="1" w:lastRow="0" w:firstColumn="1" w:lastColumn="0" w:noHBand="0" w:noVBand="1"/>
      </w:tblPr>
      <w:tblGrid>
        <w:gridCol w:w="846"/>
        <w:gridCol w:w="1134"/>
        <w:gridCol w:w="1417"/>
        <w:gridCol w:w="1276"/>
        <w:gridCol w:w="1276"/>
        <w:gridCol w:w="1134"/>
        <w:gridCol w:w="1393"/>
      </w:tblGrid>
      <w:tr w:rsidR="005C4137" w:rsidRPr="00DA49C2" w14:paraId="55E6A3B3" w14:textId="77777777" w:rsidTr="00F15A2A">
        <w:trPr>
          <w:trHeight w:val="606"/>
        </w:trPr>
        <w:tc>
          <w:tcPr>
            <w:tcW w:w="846" w:type="dxa"/>
            <w:vMerge w:val="restart"/>
            <w:tcBorders>
              <w:top w:val="single" w:sz="4" w:space="0" w:color="auto"/>
              <w:bottom w:val="single" w:sz="4" w:space="0" w:color="auto"/>
            </w:tcBorders>
            <w:tcMar>
              <w:top w:w="15" w:type="dxa"/>
              <w:left w:w="108" w:type="dxa"/>
              <w:bottom w:w="0" w:type="dxa"/>
              <w:right w:w="108" w:type="dxa"/>
            </w:tcMar>
            <w:vAlign w:val="center"/>
            <w:hideMark/>
          </w:tcPr>
          <w:bookmarkEnd w:id="23"/>
          <w:p w14:paraId="53203A34" w14:textId="27585C3A" w:rsidR="005C4137" w:rsidRPr="001665BF" w:rsidRDefault="005C4137" w:rsidP="005B0820">
            <w:pPr>
              <w:jc w:val="center"/>
              <w:rPr>
                <w:rFonts w:ascii="Arial" w:hAnsi="Arial" w:cs="Arial"/>
                <w:sz w:val="19"/>
                <w:szCs w:val="19"/>
              </w:rPr>
            </w:pPr>
            <w:r w:rsidRPr="001665BF">
              <w:rPr>
                <w:rFonts w:ascii="Arial" w:hAnsi="Arial" w:cs="Arial"/>
                <w:b/>
                <w:bCs/>
                <w:sz w:val="19"/>
                <w:szCs w:val="19"/>
              </w:rPr>
              <w:t>Week</w:t>
            </w:r>
          </w:p>
        </w:tc>
        <w:tc>
          <w:tcPr>
            <w:tcW w:w="7630" w:type="dxa"/>
            <w:gridSpan w:val="6"/>
            <w:tcBorders>
              <w:top w:val="single" w:sz="4" w:space="0" w:color="auto"/>
              <w:bottom w:val="single" w:sz="4" w:space="0" w:color="auto"/>
            </w:tcBorders>
            <w:tcMar>
              <w:top w:w="15" w:type="dxa"/>
              <w:left w:w="108" w:type="dxa"/>
              <w:bottom w:w="0" w:type="dxa"/>
              <w:right w:w="108" w:type="dxa"/>
            </w:tcMar>
            <w:vAlign w:val="center"/>
            <w:hideMark/>
          </w:tcPr>
          <w:p w14:paraId="1665AE91" w14:textId="77777777" w:rsidR="005C4137" w:rsidRPr="001665BF" w:rsidRDefault="005C4137" w:rsidP="005B0820">
            <w:pPr>
              <w:jc w:val="center"/>
              <w:rPr>
                <w:rFonts w:ascii="Arial" w:hAnsi="Arial" w:cs="Arial"/>
                <w:sz w:val="19"/>
                <w:szCs w:val="19"/>
              </w:rPr>
            </w:pPr>
            <w:r w:rsidRPr="001665BF">
              <w:rPr>
                <w:rFonts w:ascii="Arial" w:hAnsi="Arial" w:cs="Arial"/>
                <w:b/>
                <w:bCs/>
                <w:sz w:val="19"/>
                <w:szCs w:val="19"/>
              </w:rPr>
              <w:t>Physicochemical parameters*</w:t>
            </w:r>
          </w:p>
        </w:tc>
      </w:tr>
      <w:tr w:rsidR="001665BF" w:rsidRPr="00DA49C2" w14:paraId="6E7F3F20" w14:textId="77777777" w:rsidTr="00F15A2A">
        <w:trPr>
          <w:trHeight w:val="339"/>
        </w:trPr>
        <w:tc>
          <w:tcPr>
            <w:tcW w:w="846" w:type="dxa"/>
            <w:vMerge/>
            <w:tcBorders>
              <w:top w:val="single" w:sz="4" w:space="0" w:color="auto"/>
            </w:tcBorders>
            <w:vAlign w:val="center"/>
            <w:hideMark/>
          </w:tcPr>
          <w:p w14:paraId="0C22FE9F" w14:textId="77777777" w:rsidR="005C4137" w:rsidRPr="001665BF" w:rsidRDefault="005C4137" w:rsidP="005B0820">
            <w:pPr>
              <w:rPr>
                <w:rFonts w:ascii="Arial" w:hAnsi="Arial" w:cs="Arial"/>
                <w:sz w:val="19"/>
                <w:szCs w:val="19"/>
              </w:rPr>
            </w:pPr>
          </w:p>
        </w:tc>
        <w:tc>
          <w:tcPr>
            <w:tcW w:w="1134" w:type="dxa"/>
            <w:vMerge w:val="restart"/>
            <w:tcBorders>
              <w:top w:val="single" w:sz="4" w:space="0" w:color="auto"/>
            </w:tcBorders>
            <w:tcMar>
              <w:top w:w="15" w:type="dxa"/>
              <w:left w:w="108" w:type="dxa"/>
              <w:bottom w:w="0" w:type="dxa"/>
              <w:right w:w="108" w:type="dxa"/>
            </w:tcMar>
            <w:vAlign w:val="center"/>
            <w:hideMark/>
          </w:tcPr>
          <w:p w14:paraId="358EBF27"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pH</w:t>
            </w:r>
          </w:p>
        </w:tc>
        <w:tc>
          <w:tcPr>
            <w:tcW w:w="1417" w:type="dxa"/>
            <w:vMerge w:val="restart"/>
            <w:tcBorders>
              <w:top w:val="single" w:sz="4" w:space="0" w:color="auto"/>
            </w:tcBorders>
            <w:tcMar>
              <w:top w:w="15" w:type="dxa"/>
              <w:left w:w="108" w:type="dxa"/>
              <w:bottom w:w="0" w:type="dxa"/>
              <w:right w:w="108" w:type="dxa"/>
            </w:tcMar>
            <w:vAlign w:val="center"/>
            <w:hideMark/>
          </w:tcPr>
          <w:p w14:paraId="40480725"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Total soluble solid (</w:t>
            </w:r>
            <w:proofErr w:type="spellStart"/>
            <w:r w:rsidRPr="001665BF">
              <w:rPr>
                <w:rFonts w:ascii="Arial" w:hAnsi="Arial" w:cs="Arial"/>
                <w:b/>
                <w:bCs/>
                <w:sz w:val="19"/>
                <w:szCs w:val="19"/>
                <w:vertAlign w:val="superscript"/>
              </w:rPr>
              <w:t>o</w:t>
            </w:r>
            <w:r w:rsidRPr="001665BF">
              <w:rPr>
                <w:rFonts w:ascii="Arial" w:hAnsi="Arial" w:cs="Arial"/>
                <w:b/>
                <w:bCs/>
                <w:sz w:val="19"/>
                <w:szCs w:val="19"/>
              </w:rPr>
              <w:t>Brix</w:t>
            </w:r>
            <w:proofErr w:type="spellEnd"/>
            <w:r w:rsidRPr="001665BF">
              <w:rPr>
                <w:rFonts w:ascii="Arial" w:hAnsi="Arial" w:cs="Arial"/>
                <w:b/>
                <w:bCs/>
                <w:sz w:val="19"/>
                <w:szCs w:val="19"/>
              </w:rPr>
              <w:t>)</w:t>
            </w:r>
          </w:p>
        </w:tc>
        <w:tc>
          <w:tcPr>
            <w:tcW w:w="1276" w:type="dxa"/>
            <w:vMerge w:val="restart"/>
            <w:tcBorders>
              <w:top w:val="single" w:sz="4" w:space="0" w:color="auto"/>
            </w:tcBorders>
            <w:tcMar>
              <w:top w:w="15" w:type="dxa"/>
              <w:left w:w="108" w:type="dxa"/>
              <w:bottom w:w="0" w:type="dxa"/>
              <w:right w:w="108" w:type="dxa"/>
            </w:tcMar>
            <w:vAlign w:val="center"/>
            <w:hideMark/>
          </w:tcPr>
          <w:p w14:paraId="2646F753"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Viscosity (</w:t>
            </w:r>
            <w:proofErr w:type="spellStart"/>
            <w:r w:rsidRPr="001665BF">
              <w:rPr>
                <w:rFonts w:ascii="Arial" w:hAnsi="Arial" w:cs="Arial"/>
                <w:b/>
                <w:bCs/>
                <w:sz w:val="19"/>
                <w:szCs w:val="19"/>
              </w:rPr>
              <w:t>mPa.s</w:t>
            </w:r>
            <w:proofErr w:type="spellEnd"/>
            <w:r w:rsidRPr="001665BF">
              <w:rPr>
                <w:rFonts w:ascii="Arial" w:hAnsi="Arial" w:cs="Arial"/>
                <w:b/>
                <w:bCs/>
                <w:sz w:val="19"/>
                <w:szCs w:val="19"/>
              </w:rPr>
              <w:t>)</w:t>
            </w:r>
          </w:p>
        </w:tc>
        <w:tc>
          <w:tcPr>
            <w:tcW w:w="3803" w:type="dxa"/>
            <w:gridSpan w:val="3"/>
            <w:tcBorders>
              <w:top w:val="single" w:sz="4" w:space="0" w:color="auto"/>
              <w:bottom w:val="single" w:sz="4" w:space="0" w:color="auto"/>
            </w:tcBorders>
            <w:tcMar>
              <w:top w:w="15" w:type="dxa"/>
              <w:left w:w="108" w:type="dxa"/>
              <w:bottom w:w="0" w:type="dxa"/>
              <w:right w:w="108" w:type="dxa"/>
            </w:tcMar>
            <w:vAlign w:val="center"/>
            <w:hideMark/>
          </w:tcPr>
          <w:p w14:paraId="0B8AFFAD"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Color</w:t>
            </w:r>
          </w:p>
        </w:tc>
      </w:tr>
      <w:tr w:rsidR="001665BF" w:rsidRPr="00DA49C2" w14:paraId="63945F41" w14:textId="77777777" w:rsidTr="00F15A2A">
        <w:trPr>
          <w:trHeight w:val="401"/>
        </w:trPr>
        <w:tc>
          <w:tcPr>
            <w:tcW w:w="846" w:type="dxa"/>
            <w:vMerge/>
            <w:tcBorders>
              <w:top w:val="single" w:sz="4" w:space="0" w:color="auto"/>
              <w:bottom w:val="single" w:sz="4" w:space="0" w:color="auto"/>
            </w:tcBorders>
            <w:vAlign w:val="center"/>
            <w:hideMark/>
          </w:tcPr>
          <w:p w14:paraId="22A5A012" w14:textId="77777777" w:rsidR="005C4137" w:rsidRPr="001665BF" w:rsidRDefault="005C4137" w:rsidP="005B0820">
            <w:pPr>
              <w:rPr>
                <w:rFonts w:ascii="Arial" w:hAnsi="Arial" w:cs="Arial"/>
                <w:sz w:val="19"/>
                <w:szCs w:val="19"/>
              </w:rPr>
            </w:pPr>
          </w:p>
        </w:tc>
        <w:tc>
          <w:tcPr>
            <w:tcW w:w="1134" w:type="dxa"/>
            <w:vMerge/>
            <w:tcBorders>
              <w:top w:val="single" w:sz="4" w:space="0" w:color="auto"/>
              <w:bottom w:val="single" w:sz="4" w:space="0" w:color="auto"/>
            </w:tcBorders>
            <w:vAlign w:val="center"/>
            <w:hideMark/>
          </w:tcPr>
          <w:p w14:paraId="46FA8650" w14:textId="77777777" w:rsidR="005C4137" w:rsidRPr="001665BF" w:rsidRDefault="005C4137" w:rsidP="005B0820">
            <w:pPr>
              <w:jc w:val="center"/>
              <w:rPr>
                <w:rFonts w:ascii="Arial" w:hAnsi="Arial" w:cs="Arial"/>
                <w:b/>
                <w:bCs/>
                <w:sz w:val="19"/>
                <w:szCs w:val="19"/>
              </w:rPr>
            </w:pPr>
          </w:p>
        </w:tc>
        <w:tc>
          <w:tcPr>
            <w:tcW w:w="1417" w:type="dxa"/>
            <w:vMerge/>
            <w:tcBorders>
              <w:top w:val="single" w:sz="4" w:space="0" w:color="auto"/>
              <w:bottom w:val="single" w:sz="4" w:space="0" w:color="auto"/>
            </w:tcBorders>
            <w:vAlign w:val="center"/>
            <w:hideMark/>
          </w:tcPr>
          <w:p w14:paraId="13FF989C" w14:textId="77777777" w:rsidR="005C4137" w:rsidRPr="001665BF" w:rsidRDefault="005C4137" w:rsidP="005B0820">
            <w:pPr>
              <w:jc w:val="center"/>
              <w:rPr>
                <w:rFonts w:ascii="Arial" w:hAnsi="Arial" w:cs="Arial"/>
                <w:b/>
                <w:bCs/>
                <w:sz w:val="19"/>
                <w:szCs w:val="19"/>
              </w:rPr>
            </w:pPr>
          </w:p>
        </w:tc>
        <w:tc>
          <w:tcPr>
            <w:tcW w:w="1276" w:type="dxa"/>
            <w:vMerge/>
            <w:tcBorders>
              <w:top w:val="single" w:sz="4" w:space="0" w:color="auto"/>
              <w:bottom w:val="single" w:sz="4" w:space="0" w:color="auto"/>
            </w:tcBorders>
            <w:vAlign w:val="center"/>
            <w:hideMark/>
          </w:tcPr>
          <w:p w14:paraId="4F8E6194" w14:textId="77777777" w:rsidR="005C4137" w:rsidRPr="001665BF" w:rsidRDefault="005C4137" w:rsidP="005B0820">
            <w:pPr>
              <w:jc w:val="center"/>
              <w:rPr>
                <w:rFonts w:ascii="Arial" w:hAnsi="Arial" w:cs="Arial"/>
                <w:b/>
                <w:bCs/>
                <w:sz w:val="19"/>
                <w:szCs w:val="19"/>
              </w:rPr>
            </w:pPr>
          </w:p>
        </w:tc>
        <w:tc>
          <w:tcPr>
            <w:tcW w:w="1276" w:type="dxa"/>
            <w:tcBorders>
              <w:top w:val="single" w:sz="4" w:space="0" w:color="auto"/>
              <w:bottom w:val="single" w:sz="4" w:space="0" w:color="auto"/>
            </w:tcBorders>
            <w:tcMar>
              <w:top w:w="15" w:type="dxa"/>
              <w:left w:w="108" w:type="dxa"/>
              <w:bottom w:w="0" w:type="dxa"/>
              <w:right w:w="108" w:type="dxa"/>
            </w:tcMar>
            <w:vAlign w:val="center"/>
            <w:hideMark/>
          </w:tcPr>
          <w:p w14:paraId="24423A7E"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L*</w:t>
            </w:r>
          </w:p>
        </w:tc>
        <w:tc>
          <w:tcPr>
            <w:tcW w:w="1134" w:type="dxa"/>
            <w:tcBorders>
              <w:top w:val="single" w:sz="4" w:space="0" w:color="auto"/>
              <w:bottom w:val="single" w:sz="4" w:space="0" w:color="auto"/>
            </w:tcBorders>
            <w:tcMar>
              <w:top w:w="15" w:type="dxa"/>
              <w:left w:w="108" w:type="dxa"/>
              <w:bottom w:w="0" w:type="dxa"/>
              <w:right w:w="108" w:type="dxa"/>
            </w:tcMar>
            <w:vAlign w:val="center"/>
            <w:hideMark/>
          </w:tcPr>
          <w:p w14:paraId="1BCAB171"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a*</w:t>
            </w:r>
          </w:p>
        </w:tc>
        <w:tc>
          <w:tcPr>
            <w:tcW w:w="1393" w:type="dxa"/>
            <w:tcBorders>
              <w:top w:val="single" w:sz="4" w:space="0" w:color="auto"/>
              <w:bottom w:val="single" w:sz="4" w:space="0" w:color="auto"/>
            </w:tcBorders>
            <w:tcMar>
              <w:top w:w="15" w:type="dxa"/>
              <w:left w:w="108" w:type="dxa"/>
              <w:bottom w:w="0" w:type="dxa"/>
              <w:right w:w="108" w:type="dxa"/>
            </w:tcMar>
            <w:vAlign w:val="center"/>
            <w:hideMark/>
          </w:tcPr>
          <w:p w14:paraId="4A060255"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b*</w:t>
            </w:r>
          </w:p>
        </w:tc>
      </w:tr>
      <w:tr w:rsidR="001665BF" w:rsidRPr="00DA49C2" w14:paraId="00CDCCCC" w14:textId="77777777" w:rsidTr="00F15A2A">
        <w:trPr>
          <w:trHeight w:val="317"/>
        </w:trPr>
        <w:tc>
          <w:tcPr>
            <w:tcW w:w="846" w:type="dxa"/>
            <w:tcBorders>
              <w:top w:val="single" w:sz="4" w:space="0" w:color="auto"/>
            </w:tcBorders>
            <w:tcMar>
              <w:top w:w="15" w:type="dxa"/>
              <w:left w:w="108" w:type="dxa"/>
              <w:bottom w:w="0" w:type="dxa"/>
              <w:right w:w="108" w:type="dxa"/>
            </w:tcMar>
            <w:hideMark/>
          </w:tcPr>
          <w:p w14:paraId="4E171B6D" w14:textId="77777777" w:rsidR="005C4137" w:rsidRPr="001665BF" w:rsidRDefault="005C4137" w:rsidP="005B0820">
            <w:pPr>
              <w:jc w:val="center"/>
              <w:rPr>
                <w:rFonts w:ascii="Arial" w:hAnsi="Arial" w:cs="Arial"/>
                <w:sz w:val="19"/>
                <w:szCs w:val="19"/>
              </w:rPr>
            </w:pPr>
            <w:r w:rsidRPr="001665BF">
              <w:rPr>
                <w:rFonts w:ascii="Arial" w:hAnsi="Arial" w:cs="Arial"/>
                <w:sz w:val="19"/>
                <w:szCs w:val="19"/>
                <w:lang w:val="ms-MY"/>
              </w:rPr>
              <w:t>0</w:t>
            </w:r>
          </w:p>
        </w:tc>
        <w:tc>
          <w:tcPr>
            <w:tcW w:w="1134" w:type="dxa"/>
            <w:tcBorders>
              <w:top w:val="single" w:sz="4" w:space="0" w:color="auto"/>
            </w:tcBorders>
            <w:tcMar>
              <w:top w:w="15" w:type="dxa"/>
              <w:left w:w="108" w:type="dxa"/>
              <w:bottom w:w="0" w:type="dxa"/>
              <w:right w:w="108" w:type="dxa"/>
            </w:tcMar>
            <w:hideMark/>
          </w:tcPr>
          <w:p w14:paraId="6784042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2.00±0.01</w:t>
            </w:r>
            <w:r w:rsidRPr="001665BF">
              <w:rPr>
                <w:rFonts w:ascii="Arial" w:hAnsi="Arial" w:cs="Arial"/>
                <w:sz w:val="19"/>
                <w:szCs w:val="19"/>
                <w:vertAlign w:val="superscript"/>
              </w:rPr>
              <w:t>a</w:t>
            </w:r>
          </w:p>
        </w:tc>
        <w:tc>
          <w:tcPr>
            <w:tcW w:w="1417" w:type="dxa"/>
            <w:tcBorders>
              <w:top w:val="single" w:sz="4" w:space="0" w:color="auto"/>
            </w:tcBorders>
            <w:tcMar>
              <w:top w:w="15" w:type="dxa"/>
              <w:left w:w="108" w:type="dxa"/>
              <w:bottom w:w="0" w:type="dxa"/>
              <w:right w:w="108" w:type="dxa"/>
            </w:tcMar>
            <w:hideMark/>
          </w:tcPr>
          <w:p w14:paraId="4E9F5688" w14:textId="4D085327" w:rsidR="005C4137" w:rsidRPr="001665BF" w:rsidRDefault="005C4137" w:rsidP="005B0820">
            <w:pPr>
              <w:jc w:val="center"/>
              <w:rPr>
                <w:rFonts w:ascii="Arial" w:hAnsi="Arial" w:cs="Arial"/>
                <w:sz w:val="19"/>
                <w:szCs w:val="19"/>
              </w:rPr>
            </w:pPr>
            <w:r w:rsidRPr="001665BF">
              <w:rPr>
                <w:rFonts w:ascii="Arial" w:hAnsi="Arial" w:cs="Arial"/>
                <w:sz w:val="19"/>
                <w:szCs w:val="19"/>
              </w:rPr>
              <w:t>13.77±0.06</w:t>
            </w:r>
            <w:r w:rsidR="00D75E11">
              <w:rPr>
                <w:rFonts w:ascii="Arial" w:hAnsi="Arial" w:cs="Arial"/>
                <w:sz w:val="19"/>
                <w:szCs w:val="19"/>
                <w:vertAlign w:val="superscript"/>
              </w:rPr>
              <w:t>e</w:t>
            </w:r>
          </w:p>
        </w:tc>
        <w:tc>
          <w:tcPr>
            <w:tcW w:w="1276" w:type="dxa"/>
            <w:tcBorders>
              <w:top w:val="single" w:sz="4" w:space="0" w:color="auto"/>
            </w:tcBorders>
            <w:tcMar>
              <w:top w:w="15" w:type="dxa"/>
              <w:left w:w="108" w:type="dxa"/>
              <w:bottom w:w="0" w:type="dxa"/>
              <w:right w:w="108" w:type="dxa"/>
            </w:tcMar>
            <w:hideMark/>
          </w:tcPr>
          <w:p w14:paraId="51C77280" w14:textId="536AEFC9" w:rsidR="005C4137" w:rsidRPr="001665BF" w:rsidRDefault="005C4137" w:rsidP="005B0820">
            <w:pPr>
              <w:jc w:val="center"/>
              <w:rPr>
                <w:rFonts w:ascii="Arial" w:hAnsi="Arial" w:cs="Arial"/>
                <w:sz w:val="19"/>
                <w:szCs w:val="19"/>
              </w:rPr>
            </w:pPr>
            <w:r w:rsidRPr="001665BF">
              <w:rPr>
                <w:rFonts w:ascii="Arial" w:hAnsi="Arial" w:cs="Arial"/>
                <w:sz w:val="19"/>
                <w:szCs w:val="19"/>
              </w:rPr>
              <w:t>20.06±0.07</w:t>
            </w:r>
            <w:r w:rsidR="00D75E11">
              <w:rPr>
                <w:rFonts w:ascii="Arial" w:hAnsi="Arial" w:cs="Arial"/>
                <w:sz w:val="19"/>
                <w:szCs w:val="19"/>
                <w:vertAlign w:val="superscript"/>
              </w:rPr>
              <w:t>d</w:t>
            </w:r>
          </w:p>
        </w:tc>
        <w:tc>
          <w:tcPr>
            <w:tcW w:w="1276" w:type="dxa"/>
            <w:tcBorders>
              <w:top w:val="single" w:sz="4" w:space="0" w:color="auto"/>
            </w:tcBorders>
            <w:tcMar>
              <w:top w:w="15" w:type="dxa"/>
              <w:left w:w="108" w:type="dxa"/>
              <w:bottom w:w="0" w:type="dxa"/>
              <w:right w:w="108" w:type="dxa"/>
            </w:tcMar>
            <w:hideMark/>
          </w:tcPr>
          <w:p w14:paraId="6B808332" w14:textId="487DCC15" w:rsidR="005C4137" w:rsidRPr="001665BF" w:rsidRDefault="005C4137" w:rsidP="005B0820">
            <w:pPr>
              <w:jc w:val="center"/>
              <w:rPr>
                <w:rFonts w:ascii="Arial" w:hAnsi="Arial" w:cs="Arial"/>
                <w:sz w:val="19"/>
                <w:szCs w:val="19"/>
              </w:rPr>
            </w:pPr>
            <w:r w:rsidRPr="001665BF">
              <w:rPr>
                <w:rFonts w:ascii="Arial" w:hAnsi="Arial" w:cs="Arial"/>
                <w:sz w:val="19"/>
                <w:szCs w:val="19"/>
              </w:rPr>
              <w:t>24.03±0.04</w:t>
            </w:r>
            <w:r w:rsidR="00D75E11">
              <w:rPr>
                <w:rFonts w:ascii="Arial" w:hAnsi="Arial" w:cs="Arial"/>
                <w:sz w:val="19"/>
                <w:szCs w:val="19"/>
                <w:vertAlign w:val="superscript"/>
              </w:rPr>
              <w:t>b</w:t>
            </w:r>
          </w:p>
        </w:tc>
        <w:tc>
          <w:tcPr>
            <w:tcW w:w="1134" w:type="dxa"/>
            <w:tcBorders>
              <w:top w:val="single" w:sz="4" w:space="0" w:color="auto"/>
            </w:tcBorders>
            <w:tcMar>
              <w:top w:w="15" w:type="dxa"/>
              <w:left w:w="108" w:type="dxa"/>
              <w:bottom w:w="0" w:type="dxa"/>
              <w:right w:w="108" w:type="dxa"/>
            </w:tcMar>
            <w:hideMark/>
          </w:tcPr>
          <w:p w14:paraId="3C36082E"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4.69±0.07</w:t>
            </w:r>
            <w:r w:rsidRPr="001665BF">
              <w:rPr>
                <w:rFonts w:ascii="Arial" w:hAnsi="Arial" w:cs="Arial"/>
                <w:sz w:val="19"/>
                <w:szCs w:val="19"/>
                <w:vertAlign w:val="superscript"/>
              </w:rPr>
              <w:t>a</w:t>
            </w:r>
          </w:p>
        </w:tc>
        <w:tc>
          <w:tcPr>
            <w:tcW w:w="1393" w:type="dxa"/>
            <w:tcBorders>
              <w:top w:val="single" w:sz="4" w:space="0" w:color="auto"/>
            </w:tcBorders>
            <w:tcMar>
              <w:top w:w="15" w:type="dxa"/>
              <w:left w:w="108" w:type="dxa"/>
              <w:bottom w:w="0" w:type="dxa"/>
              <w:right w:w="108" w:type="dxa"/>
            </w:tcMar>
            <w:hideMark/>
          </w:tcPr>
          <w:p w14:paraId="7FE49FA7"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5.52±0.17</w:t>
            </w:r>
            <w:r w:rsidRPr="001665BF">
              <w:rPr>
                <w:rFonts w:ascii="Arial" w:hAnsi="Arial" w:cs="Arial"/>
                <w:sz w:val="19"/>
                <w:szCs w:val="19"/>
                <w:vertAlign w:val="superscript"/>
              </w:rPr>
              <w:t>a</w:t>
            </w:r>
          </w:p>
        </w:tc>
      </w:tr>
      <w:tr w:rsidR="001665BF" w:rsidRPr="00DA49C2" w14:paraId="1B1C7D3A" w14:textId="77777777" w:rsidTr="00F15A2A">
        <w:trPr>
          <w:trHeight w:val="317"/>
        </w:trPr>
        <w:tc>
          <w:tcPr>
            <w:tcW w:w="846" w:type="dxa"/>
            <w:tcMar>
              <w:top w:w="15" w:type="dxa"/>
              <w:left w:w="108" w:type="dxa"/>
              <w:bottom w:w="0" w:type="dxa"/>
              <w:right w:w="108" w:type="dxa"/>
            </w:tcMar>
          </w:tcPr>
          <w:p w14:paraId="72365CC9"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1</w:t>
            </w:r>
          </w:p>
        </w:tc>
        <w:tc>
          <w:tcPr>
            <w:tcW w:w="1134" w:type="dxa"/>
            <w:tcMar>
              <w:top w:w="15" w:type="dxa"/>
              <w:left w:w="108" w:type="dxa"/>
              <w:bottom w:w="0" w:type="dxa"/>
              <w:right w:w="108" w:type="dxa"/>
            </w:tcMar>
          </w:tcPr>
          <w:p w14:paraId="2A929172"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1.93±0.01</w:t>
            </w:r>
            <w:r w:rsidRPr="001665BF">
              <w:rPr>
                <w:rFonts w:ascii="Arial" w:hAnsi="Arial" w:cs="Arial"/>
                <w:sz w:val="19"/>
                <w:szCs w:val="19"/>
                <w:vertAlign w:val="superscript"/>
              </w:rPr>
              <w:t>b</w:t>
            </w:r>
          </w:p>
        </w:tc>
        <w:tc>
          <w:tcPr>
            <w:tcW w:w="1417" w:type="dxa"/>
            <w:tcMar>
              <w:top w:w="15" w:type="dxa"/>
              <w:left w:w="108" w:type="dxa"/>
              <w:bottom w:w="0" w:type="dxa"/>
              <w:right w:w="108" w:type="dxa"/>
            </w:tcMar>
          </w:tcPr>
          <w:p w14:paraId="53E27C2F"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14.21±0.06</w:t>
            </w:r>
            <w:r w:rsidRPr="001665BF">
              <w:rPr>
                <w:rFonts w:ascii="Arial" w:hAnsi="Arial" w:cs="Arial"/>
                <w:sz w:val="19"/>
                <w:szCs w:val="19"/>
                <w:vertAlign w:val="superscript"/>
              </w:rPr>
              <w:t>b</w:t>
            </w:r>
          </w:p>
        </w:tc>
        <w:tc>
          <w:tcPr>
            <w:tcW w:w="1276" w:type="dxa"/>
            <w:tcMar>
              <w:top w:w="15" w:type="dxa"/>
              <w:left w:w="108" w:type="dxa"/>
              <w:bottom w:w="0" w:type="dxa"/>
              <w:right w:w="108" w:type="dxa"/>
            </w:tcMar>
          </w:tcPr>
          <w:p w14:paraId="32C2F2A3" w14:textId="50124648" w:rsidR="005C4137" w:rsidRPr="001665BF" w:rsidRDefault="005C4137" w:rsidP="005B0820">
            <w:pPr>
              <w:jc w:val="center"/>
              <w:rPr>
                <w:rFonts w:ascii="Arial" w:hAnsi="Arial" w:cs="Arial"/>
                <w:sz w:val="19"/>
                <w:szCs w:val="19"/>
              </w:rPr>
            </w:pPr>
            <w:r w:rsidRPr="001665BF">
              <w:rPr>
                <w:rFonts w:ascii="Arial" w:hAnsi="Arial" w:cs="Arial"/>
                <w:sz w:val="19"/>
                <w:szCs w:val="19"/>
              </w:rPr>
              <w:t>17.56±0.12</w:t>
            </w:r>
            <w:r w:rsidR="00D75E11">
              <w:rPr>
                <w:rFonts w:ascii="Arial" w:hAnsi="Arial" w:cs="Arial"/>
                <w:sz w:val="19"/>
                <w:szCs w:val="19"/>
                <w:vertAlign w:val="superscript"/>
              </w:rPr>
              <w:t>e</w:t>
            </w:r>
          </w:p>
        </w:tc>
        <w:tc>
          <w:tcPr>
            <w:tcW w:w="1276" w:type="dxa"/>
            <w:tcMar>
              <w:top w:w="15" w:type="dxa"/>
              <w:left w:w="108" w:type="dxa"/>
              <w:bottom w:w="0" w:type="dxa"/>
              <w:right w:w="108" w:type="dxa"/>
            </w:tcMar>
          </w:tcPr>
          <w:p w14:paraId="7BE32FB4" w14:textId="681F0781" w:rsidR="005C4137" w:rsidRPr="001665BF" w:rsidRDefault="005C4137" w:rsidP="005B0820">
            <w:pPr>
              <w:jc w:val="center"/>
              <w:rPr>
                <w:rFonts w:ascii="Arial" w:hAnsi="Arial" w:cs="Arial"/>
                <w:sz w:val="19"/>
                <w:szCs w:val="19"/>
              </w:rPr>
            </w:pPr>
            <w:r w:rsidRPr="001665BF">
              <w:rPr>
                <w:rFonts w:ascii="Arial" w:hAnsi="Arial" w:cs="Arial"/>
                <w:sz w:val="19"/>
                <w:szCs w:val="19"/>
              </w:rPr>
              <w:t>26.14±0.07</w:t>
            </w:r>
            <w:r w:rsidR="00D75E11">
              <w:rPr>
                <w:rFonts w:ascii="Arial" w:hAnsi="Arial" w:cs="Arial"/>
                <w:sz w:val="19"/>
                <w:szCs w:val="19"/>
                <w:vertAlign w:val="superscript"/>
              </w:rPr>
              <w:t>a</w:t>
            </w:r>
          </w:p>
        </w:tc>
        <w:tc>
          <w:tcPr>
            <w:tcW w:w="1134" w:type="dxa"/>
            <w:tcMar>
              <w:top w:w="15" w:type="dxa"/>
              <w:left w:w="108" w:type="dxa"/>
              <w:bottom w:w="0" w:type="dxa"/>
              <w:right w:w="108" w:type="dxa"/>
            </w:tcMar>
          </w:tcPr>
          <w:p w14:paraId="55A9FA16" w14:textId="096FC76B" w:rsidR="005C4137" w:rsidRPr="001665BF" w:rsidRDefault="005C4137" w:rsidP="005B0820">
            <w:pPr>
              <w:jc w:val="center"/>
              <w:rPr>
                <w:rFonts w:ascii="Arial" w:hAnsi="Arial" w:cs="Arial"/>
                <w:sz w:val="19"/>
                <w:szCs w:val="19"/>
              </w:rPr>
            </w:pPr>
            <w:r w:rsidRPr="001665BF">
              <w:rPr>
                <w:rFonts w:ascii="Arial" w:hAnsi="Arial" w:cs="Arial"/>
                <w:sz w:val="19"/>
                <w:szCs w:val="19"/>
              </w:rPr>
              <w:t>2.42±</w:t>
            </w:r>
            <w:r w:rsidR="00D75E11">
              <w:rPr>
                <w:rFonts w:ascii="Arial" w:hAnsi="Arial" w:cs="Arial"/>
                <w:sz w:val="19"/>
                <w:szCs w:val="19"/>
              </w:rPr>
              <w:t>0</w:t>
            </w:r>
            <w:r w:rsidRPr="001665BF">
              <w:rPr>
                <w:rFonts w:ascii="Arial" w:hAnsi="Arial" w:cs="Arial"/>
                <w:sz w:val="19"/>
                <w:szCs w:val="19"/>
              </w:rPr>
              <w:t>.40</w:t>
            </w:r>
            <w:r w:rsidRPr="001665BF">
              <w:rPr>
                <w:rFonts w:ascii="Arial" w:hAnsi="Arial" w:cs="Arial"/>
                <w:sz w:val="19"/>
                <w:szCs w:val="19"/>
                <w:vertAlign w:val="superscript"/>
              </w:rPr>
              <w:t>a</w:t>
            </w:r>
          </w:p>
        </w:tc>
        <w:tc>
          <w:tcPr>
            <w:tcW w:w="1393" w:type="dxa"/>
            <w:tcMar>
              <w:top w:w="15" w:type="dxa"/>
              <w:left w:w="108" w:type="dxa"/>
              <w:bottom w:w="0" w:type="dxa"/>
              <w:right w:w="108" w:type="dxa"/>
            </w:tcMar>
          </w:tcPr>
          <w:p w14:paraId="74EBF4D5"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5.07±0.24</w:t>
            </w:r>
            <w:r w:rsidRPr="001665BF">
              <w:rPr>
                <w:rFonts w:ascii="Arial" w:hAnsi="Arial" w:cs="Arial"/>
                <w:sz w:val="19"/>
                <w:szCs w:val="19"/>
                <w:vertAlign w:val="superscript"/>
              </w:rPr>
              <w:t>a</w:t>
            </w:r>
          </w:p>
        </w:tc>
      </w:tr>
      <w:tr w:rsidR="001665BF" w:rsidRPr="00DA49C2" w14:paraId="4F2B3682" w14:textId="77777777" w:rsidTr="00F15A2A">
        <w:trPr>
          <w:trHeight w:val="317"/>
        </w:trPr>
        <w:tc>
          <w:tcPr>
            <w:tcW w:w="846" w:type="dxa"/>
            <w:tcMar>
              <w:top w:w="15" w:type="dxa"/>
              <w:left w:w="108" w:type="dxa"/>
              <w:bottom w:w="0" w:type="dxa"/>
              <w:right w:w="108" w:type="dxa"/>
            </w:tcMar>
          </w:tcPr>
          <w:p w14:paraId="2EFCD8A3"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2</w:t>
            </w:r>
          </w:p>
        </w:tc>
        <w:tc>
          <w:tcPr>
            <w:tcW w:w="1134" w:type="dxa"/>
            <w:tcMar>
              <w:top w:w="15" w:type="dxa"/>
              <w:left w:w="108" w:type="dxa"/>
              <w:bottom w:w="0" w:type="dxa"/>
              <w:right w:w="108" w:type="dxa"/>
            </w:tcMar>
          </w:tcPr>
          <w:p w14:paraId="350FB26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1.90±0.01</w:t>
            </w:r>
            <w:r w:rsidRPr="001665BF">
              <w:rPr>
                <w:rFonts w:ascii="Arial" w:hAnsi="Arial" w:cs="Arial"/>
                <w:sz w:val="19"/>
                <w:szCs w:val="19"/>
                <w:vertAlign w:val="superscript"/>
              </w:rPr>
              <w:t>c</w:t>
            </w:r>
          </w:p>
        </w:tc>
        <w:tc>
          <w:tcPr>
            <w:tcW w:w="1417" w:type="dxa"/>
            <w:tcMar>
              <w:top w:w="15" w:type="dxa"/>
              <w:left w:w="108" w:type="dxa"/>
              <w:bottom w:w="0" w:type="dxa"/>
              <w:right w:w="108" w:type="dxa"/>
            </w:tcMar>
          </w:tcPr>
          <w:p w14:paraId="363B839D" w14:textId="20420866" w:rsidR="005C4137" w:rsidRPr="001665BF" w:rsidRDefault="005C4137" w:rsidP="005B0820">
            <w:pPr>
              <w:jc w:val="center"/>
              <w:rPr>
                <w:rFonts w:ascii="Arial" w:hAnsi="Arial" w:cs="Arial"/>
                <w:sz w:val="19"/>
                <w:szCs w:val="19"/>
              </w:rPr>
            </w:pPr>
            <w:r w:rsidRPr="001665BF">
              <w:rPr>
                <w:rFonts w:ascii="Arial" w:hAnsi="Arial" w:cs="Arial"/>
                <w:sz w:val="19"/>
                <w:szCs w:val="19"/>
              </w:rPr>
              <w:t>14.51±0.17</w:t>
            </w:r>
            <w:r w:rsidR="00B62084">
              <w:rPr>
                <w:rFonts w:ascii="Arial" w:hAnsi="Arial" w:cs="Arial"/>
                <w:sz w:val="19"/>
                <w:szCs w:val="19"/>
                <w:vertAlign w:val="superscript"/>
              </w:rPr>
              <w:t>a</w:t>
            </w:r>
          </w:p>
        </w:tc>
        <w:tc>
          <w:tcPr>
            <w:tcW w:w="1276" w:type="dxa"/>
            <w:tcMar>
              <w:top w:w="15" w:type="dxa"/>
              <w:left w:w="108" w:type="dxa"/>
              <w:bottom w:w="0" w:type="dxa"/>
              <w:right w:w="108" w:type="dxa"/>
            </w:tcMar>
          </w:tcPr>
          <w:p w14:paraId="2434FD59"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22.29±0.17</w:t>
            </w:r>
            <w:r w:rsidRPr="001665BF">
              <w:rPr>
                <w:rFonts w:ascii="Arial" w:hAnsi="Arial" w:cs="Arial"/>
                <w:sz w:val="19"/>
                <w:szCs w:val="19"/>
                <w:vertAlign w:val="superscript"/>
              </w:rPr>
              <w:t>c</w:t>
            </w:r>
          </w:p>
        </w:tc>
        <w:tc>
          <w:tcPr>
            <w:tcW w:w="1276" w:type="dxa"/>
            <w:tcMar>
              <w:top w:w="15" w:type="dxa"/>
              <w:left w:w="108" w:type="dxa"/>
              <w:bottom w:w="0" w:type="dxa"/>
              <w:right w:w="108" w:type="dxa"/>
            </w:tcMar>
          </w:tcPr>
          <w:p w14:paraId="1FE7F49C" w14:textId="2048F132" w:rsidR="005C4137" w:rsidRPr="001665BF" w:rsidRDefault="005C4137" w:rsidP="005B0820">
            <w:pPr>
              <w:jc w:val="center"/>
              <w:rPr>
                <w:rFonts w:ascii="Arial" w:hAnsi="Arial" w:cs="Arial"/>
                <w:sz w:val="19"/>
                <w:szCs w:val="19"/>
              </w:rPr>
            </w:pPr>
            <w:r w:rsidRPr="001665BF">
              <w:rPr>
                <w:rFonts w:ascii="Arial" w:hAnsi="Arial" w:cs="Arial"/>
                <w:sz w:val="19"/>
                <w:szCs w:val="19"/>
              </w:rPr>
              <w:t>23.71±0.01</w:t>
            </w:r>
            <w:r w:rsidR="00D75E11">
              <w:rPr>
                <w:rFonts w:ascii="Arial" w:hAnsi="Arial" w:cs="Arial"/>
                <w:sz w:val="19"/>
                <w:szCs w:val="19"/>
                <w:vertAlign w:val="superscript"/>
              </w:rPr>
              <w:t>d</w:t>
            </w:r>
          </w:p>
        </w:tc>
        <w:tc>
          <w:tcPr>
            <w:tcW w:w="1134" w:type="dxa"/>
            <w:tcMar>
              <w:top w:w="15" w:type="dxa"/>
              <w:left w:w="108" w:type="dxa"/>
              <w:bottom w:w="0" w:type="dxa"/>
              <w:right w:w="108" w:type="dxa"/>
            </w:tcMar>
          </w:tcPr>
          <w:p w14:paraId="209FBDC5"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1.88±0.04</w:t>
            </w:r>
            <w:r w:rsidRPr="001665BF">
              <w:rPr>
                <w:rFonts w:ascii="Arial" w:hAnsi="Arial" w:cs="Arial"/>
                <w:sz w:val="19"/>
                <w:szCs w:val="19"/>
                <w:vertAlign w:val="superscript"/>
              </w:rPr>
              <w:t>a</w:t>
            </w:r>
          </w:p>
        </w:tc>
        <w:tc>
          <w:tcPr>
            <w:tcW w:w="1393" w:type="dxa"/>
            <w:tcMar>
              <w:top w:w="15" w:type="dxa"/>
              <w:left w:w="108" w:type="dxa"/>
              <w:bottom w:w="0" w:type="dxa"/>
              <w:right w:w="108" w:type="dxa"/>
            </w:tcMar>
          </w:tcPr>
          <w:p w14:paraId="2B3FF1C7"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4.26±0.02</w:t>
            </w:r>
            <w:r w:rsidRPr="001665BF">
              <w:rPr>
                <w:rFonts w:ascii="Arial" w:hAnsi="Arial" w:cs="Arial"/>
                <w:sz w:val="19"/>
                <w:szCs w:val="19"/>
                <w:vertAlign w:val="superscript"/>
              </w:rPr>
              <w:t>b</w:t>
            </w:r>
          </w:p>
        </w:tc>
      </w:tr>
      <w:tr w:rsidR="001665BF" w:rsidRPr="00DA49C2" w14:paraId="5692B7B3" w14:textId="77777777" w:rsidTr="00F15A2A">
        <w:trPr>
          <w:trHeight w:val="317"/>
        </w:trPr>
        <w:tc>
          <w:tcPr>
            <w:tcW w:w="846" w:type="dxa"/>
            <w:tcMar>
              <w:top w:w="15" w:type="dxa"/>
              <w:left w:w="108" w:type="dxa"/>
              <w:bottom w:w="0" w:type="dxa"/>
              <w:right w:w="108" w:type="dxa"/>
            </w:tcMar>
          </w:tcPr>
          <w:p w14:paraId="47D7038D"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3</w:t>
            </w:r>
          </w:p>
        </w:tc>
        <w:tc>
          <w:tcPr>
            <w:tcW w:w="1134" w:type="dxa"/>
            <w:tcMar>
              <w:top w:w="15" w:type="dxa"/>
              <w:left w:w="108" w:type="dxa"/>
              <w:bottom w:w="0" w:type="dxa"/>
              <w:right w:w="108" w:type="dxa"/>
            </w:tcMar>
          </w:tcPr>
          <w:p w14:paraId="1EB00866"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1.95±0.01</w:t>
            </w:r>
            <w:r w:rsidRPr="001665BF">
              <w:rPr>
                <w:rFonts w:ascii="Arial" w:hAnsi="Arial" w:cs="Arial"/>
                <w:sz w:val="19"/>
                <w:szCs w:val="19"/>
                <w:vertAlign w:val="superscript"/>
              </w:rPr>
              <w:t>b</w:t>
            </w:r>
          </w:p>
        </w:tc>
        <w:tc>
          <w:tcPr>
            <w:tcW w:w="1417" w:type="dxa"/>
            <w:tcMar>
              <w:top w:w="15" w:type="dxa"/>
              <w:left w:w="108" w:type="dxa"/>
              <w:bottom w:w="0" w:type="dxa"/>
              <w:right w:w="108" w:type="dxa"/>
            </w:tcMar>
          </w:tcPr>
          <w:p w14:paraId="623EF22A" w14:textId="2959D139" w:rsidR="005C4137" w:rsidRPr="001665BF" w:rsidRDefault="005C4137" w:rsidP="005B0820">
            <w:pPr>
              <w:jc w:val="center"/>
              <w:rPr>
                <w:rFonts w:ascii="Arial" w:hAnsi="Arial" w:cs="Arial"/>
                <w:sz w:val="19"/>
                <w:szCs w:val="19"/>
              </w:rPr>
            </w:pPr>
            <w:r w:rsidRPr="001665BF">
              <w:rPr>
                <w:rFonts w:ascii="Arial" w:hAnsi="Arial" w:cs="Arial"/>
                <w:sz w:val="19"/>
                <w:szCs w:val="19"/>
              </w:rPr>
              <w:t>14.11±0.04</w:t>
            </w:r>
            <w:r w:rsidRPr="001665BF">
              <w:rPr>
                <w:rFonts w:ascii="Arial" w:hAnsi="Arial" w:cs="Arial"/>
                <w:sz w:val="19"/>
                <w:szCs w:val="19"/>
                <w:vertAlign w:val="superscript"/>
              </w:rPr>
              <w:t>b</w:t>
            </w:r>
            <w:r w:rsidR="00B62084">
              <w:rPr>
                <w:rFonts w:ascii="Arial" w:hAnsi="Arial" w:cs="Arial"/>
                <w:sz w:val="19"/>
                <w:szCs w:val="19"/>
                <w:vertAlign w:val="superscript"/>
              </w:rPr>
              <w:t>c</w:t>
            </w:r>
          </w:p>
        </w:tc>
        <w:tc>
          <w:tcPr>
            <w:tcW w:w="1276" w:type="dxa"/>
            <w:tcMar>
              <w:top w:w="15" w:type="dxa"/>
              <w:left w:w="108" w:type="dxa"/>
              <w:bottom w:w="0" w:type="dxa"/>
              <w:right w:w="108" w:type="dxa"/>
            </w:tcMar>
          </w:tcPr>
          <w:p w14:paraId="23DD2F8B" w14:textId="75BC4B2D" w:rsidR="005C4137" w:rsidRPr="001665BF" w:rsidRDefault="005C4137" w:rsidP="005B0820">
            <w:pPr>
              <w:jc w:val="center"/>
              <w:rPr>
                <w:rFonts w:ascii="Arial" w:hAnsi="Arial" w:cs="Arial"/>
                <w:sz w:val="19"/>
                <w:szCs w:val="19"/>
              </w:rPr>
            </w:pPr>
            <w:r w:rsidRPr="001665BF">
              <w:rPr>
                <w:rFonts w:ascii="Arial" w:hAnsi="Arial" w:cs="Arial"/>
                <w:sz w:val="19"/>
                <w:szCs w:val="19"/>
              </w:rPr>
              <w:t>24.44±0.30</w:t>
            </w:r>
            <w:r w:rsidR="00D75E11">
              <w:rPr>
                <w:rFonts w:ascii="Arial" w:hAnsi="Arial" w:cs="Arial"/>
                <w:sz w:val="19"/>
                <w:szCs w:val="19"/>
                <w:vertAlign w:val="superscript"/>
              </w:rPr>
              <w:t>a</w:t>
            </w:r>
          </w:p>
        </w:tc>
        <w:tc>
          <w:tcPr>
            <w:tcW w:w="1276" w:type="dxa"/>
            <w:tcMar>
              <w:top w:w="15" w:type="dxa"/>
              <w:left w:w="108" w:type="dxa"/>
              <w:bottom w:w="0" w:type="dxa"/>
              <w:right w:w="108" w:type="dxa"/>
            </w:tcMar>
          </w:tcPr>
          <w:p w14:paraId="7775ABC1" w14:textId="539CE486" w:rsidR="005C4137" w:rsidRPr="001665BF" w:rsidRDefault="005C4137" w:rsidP="005B0820">
            <w:pPr>
              <w:jc w:val="center"/>
              <w:rPr>
                <w:rFonts w:ascii="Arial" w:hAnsi="Arial" w:cs="Arial"/>
                <w:sz w:val="19"/>
                <w:szCs w:val="19"/>
              </w:rPr>
            </w:pPr>
            <w:r w:rsidRPr="001665BF">
              <w:rPr>
                <w:rFonts w:ascii="Arial" w:hAnsi="Arial" w:cs="Arial"/>
                <w:sz w:val="19"/>
                <w:szCs w:val="19"/>
              </w:rPr>
              <w:t>23.90±0.07</w:t>
            </w:r>
            <w:r w:rsidR="00D75E11">
              <w:rPr>
                <w:rFonts w:ascii="Arial" w:hAnsi="Arial" w:cs="Arial"/>
                <w:sz w:val="19"/>
                <w:szCs w:val="19"/>
                <w:vertAlign w:val="superscript"/>
              </w:rPr>
              <w:t>c</w:t>
            </w:r>
          </w:p>
        </w:tc>
        <w:tc>
          <w:tcPr>
            <w:tcW w:w="1134" w:type="dxa"/>
            <w:tcMar>
              <w:top w:w="15" w:type="dxa"/>
              <w:left w:w="108" w:type="dxa"/>
              <w:bottom w:w="0" w:type="dxa"/>
              <w:right w:w="108" w:type="dxa"/>
            </w:tcMar>
          </w:tcPr>
          <w:p w14:paraId="784AF72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3.34±0.05</w:t>
            </w:r>
            <w:r w:rsidRPr="001665BF">
              <w:rPr>
                <w:rFonts w:ascii="Arial" w:hAnsi="Arial" w:cs="Arial"/>
                <w:sz w:val="19"/>
                <w:szCs w:val="19"/>
                <w:vertAlign w:val="superscript"/>
              </w:rPr>
              <w:t>a</w:t>
            </w:r>
          </w:p>
        </w:tc>
        <w:tc>
          <w:tcPr>
            <w:tcW w:w="1393" w:type="dxa"/>
            <w:tcMar>
              <w:top w:w="15" w:type="dxa"/>
              <w:left w:w="108" w:type="dxa"/>
              <w:bottom w:w="0" w:type="dxa"/>
              <w:right w:w="108" w:type="dxa"/>
            </w:tcMar>
          </w:tcPr>
          <w:p w14:paraId="6EF8B709"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3.29±0.04</w:t>
            </w:r>
            <w:r w:rsidRPr="001665BF">
              <w:rPr>
                <w:rFonts w:ascii="Arial" w:hAnsi="Arial" w:cs="Arial"/>
                <w:sz w:val="19"/>
                <w:szCs w:val="19"/>
                <w:vertAlign w:val="superscript"/>
              </w:rPr>
              <w:t>c</w:t>
            </w:r>
          </w:p>
        </w:tc>
      </w:tr>
      <w:tr w:rsidR="001665BF" w:rsidRPr="00DA49C2" w14:paraId="08707715" w14:textId="77777777" w:rsidTr="00F15A2A">
        <w:trPr>
          <w:trHeight w:val="317"/>
        </w:trPr>
        <w:tc>
          <w:tcPr>
            <w:tcW w:w="846" w:type="dxa"/>
            <w:tcBorders>
              <w:bottom w:val="single" w:sz="4" w:space="0" w:color="auto"/>
            </w:tcBorders>
            <w:tcMar>
              <w:top w:w="15" w:type="dxa"/>
              <w:left w:w="108" w:type="dxa"/>
              <w:bottom w:w="0" w:type="dxa"/>
              <w:right w:w="108" w:type="dxa"/>
            </w:tcMar>
          </w:tcPr>
          <w:p w14:paraId="559E295D"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4</w:t>
            </w:r>
          </w:p>
        </w:tc>
        <w:tc>
          <w:tcPr>
            <w:tcW w:w="1134" w:type="dxa"/>
            <w:tcBorders>
              <w:bottom w:val="single" w:sz="4" w:space="0" w:color="auto"/>
            </w:tcBorders>
            <w:tcMar>
              <w:top w:w="15" w:type="dxa"/>
              <w:left w:w="108" w:type="dxa"/>
              <w:bottom w:w="0" w:type="dxa"/>
              <w:right w:w="108" w:type="dxa"/>
            </w:tcMar>
          </w:tcPr>
          <w:p w14:paraId="2FA5BEBC"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2.00±0.01</w:t>
            </w:r>
            <w:r w:rsidRPr="001665BF">
              <w:rPr>
                <w:rFonts w:ascii="Arial" w:hAnsi="Arial" w:cs="Arial"/>
                <w:sz w:val="19"/>
                <w:szCs w:val="19"/>
                <w:vertAlign w:val="superscript"/>
              </w:rPr>
              <w:t>a</w:t>
            </w:r>
          </w:p>
        </w:tc>
        <w:tc>
          <w:tcPr>
            <w:tcW w:w="1417" w:type="dxa"/>
            <w:tcBorders>
              <w:bottom w:val="single" w:sz="4" w:space="0" w:color="auto"/>
            </w:tcBorders>
            <w:tcMar>
              <w:top w:w="15" w:type="dxa"/>
              <w:left w:w="108" w:type="dxa"/>
              <w:bottom w:w="0" w:type="dxa"/>
              <w:right w:w="108" w:type="dxa"/>
            </w:tcMar>
          </w:tcPr>
          <w:p w14:paraId="049305FF" w14:textId="44F7C72A" w:rsidR="005C4137" w:rsidRPr="001665BF" w:rsidRDefault="005C4137" w:rsidP="005B0820">
            <w:pPr>
              <w:jc w:val="center"/>
              <w:rPr>
                <w:rFonts w:ascii="Arial" w:hAnsi="Arial" w:cs="Arial"/>
                <w:sz w:val="19"/>
                <w:szCs w:val="19"/>
              </w:rPr>
            </w:pPr>
            <w:r w:rsidRPr="001665BF">
              <w:rPr>
                <w:rFonts w:ascii="Arial" w:hAnsi="Arial" w:cs="Arial"/>
                <w:sz w:val="19"/>
                <w:szCs w:val="19"/>
              </w:rPr>
              <w:t>14.22±0.02</w:t>
            </w:r>
            <w:r w:rsidRPr="001665BF">
              <w:rPr>
                <w:rFonts w:ascii="Arial" w:hAnsi="Arial" w:cs="Arial"/>
                <w:sz w:val="19"/>
                <w:szCs w:val="19"/>
                <w:vertAlign w:val="superscript"/>
              </w:rPr>
              <w:t>b</w:t>
            </w:r>
            <w:r w:rsidR="00D75E11">
              <w:rPr>
                <w:rFonts w:ascii="Arial" w:hAnsi="Arial" w:cs="Arial"/>
                <w:sz w:val="19"/>
                <w:szCs w:val="19"/>
                <w:vertAlign w:val="superscript"/>
              </w:rPr>
              <w:t>d</w:t>
            </w:r>
          </w:p>
        </w:tc>
        <w:tc>
          <w:tcPr>
            <w:tcW w:w="1276" w:type="dxa"/>
            <w:tcBorders>
              <w:bottom w:val="single" w:sz="4" w:space="0" w:color="auto"/>
            </w:tcBorders>
            <w:tcMar>
              <w:top w:w="15" w:type="dxa"/>
              <w:left w:w="108" w:type="dxa"/>
              <w:bottom w:w="0" w:type="dxa"/>
              <w:right w:w="108" w:type="dxa"/>
            </w:tcMar>
          </w:tcPr>
          <w:p w14:paraId="1759B6FF" w14:textId="70A071F8" w:rsidR="005C4137" w:rsidRPr="001665BF" w:rsidRDefault="005C4137" w:rsidP="005B0820">
            <w:pPr>
              <w:jc w:val="center"/>
              <w:rPr>
                <w:rFonts w:ascii="Arial" w:hAnsi="Arial" w:cs="Arial"/>
                <w:sz w:val="19"/>
                <w:szCs w:val="19"/>
              </w:rPr>
            </w:pPr>
            <w:r w:rsidRPr="001665BF">
              <w:rPr>
                <w:rFonts w:ascii="Arial" w:hAnsi="Arial" w:cs="Arial"/>
                <w:sz w:val="19"/>
                <w:szCs w:val="19"/>
              </w:rPr>
              <w:t>22.55±0.16</w:t>
            </w:r>
            <w:r w:rsidR="00D75E11">
              <w:rPr>
                <w:rFonts w:ascii="Arial" w:hAnsi="Arial" w:cs="Arial"/>
                <w:sz w:val="19"/>
                <w:szCs w:val="19"/>
                <w:vertAlign w:val="superscript"/>
              </w:rPr>
              <w:t>b</w:t>
            </w:r>
          </w:p>
        </w:tc>
        <w:tc>
          <w:tcPr>
            <w:tcW w:w="1276" w:type="dxa"/>
            <w:tcBorders>
              <w:bottom w:val="single" w:sz="4" w:space="0" w:color="auto"/>
            </w:tcBorders>
            <w:tcMar>
              <w:top w:w="15" w:type="dxa"/>
              <w:left w:w="108" w:type="dxa"/>
              <w:bottom w:w="0" w:type="dxa"/>
              <w:right w:w="108" w:type="dxa"/>
            </w:tcMar>
          </w:tcPr>
          <w:p w14:paraId="67CE005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23.20±0.01</w:t>
            </w:r>
            <w:r w:rsidRPr="001665BF">
              <w:rPr>
                <w:rFonts w:ascii="Arial" w:hAnsi="Arial" w:cs="Arial"/>
                <w:sz w:val="19"/>
                <w:szCs w:val="19"/>
                <w:vertAlign w:val="superscript"/>
              </w:rPr>
              <w:t>e</w:t>
            </w:r>
          </w:p>
        </w:tc>
        <w:tc>
          <w:tcPr>
            <w:tcW w:w="1134" w:type="dxa"/>
            <w:tcBorders>
              <w:bottom w:val="single" w:sz="4" w:space="0" w:color="auto"/>
            </w:tcBorders>
            <w:tcMar>
              <w:top w:w="15" w:type="dxa"/>
              <w:left w:w="108" w:type="dxa"/>
              <w:bottom w:w="0" w:type="dxa"/>
              <w:right w:w="108" w:type="dxa"/>
            </w:tcMar>
          </w:tcPr>
          <w:p w14:paraId="64EF1FA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3.47±0.04</w:t>
            </w:r>
            <w:r w:rsidRPr="001665BF">
              <w:rPr>
                <w:rFonts w:ascii="Arial" w:hAnsi="Arial" w:cs="Arial"/>
                <w:sz w:val="19"/>
                <w:szCs w:val="19"/>
                <w:vertAlign w:val="superscript"/>
              </w:rPr>
              <w:t>a</w:t>
            </w:r>
          </w:p>
        </w:tc>
        <w:tc>
          <w:tcPr>
            <w:tcW w:w="1393" w:type="dxa"/>
            <w:tcBorders>
              <w:bottom w:val="single" w:sz="4" w:space="0" w:color="auto"/>
            </w:tcBorders>
            <w:tcMar>
              <w:top w:w="15" w:type="dxa"/>
              <w:left w:w="108" w:type="dxa"/>
              <w:bottom w:w="0" w:type="dxa"/>
              <w:right w:w="108" w:type="dxa"/>
            </w:tcMar>
          </w:tcPr>
          <w:p w14:paraId="449E500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2.44±0.03</w:t>
            </w:r>
            <w:r w:rsidRPr="001665BF">
              <w:rPr>
                <w:rFonts w:ascii="Arial" w:hAnsi="Arial" w:cs="Arial"/>
                <w:sz w:val="19"/>
                <w:szCs w:val="19"/>
                <w:vertAlign w:val="superscript"/>
              </w:rPr>
              <w:t>d</w:t>
            </w:r>
          </w:p>
        </w:tc>
      </w:tr>
    </w:tbl>
    <w:p w14:paraId="35947F57" w14:textId="77777777" w:rsidR="005C4137" w:rsidRPr="001665BF" w:rsidRDefault="005C4137" w:rsidP="00F750FD">
      <w:pPr>
        <w:ind w:left="1134"/>
        <w:rPr>
          <w:i/>
          <w:iCs/>
        </w:rPr>
      </w:pPr>
      <w:r w:rsidRPr="001665BF">
        <w:rPr>
          <w:b/>
          <w:bCs/>
          <w:i/>
          <w:iCs/>
        </w:rPr>
        <w:t>*</w:t>
      </w:r>
      <w:r w:rsidRPr="001665BF">
        <w:rPr>
          <w:rFonts w:ascii="Arial" w:hAnsi="Arial" w:cs="Arial"/>
          <w:i/>
          <w:iCs/>
          <w:sz w:val="18"/>
          <w:szCs w:val="18"/>
        </w:rPr>
        <w:t>Values are mean ± SD (n=3). Different superscript alphabets in the same column indicate significant different.</w:t>
      </w:r>
    </w:p>
    <w:p w14:paraId="0BC77674" w14:textId="56411D85" w:rsidR="00BC3486" w:rsidRPr="00175FD5" w:rsidRDefault="001665BF" w:rsidP="00301EE5">
      <w:pPr>
        <w:autoSpaceDE w:val="0"/>
        <w:autoSpaceDN w:val="0"/>
        <w:adjustRightInd w:val="0"/>
        <w:ind w:left="1134" w:right="697"/>
        <w:jc w:val="both"/>
      </w:pPr>
      <w:r>
        <w:t>The physicochemical analysis revealed significant fluctuations in most parameters during accelerated storage (</w:t>
      </w:r>
      <w:r w:rsidRPr="00F15A2A">
        <w:t>Table 4</w:t>
      </w:r>
      <w:r>
        <w:t xml:space="preserve">). </w:t>
      </w:r>
      <w:r w:rsidR="00A80F18" w:rsidRPr="00A80F18">
        <w:t xml:space="preserve">The pH </w:t>
      </w:r>
      <w:r>
        <w:t>showed statistically significant differences between weeks, dropping from the initial 2.00 to a minimum of 1.90 at week 2, before returning to 2.00 by week 4. This pattern confirms the strong buffering capacity of the organic acids, with the final acidity matching the initial state, which is crucial for safety (Shahid et al., 2022).</w:t>
      </w:r>
      <w:r w:rsidR="00475E2F">
        <w:t xml:space="preserve"> </w:t>
      </w:r>
      <w:r w:rsidR="00A80F18" w:rsidRPr="00A80F18">
        <w:t xml:space="preserve">The </w:t>
      </w:r>
      <w:r w:rsidR="00A80F18">
        <w:t>total soluble solid (TSS)</w:t>
      </w:r>
      <w:r w:rsidR="00A80F18" w:rsidRPr="00A80F18">
        <w:t xml:space="preserve"> w</w:t>
      </w:r>
      <w:r w:rsidR="00A80F18">
        <w:t>as</w:t>
      </w:r>
      <w:r w:rsidR="00A80F18" w:rsidRPr="00A80F18">
        <w:t xml:space="preserve"> 13.8 ± 0.1 initially, reflecting soluble solids from FOS and fruit (including sugars and acids). </w:t>
      </w:r>
      <w:r w:rsidR="00A80F18">
        <w:t xml:space="preserve">It </w:t>
      </w:r>
      <w:r>
        <w:t>also exhibited significant changes. Starting at 13.77</w:t>
      </w:r>
      <w:r w:rsidR="00475E2F">
        <w:t xml:space="preserve"> </w:t>
      </w:r>
      <w:bookmarkStart w:id="24" w:name="_Hlk212562176"/>
      <w:r w:rsidR="00475E2F">
        <w:rPr>
          <w:rFonts w:cs="Helvetica"/>
        </w:rPr>
        <w:t>°</w:t>
      </w:r>
      <w:r w:rsidR="00475E2F">
        <w:t>Brix</w:t>
      </w:r>
      <w:bookmarkEnd w:id="24"/>
      <w:r w:rsidR="00475E2F">
        <w:t>, the TSS</w:t>
      </w:r>
      <w:r>
        <w:t xml:space="preserve"> significantly increased to 14.5</w:t>
      </w:r>
      <w:r w:rsidR="00475E2F">
        <w:t xml:space="preserve">1 </w:t>
      </w:r>
      <w:bookmarkStart w:id="25" w:name="_Hlk212562236"/>
      <w:r w:rsidR="00475E2F" w:rsidRPr="00475E2F">
        <w:t>°Brix</w:t>
      </w:r>
      <w:r>
        <w:t xml:space="preserve"> </w:t>
      </w:r>
      <w:bookmarkEnd w:id="25"/>
      <w:r>
        <w:t xml:space="preserve">by </w:t>
      </w:r>
      <w:r w:rsidR="00475E2F">
        <w:t>week</w:t>
      </w:r>
      <w:r>
        <w:t xml:space="preserve"> 2, suggesting minor moisture loss or slight FOS hydrolysis into monosaccharides, which are generally more soluble. The </w:t>
      </w:r>
      <w:r w:rsidR="00475E2F">
        <w:t>TSS</w:t>
      </w:r>
      <w:r>
        <w:t xml:space="preserve"> then settled to 14.22</w:t>
      </w:r>
      <w:r w:rsidR="00475E2F" w:rsidRPr="00475E2F">
        <w:t>°Brix</w:t>
      </w:r>
      <w:r>
        <w:t xml:space="preserve"> at </w:t>
      </w:r>
      <w:r w:rsidR="00475E2F">
        <w:t>week</w:t>
      </w:r>
      <w:r>
        <w:t xml:space="preserve"> 4, remaining significantly higher than the initial value</w:t>
      </w:r>
      <w:r w:rsidR="00475E2F">
        <w:t xml:space="preserve">. </w:t>
      </w:r>
      <w:r w:rsidR="00A726A6" w:rsidRPr="00A726A6">
        <w:t xml:space="preserve">The viscosity </w:t>
      </w:r>
      <w:r w:rsidR="00A726A6">
        <w:t xml:space="preserve">of the concentrate </w:t>
      </w:r>
      <w:r w:rsidR="00A726A6" w:rsidRPr="00A726A6">
        <w:t xml:space="preserve">was 20.06 ± 0.07 </w:t>
      </w:r>
      <w:proofErr w:type="spellStart"/>
      <w:r w:rsidR="00A726A6" w:rsidRPr="00A726A6">
        <w:t>mPa·s</w:t>
      </w:r>
      <w:proofErr w:type="spellEnd"/>
      <w:r w:rsidR="00A726A6" w:rsidRPr="00A726A6">
        <w:t>, indicating a slightly syrupy consistency</w:t>
      </w:r>
      <w:r w:rsidR="00A726A6">
        <w:t>. F</w:t>
      </w:r>
      <w:r w:rsidR="00A726A6" w:rsidRPr="00A726A6">
        <w:t xml:space="preserve">or comparison, water has ~1 </w:t>
      </w:r>
      <w:proofErr w:type="spellStart"/>
      <w:r w:rsidR="00A726A6" w:rsidRPr="00A726A6">
        <w:t>mPa·s</w:t>
      </w:r>
      <w:proofErr w:type="spellEnd"/>
      <w:r w:rsidR="00A726A6">
        <w:t>;</w:t>
      </w:r>
      <w:r w:rsidR="00A726A6" w:rsidRPr="00A726A6">
        <w:t xml:space="preserve"> </w:t>
      </w:r>
      <w:proofErr w:type="gramStart"/>
      <w:r w:rsidR="00A726A6" w:rsidRPr="00A726A6">
        <w:t>so</w:t>
      </w:r>
      <w:proofErr w:type="gramEnd"/>
      <w:r w:rsidR="00A726A6" w:rsidRPr="00A726A6">
        <w:t xml:space="preserve"> this product is ~20 times thicker than water, but still much thinner than honey or typical syrup</w:t>
      </w:r>
      <w:r w:rsidR="0069166D">
        <w:t xml:space="preserve"> (An, S., 2023).</w:t>
      </w:r>
      <w:r w:rsidR="00A726A6" w:rsidRPr="00A726A6">
        <w:t xml:space="preserve"> </w:t>
      </w:r>
      <w:r>
        <w:t xml:space="preserve">Viscosity demonstrated the most dynamic and statistically distinct variation, with every </w:t>
      </w:r>
      <w:r w:rsidR="00475E2F">
        <w:t>week</w:t>
      </w:r>
      <w:r>
        <w:t xml:space="preserve"> being significantly different from the previous one. It decreased significantly at </w:t>
      </w:r>
      <w:r w:rsidR="00475E2F">
        <w:t>week</w:t>
      </w:r>
      <w:r>
        <w:t xml:space="preserve"> 1 (17.56</w:t>
      </w:r>
      <w:r w:rsidR="00475E2F">
        <w:t xml:space="preserve"> </w:t>
      </w:r>
      <w:proofErr w:type="spellStart"/>
      <w:r w:rsidR="00475E2F">
        <w:t>mPa.s</w:t>
      </w:r>
      <w:proofErr w:type="spellEnd"/>
      <w:r w:rsidR="00475E2F">
        <w:t>)</w:t>
      </w:r>
      <w:r>
        <w:t xml:space="preserve"> but then sharply and significantly increased to a peak at </w:t>
      </w:r>
      <w:r w:rsidR="00475E2F">
        <w:t>week</w:t>
      </w:r>
      <w:r>
        <w:t xml:space="preserve"> 3 (24.44</w:t>
      </w:r>
      <w:r w:rsidR="00475E2F">
        <w:t xml:space="preserve"> </w:t>
      </w:r>
      <w:proofErr w:type="spellStart"/>
      <w:r w:rsidR="00475E2F">
        <w:t>mPa.s</w:t>
      </w:r>
      <w:proofErr w:type="spellEnd"/>
      <w:r>
        <w:t>), suggesting complex changes in the hydrocolloid and sugar chemistry under thermal stress. The significant rise in viscosity may indicate minor aggregation or molecular interaction of xanthan gum or FOS</w:t>
      </w:r>
      <w:r w:rsidR="00475E2F">
        <w:t xml:space="preserve"> </w:t>
      </w:r>
      <w:r>
        <w:t>degradation products</w:t>
      </w:r>
      <w:r w:rsidR="00A80F18">
        <w:t xml:space="preserve"> (Zeng et al., 2021).</w:t>
      </w:r>
      <w:r w:rsidR="00175FD5">
        <w:t xml:space="preserve"> </w:t>
      </w:r>
      <w:r w:rsidR="00A726A6" w:rsidRPr="00A726A6">
        <w:t>The color of the fresh concentrate was described by L</w:t>
      </w:r>
      <w:r w:rsidR="00A726A6">
        <w:t>* (lightness)</w:t>
      </w:r>
      <w:r w:rsidR="00A726A6" w:rsidRPr="00A726A6">
        <w:t xml:space="preserve"> = 24.03, a</w:t>
      </w:r>
      <w:r w:rsidR="00A726A6">
        <w:t>* (redness)</w:t>
      </w:r>
      <w:r w:rsidR="00A726A6" w:rsidRPr="00A726A6">
        <w:t xml:space="preserve"> = 4.69, b</w:t>
      </w:r>
      <w:r w:rsidR="00A726A6">
        <w:t>* (yellowness)</w:t>
      </w:r>
      <w:r w:rsidR="00A726A6" w:rsidRPr="00A726A6">
        <w:t xml:space="preserve"> = 5.52. This indicates a moderately dark, yellow-orange hue with a slight reddish tint.</w:t>
      </w:r>
      <w:r w:rsidR="00A726A6">
        <w:t xml:space="preserve"> The color</w:t>
      </w:r>
      <w:r>
        <w:t xml:space="preserve"> values showed statistically significant shifts over time, but</w:t>
      </w:r>
      <w:r w:rsidR="00175FD5">
        <w:t xml:space="preserve"> </w:t>
      </w:r>
      <w:r>
        <w:t>a* remained unchanged.</w:t>
      </w:r>
      <w:r w:rsidR="00A726A6">
        <w:t xml:space="preserve"> This is most probably due to the</w:t>
      </w:r>
      <w:r w:rsidR="00A726A6" w:rsidRPr="00A726A6">
        <w:t xml:space="preserve"> contribution of </w:t>
      </w:r>
      <w:r w:rsidR="00311CD8">
        <w:t xml:space="preserve">more than 60% </w:t>
      </w:r>
      <w:r w:rsidR="00A726A6" w:rsidRPr="00A726A6">
        <w:t xml:space="preserve">leaf extract (which is </w:t>
      </w:r>
      <w:r w:rsidR="00A726A6">
        <w:t>red</w:t>
      </w:r>
      <w:r w:rsidR="00311CD8">
        <w:t>dish pink</w:t>
      </w:r>
      <w:r w:rsidR="00A726A6" w:rsidRPr="00A726A6">
        <w:t>)</w:t>
      </w:r>
      <w:r>
        <w:t xml:space="preserve"> </w:t>
      </w:r>
      <w:r w:rsidR="00311CD8">
        <w:t xml:space="preserve">in the concentrate. </w:t>
      </w:r>
      <w:r>
        <w:t>The significant decrease in</w:t>
      </w:r>
      <w:r w:rsidR="00175FD5">
        <w:t xml:space="preserve"> </w:t>
      </w:r>
      <w:r>
        <w:t xml:space="preserve">L* from </w:t>
      </w:r>
      <w:r w:rsidR="00175FD5">
        <w:t>week</w:t>
      </w:r>
      <w:r>
        <w:t xml:space="preserve"> 1 (26.14) to </w:t>
      </w:r>
      <w:r w:rsidR="00175FD5">
        <w:t>week</w:t>
      </w:r>
      <w:r>
        <w:t xml:space="preserve"> 4 (23.20) indicated that the concentrate became significantly darker, suggesting non-enzymatic browning common in high-acid environments. Similarly, the significant and continuous drop in b*</w:t>
      </w:r>
      <w:r w:rsidR="00A80F18">
        <w:t xml:space="preserve"> </w:t>
      </w:r>
      <w:r>
        <w:t xml:space="preserve">from 5.5 to 2.44 confirms a degradation of yellow pigments, shifting the color profile toward a duller </w:t>
      </w:r>
      <w:bookmarkStart w:id="26" w:name="_Hlk212564725"/>
      <w:r>
        <w:t>brow</w:t>
      </w:r>
      <w:bookmarkEnd w:id="26"/>
      <w:r>
        <w:t xml:space="preserve">n hue. </w:t>
      </w:r>
    </w:p>
    <w:p w14:paraId="466E7FC2" w14:textId="77777777" w:rsidR="0069166D" w:rsidRDefault="0069166D" w:rsidP="005B0820">
      <w:pPr>
        <w:pStyle w:val="Body"/>
        <w:spacing w:after="0"/>
        <w:rPr>
          <w:rFonts w:ascii="Arial" w:hAnsi="Arial" w:cs="Arial"/>
        </w:rPr>
      </w:pPr>
    </w:p>
    <w:p w14:paraId="1AF93EC7" w14:textId="6697E2DA" w:rsidR="00311CD8" w:rsidRDefault="00311CD8" w:rsidP="00F750FD">
      <w:pPr>
        <w:pStyle w:val="Body"/>
        <w:spacing w:after="0"/>
        <w:ind w:left="1134"/>
        <w:rPr>
          <w:rFonts w:ascii="Arial" w:hAnsi="Arial" w:cs="Arial"/>
          <w:b/>
          <w:u w:val="single"/>
        </w:rPr>
      </w:pPr>
      <w:bookmarkStart w:id="27" w:name="_Hlk212565281"/>
      <w:r>
        <w:rPr>
          <w:rFonts w:ascii="Arial" w:hAnsi="Arial" w:cs="Arial"/>
          <w:b/>
          <w:u w:val="single"/>
        </w:rPr>
        <w:t>3.3</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311CD8">
        <w:rPr>
          <w:rFonts w:ascii="Arial" w:hAnsi="Arial" w:cs="Arial"/>
          <w:b/>
          <w:u w:val="single"/>
        </w:rPr>
        <w:t>Microbiological Safety</w:t>
      </w:r>
    </w:p>
    <w:bookmarkEnd w:id="27"/>
    <w:p w14:paraId="001C076D" w14:textId="2F5D8DB1" w:rsidR="00311CD8" w:rsidRDefault="00311CD8" w:rsidP="0080170D">
      <w:pPr>
        <w:pStyle w:val="Body"/>
        <w:spacing w:after="0"/>
        <w:ind w:left="1134" w:right="1122"/>
      </w:pPr>
      <w:r w:rsidRPr="00311CD8">
        <w:t xml:space="preserve">The microbiological analysis, detailed in </w:t>
      </w:r>
      <w:r w:rsidRPr="00F15A2A">
        <w:t>Table 5</w:t>
      </w:r>
      <w:r w:rsidRPr="00311CD8">
        <w:t xml:space="preserve">, demonstrated perfect stability. No microbial growth was detected in any test, including Total Plate Count, E. coli, Coliforms, or Yeasts &amp; Molds, at </w:t>
      </w:r>
      <w:bookmarkStart w:id="28" w:name="_Hlk212565174"/>
      <w:r w:rsidRPr="00311CD8">
        <w:t>any</w:t>
      </w:r>
      <w:bookmarkEnd w:id="28"/>
      <w:r w:rsidRPr="00311CD8">
        <w:t xml:space="preserve"> point during the 4-</w:t>
      </w:r>
      <w:r>
        <w:t>weeks</w:t>
      </w:r>
      <w:r w:rsidRPr="00311CD8">
        <w:t xml:space="preserve"> storage period.</w:t>
      </w:r>
      <w:r w:rsidR="001A2C5E">
        <w:t xml:space="preserve"> </w:t>
      </w:r>
      <w:r w:rsidR="00A92BAD" w:rsidRPr="00A92BAD">
        <w:t>The strong intrinsic acidity of the concentrate (pH ≈ 2.0) constitutes a major antimicrobial hurdle that suppresses spoilage bacteria and fungi, including acid-tolerant species, thereby minimizing growth even under elevated-temperature stress conditions (</w:t>
      </w:r>
      <w:proofErr w:type="spellStart"/>
      <w:r w:rsidR="00A92BAD" w:rsidRPr="00A92BAD">
        <w:t>Pouris</w:t>
      </w:r>
      <w:proofErr w:type="spellEnd"/>
      <w:r w:rsidR="00A92BAD" w:rsidRPr="00A92BAD">
        <w:t xml:space="preserve"> et al., 2024). In combination, the dual pasteurization approach—aligned with hot-fill/aseptic practices—achieves commercial sterility by delivering sufficient lethality in a low-pH matrix and preventing post-process recontamination (Kong et al., 2020; </w:t>
      </w:r>
      <w:proofErr w:type="spellStart"/>
      <w:r w:rsidR="00A92BAD" w:rsidRPr="00A92BAD">
        <w:t>Chiozzi</w:t>
      </w:r>
      <w:proofErr w:type="spellEnd"/>
      <w:r w:rsidR="00A92BAD" w:rsidRPr="00A92BAD">
        <w:t xml:space="preserve"> et al., 2022). Finally, hermetic, oxygen-barrier (anaerobic) packaging further limits oxidative and microbial spoilage, enabling extended shelf life without added chemical preservatives (Verma et al., 2021).</w:t>
      </w:r>
    </w:p>
    <w:p w14:paraId="640BED94" w14:textId="5CDD2731" w:rsidR="00311CD8" w:rsidRDefault="00311CD8" w:rsidP="00F750FD">
      <w:pPr>
        <w:pStyle w:val="Body"/>
        <w:spacing w:after="0"/>
        <w:ind w:left="1134"/>
        <w:rPr>
          <w:rFonts w:ascii="Arial" w:hAnsi="Arial"/>
          <w:b/>
        </w:rPr>
      </w:pPr>
      <w:bookmarkStart w:id="29" w:name="_Hlk212565472"/>
      <w:r>
        <w:rPr>
          <w:rFonts w:ascii="Arial" w:hAnsi="Arial"/>
          <w:b/>
        </w:rPr>
        <w:t xml:space="preserve">Table 5. </w:t>
      </w:r>
      <w:r w:rsidRPr="00F15A2A">
        <w:rPr>
          <w:rFonts w:ascii="Arial" w:hAnsi="Arial"/>
        </w:rPr>
        <w:t>M</w:t>
      </w:r>
      <w:r w:rsidRPr="00311CD8">
        <w:rPr>
          <w:rFonts w:ascii="Arial" w:hAnsi="Arial"/>
          <w:b/>
        </w:rPr>
        <w:t xml:space="preserve">icrobiological </w:t>
      </w:r>
      <w:r w:rsidR="00F8503A">
        <w:rPr>
          <w:rFonts w:ascii="Arial" w:hAnsi="Arial"/>
          <w:b/>
        </w:rPr>
        <w:t>a</w:t>
      </w:r>
      <w:r w:rsidRPr="00311CD8">
        <w:rPr>
          <w:rFonts w:ascii="Arial" w:hAnsi="Arial"/>
          <w:b/>
        </w:rPr>
        <w:t xml:space="preserve">nalysis of the </w:t>
      </w:r>
      <w:r w:rsidR="00F8503A">
        <w:rPr>
          <w:rFonts w:ascii="Arial" w:hAnsi="Arial"/>
          <w:b/>
        </w:rPr>
        <w:t>c</w:t>
      </w:r>
      <w:r w:rsidRPr="00311CD8">
        <w:rPr>
          <w:rFonts w:ascii="Arial" w:hAnsi="Arial"/>
          <w:b/>
        </w:rPr>
        <w:t xml:space="preserve">oncentrate during </w:t>
      </w:r>
      <w:r w:rsidR="00F8503A">
        <w:rPr>
          <w:rFonts w:ascii="Arial" w:hAnsi="Arial"/>
          <w:b/>
        </w:rPr>
        <w:t>s</w:t>
      </w:r>
      <w:r w:rsidRPr="00311CD8">
        <w:rPr>
          <w:rFonts w:ascii="Arial" w:hAnsi="Arial"/>
          <w:b/>
        </w:rPr>
        <w:t xml:space="preserve">torage </w:t>
      </w:r>
    </w:p>
    <w:tbl>
      <w:tblPr>
        <w:tblStyle w:val="TableGrid"/>
        <w:tblpPr w:leftFromText="180" w:rightFromText="180" w:vertAnchor="text" w:horzAnchor="margin" w:tblpXSpec="center" w:tblpY="58"/>
        <w:tblW w:w="8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1476"/>
        <w:gridCol w:w="1152"/>
        <w:gridCol w:w="1125"/>
        <w:gridCol w:w="1903"/>
        <w:gridCol w:w="1750"/>
        <w:gridCol w:w="17"/>
      </w:tblGrid>
      <w:tr w:rsidR="00F750FD" w:rsidRPr="008D5E69" w14:paraId="7C55EF0A" w14:textId="77777777" w:rsidTr="002F1814">
        <w:trPr>
          <w:trHeight w:val="470"/>
        </w:trPr>
        <w:tc>
          <w:tcPr>
            <w:tcW w:w="812" w:type="dxa"/>
            <w:vMerge w:val="restart"/>
            <w:tcBorders>
              <w:top w:val="single" w:sz="4" w:space="0" w:color="auto"/>
              <w:bottom w:val="single" w:sz="4" w:space="0" w:color="auto"/>
            </w:tcBorders>
            <w:vAlign w:val="center"/>
          </w:tcPr>
          <w:bookmarkEnd w:id="29"/>
          <w:p w14:paraId="7306E6B8" w14:textId="77777777" w:rsidR="00F750FD" w:rsidRPr="00B62084" w:rsidRDefault="00F750FD" w:rsidP="00F750FD">
            <w:pPr>
              <w:jc w:val="center"/>
              <w:rPr>
                <w:rFonts w:ascii="Arial" w:hAnsi="Arial" w:cs="Arial"/>
                <w:b/>
                <w:bCs/>
                <w:sz w:val="20"/>
                <w:szCs w:val="20"/>
              </w:rPr>
            </w:pPr>
            <w:r w:rsidRPr="00B62084">
              <w:rPr>
                <w:rFonts w:ascii="Arial" w:hAnsi="Arial" w:cs="Arial"/>
                <w:b/>
                <w:bCs/>
                <w:sz w:val="20"/>
                <w:szCs w:val="20"/>
              </w:rPr>
              <w:t>Week</w:t>
            </w:r>
          </w:p>
        </w:tc>
        <w:tc>
          <w:tcPr>
            <w:tcW w:w="7423" w:type="dxa"/>
            <w:gridSpan w:val="6"/>
            <w:tcBorders>
              <w:top w:val="single" w:sz="4" w:space="0" w:color="auto"/>
              <w:bottom w:val="single" w:sz="4" w:space="0" w:color="auto"/>
            </w:tcBorders>
            <w:vAlign w:val="center"/>
          </w:tcPr>
          <w:p w14:paraId="6ACE02FF" w14:textId="77777777" w:rsidR="00F750FD" w:rsidRPr="00B62084" w:rsidRDefault="00F750FD" w:rsidP="00F750FD">
            <w:pPr>
              <w:jc w:val="center"/>
              <w:rPr>
                <w:rFonts w:ascii="Arial" w:hAnsi="Arial" w:cs="Arial"/>
                <w:b/>
                <w:bCs/>
                <w:sz w:val="20"/>
                <w:szCs w:val="20"/>
              </w:rPr>
            </w:pPr>
            <w:r w:rsidRPr="00B62084">
              <w:rPr>
                <w:rFonts w:ascii="Arial" w:hAnsi="Arial" w:cs="Arial"/>
                <w:b/>
                <w:bCs/>
                <w:sz w:val="20"/>
                <w:szCs w:val="20"/>
              </w:rPr>
              <w:t>Microbiological analysis (</w:t>
            </w:r>
            <w:proofErr w:type="spellStart"/>
            <w:r w:rsidRPr="00B62084">
              <w:rPr>
                <w:rFonts w:ascii="Arial" w:hAnsi="Arial" w:cs="Arial"/>
                <w:b/>
                <w:bCs/>
                <w:sz w:val="20"/>
                <w:szCs w:val="20"/>
              </w:rPr>
              <w:t>cfu</w:t>
            </w:r>
            <w:proofErr w:type="spellEnd"/>
            <w:r w:rsidRPr="00B62084">
              <w:rPr>
                <w:rFonts w:ascii="Arial" w:hAnsi="Arial" w:cs="Arial"/>
                <w:b/>
                <w:bCs/>
                <w:sz w:val="20"/>
                <w:szCs w:val="20"/>
              </w:rPr>
              <w:t>/ml)</w:t>
            </w:r>
          </w:p>
        </w:tc>
      </w:tr>
      <w:tr w:rsidR="00F750FD" w:rsidRPr="008D5E69" w14:paraId="5C2F82C7" w14:textId="77777777" w:rsidTr="002F1814">
        <w:trPr>
          <w:gridAfter w:val="1"/>
          <w:wAfter w:w="17" w:type="dxa"/>
        </w:trPr>
        <w:tc>
          <w:tcPr>
            <w:tcW w:w="812" w:type="dxa"/>
            <w:vMerge/>
            <w:tcBorders>
              <w:bottom w:val="single" w:sz="4" w:space="0" w:color="auto"/>
            </w:tcBorders>
          </w:tcPr>
          <w:p w14:paraId="07C03CF6" w14:textId="77777777" w:rsidR="00F750FD" w:rsidRPr="00B62084" w:rsidRDefault="00F750FD" w:rsidP="00F750FD">
            <w:pPr>
              <w:rPr>
                <w:rFonts w:ascii="Arial" w:hAnsi="Arial" w:cs="Arial"/>
                <w:b/>
                <w:bCs/>
                <w:sz w:val="20"/>
                <w:szCs w:val="20"/>
              </w:rPr>
            </w:pPr>
          </w:p>
        </w:tc>
        <w:tc>
          <w:tcPr>
            <w:tcW w:w="1476" w:type="dxa"/>
            <w:tcBorders>
              <w:bottom w:val="single" w:sz="4" w:space="0" w:color="auto"/>
            </w:tcBorders>
          </w:tcPr>
          <w:p w14:paraId="74EF5340" w14:textId="77777777" w:rsidR="00F750FD" w:rsidRPr="00B62084" w:rsidRDefault="00F750FD" w:rsidP="00F750FD">
            <w:pPr>
              <w:jc w:val="center"/>
              <w:rPr>
                <w:rFonts w:ascii="Arial" w:hAnsi="Arial" w:cs="Arial"/>
                <w:b/>
                <w:bCs/>
                <w:sz w:val="20"/>
                <w:szCs w:val="20"/>
              </w:rPr>
            </w:pPr>
            <w:r w:rsidRPr="00B62084">
              <w:rPr>
                <w:rFonts w:ascii="Arial" w:hAnsi="Arial" w:cs="Arial"/>
                <w:b/>
                <w:bCs/>
                <w:sz w:val="20"/>
                <w:szCs w:val="20"/>
              </w:rPr>
              <w:t xml:space="preserve">Total plate count </w:t>
            </w:r>
          </w:p>
          <w:p w14:paraId="1C59ACB2" w14:textId="77777777" w:rsidR="00F750FD" w:rsidRPr="00B62084" w:rsidRDefault="00F750FD" w:rsidP="00F750FD">
            <w:pPr>
              <w:jc w:val="center"/>
              <w:rPr>
                <w:rFonts w:ascii="Arial" w:hAnsi="Arial" w:cs="Arial"/>
                <w:b/>
                <w:bCs/>
                <w:sz w:val="20"/>
                <w:szCs w:val="20"/>
              </w:rPr>
            </w:pPr>
            <w:r w:rsidRPr="00B62084">
              <w:rPr>
                <w:rFonts w:ascii="Arial" w:hAnsi="Arial" w:cs="Arial"/>
                <w:b/>
                <w:bCs/>
                <w:sz w:val="20"/>
                <w:szCs w:val="20"/>
              </w:rPr>
              <w:t>(TPC)</w:t>
            </w:r>
          </w:p>
        </w:tc>
        <w:tc>
          <w:tcPr>
            <w:tcW w:w="1152" w:type="dxa"/>
            <w:tcBorders>
              <w:bottom w:val="single" w:sz="4" w:space="0" w:color="auto"/>
            </w:tcBorders>
          </w:tcPr>
          <w:p w14:paraId="3742F89D" w14:textId="77777777" w:rsidR="00F750FD" w:rsidRPr="00B62084" w:rsidRDefault="00F750FD" w:rsidP="00F750FD">
            <w:pPr>
              <w:jc w:val="center"/>
              <w:rPr>
                <w:rFonts w:ascii="Arial" w:hAnsi="Arial" w:cs="Arial"/>
                <w:b/>
                <w:bCs/>
                <w:i/>
                <w:iCs/>
                <w:sz w:val="20"/>
                <w:szCs w:val="20"/>
              </w:rPr>
            </w:pPr>
            <w:r w:rsidRPr="00B62084">
              <w:rPr>
                <w:rFonts w:ascii="Arial" w:hAnsi="Arial" w:cs="Arial"/>
                <w:b/>
                <w:bCs/>
                <w:i/>
                <w:iCs/>
                <w:sz w:val="20"/>
                <w:szCs w:val="20"/>
              </w:rPr>
              <w:t>E. coli</w:t>
            </w:r>
          </w:p>
        </w:tc>
        <w:tc>
          <w:tcPr>
            <w:tcW w:w="1125" w:type="dxa"/>
            <w:tcBorders>
              <w:bottom w:val="single" w:sz="4" w:space="0" w:color="auto"/>
            </w:tcBorders>
          </w:tcPr>
          <w:p w14:paraId="1F48719C" w14:textId="77777777" w:rsidR="00F750FD" w:rsidRPr="00B62084" w:rsidRDefault="00F750FD" w:rsidP="00F750FD">
            <w:pPr>
              <w:jc w:val="center"/>
              <w:rPr>
                <w:rFonts w:ascii="Arial" w:hAnsi="Arial" w:cs="Arial"/>
                <w:b/>
                <w:bCs/>
                <w:sz w:val="20"/>
                <w:szCs w:val="20"/>
              </w:rPr>
            </w:pPr>
            <w:r w:rsidRPr="00B62084">
              <w:rPr>
                <w:rFonts w:ascii="Arial" w:hAnsi="Arial" w:cs="Arial"/>
                <w:b/>
                <w:bCs/>
                <w:sz w:val="20"/>
                <w:szCs w:val="20"/>
              </w:rPr>
              <w:t>Total coliform</w:t>
            </w:r>
          </w:p>
        </w:tc>
        <w:tc>
          <w:tcPr>
            <w:tcW w:w="1903" w:type="dxa"/>
            <w:tcBorders>
              <w:bottom w:val="single" w:sz="4" w:space="0" w:color="auto"/>
            </w:tcBorders>
          </w:tcPr>
          <w:p w14:paraId="393B2798" w14:textId="77777777" w:rsidR="00F750FD" w:rsidRPr="00B62084" w:rsidRDefault="00F750FD" w:rsidP="00F750FD">
            <w:pPr>
              <w:jc w:val="center"/>
              <w:rPr>
                <w:rFonts w:ascii="Arial" w:hAnsi="Arial" w:cs="Arial"/>
                <w:b/>
                <w:bCs/>
                <w:sz w:val="20"/>
                <w:szCs w:val="20"/>
              </w:rPr>
            </w:pPr>
            <w:r w:rsidRPr="00B62084">
              <w:rPr>
                <w:rFonts w:ascii="Arial" w:hAnsi="Arial" w:cs="Arial"/>
                <w:b/>
                <w:bCs/>
                <w:sz w:val="20"/>
                <w:szCs w:val="20"/>
              </w:rPr>
              <w:t xml:space="preserve">Total yeast &amp; </w:t>
            </w:r>
            <w:proofErr w:type="spellStart"/>
            <w:r w:rsidRPr="00B62084">
              <w:rPr>
                <w:rFonts w:ascii="Arial" w:hAnsi="Arial" w:cs="Arial"/>
                <w:b/>
                <w:bCs/>
                <w:sz w:val="20"/>
                <w:szCs w:val="20"/>
              </w:rPr>
              <w:t>mould</w:t>
            </w:r>
            <w:proofErr w:type="spellEnd"/>
          </w:p>
          <w:p w14:paraId="2D6AB55B" w14:textId="77777777" w:rsidR="00F750FD" w:rsidRPr="00B62084" w:rsidRDefault="00F750FD" w:rsidP="00F750FD">
            <w:pPr>
              <w:jc w:val="center"/>
              <w:rPr>
                <w:rFonts w:ascii="Arial" w:hAnsi="Arial" w:cs="Arial"/>
                <w:b/>
                <w:bCs/>
                <w:sz w:val="20"/>
                <w:szCs w:val="20"/>
              </w:rPr>
            </w:pPr>
            <w:r w:rsidRPr="00B62084">
              <w:rPr>
                <w:rFonts w:ascii="Arial" w:hAnsi="Arial" w:cs="Arial"/>
                <w:b/>
                <w:bCs/>
                <w:sz w:val="20"/>
                <w:szCs w:val="20"/>
              </w:rPr>
              <w:t>(Y&amp;M)</w:t>
            </w:r>
          </w:p>
        </w:tc>
        <w:tc>
          <w:tcPr>
            <w:tcW w:w="1750" w:type="dxa"/>
            <w:tcBorders>
              <w:bottom w:val="single" w:sz="4" w:space="0" w:color="auto"/>
            </w:tcBorders>
          </w:tcPr>
          <w:p w14:paraId="71BC344E" w14:textId="77777777" w:rsidR="00F750FD" w:rsidRPr="00B62084" w:rsidRDefault="00F750FD" w:rsidP="00F750FD">
            <w:pPr>
              <w:jc w:val="center"/>
              <w:rPr>
                <w:rFonts w:ascii="Arial" w:hAnsi="Arial" w:cs="Arial"/>
                <w:b/>
                <w:bCs/>
                <w:i/>
                <w:iCs/>
                <w:sz w:val="20"/>
                <w:szCs w:val="20"/>
              </w:rPr>
            </w:pPr>
            <w:r w:rsidRPr="00B62084">
              <w:rPr>
                <w:rFonts w:ascii="Arial" w:hAnsi="Arial" w:cs="Arial"/>
                <w:b/>
                <w:bCs/>
                <w:i/>
                <w:iCs/>
                <w:sz w:val="20"/>
                <w:szCs w:val="20"/>
              </w:rPr>
              <w:t>Staphylococcus aureus</w:t>
            </w:r>
          </w:p>
        </w:tc>
      </w:tr>
      <w:tr w:rsidR="00F750FD" w:rsidRPr="0042368B" w14:paraId="70545C42" w14:textId="77777777" w:rsidTr="002F1814">
        <w:trPr>
          <w:gridAfter w:val="1"/>
          <w:wAfter w:w="17" w:type="dxa"/>
        </w:trPr>
        <w:tc>
          <w:tcPr>
            <w:tcW w:w="812" w:type="dxa"/>
            <w:tcBorders>
              <w:top w:val="single" w:sz="4" w:space="0" w:color="auto"/>
            </w:tcBorders>
          </w:tcPr>
          <w:p w14:paraId="25B9029B"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0</w:t>
            </w:r>
          </w:p>
        </w:tc>
        <w:tc>
          <w:tcPr>
            <w:tcW w:w="1476" w:type="dxa"/>
            <w:tcBorders>
              <w:top w:val="single" w:sz="4" w:space="0" w:color="auto"/>
            </w:tcBorders>
          </w:tcPr>
          <w:p w14:paraId="45A5C6E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Borders>
              <w:top w:val="single" w:sz="4" w:space="0" w:color="auto"/>
            </w:tcBorders>
          </w:tcPr>
          <w:p w14:paraId="03CB8606"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Borders>
              <w:top w:val="single" w:sz="4" w:space="0" w:color="auto"/>
            </w:tcBorders>
          </w:tcPr>
          <w:p w14:paraId="31E1575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Borders>
              <w:top w:val="single" w:sz="4" w:space="0" w:color="auto"/>
            </w:tcBorders>
          </w:tcPr>
          <w:p w14:paraId="2CDF8EAD"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Borders>
              <w:top w:val="single" w:sz="4" w:space="0" w:color="auto"/>
            </w:tcBorders>
          </w:tcPr>
          <w:p w14:paraId="17714AE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57ACB86A" w14:textId="77777777" w:rsidTr="002F1814">
        <w:trPr>
          <w:gridAfter w:val="1"/>
          <w:wAfter w:w="17" w:type="dxa"/>
        </w:trPr>
        <w:tc>
          <w:tcPr>
            <w:tcW w:w="812" w:type="dxa"/>
          </w:tcPr>
          <w:p w14:paraId="6F643AF9"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1</w:t>
            </w:r>
          </w:p>
        </w:tc>
        <w:tc>
          <w:tcPr>
            <w:tcW w:w="1476" w:type="dxa"/>
          </w:tcPr>
          <w:p w14:paraId="73374AFB"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2B446803"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7A56F30F"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74B77A96"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3DE6BB5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07A91C33" w14:textId="77777777" w:rsidTr="002F1814">
        <w:trPr>
          <w:gridAfter w:val="1"/>
          <w:wAfter w:w="17" w:type="dxa"/>
        </w:trPr>
        <w:tc>
          <w:tcPr>
            <w:tcW w:w="812" w:type="dxa"/>
          </w:tcPr>
          <w:p w14:paraId="182B97DF"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2</w:t>
            </w:r>
          </w:p>
        </w:tc>
        <w:tc>
          <w:tcPr>
            <w:tcW w:w="1476" w:type="dxa"/>
          </w:tcPr>
          <w:p w14:paraId="5B6E05ED"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26E62C9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674A62D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2BBFC4B4"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76E9F00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629981F0" w14:textId="77777777" w:rsidTr="002F1814">
        <w:trPr>
          <w:gridAfter w:val="1"/>
          <w:wAfter w:w="17" w:type="dxa"/>
        </w:trPr>
        <w:tc>
          <w:tcPr>
            <w:tcW w:w="812" w:type="dxa"/>
          </w:tcPr>
          <w:p w14:paraId="7DAB8F17"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3</w:t>
            </w:r>
          </w:p>
        </w:tc>
        <w:tc>
          <w:tcPr>
            <w:tcW w:w="1476" w:type="dxa"/>
          </w:tcPr>
          <w:p w14:paraId="399D58E5"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646826A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0A9EB56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05A0D0E9"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057B347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300C3ABD" w14:textId="77777777" w:rsidTr="002F1814">
        <w:trPr>
          <w:gridAfter w:val="1"/>
          <w:wAfter w:w="17" w:type="dxa"/>
        </w:trPr>
        <w:tc>
          <w:tcPr>
            <w:tcW w:w="812" w:type="dxa"/>
            <w:tcBorders>
              <w:bottom w:val="single" w:sz="4" w:space="0" w:color="auto"/>
            </w:tcBorders>
          </w:tcPr>
          <w:p w14:paraId="361ACEEC"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4</w:t>
            </w:r>
          </w:p>
        </w:tc>
        <w:tc>
          <w:tcPr>
            <w:tcW w:w="1476" w:type="dxa"/>
            <w:tcBorders>
              <w:bottom w:val="single" w:sz="4" w:space="0" w:color="auto"/>
            </w:tcBorders>
          </w:tcPr>
          <w:p w14:paraId="3D80FB7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Borders>
              <w:bottom w:val="single" w:sz="4" w:space="0" w:color="auto"/>
            </w:tcBorders>
          </w:tcPr>
          <w:p w14:paraId="183AF16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Borders>
              <w:bottom w:val="single" w:sz="4" w:space="0" w:color="auto"/>
            </w:tcBorders>
          </w:tcPr>
          <w:p w14:paraId="284AA2C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Borders>
              <w:bottom w:val="single" w:sz="4" w:space="0" w:color="auto"/>
            </w:tcBorders>
          </w:tcPr>
          <w:p w14:paraId="52528667"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Borders>
              <w:bottom w:val="single" w:sz="4" w:space="0" w:color="auto"/>
            </w:tcBorders>
          </w:tcPr>
          <w:p w14:paraId="42FAF16A"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bl>
    <w:p w14:paraId="1448219C" w14:textId="77777777" w:rsidR="00F8503A" w:rsidRDefault="00F8503A" w:rsidP="005B0820">
      <w:pPr>
        <w:pStyle w:val="Body"/>
        <w:spacing w:after="0"/>
        <w:rPr>
          <w:rFonts w:ascii="Arial" w:hAnsi="Arial"/>
          <w:b/>
        </w:rPr>
      </w:pPr>
    </w:p>
    <w:p w14:paraId="32670A62" w14:textId="77777777" w:rsidR="00311CD8" w:rsidRDefault="00311CD8" w:rsidP="005B0820">
      <w:pPr>
        <w:pStyle w:val="Body"/>
        <w:spacing w:after="0"/>
        <w:rPr>
          <w:rFonts w:ascii="Arial" w:hAnsi="Arial" w:cs="Arial"/>
          <w:b/>
          <w:sz w:val="22"/>
        </w:rPr>
      </w:pPr>
    </w:p>
    <w:p w14:paraId="2AFC46B8" w14:textId="77777777" w:rsidR="00F8503A" w:rsidRDefault="00F8503A" w:rsidP="005B0820">
      <w:pPr>
        <w:pStyle w:val="Body"/>
        <w:spacing w:after="0"/>
      </w:pPr>
    </w:p>
    <w:p w14:paraId="16A19D8A" w14:textId="77777777" w:rsidR="00F750FD" w:rsidRDefault="00F750FD" w:rsidP="005B0820">
      <w:pPr>
        <w:pStyle w:val="Body"/>
        <w:spacing w:after="0"/>
        <w:rPr>
          <w:rFonts w:ascii="Arial" w:hAnsi="Arial" w:cs="Arial"/>
          <w:b/>
          <w:u w:val="single"/>
        </w:rPr>
      </w:pPr>
    </w:p>
    <w:p w14:paraId="1F52AEF1" w14:textId="77777777" w:rsidR="00F750FD" w:rsidRDefault="00F750FD" w:rsidP="005B0820">
      <w:pPr>
        <w:pStyle w:val="Body"/>
        <w:spacing w:after="0"/>
        <w:rPr>
          <w:rFonts w:ascii="Arial" w:hAnsi="Arial" w:cs="Arial"/>
          <w:b/>
          <w:u w:val="single"/>
        </w:rPr>
      </w:pPr>
    </w:p>
    <w:p w14:paraId="5E1A07AF" w14:textId="77777777" w:rsidR="0080170D" w:rsidRDefault="0080170D" w:rsidP="00F750FD">
      <w:pPr>
        <w:pStyle w:val="Body"/>
        <w:spacing w:after="0"/>
        <w:ind w:left="1134"/>
        <w:rPr>
          <w:rFonts w:ascii="Arial" w:hAnsi="Arial" w:cs="Arial"/>
          <w:b/>
          <w:u w:val="single"/>
        </w:rPr>
      </w:pPr>
    </w:p>
    <w:p w14:paraId="33BBB6FE" w14:textId="77777777" w:rsidR="0080170D" w:rsidRDefault="0080170D" w:rsidP="00F750FD">
      <w:pPr>
        <w:pStyle w:val="Body"/>
        <w:spacing w:after="0"/>
        <w:ind w:left="1134"/>
        <w:rPr>
          <w:rFonts w:ascii="Arial" w:hAnsi="Arial" w:cs="Arial"/>
          <w:b/>
          <w:u w:val="single"/>
        </w:rPr>
      </w:pPr>
    </w:p>
    <w:p w14:paraId="2BC23A2A" w14:textId="77777777" w:rsidR="0080170D" w:rsidRDefault="0080170D" w:rsidP="00F750FD">
      <w:pPr>
        <w:pStyle w:val="Body"/>
        <w:spacing w:after="0"/>
        <w:ind w:left="1134"/>
        <w:rPr>
          <w:rFonts w:ascii="Arial" w:hAnsi="Arial" w:cs="Arial"/>
          <w:b/>
          <w:u w:val="single"/>
        </w:rPr>
      </w:pPr>
    </w:p>
    <w:p w14:paraId="1F55091B" w14:textId="77777777" w:rsidR="0080170D" w:rsidRDefault="0080170D" w:rsidP="00F750FD">
      <w:pPr>
        <w:pStyle w:val="Body"/>
        <w:spacing w:after="0"/>
        <w:ind w:left="1134"/>
        <w:rPr>
          <w:rFonts w:ascii="Arial" w:hAnsi="Arial" w:cs="Arial"/>
          <w:b/>
          <w:u w:val="single"/>
        </w:rPr>
      </w:pPr>
    </w:p>
    <w:p w14:paraId="106E9D3D" w14:textId="77777777" w:rsidR="0080170D" w:rsidRDefault="0080170D" w:rsidP="00F750FD">
      <w:pPr>
        <w:pStyle w:val="Body"/>
        <w:spacing w:after="0"/>
        <w:ind w:left="1134"/>
        <w:rPr>
          <w:rFonts w:ascii="Arial" w:hAnsi="Arial" w:cs="Arial"/>
          <w:b/>
          <w:u w:val="single"/>
        </w:rPr>
      </w:pPr>
    </w:p>
    <w:p w14:paraId="147ED242" w14:textId="77777777" w:rsidR="0080170D" w:rsidRDefault="0080170D" w:rsidP="00F750FD">
      <w:pPr>
        <w:pStyle w:val="Body"/>
        <w:spacing w:after="0"/>
        <w:ind w:left="1134"/>
        <w:rPr>
          <w:rFonts w:ascii="Arial" w:hAnsi="Arial" w:cs="Arial"/>
          <w:b/>
          <w:u w:val="single"/>
        </w:rPr>
      </w:pPr>
    </w:p>
    <w:p w14:paraId="1257317B" w14:textId="0D43F909" w:rsidR="00F8503A" w:rsidRDefault="00F8503A" w:rsidP="00F750FD">
      <w:pPr>
        <w:pStyle w:val="Body"/>
        <w:spacing w:after="0"/>
        <w:ind w:left="1134"/>
        <w:rPr>
          <w:rFonts w:ascii="Arial" w:hAnsi="Arial" w:cs="Arial"/>
          <w:b/>
          <w:u w:val="single"/>
        </w:rPr>
      </w:pPr>
      <w:r w:rsidRPr="00F8503A">
        <w:rPr>
          <w:rFonts w:ascii="Arial" w:hAnsi="Arial" w:cs="Arial"/>
          <w:b/>
          <w:u w:val="single"/>
        </w:rPr>
        <w:t>3.3.</w:t>
      </w:r>
      <w:r>
        <w:rPr>
          <w:rFonts w:ascii="Arial" w:hAnsi="Arial" w:cs="Arial"/>
          <w:b/>
          <w:u w:val="single"/>
        </w:rPr>
        <w:t>3</w:t>
      </w:r>
      <w:r w:rsidRPr="00F8503A">
        <w:rPr>
          <w:rFonts w:ascii="Arial" w:hAnsi="Arial" w:cs="Arial"/>
          <w:b/>
          <w:u w:val="single"/>
        </w:rPr>
        <w:t xml:space="preserve"> Sensory Acceptability During Storage</w:t>
      </w:r>
    </w:p>
    <w:p w14:paraId="043B5EEC" w14:textId="6092576F" w:rsidR="00F8503A" w:rsidRDefault="00F8503A" w:rsidP="0080170D">
      <w:pPr>
        <w:pStyle w:val="Body"/>
        <w:tabs>
          <w:tab w:val="left" w:pos="9498"/>
          <w:tab w:val="left" w:pos="9639"/>
        </w:tabs>
        <w:ind w:left="1134" w:right="1122"/>
        <w:rPr>
          <w:rFonts w:ascii="Arial" w:hAnsi="Arial"/>
          <w:b/>
        </w:rPr>
      </w:pPr>
      <w:r w:rsidRPr="00F8503A">
        <w:t>Sensory results corroborated the instrumental data, demonstrating high organoleptic quality retention across the test period (</w:t>
      </w:r>
      <w:r w:rsidRPr="00F15A2A">
        <w:t>Table 6</w:t>
      </w:r>
      <w:r w:rsidRPr="00F8503A">
        <w:t>). However, unlike the physicochemical data which showed statistically significant changes throughout, the sensory data revealed a temporary, yet statistically significant, improvement in key taste attributes at the 2nd week of storage.</w:t>
      </w:r>
      <w:r w:rsidR="001A2C5E" w:rsidRPr="001A2C5E">
        <w:t xml:space="preserve"> </w:t>
      </w:r>
      <w:r w:rsidR="001A2C5E">
        <w:t>The Tukey test indicated statistically significant differences over time for sourness (</w:t>
      </w:r>
      <w:r w:rsidR="001A2C5E" w:rsidRPr="001A2C5E">
        <w:rPr>
          <w:i/>
          <w:iCs/>
        </w:rPr>
        <w:t>P</w:t>
      </w:r>
      <w:r w:rsidR="001A2C5E">
        <w:t xml:space="preserve"> &lt;.05), sweetness (P &lt;.05), sour-sweet balance (P &lt;.05), and overall acceptance (P &lt;.05). For sourness and overall acceptance, the mean score at the 2nd week (6.00</w:t>
      </w:r>
      <w:r w:rsidR="001A2C5E">
        <w:rPr>
          <w:rFonts w:cs="Helvetica"/>
        </w:rPr>
        <w:t>±</w:t>
      </w:r>
      <w:r w:rsidR="001A2C5E">
        <w:t>0.81 and 5.98</w:t>
      </w:r>
      <w:r w:rsidR="001A2C5E">
        <w:rPr>
          <w:rFonts w:cs="Helvetica"/>
        </w:rPr>
        <w:t>±</w:t>
      </w:r>
      <w:r w:rsidR="001A2C5E">
        <w:t xml:space="preserve"> 0.82, respectively) was significantly higher (P &lt;.05) than the fresh (0 week) scores (5.35</w:t>
      </w:r>
      <w:r w:rsidR="001A2C5E">
        <w:rPr>
          <w:rFonts w:cs="Helvetica"/>
        </w:rPr>
        <w:t>±</w:t>
      </w:r>
      <w:r w:rsidR="001A2C5E">
        <w:t>0.70 and 5.40</w:t>
      </w:r>
      <w:r w:rsidR="001A2C5E">
        <w:rPr>
          <w:rFonts w:cs="Helvetica"/>
        </w:rPr>
        <w:t>±</w:t>
      </w:r>
      <w:r w:rsidR="001A2C5E">
        <w:t>0.77). Similarly, sweetness and sour-sweet balance showed a significant improvement at the 2nd week (5.95</w:t>
      </w:r>
      <w:r w:rsidR="001A2C5E">
        <w:rPr>
          <w:rFonts w:cs="Helvetica"/>
        </w:rPr>
        <w:t>±</w:t>
      </w:r>
      <w:r w:rsidR="001A2C5E">
        <w:t>0.88 and 5.83</w:t>
      </w:r>
      <w:r w:rsidR="001A2C5E">
        <w:rPr>
          <w:rFonts w:cs="Helvetica"/>
        </w:rPr>
        <w:t>±</w:t>
      </w:r>
      <w:r w:rsidR="001A2C5E">
        <w:t>0.87, respectively) compared to the initial state (5.08</w:t>
      </w:r>
      <w:r w:rsidR="001A2C5E">
        <w:rPr>
          <w:rFonts w:cs="Helvetica"/>
        </w:rPr>
        <w:t>±</w:t>
      </w:r>
      <w:r w:rsidR="001A2C5E">
        <w:t>0.76 and 4.85</w:t>
      </w:r>
      <w:r w:rsidR="001A2C5E">
        <w:rPr>
          <w:rFonts w:cs="Helvetica"/>
        </w:rPr>
        <w:t>±</w:t>
      </w:r>
      <w:r w:rsidR="001A2C5E">
        <w:t>0.81). This peak acceptability at the 2nd week suggests a beneficial flavor maturation period, where components—such as the organic acids and FOS sweetness—integrated to achieve a more complex and satisfying profile. By the 4th week, scores for all attributes, including overall acceptance (5.43</w:t>
      </w:r>
      <w:r w:rsidR="001A2C5E">
        <w:rPr>
          <w:rFonts w:cs="Helvetica"/>
        </w:rPr>
        <w:t>±</w:t>
      </w:r>
      <w:r w:rsidR="001A2C5E">
        <w:t xml:space="preserve">0.87), had returned to levels statistically comparable to the initial (0 week) scores, indicating the product maintained high, stable quality for the duration of the accelerated study. Attributes like </w:t>
      </w:r>
      <w:r w:rsidR="001B3250">
        <w:t>c</w:t>
      </w:r>
      <w:r w:rsidR="001A2C5E">
        <w:t xml:space="preserve">olor, </w:t>
      </w:r>
      <w:r w:rsidR="001B3250">
        <w:t>a</w:t>
      </w:r>
      <w:r w:rsidR="001A2C5E">
        <w:t xml:space="preserve">roma, and </w:t>
      </w:r>
      <w:r w:rsidR="001B3250">
        <w:t>v</w:t>
      </w:r>
      <w:r w:rsidR="001A2C5E">
        <w:t>iscosity showed no statistically significant differences over the 4-week period, remaining highly acceptable, which is consistent with the minimal visual degradation noted in the physicochemical analysis (</w:t>
      </w:r>
      <w:r w:rsidR="001A2C5E" w:rsidRPr="00F15A2A">
        <w:t>Table 4</w:t>
      </w:r>
      <w:r w:rsidR="001A2C5E" w:rsidRPr="00B62084">
        <w:t>)</w:t>
      </w:r>
      <w:r w:rsidR="001B3250" w:rsidRPr="00B62084">
        <w:t>.</w:t>
      </w:r>
    </w:p>
    <w:p w14:paraId="598CEB6E" w14:textId="009DBA29" w:rsidR="00F8503A" w:rsidRDefault="00F8503A" w:rsidP="00F750FD">
      <w:pPr>
        <w:pStyle w:val="Body"/>
        <w:spacing w:after="0"/>
        <w:ind w:left="1134"/>
        <w:rPr>
          <w:rFonts w:ascii="Arial" w:hAnsi="Arial"/>
          <w:b/>
        </w:rPr>
      </w:pPr>
      <w:r w:rsidRPr="00F15A2A">
        <w:rPr>
          <w:rFonts w:ascii="Arial" w:hAnsi="Arial"/>
          <w:bCs/>
        </w:rPr>
        <w:t>Table 6</w:t>
      </w:r>
      <w:r>
        <w:rPr>
          <w:rFonts w:ascii="Arial" w:hAnsi="Arial"/>
          <w:b/>
        </w:rPr>
        <w:t xml:space="preserve">. </w:t>
      </w:r>
      <w:r w:rsidRPr="00F8503A">
        <w:rPr>
          <w:rFonts w:ascii="Arial" w:hAnsi="Arial"/>
          <w:b/>
        </w:rPr>
        <w:t xml:space="preserve">Sensory </w:t>
      </w:r>
      <w:r>
        <w:rPr>
          <w:rFonts w:ascii="Arial" w:hAnsi="Arial"/>
          <w:b/>
        </w:rPr>
        <w:t>a</w:t>
      </w:r>
      <w:r w:rsidRPr="00F8503A">
        <w:rPr>
          <w:rFonts w:ascii="Arial" w:hAnsi="Arial"/>
          <w:b/>
        </w:rPr>
        <w:t xml:space="preserve">ttribute </w:t>
      </w:r>
      <w:r>
        <w:rPr>
          <w:rFonts w:ascii="Arial" w:hAnsi="Arial"/>
          <w:b/>
        </w:rPr>
        <w:t>s</w:t>
      </w:r>
      <w:r w:rsidRPr="00F8503A">
        <w:rPr>
          <w:rFonts w:ascii="Arial" w:hAnsi="Arial"/>
          <w:b/>
        </w:rPr>
        <w:t xml:space="preserve">cores of the </w:t>
      </w:r>
      <w:r>
        <w:rPr>
          <w:rFonts w:ascii="Arial" w:hAnsi="Arial"/>
          <w:b/>
        </w:rPr>
        <w:t>c</w:t>
      </w:r>
      <w:r w:rsidRPr="00311CD8">
        <w:rPr>
          <w:rFonts w:ascii="Arial" w:hAnsi="Arial"/>
          <w:b/>
        </w:rPr>
        <w:t xml:space="preserve">oncentrate during </w:t>
      </w:r>
      <w:r>
        <w:rPr>
          <w:rFonts w:ascii="Arial" w:hAnsi="Arial"/>
          <w:b/>
        </w:rPr>
        <w:t>s</w:t>
      </w:r>
      <w:r w:rsidRPr="00311CD8">
        <w:rPr>
          <w:rFonts w:ascii="Arial" w:hAnsi="Arial"/>
          <w:b/>
        </w:rPr>
        <w:t>torage</w:t>
      </w:r>
      <w:r w:rsidR="001A2C5E">
        <w:rPr>
          <w:rFonts w:ascii="Arial" w:hAnsi="Arial"/>
          <w:b/>
        </w:rPr>
        <w:t>*</w:t>
      </w:r>
      <w:r w:rsidRPr="00311CD8">
        <w:rPr>
          <w:rFonts w:ascii="Arial" w:hAnsi="Arial"/>
          <w:b/>
        </w:rPr>
        <w:t xml:space="preserve"> </w:t>
      </w:r>
    </w:p>
    <w:tbl>
      <w:tblPr>
        <w:tblW w:w="0" w:type="auto"/>
        <w:tblCellSpacing w:w="15" w:type="dxa"/>
        <w:tblInd w:w="1171" w:type="dxa"/>
        <w:tblCellMar>
          <w:left w:w="0" w:type="dxa"/>
          <w:right w:w="0" w:type="dxa"/>
        </w:tblCellMar>
        <w:tblLook w:val="04A0" w:firstRow="1" w:lastRow="0" w:firstColumn="1" w:lastColumn="0" w:noHBand="0" w:noVBand="1"/>
      </w:tblPr>
      <w:tblGrid>
        <w:gridCol w:w="2262"/>
        <w:gridCol w:w="1724"/>
        <w:gridCol w:w="1351"/>
        <w:gridCol w:w="1431"/>
      </w:tblGrid>
      <w:tr w:rsidR="00F8503A" w:rsidRPr="005E5A5A" w14:paraId="1B5E3390" w14:textId="77777777" w:rsidTr="00F750FD">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C3BB1A4" w14:textId="77777777" w:rsidR="00F8503A" w:rsidRPr="00B62084" w:rsidRDefault="00F8503A" w:rsidP="005B0820">
            <w:pPr>
              <w:rPr>
                <w:rFonts w:ascii="Arial" w:hAnsi="Arial" w:cs="Arial"/>
                <w:color w:val="1B1C1D"/>
                <w:lang w:eastAsia="en-MY"/>
              </w:rPr>
            </w:pPr>
            <w:r w:rsidRPr="00F15A2A">
              <w:rPr>
                <w:rFonts w:ascii="Arial" w:hAnsi="Arial" w:cs="Arial"/>
                <w:color w:val="1B1C1D"/>
                <w:bdr w:val="none" w:sz="0" w:space="0" w:color="auto" w:frame="1"/>
                <w:lang w:eastAsia="en-MY"/>
              </w:rPr>
              <w:t>Sensory Attribute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91AA13D" w14:textId="77777777" w:rsidR="00F8503A" w:rsidRPr="00B62084" w:rsidRDefault="00F8503A" w:rsidP="005B0820">
            <w:pPr>
              <w:rPr>
                <w:rFonts w:ascii="Arial" w:hAnsi="Arial" w:cs="Arial"/>
                <w:color w:val="1B1C1D"/>
                <w:lang w:eastAsia="en-MY"/>
              </w:rPr>
            </w:pPr>
            <w:r w:rsidRPr="00F15A2A">
              <w:rPr>
                <w:rFonts w:ascii="Arial" w:hAnsi="Arial" w:cs="Arial"/>
                <w:color w:val="1B1C1D"/>
                <w:bdr w:val="none" w:sz="0" w:space="0" w:color="auto" w:frame="1"/>
                <w:lang w:eastAsia="en-MY"/>
              </w:rPr>
              <w:t>0 week (Fresh)</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DA897FF" w14:textId="5E049188" w:rsidR="00F8503A" w:rsidRPr="00B62084" w:rsidRDefault="00F8503A" w:rsidP="005B0820">
            <w:pPr>
              <w:rPr>
                <w:rFonts w:ascii="Arial" w:hAnsi="Arial" w:cs="Arial"/>
                <w:color w:val="1B1C1D"/>
                <w:lang w:eastAsia="en-MY"/>
              </w:rPr>
            </w:pPr>
            <w:r w:rsidRPr="00F15A2A">
              <w:rPr>
                <w:rFonts w:ascii="Arial" w:hAnsi="Arial" w:cs="Arial"/>
                <w:color w:val="1B1C1D"/>
                <w:bdr w:val="none" w:sz="0" w:space="0" w:color="auto" w:frame="1"/>
                <w:lang w:eastAsia="en-MY"/>
              </w:rPr>
              <w:t>2</w:t>
            </w:r>
            <w:r w:rsidRPr="00F15A2A">
              <w:rPr>
                <w:rFonts w:ascii="Arial" w:hAnsi="Arial" w:cs="Arial"/>
                <w:color w:val="1B1C1D"/>
                <w:bdr w:val="none" w:sz="0" w:space="0" w:color="auto" w:frame="1"/>
                <w:vertAlign w:val="superscript"/>
                <w:lang w:eastAsia="en-MY"/>
              </w:rPr>
              <w:t>nd</w:t>
            </w:r>
            <w:r w:rsidRPr="00F15A2A">
              <w:rPr>
                <w:rFonts w:ascii="Arial" w:hAnsi="Arial" w:cs="Arial"/>
                <w:color w:val="1B1C1D"/>
                <w:bdr w:val="none" w:sz="0" w:space="0" w:color="auto" w:frame="1"/>
                <w:lang w:eastAsia="en-MY"/>
              </w:rPr>
              <w:t xml:space="preserve"> week</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7DBEEA0" w14:textId="77777777" w:rsidR="00F8503A" w:rsidRPr="00B62084" w:rsidRDefault="00F8503A" w:rsidP="005B0820">
            <w:pPr>
              <w:rPr>
                <w:rFonts w:ascii="Arial" w:hAnsi="Arial" w:cs="Arial"/>
                <w:color w:val="1B1C1D"/>
                <w:lang w:eastAsia="en-MY"/>
              </w:rPr>
            </w:pPr>
            <w:r w:rsidRPr="00F15A2A">
              <w:rPr>
                <w:rFonts w:ascii="Arial" w:hAnsi="Arial" w:cs="Arial"/>
                <w:color w:val="1B1C1D"/>
                <w:bdr w:val="none" w:sz="0" w:space="0" w:color="auto" w:frame="1"/>
                <w:lang w:eastAsia="en-MY"/>
              </w:rPr>
              <w:t>4</w:t>
            </w:r>
            <w:r w:rsidRPr="00F15A2A">
              <w:rPr>
                <w:rFonts w:ascii="Arial" w:hAnsi="Arial" w:cs="Arial"/>
                <w:color w:val="1B1C1D"/>
                <w:bdr w:val="none" w:sz="0" w:space="0" w:color="auto" w:frame="1"/>
                <w:vertAlign w:val="superscript"/>
                <w:lang w:eastAsia="en-MY"/>
              </w:rPr>
              <w:t>th</w:t>
            </w:r>
            <w:r w:rsidRPr="00F15A2A">
              <w:rPr>
                <w:rFonts w:ascii="Arial" w:hAnsi="Arial" w:cs="Arial"/>
                <w:color w:val="1B1C1D"/>
                <w:bdr w:val="none" w:sz="0" w:space="0" w:color="auto" w:frame="1"/>
                <w:lang w:eastAsia="en-MY"/>
              </w:rPr>
              <w:t xml:space="preserve"> week</w:t>
            </w:r>
          </w:p>
        </w:tc>
      </w:tr>
      <w:tr w:rsidR="00F8503A" w:rsidRPr="005E5A5A" w14:paraId="5F69ADA5" w14:textId="77777777" w:rsidTr="00F750FD">
        <w:trPr>
          <w:tblCellSpacing w:w="15" w:type="dxa"/>
        </w:trPr>
        <w:tc>
          <w:tcPr>
            <w:tcW w:w="0" w:type="auto"/>
            <w:tcMar>
              <w:top w:w="120" w:type="dxa"/>
              <w:left w:w="180" w:type="dxa"/>
              <w:bottom w:w="120" w:type="dxa"/>
              <w:right w:w="180" w:type="dxa"/>
            </w:tcMar>
            <w:vAlign w:val="center"/>
            <w:hideMark/>
          </w:tcPr>
          <w:p w14:paraId="07ECE113"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Color (appearance)</w:t>
            </w:r>
          </w:p>
        </w:tc>
        <w:tc>
          <w:tcPr>
            <w:tcW w:w="0" w:type="auto"/>
            <w:tcMar>
              <w:top w:w="120" w:type="dxa"/>
              <w:left w:w="180" w:type="dxa"/>
              <w:bottom w:w="120" w:type="dxa"/>
              <w:right w:w="180" w:type="dxa"/>
            </w:tcMar>
            <w:vAlign w:val="center"/>
            <w:hideMark/>
          </w:tcPr>
          <w:p w14:paraId="25834D80"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5.93±0.89</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3940F8CC"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6.13±0.76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0C95870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6.03±0.75</w:t>
            </w:r>
            <w:r w:rsidRPr="00F8503A">
              <w:rPr>
                <w:rFonts w:ascii="Arial" w:hAnsi="Arial" w:cs="Arial"/>
                <w:color w:val="1B1C1D"/>
                <w:vertAlign w:val="superscript"/>
                <w:lang w:eastAsia="en-MY"/>
              </w:rPr>
              <w:t>a</w:t>
            </w:r>
          </w:p>
        </w:tc>
      </w:tr>
      <w:tr w:rsidR="00F8503A" w:rsidRPr="005E5A5A" w14:paraId="377A8B33" w14:textId="77777777" w:rsidTr="00AB7051">
        <w:trPr>
          <w:trHeight w:val="123"/>
          <w:tblCellSpacing w:w="15" w:type="dxa"/>
        </w:trPr>
        <w:tc>
          <w:tcPr>
            <w:tcW w:w="0" w:type="auto"/>
            <w:tcMar>
              <w:top w:w="120" w:type="dxa"/>
              <w:left w:w="180" w:type="dxa"/>
              <w:bottom w:w="120" w:type="dxa"/>
              <w:right w:w="180" w:type="dxa"/>
            </w:tcMar>
            <w:vAlign w:val="center"/>
            <w:hideMark/>
          </w:tcPr>
          <w:p w14:paraId="7437832E"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Aroma</w:t>
            </w:r>
          </w:p>
        </w:tc>
        <w:tc>
          <w:tcPr>
            <w:tcW w:w="0" w:type="auto"/>
            <w:tcMar>
              <w:top w:w="120" w:type="dxa"/>
              <w:left w:w="180" w:type="dxa"/>
              <w:bottom w:w="120" w:type="dxa"/>
              <w:right w:w="180" w:type="dxa"/>
            </w:tcMar>
            <w:vAlign w:val="center"/>
            <w:hideMark/>
          </w:tcPr>
          <w:p w14:paraId="10B07FA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5.55±0.74</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5E1E4B4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5.80±0.77</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4B3B2801"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5.75±0.79</w:t>
            </w:r>
            <w:r w:rsidRPr="00F8503A">
              <w:rPr>
                <w:rFonts w:ascii="Arial" w:hAnsi="Arial" w:cs="Arial"/>
                <w:color w:val="1B1C1D"/>
                <w:vertAlign w:val="superscript"/>
                <w:lang w:eastAsia="en-MY"/>
              </w:rPr>
              <w:t>a</w:t>
            </w:r>
          </w:p>
        </w:tc>
      </w:tr>
      <w:tr w:rsidR="00F8503A" w:rsidRPr="005E5A5A" w14:paraId="3B6B1B4B" w14:textId="77777777" w:rsidTr="00AB7051">
        <w:trPr>
          <w:trHeight w:val="46"/>
          <w:tblCellSpacing w:w="15" w:type="dxa"/>
        </w:trPr>
        <w:tc>
          <w:tcPr>
            <w:tcW w:w="0" w:type="auto"/>
            <w:tcMar>
              <w:top w:w="120" w:type="dxa"/>
              <w:left w:w="180" w:type="dxa"/>
              <w:bottom w:w="120" w:type="dxa"/>
              <w:right w:w="180" w:type="dxa"/>
            </w:tcMar>
            <w:vAlign w:val="center"/>
            <w:hideMark/>
          </w:tcPr>
          <w:p w14:paraId="733AFF63"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Viscosity (mouthfeel)</w:t>
            </w:r>
          </w:p>
        </w:tc>
        <w:tc>
          <w:tcPr>
            <w:tcW w:w="0" w:type="auto"/>
            <w:tcMar>
              <w:top w:w="120" w:type="dxa"/>
              <w:left w:w="180" w:type="dxa"/>
              <w:bottom w:w="120" w:type="dxa"/>
              <w:right w:w="180" w:type="dxa"/>
            </w:tcMar>
            <w:vAlign w:val="center"/>
            <w:hideMark/>
          </w:tcPr>
          <w:p w14:paraId="39646D54"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5.75±0.86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5CC30CC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6.10±0.87</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41CEF3C8"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5.80±0.78</w:t>
            </w:r>
            <w:r w:rsidRPr="00F8503A">
              <w:rPr>
                <w:rFonts w:ascii="Arial" w:hAnsi="Arial" w:cs="Arial"/>
                <w:color w:val="1B1C1D"/>
                <w:vertAlign w:val="superscript"/>
                <w:lang w:eastAsia="en-MY"/>
              </w:rPr>
              <w:t>a</w:t>
            </w:r>
          </w:p>
        </w:tc>
      </w:tr>
      <w:tr w:rsidR="00F8503A" w:rsidRPr="005E5A5A" w14:paraId="63241968" w14:textId="77777777" w:rsidTr="00AB7051">
        <w:trPr>
          <w:trHeight w:val="110"/>
          <w:tblCellSpacing w:w="15" w:type="dxa"/>
        </w:trPr>
        <w:tc>
          <w:tcPr>
            <w:tcW w:w="0" w:type="auto"/>
            <w:tcMar>
              <w:top w:w="120" w:type="dxa"/>
              <w:left w:w="180" w:type="dxa"/>
              <w:bottom w:w="120" w:type="dxa"/>
              <w:right w:w="180" w:type="dxa"/>
            </w:tcMar>
            <w:vAlign w:val="center"/>
            <w:hideMark/>
          </w:tcPr>
          <w:p w14:paraId="1702EBB5"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Sourness (taste)</w:t>
            </w:r>
          </w:p>
        </w:tc>
        <w:tc>
          <w:tcPr>
            <w:tcW w:w="0" w:type="auto"/>
            <w:tcMar>
              <w:top w:w="120" w:type="dxa"/>
              <w:left w:w="180" w:type="dxa"/>
              <w:bottom w:w="120" w:type="dxa"/>
              <w:right w:w="180" w:type="dxa"/>
            </w:tcMar>
            <w:vAlign w:val="center"/>
            <w:hideMark/>
          </w:tcPr>
          <w:p w14:paraId="661941F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5.35±0.70</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720477F2"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6.00±0.81</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307A693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5.45±0.77</w:t>
            </w:r>
            <w:r w:rsidRPr="00F8503A">
              <w:rPr>
                <w:rFonts w:ascii="Arial" w:hAnsi="Arial" w:cs="Arial"/>
                <w:color w:val="1B1C1D"/>
                <w:vertAlign w:val="superscript"/>
                <w:lang w:eastAsia="en-MY"/>
              </w:rPr>
              <w:t>a</w:t>
            </w:r>
          </w:p>
        </w:tc>
      </w:tr>
      <w:tr w:rsidR="00F8503A" w:rsidRPr="005E5A5A" w14:paraId="34A951DF" w14:textId="77777777" w:rsidTr="00AB7051">
        <w:trPr>
          <w:trHeight w:val="31"/>
          <w:tblCellSpacing w:w="15" w:type="dxa"/>
        </w:trPr>
        <w:tc>
          <w:tcPr>
            <w:tcW w:w="0" w:type="auto"/>
            <w:tcMar>
              <w:top w:w="120" w:type="dxa"/>
              <w:left w:w="180" w:type="dxa"/>
              <w:bottom w:w="120" w:type="dxa"/>
              <w:right w:w="180" w:type="dxa"/>
            </w:tcMar>
            <w:vAlign w:val="center"/>
            <w:hideMark/>
          </w:tcPr>
          <w:p w14:paraId="7AEF993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Sweetness (taste)</w:t>
            </w:r>
          </w:p>
        </w:tc>
        <w:tc>
          <w:tcPr>
            <w:tcW w:w="0" w:type="auto"/>
            <w:tcMar>
              <w:top w:w="120" w:type="dxa"/>
              <w:left w:w="180" w:type="dxa"/>
              <w:bottom w:w="120" w:type="dxa"/>
              <w:right w:w="180" w:type="dxa"/>
            </w:tcMar>
            <w:vAlign w:val="center"/>
            <w:hideMark/>
          </w:tcPr>
          <w:p w14:paraId="54D615DE"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5.08±0.76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3411D0B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5.95±0.88</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2A811257"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5.25±0.80</w:t>
            </w:r>
            <w:r w:rsidRPr="00F8503A">
              <w:rPr>
                <w:rFonts w:ascii="Arial" w:hAnsi="Arial" w:cs="Arial"/>
                <w:color w:val="1B1C1D"/>
                <w:vertAlign w:val="superscript"/>
                <w:lang w:eastAsia="en-MY"/>
              </w:rPr>
              <w:t>ac</w:t>
            </w:r>
          </w:p>
        </w:tc>
      </w:tr>
      <w:tr w:rsidR="00F8503A" w:rsidRPr="005E5A5A" w14:paraId="4D11D1F9" w14:textId="77777777" w:rsidTr="00F750FD">
        <w:trPr>
          <w:tblCellSpacing w:w="15" w:type="dxa"/>
        </w:trPr>
        <w:tc>
          <w:tcPr>
            <w:tcW w:w="0" w:type="auto"/>
            <w:tcMar>
              <w:top w:w="120" w:type="dxa"/>
              <w:left w:w="180" w:type="dxa"/>
              <w:bottom w:w="120" w:type="dxa"/>
              <w:right w:w="180" w:type="dxa"/>
            </w:tcMar>
            <w:vAlign w:val="center"/>
            <w:hideMark/>
          </w:tcPr>
          <w:p w14:paraId="5EB6AFA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lastRenderedPageBreak/>
              <w:t>Sour-Sweet Balance</w:t>
            </w:r>
          </w:p>
        </w:tc>
        <w:tc>
          <w:tcPr>
            <w:tcW w:w="0" w:type="auto"/>
            <w:tcMar>
              <w:top w:w="120" w:type="dxa"/>
              <w:left w:w="180" w:type="dxa"/>
              <w:bottom w:w="120" w:type="dxa"/>
              <w:right w:w="180" w:type="dxa"/>
            </w:tcMar>
            <w:vAlign w:val="center"/>
            <w:hideMark/>
          </w:tcPr>
          <w:p w14:paraId="217E6D9F"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4.85±0.81</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0A40243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5.83±0.87</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59B9EEF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5.25±0.84</w:t>
            </w:r>
            <w:r w:rsidRPr="00F8503A">
              <w:rPr>
                <w:rFonts w:ascii="Arial" w:hAnsi="Arial" w:cs="Arial"/>
                <w:color w:val="1B1C1D"/>
                <w:vertAlign w:val="superscript"/>
                <w:lang w:eastAsia="en-MY"/>
              </w:rPr>
              <w:t>ac</w:t>
            </w:r>
          </w:p>
        </w:tc>
      </w:tr>
      <w:tr w:rsidR="00F8503A" w:rsidRPr="005E5A5A" w14:paraId="68E47255" w14:textId="77777777" w:rsidTr="00F750FD">
        <w:trPr>
          <w:tblCellSpacing w:w="15" w:type="dxa"/>
        </w:trPr>
        <w:tc>
          <w:tcPr>
            <w:tcW w:w="0" w:type="auto"/>
            <w:tcBorders>
              <w:bottom w:val="single" w:sz="4" w:space="0" w:color="auto"/>
            </w:tcBorders>
            <w:tcMar>
              <w:top w:w="120" w:type="dxa"/>
              <w:left w:w="180" w:type="dxa"/>
              <w:bottom w:w="120" w:type="dxa"/>
              <w:right w:w="180" w:type="dxa"/>
            </w:tcMar>
            <w:vAlign w:val="center"/>
          </w:tcPr>
          <w:p w14:paraId="3FB11F8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Overall Acceptance</w:t>
            </w:r>
          </w:p>
        </w:tc>
        <w:tc>
          <w:tcPr>
            <w:tcW w:w="0" w:type="auto"/>
            <w:tcBorders>
              <w:bottom w:val="single" w:sz="4" w:space="0" w:color="auto"/>
            </w:tcBorders>
            <w:tcMar>
              <w:top w:w="120" w:type="dxa"/>
              <w:left w:w="180" w:type="dxa"/>
              <w:bottom w:w="120" w:type="dxa"/>
              <w:right w:w="180" w:type="dxa"/>
            </w:tcMar>
            <w:vAlign w:val="center"/>
          </w:tcPr>
          <w:p w14:paraId="0913C20F"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5.49±0.77</w:t>
            </w:r>
            <w:r w:rsidRPr="00F8503A">
              <w:rPr>
                <w:rFonts w:ascii="Arial" w:hAnsi="Arial" w:cs="Arial"/>
                <w:color w:val="1B1C1D"/>
                <w:vertAlign w:val="superscript"/>
                <w:lang w:eastAsia="en-MY"/>
              </w:rPr>
              <w:t>a</w:t>
            </w:r>
          </w:p>
        </w:tc>
        <w:tc>
          <w:tcPr>
            <w:tcW w:w="0" w:type="auto"/>
            <w:tcBorders>
              <w:bottom w:val="single" w:sz="4" w:space="0" w:color="auto"/>
            </w:tcBorders>
            <w:tcMar>
              <w:top w:w="120" w:type="dxa"/>
              <w:left w:w="180" w:type="dxa"/>
              <w:bottom w:w="120" w:type="dxa"/>
              <w:right w:w="180" w:type="dxa"/>
            </w:tcMar>
            <w:vAlign w:val="center"/>
          </w:tcPr>
          <w:p w14:paraId="56087385"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5.98±0.82</w:t>
            </w:r>
            <w:r w:rsidRPr="00F8503A">
              <w:rPr>
                <w:rFonts w:ascii="Arial" w:hAnsi="Arial" w:cs="Arial"/>
                <w:color w:val="1B1C1D"/>
                <w:vertAlign w:val="superscript"/>
                <w:lang w:eastAsia="en-MY"/>
              </w:rPr>
              <w:t>b</w:t>
            </w:r>
          </w:p>
        </w:tc>
        <w:tc>
          <w:tcPr>
            <w:tcW w:w="0" w:type="auto"/>
            <w:tcBorders>
              <w:bottom w:val="single" w:sz="4" w:space="0" w:color="auto"/>
            </w:tcBorders>
            <w:tcMar>
              <w:top w:w="120" w:type="dxa"/>
              <w:left w:w="180" w:type="dxa"/>
              <w:bottom w:w="120" w:type="dxa"/>
              <w:right w:w="180" w:type="dxa"/>
            </w:tcMar>
            <w:vAlign w:val="center"/>
          </w:tcPr>
          <w:p w14:paraId="1D448664"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5.43±0.87</w:t>
            </w:r>
            <w:r w:rsidRPr="00F8503A">
              <w:rPr>
                <w:rFonts w:ascii="Arial" w:hAnsi="Arial" w:cs="Arial"/>
                <w:color w:val="1B1C1D"/>
                <w:vertAlign w:val="superscript"/>
                <w:lang w:eastAsia="en-MY"/>
              </w:rPr>
              <w:t>ac</w:t>
            </w:r>
          </w:p>
        </w:tc>
      </w:tr>
    </w:tbl>
    <w:p w14:paraId="47B5BE0D" w14:textId="4B841B89" w:rsidR="00F8503A" w:rsidRPr="001A2C5E" w:rsidRDefault="001A2C5E" w:rsidP="0080170D">
      <w:pPr>
        <w:pStyle w:val="Body"/>
        <w:spacing w:after="0"/>
        <w:ind w:left="993" w:right="1264"/>
        <w:rPr>
          <w:rFonts w:ascii="Arial" w:hAnsi="Arial"/>
          <w:bCs/>
          <w:i/>
          <w:iCs/>
          <w:sz w:val="18"/>
          <w:szCs w:val="18"/>
        </w:rPr>
      </w:pPr>
      <w:r w:rsidRPr="001A2C5E">
        <w:rPr>
          <w:rFonts w:ascii="Arial" w:hAnsi="Arial"/>
          <w:b/>
        </w:rPr>
        <w:t>*</w:t>
      </w:r>
      <w:r w:rsidRPr="001A2C5E">
        <w:rPr>
          <w:rFonts w:ascii="Arial" w:hAnsi="Arial"/>
          <w:bCs/>
          <w:i/>
          <w:iCs/>
          <w:sz w:val="18"/>
          <w:szCs w:val="18"/>
        </w:rPr>
        <w:t>Values are mean ± SD (n=40). Different superscript alphabets in the same row indicate significant different.</w:t>
      </w:r>
    </w:p>
    <w:p w14:paraId="0AF99FF8" w14:textId="77777777" w:rsidR="00B01FCD" w:rsidRDefault="00000F8F" w:rsidP="00F750FD">
      <w:pPr>
        <w:pStyle w:val="ConcHead"/>
        <w:spacing w:after="0"/>
        <w:ind w:left="993"/>
        <w:jc w:val="both"/>
        <w:rPr>
          <w:rFonts w:ascii="Arial" w:hAnsi="Arial" w:cs="Arial"/>
        </w:rPr>
      </w:pPr>
      <w:r>
        <w:rPr>
          <w:rFonts w:ascii="Arial" w:hAnsi="Arial" w:cs="Arial"/>
        </w:rPr>
        <w:t xml:space="preserve">4. </w:t>
      </w:r>
      <w:r w:rsidR="00B01FCD" w:rsidRPr="00FB3A86">
        <w:rPr>
          <w:rFonts w:ascii="Arial" w:hAnsi="Arial" w:cs="Arial"/>
        </w:rPr>
        <w:t>Conclusion</w:t>
      </w:r>
    </w:p>
    <w:p w14:paraId="6F0F7472" w14:textId="042446EE" w:rsidR="00B01FCD" w:rsidRDefault="001B3250" w:rsidP="0080170D">
      <w:pPr>
        <w:pStyle w:val="Body"/>
        <w:tabs>
          <w:tab w:val="left" w:pos="9214"/>
        </w:tabs>
        <w:ind w:left="993" w:right="1264"/>
        <w:rPr>
          <w:rFonts w:ascii="Arial" w:hAnsi="Arial" w:cs="Arial"/>
        </w:rPr>
      </w:pPr>
      <w:r w:rsidRPr="001B3250">
        <w:rPr>
          <w:rFonts w:ascii="Arial" w:hAnsi="Arial" w:cs="Arial"/>
        </w:rPr>
        <w:t xml:space="preserve">A functional </w:t>
      </w:r>
      <w:r w:rsidRPr="001B3250">
        <w:rPr>
          <w:rFonts w:ascii="Arial" w:hAnsi="Arial" w:cs="Arial"/>
          <w:i/>
          <w:iCs/>
        </w:rPr>
        <w:t xml:space="preserve">Garcinia </w:t>
      </w:r>
      <w:proofErr w:type="spellStart"/>
      <w:r w:rsidRPr="001B3250">
        <w:rPr>
          <w:rFonts w:ascii="Arial" w:hAnsi="Arial" w:cs="Arial"/>
          <w:i/>
          <w:iCs/>
        </w:rPr>
        <w:t>atroviridis</w:t>
      </w:r>
      <w:proofErr w:type="spellEnd"/>
      <w:r w:rsidRPr="001B3250">
        <w:rPr>
          <w:rFonts w:ascii="Arial" w:hAnsi="Arial" w:cs="Arial"/>
        </w:rPr>
        <w:t xml:space="preserve"> beverage concentrate was successfully developed and optimized using D-optimal mixture design RSM, yielding a product that strategically balances high sensory appeal with enhanced functional attributes. The optimization maximized consumer acceptance while delivering a potent concentration of hydroxycitric</w:t>
      </w:r>
      <w:r>
        <w:rPr>
          <w:rFonts w:ascii="Arial" w:hAnsi="Arial" w:cs="Arial"/>
        </w:rPr>
        <w:t xml:space="preserve"> </w:t>
      </w:r>
      <w:r w:rsidRPr="001B3250">
        <w:rPr>
          <w:rFonts w:ascii="Arial" w:hAnsi="Arial" w:cs="Arial"/>
        </w:rPr>
        <w:t>acid (</w:t>
      </w:r>
      <w:r>
        <w:rPr>
          <w:rFonts w:ascii="Arial" w:hAnsi="Arial" w:cs="Arial"/>
        </w:rPr>
        <w:t>approx.</w:t>
      </w:r>
      <w:r w:rsidRPr="001B3250">
        <w:rPr>
          <w:rFonts w:ascii="Arial" w:hAnsi="Arial" w:cs="Arial"/>
        </w:rPr>
        <w:t xml:space="preserve"> 170 mg/100 mL). The final concentrate</w:t>
      </w:r>
      <w:r>
        <w:rPr>
          <w:rFonts w:ascii="Arial" w:hAnsi="Arial" w:cs="Arial"/>
        </w:rPr>
        <w:t xml:space="preserve"> has outstanding nutritional compositions with moderate calorie and total sugars. </w:t>
      </w:r>
      <w:r w:rsidRPr="001B3250">
        <w:rPr>
          <w:rFonts w:ascii="Arial" w:hAnsi="Arial" w:cs="Arial"/>
        </w:rPr>
        <w:t>The product exhibited excellent shelf-life stability under accelerated storage conditions (40</w:t>
      </w:r>
      <w:r>
        <w:rPr>
          <w:rFonts w:ascii="Arial" w:hAnsi="Arial" w:cs="Arial"/>
        </w:rPr>
        <w:t xml:space="preserve"> °C</w:t>
      </w:r>
      <w:r w:rsidRPr="001B3250">
        <w:rPr>
          <w:rFonts w:ascii="Arial" w:hAnsi="Arial" w:cs="Arial"/>
        </w:rPr>
        <w:t>, 75</w:t>
      </w:r>
      <w:r>
        <w:rPr>
          <w:rFonts w:ascii="Arial" w:hAnsi="Arial" w:cs="Arial"/>
        </w:rPr>
        <w:t xml:space="preserve">% </w:t>
      </w:r>
      <w:r w:rsidRPr="001B3250">
        <w:rPr>
          <w:rFonts w:ascii="Arial" w:hAnsi="Arial" w:cs="Arial"/>
        </w:rPr>
        <w:t xml:space="preserve">RH) over the </w:t>
      </w:r>
      <w:r>
        <w:rPr>
          <w:rFonts w:ascii="Arial" w:hAnsi="Arial" w:cs="Arial"/>
        </w:rPr>
        <w:t>4 weeks</w:t>
      </w:r>
      <w:r w:rsidRPr="001B3250">
        <w:rPr>
          <w:rFonts w:ascii="Arial" w:hAnsi="Arial" w:cs="Arial"/>
        </w:rPr>
        <w:t xml:space="preserve"> test period</w:t>
      </w:r>
      <w:r>
        <w:rPr>
          <w:rFonts w:ascii="Arial" w:hAnsi="Arial" w:cs="Arial"/>
        </w:rPr>
        <w:t xml:space="preserve"> (</w:t>
      </w:r>
      <w:r w:rsidR="00094D3C">
        <w:rPr>
          <w:rFonts w:ascii="Arial" w:hAnsi="Arial" w:cs="Arial"/>
        </w:rPr>
        <w:t xml:space="preserve">equal to </w:t>
      </w:r>
      <w:r>
        <w:rPr>
          <w:rFonts w:ascii="Arial" w:hAnsi="Arial" w:cs="Arial"/>
        </w:rPr>
        <w:t>2 years in actual time)</w:t>
      </w:r>
      <w:r w:rsidRPr="001B3250">
        <w:rPr>
          <w:rFonts w:ascii="Arial" w:hAnsi="Arial" w:cs="Arial"/>
        </w:rPr>
        <w:t>. While physicochemical analysis showed statistically significant changes in viscosity and color parameters, the high intrinsic acidity (pH</w:t>
      </w:r>
      <w:r w:rsidR="00094D3C">
        <w:rPr>
          <w:rFonts w:ascii="Arial" w:hAnsi="Arial" w:cs="Arial"/>
        </w:rPr>
        <w:t xml:space="preserve"> approx.</w:t>
      </w:r>
      <w:r w:rsidRPr="001B3250">
        <w:rPr>
          <w:rFonts w:ascii="Arial" w:hAnsi="Arial" w:cs="Arial"/>
        </w:rPr>
        <w:t xml:space="preserve"> 2.0) and effective processing ensured complete microbiological safety and minimal sensory degradation. This work demonstrates the feasibility of valorizing an underutilized traditional resource into a stable, palatable, and health-promoting functional food ingredient, contributing valuable data for future product innovation in the Asian food science sector. Future efforts should concentrate on </w:t>
      </w:r>
      <w:r w:rsidR="00094D3C">
        <w:rPr>
          <w:rFonts w:ascii="Arial" w:hAnsi="Arial" w:cs="Arial"/>
        </w:rPr>
        <w:t xml:space="preserve">the </w:t>
      </w:r>
      <w:r w:rsidRPr="001B3250">
        <w:rPr>
          <w:rFonts w:ascii="Arial" w:hAnsi="Arial" w:cs="Arial"/>
        </w:rPr>
        <w:t>clinical investigation into the in vivo efficacy of the HCA and FOS combination.</w:t>
      </w:r>
    </w:p>
    <w:p w14:paraId="17703648" w14:textId="77777777" w:rsidR="004E77D2" w:rsidRPr="004E77D2" w:rsidRDefault="004E77D2" w:rsidP="004E77D2">
      <w:pPr>
        <w:rPr>
          <w:highlight w:val="yellow"/>
        </w:rPr>
      </w:pPr>
      <w:r w:rsidRPr="004E77D2">
        <w:rPr>
          <w:highlight w:val="yellow"/>
        </w:rPr>
        <w:t>Disclaimer (Artificial intelligence)</w:t>
      </w:r>
    </w:p>
    <w:p w14:paraId="46DF3269" w14:textId="77777777" w:rsidR="004E77D2" w:rsidRPr="004E77D2" w:rsidRDefault="004E77D2" w:rsidP="004E77D2">
      <w:pPr>
        <w:rPr>
          <w:highlight w:val="yellow"/>
        </w:rPr>
      </w:pPr>
      <w:r w:rsidRPr="004E77D2">
        <w:rPr>
          <w:highlight w:val="yellow"/>
        </w:rPr>
        <w:t xml:space="preserve">Option 1: </w:t>
      </w:r>
    </w:p>
    <w:p w14:paraId="7B9DC034" w14:textId="77777777" w:rsidR="004E77D2" w:rsidRPr="004E77D2" w:rsidRDefault="004E77D2" w:rsidP="004E77D2">
      <w:pPr>
        <w:rPr>
          <w:highlight w:val="yellow"/>
        </w:rPr>
      </w:pPr>
      <w:r w:rsidRPr="004E77D2">
        <w:rPr>
          <w:highlight w:val="yellow"/>
        </w:rPr>
        <w:t xml:space="preserve">Author(s) hereby declare that NO generative AI technologies such as Large Language Models (ChatGPT, COPILOT, etc.) and text-to-image generators have been used during the writing or editing of this manuscript. </w:t>
      </w:r>
    </w:p>
    <w:p w14:paraId="6DE397D4" w14:textId="77777777" w:rsidR="004E77D2" w:rsidRPr="004E77D2" w:rsidRDefault="004E77D2" w:rsidP="004E77D2">
      <w:pPr>
        <w:rPr>
          <w:highlight w:val="yellow"/>
        </w:rPr>
      </w:pPr>
      <w:r w:rsidRPr="004E77D2">
        <w:rPr>
          <w:highlight w:val="yellow"/>
        </w:rPr>
        <w:t xml:space="preserve">Option 2: </w:t>
      </w:r>
    </w:p>
    <w:p w14:paraId="4F44937B" w14:textId="77777777" w:rsidR="004E77D2" w:rsidRPr="004E77D2" w:rsidRDefault="004E77D2" w:rsidP="004E77D2">
      <w:pPr>
        <w:rPr>
          <w:highlight w:val="yellow"/>
        </w:rPr>
      </w:pPr>
      <w:r w:rsidRPr="004E77D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DAAC14" w14:textId="77777777" w:rsidR="004E77D2" w:rsidRPr="004E77D2" w:rsidRDefault="004E77D2" w:rsidP="004E77D2">
      <w:pPr>
        <w:rPr>
          <w:highlight w:val="yellow"/>
        </w:rPr>
      </w:pPr>
      <w:r w:rsidRPr="004E77D2">
        <w:rPr>
          <w:highlight w:val="yellow"/>
        </w:rPr>
        <w:t>Details of the AI usage are given below:</w:t>
      </w:r>
    </w:p>
    <w:p w14:paraId="24083F4D" w14:textId="77777777" w:rsidR="004E77D2" w:rsidRPr="004E77D2" w:rsidRDefault="004E77D2" w:rsidP="004E77D2">
      <w:pPr>
        <w:rPr>
          <w:highlight w:val="yellow"/>
        </w:rPr>
      </w:pPr>
      <w:r w:rsidRPr="004E77D2">
        <w:rPr>
          <w:highlight w:val="yellow"/>
        </w:rPr>
        <w:t>1.</w:t>
      </w:r>
    </w:p>
    <w:p w14:paraId="6B71441D" w14:textId="77777777" w:rsidR="004E77D2" w:rsidRPr="004E77D2" w:rsidRDefault="004E77D2" w:rsidP="004E77D2">
      <w:pPr>
        <w:rPr>
          <w:highlight w:val="yellow"/>
        </w:rPr>
      </w:pPr>
      <w:r w:rsidRPr="004E77D2">
        <w:rPr>
          <w:highlight w:val="yellow"/>
        </w:rPr>
        <w:t>2.</w:t>
      </w:r>
    </w:p>
    <w:p w14:paraId="734EEFE3" w14:textId="77777777" w:rsidR="004E77D2" w:rsidRPr="0053103C" w:rsidRDefault="004E77D2" w:rsidP="004E77D2">
      <w:r w:rsidRPr="004E77D2">
        <w:rPr>
          <w:highlight w:val="yellow"/>
        </w:rPr>
        <w:t>3.</w:t>
      </w:r>
    </w:p>
    <w:p w14:paraId="0058A8DC" w14:textId="77777777" w:rsidR="00B01FCD" w:rsidRDefault="00B01FCD" w:rsidP="00F750FD">
      <w:pPr>
        <w:pStyle w:val="ReferHead"/>
        <w:spacing w:after="0"/>
        <w:ind w:left="993"/>
        <w:jc w:val="both"/>
        <w:rPr>
          <w:rFonts w:ascii="Arial" w:hAnsi="Arial" w:cs="Arial"/>
        </w:rPr>
      </w:pPr>
      <w:r w:rsidRPr="00FB3A86">
        <w:rPr>
          <w:rFonts w:ascii="Arial" w:hAnsi="Arial" w:cs="Arial"/>
        </w:rPr>
        <w:t>References</w:t>
      </w:r>
    </w:p>
    <w:p w14:paraId="416E7C00" w14:textId="77777777" w:rsidR="005B0820" w:rsidRPr="005B0820" w:rsidRDefault="005B0820" w:rsidP="0080170D">
      <w:pPr>
        <w:numPr>
          <w:ilvl w:val="0"/>
          <w:numId w:val="31"/>
        </w:numPr>
        <w:spacing w:after="160" w:line="259" w:lineRule="auto"/>
        <w:ind w:left="1418" w:right="1264" w:hanging="426"/>
        <w:contextualSpacing/>
        <w:jc w:val="both"/>
        <w:rPr>
          <w:rFonts w:ascii="Arial" w:hAnsi="Arial" w:cs="Arial"/>
        </w:rPr>
      </w:pPr>
      <w:r w:rsidRPr="005B0820">
        <w:rPr>
          <w:rFonts w:ascii="Arial" w:hAnsi="Arial" w:cs="Arial"/>
        </w:rPr>
        <w:t xml:space="preserve">Panou, A., &amp; </w:t>
      </w:r>
      <w:proofErr w:type="spellStart"/>
      <w:r w:rsidRPr="005B0820">
        <w:rPr>
          <w:rFonts w:ascii="Arial" w:hAnsi="Arial" w:cs="Arial"/>
        </w:rPr>
        <w:t>Karabagias</w:t>
      </w:r>
      <w:proofErr w:type="spellEnd"/>
      <w:r w:rsidRPr="005B0820">
        <w:rPr>
          <w:rFonts w:ascii="Arial" w:hAnsi="Arial" w:cs="Arial"/>
        </w:rPr>
        <w:t xml:space="preserve">, I.K. (2025). Composition, properties, and beneficial effects of functional beverages on human health. Beverages, 11(40). </w:t>
      </w:r>
      <w:hyperlink r:id="rId8" w:history="1">
        <w:r w:rsidRPr="005B0820">
          <w:rPr>
            <w:rFonts w:ascii="Arial" w:hAnsi="Arial" w:cs="Arial"/>
            <w:color w:val="0563C1"/>
            <w:u w:val="single"/>
          </w:rPr>
          <w:t>https://doi.org/10.3390/beverages11020040</w:t>
        </w:r>
      </w:hyperlink>
      <w:r w:rsidRPr="005B0820">
        <w:rPr>
          <w:rFonts w:ascii="Arial" w:hAnsi="Arial" w:cs="Arial"/>
        </w:rPr>
        <w:t xml:space="preserve"> </w:t>
      </w:r>
    </w:p>
    <w:p w14:paraId="4697EFCE" w14:textId="77777777" w:rsidR="005B0820" w:rsidRPr="005B0820" w:rsidRDefault="005B0820" w:rsidP="0080170D">
      <w:pPr>
        <w:numPr>
          <w:ilvl w:val="0"/>
          <w:numId w:val="31"/>
        </w:numPr>
        <w:spacing w:after="160" w:line="259" w:lineRule="auto"/>
        <w:ind w:left="1418" w:right="1264" w:hanging="425"/>
        <w:contextualSpacing/>
        <w:jc w:val="both"/>
        <w:rPr>
          <w:rFonts w:ascii="Arial" w:hAnsi="Arial" w:cs="Arial"/>
        </w:rPr>
      </w:pPr>
      <w:r w:rsidRPr="005B0820">
        <w:rPr>
          <w:rFonts w:ascii="Arial" w:hAnsi="Arial" w:cs="Arial"/>
        </w:rPr>
        <w:t xml:space="preserve">Maleš, I., </w:t>
      </w:r>
      <w:proofErr w:type="spellStart"/>
      <w:r w:rsidRPr="005B0820">
        <w:rPr>
          <w:rFonts w:ascii="Arial" w:hAnsi="Arial" w:cs="Arial"/>
        </w:rPr>
        <w:t>Pedisić</w:t>
      </w:r>
      <w:proofErr w:type="spellEnd"/>
      <w:r w:rsidRPr="005B0820">
        <w:rPr>
          <w:rFonts w:ascii="Arial" w:hAnsi="Arial" w:cs="Arial"/>
        </w:rPr>
        <w:t xml:space="preserve">, S., Zorić, Z., Elez-Garofulić, I., </w:t>
      </w:r>
      <w:proofErr w:type="spellStart"/>
      <w:r w:rsidRPr="005B0820">
        <w:rPr>
          <w:rFonts w:ascii="Arial" w:hAnsi="Arial" w:cs="Arial"/>
        </w:rPr>
        <w:t>Repajić</w:t>
      </w:r>
      <w:proofErr w:type="spellEnd"/>
      <w:r w:rsidRPr="005B0820">
        <w:rPr>
          <w:rFonts w:ascii="Arial" w:hAnsi="Arial" w:cs="Arial"/>
        </w:rPr>
        <w:t xml:space="preserve">, M., You, L., Vladimir-Knežević, S., Butorac, D., &amp; Dragović-Uzelac, V. (2022). The medicinal and aromatic plants as ingredients in functional beverage production. Journal of Functional Foods, 96, 105210. </w:t>
      </w:r>
      <w:hyperlink r:id="rId9" w:history="1">
        <w:r w:rsidRPr="005B0820">
          <w:rPr>
            <w:rFonts w:ascii="Arial" w:hAnsi="Arial" w:cs="Arial"/>
            <w:color w:val="0563C1"/>
            <w:u w:val="single"/>
          </w:rPr>
          <w:t>https://doi.org/10.1016/j.jff.2022.105210</w:t>
        </w:r>
      </w:hyperlink>
      <w:r w:rsidRPr="005B0820">
        <w:rPr>
          <w:rFonts w:ascii="Arial" w:hAnsi="Arial" w:cs="Arial"/>
        </w:rPr>
        <w:t xml:space="preserve"> </w:t>
      </w:r>
    </w:p>
    <w:p w14:paraId="4DD78994" w14:textId="77777777" w:rsidR="005B0820" w:rsidRPr="005B0820" w:rsidRDefault="005B0820" w:rsidP="0080170D">
      <w:pPr>
        <w:numPr>
          <w:ilvl w:val="0"/>
          <w:numId w:val="31"/>
        </w:numPr>
        <w:spacing w:after="160" w:line="259" w:lineRule="auto"/>
        <w:ind w:left="1418" w:right="1264" w:hanging="425"/>
        <w:jc w:val="both"/>
        <w:rPr>
          <w:rFonts w:ascii="Arial" w:hAnsi="Arial" w:cs="Arial"/>
          <w:color w:val="1B1C1D"/>
          <w:lang w:val="en-MY" w:eastAsia="en-MY"/>
        </w:rPr>
      </w:pPr>
      <w:r w:rsidRPr="005B0820">
        <w:rPr>
          <w:rFonts w:ascii="Arial" w:hAnsi="Arial" w:cs="Arial"/>
          <w:color w:val="1B1C1D"/>
          <w:lang w:val="en-MY" w:eastAsia="en-MY"/>
        </w:rPr>
        <w:t xml:space="preserve">Shahid, M., Law, D., </w:t>
      </w:r>
      <w:proofErr w:type="spellStart"/>
      <w:r w:rsidRPr="005B0820">
        <w:rPr>
          <w:rFonts w:ascii="Arial" w:hAnsi="Arial" w:cs="Arial"/>
          <w:color w:val="1B1C1D"/>
          <w:lang w:val="en-MY" w:eastAsia="en-MY"/>
        </w:rPr>
        <w:t>Azfaralariff</w:t>
      </w:r>
      <w:proofErr w:type="spellEnd"/>
      <w:r w:rsidRPr="005B0820">
        <w:rPr>
          <w:rFonts w:ascii="Arial" w:hAnsi="Arial" w:cs="Arial"/>
          <w:color w:val="1B1C1D"/>
          <w:lang w:val="en-MY" w:eastAsia="en-MY"/>
        </w:rPr>
        <w:t xml:space="preserve">, A., Mackeen, M.M., Chong, T.F., &amp; Fazry, S. (2022). Phytochemicals and biological activities of </w:t>
      </w:r>
      <w:r w:rsidRPr="005B0820">
        <w:rPr>
          <w:rFonts w:ascii="Arial" w:hAnsi="Arial" w:cs="Arial"/>
          <w:i/>
          <w:iCs/>
          <w:color w:val="1B1C1D"/>
          <w:lang w:val="en-MY" w:eastAsia="en-MY"/>
        </w:rPr>
        <w:t xml:space="preserve">Garcinia </w:t>
      </w:r>
      <w:proofErr w:type="spellStart"/>
      <w:r w:rsidRPr="005B0820">
        <w:rPr>
          <w:rFonts w:ascii="Arial" w:hAnsi="Arial" w:cs="Arial"/>
          <w:i/>
          <w:iCs/>
          <w:color w:val="1B1C1D"/>
          <w:lang w:val="en-MY" w:eastAsia="en-MY"/>
        </w:rPr>
        <w:t>atroviridis</w:t>
      </w:r>
      <w:proofErr w:type="spellEnd"/>
      <w:r w:rsidRPr="005B0820">
        <w:rPr>
          <w:rFonts w:ascii="Arial" w:hAnsi="Arial" w:cs="Arial"/>
          <w:color w:val="1B1C1D"/>
          <w:lang w:val="en-MY" w:eastAsia="en-MY"/>
        </w:rPr>
        <w:t xml:space="preserve">: A critical review. </w:t>
      </w:r>
      <w:r w:rsidRPr="005B0820">
        <w:rPr>
          <w:rFonts w:ascii="Arial" w:hAnsi="Arial" w:cs="Arial"/>
          <w:color w:val="1B1C1D"/>
          <w:bdr w:val="none" w:sz="0" w:space="0" w:color="auto" w:frame="1"/>
          <w:lang w:val="en-MY" w:eastAsia="en-MY"/>
        </w:rPr>
        <w:t>Toxics</w:t>
      </w:r>
      <w:r w:rsidRPr="005B0820">
        <w:rPr>
          <w:rFonts w:ascii="Arial" w:hAnsi="Arial" w:cs="Arial"/>
          <w:color w:val="1B1C1D"/>
          <w:lang w:val="en-MY" w:eastAsia="en-MY"/>
        </w:rPr>
        <w:t xml:space="preserve">, 10(11), 656. </w:t>
      </w:r>
      <w:hyperlink r:id="rId10" w:history="1">
        <w:r w:rsidRPr="005B0820">
          <w:rPr>
            <w:rFonts w:ascii="Arial" w:hAnsi="Arial" w:cs="Arial"/>
            <w:color w:val="0563C1"/>
            <w:u w:val="single"/>
            <w:lang w:val="en-MY" w:eastAsia="en-MY"/>
          </w:rPr>
          <w:t>https://doi.org/10.3390/toxics10110656</w:t>
        </w:r>
      </w:hyperlink>
      <w:r w:rsidRPr="005B0820">
        <w:rPr>
          <w:rFonts w:ascii="Arial" w:hAnsi="Arial" w:cs="Arial"/>
          <w:color w:val="1B1C1D"/>
          <w:lang w:val="en-MY" w:eastAsia="en-MY"/>
        </w:rPr>
        <w:t xml:space="preserve"> </w:t>
      </w:r>
    </w:p>
    <w:p w14:paraId="60C5C124" w14:textId="77777777" w:rsidR="005B0820" w:rsidRPr="00F15A2A" w:rsidRDefault="005B0820" w:rsidP="0080170D">
      <w:pPr>
        <w:numPr>
          <w:ilvl w:val="0"/>
          <w:numId w:val="31"/>
        </w:numPr>
        <w:spacing w:after="160" w:line="259" w:lineRule="auto"/>
        <w:ind w:left="1418" w:right="839" w:hanging="425"/>
        <w:contextualSpacing/>
        <w:jc w:val="both"/>
        <w:rPr>
          <w:rFonts w:ascii="Arial" w:eastAsia="Calibri" w:hAnsi="Arial" w:cs="Arial"/>
          <w:lang w:val="nl-BE"/>
        </w:rPr>
      </w:pPr>
      <w:r w:rsidRPr="005B0820">
        <w:rPr>
          <w:rFonts w:ascii="Arial" w:eastAsia="Calibri" w:hAnsi="Arial" w:cs="Arial"/>
          <w:lang w:val="en-MY"/>
        </w:rPr>
        <w:t xml:space="preserve">Baky, M.H., Fahmy, H., &amp; Farag, M.A. (2022). Recent advances in </w:t>
      </w:r>
      <w:r w:rsidRPr="005B0820">
        <w:rPr>
          <w:rFonts w:ascii="Arial" w:eastAsia="Calibri" w:hAnsi="Arial" w:cs="Arial"/>
          <w:i/>
          <w:iCs/>
          <w:lang w:val="en-MY"/>
        </w:rPr>
        <w:t>Garcinia cambogia</w:t>
      </w:r>
      <w:r w:rsidRPr="005B0820">
        <w:rPr>
          <w:rFonts w:ascii="Arial" w:eastAsia="Calibri" w:hAnsi="Arial" w:cs="Arial"/>
          <w:lang w:val="en-MY"/>
        </w:rPr>
        <w:t xml:space="preserve"> nutraceuticals in relation to its hydroxycitric acid level: A comprehensive review of its bioactive production, formulation, and analysis with future perspectives. </w:t>
      </w:r>
      <w:r w:rsidRPr="00F15A2A">
        <w:rPr>
          <w:rFonts w:ascii="Arial" w:eastAsia="Calibri" w:hAnsi="Arial" w:cs="Arial"/>
          <w:i/>
          <w:iCs/>
          <w:lang w:val="nl-BE"/>
        </w:rPr>
        <w:t>ACS Omega, 7</w:t>
      </w:r>
      <w:r w:rsidRPr="00F15A2A">
        <w:rPr>
          <w:rFonts w:ascii="Arial" w:eastAsia="Calibri" w:hAnsi="Arial" w:cs="Arial"/>
          <w:lang w:val="nl-BE"/>
        </w:rPr>
        <w:t xml:space="preserve">(30), 25948–25957. </w:t>
      </w:r>
      <w:hyperlink r:id="rId11" w:history="1">
        <w:r w:rsidRPr="00F15A2A">
          <w:rPr>
            <w:rFonts w:ascii="Arial" w:eastAsia="Calibri" w:hAnsi="Arial" w:cs="Arial"/>
            <w:color w:val="0563C1"/>
            <w:u w:val="single"/>
            <w:lang w:val="nl-BE"/>
          </w:rPr>
          <w:t>https://doi.org/10.1021/acsomega.2c02838?urlappend=%3Fref%3DPDF&amp;jav=VoR&amp;rel=cite-as</w:t>
        </w:r>
      </w:hyperlink>
      <w:r w:rsidRPr="00F15A2A">
        <w:rPr>
          <w:rFonts w:ascii="Arial" w:eastAsia="Calibri" w:hAnsi="Arial" w:cs="Arial"/>
          <w:lang w:val="nl-BE"/>
        </w:rPr>
        <w:t xml:space="preserve"> </w:t>
      </w:r>
    </w:p>
    <w:p w14:paraId="1D8F5BC5" w14:textId="77777777" w:rsidR="005B0820" w:rsidRPr="005B0820" w:rsidRDefault="005B0820" w:rsidP="0080170D">
      <w:pPr>
        <w:numPr>
          <w:ilvl w:val="0"/>
          <w:numId w:val="31"/>
        </w:numPr>
        <w:tabs>
          <w:tab w:val="left" w:pos="9781"/>
        </w:tabs>
        <w:spacing w:after="160" w:line="259" w:lineRule="auto"/>
        <w:ind w:left="1418" w:right="839"/>
        <w:contextualSpacing/>
        <w:jc w:val="both"/>
        <w:rPr>
          <w:rFonts w:ascii="Arial" w:eastAsia="Calibri" w:hAnsi="Arial" w:cs="Arial"/>
          <w:lang w:val="en-MY"/>
        </w:rPr>
      </w:pPr>
      <w:r w:rsidRPr="00F15A2A">
        <w:rPr>
          <w:rFonts w:ascii="Arial" w:eastAsia="Calibri" w:hAnsi="Arial" w:cs="Arial"/>
          <w:lang w:val="nl-BE"/>
        </w:rPr>
        <w:t xml:space="preserve">Lim, W.F, Nasir, S.M, Teh, L.K, James, R.J, Izhar, M.H, &amp; Salleh, M.Z (2020). </w:t>
      </w:r>
      <w:r w:rsidRPr="005B0820">
        <w:rPr>
          <w:rFonts w:ascii="Arial" w:eastAsia="Calibri" w:hAnsi="Arial" w:cs="Arial"/>
          <w:lang w:val="en-MY"/>
        </w:rPr>
        <w:t xml:space="preserve">The methanolic extract of </w:t>
      </w:r>
      <w:r w:rsidRPr="005B0820">
        <w:rPr>
          <w:rFonts w:ascii="Arial" w:eastAsia="Calibri" w:hAnsi="Arial" w:cs="Arial"/>
          <w:i/>
          <w:iCs/>
          <w:lang w:val="en-MY"/>
        </w:rPr>
        <w:t xml:space="preserve">Garcinia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MeGa</w:t>
      </w:r>
      <w:proofErr w:type="spellEnd"/>
      <w:r w:rsidRPr="005B0820">
        <w:rPr>
          <w:rFonts w:ascii="Arial" w:eastAsia="Calibri" w:hAnsi="Arial" w:cs="Arial"/>
          <w:lang w:val="en-MY"/>
        </w:rPr>
        <w:t xml:space="preserve">) reduces body weight and food intake, and improves lipid profiles by altering the lipid metabolism: a rat model. Turkish Journal of Biology, 44(6), 437-448. </w:t>
      </w:r>
      <w:hyperlink r:id="rId12" w:history="1">
        <w:r w:rsidRPr="005B0820">
          <w:rPr>
            <w:rFonts w:ascii="Arial" w:eastAsia="Calibri" w:hAnsi="Arial" w:cs="Arial"/>
            <w:color w:val="0563C1"/>
            <w:u w:val="single"/>
            <w:lang w:val="en-MY"/>
          </w:rPr>
          <w:t>https://doi.org/10.3906/biy-2005-2</w:t>
        </w:r>
      </w:hyperlink>
      <w:r w:rsidRPr="005B0820">
        <w:rPr>
          <w:rFonts w:ascii="Arial" w:eastAsia="Calibri" w:hAnsi="Arial" w:cs="Arial"/>
          <w:lang w:val="en-MY"/>
        </w:rPr>
        <w:t xml:space="preserve"> </w:t>
      </w:r>
    </w:p>
    <w:p w14:paraId="36E1F8BC" w14:textId="25A4A4FD" w:rsidR="0080170D" w:rsidRPr="0080170D" w:rsidRDefault="005B0820" w:rsidP="000D5533">
      <w:pPr>
        <w:numPr>
          <w:ilvl w:val="0"/>
          <w:numId w:val="31"/>
        </w:numPr>
        <w:spacing w:line="259" w:lineRule="auto"/>
        <w:ind w:left="1418" w:right="839"/>
        <w:contextualSpacing/>
        <w:jc w:val="both"/>
        <w:rPr>
          <w:rFonts w:ascii="Arial" w:eastAsia="Calibri" w:hAnsi="Arial" w:cs="Arial"/>
          <w:lang w:val="en-MY"/>
        </w:rPr>
      </w:pPr>
      <w:r w:rsidRPr="005B0820">
        <w:rPr>
          <w:rFonts w:ascii="Arial" w:eastAsia="Calibri" w:hAnsi="Arial" w:cs="Arial"/>
          <w:lang w:val="en-MY"/>
        </w:rPr>
        <w:lastRenderedPageBreak/>
        <w:t xml:space="preserve">Shahid, M., Fazry, S., Najm, A.A., Law, D., Hoong, C.Y., Joe, L.S. et al. (2024). Antidiabetic potential of ethanolic crude extract of Garcinia </w:t>
      </w:r>
      <w:proofErr w:type="spellStart"/>
      <w:r w:rsidRPr="005B0820">
        <w:rPr>
          <w:rFonts w:ascii="Arial" w:eastAsia="Calibri" w:hAnsi="Arial" w:cs="Arial"/>
          <w:lang w:val="en-MY"/>
        </w:rPr>
        <w:t>atroviridis</w:t>
      </w:r>
      <w:proofErr w:type="spellEnd"/>
      <w:r w:rsidRPr="005B0820">
        <w:rPr>
          <w:rFonts w:ascii="Arial" w:eastAsia="Calibri" w:hAnsi="Arial" w:cs="Arial"/>
          <w:lang w:val="en-MY"/>
        </w:rPr>
        <w:t xml:space="preserve"> fruits: in vitro, in </w:t>
      </w:r>
      <w:proofErr w:type="spellStart"/>
      <w:r w:rsidRPr="005B0820">
        <w:rPr>
          <w:rFonts w:ascii="Arial" w:eastAsia="Calibri" w:hAnsi="Arial" w:cs="Arial"/>
          <w:lang w:val="en-MY"/>
        </w:rPr>
        <w:t>ovo</w:t>
      </w:r>
      <w:proofErr w:type="spellEnd"/>
      <w:r w:rsidRPr="005B0820">
        <w:rPr>
          <w:rFonts w:ascii="Arial" w:eastAsia="Calibri" w:hAnsi="Arial" w:cs="Arial"/>
          <w:lang w:val="en-MY"/>
        </w:rPr>
        <w:t xml:space="preserve">, and in silico analysis. International Journal of Food Science &amp; Technology, 59(6), 4064–4080. </w:t>
      </w:r>
      <w:hyperlink r:id="rId13" w:history="1">
        <w:r w:rsidRPr="005B0820">
          <w:rPr>
            <w:rFonts w:ascii="Arial" w:eastAsia="Calibri" w:hAnsi="Arial" w:cs="Arial"/>
            <w:color w:val="0563C1"/>
            <w:u w:val="single"/>
            <w:lang w:val="en-MY"/>
          </w:rPr>
          <w:t>https://doi.org/10.1111/ijfs.17163?urlappend=%3Futm_source%3Dresearchgate</w:t>
        </w:r>
      </w:hyperlink>
      <w:r w:rsidRPr="005B0820">
        <w:rPr>
          <w:rFonts w:ascii="Arial" w:eastAsia="Calibri" w:hAnsi="Arial" w:cs="Arial"/>
          <w:lang w:val="en-MY"/>
        </w:rPr>
        <w:t xml:space="preserve"> </w:t>
      </w:r>
    </w:p>
    <w:p w14:paraId="3108639B" w14:textId="5E09E1E3" w:rsidR="005B0820" w:rsidRPr="000D5533" w:rsidRDefault="005B0820" w:rsidP="00150CD7">
      <w:pPr>
        <w:pStyle w:val="ListParagraph"/>
        <w:numPr>
          <w:ilvl w:val="0"/>
          <w:numId w:val="31"/>
        </w:numPr>
        <w:spacing w:line="259" w:lineRule="auto"/>
        <w:ind w:left="1418" w:right="839"/>
        <w:jc w:val="both"/>
        <w:rPr>
          <w:rFonts w:ascii="Calibri" w:eastAsia="Calibri" w:hAnsi="Calibri"/>
          <w:sz w:val="22"/>
          <w:szCs w:val="22"/>
          <w:lang w:val="en-MY"/>
        </w:rPr>
      </w:pPr>
      <w:r w:rsidRPr="000D5533">
        <w:rPr>
          <w:rFonts w:ascii="Arial" w:eastAsia="Calibri" w:hAnsi="Arial" w:cs="Arial"/>
          <w:lang w:val="en-MY"/>
        </w:rPr>
        <w:t xml:space="preserve">Lubis, M. F., Kaban, V. E., Gurning, K., Parhan, P., Syahputra, H., et al. (2023). Phytochemicals and biological activities of ethanolic extract of </w:t>
      </w:r>
      <w:r w:rsidRPr="000D5533">
        <w:rPr>
          <w:rFonts w:ascii="Arial" w:eastAsia="Calibri" w:hAnsi="Arial" w:cs="Arial"/>
          <w:i/>
          <w:iCs/>
          <w:lang w:val="en-MY"/>
        </w:rPr>
        <w:t xml:space="preserve">Garcinia </w:t>
      </w:r>
      <w:proofErr w:type="spellStart"/>
      <w:r w:rsidRPr="000D5533">
        <w:rPr>
          <w:rFonts w:ascii="Arial" w:eastAsia="Calibri" w:hAnsi="Arial" w:cs="Arial"/>
          <w:i/>
          <w:iCs/>
          <w:lang w:val="en-MY"/>
        </w:rPr>
        <w:t>atroviridis</w:t>
      </w:r>
      <w:proofErr w:type="spellEnd"/>
      <w:r w:rsidRPr="000D5533">
        <w:rPr>
          <w:rFonts w:ascii="Arial" w:eastAsia="Calibri" w:hAnsi="Arial" w:cs="Arial"/>
          <w:lang w:val="en-MY"/>
        </w:rPr>
        <w:t xml:space="preserve"> leaf grown in Indonesia. Journal of Medicinal and Chemical Sciences, 6(10), 2456–2469. </w:t>
      </w:r>
      <w:hyperlink r:id="rId14" w:history="1">
        <w:r w:rsidRPr="000D5533">
          <w:rPr>
            <w:rFonts w:ascii="Arial" w:eastAsia="Calibri" w:hAnsi="Arial" w:cs="Arial"/>
            <w:color w:val="0563C1"/>
            <w:u w:val="single"/>
            <w:lang w:val="en-MY"/>
          </w:rPr>
          <w:t>https://doi.org/10.26655/jmchemsci.2023.10.20</w:t>
        </w:r>
      </w:hyperlink>
      <w:r w:rsidRPr="000D5533">
        <w:rPr>
          <w:rFonts w:ascii="Arial" w:eastAsia="Calibri" w:hAnsi="Arial" w:cs="Arial"/>
          <w:lang w:val="en-MY"/>
        </w:rPr>
        <w:t xml:space="preserve"> </w:t>
      </w:r>
    </w:p>
    <w:p w14:paraId="4A76AF7C" w14:textId="77777777" w:rsidR="00864423" w:rsidRDefault="00864423" w:rsidP="00864423">
      <w:pPr>
        <w:numPr>
          <w:ilvl w:val="0"/>
          <w:numId w:val="31"/>
        </w:numPr>
        <w:tabs>
          <w:tab w:val="left" w:pos="993"/>
        </w:tabs>
        <w:spacing w:after="160" w:line="259" w:lineRule="auto"/>
        <w:ind w:right="839"/>
        <w:contextualSpacing/>
        <w:jc w:val="both"/>
        <w:rPr>
          <w:rFonts w:ascii="Arial" w:eastAsia="Calibri" w:hAnsi="Arial" w:cs="Arial"/>
          <w:lang w:val="en-MY"/>
        </w:rPr>
      </w:pPr>
      <w:r w:rsidRPr="005B0820">
        <w:rPr>
          <w:rFonts w:ascii="Arial" w:eastAsia="Calibri" w:hAnsi="Arial" w:cs="Arial"/>
          <w:lang w:val="en-MY"/>
        </w:rPr>
        <w:t xml:space="preserve">Chuaijit, S., </w:t>
      </w:r>
      <w:proofErr w:type="spellStart"/>
      <w:r w:rsidRPr="005B0820">
        <w:rPr>
          <w:rFonts w:ascii="Arial" w:eastAsia="Calibri" w:hAnsi="Arial" w:cs="Arial"/>
          <w:lang w:val="en-MY"/>
        </w:rPr>
        <w:t>Punsawad</w:t>
      </w:r>
      <w:proofErr w:type="spellEnd"/>
      <w:r w:rsidRPr="005B0820">
        <w:rPr>
          <w:rFonts w:ascii="Arial" w:eastAsia="Calibri" w:hAnsi="Arial" w:cs="Arial"/>
          <w:lang w:val="en-MY"/>
        </w:rPr>
        <w:t xml:space="preserve">, C., Winoto, V., </w:t>
      </w:r>
      <w:proofErr w:type="spellStart"/>
      <w:r w:rsidRPr="005B0820">
        <w:rPr>
          <w:rFonts w:ascii="Arial" w:eastAsia="Calibri" w:hAnsi="Arial" w:cs="Arial"/>
          <w:lang w:val="en-MY"/>
        </w:rPr>
        <w:t>Plaingam</w:t>
      </w:r>
      <w:proofErr w:type="spellEnd"/>
      <w:r w:rsidRPr="005B0820">
        <w:rPr>
          <w:rFonts w:ascii="Arial" w:eastAsia="Calibri" w:hAnsi="Arial" w:cs="Arial"/>
          <w:lang w:val="en-MY"/>
        </w:rPr>
        <w:t xml:space="preserve">, W., </w:t>
      </w:r>
      <w:proofErr w:type="spellStart"/>
      <w:r w:rsidRPr="005B0820">
        <w:rPr>
          <w:rFonts w:ascii="Arial" w:eastAsia="Calibri" w:hAnsi="Arial" w:cs="Arial"/>
          <w:lang w:val="en-MY"/>
        </w:rPr>
        <w:t>Kongkaew</w:t>
      </w:r>
      <w:proofErr w:type="spellEnd"/>
      <w:r w:rsidRPr="005B0820">
        <w:rPr>
          <w:rFonts w:ascii="Arial" w:eastAsia="Calibri" w:hAnsi="Arial" w:cs="Arial"/>
          <w:lang w:val="en-MY"/>
        </w:rPr>
        <w:t xml:space="preserve">, I., </w:t>
      </w:r>
      <w:proofErr w:type="spellStart"/>
      <w:r w:rsidRPr="005B0820">
        <w:rPr>
          <w:rFonts w:ascii="Arial" w:eastAsia="Calibri" w:hAnsi="Arial" w:cs="Arial"/>
          <w:lang w:val="en-MY"/>
        </w:rPr>
        <w:t>Phetcharat</w:t>
      </w:r>
      <w:proofErr w:type="spellEnd"/>
      <w:r w:rsidRPr="005B0820">
        <w:rPr>
          <w:rFonts w:ascii="Arial" w:eastAsia="Calibri" w:hAnsi="Arial" w:cs="Arial"/>
          <w:lang w:val="en-MY"/>
        </w:rPr>
        <w:t xml:space="preserve">, A., Ichikawa, </w:t>
      </w:r>
    </w:p>
    <w:p w14:paraId="4637075C" w14:textId="77777777" w:rsidR="00864423" w:rsidRPr="005B0820" w:rsidRDefault="00864423" w:rsidP="00864423">
      <w:pPr>
        <w:tabs>
          <w:tab w:val="left" w:pos="1418"/>
        </w:tabs>
        <w:spacing w:after="160" w:line="259" w:lineRule="auto"/>
        <w:ind w:left="1418" w:right="839"/>
        <w:contextualSpacing/>
        <w:jc w:val="both"/>
        <w:rPr>
          <w:rFonts w:ascii="Arial" w:eastAsia="Calibri" w:hAnsi="Arial" w:cs="Arial"/>
          <w:lang w:val="en-MY"/>
        </w:rPr>
      </w:pPr>
      <w:r w:rsidRPr="00F15A2A">
        <w:rPr>
          <w:rFonts w:ascii="Arial" w:eastAsia="Calibri" w:hAnsi="Arial" w:cs="Arial"/>
          <w:lang w:val="nl-BE"/>
        </w:rPr>
        <w:t xml:space="preserve">T., Kubo,  M., Kawakami, F., Tedasen, A., &amp; Chatatikun, M. (2024). </w:t>
      </w:r>
      <w:r w:rsidRPr="005B0820">
        <w:rPr>
          <w:rFonts w:ascii="Arial" w:eastAsia="Calibri" w:hAnsi="Arial" w:cs="Arial"/>
          <w:lang w:val="en-MY"/>
        </w:rPr>
        <w:t xml:space="preserve">Leaf extract of Garcinia </w:t>
      </w:r>
      <w:proofErr w:type="spellStart"/>
      <w:r w:rsidRPr="005B0820">
        <w:rPr>
          <w:rFonts w:ascii="Arial" w:eastAsia="Calibri" w:hAnsi="Arial" w:cs="Arial"/>
          <w:lang w:val="en-MY"/>
        </w:rPr>
        <w:t>atroviridis</w:t>
      </w:r>
      <w:proofErr w:type="spellEnd"/>
      <w:r w:rsidRPr="005B0820">
        <w:rPr>
          <w:rFonts w:ascii="Arial" w:eastAsia="Calibri" w:hAnsi="Arial" w:cs="Arial"/>
          <w:lang w:val="en-MY"/>
        </w:rPr>
        <w:t xml:space="preserve"> promotes anti-heat stress and antioxidant effects in Caenorhabditis elegans. Frontiers in Pharmacology, 15, 1331627. </w:t>
      </w:r>
      <w:hyperlink r:id="rId15" w:history="1">
        <w:r w:rsidRPr="005B0820">
          <w:rPr>
            <w:rFonts w:ascii="Arial" w:eastAsia="Calibri" w:hAnsi="Arial" w:cs="Arial"/>
            <w:color w:val="0563C1"/>
            <w:u w:val="single"/>
            <w:lang w:val="en-MY"/>
          </w:rPr>
          <w:t>https://doi.org/10.3389/fphar.2024.1331627</w:t>
        </w:r>
      </w:hyperlink>
      <w:r w:rsidRPr="005B0820">
        <w:rPr>
          <w:rFonts w:ascii="Arial" w:eastAsia="Calibri" w:hAnsi="Arial" w:cs="Arial"/>
          <w:lang w:val="en-MY"/>
        </w:rPr>
        <w:t xml:space="preserve"> </w:t>
      </w:r>
    </w:p>
    <w:p w14:paraId="3F2A2E2D" w14:textId="77777777" w:rsidR="000D5533" w:rsidRDefault="005B0820" w:rsidP="000D5533">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Chew, Y.L., &amp; Lim, Y.Y. (2018). Evaluation and comparison of antioxidant activity of leaves, pericarps and pulps of three Garcinia species in Malaysia. Free Radicals and Antioxidants, 8(2), </w:t>
      </w:r>
    </w:p>
    <w:p w14:paraId="5DF837D0" w14:textId="18CB0276" w:rsidR="005B0820" w:rsidRPr="005B0820" w:rsidRDefault="005B0820" w:rsidP="000D5533">
      <w:pPr>
        <w:spacing w:after="160"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130–134. </w:t>
      </w:r>
      <w:hyperlink r:id="rId16" w:history="1">
        <w:r w:rsidRPr="005B0820">
          <w:rPr>
            <w:rFonts w:ascii="Arial" w:eastAsia="Calibri" w:hAnsi="Arial" w:cs="Arial"/>
            <w:color w:val="0563C1"/>
            <w:u w:val="single"/>
            <w:lang w:val="en-MY"/>
          </w:rPr>
          <w:t>https://doi.org/10.5530/fra.2018.2.19</w:t>
        </w:r>
      </w:hyperlink>
      <w:r w:rsidRPr="005B0820">
        <w:rPr>
          <w:rFonts w:ascii="Arial" w:eastAsia="Calibri" w:hAnsi="Arial" w:cs="Arial"/>
          <w:lang w:val="en-MY"/>
        </w:rPr>
        <w:t xml:space="preserve"> </w:t>
      </w:r>
    </w:p>
    <w:p w14:paraId="16821BC1" w14:textId="77777777" w:rsidR="005B0820" w:rsidRPr="005B0820" w:rsidRDefault="005B0820" w:rsidP="00150CD7">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Fernandes, P. (2025). </w:t>
      </w:r>
      <w:proofErr w:type="spellStart"/>
      <w:r w:rsidRPr="005B0820">
        <w:rPr>
          <w:rFonts w:ascii="Arial" w:eastAsia="Calibri" w:hAnsi="Arial" w:cs="Arial"/>
          <w:lang w:val="en-MY"/>
        </w:rPr>
        <w:t>Fructooligosaccharides</w:t>
      </w:r>
      <w:proofErr w:type="spellEnd"/>
      <w:r w:rsidRPr="005B0820">
        <w:rPr>
          <w:rFonts w:ascii="Arial" w:eastAsia="Calibri" w:hAnsi="Arial" w:cs="Arial"/>
          <w:lang w:val="en-MY"/>
        </w:rPr>
        <w:t xml:space="preserve"> (FOSs): A condensed overview. Compounds 5, 8. </w:t>
      </w:r>
      <w:hyperlink r:id="rId17" w:history="1">
        <w:r w:rsidRPr="005B0820">
          <w:rPr>
            <w:rFonts w:ascii="Arial" w:eastAsia="Calibri" w:hAnsi="Arial" w:cs="Arial"/>
            <w:color w:val="0563C1"/>
            <w:u w:val="single"/>
            <w:lang w:val="en-MY"/>
          </w:rPr>
          <w:t>https://doi.org/10.3390/compounds5020008</w:t>
        </w:r>
      </w:hyperlink>
      <w:r w:rsidRPr="005B0820">
        <w:rPr>
          <w:rFonts w:ascii="Arial" w:eastAsia="Calibri" w:hAnsi="Arial" w:cs="Arial"/>
          <w:lang w:val="en-MY"/>
        </w:rPr>
        <w:t xml:space="preserve"> </w:t>
      </w:r>
    </w:p>
    <w:p w14:paraId="186F71E3" w14:textId="77777777" w:rsidR="005B0820" w:rsidRPr="005B0820" w:rsidRDefault="005B0820" w:rsidP="00150CD7">
      <w:pPr>
        <w:numPr>
          <w:ilvl w:val="0"/>
          <w:numId w:val="31"/>
        </w:numPr>
        <w:spacing w:after="160" w:line="259" w:lineRule="auto"/>
        <w:ind w:left="1417" w:right="839" w:hanging="357"/>
        <w:contextualSpacing/>
        <w:jc w:val="both"/>
        <w:rPr>
          <w:rFonts w:ascii="Arial" w:eastAsia="Calibri" w:hAnsi="Arial" w:cs="Arial"/>
          <w:lang w:val="en-MY"/>
        </w:rPr>
      </w:pPr>
      <w:r w:rsidRPr="005B0820">
        <w:rPr>
          <w:rFonts w:ascii="Arial" w:eastAsia="Calibri" w:hAnsi="Arial" w:cs="Arial"/>
          <w:lang w:val="en-MY"/>
        </w:rPr>
        <w:t xml:space="preserve">Hussain </w:t>
      </w:r>
      <w:proofErr w:type="spellStart"/>
      <w:r w:rsidRPr="005B0820">
        <w:rPr>
          <w:rFonts w:ascii="Arial" w:eastAsia="Calibri" w:hAnsi="Arial" w:cs="Arial"/>
          <w:lang w:val="en-MY"/>
        </w:rPr>
        <w:t>Zaki</w:t>
      </w:r>
      <w:proofErr w:type="spellEnd"/>
      <w:r w:rsidRPr="005B0820">
        <w:rPr>
          <w:rFonts w:ascii="Arial" w:eastAsia="Calibri" w:hAnsi="Arial" w:cs="Arial"/>
          <w:lang w:val="en-MY"/>
        </w:rPr>
        <w:t xml:space="preserve">, U.K., </w:t>
      </w:r>
      <w:proofErr w:type="spellStart"/>
      <w:r w:rsidRPr="005B0820">
        <w:rPr>
          <w:rFonts w:ascii="Arial" w:eastAsia="Calibri" w:hAnsi="Arial" w:cs="Arial"/>
          <w:lang w:val="en-MY"/>
        </w:rPr>
        <w:t>Anvarali</w:t>
      </w:r>
      <w:proofErr w:type="spellEnd"/>
      <w:r w:rsidRPr="005B0820">
        <w:rPr>
          <w:rFonts w:ascii="Arial" w:eastAsia="Calibri" w:hAnsi="Arial" w:cs="Arial"/>
          <w:lang w:val="en-MY"/>
        </w:rPr>
        <w:t xml:space="preserve">, M.N., Ahmad, S., Mohd, A., </w:t>
      </w:r>
      <w:proofErr w:type="spellStart"/>
      <w:r w:rsidRPr="005B0820">
        <w:rPr>
          <w:rFonts w:ascii="Arial" w:eastAsia="Calibri" w:hAnsi="Arial" w:cs="Arial"/>
          <w:lang w:val="en-MY"/>
        </w:rPr>
        <w:t>Sapiee</w:t>
      </w:r>
      <w:proofErr w:type="spellEnd"/>
      <w:r w:rsidRPr="005B0820">
        <w:rPr>
          <w:rFonts w:ascii="Arial" w:eastAsia="Calibri" w:hAnsi="Arial" w:cs="Arial"/>
          <w:lang w:val="en-MY"/>
        </w:rPr>
        <w:t xml:space="preserve">, N.F., &amp; Ali, M.F. (2024). Enhancing hydroxycitric acid yield in </w:t>
      </w:r>
      <w:r w:rsidRPr="005B0820">
        <w:rPr>
          <w:rFonts w:ascii="Arial" w:eastAsia="Calibri" w:hAnsi="Arial" w:cs="Arial"/>
          <w:i/>
          <w:iCs/>
          <w:lang w:val="en-MY"/>
        </w:rPr>
        <w:t xml:space="preserve">Garcinia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A strategic optimization approach. Journal of Food and Nutrition Research, 12(5), 236–240. </w:t>
      </w:r>
      <w:hyperlink r:id="rId18" w:history="1">
        <w:r w:rsidRPr="005B0820">
          <w:rPr>
            <w:rFonts w:ascii="Arial" w:eastAsia="Calibri" w:hAnsi="Arial" w:cs="Arial"/>
            <w:color w:val="0563C1"/>
            <w:u w:val="single"/>
            <w:lang w:val="en-MY"/>
          </w:rPr>
          <w:t>https://doi.org/10.12691/jfnr-12-5-1</w:t>
        </w:r>
      </w:hyperlink>
      <w:r w:rsidRPr="005B0820">
        <w:rPr>
          <w:rFonts w:ascii="Arial" w:eastAsia="Calibri" w:hAnsi="Arial" w:cs="Arial"/>
          <w:lang w:val="en-MY"/>
        </w:rPr>
        <w:t xml:space="preserve"> </w:t>
      </w:r>
    </w:p>
    <w:p w14:paraId="0670E2D7" w14:textId="77777777" w:rsidR="005B0820" w:rsidRDefault="005B0820" w:rsidP="002F1814">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Md Ariff, F.F., Saffie, N., </w:t>
      </w:r>
      <w:proofErr w:type="spellStart"/>
      <w:r w:rsidRPr="005B0820">
        <w:rPr>
          <w:rFonts w:ascii="Arial" w:eastAsia="Calibri" w:hAnsi="Arial" w:cs="Arial"/>
          <w:lang w:val="en-MY"/>
        </w:rPr>
        <w:t>Muniandi</w:t>
      </w:r>
      <w:proofErr w:type="spellEnd"/>
      <w:r w:rsidRPr="005B0820">
        <w:rPr>
          <w:rFonts w:ascii="Arial" w:eastAsia="Calibri" w:hAnsi="Arial" w:cs="Arial"/>
          <w:lang w:val="en-MY"/>
        </w:rPr>
        <w:t xml:space="preserve">, S.K., </w:t>
      </w:r>
      <w:proofErr w:type="spellStart"/>
      <w:r w:rsidRPr="005B0820">
        <w:rPr>
          <w:rFonts w:ascii="Arial" w:eastAsia="Calibri" w:hAnsi="Arial" w:cs="Arial"/>
          <w:lang w:val="en-MY"/>
        </w:rPr>
        <w:t>Samsul</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Bahari</w:t>
      </w:r>
      <w:proofErr w:type="spellEnd"/>
      <w:r w:rsidRPr="005B0820">
        <w:rPr>
          <w:rFonts w:ascii="Arial" w:eastAsia="Calibri" w:hAnsi="Arial" w:cs="Arial"/>
          <w:lang w:val="en-MY"/>
        </w:rPr>
        <w:t xml:space="preserve">, S.N., Abdullah, F., Mohd Taini, M., &amp; Che Saad, M.N. (2024). Quantification of hydroxycitric acid in selected genotypes of </w:t>
      </w:r>
      <w:r w:rsidRPr="005B0820">
        <w:rPr>
          <w:rFonts w:ascii="Arial" w:eastAsia="Calibri" w:hAnsi="Arial" w:cs="Arial"/>
          <w:i/>
          <w:iCs/>
          <w:lang w:val="en-MY"/>
        </w:rPr>
        <w:t xml:space="preserve">Garcinia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Griff ex T. Anders. collected from four populations in Peninsular Malaysia. Food Research 8 (Suppl. 4): 88-93. </w:t>
      </w:r>
      <w:hyperlink r:id="rId19" w:history="1">
        <w:r w:rsidRPr="005B0820">
          <w:rPr>
            <w:rFonts w:ascii="Arial" w:eastAsia="Calibri" w:hAnsi="Arial" w:cs="Arial"/>
            <w:color w:val="0563C1"/>
            <w:u w:val="single"/>
            <w:lang w:val="en-MY"/>
          </w:rPr>
          <w:t>https://doi.org/10.26656/fr.2017.8(S4).21</w:t>
        </w:r>
      </w:hyperlink>
      <w:r w:rsidRPr="005B0820">
        <w:rPr>
          <w:rFonts w:ascii="Arial" w:eastAsia="Calibri" w:hAnsi="Arial" w:cs="Arial"/>
          <w:lang w:val="en-MY"/>
        </w:rPr>
        <w:t xml:space="preserve"> </w:t>
      </w:r>
    </w:p>
    <w:p w14:paraId="3FD2E5FB" w14:textId="121D36A1" w:rsidR="00B62084" w:rsidRDefault="00B62084" w:rsidP="002F1814">
      <w:pPr>
        <w:numPr>
          <w:ilvl w:val="0"/>
          <w:numId w:val="31"/>
        </w:numPr>
        <w:spacing w:after="160" w:line="259" w:lineRule="auto"/>
        <w:ind w:left="1418" w:right="839" w:hanging="425"/>
        <w:contextualSpacing/>
        <w:jc w:val="both"/>
        <w:rPr>
          <w:rFonts w:ascii="Arial" w:eastAsia="Calibri" w:hAnsi="Arial" w:cs="Arial"/>
          <w:lang w:val="en-MY"/>
        </w:rPr>
      </w:pPr>
      <w:r w:rsidRPr="00B62084">
        <w:rPr>
          <w:rFonts w:ascii="Arial" w:eastAsia="Calibri" w:hAnsi="Arial" w:cs="Arial"/>
          <w:lang w:val="en-MY"/>
        </w:rPr>
        <w:t xml:space="preserve">McLoughlin, C., McKie, V. A., &amp; McCleary, B. V. (2023). Validation of the test method—Determination of available carbohydrates in cereal and cereal products, dairy products, vegetables, fruit, and related food products and animal feeds: Collaborative study, Final Action 2020.07. Journal of AOAC International, 106(2), 370–383. </w:t>
      </w:r>
      <w:hyperlink r:id="rId20" w:history="1">
        <w:r w:rsidRPr="00F65393">
          <w:rPr>
            <w:rStyle w:val="Hyperlink"/>
            <w:rFonts w:ascii="Arial" w:eastAsia="Calibri" w:hAnsi="Arial" w:cs="Arial"/>
            <w:lang w:val="en-MY"/>
          </w:rPr>
          <w:t>https://doi.org/10.1093/jaoacint/qsac116</w:t>
        </w:r>
      </w:hyperlink>
      <w:r>
        <w:rPr>
          <w:rFonts w:ascii="Arial" w:eastAsia="Calibri" w:hAnsi="Arial" w:cs="Arial"/>
          <w:lang w:val="en-MY"/>
        </w:rPr>
        <w:t xml:space="preserve"> </w:t>
      </w:r>
    </w:p>
    <w:p w14:paraId="3C5FA76B" w14:textId="41A9E134" w:rsidR="00FD69B1" w:rsidRPr="00F15A2A" w:rsidRDefault="00FD69B1" w:rsidP="002F1814">
      <w:pPr>
        <w:numPr>
          <w:ilvl w:val="0"/>
          <w:numId w:val="31"/>
        </w:numPr>
        <w:spacing w:after="160" w:line="259" w:lineRule="auto"/>
        <w:ind w:left="1418" w:right="839" w:hanging="425"/>
        <w:contextualSpacing/>
        <w:jc w:val="both"/>
        <w:rPr>
          <w:rFonts w:ascii="Arial" w:eastAsia="Calibri" w:hAnsi="Arial" w:cs="Arial"/>
          <w:lang w:val="en-MY"/>
        </w:rPr>
      </w:pPr>
      <w:r>
        <w:t xml:space="preserve">Malik, F., Sultan, M., Rafique, M., Aslam, S., &amp; Shahid, M. (2022). Quality evaluation of lemon cordial stored at different times with microwave heating (pasteurization). </w:t>
      </w:r>
      <w:r w:rsidRPr="00F15A2A">
        <w:rPr>
          <w:rStyle w:val="Emphasis"/>
          <w:i w:val="0"/>
          <w:iCs w:val="0"/>
        </w:rPr>
        <w:t>Sustainability</w:t>
      </w:r>
      <w:r>
        <w:rPr>
          <w:rStyle w:val="Emphasis"/>
        </w:rPr>
        <w:t>, 14</w:t>
      </w:r>
      <w:r>
        <w:t xml:space="preserve">(4), 1953. </w:t>
      </w:r>
      <w:hyperlink r:id="rId21" w:history="1">
        <w:r w:rsidRPr="00F65393">
          <w:rPr>
            <w:rStyle w:val="Hyperlink"/>
          </w:rPr>
          <w:t>https://doi.org/10.3390/su14041953</w:t>
        </w:r>
      </w:hyperlink>
    </w:p>
    <w:p w14:paraId="46650FEB" w14:textId="51865ED1" w:rsidR="00FD69B1" w:rsidRPr="005B0820" w:rsidRDefault="00FD69B1" w:rsidP="002F1814">
      <w:pPr>
        <w:numPr>
          <w:ilvl w:val="0"/>
          <w:numId w:val="31"/>
        </w:numPr>
        <w:spacing w:after="160" w:line="259" w:lineRule="auto"/>
        <w:ind w:left="1418" w:right="839" w:hanging="425"/>
        <w:contextualSpacing/>
        <w:jc w:val="both"/>
        <w:rPr>
          <w:rFonts w:ascii="Arial" w:eastAsia="Calibri" w:hAnsi="Arial" w:cs="Arial"/>
          <w:lang w:val="en-MY"/>
        </w:rPr>
      </w:pPr>
      <w:proofErr w:type="spellStart"/>
      <w:r w:rsidRPr="00FD69B1">
        <w:rPr>
          <w:rFonts w:ascii="Arial" w:eastAsia="Calibri" w:hAnsi="Arial" w:cs="Arial"/>
          <w:lang w:val="en-MY"/>
        </w:rPr>
        <w:t>Kaewsalud</w:t>
      </w:r>
      <w:proofErr w:type="spellEnd"/>
      <w:r w:rsidRPr="00FD69B1">
        <w:rPr>
          <w:rFonts w:ascii="Arial" w:eastAsia="Calibri" w:hAnsi="Arial" w:cs="Arial"/>
          <w:lang w:val="en-MY"/>
        </w:rPr>
        <w:t xml:space="preserve">, T., </w:t>
      </w:r>
      <w:proofErr w:type="spellStart"/>
      <w:r w:rsidRPr="00FD69B1">
        <w:rPr>
          <w:rFonts w:ascii="Arial" w:eastAsia="Calibri" w:hAnsi="Arial" w:cs="Arial"/>
          <w:lang w:val="en-MY"/>
        </w:rPr>
        <w:t>Kaewsalud</w:t>
      </w:r>
      <w:proofErr w:type="spellEnd"/>
      <w:r w:rsidRPr="00FD69B1">
        <w:rPr>
          <w:rFonts w:ascii="Arial" w:eastAsia="Calibri" w:hAnsi="Arial" w:cs="Arial"/>
          <w:lang w:val="en-MY"/>
        </w:rPr>
        <w:t xml:space="preserve">, P., Thongrak, W., &amp; </w:t>
      </w:r>
      <w:proofErr w:type="spellStart"/>
      <w:r w:rsidRPr="00FD69B1">
        <w:rPr>
          <w:rFonts w:ascii="Arial" w:eastAsia="Calibri" w:hAnsi="Arial" w:cs="Arial"/>
          <w:lang w:val="en-MY"/>
        </w:rPr>
        <w:t>Anurukvorakun</w:t>
      </w:r>
      <w:proofErr w:type="spellEnd"/>
      <w:r w:rsidRPr="00FD69B1">
        <w:rPr>
          <w:rFonts w:ascii="Arial" w:eastAsia="Calibri" w:hAnsi="Arial" w:cs="Arial"/>
          <w:lang w:val="en-MY"/>
        </w:rPr>
        <w:t xml:space="preserve">, O. (2025). Development of </w:t>
      </w:r>
      <w:proofErr w:type="spellStart"/>
      <w:r w:rsidRPr="00FD69B1">
        <w:rPr>
          <w:rFonts w:ascii="Arial" w:eastAsia="Calibri" w:hAnsi="Arial" w:cs="Arial"/>
          <w:lang w:val="en-MY"/>
        </w:rPr>
        <w:t>fructooligosaccharide</w:t>
      </w:r>
      <w:proofErr w:type="spellEnd"/>
      <w:r w:rsidRPr="00FD69B1">
        <w:rPr>
          <w:rFonts w:ascii="Arial" w:eastAsia="Calibri" w:hAnsi="Arial" w:cs="Arial"/>
          <w:lang w:val="en-MY"/>
        </w:rPr>
        <w:t xml:space="preserve">-rich sugarcane juice by enzymatic method and enhancement of its microbial safety using high-pressure processing. Foods, 14(19), 3417. </w:t>
      </w:r>
      <w:hyperlink r:id="rId22" w:history="1">
        <w:r w:rsidRPr="00F65393">
          <w:rPr>
            <w:rStyle w:val="Hyperlink"/>
            <w:rFonts w:ascii="Arial" w:eastAsia="Calibri" w:hAnsi="Arial" w:cs="Arial"/>
            <w:lang w:val="en-MY"/>
          </w:rPr>
          <w:t>https://doi.org/10.3390/foods14193417</w:t>
        </w:r>
      </w:hyperlink>
      <w:r>
        <w:rPr>
          <w:rFonts w:ascii="Arial" w:eastAsia="Calibri" w:hAnsi="Arial" w:cs="Arial"/>
          <w:lang w:val="en-MY"/>
        </w:rPr>
        <w:t xml:space="preserve"> </w:t>
      </w:r>
    </w:p>
    <w:p w14:paraId="72797176" w14:textId="3ACD8220" w:rsidR="009C5F66" w:rsidRDefault="009C5F66" w:rsidP="00150CD7">
      <w:pPr>
        <w:numPr>
          <w:ilvl w:val="0"/>
          <w:numId w:val="31"/>
        </w:numPr>
        <w:spacing w:after="160" w:line="259" w:lineRule="auto"/>
        <w:ind w:left="1418" w:right="839" w:hanging="425"/>
        <w:contextualSpacing/>
        <w:jc w:val="both"/>
        <w:rPr>
          <w:rFonts w:ascii="Arial" w:eastAsia="Calibri" w:hAnsi="Arial" w:cs="Arial"/>
          <w:lang w:val="en-MY"/>
        </w:rPr>
      </w:pPr>
      <w:r w:rsidRPr="009C5F66">
        <w:rPr>
          <w:rFonts w:ascii="Arial" w:eastAsia="Calibri" w:hAnsi="Arial" w:cs="Arial"/>
          <w:lang w:val="en-MY"/>
        </w:rPr>
        <w:t xml:space="preserve">Tiencheu, B., </w:t>
      </w:r>
      <w:proofErr w:type="spellStart"/>
      <w:r w:rsidRPr="009C5F66">
        <w:rPr>
          <w:rFonts w:ascii="Arial" w:eastAsia="Calibri" w:hAnsi="Arial" w:cs="Arial"/>
          <w:lang w:val="en-MY"/>
        </w:rPr>
        <w:t>Nji</w:t>
      </w:r>
      <w:proofErr w:type="spellEnd"/>
      <w:r w:rsidRPr="009C5F66">
        <w:rPr>
          <w:rFonts w:ascii="Arial" w:eastAsia="Calibri" w:hAnsi="Arial" w:cs="Arial"/>
          <w:lang w:val="en-MY"/>
        </w:rPr>
        <w:t xml:space="preserve">, D.N., </w:t>
      </w:r>
      <w:proofErr w:type="spellStart"/>
      <w:r w:rsidRPr="009C5F66">
        <w:rPr>
          <w:rFonts w:ascii="Arial" w:eastAsia="Calibri" w:hAnsi="Arial" w:cs="Arial"/>
          <w:lang w:val="en-MY"/>
        </w:rPr>
        <w:t>Achidi</w:t>
      </w:r>
      <w:proofErr w:type="spellEnd"/>
      <w:r w:rsidRPr="009C5F66">
        <w:rPr>
          <w:rFonts w:ascii="Arial" w:eastAsia="Calibri" w:hAnsi="Arial" w:cs="Arial"/>
          <w:lang w:val="en-MY"/>
        </w:rPr>
        <w:t xml:space="preserve">, A.U., Egbe, A.C., </w:t>
      </w:r>
      <w:proofErr w:type="spellStart"/>
      <w:r w:rsidRPr="009C5F66">
        <w:rPr>
          <w:rFonts w:ascii="Arial" w:eastAsia="Calibri" w:hAnsi="Arial" w:cs="Arial"/>
          <w:lang w:val="en-MY"/>
        </w:rPr>
        <w:t>Tenyang</w:t>
      </w:r>
      <w:proofErr w:type="spellEnd"/>
      <w:r w:rsidRPr="009C5F66">
        <w:rPr>
          <w:rFonts w:ascii="Arial" w:eastAsia="Calibri" w:hAnsi="Arial" w:cs="Arial"/>
          <w:lang w:val="en-MY"/>
        </w:rPr>
        <w:t xml:space="preserve">, N., </w:t>
      </w:r>
      <w:proofErr w:type="spellStart"/>
      <w:r w:rsidRPr="009C5F66">
        <w:rPr>
          <w:rFonts w:ascii="Arial" w:eastAsia="Calibri" w:hAnsi="Arial" w:cs="Arial"/>
          <w:lang w:val="en-MY"/>
        </w:rPr>
        <w:t>Ngongang</w:t>
      </w:r>
      <w:proofErr w:type="spellEnd"/>
      <w:r w:rsidRPr="009C5F66">
        <w:rPr>
          <w:rFonts w:ascii="Arial" w:eastAsia="Calibri" w:hAnsi="Arial" w:cs="Arial"/>
          <w:lang w:val="en-MY"/>
        </w:rPr>
        <w:t xml:space="preserve">, E.F.T., </w:t>
      </w:r>
      <w:proofErr w:type="spellStart"/>
      <w:r w:rsidRPr="009C5F66">
        <w:rPr>
          <w:rFonts w:ascii="Arial" w:eastAsia="Calibri" w:hAnsi="Arial" w:cs="Arial"/>
          <w:lang w:val="en-MY"/>
        </w:rPr>
        <w:t>Djikeng</w:t>
      </w:r>
      <w:proofErr w:type="spellEnd"/>
      <w:r w:rsidRPr="009C5F66">
        <w:rPr>
          <w:rFonts w:ascii="Arial" w:eastAsia="Calibri" w:hAnsi="Arial" w:cs="Arial"/>
          <w:lang w:val="en-MY"/>
        </w:rPr>
        <w:t xml:space="preserve">, F.T., &amp; </w:t>
      </w:r>
      <w:proofErr w:type="spellStart"/>
      <w:r w:rsidRPr="009C5F66">
        <w:rPr>
          <w:rFonts w:ascii="Arial" w:eastAsia="Calibri" w:hAnsi="Arial" w:cs="Arial"/>
          <w:lang w:val="en-MY"/>
        </w:rPr>
        <w:t>Fossi</w:t>
      </w:r>
      <w:proofErr w:type="spellEnd"/>
      <w:r w:rsidRPr="009C5F66">
        <w:rPr>
          <w:rFonts w:ascii="Arial" w:eastAsia="Calibri" w:hAnsi="Arial" w:cs="Arial"/>
          <w:lang w:val="en-MY"/>
        </w:rPr>
        <w:t xml:space="preserve">, B.T. (2021). Nutritional, sensory, </w:t>
      </w:r>
      <w:proofErr w:type="spellStart"/>
      <w:r w:rsidRPr="009C5F66">
        <w:rPr>
          <w:rFonts w:ascii="Arial" w:eastAsia="Calibri" w:hAnsi="Arial" w:cs="Arial"/>
          <w:lang w:val="en-MY"/>
        </w:rPr>
        <w:t>physico</w:t>
      </w:r>
      <w:proofErr w:type="spellEnd"/>
      <w:r w:rsidRPr="009C5F66">
        <w:rPr>
          <w:rFonts w:ascii="Arial" w:eastAsia="Calibri" w:hAnsi="Arial" w:cs="Arial"/>
          <w:lang w:val="en-MY"/>
        </w:rPr>
        <w:t xml:space="preserve">-chemical, phytochemical, microbiological and shelf-life studies of natural fruit juice formulated from orange, lemon, honey and ginger. </w:t>
      </w:r>
      <w:proofErr w:type="spellStart"/>
      <w:r w:rsidRPr="009C5F66">
        <w:rPr>
          <w:rFonts w:ascii="Arial" w:eastAsia="Calibri" w:hAnsi="Arial" w:cs="Arial"/>
          <w:lang w:val="en-MY"/>
        </w:rPr>
        <w:t>Heliyon</w:t>
      </w:r>
      <w:proofErr w:type="spellEnd"/>
      <w:r w:rsidRPr="009C5F66">
        <w:rPr>
          <w:rFonts w:ascii="Arial" w:eastAsia="Calibri" w:hAnsi="Arial" w:cs="Arial"/>
          <w:lang w:val="en-MY"/>
        </w:rPr>
        <w:t xml:space="preserve">, 7(6), e07177. </w:t>
      </w:r>
      <w:hyperlink r:id="rId23" w:history="1">
        <w:r w:rsidR="004E12B3" w:rsidRPr="00F65393">
          <w:rPr>
            <w:rStyle w:val="Hyperlink"/>
            <w:rFonts w:ascii="Arial" w:eastAsia="Calibri" w:hAnsi="Arial" w:cs="Arial"/>
            <w:lang w:val="en-MY"/>
          </w:rPr>
          <w:t>https://doi.org/10.1016/j.heliyon.2021.e07177</w:t>
        </w:r>
      </w:hyperlink>
    </w:p>
    <w:p w14:paraId="12376831" w14:textId="178AF003" w:rsidR="0069166D" w:rsidRDefault="004E12B3" w:rsidP="00CA1FB2">
      <w:pPr>
        <w:numPr>
          <w:ilvl w:val="0"/>
          <w:numId w:val="31"/>
        </w:numPr>
        <w:spacing w:after="160" w:line="259" w:lineRule="auto"/>
        <w:ind w:right="839"/>
        <w:contextualSpacing/>
        <w:jc w:val="both"/>
        <w:rPr>
          <w:rFonts w:ascii="Arial" w:eastAsia="Calibri" w:hAnsi="Arial" w:cs="Arial"/>
          <w:lang w:val="en-MY"/>
        </w:rPr>
      </w:pPr>
      <w:r w:rsidRPr="0069166D">
        <w:rPr>
          <w:rFonts w:ascii="Arial" w:eastAsia="Calibri" w:hAnsi="Arial" w:cs="Arial"/>
          <w:lang w:val="en-MY"/>
        </w:rPr>
        <w:t xml:space="preserve">Mehboob, Z., Ali, A., Azmat, F., Zaffar, M., Anwar, S., Sarwar, M.F., &amp; Asif, H. (2023). Nutritional and physio-chemical analysis of commercial apple juices and natural apple juices available in Pakistan. Journal of Population Therapeutics &amp; Clinical Pharmacology, 30(18), 1845–1855. </w:t>
      </w:r>
      <w:hyperlink r:id="rId24" w:history="1">
        <w:r w:rsidR="0069166D" w:rsidRPr="0069166D">
          <w:rPr>
            <w:rStyle w:val="Hyperlink"/>
            <w:rFonts w:ascii="Arial" w:eastAsia="Calibri" w:hAnsi="Arial" w:cs="Arial"/>
            <w:lang w:val="en-MY"/>
          </w:rPr>
          <w:t>https://doi.org/10.53555/jptcp.v30i18.3370</w:t>
        </w:r>
      </w:hyperlink>
    </w:p>
    <w:p w14:paraId="4FB516B8" w14:textId="3EA63AF4" w:rsidR="0069166D" w:rsidRPr="0069166D" w:rsidRDefault="0069166D" w:rsidP="00F15A2A">
      <w:pPr>
        <w:numPr>
          <w:ilvl w:val="0"/>
          <w:numId w:val="31"/>
        </w:numPr>
        <w:spacing w:after="160" w:line="259" w:lineRule="auto"/>
        <w:ind w:right="839"/>
        <w:contextualSpacing/>
        <w:jc w:val="both"/>
        <w:rPr>
          <w:rFonts w:ascii="Arial" w:eastAsia="Calibri" w:hAnsi="Arial" w:cs="Arial"/>
          <w:lang w:val="en-MY"/>
        </w:rPr>
      </w:pPr>
      <w:r>
        <w:rPr>
          <w:rFonts w:ascii="Arial" w:eastAsia="Calibri" w:hAnsi="Arial" w:cs="Arial"/>
          <w:lang w:val="en-MY"/>
        </w:rPr>
        <w:t>A</w:t>
      </w:r>
      <w:r w:rsidRPr="0069166D">
        <w:rPr>
          <w:rFonts w:ascii="Arial" w:eastAsia="Calibri" w:hAnsi="Arial" w:cs="Arial"/>
          <w:lang w:val="en-MY"/>
        </w:rPr>
        <w:t>ndueza, N., Giner, R.M., Portillo, M.P. (2021). Risks associated with the use of Garcinia as a</w:t>
      </w:r>
      <w:r w:rsidRPr="0069166D">
        <w:t xml:space="preserve"> </w:t>
      </w:r>
      <w:r w:rsidRPr="0069166D">
        <w:rPr>
          <w:rFonts w:ascii="Arial" w:eastAsia="Calibri" w:hAnsi="Arial" w:cs="Arial"/>
          <w:lang w:val="en-MY"/>
        </w:rPr>
        <w:t xml:space="preserve">nutritional complement to lose weight. Nutrients, 13, 450. https://doi.org/10.3390/nu13020450 </w:t>
      </w:r>
    </w:p>
    <w:p w14:paraId="40A856E3" w14:textId="424E9DE3" w:rsidR="0069166D" w:rsidRDefault="0069166D" w:rsidP="00150CD7">
      <w:pPr>
        <w:numPr>
          <w:ilvl w:val="0"/>
          <w:numId w:val="31"/>
        </w:numPr>
        <w:spacing w:after="160" w:line="259" w:lineRule="auto"/>
        <w:ind w:left="1418" w:right="839" w:hanging="425"/>
        <w:contextualSpacing/>
        <w:jc w:val="both"/>
        <w:rPr>
          <w:rFonts w:ascii="Arial" w:eastAsia="Calibri" w:hAnsi="Arial" w:cs="Arial"/>
          <w:lang w:val="en-MY"/>
        </w:rPr>
      </w:pPr>
      <w:r w:rsidRPr="0069166D">
        <w:rPr>
          <w:rFonts w:ascii="Arial" w:eastAsia="Calibri" w:hAnsi="Arial" w:cs="Arial"/>
          <w:lang w:val="en-MY"/>
        </w:rPr>
        <w:t xml:space="preserve">An, S. (2023). Comparison of </w:t>
      </w:r>
      <w:r>
        <w:rPr>
          <w:rFonts w:ascii="Arial" w:eastAsia="Calibri" w:hAnsi="Arial" w:cs="Arial"/>
          <w:lang w:val="en-MY"/>
        </w:rPr>
        <w:t>n</w:t>
      </w:r>
      <w:r w:rsidRPr="0069166D">
        <w:rPr>
          <w:rFonts w:ascii="Arial" w:eastAsia="Calibri" w:hAnsi="Arial" w:cs="Arial"/>
          <w:lang w:val="en-MY"/>
        </w:rPr>
        <w:t xml:space="preserve">ational </w:t>
      </w:r>
      <w:r>
        <w:rPr>
          <w:rFonts w:ascii="Arial" w:eastAsia="Calibri" w:hAnsi="Arial" w:cs="Arial"/>
          <w:lang w:val="en-MY"/>
        </w:rPr>
        <w:t>d</w:t>
      </w:r>
      <w:r w:rsidRPr="0069166D">
        <w:rPr>
          <w:rFonts w:ascii="Arial" w:eastAsia="Calibri" w:hAnsi="Arial" w:cs="Arial"/>
          <w:lang w:val="en-MY"/>
        </w:rPr>
        <w:t xml:space="preserve">ysphagia </w:t>
      </w:r>
      <w:r>
        <w:rPr>
          <w:rFonts w:ascii="Arial" w:eastAsia="Calibri" w:hAnsi="Arial" w:cs="Arial"/>
          <w:lang w:val="en-MY"/>
        </w:rPr>
        <w:t>d</w:t>
      </w:r>
      <w:r w:rsidRPr="0069166D">
        <w:rPr>
          <w:rFonts w:ascii="Arial" w:eastAsia="Calibri" w:hAnsi="Arial" w:cs="Arial"/>
          <w:lang w:val="en-MY"/>
        </w:rPr>
        <w:t xml:space="preserve">iet and </w:t>
      </w:r>
      <w:r>
        <w:rPr>
          <w:rFonts w:ascii="Arial" w:eastAsia="Calibri" w:hAnsi="Arial" w:cs="Arial"/>
          <w:lang w:val="en-MY"/>
        </w:rPr>
        <w:t>I</w:t>
      </w:r>
      <w:r w:rsidRPr="0069166D">
        <w:rPr>
          <w:rFonts w:ascii="Arial" w:eastAsia="Calibri" w:hAnsi="Arial" w:cs="Arial"/>
          <w:lang w:val="en-MY"/>
        </w:rPr>
        <w:t>nternational Dysphagia Diet Standardisation Initiative definitions of thickened fluids. Preventive Nutrition and Food Science, 28(1), 83–90. https://doi.org/10.3746/pnf.2023.28.1.83</w:t>
      </w:r>
      <w:r>
        <w:rPr>
          <w:rFonts w:ascii="Arial" w:eastAsia="Calibri" w:hAnsi="Arial" w:cs="Arial"/>
          <w:lang w:val="en-MY"/>
        </w:rPr>
        <w:t xml:space="preserve"> </w:t>
      </w:r>
    </w:p>
    <w:p w14:paraId="0203F3C9" w14:textId="3831D96B" w:rsidR="00A92BAD" w:rsidRDefault="00E43051" w:rsidP="00150CD7">
      <w:pPr>
        <w:numPr>
          <w:ilvl w:val="0"/>
          <w:numId w:val="31"/>
        </w:numPr>
        <w:spacing w:after="160" w:line="259" w:lineRule="auto"/>
        <w:ind w:left="1418" w:right="839" w:hanging="425"/>
        <w:contextualSpacing/>
        <w:jc w:val="both"/>
        <w:rPr>
          <w:rFonts w:ascii="Arial" w:eastAsia="Calibri" w:hAnsi="Arial" w:cs="Arial"/>
          <w:lang w:val="en-MY"/>
        </w:rPr>
      </w:pPr>
      <w:proofErr w:type="spellStart"/>
      <w:r w:rsidRPr="00E43051">
        <w:rPr>
          <w:rFonts w:ascii="Arial" w:eastAsia="Calibri" w:hAnsi="Arial" w:cs="Arial"/>
          <w:lang w:val="en-MY"/>
        </w:rPr>
        <w:t>Pouris</w:t>
      </w:r>
      <w:proofErr w:type="spellEnd"/>
      <w:r w:rsidRPr="00E43051">
        <w:rPr>
          <w:rFonts w:ascii="Arial" w:eastAsia="Calibri" w:hAnsi="Arial" w:cs="Arial"/>
          <w:lang w:val="en-MY"/>
        </w:rPr>
        <w:t xml:space="preserve">, J., Kapsalis, N., &amp; Mandala, I. (2024). The role of fungi in food production and processing. Applied Sciences, 14(12), 5046. </w:t>
      </w:r>
      <w:hyperlink r:id="rId25" w:history="1">
        <w:r w:rsidRPr="00F65393">
          <w:rPr>
            <w:rStyle w:val="Hyperlink"/>
            <w:rFonts w:ascii="Arial" w:eastAsia="Calibri" w:hAnsi="Arial" w:cs="Arial"/>
            <w:lang w:val="en-MY"/>
          </w:rPr>
          <w:t>https://doi.org/10.3390/app14125046</w:t>
        </w:r>
      </w:hyperlink>
      <w:r>
        <w:rPr>
          <w:rFonts w:ascii="Arial" w:eastAsia="Calibri" w:hAnsi="Arial" w:cs="Arial"/>
          <w:lang w:val="en-MY"/>
        </w:rPr>
        <w:t xml:space="preserve"> </w:t>
      </w:r>
    </w:p>
    <w:p w14:paraId="7D909AA4" w14:textId="17EC7306" w:rsidR="00E43051" w:rsidRDefault="00E43051" w:rsidP="00150CD7">
      <w:pPr>
        <w:numPr>
          <w:ilvl w:val="0"/>
          <w:numId w:val="31"/>
        </w:numPr>
        <w:spacing w:after="160" w:line="259" w:lineRule="auto"/>
        <w:ind w:left="1418" w:right="839" w:hanging="425"/>
        <w:contextualSpacing/>
        <w:jc w:val="both"/>
        <w:rPr>
          <w:rFonts w:ascii="Arial" w:eastAsia="Calibri" w:hAnsi="Arial" w:cs="Arial"/>
          <w:lang w:val="en-MY"/>
        </w:rPr>
      </w:pPr>
      <w:r w:rsidRPr="00E43051">
        <w:rPr>
          <w:rFonts w:ascii="Arial" w:eastAsia="Calibri" w:hAnsi="Arial" w:cs="Arial"/>
          <w:lang w:val="en-MY"/>
        </w:rPr>
        <w:t xml:space="preserve">Kong, T. Y., Hasnan, N. Z. N., Nur Diyana, A., Nurin-Zulkifli, I. M., Basha, R. K., Abdul Ghani, N. H., &amp; Aziz, N. A. (2020). Effect of different pasteurisation temperature on physicochemical properties, bioactive compounds, antioxidant activity and microbiological qualities of reconstituted pomegranate juice (RPJ). Food Research, 4(Suppl. 6), 157–164. </w:t>
      </w:r>
      <w:hyperlink r:id="rId26" w:history="1">
        <w:r w:rsidRPr="00F65393">
          <w:rPr>
            <w:rStyle w:val="Hyperlink"/>
            <w:rFonts w:ascii="Arial" w:eastAsia="Calibri" w:hAnsi="Arial" w:cs="Arial"/>
            <w:lang w:val="en-MY"/>
          </w:rPr>
          <w:t>https://doi.org/10.26656/fr.2017.4(S6).057</w:t>
        </w:r>
      </w:hyperlink>
      <w:r>
        <w:rPr>
          <w:rFonts w:ascii="Arial" w:eastAsia="Calibri" w:hAnsi="Arial" w:cs="Arial"/>
          <w:lang w:val="en-MY"/>
        </w:rPr>
        <w:t xml:space="preserve"> </w:t>
      </w:r>
    </w:p>
    <w:p w14:paraId="0A5ED2EF" w14:textId="740929FF" w:rsidR="00E43051" w:rsidRDefault="00E43051" w:rsidP="00150CD7">
      <w:pPr>
        <w:numPr>
          <w:ilvl w:val="0"/>
          <w:numId w:val="31"/>
        </w:numPr>
        <w:spacing w:after="160" w:line="259" w:lineRule="auto"/>
        <w:ind w:left="1418" w:right="839" w:hanging="425"/>
        <w:contextualSpacing/>
        <w:jc w:val="both"/>
        <w:rPr>
          <w:rFonts w:ascii="Arial" w:eastAsia="Calibri" w:hAnsi="Arial" w:cs="Arial"/>
          <w:lang w:val="en-MY"/>
        </w:rPr>
      </w:pPr>
      <w:r w:rsidRPr="00E43051">
        <w:rPr>
          <w:rFonts w:ascii="Arial" w:eastAsia="Calibri" w:hAnsi="Arial" w:cs="Arial"/>
          <w:lang w:val="en-MY"/>
        </w:rPr>
        <w:lastRenderedPageBreak/>
        <w:t xml:space="preserve">Chiozzi, V., Muratore, G., Cavallaro, G., Spina, A., &amp; Barbieri, S. (2022). Advances, applications, and comparison of thermal pasteurization and sterilization technologies in foods: A review. Applied Sciences, 12(4), 2202. </w:t>
      </w:r>
      <w:hyperlink r:id="rId27" w:history="1">
        <w:r w:rsidRPr="00F65393">
          <w:rPr>
            <w:rStyle w:val="Hyperlink"/>
            <w:rFonts w:ascii="Arial" w:eastAsia="Calibri" w:hAnsi="Arial" w:cs="Arial"/>
            <w:lang w:val="en-MY"/>
          </w:rPr>
          <w:t>https://doi.org/10.3390/app12042202</w:t>
        </w:r>
      </w:hyperlink>
      <w:r>
        <w:rPr>
          <w:rFonts w:ascii="Arial" w:eastAsia="Calibri" w:hAnsi="Arial" w:cs="Arial"/>
          <w:lang w:val="en-MY"/>
        </w:rPr>
        <w:t xml:space="preserve"> </w:t>
      </w:r>
    </w:p>
    <w:p w14:paraId="51E776F6" w14:textId="6741416D" w:rsidR="00E43051" w:rsidRPr="005B0820" w:rsidRDefault="00E43051" w:rsidP="00150CD7">
      <w:pPr>
        <w:numPr>
          <w:ilvl w:val="0"/>
          <w:numId w:val="31"/>
        </w:numPr>
        <w:spacing w:after="160" w:line="259" w:lineRule="auto"/>
        <w:ind w:left="1418" w:right="839" w:hanging="425"/>
        <w:contextualSpacing/>
        <w:jc w:val="both"/>
        <w:rPr>
          <w:rFonts w:ascii="Arial" w:eastAsia="Calibri" w:hAnsi="Arial" w:cs="Arial"/>
          <w:lang w:val="en-MY"/>
        </w:rPr>
      </w:pPr>
      <w:r w:rsidRPr="00F15A2A">
        <w:rPr>
          <w:rFonts w:ascii="Arial" w:eastAsia="Calibri" w:hAnsi="Arial" w:cs="Arial"/>
          <w:lang w:val="nl-BE"/>
        </w:rPr>
        <w:t xml:space="preserve">Verma, M. K., Shakya, S., Kumar, P., &amp; Madhavi, J. (2021). </w:t>
      </w:r>
      <w:r w:rsidRPr="00E43051">
        <w:rPr>
          <w:rFonts w:ascii="Arial" w:eastAsia="Calibri" w:hAnsi="Arial" w:cs="Arial"/>
          <w:lang w:val="en-MY"/>
        </w:rPr>
        <w:t xml:space="preserve">Trends in packaging material for food products: Historical background, current scenario, and future prospects. Journal of Food Science and Technology, 58(12), 4712–4731. </w:t>
      </w:r>
      <w:hyperlink r:id="rId28" w:history="1">
        <w:r w:rsidRPr="00F65393">
          <w:rPr>
            <w:rStyle w:val="Hyperlink"/>
            <w:rFonts w:ascii="Arial" w:eastAsia="Calibri" w:hAnsi="Arial" w:cs="Arial"/>
            <w:lang w:val="en-MY"/>
          </w:rPr>
          <w:t>https://doi.org/10.1007/s13197-021-04964-2</w:t>
        </w:r>
      </w:hyperlink>
      <w:r>
        <w:rPr>
          <w:rFonts w:ascii="Arial" w:eastAsia="Calibri" w:hAnsi="Arial" w:cs="Arial"/>
          <w:lang w:val="en-MY"/>
        </w:rPr>
        <w:t xml:space="preserve"> </w:t>
      </w:r>
    </w:p>
    <w:p w14:paraId="44F1BAAE" w14:textId="29D35C95" w:rsidR="005B0820" w:rsidRPr="005B0820" w:rsidRDefault="005B0820" w:rsidP="002F1814">
      <w:pPr>
        <w:numPr>
          <w:ilvl w:val="0"/>
          <w:numId w:val="31"/>
        </w:numPr>
        <w:spacing w:after="160" w:line="259" w:lineRule="auto"/>
        <w:ind w:left="1276" w:right="839" w:hanging="283"/>
        <w:contextualSpacing/>
        <w:jc w:val="both"/>
        <w:rPr>
          <w:rFonts w:ascii="Arial" w:eastAsia="Calibri" w:hAnsi="Arial" w:cs="Arial"/>
          <w:lang w:val="en-MY"/>
        </w:rPr>
      </w:pPr>
      <w:r w:rsidRPr="00F15A2A">
        <w:rPr>
          <w:rFonts w:ascii="Arial" w:eastAsia="Calibri" w:hAnsi="Arial" w:cs="Arial"/>
          <w:lang w:val="nl-BE"/>
        </w:rPr>
        <w:t xml:space="preserve"> </w:t>
      </w:r>
      <w:r w:rsidR="00150CD7" w:rsidRPr="00F15A2A">
        <w:rPr>
          <w:rFonts w:ascii="Arial" w:eastAsia="Calibri" w:hAnsi="Arial" w:cs="Arial"/>
          <w:lang w:val="nl-BE"/>
        </w:rPr>
        <w:t xml:space="preserve"> </w:t>
      </w:r>
      <w:r w:rsidRPr="00F15A2A">
        <w:rPr>
          <w:rFonts w:ascii="Arial" w:eastAsia="Calibri" w:hAnsi="Arial" w:cs="Arial"/>
          <w:lang w:val="nl-BE"/>
        </w:rPr>
        <w:t xml:space="preserve">Zeng, H., Wang, W., Zhong, Z., Huang, Q., Wang, C., Li, S., &amp; Li, R. (2021). </w:t>
      </w:r>
      <w:r w:rsidRPr="005B0820">
        <w:rPr>
          <w:rFonts w:ascii="Arial" w:eastAsia="Calibri" w:hAnsi="Arial" w:cs="Arial"/>
          <w:lang w:val="en-MY"/>
        </w:rPr>
        <w:t xml:space="preserve">Effect of xanthan gum co-extruded with OSA starch on its solubility and rheological properties. International Journal of Biological Macromolecules, 178, 109–116. </w:t>
      </w:r>
      <w:hyperlink r:id="rId29" w:history="1">
        <w:r w:rsidRPr="005B0820">
          <w:rPr>
            <w:rFonts w:ascii="Arial" w:eastAsia="Calibri" w:hAnsi="Arial" w:cs="Arial"/>
            <w:color w:val="0563C1"/>
            <w:u w:val="single"/>
            <w:lang w:val="en-MY"/>
          </w:rPr>
          <w:t>https://doi.org/10.1016/j.ijbiomac.2021.03.119</w:t>
        </w:r>
      </w:hyperlink>
    </w:p>
    <w:p w14:paraId="144BC452" w14:textId="77777777" w:rsidR="00441B6F" w:rsidRDefault="00441B6F" w:rsidP="0080170D">
      <w:pPr>
        <w:pStyle w:val="Body"/>
        <w:spacing w:after="0"/>
      </w:pPr>
    </w:p>
    <w:p w14:paraId="39B74A24" w14:textId="77777777" w:rsidR="00441B6F" w:rsidRDefault="00441B6F" w:rsidP="0080170D">
      <w:pPr>
        <w:pStyle w:val="Body"/>
        <w:spacing w:after="0"/>
        <w:rPr>
          <w:rFonts w:ascii="Arial" w:hAnsi="Arial" w:cs="Arial"/>
        </w:rPr>
      </w:pPr>
    </w:p>
    <w:p w14:paraId="47A42470" w14:textId="77777777" w:rsidR="00B01FCD" w:rsidRPr="00FB3A86" w:rsidRDefault="00B01FCD" w:rsidP="0080170D">
      <w:pPr>
        <w:pStyle w:val="Reference"/>
        <w:numPr>
          <w:ilvl w:val="0"/>
          <w:numId w:val="0"/>
        </w:numPr>
        <w:spacing w:line="240" w:lineRule="auto"/>
        <w:rPr>
          <w:rFonts w:ascii="Arial" w:hAnsi="Arial" w:cs="Arial"/>
        </w:rPr>
      </w:pPr>
    </w:p>
    <w:p w14:paraId="7C7F7687" w14:textId="77777777" w:rsidR="00B01FCD" w:rsidRPr="00FB3A86" w:rsidRDefault="00B01FCD" w:rsidP="0080170D">
      <w:pPr>
        <w:pStyle w:val="Appendix"/>
        <w:spacing w:after="0"/>
        <w:jc w:val="both"/>
        <w:rPr>
          <w:rFonts w:ascii="Arial" w:hAnsi="Arial" w:cs="Arial"/>
          <w:b w:val="0"/>
        </w:rPr>
      </w:pPr>
    </w:p>
    <w:sectPr w:rsidR="00B01FCD" w:rsidRPr="00FB3A86" w:rsidSect="00E51202">
      <w:headerReference w:type="even" r:id="rId30"/>
      <w:headerReference w:type="default" r:id="rId31"/>
      <w:footerReference w:type="even" r:id="rId32"/>
      <w:footerReference w:type="default" r:id="rId33"/>
      <w:headerReference w:type="first" r:id="rId34"/>
      <w:footerReference w:type="first" r:id="rId35"/>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79191" w14:textId="77777777" w:rsidR="003C6442" w:rsidRDefault="003C6442" w:rsidP="00C37E61">
      <w:r>
        <w:separator/>
      </w:r>
    </w:p>
  </w:endnote>
  <w:endnote w:type="continuationSeparator" w:id="0">
    <w:p w14:paraId="2CA7A784" w14:textId="77777777" w:rsidR="003C6442" w:rsidRDefault="003C64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5D20" w14:textId="77777777" w:rsidR="00470553" w:rsidRDefault="00470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018C" w14:textId="77777777" w:rsidR="00470553" w:rsidRPr="00C37E61" w:rsidRDefault="00470553"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1F80" w14:textId="77777777" w:rsidR="00470553" w:rsidRDefault="00470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DA599" w14:textId="77777777" w:rsidR="003C6442" w:rsidRDefault="003C6442" w:rsidP="00C37E61">
      <w:r>
        <w:separator/>
      </w:r>
    </w:p>
  </w:footnote>
  <w:footnote w:type="continuationSeparator" w:id="0">
    <w:p w14:paraId="55F229AA" w14:textId="77777777" w:rsidR="003C6442" w:rsidRDefault="003C64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19A3" w14:textId="401A633D" w:rsidR="00470553" w:rsidRDefault="003C6442">
    <w:pPr>
      <w:pStyle w:val="Header"/>
    </w:pPr>
    <w:r>
      <w:rPr>
        <w:noProof/>
      </w:rPr>
      <w:pict w14:anchorId="7BA9E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10" o:spid="_x0000_s2050" type="#_x0000_t136" style="position:absolute;margin-left:0;margin-top:0;width:673.75pt;height:7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FD9D" w14:textId="76304DC9" w:rsidR="00470553" w:rsidRDefault="003C6442">
    <w:pPr>
      <w:pStyle w:val="Header"/>
    </w:pPr>
    <w:r>
      <w:rPr>
        <w:noProof/>
      </w:rPr>
      <w:pict w14:anchorId="6410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11" o:spid="_x0000_s2051" type="#_x0000_t136" style="position:absolute;margin-left:0;margin-top:0;width:673.75pt;height:7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9BEE" w14:textId="511D733E" w:rsidR="00470553" w:rsidRDefault="003C6442">
    <w:pPr>
      <w:pStyle w:val="Header"/>
    </w:pPr>
    <w:r>
      <w:rPr>
        <w:noProof/>
      </w:rPr>
      <w:pict w14:anchorId="01706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09" o:spid="_x0000_s2049" type="#_x0000_t136" style="position:absolute;margin-left:0;margin-top:0;width:673.75pt;height:7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4412D7"/>
    <w:multiLevelType w:val="hybridMultilevel"/>
    <w:tmpl w:val="528EA98A"/>
    <w:lvl w:ilvl="0" w:tplc="4409000F">
      <w:start w:val="1"/>
      <w:numFmt w:val="decimal"/>
      <w:lvlText w:val="%1."/>
      <w:lvlJc w:val="left"/>
      <w:pPr>
        <w:ind w:left="1353"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9CE"/>
    <w:rsid w:val="0001048F"/>
    <w:rsid w:val="0001685E"/>
    <w:rsid w:val="00030174"/>
    <w:rsid w:val="0004579C"/>
    <w:rsid w:val="00052AC6"/>
    <w:rsid w:val="00082038"/>
    <w:rsid w:val="000862CB"/>
    <w:rsid w:val="00094D3C"/>
    <w:rsid w:val="00097F65"/>
    <w:rsid w:val="000A47FA"/>
    <w:rsid w:val="000A65D3"/>
    <w:rsid w:val="000A7994"/>
    <w:rsid w:val="000B1E33"/>
    <w:rsid w:val="000C602C"/>
    <w:rsid w:val="000D5533"/>
    <w:rsid w:val="000D689F"/>
    <w:rsid w:val="000D6E4B"/>
    <w:rsid w:val="000E37A0"/>
    <w:rsid w:val="000E7B7B"/>
    <w:rsid w:val="000E7D62"/>
    <w:rsid w:val="00101BAE"/>
    <w:rsid w:val="00103122"/>
    <w:rsid w:val="00103357"/>
    <w:rsid w:val="0011075F"/>
    <w:rsid w:val="00115957"/>
    <w:rsid w:val="00123C9F"/>
    <w:rsid w:val="00126190"/>
    <w:rsid w:val="00130F17"/>
    <w:rsid w:val="001320BF"/>
    <w:rsid w:val="00144917"/>
    <w:rsid w:val="00150CD7"/>
    <w:rsid w:val="00163BC4"/>
    <w:rsid w:val="001665BF"/>
    <w:rsid w:val="00175FD5"/>
    <w:rsid w:val="00187BD0"/>
    <w:rsid w:val="00191062"/>
    <w:rsid w:val="00192B72"/>
    <w:rsid w:val="001A29D8"/>
    <w:rsid w:val="001A2C5E"/>
    <w:rsid w:val="001A5CAA"/>
    <w:rsid w:val="001B0427"/>
    <w:rsid w:val="001B3250"/>
    <w:rsid w:val="001C1667"/>
    <w:rsid w:val="001C4E58"/>
    <w:rsid w:val="001C6C3C"/>
    <w:rsid w:val="001C7293"/>
    <w:rsid w:val="001D3A51"/>
    <w:rsid w:val="001E10D2"/>
    <w:rsid w:val="001E25B4"/>
    <w:rsid w:val="001E44FE"/>
    <w:rsid w:val="001F6B58"/>
    <w:rsid w:val="00200595"/>
    <w:rsid w:val="00204835"/>
    <w:rsid w:val="00210118"/>
    <w:rsid w:val="00231920"/>
    <w:rsid w:val="0023195C"/>
    <w:rsid w:val="0024282C"/>
    <w:rsid w:val="002460DC"/>
    <w:rsid w:val="00250985"/>
    <w:rsid w:val="002556F6"/>
    <w:rsid w:val="00280457"/>
    <w:rsid w:val="00283105"/>
    <w:rsid w:val="00283D9D"/>
    <w:rsid w:val="00284C4C"/>
    <w:rsid w:val="00287E68"/>
    <w:rsid w:val="002944D6"/>
    <w:rsid w:val="002956D5"/>
    <w:rsid w:val="00296529"/>
    <w:rsid w:val="002A102B"/>
    <w:rsid w:val="002A1FB3"/>
    <w:rsid w:val="002B27FB"/>
    <w:rsid w:val="002B685A"/>
    <w:rsid w:val="002C57D2"/>
    <w:rsid w:val="002E0D56"/>
    <w:rsid w:val="002E63F2"/>
    <w:rsid w:val="002F1814"/>
    <w:rsid w:val="002F59F4"/>
    <w:rsid w:val="00301EE5"/>
    <w:rsid w:val="00311CD8"/>
    <w:rsid w:val="00315186"/>
    <w:rsid w:val="00321B2B"/>
    <w:rsid w:val="00327C2D"/>
    <w:rsid w:val="0033343E"/>
    <w:rsid w:val="00337850"/>
    <w:rsid w:val="00345679"/>
    <w:rsid w:val="003512C2"/>
    <w:rsid w:val="00371B77"/>
    <w:rsid w:val="00371FB6"/>
    <w:rsid w:val="00374F96"/>
    <w:rsid w:val="003763C1"/>
    <w:rsid w:val="00376BBE"/>
    <w:rsid w:val="00382A86"/>
    <w:rsid w:val="00384689"/>
    <w:rsid w:val="00384F60"/>
    <w:rsid w:val="0039224F"/>
    <w:rsid w:val="003A01AF"/>
    <w:rsid w:val="003A43A4"/>
    <w:rsid w:val="003A7E18"/>
    <w:rsid w:val="003C4C86"/>
    <w:rsid w:val="003C6258"/>
    <w:rsid w:val="003C6442"/>
    <w:rsid w:val="003D4A5E"/>
    <w:rsid w:val="003D5EA2"/>
    <w:rsid w:val="003E2904"/>
    <w:rsid w:val="00401927"/>
    <w:rsid w:val="0041027F"/>
    <w:rsid w:val="00412475"/>
    <w:rsid w:val="00423789"/>
    <w:rsid w:val="004374AF"/>
    <w:rsid w:val="00440F43"/>
    <w:rsid w:val="00441B6F"/>
    <w:rsid w:val="00444418"/>
    <w:rsid w:val="00446221"/>
    <w:rsid w:val="00450E62"/>
    <w:rsid w:val="004539DB"/>
    <w:rsid w:val="00470553"/>
    <w:rsid w:val="00471A80"/>
    <w:rsid w:val="00475E2F"/>
    <w:rsid w:val="0049705B"/>
    <w:rsid w:val="004A53F4"/>
    <w:rsid w:val="004B22E1"/>
    <w:rsid w:val="004D305E"/>
    <w:rsid w:val="004D4277"/>
    <w:rsid w:val="004E12B3"/>
    <w:rsid w:val="004E77D2"/>
    <w:rsid w:val="00502516"/>
    <w:rsid w:val="00504396"/>
    <w:rsid w:val="0050448D"/>
    <w:rsid w:val="00505F06"/>
    <w:rsid w:val="00506828"/>
    <w:rsid w:val="005240CA"/>
    <w:rsid w:val="0053056E"/>
    <w:rsid w:val="00540713"/>
    <w:rsid w:val="00542CC2"/>
    <w:rsid w:val="00550A74"/>
    <w:rsid w:val="00551489"/>
    <w:rsid w:val="00552B0A"/>
    <w:rsid w:val="00554FDA"/>
    <w:rsid w:val="005725E1"/>
    <w:rsid w:val="0059708E"/>
    <w:rsid w:val="005B0820"/>
    <w:rsid w:val="005C4137"/>
    <w:rsid w:val="005C4B3B"/>
    <w:rsid w:val="005C784C"/>
    <w:rsid w:val="005D17F6"/>
    <w:rsid w:val="005D4E13"/>
    <w:rsid w:val="005E4204"/>
    <w:rsid w:val="005E5539"/>
    <w:rsid w:val="005F0C81"/>
    <w:rsid w:val="00602BF5"/>
    <w:rsid w:val="00613440"/>
    <w:rsid w:val="00617FDD"/>
    <w:rsid w:val="006322F8"/>
    <w:rsid w:val="00633614"/>
    <w:rsid w:val="00633F68"/>
    <w:rsid w:val="00636EB2"/>
    <w:rsid w:val="006375B8"/>
    <w:rsid w:val="0066068B"/>
    <w:rsid w:val="0066510A"/>
    <w:rsid w:val="00673F9F"/>
    <w:rsid w:val="00686953"/>
    <w:rsid w:val="00687DEA"/>
    <w:rsid w:val="00687E67"/>
    <w:rsid w:val="0069166D"/>
    <w:rsid w:val="006967F7"/>
    <w:rsid w:val="006972E5"/>
    <w:rsid w:val="0069779D"/>
    <w:rsid w:val="006A1677"/>
    <w:rsid w:val="006A250C"/>
    <w:rsid w:val="006A2B3D"/>
    <w:rsid w:val="006B21D3"/>
    <w:rsid w:val="006B57D0"/>
    <w:rsid w:val="006C655E"/>
    <w:rsid w:val="006D30FF"/>
    <w:rsid w:val="006D6940"/>
    <w:rsid w:val="006E137A"/>
    <w:rsid w:val="006F11EC"/>
    <w:rsid w:val="006F39AF"/>
    <w:rsid w:val="0070082C"/>
    <w:rsid w:val="007015E4"/>
    <w:rsid w:val="00725470"/>
    <w:rsid w:val="00734B7E"/>
    <w:rsid w:val="007369E6"/>
    <w:rsid w:val="00746E59"/>
    <w:rsid w:val="00751D01"/>
    <w:rsid w:val="00754C9A"/>
    <w:rsid w:val="007550E0"/>
    <w:rsid w:val="0075599A"/>
    <w:rsid w:val="00761D52"/>
    <w:rsid w:val="007645C2"/>
    <w:rsid w:val="0077749E"/>
    <w:rsid w:val="00790ADA"/>
    <w:rsid w:val="007D0921"/>
    <w:rsid w:val="007D2288"/>
    <w:rsid w:val="007E088F"/>
    <w:rsid w:val="007F7B32"/>
    <w:rsid w:val="0080170D"/>
    <w:rsid w:val="00803D78"/>
    <w:rsid w:val="00804BC2"/>
    <w:rsid w:val="0081431A"/>
    <w:rsid w:val="0083216F"/>
    <w:rsid w:val="00853220"/>
    <w:rsid w:val="00860000"/>
    <w:rsid w:val="00863BD3"/>
    <w:rsid w:val="008641ED"/>
    <w:rsid w:val="00864423"/>
    <w:rsid w:val="00866D66"/>
    <w:rsid w:val="008671C6"/>
    <w:rsid w:val="00867C4C"/>
    <w:rsid w:val="00875803"/>
    <w:rsid w:val="00892FCD"/>
    <w:rsid w:val="008B459E"/>
    <w:rsid w:val="008C2B76"/>
    <w:rsid w:val="008D730B"/>
    <w:rsid w:val="008E13AE"/>
    <w:rsid w:val="008E1506"/>
    <w:rsid w:val="008E710C"/>
    <w:rsid w:val="008F4929"/>
    <w:rsid w:val="008F69D6"/>
    <w:rsid w:val="00902823"/>
    <w:rsid w:val="00915CA6"/>
    <w:rsid w:val="00917C83"/>
    <w:rsid w:val="00927834"/>
    <w:rsid w:val="00942788"/>
    <w:rsid w:val="009500A6"/>
    <w:rsid w:val="00957C18"/>
    <w:rsid w:val="009659BA"/>
    <w:rsid w:val="00983040"/>
    <w:rsid w:val="00997E47"/>
    <w:rsid w:val="009B3FB9"/>
    <w:rsid w:val="009B4251"/>
    <w:rsid w:val="009B74D4"/>
    <w:rsid w:val="009C2465"/>
    <w:rsid w:val="009C280C"/>
    <w:rsid w:val="009C5F66"/>
    <w:rsid w:val="009D105D"/>
    <w:rsid w:val="009D35A0"/>
    <w:rsid w:val="009D7EB7"/>
    <w:rsid w:val="009E048A"/>
    <w:rsid w:val="009E08E9"/>
    <w:rsid w:val="009E1872"/>
    <w:rsid w:val="009E3DB9"/>
    <w:rsid w:val="009E6E35"/>
    <w:rsid w:val="009F0EDA"/>
    <w:rsid w:val="009F7DB7"/>
    <w:rsid w:val="00A03B96"/>
    <w:rsid w:val="00A05B19"/>
    <w:rsid w:val="00A1134E"/>
    <w:rsid w:val="00A24E7E"/>
    <w:rsid w:val="00A258C3"/>
    <w:rsid w:val="00A33C07"/>
    <w:rsid w:val="00A347C0"/>
    <w:rsid w:val="00A51431"/>
    <w:rsid w:val="00A539AD"/>
    <w:rsid w:val="00A726A6"/>
    <w:rsid w:val="00A74E05"/>
    <w:rsid w:val="00A80F18"/>
    <w:rsid w:val="00A92BAD"/>
    <w:rsid w:val="00A94063"/>
    <w:rsid w:val="00AA6219"/>
    <w:rsid w:val="00AA74E0"/>
    <w:rsid w:val="00AB703F"/>
    <w:rsid w:val="00AB7051"/>
    <w:rsid w:val="00AC2ABC"/>
    <w:rsid w:val="00AC6BB8"/>
    <w:rsid w:val="00AE008F"/>
    <w:rsid w:val="00B01FCD"/>
    <w:rsid w:val="00B1776C"/>
    <w:rsid w:val="00B43C3A"/>
    <w:rsid w:val="00B52583"/>
    <w:rsid w:val="00B52896"/>
    <w:rsid w:val="00B62084"/>
    <w:rsid w:val="00B625ED"/>
    <w:rsid w:val="00B62CFD"/>
    <w:rsid w:val="00B76406"/>
    <w:rsid w:val="00B9159F"/>
    <w:rsid w:val="00B92886"/>
    <w:rsid w:val="00B932F9"/>
    <w:rsid w:val="00B95236"/>
    <w:rsid w:val="00B96BD9"/>
    <w:rsid w:val="00BA1B01"/>
    <w:rsid w:val="00BA2641"/>
    <w:rsid w:val="00BB37AA"/>
    <w:rsid w:val="00BB7675"/>
    <w:rsid w:val="00BC3486"/>
    <w:rsid w:val="00BC53A0"/>
    <w:rsid w:val="00BE2613"/>
    <w:rsid w:val="00BE62AD"/>
    <w:rsid w:val="00BF121F"/>
    <w:rsid w:val="00BF1F80"/>
    <w:rsid w:val="00C166EF"/>
    <w:rsid w:val="00C17EB0"/>
    <w:rsid w:val="00C2411C"/>
    <w:rsid w:val="00C27F5F"/>
    <w:rsid w:val="00C30A0F"/>
    <w:rsid w:val="00C37E61"/>
    <w:rsid w:val="00C57F49"/>
    <w:rsid w:val="00C70F1B"/>
    <w:rsid w:val="00C71A47"/>
    <w:rsid w:val="00C7464C"/>
    <w:rsid w:val="00C85588"/>
    <w:rsid w:val="00C85AE6"/>
    <w:rsid w:val="00C93676"/>
    <w:rsid w:val="00C9478A"/>
    <w:rsid w:val="00CA106C"/>
    <w:rsid w:val="00CD21E7"/>
    <w:rsid w:val="00CD4EC9"/>
    <w:rsid w:val="00CD6755"/>
    <w:rsid w:val="00CD6856"/>
    <w:rsid w:val="00CE0089"/>
    <w:rsid w:val="00CE793C"/>
    <w:rsid w:val="00CF193C"/>
    <w:rsid w:val="00D15D0C"/>
    <w:rsid w:val="00D173F1"/>
    <w:rsid w:val="00D2519C"/>
    <w:rsid w:val="00D40BB7"/>
    <w:rsid w:val="00D4446C"/>
    <w:rsid w:val="00D74CB0"/>
    <w:rsid w:val="00D75E11"/>
    <w:rsid w:val="00D8295D"/>
    <w:rsid w:val="00D85D00"/>
    <w:rsid w:val="00D926EC"/>
    <w:rsid w:val="00DA2F56"/>
    <w:rsid w:val="00DC2A65"/>
    <w:rsid w:val="00DD4CBC"/>
    <w:rsid w:val="00DE15F0"/>
    <w:rsid w:val="00DE5663"/>
    <w:rsid w:val="00DE78AA"/>
    <w:rsid w:val="00DF030F"/>
    <w:rsid w:val="00DF2680"/>
    <w:rsid w:val="00E037F3"/>
    <w:rsid w:val="00E053D0"/>
    <w:rsid w:val="00E15994"/>
    <w:rsid w:val="00E15B7B"/>
    <w:rsid w:val="00E2120B"/>
    <w:rsid w:val="00E3114E"/>
    <w:rsid w:val="00E31A70"/>
    <w:rsid w:val="00E35B02"/>
    <w:rsid w:val="00E43051"/>
    <w:rsid w:val="00E51202"/>
    <w:rsid w:val="00E63F25"/>
    <w:rsid w:val="00E66496"/>
    <w:rsid w:val="00E66B35"/>
    <w:rsid w:val="00E66E10"/>
    <w:rsid w:val="00E769F6"/>
    <w:rsid w:val="00E8407C"/>
    <w:rsid w:val="00E84F3C"/>
    <w:rsid w:val="00EA012C"/>
    <w:rsid w:val="00EA2CED"/>
    <w:rsid w:val="00EC3C2D"/>
    <w:rsid w:val="00EC4761"/>
    <w:rsid w:val="00EC6A55"/>
    <w:rsid w:val="00ED0288"/>
    <w:rsid w:val="00ED3F24"/>
    <w:rsid w:val="00EE52CB"/>
    <w:rsid w:val="00EF581D"/>
    <w:rsid w:val="00EF7FD8"/>
    <w:rsid w:val="00F06F59"/>
    <w:rsid w:val="00F15A2A"/>
    <w:rsid w:val="00F17988"/>
    <w:rsid w:val="00F34265"/>
    <w:rsid w:val="00F469F0"/>
    <w:rsid w:val="00F53273"/>
    <w:rsid w:val="00F750FD"/>
    <w:rsid w:val="00F755E4"/>
    <w:rsid w:val="00F77D02"/>
    <w:rsid w:val="00F8503A"/>
    <w:rsid w:val="00F909D6"/>
    <w:rsid w:val="00F966CC"/>
    <w:rsid w:val="00FB3A86"/>
    <w:rsid w:val="00FD36C8"/>
    <w:rsid w:val="00FD69B1"/>
    <w:rsid w:val="00FE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D611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dTableHeader">
    <w:name w:val="MdTableHeader"/>
    <w:qFormat/>
    <w:rsid w:val="009D105D"/>
    <w:pPr>
      <w:spacing w:before="60" w:after="60"/>
    </w:pPr>
    <w:rPr>
      <w:b/>
      <w:bCs/>
      <w:sz w:val="22"/>
      <w:szCs w:val="22"/>
      <w:lang w:val="en-MY" w:eastAsia="en-MY"/>
    </w:rPr>
  </w:style>
  <w:style w:type="paragraph" w:customStyle="1" w:styleId="MdTableCell">
    <w:name w:val="MdTableCell"/>
    <w:qFormat/>
    <w:rsid w:val="009D105D"/>
    <w:pPr>
      <w:spacing w:before="40" w:after="40"/>
    </w:pPr>
    <w:rPr>
      <w:lang w:val="en-MY" w:eastAsia="en-MY"/>
    </w:rPr>
  </w:style>
  <w:style w:type="character" w:customStyle="1" w:styleId="MdEm">
    <w:name w:val="MdEm"/>
    <w:uiPriority w:val="99"/>
    <w:unhideWhenUsed/>
    <w:qFormat/>
    <w:rsid w:val="009D105D"/>
    <w:rPr>
      <w:i/>
      <w:iCs/>
    </w:rPr>
  </w:style>
  <w:style w:type="paragraph" w:styleId="BodyText">
    <w:name w:val="Body Text"/>
    <w:basedOn w:val="Normal"/>
    <w:link w:val="BodyTextChar"/>
    <w:semiHidden/>
    <w:unhideWhenUsed/>
    <w:rsid w:val="004B22E1"/>
    <w:pPr>
      <w:spacing w:after="120"/>
    </w:pPr>
  </w:style>
  <w:style w:type="character" w:customStyle="1" w:styleId="BodyTextChar">
    <w:name w:val="Body Text Char"/>
    <w:basedOn w:val="DefaultParagraphFont"/>
    <w:link w:val="BodyText"/>
    <w:semiHidden/>
    <w:rsid w:val="004B22E1"/>
    <w:rPr>
      <w:rFonts w:ascii="Helvetica" w:hAnsi="Helvetica"/>
    </w:rPr>
  </w:style>
  <w:style w:type="paragraph" w:styleId="ListParagraph">
    <w:name w:val="List Paragraph"/>
    <w:basedOn w:val="Normal"/>
    <w:uiPriority w:val="34"/>
    <w:qFormat/>
    <w:rsid w:val="000D5533"/>
    <w:pPr>
      <w:ind w:left="720"/>
      <w:contextualSpacing/>
    </w:pPr>
  </w:style>
  <w:style w:type="paragraph" w:styleId="CommentSubject">
    <w:name w:val="annotation subject"/>
    <w:basedOn w:val="CommentText"/>
    <w:next w:val="CommentText"/>
    <w:link w:val="CommentSubjectChar"/>
    <w:semiHidden/>
    <w:unhideWhenUsed/>
    <w:rsid w:val="00470553"/>
    <w:rPr>
      <w:rFonts w:ascii="Helvetica" w:hAnsi="Helvetica"/>
      <w:b/>
      <w:bCs/>
      <w:lang w:val="en-US" w:eastAsia="en-US"/>
    </w:rPr>
  </w:style>
  <w:style w:type="character" w:customStyle="1" w:styleId="CommentSubjectChar">
    <w:name w:val="Comment Subject Char"/>
    <w:basedOn w:val="CommentTextChar"/>
    <w:link w:val="CommentSubject"/>
    <w:semiHidden/>
    <w:rsid w:val="00470553"/>
    <w:rPr>
      <w:rFonts w:ascii="Helvetica" w:hAnsi="Helvetica"/>
      <w:b/>
      <w:bCs/>
      <w:lang w:val="nb-NO" w:eastAsia="nb-NO"/>
    </w:rPr>
  </w:style>
  <w:style w:type="paragraph" w:styleId="Revision">
    <w:name w:val="Revision"/>
    <w:hidden/>
    <w:uiPriority w:val="99"/>
    <w:semiHidden/>
    <w:rsid w:val="008F4929"/>
    <w:rPr>
      <w:rFonts w:ascii="Helvetica" w:hAnsi="Helvetica"/>
    </w:rPr>
  </w:style>
  <w:style w:type="character" w:styleId="UnresolvedMention">
    <w:name w:val="Unresolved Mention"/>
    <w:basedOn w:val="DefaultParagraphFont"/>
    <w:uiPriority w:val="99"/>
    <w:semiHidden/>
    <w:unhideWhenUsed/>
    <w:rsid w:val="004E1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ijfs.17163?urlappend=%3Futm_source%3Dresearchgate" TargetMode="External"/><Relationship Id="rId18" Type="http://schemas.openxmlformats.org/officeDocument/2006/relationships/hyperlink" Target="https://doi.org/10.12691/jfnr-12-5-1" TargetMode="External"/><Relationship Id="rId26" Type="http://schemas.openxmlformats.org/officeDocument/2006/relationships/hyperlink" Target="https://doi.org/10.26656/fr.2017.4(S6).057" TargetMode="External"/><Relationship Id="rId21" Type="http://schemas.openxmlformats.org/officeDocument/2006/relationships/hyperlink" Target="https://doi.org/10.3390/su1404195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906/biy-2005-2" TargetMode="External"/><Relationship Id="rId17" Type="http://schemas.openxmlformats.org/officeDocument/2006/relationships/hyperlink" Target="https://doi.org/10.3390/compounds5020008" TargetMode="External"/><Relationship Id="rId25" Type="http://schemas.openxmlformats.org/officeDocument/2006/relationships/hyperlink" Target="https://doi.org/10.3390/app1412504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530/fra.2018.2.19" TargetMode="External"/><Relationship Id="rId20" Type="http://schemas.openxmlformats.org/officeDocument/2006/relationships/hyperlink" Target="https://doi.org/10.1093/jaoacint/qsac116" TargetMode="External"/><Relationship Id="rId29" Type="http://schemas.openxmlformats.org/officeDocument/2006/relationships/hyperlink" Target="https://doi.org/10.1016/j.ijbiomac.2021.03.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1/acsomega.2c02838?urlappend=%3Fref%3DPDF&amp;jav=VoR&amp;rel=cite-as" TargetMode="External"/><Relationship Id="rId24" Type="http://schemas.openxmlformats.org/officeDocument/2006/relationships/hyperlink" Target="https://doi.org/10.53555/jptcp.v30i18.337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har.2024.1331627" TargetMode="External"/><Relationship Id="rId23" Type="http://schemas.openxmlformats.org/officeDocument/2006/relationships/hyperlink" Target="https://doi.org/10.1016/j.heliyon.2021.e07177" TargetMode="External"/><Relationship Id="rId28" Type="http://schemas.openxmlformats.org/officeDocument/2006/relationships/hyperlink" Target="https://doi.org/10.1007/s13197-021-04964-2" TargetMode="External"/><Relationship Id="rId36" Type="http://schemas.openxmlformats.org/officeDocument/2006/relationships/fontTable" Target="fontTable.xml"/><Relationship Id="rId10" Type="http://schemas.openxmlformats.org/officeDocument/2006/relationships/hyperlink" Target="https://doi.org/10.3390/toxics10110656" TargetMode="External"/><Relationship Id="rId19" Type="http://schemas.openxmlformats.org/officeDocument/2006/relationships/hyperlink" Target="https://doi.org/10.26656/fr.2017.8(S4).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jff.2022.105210" TargetMode="External"/><Relationship Id="rId14" Type="http://schemas.openxmlformats.org/officeDocument/2006/relationships/hyperlink" Target="https://doi.org/10.26655/jmchemsci.2023.10.20" TargetMode="External"/><Relationship Id="rId22" Type="http://schemas.openxmlformats.org/officeDocument/2006/relationships/hyperlink" Target="https://doi.org/10.3390/foods14193417" TargetMode="External"/><Relationship Id="rId27" Type="http://schemas.openxmlformats.org/officeDocument/2006/relationships/hyperlink" Target="https://doi.org/10.3390/app1204220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3390/beverages1102004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5871E-ECAF-4EFD-BEA1-ED4C8D19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6409</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cp:revision>
  <cp:lastPrinted>1999-07-06T11:00:00Z</cp:lastPrinted>
  <dcterms:created xsi:type="dcterms:W3CDTF">2025-11-01T01:14:00Z</dcterms:created>
  <dcterms:modified xsi:type="dcterms:W3CDTF">2025-11-01T10:05:00Z</dcterms:modified>
</cp:coreProperties>
</file>