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B7E" w:rsidRPr="0074359C" w:rsidRDefault="00C83358" w:rsidP="004B2B7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Impact of Selected Antibiotic Residues from Broiler Meat on Biochemical and Hematological Biomarkers of Wistar </w:t>
      </w:r>
      <w:r w:rsidRPr="0074359C">
        <w:rPr>
          <w:rFonts w:ascii="Times New Roman" w:hAnsi="Times New Roman" w:cs="Times New Roman"/>
          <w:b/>
          <w:sz w:val="28"/>
          <w:szCs w:val="28"/>
        </w:rPr>
        <w:t>Rats</w:t>
      </w:r>
    </w:p>
    <w:p w:rsidR="004B2B7E" w:rsidRPr="0074359C" w:rsidRDefault="004B2B7E" w:rsidP="004B2B7E">
      <w:pPr>
        <w:spacing w:line="276" w:lineRule="auto"/>
        <w:jc w:val="both"/>
        <w:rPr>
          <w:rFonts w:ascii="Times New Roman" w:hAnsi="Times New Roman" w:cs="Times New Roman"/>
          <w:sz w:val="24"/>
          <w:szCs w:val="24"/>
        </w:rPr>
      </w:pPr>
    </w:p>
    <w:p w:rsidR="00860187" w:rsidRPr="00860187" w:rsidRDefault="00860187" w:rsidP="004B2B7E">
      <w:pPr>
        <w:spacing w:line="276" w:lineRule="auto"/>
        <w:jc w:val="both"/>
        <w:rPr>
          <w:sz w:val="24"/>
          <w:szCs w:val="24"/>
        </w:rPr>
      </w:pPr>
    </w:p>
    <w:p w:rsidR="00860187" w:rsidRPr="00860187" w:rsidRDefault="00860187" w:rsidP="004B2B7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860187">
        <w:rPr>
          <w:rFonts w:ascii="Times New Roman" w:eastAsia="Times New Roman" w:hAnsi="Times New Roman" w:cs="Times New Roman"/>
          <w:b/>
          <w:bCs/>
          <w:sz w:val="24"/>
          <w:szCs w:val="24"/>
        </w:rPr>
        <w:t>ABSTRACT</w:t>
      </w:r>
    </w:p>
    <w:p w:rsidR="00860187" w:rsidRP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 xml:space="preserve">The overuse of antibiotics in food animals encourages antimicrobial resistance (AMR) and leads to drug residues entering the human food chain. This study examined antibiotic residues in broiler chickens and the biochemical effects of consuming contaminated meat on Wistar rats. Thirty-two broiler chickens received therapeutic doses of fluoroquinolone, sulfonamide, gentamicin, oxytetracycline, neomycin, </w:t>
      </w:r>
      <w:proofErr w:type="spellStart"/>
      <w:r w:rsidRPr="00860187">
        <w:rPr>
          <w:rFonts w:ascii="Times New Roman" w:eastAsia="Times New Roman" w:hAnsi="Times New Roman" w:cs="Times New Roman"/>
          <w:sz w:val="24"/>
          <w:szCs w:val="24"/>
        </w:rPr>
        <w:t>tylosin</w:t>
      </w:r>
      <w:proofErr w:type="spellEnd"/>
      <w:r w:rsidRPr="00860187">
        <w:rPr>
          <w:rFonts w:ascii="Times New Roman" w:eastAsia="Times New Roman" w:hAnsi="Times New Roman" w:cs="Times New Roman"/>
          <w:sz w:val="24"/>
          <w:szCs w:val="24"/>
        </w:rPr>
        <w:t xml:space="preserve">, and penicillin over two weeks, while the control group was given distilled water and standard feed. Meat from treated chickens was incorporated into the diets of rats for four weeks. Analysis using High-Performance Thin Layer Chromatography (HPTLC) and UV spectrophotometry revealed notable antibiotic residues in chicken muscle: penicillin (4.88 mg/g), </w:t>
      </w:r>
      <w:proofErr w:type="spellStart"/>
      <w:r w:rsidRPr="00860187">
        <w:rPr>
          <w:rFonts w:ascii="Times New Roman" w:eastAsia="Times New Roman" w:hAnsi="Times New Roman" w:cs="Times New Roman"/>
          <w:sz w:val="24"/>
          <w:szCs w:val="24"/>
        </w:rPr>
        <w:t>tylosin</w:t>
      </w:r>
      <w:proofErr w:type="spellEnd"/>
      <w:r w:rsidRPr="00860187">
        <w:rPr>
          <w:rFonts w:ascii="Times New Roman" w:eastAsia="Times New Roman" w:hAnsi="Times New Roman" w:cs="Times New Roman"/>
          <w:sz w:val="24"/>
          <w:szCs w:val="24"/>
        </w:rPr>
        <w:t xml:space="preserve"> (1.17 mg/g), gentamicin (0.31 mg/g), oxytetracycline (0.22 mg/g), neomycin (0.20 mg/g), sulfonamide (0.19 mg/g), and fluoroquinolone (0.015 mg/g), all exceeding United States or European maximum residue limits (MRLs). Residues were also detected in rat muscle, with penicillin (0.153 mg/g) and </w:t>
      </w:r>
      <w:proofErr w:type="spellStart"/>
      <w:r w:rsidRPr="00860187">
        <w:rPr>
          <w:rFonts w:ascii="Times New Roman" w:eastAsia="Times New Roman" w:hAnsi="Times New Roman" w:cs="Times New Roman"/>
          <w:sz w:val="24"/>
          <w:szCs w:val="24"/>
        </w:rPr>
        <w:t>tylosin</w:t>
      </w:r>
      <w:proofErr w:type="spellEnd"/>
      <w:r w:rsidRPr="00860187">
        <w:rPr>
          <w:rFonts w:ascii="Times New Roman" w:eastAsia="Times New Roman" w:hAnsi="Times New Roman" w:cs="Times New Roman"/>
          <w:sz w:val="24"/>
          <w:szCs w:val="24"/>
        </w:rPr>
        <w:t xml:space="preserve"> (0.138 mg/g) being the highest. Rats fed contaminated meat showed significant increases in liver enzymes (ALT up to 92.07 UI/L; AST up to 88.93 UI/L) and kidney markers (Na⁺ up to 183.93 mmol/L; creatinine up to 12.47 mmol/L) compared to controls. Hematological changes included elevated white blood cell counts (16.60 × 10⁹/L) and packed cell volume (53.17%). These findings confirm that consuming meat from antibiotic-treated poultry can transmit residues capable of causing liver, kidney, and blood abnormalities. Regulatory oversight and responsible antibiotic use in animal production are critical to protect public health.</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b/>
          <w:bCs/>
          <w:sz w:val="24"/>
          <w:szCs w:val="24"/>
        </w:rPr>
        <w:t>Keywords:</w:t>
      </w:r>
      <w:r w:rsidRPr="00860187">
        <w:rPr>
          <w:rFonts w:ascii="Times New Roman" w:eastAsia="Times New Roman" w:hAnsi="Times New Roman" w:cs="Times New Roman"/>
          <w:sz w:val="24"/>
          <w:szCs w:val="24"/>
        </w:rPr>
        <w:t xml:space="preserve"> antibiotic residues, broiler chicken, Wistar rats, liver enzymes, kidney fun</w:t>
      </w:r>
      <w:r w:rsidR="004B2B7E">
        <w:rPr>
          <w:rFonts w:ascii="Times New Roman" w:eastAsia="Times New Roman" w:hAnsi="Times New Roman" w:cs="Times New Roman"/>
          <w:sz w:val="24"/>
          <w:szCs w:val="24"/>
        </w:rPr>
        <w:t>ction, antimicrobial resistance</w:t>
      </w:r>
    </w:p>
    <w:p w:rsidR="00860187" w:rsidRPr="004B2B7E" w:rsidRDefault="00860187" w:rsidP="004B2B7E">
      <w:pPr>
        <w:pStyle w:val="ListParagraph"/>
        <w:numPr>
          <w:ilvl w:val="0"/>
          <w:numId w:val="3"/>
        </w:numPr>
        <w:spacing w:before="100" w:beforeAutospacing="1" w:after="100" w:afterAutospacing="1" w:line="276" w:lineRule="auto"/>
        <w:rPr>
          <w:rFonts w:ascii="Times New Roman" w:eastAsia="Times New Roman" w:hAnsi="Times New Roman" w:cs="Times New Roman"/>
          <w:sz w:val="24"/>
          <w:szCs w:val="24"/>
        </w:rPr>
      </w:pPr>
      <w:r w:rsidRPr="004B2B7E">
        <w:rPr>
          <w:rFonts w:ascii="Times New Roman" w:eastAsia="Times New Roman" w:hAnsi="Times New Roman" w:cs="Times New Roman"/>
          <w:b/>
          <w:bCs/>
          <w:sz w:val="24"/>
          <w:szCs w:val="24"/>
        </w:rPr>
        <w:t>INTRODUCTION</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Antibiotics were originally defined as substances produced by microorganisms [1] or derived from biological sources [2] that, at low concentrations, can inhibit the growth of or kill other microorganisms [3]. Modern definitions also include antimicrobials produced wholly or partly through synthetic means. While some antibiotics kill bacteria (bactericidal), others only inhibit their growth (bacteriostatic) [4].</w:t>
      </w:r>
      <w:r>
        <w:rPr>
          <w:rFonts w:ascii="Times New Roman" w:eastAsia="Times New Roman" w:hAnsi="Times New Roman" w:cs="Times New Roman"/>
          <w:sz w:val="24"/>
          <w:szCs w:val="24"/>
        </w:rPr>
        <w:t xml:space="preserve"> </w:t>
      </w:r>
      <w:r w:rsidRPr="00860187">
        <w:rPr>
          <w:rFonts w:ascii="Times New Roman" w:eastAsia="Times New Roman" w:hAnsi="Times New Roman" w:cs="Times New Roman"/>
          <w:sz w:val="24"/>
          <w:szCs w:val="24"/>
        </w:rPr>
        <w:t xml:space="preserve">Drug resistance occurs when a medicine, such as an antimicrobial or antineoplastic, becomes less effective in treating disease. Resistance in bacteria often arises from inappropriate or excessive use of antibiotics. Over time, resistant microorganisms emerge, complicating the treatment of infections. Bacteria develop resistance either through genetic mutations or by acquiring genes via mobile genetic elements. Globally, antibiotic resistance is a </w:t>
      </w:r>
      <w:r w:rsidRPr="00860187">
        <w:rPr>
          <w:rFonts w:ascii="Times New Roman" w:eastAsia="Times New Roman" w:hAnsi="Times New Roman" w:cs="Times New Roman"/>
          <w:sz w:val="24"/>
          <w:szCs w:val="24"/>
        </w:rPr>
        <w:lastRenderedPageBreak/>
        <w:t>major public health concern [5, 6]. The four main types of antibiotic resistance are: (1) natural (intrinsic) resistance, (2) acquired resistance, (3) cross-resistance, and (4</w:t>
      </w:r>
      <w:r w:rsidR="004B2B7E">
        <w:rPr>
          <w:rFonts w:ascii="Times New Roman" w:eastAsia="Times New Roman" w:hAnsi="Times New Roman" w:cs="Times New Roman"/>
          <w:sz w:val="24"/>
          <w:szCs w:val="24"/>
        </w:rPr>
        <w:t>) multi-drug or pan-resistance.</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4B2B7E">
        <w:rPr>
          <w:rFonts w:ascii="Times New Roman" w:eastAsia="Times New Roman" w:hAnsi="Times New Roman" w:cs="Times New Roman"/>
          <w:bCs/>
          <w:i/>
          <w:sz w:val="24"/>
          <w:szCs w:val="24"/>
        </w:rPr>
        <w:t>A. Antibiotic Resistance</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Antibiotic resistance is a global challenge that threatens human health, agriculture, and biosecurity [7]. Currently, it is linked to approximately 0.7 million deaths annually, a figure projected to rise to 10 million by 2050. Economically, it could reduce global GDP by 23.5%, representing a loss of roughly USD 100 trillion. Resistant bacteria can be transmitted between humans and animals through contact, food products, and the environment. Even antibiotic concentrations as low as nanograms per milliliter can promote resistance in laboratory settings.</w:t>
      </w:r>
      <w:r w:rsidR="00F13714">
        <w:rPr>
          <w:rFonts w:ascii="Times New Roman" w:eastAsia="Times New Roman" w:hAnsi="Times New Roman" w:cs="Times New Roman"/>
          <w:sz w:val="24"/>
          <w:szCs w:val="24"/>
        </w:rPr>
        <w:t xml:space="preserve"> </w:t>
      </w:r>
      <w:r w:rsidRPr="00860187">
        <w:rPr>
          <w:rFonts w:ascii="Times New Roman" w:eastAsia="Times New Roman" w:hAnsi="Times New Roman" w:cs="Times New Roman"/>
          <w:sz w:val="24"/>
          <w:szCs w:val="24"/>
        </w:rPr>
        <w:t>The use of antibiotics in food-producing animals leads to residue accumulation in meat, milk, and eggs [8, 9, 10]. These residues can contribute to the development of antimicrobial-resistant bacteria in animals and animal-derived foods [11], increasing the risk of AMR infections in humans [12]. Antibiotic residues can also contaminate the environment, posing additional p</w:t>
      </w:r>
      <w:r w:rsidR="004B2B7E">
        <w:rPr>
          <w:rFonts w:ascii="Times New Roman" w:eastAsia="Times New Roman" w:hAnsi="Times New Roman" w:cs="Times New Roman"/>
          <w:sz w:val="24"/>
          <w:szCs w:val="24"/>
        </w:rPr>
        <w:t xml:space="preserve">ublic health risks [13]. Animal </w:t>
      </w:r>
      <w:r w:rsidRPr="00860187">
        <w:rPr>
          <w:rFonts w:ascii="Times New Roman" w:eastAsia="Times New Roman" w:hAnsi="Times New Roman" w:cs="Times New Roman"/>
          <w:sz w:val="24"/>
          <w:szCs w:val="24"/>
        </w:rPr>
        <w:t xml:space="preserve">derived foods are responsible for transmitting resistant bacteria to humans, particularly </w:t>
      </w:r>
      <w:r w:rsidRPr="00860187">
        <w:rPr>
          <w:rFonts w:ascii="Times New Roman" w:eastAsia="Times New Roman" w:hAnsi="Times New Roman" w:cs="Times New Roman"/>
          <w:i/>
          <w:iCs/>
          <w:sz w:val="24"/>
          <w:szCs w:val="24"/>
        </w:rPr>
        <w:t>Staphylococcus spp.</w:t>
      </w:r>
      <w:r w:rsidRPr="00860187">
        <w:rPr>
          <w:rFonts w:ascii="Times New Roman" w:eastAsia="Times New Roman" w:hAnsi="Times New Roman" w:cs="Times New Roman"/>
          <w:sz w:val="24"/>
          <w:szCs w:val="24"/>
        </w:rPr>
        <w:t xml:space="preserve">, </w:t>
      </w:r>
      <w:r w:rsidRPr="00860187">
        <w:rPr>
          <w:rFonts w:ascii="Times New Roman" w:eastAsia="Times New Roman" w:hAnsi="Times New Roman" w:cs="Times New Roman"/>
          <w:i/>
          <w:iCs/>
          <w:sz w:val="24"/>
          <w:szCs w:val="24"/>
        </w:rPr>
        <w:t>Salmonella spp.</w:t>
      </w:r>
      <w:r w:rsidRPr="00860187">
        <w:rPr>
          <w:rFonts w:ascii="Times New Roman" w:eastAsia="Times New Roman" w:hAnsi="Times New Roman" w:cs="Times New Roman"/>
          <w:sz w:val="24"/>
          <w:szCs w:val="24"/>
        </w:rPr>
        <w:t xml:space="preserve">, and </w:t>
      </w:r>
      <w:r w:rsidRPr="00860187">
        <w:rPr>
          <w:rFonts w:ascii="Times New Roman" w:eastAsia="Times New Roman" w:hAnsi="Times New Roman" w:cs="Times New Roman"/>
          <w:i/>
          <w:iCs/>
          <w:sz w:val="24"/>
          <w:szCs w:val="24"/>
        </w:rPr>
        <w:t>Campylobacter spp.</w:t>
      </w:r>
      <w:r w:rsidRPr="00860187">
        <w:rPr>
          <w:rFonts w:ascii="Times New Roman" w:eastAsia="Times New Roman" w:hAnsi="Times New Roman" w:cs="Times New Roman"/>
          <w:sz w:val="24"/>
          <w:szCs w:val="24"/>
        </w:rPr>
        <w:t xml:space="preserve"> [11]. Despite these risks, limited data exist on antimicrobial use in food animals and its role in sprea</w:t>
      </w:r>
      <w:r w:rsidR="004B2B7E">
        <w:rPr>
          <w:rFonts w:ascii="Times New Roman" w:eastAsia="Times New Roman" w:hAnsi="Times New Roman" w:cs="Times New Roman"/>
          <w:sz w:val="24"/>
          <w:szCs w:val="24"/>
        </w:rPr>
        <w:t>ding resistance to humans [14].</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4B2B7E">
        <w:rPr>
          <w:rFonts w:ascii="Times New Roman" w:eastAsia="Times New Roman" w:hAnsi="Times New Roman" w:cs="Times New Roman"/>
          <w:bCs/>
          <w:i/>
          <w:sz w:val="24"/>
          <w:szCs w:val="24"/>
        </w:rPr>
        <w:t>B. Uses of Antibiotics</w:t>
      </w:r>
    </w:p>
    <w:p w:rsidR="00860187" w:rsidRP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In livestock, antibiotics are used to treat clinical diseases, prevent illness (prophylaxis), and sometimes promote growth [15]. The FDA reports that about 80% of all agricultural antimicrobials are administered to food-producing animals [16]. Antibiotic residues refer to the portion of the drug or its metabolites that accumulate in tissues while remaining pharmacologically active [17]. Improper management and irrational use of antibiotics increase residue levels, which may persist in milk, meat, eggs, and skin during withdrawal periods [18].</w:t>
      </w:r>
    </w:p>
    <w:p w:rsid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Between 40–90% of administered antibiotics are excreted via urine and feces as active compounds, contaminating the environment [19]. Some antimicrobials, including erythromycin, sulfamethoxazole, and tetracyclines, can persist in soil and water for over a year [20]. Conventional heat treatments used in pasteurization and meat processing may not neutralize these residues [10]. Exceeding maximum residue limits can promote the growth of resistant pathogenic bacteria, harmful to animals, humans, and the environment. Consumption of residues can also disrupt human microbiota, alter immune gene expression, and affect metabolism. Adverse health effects may include carcinogenicity, mutagenicity, teratogenicity, nephropathy, reproductive disorders, hepatotoxicity, and allergic reactions. Even trace amounts of penicillin can cause urticaria, and severe skin reactions from contaminated meat and milk have been reported, though anaphylaxis is rare [15].</w:t>
      </w:r>
    </w:p>
    <w:p w:rsid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p>
    <w:p w:rsidR="004B2B7E" w:rsidRDefault="004B2B7E" w:rsidP="004B2B7E">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sidR="00860187" w:rsidRPr="00860187">
        <w:rPr>
          <w:rFonts w:ascii="Times New Roman" w:eastAsia="Times New Roman" w:hAnsi="Times New Roman" w:cs="Times New Roman"/>
          <w:b/>
          <w:bCs/>
          <w:sz w:val="24"/>
          <w:szCs w:val="24"/>
        </w:rPr>
        <w:t>MATERIALS AND METHODS</w:t>
      </w:r>
    </w:p>
    <w:p w:rsidR="00C83358" w:rsidRDefault="00860187" w:rsidP="004B2B7E">
      <w:pPr>
        <w:spacing w:before="100" w:beforeAutospacing="1" w:after="100" w:afterAutospacing="1" w:line="276" w:lineRule="auto"/>
        <w:jc w:val="both"/>
        <w:rPr>
          <w:rFonts w:ascii="Times New Roman" w:eastAsia="Times New Roman" w:hAnsi="Times New Roman" w:cs="Times New Roman"/>
          <w:bCs/>
          <w:i/>
          <w:sz w:val="24"/>
          <w:szCs w:val="24"/>
        </w:rPr>
      </w:pPr>
      <w:r w:rsidRPr="004B2B7E">
        <w:rPr>
          <w:rFonts w:ascii="Times New Roman" w:eastAsia="Times New Roman" w:hAnsi="Times New Roman" w:cs="Times New Roman"/>
          <w:bCs/>
          <w:i/>
          <w:sz w:val="24"/>
          <w:szCs w:val="24"/>
        </w:rPr>
        <w:t xml:space="preserve">A. </w:t>
      </w:r>
      <w:r w:rsidR="00C83358">
        <w:rPr>
          <w:rFonts w:ascii="Times New Roman" w:eastAsia="Times New Roman" w:hAnsi="Times New Roman" w:cs="Times New Roman"/>
          <w:bCs/>
          <w:i/>
          <w:sz w:val="24"/>
          <w:szCs w:val="24"/>
        </w:rPr>
        <w:t>Data Collection</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 xml:space="preserve">A questionnaire survey was conducted to determine the most commonly prescribed antibiotics in veterinary practice. Of 150 questionnaires distributed to veterinary stores and clinics in Keffi, </w:t>
      </w:r>
      <w:r w:rsidR="004B2B7E">
        <w:rPr>
          <w:rFonts w:ascii="Times New Roman" w:eastAsia="Times New Roman" w:hAnsi="Times New Roman" w:cs="Times New Roman"/>
          <w:sz w:val="24"/>
          <w:szCs w:val="24"/>
        </w:rPr>
        <w:t>80 were completed and returned.</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i/>
          <w:sz w:val="24"/>
          <w:szCs w:val="24"/>
        </w:rPr>
      </w:pPr>
      <w:r w:rsidRPr="004B2B7E">
        <w:rPr>
          <w:rFonts w:ascii="Times New Roman" w:eastAsia="Times New Roman" w:hAnsi="Times New Roman" w:cs="Times New Roman"/>
          <w:bCs/>
          <w:i/>
          <w:sz w:val="24"/>
          <w:szCs w:val="24"/>
        </w:rPr>
        <w:t>B. Sample Size</w:t>
      </w:r>
    </w:p>
    <w:p w:rsidR="004B2B7E"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Seven treatment groups, one control group, and four replicates per group (n=4) were used. This sample size was considered sufficient due to controlled laboratory conditions, the precision of HPTLC and UV spectrophotometry, and low within-group variability. Statistical analysis was performed using ANOVA followed by Duncan’s multiple range test. Random assignment minimized bias and e</w:t>
      </w:r>
      <w:r w:rsidR="004B2B7E">
        <w:rPr>
          <w:rFonts w:ascii="Times New Roman" w:eastAsia="Times New Roman" w:hAnsi="Times New Roman" w:cs="Times New Roman"/>
          <w:sz w:val="24"/>
          <w:szCs w:val="24"/>
        </w:rPr>
        <w:t>nsured data representativeness.</w:t>
      </w:r>
    </w:p>
    <w:p w:rsidR="00860187" w:rsidRPr="004B2B7E" w:rsidRDefault="00860187" w:rsidP="004B2B7E">
      <w:pPr>
        <w:spacing w:before="100" w:beforeAutospacing="1" w:after="100" w:afterAutospacing="1" w:line="276" w:lineRule="auto"/>
        <w:jc w:val="both"/>
        <w:rPr>
          <w:rFonts w:ascii="Times New Roman" w:eastAsia="Times New Roman" w:hAnsi="Times New Roman" w:cs="Times New Roman"/>
          <w:i/>
          <w:sz w:val="24"/>
          <w:szCs w:val="24"/>
        </w:rPr>
      </w:pPr>
      <w:r w:rsidRPr="004B2B7E">
        <w:rPr>
          <w:rFonts w:ascii="Times New Roman" w:eastAsia="Times New Roman" w:hAnsi="Times New Roman" w:cs="Times New Roman"/>
          <w:bCs/>
          <w:i/>
          <w:sz w:val="24"/>
          <w:szCs w:val="24"/>
        </w:rPr>
        <w:t>C. Experimental Design</w:t>
      </w:r>
    </w:p>
    <w:p w:rsidR="00860187" w:rsidRP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Thirty-two healthy day-old broiler chicks were purchased from a reputable veterinary store in Keffi, Nasarawa</w:t>
      </w:r>
      <w:r>
        <w:rPr>
          <w:rFonts w:ascii="Times New Roman" w:eastAsia="Times New Roman" w:hAnsi="Times New Roman" w:cs="Times New Roman"/>
          <w:sz w:val="24"/>
          <w:szCs w:val="24"/>
        </w:rPr>
        <w:t xml:space="preserve"> State. Thirty-two 20-week-old </w:t>
      </w:r>
      <w:proofErr w:type="spellStart"/>
      <w:r>
        <w:rPr>
          <w:rFonts w:ascii="Times New Roman" w:eastAsia="Times New Roman" w:hAnsi="Times New Roman" w:cs="Times New Roman"/>
          <w:sz w:val="24"/>
          <w:szCs w:val="24"/>
        </w:rPr>
        <w:t>w</w:t>
      </w:r>
      <w:r w:rsidRPr="00860187">
        <w:rPr>
          <w:rFonts w:ascii="Times New Roman" w:eastAsia="Times New Roman" w:hAnsi="Times New Roman" w:cs="Times New Roman"/>
          <w:sz w:val="24"/>
          <w:szCs w:val="24"/>
        </w:rPr>
        <w:t>istar</w:t>
      </w:r>
      <w:proofErr w:type="spellEnd"/>
      <w:r w:rsidRPr="00860187">
        <w:rPr>
          <w:rFonts w:ascii="Times New Roman" w:eastAsia="Times New Roman" w:hAnsi="Times New Roman" w:cs="Times New Roman"/>
          <w:sz w:val="24"/>
          <w:szCs w:val="24"/>
        </w:rPr>
        <w:t xml:space="preserve"> rats were obtained from the National Veterinary Research Institute (NVRI), </w:t>
      </w:r>
      <w:proofErr w:type="spellStart"/>
      <w:r w:rsidRPr="00860187">
        <w:rPr>
          <w:rFonts w:ascii="Times New Roman" w:eastAsia="Times New Roman" w:hAnsi="Times New Roman" w:cs="Times New Roman"/>
          <w:sz w:val="24"/>
          <w:szCs w:val="24"/>
        </w:rPr>
        <w:t>Vom</w:t>
      </w:r>
      <w:proofErr w:type="spellEnd"/>
      <w:r w:rsidRPr="00860187">
        <w:rPr>
          <w:rFonts w:ascii="Times New Roman" w:eastAsia="Times New Roman" w:hAnsi="Times New Roman" w:cs="Times New Roman"/>
          <w:sz w:val="24"/>
          <w:szCs w:val="24"/>
        </w:rPr>
        <w:t>, Plateau State. Animals were housed in the Department of Biochemistry’s animal facility at Nasarawa State University. Both birds and rats were acclimatized for two weeks prior to the experiment. Treatments were applied for two weeks following the grouping period.</w:t>
      </w:r>
    </w:p>
    <w:p w:rsidR="008A6E94" w:rsidRDefault="008A6E94" w:rsidP="004B2B7E">
      <w:pPr>
        <w:spacing w:before="100" w:beforeAutospacing="1" w:after="100" w:afterAutospacing="1" w:line="276" w:lineRule="auto"/>
        <w:jc w:val="both"/>
        <w:rPr>
          <w:rFonts w:ascii="Times New Roman" w:eastAsia="Times New Roman" w:hAnsi="Times New Roman" w:cs="Times New Roman"/>
          <w:sz w:val="24"/>
          <w:szCs w:val="24"/>
        </w:rPr>
      </w:pPr>
    </w:p>
    <w:p w:rsidR="00860187" w:rsidRDefault="00860187" w:rsidP="004B2B7E">
      <w:pPr>
        <w:spacing w:before="100" w:beforeAutospacing="1" w:after="100" w:afterAutospacing="1" w:line="276" w:lineRule="auto"/>
        <w:jc w:val="both"/>
        <w:rPr>
          <w:rFonts w:ascii="Times New Roman" w:eastAsia="Times New Roman" w:hAnsi="Times New Roman" w:cs="Times New Roman"/>
          <w:sz w:val="24"/>
          <w:szCs w:val="24"/>
        </w:rPr>
      </w:pPr>
      <w:r w:rsidRPr="00860187">
        <w:rPr>
          <w:rFonts w:ascii="Times New Roman" w:eastAsia="Times New Roman" w:hAnsi="Times New Roman" w:cs="Times New Roman"/>
          <w:sz w:val="24"/>
          <w:szCs w:val="24"/>
        </w:rPr>
        <w:t>The broiler chickens were assigned to the following groups:</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bCs/>
          <w:sz w:val="24"/>
          <w:szCs w:val="24"/>
        </w:rPr>
        <w:t xml:space="preserve">Group 1 </w:t>
      </w:r>
      <w:r w:rsidRPr="0074359C">
        <w:rPr>
          <w:rFonts w:ascii="Times New Roman" w:hAnsi="Times New Roman" w:cs="Times New Roman"/>
          <w:sz w:val="24"/>
          <w:szCs w:val="24"/>
        </w:rPr>
        <w:t xml:space="preserve">(Control):  received 2L distilled water + 50g normal feed. </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bCs/>
          <w:sz w:val="24"/>
          <w:szCs w:val="24"/>
        </w:rPr>
        <w:t>Group 2</w:t>
      </w:r>
      <w:r w:rsidRPr="0074359C">
        <w:rPr>
          <w:rFonts w:ascii="Times New Roman" w:hAnsi="Times New Roman" w:cs="Times New Roman"/>
          <w:sz w:val="24"/>
          <w:szCs w:val="24"/>
        </w:rPr>
        <w:t xml:space="preserve">: Received 300mg/kg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flu</w:t>
      </w:r>
      <w:r>
        <w:rPr>
          <w:rFonts w:ascii="Times New Roman" w:hAnsi="Times New Roman" w:cs="Times New Roman"/>
          <w:sz w:val="24"/>
          <w:szCs w:val="24"/>
        </w:rPr>
        <w:t>o</w:t>
      </w:r>
      <w:r w:rsidRPr="0074359C">
        <w:rPr>
          <w:rFonts w:ascii="Times New Roman" w:hAnsi="Times New Roman" w:cs="Times New Roman"/>
          <w:sz w:val="24"/>
          <w:szCs w:val="24"/>
        </w:rPr>
        <w:t>roquinolone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3: Received 200mg/kg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sulf</w:t>
      </w:r>
      <w:r>
        <w:rPr>
          <w:rFonts w:ascii="Times New Roman" w:hAnsi="Times New Roman" w:cs="Times New Roman"/>
          <w:sz w:val="24"/>
          <w:szCs w:val="24"/>
        </w:rPr>
        <w:t>o</w:t>
      </w:r>
      <w:r w:rsidRPr="0074359C">
        <w:rPr>
          <w:rFonts w:ascii="Times New Roman" w:hAnsi="Times New Roman" w:cs="Times New Roman"/>
          <w:sz w:val="24"/>
          <w:szCs w:val="24"/>
        </w:rPr>
        <w:t>nomide</w:t>
      </w:r>
      <w:proofErr w:type="spellEnd"/>
      <w:r w:rsidRPr="0074359C">
        <w:rPr>
          <w:rFonts w:ascii="Times New Roman" w:hAnsi="Times New Roman" w:cs="Times New Roman"/>
          <w:sz w:val="24"/>
          <w:szCs w:val="24"/>
        </w:rPr>
        <w:t xml:space="preserve">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 Group 4: Received 330mg/kg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gentamicin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5: Received 400mg/kg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oxytetracycline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6: Received 220mg/kg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neomycin in 2</w:t>
      </w:r>
      <w:r>
        <w:rPr>
          <w:rFonts w:ascii="Times New Roman" w:hAnsi="Times New Roman" w:cs="Times New Roman"/>
          <w:sz w:val="24"/>
          <w:szCs w:val="24"/>
        </w:rPr>
        <w:t>L</w:t>
      </w:r>
      <w:r w:rsidRPr="0074359C">
        <w:rPr>
          <w:rFonts w:ascii="Times New Roman" w:hAnsi="Times New Roman" w:cs="Times New Roman"/>
          <w:sz w:val="24"/>
          <w:szCs w:val="24"/>
        </w:rPr>
        <w:t xml:space="preserve">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 xml:space="preserve">Group 7: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xml:space="preserve"> in 2L of water + 50g of normal feed</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8: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penicillin in 2L of water + 50g of normal feed</w:t>
      </w:r>
    </w:p>
    <w:p w:rsidR="004B2B7E" w:rsidRDefault="00860187" w:rsidP="004B2B7E">
      <w:pPr>
        <w:pStyle w:val="NormalWeb"/>
        <w:spacing w:line="276" w:lineRule="auto"/>
        <w:jc w:val="both"/>
      </w:pPr>
      <w:r>
        <w:t>At the end of the two-week treatment period, all chickens were humanely sacrificed, and tissue samples were collected in sterile tubes for antibiotic residue analysis. The remaining tissue was used to prepare a specialized feed for the rats, maintaining t</w:t>
      </w:r>
      <w:r w:rsidR="004B2B7E">
        <w:t>he same experimental groupings.</w:t>
      </w:r>
    </w:p>
    <w:p w:rsidR="00860187" w:rsidRPr="004B2B7E" w:rsidRDefault="00860187" w:rsidP="004B2B7E">
      <w:pPr>
        <w:pStyle w:val="NormalWeb"/>
        <w:spacing w:line="276" w:lineRule="auto"/>
        <w:jc w:val="both"/>
        <w:rPr>
          <w:i/>
        </w:rPr>
      </w:pPr>
      <w:r w:rsidRPr="004B2B7E">
        <w:rPr>
          <w:i/>
        </w:rPr>
        <w:t>D. Preparation of Experimental Diet (Rat Chow)</w:t>
      </w:r>
    </w:p>
    <w:p w:rsidR="00860187" w:rsidRDefault="00860187" w:rsidP="004B2B7E">
      <w:pPr>
        <w:pStyle w:val="NormalWeb"/>
        <w:spacing w:line="276" w:lineRule="auto"/>
        <w:jc w:val="both"/>
      </w:pPr>
      <w:r>
        <w:t>The experimental diet was formulated by combining minced broiler chicken meat with standard pelleted laboratory chow. Specifically, 1 kg of boneless broiler meat, cooked to an internal temperature of at least 70°C and finely minced, was mixed with 9 kg of standard chow (</w:t>
      </w:r>
      <w:proofErr w:type="spellStart"/>
      <w:r>
        <w:t>Afrimash</w:t>
      </w:r>
      <w:proofErr w:type="spellEnd"/>
      <w:r>
        <w:t>; protein 16–18%, fat 4.0%). The mixture was homogenized in a ribbon mixer for 10 minutes, sampled to ensure uniformity, then fed to the rats as pellets and dried to approximately 12% moisture content. Diets were prepared weekly, stored at 4°C for up to four weeks, and provided to the rats ad libitum. Nutrient composition was determined from product labels and proximate analysis, calculated on a wet basis, resulting in a final diet protein content of 18.4%.</w:t>
      </w:r>
    </w:p>
    <w:p w:rsidR="00860187" w:rsidRPr="0074359C" w:rsidRDefault="00860187" w:rsidP="004B2B7E">
      <w:pPr>
        <w:autoSpaceDE w:val="0"/>
        <w:autoSpaceDN w:val="0"/>
        <w:adjustRightInd w:val="0"/>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Calculations</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Stand</w:t>
      </w:r>
      <w:r>
        <w:rPr>
          <w:rFonts w:ascii="Times New Roman" w:hAnsi="Times New Roman" w:cs="Times New Roman"/>
          <w:bCs/>
          <w:sz w:val="24"/>
          <w:szCs w:val="24"/>
        </w:rPr>
        <w:t>ard chow protein = 18.0 g protein per 100 g chow</w:t>
      </w:r>
      <w:r w:rsidRPr="0074359C">
        <w:rPr>
          <w:rFonts w:ascii="Times New Roman" w:hAnsi="Times New Roman" w:cs="Times New Roman"/>
          <w:bCs/>
          <w:sz w:val="24"/>
          <w:szCs w:val="24"/>
        </w:rPr>
        <w:t>.</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Broiler meat p</w:t>
      </w:r>
      <w:r>
        <w:rPr>
          <w:rFonts w:ascii="Times New Roman" w:hAnsi="Times New Roman" w:cs="Times New Roman"/>
          <w:bCs/>
          <w:sz w:val="24"/>
          <w:szCs w:val="24"/>
        </w:rPr>
        <w:t>rotein (</w:t>
      </w:r>
      <w:r w:rsidR="00F13714">
        <w:rPr>
          <w:rFonts w:ascii="Times New Roman" w:hAnsi="Times New Roman" w:cs="Times New Roman"/>
          <w:bCs/>
          <w:sz w:val="24"/>
          <w:szCs w:val="24"/>
        </w:rPr>
        <w:t>raw, wet basis)</w:t>
      </w:r>
      <w:r w:rsidR="004B2B7E">
        <w:rPr>
          <w:rFonts w:ascii="Times New Roman" w:hAnsi="Times New Roman" w:cs="Times New Roman"/>
          <w:bCs/>
          <w:sz w:val="24"/>
          <w:szCs w:val="24"/>
        </w:rPr>
        <w:t xml:space="preserve"> </w:t>
      </w:r>
      <w:r w:rsidR="00F13714">
        <w:rPr>
          <w:rFonts w:ascii="Times New Roman" w:hAnsi="Times New Roman" w:cs="Times New Roman"/>
          <w:bCs/>
          <w:sz w:val="24"/>
          <w:szCs w:val="24"/>
        </w:rPr>
        <w:t xml:space="preserve">= </w:t>
      </w:r>
      <w:r>
        <w:rPr>
          <w:rFonts w:ascii="Times New Roman" w:hAnsi="Times New Roman" w:cs="Times New Roman"/>
          <w:bCs/>
          <w:sz w:val="24"/>
          <w:szCs w:val="24"/>
        </w:rPr>
        <w:t>22.0 g protein per 100 g meat</w:t>
      </w:r>
      <w:r w:rsidRPr="0074359C">
        <w:rPr>
          <w:rFonts w:ascii="Times New Roman" w:hAnsi="Times New Roman" w:cs="Times New Roman"/>
          <w:bCs/>
          <w:sz w:val="24"/>
          <w:szCs w:val="24"/>
        </w:rPr>
        <w:t>.</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Total protein in batch:</w:t>
      </w:r>
    </w:p>
    <w:p w:rsidR="00860187"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4359C">
        <w:rPr>
          <w:rFonts w:ascii="Times New Roman" w:hAnsi="Times New Roman" w:cs="Times New Roman"/>
          <w:bCs/>
          <w:sz w:val="24"/>
          <w:szCs w:val="24"/>
        </w:rPr>
        <w:t>Prote</w:t>
      </w:r>
      <w:r>
        <w:rPr>
          <w:rFonts w:ascii="Times New Roman" w:hAnsi="Times New Roman" w:cs="Times New Roman"/>
          <w:bCs/>
          <w:sz w:val="24"/>
          <w:szCs w:val="24"/>
        </w:rPr>
        <w:t>in from chow = 9000g</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4359C">
        <w:rPr>
          <w:rFonts w:ascii="Times New Roman" w:hAnsi="Times New Roman" w:cs="Times New Roman"/>
          <w:bCs/>
          <w:sz w:val="24"/>
          <w:szCs w:val="24"/>
        </w:rPr>
        <w:t>= 9,000 g × 0.18</w:t>
      </w:r>
      <w:r>
        <w:rPr>
          <w:rFonts w:ascii="Times New Roman" w:hAnsi="Times New Roman" w:cs="Times New Roman"/>
          <w:bCs/>
          <w:sz w:val="24"/>
          <w:szCs w:val="24"/>
        </w:rPr>
        <w:t>g</w:t>
      </w:r>
      <w:r w:rsidRPr="0074359C">
        <w:rPr>
          <w:rFonts w:ascii="Times New Roman" w:hAnsi="Times New Roman" w:cs="Times New Roman"/>
          <w:bCs/>
          <w:sz w:val="24"/>
          <w:szCs w:val="24"/>
        </w:rPr>
        <w:t xml:space="preserve"> = 1,620 g protein.</w:t>
      </w:r>
    </w:p>
    <w:p w:rsidR="00860187"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Protein from meat = 1</w:t>
      </w:r>
      <w:r w:rsidRPr="0074359C">
        <w:rPr>
          <w:rFonts w:ascii="Times New Roman" w:hAnsi="Times New Roman" w:cs="Times New Roman"/>
          <w:bCs/>
          <w:sz w:val="24"/>
          <w:szCs w:val="24"/>
        </w:rPr>
        <w:t>000</w:t>
      </w:r>
      <w:r>
        <w:rPr>
          <w:rFonts w:ascii="Times New Roman" w:hAnsi="Times New Roman" w:cs="Times New Roman"/>
          <w:bCs/>
          <w:sz w:val="24"/>
          <w:szCs w:val="24"/>
        </w:rPr>
        <w:t>g</w:t>
      </w:r>
    </w:p>
    <w:p w:rsidR="00860187"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B2B7E">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 = 1,000 g × 0.22</w:t>
      </w:r>
      <w:r>
        <w:rPr>
          <w:rFonts w:ascii="Times New Roman" w:hAnsi="Times New Roman" w:cs="Times New Roman"/>
          <w:bCs/>
          <w:sz w:val="24"/>
          <w:szCs w:val="24"/>
        </w:rPr>
        <w:t>g</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 = 220 g protein.</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 Total protein = 1,620 g + 220 g = 1,840 g.</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Protein percentage of the 10 kg batch (wet basis):  Total batch mass = 10,000 g.</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Protein % = (1,840 g / 10,000 g) × 100 = 0.184 × 100 = 18.4% protein.</w:t>
      </w:r>
    </w:p>
    <w:p w:rsidR="00860187" w:rsidRPr="0074359C" w:rsidRDefault="00860187" w:rsidP="004B2B7E">
      <w:pPr>
        <w:autoSpaceDE w:val="0"/>
        <w:autoSpaceDN w:val="0"/>
        <w:adjustRightInd w:val="0"/>
        <w:spacing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 (1,840 ÷ 10,000 = 0.184 → ×100 = 18.4%)</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The rats were grouped as follows;</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Group 1 (control): Received 20g of feed + 30m</w:t>
      </w:r>
      <w:r w:rsidR="00166877">
        <w:rPr>
          <w:rFonts w:ascii="Times New Roman" w:hAnsi="Times New Roman" w:cs="Times New Roman"/>
          <w:sz w:val="24"/>
          <w:szCs w:val="24"/>
        </w:rPr>
        <w:t>L</w:t>
      </w:r>
      <w:r w:rsidRPr="0074359C">
        <w:rPr>
          <w:rFonts w:ascii="Times New Roman" w:hAnsi="Times New Roman" w:cs="Times New Roman"/>
          <w:sz w:val="24"/>
          <w:szCs w:val="24"/>
        </w:rPr>
        <w:t xml:space="preserve">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2: Received 20g of feed (</w:t>
      </w:r>
      <w:proofErr w:type="spellStart"/>
      <w:r w:rsidRPr="0074359C">
        <w:rPr>
          <w:rFonts w:ascii="Times New Roman" w:hAnsi="Times New Roman" w:cs="Times New Roman"/>
          <w:sz w:val="24"/>
          <w:szCs w:val="24"/>
        </w:rPr>
        <w:t>fluroquinolone</w:t>
      </w:r>
      <w:proofErr w:type="spellEnd"/>
      <w:r w:rsidRPr="0074359C">
        <w:rPr>
          <w:rFonts w:ascii="Times New Roman" w:hAnsi="Times New Roman" w:cs="Times New Roman"/>
          <w:sz w:val="24"/>
          <w:szCs w:val="24"/>
        </w:rPr>
        <w:t>) + 30m</w:t>
      </w:r>
      <w:r w:rsidR="00166877">
        <w:rPr>
          <w:rFonts w:ascii="Times New Roman" w:hAnsi="Times New Roman" w:cs="Times New Roman"/>
          <w:sz w:val="24"/>
          <w:szCs w:val="24"/>
        </w:rPr>
        <w:t>L</w:t>
      </w:r>
      <w:r w:rsidRPr="0074359C">
        <w:rPr>
          <w:rFonts w:ascii="Times New Roman" w:hAnsi="Times New Roman" w:cs="Times New Roman"/>
          <w:sz w:val="24"/>
          <w:szCs w:val="24"/>
        </w:rPr>
        <w:t xml:space="preserve">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3:  Received 20g of feed (</w:t>
      </w:r>
      <w:proofErr w:type="spellStart"/>
      <w:r w:rsidRPr="0074359C">
        <w:rPr>
          <w:rFonts w:ascii="Times New Roman" w:hAnsi="Times New Roman" w:cs="Times New Roman"/>
          <w:sz w:val="24"/>
          <w:szCs w:val="24"/>
        </w:rPr>
        <w:t>sulfanomide</w:t>
      </w:r>
      <w:proofErr w:type="spellEnd"/>
      <w:r w:rsidRPr="0074359C">
        <w:rPr>
          <w:rFonts w:ascii="Times New Roman" w:hAnsi="Times New Roman" w:cs="Times New Roman"/>
          <w:sz w:val="24"/>
          <w:szCs w:val="24"/>
        </w:rPr>
        <w:t>) + 30m</w:t>
      </w:r>
      <w:r w:rsidR="00166877">
        <w:rPr>
          <w:rFonts w:ascii="Times New Roman" w:hAnsi="Times New Roman" w:cs="Times New Roman"/>
          <w:sz w:val="24"/>
          <w:szCs w:val="24"/>
        </w:rPr>
        <w:t>L</w:t>
      </w:r>
      <w:r w:rsidRPr="0074359C">
        <w:rPr>
          <w:rFonts w:ascii="Times New Roman" w:hAnsi="Times New Roman" w:cs="Times New Roman"/>
          <w:sz w:val="24"/>
          <w:szCs w:val="24"/>
        </w:rPr>
        <w:t xml:space="preserve">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4: Received 20g of feed (gentamicin) + 30m</w:t>
      </w:r>
      <w:r w:rsidR="00166877">
        <w:rPr>
          <w:rFonts w:ascii="Times New Roman" w:hAnsi="Times New Roman" w:cs="Times New Roman"/>
          <w:sz w:val="24"/>
          <w:szCs w:val="24"/>
        </w:rPr>
        <w:t>L</w:t>
      </w:r>
      <w:r w:rsidRPr="0074359C">
        <w:rPr>
          <w:rFonts w:ascii="Times New Roman" w:hAnsi="Times New Roman" w:cs="Times New Roman"/>
          <w:sz w:val="24"/>
          <w:szCs w:val="24"/>
        </w:rPr>
        <w:t xml:space="preserve">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5: Received 20g of feed (oxytetracycline) + 30m</w:t>
      </w:r>
      <w:r w:rsidR="00166877">
        <w:rPr>
          <w:rFonts w:ascii="Times New Roman" w:hAnsi="Times New Roman" w:cs="Times New Roman"/>
          <w:sz w:val="24"/>
          <w:szCs w:val="24"/>
        </w:rPr>
        <w:t>L</w:t>
      </w:r>
      <w:r w:rsidRPr="0074359C">
        <w:rPr>
          <w:rFonts w:ascii="Times New Roman" w:hAnsi="Times New Roman" w:cs="Times New Roman"/>
          <w:sz w:val="24"/>
          <w:szCs w:val="24"/>
        </w:rPr>
        <w:t xml:space="preserve">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6: Received 20g of feed (neomycin) + 30m</w:t>
      </w:r>
      <w:r w:rsidR="00166877">
        <w:rPr>
          <w:rFonts w:ascii="Times New Roman" w:hAnsi="Times New Roman" w:cs="Times New Roman"/>
          <w:sz w:val="24"/>
          <w:szCs w:val="24"/>
        </w:rPr>
        <w:t>L</w:t>
      </w:r>
      <w:r w:rsidRPr="0074359C">
        <w:rPr>
          <w:rFonts w:ascii="Times New Roman" w:hAnsi="Times New Roman" w:cs="Times New Roman"/>
          <w:sz w:val="24"/>
          <w:szCs w:val="24"/>
        </w:rPr>
        <w:t xml:space="preserve">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7: Received 20g of feed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+ 30m</w:t>
      </w:r>
      <w:r w:rsidR="00166877">
        <w:rPr>
          <w:rFonts w:ascii="Times New Roman" w:hAnsi="Times New Roman" w:cs="Times New Roman"/>
          <w:sz w:val="24"/>
          <w:szCs w:val="24"/>
        </w:rPr>
        <w:t>L</w:t>
      </w:r>
      <w:r w:rsidRPr="0074359C">
        <w:rPr>
          <w:rFonts w:ascii="Times New Roman" w:hAnsi="Times New Roman" w:cs="Times New Roman"/>
          <w:sz w:val="24"/>
          <w:szCs w:val="24"/>
        </w:rPr>
        <w:t xml:space="preserve"> of water</w:t>
      </w:r>
    </w:p>
    <w:p w:rsidR="00860187" w:rsidRPr="0074359C" w:rsidRDefault="00860187" w:rsidP="004B2B7E">
      <w:pPr>
        <w:spacing w:before="100" w:beforeAutospacing="1" w:after="100" w:afterAutospacing="1" w:line="276" w:lineRule="auto"/>
        <w:jc w:val="both"/>
        <w:rPr>
          <w:rFonts w:ascii="Times New Roman" w:hAnsi="Times New Roman" w:cs="Times New Roman"/>
          <w:sz w:val="24"/>
          <w:szCs w:val="24"/>
        </w:rPr>
      </w:pPr>
      <w:r w:rsidRPr="0074359C">
        <w:rPr>
          <w:rFonts w:ascii="Times New Roman" w:hAnsi="Times New Roman" w:cs="Times New Roman"/>
          <w:sz w:val="24"/>
          <w:szCs w:val="24"/>
        </w:rPr>
        <w:t>Group 8: Received 20g of feed (penicillin) + 30m</w:t>
      </w:r>
      <w:r w:rsidR="00166877">
        <w:rPr>
          <w:rFonts w:ascii="Times New Roman" w:hAnsi="Times New Roman" w:cs="Times New Roman"/>
          <w:sz w:val="24"/>
          <w:szCs w:val="24"/>
        </w:rPr>
        <w:t>L</w:t>
      </w:r>
      <w:r w:rsidRPr="0074359C">
        <w:rPr>
          <w:rFonts w:ascii="Times New Roman" w:hAnsi="Times New Roman" w:cs="Times New Roman"/>
          <w:sz w:val="24"/>
          <w:szCs w:val="24"/>
        </w:rPr>
        <w:t xml:space="preserve"> of water</w:t>
      </w:r>
    </w:p>
    <w:p w:rsidR="00860187" w:rsidRDefault="00860187" w:rsidP="004B2B7E">
      <w:pPr>
        <w:autoSpaceDE w:val="0"/>
        <w:autoSpaceDN w:val="0"/>
        <w:adjustRightInd w:val="0"/>
        <w:spacing w:after="0" w:line="276"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At the end of 4 weeks feeding, the animals were sacrificed following standard procedures and blood samples were obtained for biochemical and </w:t>
      </w:r>
      <w:r w:rsidR="00166877" w:rsidRPr="0074359C">
        <w:rPr>
          <w:rFonts w:ascii="Times New Roman" w:hAnsi="Times New Roman" w:cs="Times New Roman"/>
          <w:bCs/>
          <w:sz w:val="24"/>
          <w:szCs w:val="24"/>
        </w:rPr>
        <w:t>hematological</w:t>
      </w:r>
      <w:r w:rsidRPr="0074359C">
        <w:rPr>
          <w:rFonts w:ascii="Times New Roman" w:hAnsi="Times New Roman" w:cs="Times New Roman"/>
          <w:bCs/>
          <w:sz w:val="24"/>
          <w:szCs w:val="24"/>
        </w:rPr>
        <w:t xml:space="preserve"> analysis and the tissue sample </w:t>
      </w:r>
      <w:r>
        <w:rPr>
          <w:rFonts w:ascii="Times New Roman" w:hAnsi="Times New Roman" w:cs="Times New Roman"/>
          <w:bCs/>
          <w:sz w:val="24"/>
          <w:szCs w:val="24"/>
        </w:rPr>
        <w:t xml:space="preserve">(fresh weight) </w:t>
      </w:r>
      <w:r w:rsidRPr="0074359C">
        <w:rPr>
          <w:rFonts w:ascii="Times New Roman" w:hAnsi="Times New Roman" w:cs="Times New Roman"/>
          <w:bCs/>
          <w:sz w:val="24"/>
          <w:szCs w:val="24"/>
        </w:rPr>
        <w:t>was also collected for analysis of antibiotic residue.</w:t>
      </w:r>
    </w:p>
    <w:p w:rsidR="00860187" w:rsidRPr="0074359C" w:rsidRDefault="00860187" w:rsidP="004B2B7E">
      <w:pPr>
        <w:autoSpaceDE w:val="0"/>
        <w:autoSpaceDN w:val="0"/>
        <w:adjustRightInd w:val="0"/>
        <w:spacing w:after="0" w:line="276" w:lineRule="auto"/>
        <w:jc w:val="both"/>
        <w:rPr>
          <w:rFonts w:ascii="Times New Roman" w:hAnsi="Times New Roman" w:cs="Times New Roman"/>
          <w:bCs/>
          <w:sz w:val="24"/>
          <w:szCs w:val="24"/>
        </w:rPr>
      </w:pPr>
    </w:p>
    <w:p w:rsidR="00860187" w:rsidRPr="004B2B7E" w:rsidRDefault="00860187" w:rsidP="004B2B7E">
      <w:pPr>
        <w:pStyle w:val="ListParagraph"/>
        <w:numPr>
          <w:ilvl w:val="0"/>
          <w:numId w:val="4"/>
        </w:numPr>
        <w:autoSpaceDE w:val="0"/>
        <w:autoSpaceDN w:val="0"/>
        <w:adjustRightInd w:val="0"/>
        <w:spacing w:after="0" w:line="276" w:lineRule="auto"/>
        <w:jc w:val="both"/>
        <w:rPr>
          <w:rFonts w:ascii="Times New Roman" w:hAnsi="Times New Roman" w:cs="Times New Roman"/>
          <w:bCs/>
          <w:i/>
          <w:sz w:val="24"/>
          <w:szCs w:val="24"/>
        </w:rPr>
      </w:pPr>
      <w:r w:rsidRPr="004B2B7E">
        <w:rPr>
          <w:rFonts w:ascii="Times New Roman" w:hAnsi="Times New Roman" w:cs="Times New Roman"/>
          <w:bCs/>
          <w:i/>
          <w:sz w:val="24"/>
          <w:szCs w:val="24"/>
        </w:rPr>
        <w:t xml:space="preserve">Antibiotic Residue Analysis:  </w:t>
      </w:r>
    </w:p>
    <w:p w:rsidR="00860187" w:rsidRPr="0074359C" w:rsidRDefault="00860187" w:rsidP="004B2B7E">
      <w:pPr>
        <w:pStyle w:val="ListParagraph"/>
        <w:autoSpaceDE w:val="0"/>
        <w:autoSpaceDN w:val="0"/>
        <w:adjustRightInd w:val="0"/>
        <w:spacing w:after="0" w:line="276" w:lineRule="auto"/>
        <w:ind w:left="360"/>
        <w:jc w:val="both"/>
        <w:rPr>
          <w:rFonts w:ascii="Times New Roman" w:hAnsi="Times New Roman" w:cs="Times New Roman"/>
          <w:bCs/>
          <w:i/>
          <w:sz w:val="24"/>
          <w:szCs w:val="24"/>
        </w:rPr>
      </w:pPr>
    </w:p>
    <w:p w:rsidR="00860187" w:rsidRDefault="00860187" w:rsidP="004B2B7E">
      <w:pPr>
        <w:autoSpaceDE w:val="0"/>
        <w:autoSpaceDN w:val="0"/>
        <w:adjustRightInd w:val="0"/>
        <w:spacing w:after="0" w:line="276" w:lineRule="auto"/>
        <w:jc w:val="both"/>
        <w:rPr>
          <w:rFonts w:ascii="Times New Roman" w:hAnsi="Times New Roman" w:cs="Times New Roman"/>
          <w:sz w:val="24"/>
          <w:szCs w:val="24"/>
        </w:rPr>
      </w:pPr>
      <w:r w:rsidRPr="0074359C">
        <w:rPr>
          <w:rFonts w:ascii="Times New Roman" w:hAnsi="Times New Roman" w:cs="Times New Roman"/>
          <w:sz w:val="24"/>
          <w:szCs w:val="24"/>
        </w:rPr>
        <w:t>High Performance Thin Layer Chromato</w:t>
      </w:r>
      <w:r>
        <w:rPr>
          <w:rFonts w:ascii="Times New Roman" w:hAnsi="Times New Roman" w:cs="Times New Roman"/>
          <w:sz w:val="24"/>
          <w:szCs w:val="24"/>
        </w:rPr>
        <w:t>graphy (HPTLC) plate and Ultrav</w:t>
      </w:r>
      <w:r w:rsidRPr="0074359C">
        <w:rPr>
          <w:rFonts w:ascii="Times New Roman" w:hAnsi="Times New Roman" w:cs="Times New Roman"/>
          <w:sz w:val="24"/>
          <w:szCs w:val="24"/>
        </w:rPr>
        <w:t xml:space="preserve">iolet (UV) lamp were used. TLC was performed according to </w:t>
      </w:r>
      <w:proofErr w:type="spellStart"/>
      <w:r w:rsidRPr="0074359C">
        <w:rPr>
          <w:rFonts w:ascii="Times New Roman" w:hAnsi="Times New Roman" w:cs="Times New Roman"/>
          <w:sz w:val="24"/>
          <w:szCs w:val="24"/>
        </w:rPr>
        <w:t>Tajick</w:t>
      </w:r>
      <w:proofErr w:type="spellEnd"/>
      <w:r w:rsidRPr="0074359C">
        <w:rPr>
          <w:rFonts w:ascii="Times New Roman" w:hAnsi="Times New Roman" w:cs="Times New Roman"/>
          <w:sz w:val="24"/>
          <w:szCs w:val="24"/>
        </w:rPr>
        <w:t xml:space="preserve"> and </w:t>
      </w:r>
      <w:proofErr w:type="spellStart"/>
      <w:r w:rsidRPr="0074359C">
        <w:rPr>
          <w:rFonts w:ascii="Times New Roman" w:hAnsi="Times New Roman" w:cs="Times New Roman"/>
          <w:sz w:val="24"/>
          <w:szCs w:val="24"/>
        </w:rPr>
        <w:t>Shohreh</w:t>
      </w:r>
      <w:proofErr w:type="spellEnd"/>
      <w:r w:rsidRPr="0074359C">
        <w:rPr>
          <w:rFonts w:ascii="Times New Roman" w:hAnsi="Times New Roman" w:cs="Times New Roman"/>
          <w:sz w:val="24"/>
          <w:szCs w:val="24"/>
        </w:rPr>
        <w:t xml:space="preserve"> (2006) with some required adjustments.</w:t>
      </w:r>
    </w:p>
    <w:p w:rsidR="00860187" w:rsidRPr="0074359C" w:rsidRDefault="00860187" w:rsidP="004B2B7E">
      <w:pPr>
        <w:autoSpaceDE w:val="0"/>
        <w:autoSpaceDN w:val="0"/>
        <w:adjustRightInd w:val="0"/>
        <w:spacing w:after="0"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 </w:t>
      </w:r>
    </w:p>
    <w:p w:rsidR="00860187" w:rsidRPr="0074359C" w:rsidRDefault="00860187" w:rsidP="004B2B7E">
      <w:pPr>
        <w:autoSpaceDE w:val="0"/>
        <w:autoSpaceDN w:val="0"/>
        <w:adjustRightInd w:val="0"/>
        <w:spacing w:after="0"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Principle</w:t>
      </w:r>
    </w:p>
    <w:p w:rsidR="000B1610" w:rsidRDefault="00860187" w:rsidP="00F13714">
      <w:pPr>
        <w:autoSpaceDE w:val="0"/>
        <w:autoSpaceDN w:val="0"/>
        <w:adjustRightInd w:val="0"/>
        <w:spacing w:after="0" w:line="276"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The sample extracts are separated and quantified according to their interactions with the stationary phase (silica gel) and the mobile phase (solvent system). </w:t>
      </w:r>
    </w:p>
    <w:p w:rsidR="00860187" w:rsidRPr="000B1610" w:rsidRDefault="00860187" w:rsidP="00F13714">
      <w:pPr>
        <w:autoSpaceDE w:val="0"/>
        <w:autoSpaceDN w:val="0"/>
        <w:adjustRightInd w:val="0"/>
        <w:spacing w:after="0" w:line="276" w:lineRule="auto"/>
        <w:jc w:val="both"/>
        <w:rPr>
          <w:rFonts w:ascii="Times New Roman" w:hAnsi="Times New Roman" w:cs="Times New Roman"/>
          <w:sz w:val="24"/>
          <w:szCs w:val="24"/>
        </w:rPr>
      </w:pPr>
      <w:r w:rsidRPr="00F13714">
        <w:rPr>
          <w:rFonts w:ascii="Times New Roman" w:hAnsi="Times New Roman" w:cs="Times New Roman"/>
          <w:b/>
          <w:sz w:val="24"/>
          <w:szCs w:val="24"/>
        </w:rPr>
        <w:t>Procedure</w:t>
      </w:r>
    </w:p>
    <w:p w:rsidR="00F13714" w:rsidRDefault="00F13714" w:rsidP="00F13714">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b/>
          <w:sz w:val="24"/>
          <w:szCs w:val="24"/>
        </w:rPr>
        <w:t>HPTLC Analysis</w:t>
      </w:r>
      <w:r w:rsidR="00860187" w:rsidRPr="00F13714">
        <w:rPr>
          <w:rFonts w:ascii="Times New Roman" w:hAnsi="Times New Roman" w:cs="Times New Roman"/>
        </w:rPr>
        <w:br/>
      </w:r>
    </w:p>
    <w:p w:rsidR="00F13714" w:rsidRDefault="00860187" w:rsidP="00F13714">
      <w:pPr>
        <w:autoSpaceDE w:val="0"/>
        <w:autoSpaceDN w:val="0"/>
        <w:adjustRightInd w:val="0"/>
        <w:spacing w:after="0" w:line="276" w:lineRule="auto"/>
        <w:jc w:val="both"/>
        <w:rPr>
          <w:rFonts w:ascii="Times New Roman" w:hAnsi="Times New Roman" w:cs="Times New Roman"/>
          <w:sz w:val="24"/>
          <w:szCs w:val="24"/>
        </w:rPr>
      </w:pPr>
      <w:r w:rsidRPr="00F13714">
        <w:rPr>
          <w:rFonts w:ascii="Times New Roman" w:hAnsi="Times New Roman" w:cs="Times New Roman"/>
          <w:sz w:val="24"/>
          <w:szCs w:val="24"/>
        </w:rPr>
        <w:t xml:space="preserve">High-Performance Thin Layer Chromatography (HPTLC) was carried out using plates coated with a uniform layer of 100–200 </w:t>
      </w:r>
      <w:proofErr w:type="spellStart"/>
      <w:r w:rsidRPr="00F13714">
        <w:rPr>
          <w:rFonts w:ascii="Times New Roman" w:hAnsi="Times New Roman" w:cs="Times New Roman"/>
          <w:sz w:val="24"/>
          <w:szCs w:val="24"/>
        </w:rPr>
        <w:t>μm</w:t>
      </w:r>
      <w:proofErr w:type="spellEnd"/>
      <w:r w:rsidRPr="00F13714">
        <w:rPr>
          <w:rFonts w:ascii="Times New Roman" w:hAnsi="Times New Roman" w:cs="Times New Roman"/>
          <w:sz w:val="24"/>
          <w:szCs w:val="24"/>
        </w:rPr>
        <w:t xml:space="preserve">. Sample spots were applied to the plates using micropipettes, with each spot receiving 50 </w:t>
      </w:r>
      <w:proofErr w:type="spellStart"/>
      <w:r w:rsidRPr="00F13714">
        <w:rPr>
          <w:rFonts w:ascii="Times New Roman" w:hAnsi="Times New Roman" w:cs="Times New Roman"/>
          <w:sz w:val="24"/>
          <w:szCs w:val="24"/>
        </w:rPr>
        <w:t>μL</w:t>
      </w:r>
      <w:proofErr w:type="spellEnd"/>
      <w:r w:rsidRPr="00F13714">
        <w:rPr>
          <w:rFonts w:ascii="Times New Roman" w:hAnsi="Times New Roman" w:cs="Times New Roman"/>
          <w:sz w:val="24"/>
          <w:szCs w:val="24"/>
        </w:rPr>
        <w:t>. The plates were then placed in a TLC tank containing the mobile phase (acetone and acetonitrile in a 1:1 ratio) and covered with a lid. The tank was left until the mobile phase reached the upper marking line. Spots were visualized under a UV lamp at 365 nm. Markings for spots were made with a pencil either on the reverse side or along the edge of the plate to facilitate calculation of the retention factor (Rf).</w:t>
      </w:r>
    </w:p>
    <w:p w:rsidR="00F13714" w:rsidRDefault="00F13714" w:rsidP="00F13714">
      <w:pPr>
        <w:autoSpaceDE w:val="0"/>
        <w:autoSpaceDN w:val="0"/>
        <w:adjustRightInd w:val="0"/>
        <w:spacing w:after="0" w:line="276" w:lineRule="auto"/>
        <w:jc w:val="both"/>
        <w:rPr>
          <w:rFonts w:ascii="Times New Roman" w:hAnsi="Times New Roman" w:cs="Times New Roman"/>
          <w:sz w:val="24"/>
          <w:szCs w:val="24"/>
        </w:rPr>
      </w:pPr>
    </w:p>
    <w:p w:rsidR="00F13714" w:rsidRDefault="00F13714" w:rsidP="00F13714">
      <w:pPr>
        <w:autoSpaceDE w:val="0"/>
        <w:autoSpaceDN w:val="0"/>
        <w:adjustRightInd w:val="0"/>
        <w:spacing w:after="0" w:line="276" w:lineRule="auto"/>
        <w:rPr>
          <w:rFonts w:ascii="Times New Roman" w:hAnsi="Times New Roman" w:cs="Times New Roman"/>
          <w:sz w:val="24"/>
          <w:szCs w:val="24"/>
        </w:rPr>
      </w:pPr>
      <w:r w:rsidRPr="00F13714">
        <w:rPr>
          <w:rStyle w:val="Strong"/>
          <w:rFonts w:ascii="Times New Roman" w:hAnsi="Times New Roman" w:cs="Times New Roman"/>
          <w:sz w:val="24"/>
          <w:szCs w:val="24"/>
        </w:rPr>
        <w:lastRenderedPageBreak/>
        <w:t>Calculation</w:t>
      </w:r>
      <w:r>
        <w:rPr>
          <w:rStyle w:val="Strong"/>
          <w:rFonts w:ascii="Times New Roman" w:hAnsi="Times New Roman" w:cs="Times New Roman"/>
          <w:sz w:val="24"/>
          <w:szCs w:val="24"/>
        </w:rPr>
        <w:t xml:space="preserve"> </w:t>
      </w:r>
      <w:r w:rsidRPr="00F13714">
        <w:rPr>
          <w:rStyle w:val="Strong"/>
          <w:rFonts w:ascii="Times New Roman" w:hAnsi="Times New Roman" w:cs="Times New Roman"/>
          <w:sz w:val="24"/>
          <w:szCs w:val="24"/>
        </w:rPr>
        <w:t>of</w:t>
      </w:r>
      <w:r>
        <w:rPr>
          <w:rStyle w:val="Strong"/>
          <w:rFonts w:ascii="Times New Roman" w:hAnsi="Times New Roman" w:cs="Times New Roman"/>
          <w:sz w:val="24"/>
          <w:szCs w:val="24"/>
        </w:rPr>
        <w:t xml:space="preserve"> </w:t>
      </w:r>
      <w:r w:rsidRPr="00F13714">
        <w:rPr>
          <w:rStyle w:val="Strong"/>
          <w:rFonts w:ascii="Times New Roman" w:hAnsi="Times New Roman" w:cs="Times New Roman"/>
          <w:sz w:val="24"/>
          <w:szCs w:val="24"/>
        </w:rPr>
        <w:t>Rf</w:t>
      </w:r>
      <w:r>
        <w:rPr>
          <w:rStyle w:val="Strong"/>
          <w:rFonts w:ascii="Times New Roman" w:hAnsi="Times New Roman" w:cs="Times New Roman"/>
          <w:sz w:val="24"/>
          <w:szCs w:val="24"/>
        </w:rPr>
        <w:t xml:space="preserve"> </w:t>
      </w:r>
      <w:r w:rsidR="004B2B7E" w:rsidRPr="00F13714">
        <w:rPr>
          <w:rStyle w:val="Strong"/>
          <w:rFonts w:ascii="Times New Roman" w:hAnsi="Times New Roman" w:cs="Times New Roman"/>
          <w:sz w:val="24"/>
          <w:szCs w:val="24"/>
        </w:rPr>
        <w:t>Values</w:t>
      </w:r>
      <w:r w:rsidR="00860187" w:rsidRPr="00F13714">
        <w:rPr>
          <w:rFonts w:ascii="Times New Roman" w:hAnsi="Times New Roman" w:cs="Times New Roman"/>
          <w:sz w:val="24"/>
          <w:szCs w:val="24"/>
        </w:rPr>
        <w:br/>
      </w:r>
    </w:p>
    <w:p w:rsidR="00860187" w:rsidRPr="00F13714" w:rsidRDefault="00860187" w:rsidP="00F13714">
      <w:pPr>
        <w:autoSpaceDE w:val="0"/>
        <w:autoSpaceDN w:val="0"/>
        <w:adjustRightInd w:val="0"/>
        <w:spacing w:after="0" w:line="276" w:lineRule="auto"/>
        <w:jc w:val="both"/>
        <w:rPr>
          <w:rFonts w:ascii="Times New Roman" w:hAnsi="Times New Roman" w:cs="Times New Roman"/>
          <w:sz w:val="24"/>
          <w:szCs w:val="24"/>
        </w:rPr>
      </w:pPr>
      <w:r w:rsidRPr="00F13714">
        <w:rPr>
          <w:rFonts w:ascii="Times New Roman" w:hAnsi="Times New Roman" w:cs="Times New Roman"/>
          <w:sz w:val="24"/>
          <w:szCs w:val="24"/>
        </w:rPr>
        <w:t>The Rf value was calculated as the ratio of the distance traveled by the individual sample spot to the distance traveled by the solvent front. Sample spots with t</w:t>
      </w:r>
      <w:r w:rsidR="00F13714">
        <w:rPr>
          <w:rFonts w:ascii="Times New Roman" w:hAnsi="Times New Roman" w:cs="Times New Roman"/>
          <w:sz w:val="24"/>
          <w:szCs w:val="24"/>
        </w:rPr>
        <w:t xml:space="preserve">he same Rf as the standard were </w:t>
      </w:r>
      <w:r w:rsidRPr="00F13714">
        <w:rPr>
          <w:rFonts w:ascii="Times New Roman" w:hAnsi="Times New Roman" w:cs="Times New Roman"/>
          <w:sz w:val="24"/>
          <w:szCs w:val="24"/>
        </w:rPr>
        <w:t>considered to contain the same compound.</w:t>
      </w:r>
    </w:p>
    <w:p w:rsidR="00F13714" w:rsidRDefault="00F13714" w:rsidP="00F13714">
      <w:pPr>
        <w:pStyle w:val="NormalWeb"/>
        <w:spacing w:line="276" w:lineRule="auto"/>
      </w:pPr>
      <w:r>
        <w:rPr>
          <w:rStyle w:val="Strong"/>
        </w:rPr>
        <w:t xml:space="preserve">UV Spectroscopy for </w:t>
      </w:r>
      <w:r w:rsidR="00860187" w:rsidRPr="00F13714">
        <w:rPr>
          <w:rStyle w:val="Strong"/>
        </w:rPr>
        <w:t>A</w:t>
      </w:r>
      <w:r>
        <w:rPr>
          <w:rStyle w:val="Strong"/>
        </w:rPr>
        <w:t xml:space="preserve">ntibiotic Residue </w:t>
      </w:r>
      <w:r w:rsidR="004B2B7E" w:rsidRPr="00F13714">
        <w:rPr>
          <w:rStyle w:val="Strong"/>
        </w:rPr>
        <w:t>Concentration</w:t>
      </w:r>
      <w:r w:rsidR="00860187" w:rsidRPr="00F13714">
        <w:br/>
      </w:r>
    </w:p>
    <w:p w:rsidR="00860187" w:rsidRPr="00EF3807" w:rsidRDefault="00860187" w:rsidP="00F13714">
      <w:pPr>
        <w:pStyle w:val="NormalWeb"/>
        <w:spacing w:line="276" w:lineRule="auto"/>
        <w:jc w:val="both"/>
      </w:pPr>
      <w:r w:rsidRPr="00EF3807">
        <w:t xml:space="preserve">UV spectrophotometry was performed following the method of Grove and Randal (1955). The principle involves the absorption of light at specific wavelengths (200–400 nm) by the extracted samples. The intensity of absorbed light is proportional to the concentration of antibiotic residues. Concentrations were determined by comparing absorbance values to a calibration curve. For identification, the UV absorption spectra of the extracted samples were recorded and compared with standard antibiotics, each at 3 ppm concentration, including oxytetracycline, sulfonamide, fluoroquinolone, </w:t>
      </w:r>
      <w:proofErr w:type="spellStart"/>
      <w:r w:rsidRPr="00EF3807">
        <w:t>tylosin</w:t>
      </w:r>
      <w:proofErr w:type="spellEnd"/>
      <w:r w:rsidRPr="00EF3807">
        <w:t>, gentamicin, penicillin, and neomycin.</w:t>
      </w:r>
    </w:p>
    <w:p w:rsidR="00860187" w:rsidRPr="00F13714" w:rsidRDefault="00860187" w:rsidP="00F13714">
      <w:pPr>
        <w:pStyle w:val="NormalWeb"/>
        <w:spacing w:line="276" w:lineRule="auto"/>
        <w:jc w:val="both"/>
        <w:rPr>
          <w:i/>
        </w:rPr>
      </w:pPr>
      <w:r w:rsidRPr="00F13714">
        <w:rPr>
          <w:i/>
        </w:rPr>
        <w:t>F. Biochemical Analysis</w:t>
      </w:r>
    </w:p>
    <w:p w:rsidR="00860187" w:rsidRDefault="00860187" w:rsidP="004B2B7E">
      <w:pPr>
        <w:pStyle w:val="NormalWeb"/>
        <w:spacing w:line="276" w:lineRule="auto"/>
        <w:jc w:val="both"/>
      </w:pPr>
      <w:r>
        <w:t xml:space="preserve">Serum samples were used to assess liver and kidney function. Liver function parameters included alanine transaminase (ALT), aspartate transaminase (AST), alkaline phosphatase (ALP), total bilirubin (T. </w:t>
      </w:r>
      <w:proofErr w:type="spellStart"/>
      <w:r>
        <w:t>Bil</w:t>
      </w:r>
      <w:proofErr w:type="spellEnd"/>
      <w:r>
        <w:t xml:space="preserve">), direct bilirubin (D. </w:t>
      </w:r>
      <w:proofErr w:type="spellStart"/>
      <w:r>
        <w:t>Bil</w:t>
      </w:r>
      <w:proofErr w:type="spellEnd"/>
      <w:r>
        <w:t xml:space="preserve">), total protein, and albumin, following the standard methods of Reitman and Frankel (1957). Kidney function parameters; sodium (Na⁺), potassium (K⁺), chloride (Cl⁻), bicarbonate (HCO₃⁻), urea, and creatinine were analyzed using methods described by Bartels and </w:t>
      </w:r>
      <w:proofErr w:type="spellStart"/>
      <w:r>
        <w:t>Bohmer</w:t>
      </w:r>
      <w:proofErr w:type="spellEnd"/>
      <w:r>
        <w:t xml:space="preserve"> (1972), with modifications outlined in the </w:t>
      </w:r>
      <w:proofErr w:type="spellStart"/>
      <w:r>
        <w:t>Randox</w:t>
      </w:r>
      <w:proofErr w:type="spellEnd"/>
      <w:r>
        <w:t xml:space="preserve"> kit.</w:t>
      </w:r>
    </w:p>
    <w:p w:rsidR="0031279F" w:rsidRDefault="0031279F" w:rsidP="004B2B7E">
      <w:pPr>
        <w:tabs>
          <w:tab w:val="left" w:pos="6870"/>
        </w:tabs>
        <w:spacing w:line="276" w:lineRule="auto"/>
        <w:jc w:val="both"/>
      </w:pPr>
    </w:p>
    <w:p w:rsidR="00860187" w:rsidRDefault="0031279F" w:rsidP="004B2B7E">
      <w:pPr>
        <w:tabs>
          <w:tab w:val="left" w:pos="6870"/>
        </w:tabs>
        <w:spacing w:line="276" w:lineRule="auto"/>
        <w:jc w:val="both"/>
      </w:pPr>
      <w:r>
        <w:br/>
      </w:r>
      <w:r w:rsidR="00860187">
        <w:tab/>
      </w:r>
    </w:p>
    <w:p w:rsidR="00860187" w:rsidRPr="004B2B7E" w:rsidRDefault="00860187" w:rsidP="004B2B7E">
      <w:pPr>
        <w:tabs>
          <w:tab w:val="left" w:pos="6870"/>
        </w:tabs>
        <w:spacing w:line="276" w:lineRule="auto"/>
        <w:jc w:val="both"/>
        <w:rPr>
          <w:rFonts w:ascii="Times New Roman" w:hAnsi="Times New Roman" w:cs="Times New Roman"/>
          <w:i/>
          <w:sz w:val="24"/>
          <w:szCs w:val="24"/>
        </w:rPr>
      </w:pPr>
      <w:r w:rsidRPr="004B2B7E">
        <w:rPr>
          <w:rFonts w:ascii="Times New Roman" w:hAnsi="Times New Roman" w:cs="Times New Roman"/>
          <w:i/>
          <w:sz w:val="24"/>
          <w:szCs w:val="24"/>
        </w:rPr>
        <w:t>G. Hematological Analysis</w:t>
      </w:r>
    </w:p>
    <w:p w:rsidR="00860187" w:rsidRDefault="00860187" w:rsidP="004B2B7E">
      <w:pPr>
        <w:pStyle w:val="NormalWeb"/>
        <w:spacing w:line="276" w:lineRule="auto"/>
        <w:jc w:val="both"/>
      </w:pPr>
      <w:r w:rsidRPr="00860187">
        <w:t xml:space="preserve">Whole blood samples were analyzed for hematological parameters including white blood cell count (WBC), red blood cell count (RBC), packed cell volume (PCV), hemoglobin (Hb), mean corpuscular volume (MCV), mean corpuscular hemoglobin (MCH), mean corpuscular hemoglobin concentration (MCHC), and differential white cell counts including neutrophils (N), lymphocytes (L), monocytes (M), eosinophils (E), and basophils (B). Analyses followed the standard procedures described by Williams </w:t>
      </w:r>
      <w:r w:rsidRPr="00860187">
        <w:rPr>
          <w:i/>
        </w:rPr>
        <w:t>et al</w:t>
      </w:r>
      <w:r w:rsidRPr="00860187">
        <w:t>. (1972).</w:t>
      </w:r>
    </w:p>
    <w:p w:rsidR="00860187" w:rsidRPr="004B2B7E" w:rsidRDefault="00860187" w:rsidP="004B2B7E">
      <w:pPr>
        <w:pStyle w:val="NormalWeb"/>
        <w:spacing w:line="276" w:lineRule="auto"/>
        <w:jc w:val="both"/>
        <w:rPr>
          <w:i/>
        </w:rPr>
      </w:pPr>
      <w:r w:rsidRPr="004B2B7E">
        <w:rPr>
          <w:i/>
        </w:rPr>
        <w:t>H. Statistical Analysis</w:t>
      </w:r>
    </w:p>
    <w:p w:rsidR="00860187" w:rsidRDefault="00860187" w:rsidP="004B2B7E">
      <w:pPr>
        <w:pStyle w:val="NormalWeb"/>
        <w:spacing w:line="276" w:lineRule="auto"/>
        <w:jc w:val="both"/>
      </w:pPr>
      <w:r w:rsidRPr="00860187">
        <w:lastRenderedPageBreak/>
        <w:t>Data were analyzed using one-way ANOVA in IBM SPSS version 23.0 to determine means and standard deviations (n=4). Differences were considered statistically significant at p &lt; 0.05, according to Duncan (1957). Antibiotic residues were confirmed based on their standard retention factors, and concentrations were quantified individually.</w:t>
      </w:r>
    </w:p>
    <w:p w:rsidR="00860187" w:rsidRDefault="00860187" w:rsidP="004B2B7E">
      <w:pPr>
        <w:pStyle w:val="NormalWeb"/>
        <w:spacing w:line="276" w:lineRule="auto"/>
        <w:jc w:val="both"/>
      </w:pPr>
    </w:p>
    <w:p w:rsidR="00860187" w:rsidRPr="004B2B7E" w:rsidRDefault="00860187" w:rsidP="004B2B7E">
      <w:pPr>
        <w:pStyle w:val="ListParagraph"/>
        <w:numPr>
          <w:ilvl w:val="0"/>
          <w:numId w:val="5"/>
        </w:numPr>
        <w:autoSpaceDE w:val="0"/>
        <w:autoSpaceDN w:val="0"/>
        <w:adjustRightInd w:val="0"/>
        <w:spacing w:after="0" w:line="276" w:lineRule="auto"/>
        <w:jc w:val="both"/>
        <w:rPr>
          <w:rFonts w:ascii="Times New Roman" w:hAnsi="Times New Roman" w:cs="Times New Roman"/>
          <w:b/>
          <w:sz w:val="24"/>
          <w:szCs w:val="24"/>
        </w:rPr>
      </w:pPr>
      <w:r w:rsidRPr="004B2B7E">
        <w:rPr>
          <w:rFonts w:ascii="Times New Roman" w:hAnsi="Times New Roman" w:cs="Times New Roman"/>
          <w:b/>
          <w:bCs/>
          <w:sz w:val="24"/>
          <w:szCs w:val="24"/>
        </w:rPr>
        <w:t>RESULTS</w:t>
      </w:r>
      <w:r w:rsidR="00C83358">
        <w:rPr>
          <w:rFonts w:ascii="Times New Roman" w:hAnsi="Times New Roman" w:cs="Times New Roman"/>
          <w:b/>
          <w:bCs/>
          <w:sz w:val="24"/>
          <w:szCs w:val="24"/>
        </w:rPr>
        <w:t xml:space="preserve"> and Discussion:</w:t>
      </w:r>
    </w:p>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lang w:val="en-GB"/>
        </w:rPr>
        <w:t xml:space="preserve">Table 1a: Antibiotics Residues in </w:t>
      </w:r>
      <w:r>
        <w:rPr>
          <w:rFonts w:ascii="Times New Roman" w:hAnsi="Times New Roman" w:cs="Times New Roman"/>
          <w:b/>
          <w:bCs/>
          <w:sz w:val="24"/>
          <w:szCs w:val="24"/>
        </w:rPr>
        <w:t>Broiler Chicken M</w:t>
      </w:r>
      <w:r w:rsidRPr="0074359C">
        <w:rPr>
          <w:rFonts w:ascii="Times New Roman" w:hAnsi="Times New Roman" w:cs="Times New Roman"/>
          <w:b/>
          <w:bCs/>
          <w:sz w:val="24"/>
          <w:szCs w:val="24"/>
        </w:rPr>
        <w:t>uscle.</w:t>
      </w:r>
    </w:p>
    <w:tbl>
      <w:tblPr>
        <w:tblW w:w="8341" w:type="dxa"/>
        <w:tblLook w:val="04A0" w:firstRow="1" w:lastRow="0" w:firstColumn="1" w:lastColumn="0" w:noHBand="0" w:noVBand="1"/>
      </w:tblPr>
      <w:tblGrid>
        <w:gridCol w:w="2128"/>
        <w:gridCol w:w="2071"/>
        <w:gridCol w:w="2071"/>
        <w:gridCol w:w="2071"/>
      </w:tblGrid>
      <w:tr w:rsidR="00860187" w:rsidRPr="0074359C" w:rsidTr="00860187">
        <w:tc>
          <w:tcPr>
            <w:tcW w:w="2128" w:type="dxa"/>
            <w:tcBorders>
              <w:top w:val="single" w:sz="4" w:space="0" w:color="auto"/>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2071" w:type="dxa"/>
            <w:tcBorders>
              <w:top w:val="single" w:sz="4" w:space="0" w:color="auto"/>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Retention factor</w:t>
            </w:r>
          </w:p>
        </w:tc>
        <w:tc>
          <w:tcPr>
            <w:tcW w:w="2071" w:type="dxa"/>
            <w:tcBorders>
              <w:top w:val="single" w:sz="4" w:space="0" w:color="auto"/>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Inference</w:t>
            </w:r>
          </w:p>
        </w:tc>
        <w:tc>
          <w:tcPr>
            <w:tcW w:w="2071" w:type="dxa"/>
            <w:tcBorders>
              <w:top w:val="single" w:sz="4" w:space="0" w:color="auto"/>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r>
      <w:tr w:rsidR="00860187" w:rsidRPr="0074359C" w:rsidTr="00860187">
        <w:tc>
          <w:tcPr>
            <w:tcW w:w="2128"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Group </w:t>
            </w:r>
            <w:proofErr w:type="gramStart"/>
            <w:r w:rsidRPr="0074359C">
              <w:rPr>
                <w:rFonts w:ascii="Times New Roman" w:eastAsia="Calibri" w:hAnsi="Times New Roman" w:cs="Times New Roman"/>
                <w:sz w:val="24"/>
                <w:szCs w:val="24"/>
                <w:lang w:val="en-GB"/>
              </w:rPr>
              <w:t>one(</w:t>
            </w:r>
            <w:proofErr w:type="gramEnd"/>
            <w:r w:rsidRPr="0074359C">
              <w:rPr>
                <w:rFonts w:ascii="Times New Roman" w:eastAsia="Calibri" w:hAnsi="Times New Roman" w:cs="Times New Roman"/>
                <w:sz w:val="24"/>
                <w:szCs w:val="24"/>
                <w:lang w:val="en-GB"/>
              </w:rPr>
              <w:t>Control)</w:t>
            </w:r>
          </w:p>
        </w:tc>
        <w:tc>
          <w:tcPr>
            <w:tcW w:w="2071" w:type="dxa"/>
            <w:tcBorders>
              <w:top w:val="single" w:sz="4" w:space="0" w:color="auto"/>
            </w:tcBorders>
          </w:tcPr>
          <w:p w:rsidR="00860187" w:rsidRPr="0074359C" w:rsidRDefault="00860187" w:rsidP="004B2B7E">
            <w:pPr>
              <w:tabs>
                <w:tab w:val="right" w:pos="1855"/>
              </w:tabs>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Pr="0074359C">
              <w:rPr>
                <w:rFonts w:ascii="Times New Roman" w:eastAsia="Calibri" w:hAnsi="Times New Roman" w:cs="Times New Roman"/>
                <w:sz w:val="24"/>
                <w:szCs w:val="24"/>
                <w:lang w:val="en-GB"/>
              </w:rPr>
              <w:tab/>
            </w:r>
          </w:p>
        </w:tc>
        <w:tc>
          <w:tcPr>
            <w:tcW w:w="2071" w:type="dxa"/>
            <w:tcBorders>
              <w:top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two</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0.71</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Fluoroquinolone</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three</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0.65</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four</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0.55</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five</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0.57</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six</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0.75</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r>
      <w:tr w:rsidR="00860187" w:rsidRPr="0074359C" w:rsidTr="00860187">
        <w:tc>
          <w:tcPr>
            <w:tcW w:w="212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seven</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0.56</w:t>
            </w:r>
          </w:p>
        </w:tc>
        <w:tc>
          <w:tcPr>
            <w:tcW w:w="2071"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r>
      <w:tr w:rsidR="00860187" w:rsidRPr="0074359C" w:rsidTr="00860187">
        <w:tc>
          <w:tcPr>
            <w:tcW w:w="2128" w:type="dxa"/>
            <w:tcBorders>
              <w:bottom w:val="single" w:sz="4" w:space="0" w:color="auto"/>
            </w:tcBorders>
            <w:shd w:val="clear" w:color="auto" w:fill="auto"/>
          </w:tcPr>
          <w:p w:rsidR="00860187" w:rsidRPr="0074359C" w:rsidRDefault="00860187" w:rsidP="004B2B7E">
            <w:pPr>
              <w:spacing w:line="276" w:lineRule="auto"/>
              <w:rPr>
                <w:rFonts w:ascii="Times New Roman" w:eastAsia="Calibri" w:hAnsi="Times New Roman" w:cs="Times New Roman"/>
                <w:sz w:val="24"/>
                <w:szCs w:val="24"/>
              </w:rPr>
            </w:pPr>
            <w:r w:rsidRPr="0074359C">
              <w:rPr>
                <w:rFonts w:ascii="Times New Roman" w:eastAsia="Calibri" w:hAnsi="Times New Roman" w:cs="Times New Roman"/>
                <w:sz w:val="24"/>
                <w:szCs w:val="24"/>
              </w:rPr>
              <w:t>Group eight</w:t>
            </w:r>
          </w:p>
        </w:tc>
        <w:tc>
          <w:tcPr>
            <w:tcW w:w="2071" w:type="dxa"/>
            <w:tcBorders>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0.69</w:t>
            </w:r>
          </w:p>
        </w:tc>
        <w:tc>
          <w:tcPr>
            <w:tcW w:w="2071" w:type="dxa"/>
            <w:tcBorders>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bottom w:val="single" w:sz="4" w:space="0" w:color="auto"/>
            </w:tcBorders>
            <w:shd w:val="clear" w:color="auto" w:fill="auto"/>
          </w:tcPr>
          <w:p w:rsidR="00860187" w:rsidRPr="0074359C" w:rsidRDefault="00860187" w:rsidP="004B2B7E">
            <w:pPr>
              <w:spacing w:line="276" w:lineRule="auto"/>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r>
    </w:tbl>
    <w:p w:rsidR="00860187" w:rsidRPr="00864C04" w:rsidRDefault="00860187" w:rsidP="004B2B7E">
      <w:pPr>
        <w:spacing w:line="276" w:lineRule="auto"/>
        <w:rPr>
          <w:rFonts w:ascii="Times New Roman" w:hAnsi="Times New Roman" w:cs="Times New Roman"/>
          <w:i/>
          <w:sz w:val="24"/>
          <w:szCs w:val="24"/>
        </w:rPr>
      </w:pPr>
      <w:r w:rsidRPr="0074359C">
        <w:rPr>
          <w:rFonts w:ascii="Times New Roman" w:hAnsi="Times New Roman" w:cs="Times New Roman"/>
          <w:i/>
          <w:sz w:val="24"/>
          <w:szCs w:val="24"/>
        </w:rPr>
        <w:t xml:space="preserve"> + =</w:t>
      </w:r>
      <w:r>
        <w:rPr>
          <w:rFonts w:ascii="Times New Roman" w:hAnsi="Times New Roman" w:cs="Times New Roman"/>
          <w:i/>
          <w:sz w:val="24"/>
          <w:szCs w:val="24"/>
        </w:rPr>
        <w:t xml:space="preserve"> </w:t>
      </w:r>
      <w:r w:rsidRPr="0074359C">
        <w:rPr>
          <w:rFonts w:ascii="Times New Roman" w:hAnsi="Times New Roman" w:cs="Times New Roman"/>
          <w:i/>
          <w:sz w:val="24"/>
          <w:szCs w:val="24"/>
        </w:rPr>
        <w:t>present, - =Absent</w:t>
      </w:r>
      <w:bookmarkStart w:id="0" w:name="_Hlk178012381"/>
    </w:p>
    <w:p w:rsidR="00860187" w:rsidRDefault="00860187" w:rsidP="004B2B7E">
      <w:pPr>
        <w:spacing w:line="276" w:lineRule="auto"/>
        <w:rPr>
          <w:rFonts w:ascii="Times New Roman" w:hAnsi="Times New Roman" w:cs="Times New Roman"/>
          <w:b/>
          <w:bCs/>
          <w:sz w:val="24"/>
          <w:szCs w:val="24"/>
          <w:lang w:val="en-GB"/>
        </w:rPr>
      </w:pPr>
    </w:p>
    <w:p w:rsidR="004B2B7E" w:rsidRDefault="004B2B7E" w:rsidP="004B2B7E">
      <w:pPr>
        <w:spacing w:line="276" w:lineRule="auto"/>
        <w:rPr>
          <w:rFonts w:ascii="Times New Roman" w:hAnsi="Times New Roman" w:cs="Times New Roman"/>
          <w:b/>
          <w:bCs/>
          <w:sz w:val="24"/>
          <w:szCs w:val="24"/>
          <w:lang w:val="en-GB"/>
        </w:rPr>
      </w:pPr>
    </w:p>
    <w:p w:rsidR="0031279F" w:rsidRDefault="0031279F" w:rsidP="004B2B7E">
      <w:pPr>
        <w:spacing w:line="276" w:lineRule="auto"/>
        <w:rPr>
          <w:rFonts w:ascii="Times New Roman" w:hAnsi="Times New Roman" w:cs="Times New Roman"/>
          <w:b/>
          <w:bCs/>
          <w:sz w:val="24"/>
          <w:szCs w:val="24"/>
          <w:lang w:val="en-GB"/>
        </w:rPr>
      </w:pPr>
    </w:p>
    <w:p w:rsidR="004B2B7E" w:rsidRDefault="004B2B7E" w:rsidP="004B2B7E">
      <w:pPr>
        <w:spacing w:line="276" w:lineRule="auto"/>
        <w:rPr>
          <w:rFonts w:ascii="Times New Roman" w:hAnsi="Times New Roman" w:cs="Times New Roman"/>
          <w:b/>
          <w:bCs/>
          <w:sz w:val="24"/>
          <w:szCs w:val="24"/>
          <w:lang w:val="en-GB"/>
        </w:rPr>
      </w:pPr>
    </w:p>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lang w:val="en-GB"/>
        </w:rPr>
        <w:t>Table 1b: Quantitative Antibiotic Resid</w:t>
      </w:r>
      <w:r>
        <w:rPr>
          <w:rFonts w:ascii="Times New Roman" w:hAnsi="Times New Roman" w:cs="Times New Roman"/>
          <w:b/>
          <w:bCs/>
          <w:sz w:val="24"/>
          <w:szCs w:val="24"/>
          <w:lang w:val="en-GB"/>
        </w:rPr>
        <w:t>ual Content in Broiler Chicken M</w:t>
      </w:r>
      <w:r w:rsidRPr="0074359C">
        <w:rPr>
          <w:rFonts w:ascii="Times New Roman" w:hAnsi="Times New Roman" w:cs="Times New Roman"/>
          <w:b/>
          <w:bCs/>
          <w:sz w:val="24"/>
          <w:szCs w:val="24"/>
          <w:lang w:val="en-GB"/>
        </w:rPr>
        <w:t>uscle.</w:t>
      </w:r>
    </w:p>
    <w:tbl>
      <w:tblPr>
        <w:tblW w:w="9075" w:type="dxa"/>
        <w:tblLook w:val="04A0" w:firstRow="1" w:lastRow="0" w:firstColumn="1" w:lastColumn="0" w:noHBand="0" w:noVBand="1"/>
      </w:tblPr>
      <w:tblGrid>
        <w:gridCol w:w="2097"/>
        <w:gridCol w:w="1820"/>
        <w:gridCol w:w="2050"/>
        <w:gridCol w:w="1650"/>
        <w:gridCol w:w="1458"/>
      </w:tblGrid>
      <w:tr w:rsidR="00860187" w:rsidRPr="0074359C" w:rsidTr="00860187">
        <w:tc>
          <w:tcPr>
            <w:tcW w:w="2097" w:type="dxa"/>
            <w:tcBorders>
              <w:top w:val="single" w:sz="4" w:space="0" w:color="auto"/>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1820" w:type="dxa"/>
            <w:tcBorders>
              <w:top w:val="single" w:sz="4" w:space="0" w:color="auto"/>
              <w:bottom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c>
          <w:tcPr>
            <w:tcW w:w="2050" w:type="dxa"/>
            <w:tcBorders>
              <w:top w:val="single" w:sz="4" w:space="0" w:color="auto"/>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Concentration (mg/</w:t>
            </w:r>
            <w:r>
              <w:rPr>
                <w:rFonts w:ascii="Times New Roman" w:eastAsia="Calibri" w:hAnsi="Times New Roman" w:cs="Times New Roman"/>
                <w:sz w:val="24"/>
                <w:szCs w:val="24"/>
                <w:lang w:val="en-GB"/>
              </w:rPr>
              <w:t>k</w:t>
            </w:r>
            <w:r w:rsidRPr="0074359C">
              <w:rPr>
                <w:rFonts w:ascii="Times New Roman" w:eastAsia="Calibri" w:hAnsi="Times New Roman" w:cs="Times New Roman"/>
                <w:sz w:val="24"/>
                <w:szCs w:val="24"/>
                <w:lang w:val="en-GB"/>
              </w:rPr>
              <w:t>g)</w:t>
            </w:r>
          </w:p>
        </w:tc>
        <w:tc>
          <w:tcPr>
            <w:tcW w:w="1650" w:type="dxa"/>
            <w:tcBorders>
              <w:top w:val="single" w:sz="4" w:space="0" w:color="auto"/>
              <w:bottom w:val="single" w:sz="4" w:space="0" w:color="auto"/>
            </w:tcBorders>
            <w:shd w:val="clear" w:color="auto" w:fill="auto"/>
          </w:tcPr>
          <w:p w:rsidR="00860187" w:rsidRPr="0074359C" w:rsidRDefault="00860187" w:rsidP="004B2B7E">
            <w:pPr>
              <w:tabs>
                <w:tab w:val="left" w:pos="2084"/>
              </w:tabs>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MRL(US) (mg/</w:t>
            </w:r>
            <w:r>
              <w:rPr>
                <w:rFonts w:ascii="Times New Roman" w:eastAsia="Calibri" w:hAnsi="Times New Roman" w:cs="Times New Roman"/>
                <w:sz w:val="24"/>
                <w:szCs w:val="24"/>
                <w:lang w:val="en-GB"/>
              </w:rPr>
              <w:t>k</w:t>
            </w:r>
            <w:r w:rsidRPr="0074359C">
              <w:rPr>
                <w:rFonts w:ascii="Times New Roman" w:eastAsia="Calibri" w:hAnsi="Times New Roman" w:cs="Times New Roman"/>
                <w:sz w:val="24"/>
                <w:szCs w:val="24"/>
                <w:lang w:val="en-GB"/>
              </w:rPr>
              <w:t>g)</w:t>
            </w:r>
          </w:p>
        </w:tc>
        <w:tc>
          <w:tcPr>
            <w:tcW w:w="1458" w:type="dxa"/>
            <w:tcBorders>
              <w:top w:val="single" w:sz="4" w:space="0" w:color="auto"/>
              <w:bottom w:val="single" w:sz="4" w:space="0" w:color="auto"/>
            </w:tcBorders>
            <w:shd w:val="clear" w:color="auto" w:fill="auto"/>
          </w:tcPr>
          <w:p w:rsidR="00860187" w:rsidRPr="0074359C" w:rsidRDefault="00860187" w:rsidP="004B2B7E">
            <w:pPr>
              <w:tabs>
                <w:tab w:val="left" w:pos="2084"/>
              </w:tabs>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MRL(EU) (mg/</w:t>
            </w:r>
            <w:r>
              <w:rPr>
                <w:rFonts w:ascii="Times New Roman" w:eastAsia="Calibri" w:hAnsi="Times New Roman" w:cs="Times New Roman"/>
                <w:sz w:val="24"/>
                <w:szCs w:val="24"/>
                <w:lang w:val="en-GB"/>
              </w:rPr>
              <w:t>k</w:t>
            </w:r>
            <w:r w:rsidRPr="0074359C">
              <w:rPr>
                <w:rFonts w:ascii="Times New Roman" w:eastAsia="Calibri" w:hAnsi="Times New Roman" w:cs="Times New Roman"/>
                <w:sz w:val="24"/>
                <w:szCs w:val="24"/>
                <w:lang w:val="en-GB"/>
              </w:rPr>
              <w:t>g)</w:t>
            </w:r>
          </w:p>
        </w:tc>
      </w:tr>
      <w:tr w:rsidR="00860187" w:rsidRPr="0074359C" w:rsidTr="00860187">
        <w:tc>
          <w:tcPr>
            <w:tcW w:w="2097"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Group </w:t>
            </w:r>
            <w:proofErr w:type="gramStart"/>
            <w:r w:rsidRPr="0074359C">
              <w:rPr>
                <w:rFonts w:ascii="Times New Roman" w:eastAsia="Calibri" w:hAnsi="Times New Roman" w:cs="Times New Roman"/>
                <w:sz w:val="24"/>
                <w:szCs w:val="24"/>
                <w:lang w:val="en-GB"/>
              </w:rPr>
              <w:t>I  (</w:t>
            </w:r>
            <w:proofErr w:type="gramEnd"/>
            <w:r w:rsidRPr="0074359C">
              <w:rPr>
                <w:rFonts w:ascii="Times New Roman" w:eastAsia="Calibri" w:hAnsi="Times New Roman" w:cs="Times New Roman"/>
                <w:sz w:val="24"/>
                <w:szCs w:val="24"/>
                <w:lang w:val="en-GB"/>
              </w:rPr>
              <w:t>Control)</w:t>
            </w:r>
          </w:p>
        </w:tc>
        <w:tc>
          <w:tcPr>
            <w:tcW w:w="1820" w:type="dxa"/>
            <w:tcBorders>
              <w:top w:val="single" w:sz="4" w:space="0" w:color="auto"/>
            </w:tcBorders>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p>
        </w:tc>
        <w:tc>
          <w:tcPr>
            <w:tcW w:w="2050"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p>
        </w:tc>
        <w:tc>
          <w:tcPr>
            <w:tcW w:w="1650"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c>
          <w:tcPr>
            <w:tcW w:w="1458" w:type="dxa"/>
            <w:tcBorders>
              <w:top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Fluoroquinolone</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0.015</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III</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0.188</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IV</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0.312</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lastRenderedPageBreak/>
              <w:t>Group V</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0.217</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0.197</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0.02</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860187" w:rsidRPr="0074359C" w:rsidTr="00860187">
        <w:tc>
          <w:tcPr>
            <w:tcW w:w="2097"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w:t>
            </w:r>
          </w:p>
        </w:tc>
        <w:tc>
          <w:tcPr>
            <w:tcW w:w="1820" w:type="dxa"/>
          </w:tcPr>
          <w:p w:rsidR="00860187" w:rsidRPr="0074359C" w:rsidRDefault="00860187" w:rsidP="004B2B7E">
            <w:pPr>
              <w:spacing w:line="276" w:lineRule="auto"/>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c>
          <w:tcPr>
            <w:tcW w:w="20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1.167</w:t>
            </w:r>
          </w:p>
        </w:tc>
        <w:tc>
          <w:tcPr>
            <w:tcW w:w="1650"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860187" w:rsidRPr="0074359C" w:rsidTr="00860187">
        <w:tc>
          <w:tcPr>
            <w:tcW w:w="2097" w:type="dxa"/>
            <w:tcBorders>
              <w:bottom w:val="single" w:sz="4" w:space="0" w:color="auto"/>
            </w:tcBorders>
            <w:shd w:val="clear" w:color="auto" w:fill="auto"/>
          </w:tcPr>
          <w:p w:rsidR="00860187" w:rsidRPr="0074359C" w:rsidRDefault="00860187" w:rsidP="004B2B7E">
            <w:pPr>
              <w:spacing w:line="276" w:lineRule="auto"/>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VIII</w:t>
            </w:r>
          </w:p>
        </w:tc>
        <w:tc>
          <w:tcPr>
            <w:tcW w:w="1820" w:type="dxa"/>
            <w:tcBorders>
              <w:bottom w:val="single" w:sz="4" w:space="0" w:color="auto"/>
            </w:tcBorders>
          </w:tcPr>
          <w:p w:rsidR="00860187" w:rsidRPr="0074359C" w:rsidRDefault="00860187" w:rsidP="004B2B7E">
            <w:pPr>
              <w:spacing w:line="276" w:lineRule="auto"/>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c>
          <w:tcPr>
            <w:tcW w:w="2050" w:type="dxa"/>
            <w:tcBorders>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4.880</w:t>
            </w:r>
          </w:p>
        </w:tc>
        <w:tc>
          <w:tcPr>
            <w:tcW w:w="1650" w:type="dxa"/>
            <w:tcBorders>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c>
          <w:tcPr>
            <w:tcW w:w="1458" w:type="dxa"/>
            <w:tcBorders>
              <w:bottom w:val="single" w:sz="4" w:space="0" w:color="auto"/>
            </w:tcBorders>
            <w:shd w:val="clear" w:color="auto" w:fill="auto"/>
          </w:tcPr>
          <w:p w:rsidR="00860187" w:rsidRPr="0074359C" w:rsidRDefault="00860187" w:rsidP="004B2B7E">
            <w:pPr>
              <w:spacing w:line="276" w:lineRule="auto"/>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r>
    </w:tbl>
    <w:bookmarkEnd w:id="0"/>
    <w:p w:rsidR="00860187" w:rsidRPr="0074359C" w:rsidRDefault="00860187" w:rsidP="004B2B7E">
      <w:pPr>
        <w:spacing w:line="276" w:lineRule="auto"/>
        <w:jc w:val="both"/>
        <w:rPr>
          <w:rFonts w:ascii="Times New Roman" w:hAnsi="Times New Roman" w:cs="Times New Roman"/>
          <w:bCs/>
          <w:i/>
          <w:sz w:val="24"/>
          <w:szCs w:val="24"/>
          <w:lang w:val="en-GB"/>
        </w:rPr>
      </w:pPr>
      <w:r>
        <w:rPr>
          <w:rFonts w:ascii="Times New Roman" w:hAnsi="Times New Roman" w:cs="Times New Roman"/>
          <w:bCs/>
          <w:i/>
          <w:sz w:val="24"/>
          <w:szCs w:val="24"/>
          <w:lang w:val="en-GB"/>
        </w:rPr>
        <w:t>MRL= Maximum Residual Limit; -= Absent</w:t>
      </w:r>
      <w:r w:rsidRPr="0074359C">
        <w:rPr>
          <w:rFonts w:ascii="Times New Roman" w:hAnsi="Times New Roman" w:cs="Times New Roman"/>
          <w:bCs/>
          <w:i/>
          <w:sz w:val="24"/>
          <w:szCs w:val="24"/>
          <w:lang w:val="en-GB"/>
        </w:rPr>
        <w:t>.</w:t>
      </w:r>
    </w:p>
    <w:p w:rsidR="00860187" w:rsidRPr="0074359C" w:rsidRDefault="00860187" w:rsidP="004B2B7E">
      <w:pPr>
        <w:spacing w:line="276" w:lineRule="auto"/>
        <w:jc w:val="both"/>
        <w:rPr>
          <w:rFonts w:ascii="Times New Roman" w:hAnsi="Times New Roman" w:cs="Times New Roman"/>
          <w:b/>
          <w:sz w:val="24"/>
          <w:szCs w:val="24"/>
          <w:lang w:val="en-GB"/>
        </w:rPr>
      </w:pPr>
    </w:p>
    <w:p w:rsidR="00860187" w:rsidRPr="0074359C" w:rsidRDefault="00860187" w:rsidP="004B2B7E">
      <w:pPr>
        <w:spacing w:line="276" w:lineRule="auto"/>
        <w:jc w:val="both"/>
        <w:rPr>
          <w:rFonts w:ascii="Times New Roman" w:hAnsi="Times New Roman" w:cs="Times New Roman"/>
          <w:b/>
          <w:sz w:val="24"/>
          <w:szCs w:val="24"/>
          <w:lang w:val="en-GB"/>
        </w:rPr>
      </w:pPr>
    </w:p>
    <w:p w:rsidR="00860187" w:rsidRPr="0074359C" w:rsidRDefault="00860187" w:rsidP="004B2B7E">
      <w:pPr>
        <w:spacing w:line="276" w:lineRule="auto"/>
        <w:rPr>
          <w:rFonts w:ascii="Times New Roman" w:hAnsi="Times New Roman" w:cs="Times New Roman"/>
          <w:b/>
          <w:bCs/>
          <w:sz w:val="24"/>
          <w:szCs w:val="24"/>
        </w:rPr>
      </w:pPr>
      <w:bookmarkStart w:id="1" w:name="_Hlk200630343"/>
      <w:r w:rsidRPr="0074359C">
        <w:rPr>
          <w:rFonts w:ascii="Times New Roman" w:hAnsi="Times New Roman" w:cs="Times New Roman"/>
          <w:b/>
          <w:bCs/>
          <w:sz w:val="24"/>
          <w:szCs w:val="24"/>
        </w:rPr>
        <w:t>Table 2a: Antibiotic Residues in Rat Muscle Sample</w:t>
      </w:r>
      <w:r>
        <w:rPr>
          <w:rFonts w:ascii="Times New Roman" w:hAnsi="Times New Roman" w:cs="Times New Roman"/>
          <w:b/>
          <w:bCs/>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60187" w:rsidRPr="0074359C" w:rsidTr="00860187">
        <w:tc>
          <w:tcPr>
            <w:tcW w:w="2337"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337" w:type="dxa"/>
            <w:tcBorders>
              <w:top w:val="single" w:sz="4" w:space="0" w:color="auto"/>
              <w:bottom w:val="single" w:sz="4" w:space="0" w:color="auto"/>
            </w:tcBorders>
          </w:tcPr>
          <w:p w:rsidR="00860187" w:rsidRPr="0074359C" w:rsidRDefault="00860187" w:rsidP="004B2B7E">
            <w:pPr>
              <w:spacing w:line="276" w:lineRule="auto"/>
              <w:jc w:val="center"/>
              <w:rPr>
                <w:rFonts w:ascii="Times New Roman" w:hAnsi="Times New Roman" w:cs="Times New Roman"/>
                <w:b/>
                <w:sz w:val="24"/>
                <w:szCs w:val="24"/>
              </w:rPr>
            </w:pPr>
            <w:r w:rsidRPr="0074359C">
              <w:rPr>
                <w:rFonts w:ascii="Times New Roman" w:hAnsi="Times New Roman" w:cs="Times New Roman"/>
                <w:b/>
                <w:sz w:val="24"/>
                <w:szCs w:val="24"/>
              </w:rPr>
              <w:t>Retention Factor (R</w:t>
            </w:r>
            <w:r w:rsidR="00166877">
              <w:rPr>
                <w:rFonts w:ascii="Times New Roman" w:hAnsi="Times New Roman" w:cs="Times New Roman"/>
                <w:b/>
                <w:sz w:val="24"/>
                <w:szCs w:val="24"/>
              </w:rPr>
              <w:t>f</w:t>
            </w:r>
            <w:r w:rsidRPr="0074359C">
              <w:rPr>
                <w:rFonts w:ascii="Times New Roman" w:hAnsi="Times New Roman" w:cs="Times New Roman"/>
                <w:b/>
                <w:sz w:val="24"/>
                <w:szCs w:val="24"/>
              </w:rPr>
              <w:t>)</w:t>
            </w:r>
          </w:p>
        </w:tc>
        <w:tc>
          <w:tcPr>
            <w:tcW w:w="2338" w:type="dxa"/>
            <w:tcBorders>
              <w:top w:val="single" w:sz="4" w:space="0" w:color="auto"/>
              <w:bottom w:val="single" w:sz="4" w:space="0" w:color="auto"/>
            </w:tcBorders>
          </w:tcPr>
          <w:p w:rsidR="00860187" w:rsidRPr="0074359C" w:rsidRDefault="00860187" w:rsidP="004B2B7E">
            <w:pPr>
              <w:spacing w:line="276" w:lineRule="auto"/>
              <w:jc w:val="center"/>
              <w:rPr>
                <w:rFonts w:ascii="Times New Roman" w:hAnsi="Times New Roman" w:cs="Times New Roman"/>
                <w:b/>
                <w:sz w:val="24"/>
                <w:szCs w:val="24"/>
              </w:rPr>
            </w:pPr>
            <w:r w:rsidRPr="0074359C">
              <w:rPr>
                <w:rFonts w:ascii="Times New Roman" w:hAnsi="Times New Roman" w:cs="Times New Roman"/>
                <w:b/>
                <w:sz w:val="24"/>
                <w:szCs w:val="24"/>
              </w:rPr>
              <w:t>Inference</w:t>
            </w:r>
          </w:p>
        </w:tc>
        <w:tc>
          <w:tcPr>
            <w:tcW w:w="2338" w:type="dxa"/>
            <w:tcBorders>
              <w:top w:val="single" w:sz="4" w:space="0" w:color="auto"/>
              <w:bottom w:val="single" w:sz="4" w:space="0" w:color="auto"/>
            </w:tcBorders>
          </w:tcPr>
          <w:p w:rsidR="00860187" w:rsidRPr="0074359C" w:rsidRDefault="00860187" w:rsidP="004B2B7E">
            <w:pPr>
              <w:spacing w:line="276" w:lineRule="auto"/>
              <w:jc w:val="center"/>
              <w:rPr>
                <w:rFonts w:ascii="Times New Roman" w:hAnsi="Times New Roman" w:cs="Times New Roman"/>
                <w:b/>
                <w:sz w:val="24"/>
                <w:szCs w:val="24"/>
              </w:rPr>
            </w:pPr>
            <w:r w:rsidRPr="0074359C">
              <w:rPr>
                <w:rFonts w:ascii="Times New Roman" w:hAnsi="Times New Roman" w:cs="Times New Roman"/>
                <w:b/>
                <w:sz w:val="24"/>
                <w:szCs w:val="24"/>
              </w:rPr>
              <w:t>Antibiotic type</w:t>
            </w:r>
          </w:p>
        </w:tc>
      </w:tr>
      <w:tr w:rsidR="00860187" w:rsidRPr="0074359C" w:rsidTr="00860187">
        <w:tc>
          <w:tcPr>
            <w:tcW w:w="2337"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proofErr w:type="gramStart"/>
            <w:r w:rsidRPr="0074359C">
              <w:rPr>
                <w:rFonts w:ascii="Times New Roman" w:hAnsi="Times New Roman" w:cs="Times New Roman"/>
                <w:sz w:val="24"/>
                <w:szCs w:val="24"/>
              </w:rPr>
              <w:t>Group  I</w:t>
            </w:r>
            <w:proofErr w:type="gramEnd"/>
            <w:r w:rsidRPr="0074359C">
              <w:rPr>
                <w:rFonts w:ascii="Times New Roman" w:hAnsi="Times New Roman" w:cs="Times New Roman"/>
                <w:sz w:val="24"/>
                <w:szCs w:val="24"/>
              </w:rPr>
              <w:t xml:space="preserve"> (Control)</w:t>
            </w:r>
          </w:p>
        </w:tc>
        <w:tc>
          <w:tcPr>
            <w:tcW w:w="2337" w:type="dxa"/>
            <w:tcBorders>
              <w:top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38" w:type="dxa"/>
            <w:tcBorders>
              <w:top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top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proofErr w:type="gramStart"/>
            <w:r w:rsidRPr="0074359C">
              <w:rPr>
                <w:rFonts w:ascii="Times New Roman" w:hAnsi="Times New Roman" w:cs="Times New Roman"/>
                <w:sz w:val="24"/>
                <w:szCs w:val="24"/>
              </w:rPr>
              <w:t>Group  II</w:t>
            </w:r>
            <w:proofErr w:type="gramEnd"/>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Fluoroquinolone</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III</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Sulfonamide</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IV</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Gentamicin</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0.57</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Oxytetracycline</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0.71</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Neomycin</w:t>
            </w:r>
          </w:p>
        </w:tc>
      </w:tr>
      <w:tr w:rsidR="00860187" w:rsidRPr="0074359C" w:rsidTr="00860187">
        <w:tc>
          <w:tcPr>
            <w:tcW w:w="233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VII</w:t>
            </w:r>
          </w:p>
        </w:tc>
        <w:tc>
          <w:tcPr>
            <w:tcW w:w="2337"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rsidR="00860187" w:rsidRPr="0074359C" w:rsidRDefault="00860187" w:rsidP="004B2B7E">
            <w:pPr>
              <w:spacing w:line="276" w:lineRule="auto"/>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r>
      <w:tr w:rsidR="00860187" w:rsidRPr="0074359C" w:rsidTr="00860187">
        <w:tc>
          <w:tcPr>
            <w:tcW w:w="2337"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VIII</w:t>
            </w:r>
          </w:p>
        </w:tc>
        <w:tc>
          <w:tcPr>
            <w:tcW w:w="2337" w:type="dxa"/>
            <w:tcBorders>
              <w:bottom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0.68</w:t>
            </w:r>
          </w:p>
        </w:tc>
        <w:tc>
          <w:tcPr>
            <w:tcW w:w="2338" w:type="dxa"/>
            <w:tcBorders>
              <w:bottom w:val="single" w:sz="4" w:space="0" w:color="auto"/>
            </w:tcBorders>
          </w:tcPr>
          <w:p w:rsidR="00860187" w:rsidRPr="0074359C" w:rsidRDefault="00860187" w:rsidP="004B2B7E">
            <w:pPr>
              <w:spacing w:line="276" w:lineRule="auto"/>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Penicil</w:t>
            </w:r>
            <w:r>
              <w:rPr>
                <w:rFonts w:ascii="Times New Roman" w:hAnsi="Times New Roman" w:cs="Times New Roman"/>
                <w:sz w:val="24"/>
                <w:szCs w:val="24"/>
              </w:rPr>
              <w:t>l</w:t>
            </w:r>
            <w:r w:rsidRPr="0074359C">
              <w:rPr>
                <w:rFonts w:ascii="Times New Roman" w:hAnsi="Times New Roman" w:cs="Times New Roman"/>
                <w:sz w:val="24"/>
                <w:szCs w:val="24"/>
              </w:rPr>
              <w:t>in</w:t>
            </w:r>
          </w:p>
        </w:tc>
      </w:tr>
    </w:tbl>
    <w:p w:rsidR="00860187" w:rsidRPr="0074359C" w:rsidRDefault="00860187" w:rsidP="004B2B7E">
      <w:pPr>
        <w:spacing w:line="276" w:lineRule="auto"/>
        <w:rPr>
          <w:rFonts w:ascii="Times New Roman" w:hAnsi="Times New Roman" w:cs="Times New Roman"/>
          <w:bCs/>
          <w:i/>
          <w:sz w:val="24"/>
          <w:szCs w:val="24"/>
        </w:rPr>
      </w:pPr>
      <w:r w:rsidRPr="0074359C">
        <w:rPr>
          <w:rFonts w:ascii="Times New Roman" w:hAnsi="Times New Roman" w:cs="Times New Roman"/>
          <w:bCs/>
          <w:i/>
          <w:sz w:val="24"/>
          <w:szCs w:val="24"/>
        </w:rPr>
        <w:t>+ = Present, - = Absent</w:t>
      </w:r>
    </w:p>
    <w:bookmarkEnd w:id="1"/>
    <w:p w:rsidR="00860187" w:rsidRDefault="00860187" w:rsidP="004B2B7E">
      <w:pPr>
        <w:spacing w:line="276" w:lineRule="auto"/>
        <w:rPr>
          <w:rFonts w:ascii="Times New Roman" w:hAnsi="Times New Roman" w:cs="Times New Roman"/>
          <w:b/>
          <w:sz w:val="24"/>
          <w:szCs w:val="24"/>
        </w:rPr>
      </w:pPr>
    </w:p>
    <w:p w:rsidR="00860187" w:rsidRDefault="00860187" w:rsidP="004B2B7E">
      <w:pPr>
        <w:spacing w:line="276" w:lineRule="auto"/>
        <w:rPr>
          <w:rFonts w:ascii="Times New Roman" w:hAnsi="Times New Roman" w:cs="Times New Roman"/>
          <w:b/>
          <w:sz w:val="24"/>
          <w:szCs w:val="24"/>
        </w:rPr>
      </w:pPr>
    </w:p>
    <w:p w:rsidR="004B2B7E" w:rsidRDefault="004B2B7E" w:rsidP="004B2B7E">
      <w:pPr>
        <w:spacing w:line="276" w:lineRule="auto"/>
        <w:rPr>
          <w:rFonts w:ascii="Times New Roman" w:hAnsi="Times New Roman" w:cs="Times New Roman"/>
          <w:b/>
          <w:sz w:val="24"/>
          <w:szCs w:val="24"/>
        </w:rPr>
      </w:pPr>
    </w:p>
    <w:p w:rsidR="004B2B7E" w:rsidRDefault="004B2B7E" w:rsidP="004B2B7E">
      <w:pPr>
        <w:spacing w:line="276" w:lineRule="auto"/>
        <w:rPr>
          <w:rFonts w:ascii="Times New Roman" w:hAnsi="Times New Roman" w:cs="Times New Roman"/>
          <w:b/>
          <w:sz w:val="24"/>
          <w:szCs w:val="24"/>
        </w:rPr>
      </w:pPr>
    </w:p>
    <w:p w:rsidR="00860187" w:rsidRPr="0074359C" w:rsidRDefault="00860187" w:rsidP="004B2B7E">
      <w:pPr>
        <w:spacing w:line="276" w:lineRule="auto"/>
        <w:rPr>
          <w:rFonts w:ascii="Times New Roman" w:hAnsi="Times New Roman" w:cs="Times New Roman"/>
          <w:b/>
          <w:sz w:val="24"/>
          <w:szCs w:val="24"/>
        </w:rPr>
      </w:pPr>
    </w:p>
    <w:p w:rsidR="00860187" w:rsidRPr="0074359C" w:rsidRDefault="00860187" w:rsidP="004B2B7E">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       Table 2</w:t>
      </w:r>
      <w:r w:rsidRPr="0074359C">
        <w:rPr>
          <w:rFonts w:ascii="Times New Roman" w:hAnsi="Times New Roman" w:cs="Times New Roman"/>
          <w:b/>
          <w:sz w:val="24"/>
          <w:szCs w:val="24"/>
        </w:rPr>
        <w:t>b: Quantitative Antibiotic Residue Content in Rat Muscle sample</w:t>
      </w:r>
      <w:r w:rsidRPr="0074359C">
        <w:rPr>
          <w:rFonts w:ascii="Times New Roman" w:hAnsi="Times New Roman" w:cs="Times New Roman"/>
          <w:sz w:val="24"/>
          <w:szCs w:val="24"/>
        </w:rPr>
        <w:tab/>
      </w:r>
    </w:p>
    <w:tbl>
      <w:tblPr>
        <w:tblStyle w:val="TableGrid"/>
        <w:tblpPr w:leftFromText="180" w:rightFromText="180" w:vertAnchor="text" w:horzAnchor="page" w:tblpX="1967" w:tblpY="1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2402"/>
        <w:gridCol w:w="1897"/>
        <w:gridCol w:w="1459"/>
        <w:gridCol w:w="1320"/>
      </w:tblGrid>
      <w:tr w:rsidR="00860187" w:rsidRPr="0074359C" w:rsidTr="00860187">
        <w:trPr>
          <w:trHeight w:val="817"/>
        </w:trPr>
        <w:tc>
          <w:tcPr>
            <w:tcW w:w="1938"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402"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Antibiotic type</w:t>
            </w:r>
          </w:p>
          <w:p w:rsidR="00860187" w:rsidRPr="0074359C" w:rsidRDefault="00860187" w:rsidP="004B2B7E">
            <w:pPr>
              <w:spacing w:line="276" w:lineRule="auto"/>
              <w:rPr>
                <w:rFonts w:ascii="Times New Roman" w:hAnsi="Times New Roman" w:cs="Times New Roman"/>
                <w:sz w:val="24"/>
                <w:szCs w:val="24"/>
              </w:rPr>
            </w:pPr>
          </w:p>
        </w:tc>
        <w:tc>
          <w:tcPr>
            <w:tcW w:w="1897"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 xml:space="preserve">Concentration                                </w:t>
            </w:r>
          </w:p>
          <w:p w:rsidR="00860187" w:rsidRPr="0074359C" w:rsidRDefault="00860187" w:rsidP="004B2B7E">
            <w:pPr>
              <w:spacing w:line="276" w:lineRule="auto"/>
              <w:rPr>
                <w:rFonts w:ascii="Times New Roman" w:hAnsi="Times New Roman" w:cs="Times New Roman"/>
                <w:b/>
                <w:sz w:val="24"/>
                <w:szCs w:val="24"/>
              </w:rPr>
            </w:pPr>
            <w:r w:rsidRPr="0074359C">
              <w:rPr>
                <w:rFonts w:ascii="Times New Roman" w:hAnsi="Times New Roman" w:cs="Times New Roman"/>
                <w:b/>
                <w:sz w:val="24"/>
                <w:szCs w:val="24"/>
              </w:rPr>
              <w:t>(mg/</w:t>
            </w:r>
            <w:r>
              <w:rPr>
                <w:rFonts w:ascii="Times New Roman" w:hAnsi="Times New Roman" w:cs="Times New Roman"/>
                <w:b/>
                <w:sz w:val="24"/>
                <w:szCs w:val="24"/>
              </w:rPr>
              <w:t>k</w:t>
            </w:r>
            <w:r w:rsidRPr="0074359C">
              <w:rPr>
                <w:rFonts w:ascii="Times New Roman" w:hAnsi="Times New Roman" w:cs="Times New Roman"/>
                <w:b/>
                <w:sz w:val="24"/>
                <w:szCs w:val="24"/>
              </w:rPr>
              <w:t>g) in rat</w:t>
            </w:r>
          </w:p>
        </w:tc>
        <w:tc>
          <w:tcPr>
            <w:tcW w:w="1459" w:type="dxa"/>
            <w:tcBorders>
              <w:top w:val="single" w:sz="4" w:space="0" w:color="auto"/>
              <w:bottom w:val="single" w:sz="4" w:space="0" w:color="auto"/>
            </w:tcBorders>
            <w:vAlign w:val="bottom"/>
          </w:tcPr>
          <w:p w:rsidR="00860187" w:rsidRPr="0074359C" w:rsidRDefault="00860187" w:rsidP="004B2B7E">
            <w:pPr>
              <w:spacing w:line="276" w:lineRule="auto"/>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(US)</w:t>
            </w:r>
          </w:p>
          <w:p w:rsidR="00860187" w:rsidRPr="0074359C" w:rsidRDefault="00860187" w:rsidP="004B2B7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359C">
              <w:rPr>
                <w:rFonts w:ascii="Times New Roman" w:eastAsia="Times New Roman" w:hAnsi="Times New Roman" w:cs="Times New Roman"/>
                <w:sz w:val="24"/>
                <w:szCs w:val="24"/>
              </w:rPr>
              <w:t>In Chicken</w:t>
            </w:r>
            <w:r>
              <w:rPr>
                <w:rFonts w:ascii="Times New Roman" w:eastAsia="Times New Roman" w:hAnsi="Times New Roman" w:cs="Times New Roman"/>
                <w:sz w:val="24"/>
                <w:szCs w:val="24"/>
              </w:rPr>
              <w:t>)</w:t>
            </w:r>
            <w:r w:rsidRPr="0074359C">
              <w:rPr>
                <w:rFonts w:ascii="Times New Roman" w:eastAsia="Times New Roman" w:hAnsi="Times New Roman" w:cs="Times New Roman"/>
                <w:sz w:val="24"/>
                <w:szCs w:val="24"/>
              </w:rPr>
              <w:t xml:space="preserve"> </w:t>
            </w:r>
          </w:p>
          <w:p w:rsidR="00860187" w:rsidRPr="0074359C" w:rsidRDefault="00860187" w:rsidP="004B2B7E">
            <w:pPr>
              <w:spacing w:line="276" w:lineRule="auto"/>
              <w:rPr>
                <w:rFonts w:ascii="Times New Roman" w:hAnsi="Times New Roman" w:cs="Times New Roman"/>
                <w:b/>
                <w:sz w:val="24"/>
                <w:szCs w:val="24"/>
              </w:rPr>
            </w:pPr>
          </w:p>
        </w:tc>
        <w:tc>
          <w:tcPr>
            <w:tcW w:w="1320" w:type="dxa"/>
            <w:tcBorders>
              <w:top w:val="single" w:sz="4" w:space="0" w:color="auto"/>
              <w:bottom w:val="single" w:sz="4" w:space="0" w:color="auto"/>
            </w:tcBorders>
            <w:vAlign w:val="bottom"/>
          </w:tcPr>
          <w:p w:rsidR="00860187" w:rsidRPr="0074359C" w:rsidRDefault="00860187" w:rsidP="004B2B7E">
            <w:pPr>
              <w:spacing w:line="276" w:lineRule="auto"/>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(EU)</w:t>
            </w:r>
          </w:p>
          <w:p w:rsidR="00860187" w:rsidRPr="0074359C" w:rsidRDefault="00860187" w:rsidP="004B2B7E">
            <w:pPr>
              <w:spacing w:line="276" w:lineRule="auto"/>
              <w:rPr>
                <w:rFonts w:ascii="Times New Roman" w:eastAsia="Times New Roman" w:hAnsi="Times New Roman" w:cs="Times New Roman"/>
                <w:sz w:val="24"/>
                <w:szCs w:val="24"/>
              </w:rPr>
            </w:pPr>
          </w:p>
          <w:p w:rsidR="00860187" w:rsidRPr="0074359C" w:rsidRDefault="00860187" w:rsidP="004B2B7E">
            <w:pPr>
              <w:spacing w:line="276" w:lineRule="auto"/>
              <w:rPr>
                <w:rFonts w:ascii="Times New Roman" w:hAnsi="Times New Roman" w:cs="Times New Roman"/>
                <w:b/>
                <w:sz w:val="24"/>
                <w:szCs w:val="24"/>
              </w:rPr>
            </w:pPr>
          </w:p>
        </w:tc>
      </w:tr>
      <w:tr w:rsidR="00860187" w:rsidRPr="0074359C" w:rsidTr="00860187">
        <w:trPr>
          <w:trHeight w:val="707"/>
        </w:trPr>
        <w:tc>
          <w:tcPr>
            <w:tcW w:w="1938"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proofErr w:type="gramStart"/>
            <w:r w:rsidRPr="0074359C">
              <w:rPr>
                <w:rFonts w:ascii="Times New Roman" w:hAnsi="Times New Roman" w:cs="Times New Roman"/>
                <w:sz w:val="24"/>
                <w:szCs w:val="24"/>
              </w:rPr>
              <w:t>Group  I</w:t>
            </w:r>
            <w:proofErr w:type="gramEnd"/>
            <w:r w:rsidRPr="0074359C">
              <w:rPr>
                <w:rFonts w:ascii="Times New Roman" w:hAnsi="Times New Roman" w:cs="Times New Roman"/>
                <w:sz w:val="24"/>
                <w:szCs w:val="24"/>
              </w:rPr>
              <w:t xml:space="preserve"> (Control)</w:t>
            </w:r>
          </w:p>
        </w:tc>
        <w:tc>
          <w:tcPr>
            <w:tcW w:w="2402"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897"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459"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p>
        </w:tc>
        <w:tc>
          <w:tcPr>
            <w:tcW w:w="1320" w:type="dxa"/>
            <w:tcBorders>
              <w:top w:val="single" w:sz="4" w:space="0" w:color="auto"/>
            </w:tcBorders>
          </w:tcPr>
          <w:p w:rsidR="00860187" w:rsidRPr="0074359C" w:rsidRDefault="00860187" w:rsidP="004B2B7E">
            <w:pPr>
              <w:spacing w:line="276" w:lineRule="auto"/>
              <w:rPr>
                <w:rFonts w:ascii="Times New Roman" w:hAnsi="Times New Roman" w:cs="Times New Roman"/>
                <w:sz w:val="24"/>
                <w:szCs w:val="24"/>
              </w:rPr>
            </w:pPr>
          </w:p>
        </w:tc>
      </w:tr>
      <w:tr w:rsidR="00860187" w:rsidRPr="0074359C" w:rsidTr="00860187">
        <w:trPr>
          <w:trHeight w:val="414"/>
        </w:trPr>
        <w:tc>
          <w:tcPr>
            <w:tcW w:w="1938" w:type="dxa"/>
          </w:tcPr>
          <w:p w:rsidR="00860187" w:rsidRPr="0074359C" w:rsidRDefault="00860187" w:rsidP="004B2B7E">
            <w:pPr>
              <w:spacing w:line="276" w:lineRule="auto"/>
              <w:rPr>
                <w:rFonts w:ascii="Times New Roman" w:hAnsi="Times New Roman" w:cs="Times New Roman"/>
                <w:sz w:val="24"/>
                <w:szCs w:val="24"/>
              </w:rPr>
            </w:pPr>
            <w:proofErr w:type="gramStart"/>
            <w:r w:rsidRPr="0074359C">
              <w:rPr>
                <w:rFonts w:ascii="Times New Roman" w:hAnsi="Times New Roman" w:cs="Times New Roman"/>
                <w:sz w:val="24"/>
                <w:szCs w:val="24"/>
              </w:rPr>
              <w:t>Group  II</w:t>
            </w:r>
            <w:proofErr w:type="gramEnd"/>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Fluoroquinolone</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0.031</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0.3</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0.3</w:t>
            </w:r>
          </w:p>
        </w:tc>
      </w:tr>
      <w:tr w:rsidR="00860187" w:rsidRPr="0074359C" w:rsidTr="00860187">
        <w:trPr>
          <w:trHeight w:val="414"/>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lastRenderedPageBreak/>
              <w:t>Group III</w:t>
            </w:r>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Sulfonamide</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0.025</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r>
      <w:tr w:rsidR="00860187" w:rsidRPr="0074359C" w:rsidTr="00860187">
        <w:trPr>
          <w:trHeight w:val="401"/>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IV</w:t>
            </w:r>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Gentamicin</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0.031</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r>
      <w:tr w:rsidR="00860187" w:rsidRPr="0074359C" w:rsidTr="00860187">
        <w:trPr>
          <w:trHeight w:val="414"/>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w:t>
            </w:r>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Oxytetracycline</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0.021</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r>
      <w:tr w:rsidR="00860187" w:rsidRPr="0074359C" w:rsidTr="00860187">
        <w:trPr>
          <w:trHeight w:val="401"/>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w:t>
            </w:r>
          </w:p>
        </w:tc>
        <w:tc>
          <w:tcPr>
            <w:tcW w:w="2402"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Neomycin</w:t>
            </w:r>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0.131</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r>
      <w:tr w:rsidR="00860187" w:rsidRPr="0074359C" w:rsidTr="00860187">
        <w:trPr>
          <w:trHeight w:val="414"/>
        </w:trPr>
        <w:tc>
          <w:tcPr>
            <w:tcW w:w="1938"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VII</w:t>
            </w:r>
          </w:p>
        </w:tc>
        <w:tc>
          <w:tcPr>
            <w:tcW w:w="2402" w:type="dxa"/>
          </w:tcPr>
          <w:p w:rsidR="00860187" w:rsidRPr="0074359C" w:rsidRDefault="00860187" w:rsidP="004B2B7E">
            <w:pPr>
              <w:spacing w:line="276" w:lineRule="auto"/>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c>
          <w:tcPr>
            <w:tcW w:w="1897"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0.138</w:t>
            </w:r>
          </w:p>
        </w:tc>
        <w:tc>
          <w:tcPr>
            <w:tcW w:w="1459"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r>
      <w:tr w:rsidR="00860187" w:rsidRPr="0074359C" w:rsidTr="00860187">
        <w:trPr>
          <w:trHeight w:val="414"/>
        </w:trPr>
        <w:tc>
          <w:tcPr>
            <w:tcW w:w="1938"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Group VIII</w:t>
            </w:r>
          </w:p>
        </w:tc>
        <w:tc>
          <w:tcPr>
            <w:tcW w:w="2402"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proofErr w:type="spellStart"/>
            <w:r w:rsidRPr="0074359C">
              <w:rPr>
                <w:rFonts w:ascii="Times New Roman" w:hAnsi="Times New Roman" w:cs="Times New Roman"/>
                <w:sz w:val="24"/>
                <w:szCs w:val="24"/>
              </w:rPr>
              <w:t>Penicilin</w:t>
            </w:r>
            <w:proofErr w:type="spellEnd"/>
          </w:p>
        </w:tc>
        <w:tc>
          <w:tcPr>
            <w:tcW w:w="1897"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0.153</w:t>
            </w:r>
          </w:p>
        </w:tc>
        <w:tc>
          <w:tcPr>
            <w:tcW w:w="1459"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Borders>
              <w:bottom w:val="single" w:sz="4" w:space="0" w:color="auto"/>
            </w:tcBorders>
          </w:tcPr>
          <w:p w:rsidR="00860187" w:rsidRPr="0074359C" w:rsidRDefault="00860187" w:rsidP="004B2B7E">
            <w:pPr>
              <w:spacing w:line="276" w:lineRule="auto"/>
              <w:rPr>
                <w:rFonts w:ascii="Times New Roman" w:hAnsi="Times New Roman" w:cs="Times New Roman"/>
                <w:sz w:val="24"/>
                <w:szCs w:val="24"/>
              </w:rPr>
            </w:pPr>
            <w:r w:rsidRPr="0074359C">
              <w:rPr>
                <w:rFonts w:ascii="Times New Roman" w:hAnsi="Times New Roman" w:cs="Times New Roman"/>
                <w:sz w:val="24"/>
                <w:szCs w:val="24"/>
              </w:rPr>
              <w:t>0.05</w:t>
            </w:r>
          </w:p>
        </w:tc>
      </w:tr>
    </w:tbl>
    <w:p w:rsidR="00860187" w:rsidRPr="0074359C" w:rsidRDefault="00860187" w:rsidP="004B2B7E">
      <w:pPr>
        <w:spacing w:line="276" w:lineRule="auto"/>
        <w:rPr>
          <w:rFonts w:ascii="Times New Roman" w:hAnsi="Times New Roman" w:cs="Times New Roman"/>
          <w:bCs/>
          <w:i/>
          <w:sz w:val="24"/>
          <w:szCs w:val="24"/>
          <w:lang w:val="en-GB"/>
        </w:rPr>
      </w:pPr>
      <w:r w:rsidRPr="0074359C">
        <w:rPr>
          <w:rFonts w:ascii="Times New Roman" w:hAnsi="Times New Roman" w:cs="Times New Roman"/>
          <w:i/>
          <w:sz w:val="24"/>
          <w:szCs w:val="24"/>
        </w:rPr>
        <w:t xml:space="preserve">        </w:t>
      </w:r>
      <w:r w:rsidR="0031279F">
        <w:rPr>
          <w:rFonts w:ascii="Times New Roman" w:hAnsi="Times New Roman" w:cs="Times New Roman"/>
          <w:bCs/>
          <w:i/>
          <w:sz w:val="24"/>
          <w:szCs w:val="24"/>
          <w:lang w:val="en-GB"/>
        </w:rPr>
        <w:t xml:space="preserve">-=Absent, </w:t>
      </w:r>
      <w:r>
        <w:rPr>
          <w:rFonts w:ascii="Times New Roman" w:hAnsi="Times New Roman" w:cs="Times New Roman"/>
          <w:bCs/>
          <w:i/>
          <w:sz w:val="24"/>
          <w:szCs w:val="24"/>
          <w:lang w:val="en-GB"/>
        </w:rPr>
        <w:t>MRL= Maximum Residue limit</w:t>
      </w: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4B2B7E" w:rsidRDefault="004B2B7E" w:rsidP="004B2B7E">
      <w:pPr>
        <w:spacing w:line="276" w:lineRule="auto"/>
        <w:jc w:val="both"/>
        <w:rPr>
          <w:rFonts w:ascii="Times New Roman" w:hAnsi="Times New Roman" w:cs="Times New Roman"/>
          <w:b/>
          <w:bCs/>
          <w:sz w:val="24"/>
          <w:szCs w:val="24"/>
        </w:rPr>
      </w:pPr>
    </w:p>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Table 3: Effects of Antibiotics residues on Li</w:t>
      </w:r>
      <w:r>
        <w:rPr>
          <w:rFonts w:ascii="Times New Roman" w:hAnsi="Times New Roman" w:cs="Times New Roman"/>
          <w:b/>
          <w:bCs/>
          <w:sz w:val="24"/>
          <w:szCs w:val="24"/>
        </w:rPr>
        <w:t>ver Function Parameters of Wista</w:t>
      </w:r>
      <w:r w:rsidRPr="0074359C">
        <w:rPr>
          <w:rFonts w:ascii="Times New Roman" w:hAnsi="Times New Roman" w:cs="Times New Roman"/>
          <w:b/>
          <w:bCs/>
          <w:sz w:val="24"/>
          <w:szCs w:val="24"/>
        </w:rPr>
        <w:t>r rats</w:t>
      </w:r>
    </w:p>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0"/>
        <w:gridCol w:w="1404"/>
        <w:gridCol w:w="1837"/>
        <w:gridCol w:w="1525"/>
        <w:gridCol w:w="1729"/>
        <w:gridCol w:w="1729"/>
      </w:tblGrid>
      <w:tr w:rsidR="00860187" w:rsidRPr="0074359C" w:rsidTr="00860187">
        <w:trPr>
          <w:trHeight w:val="673"/>
        </w:trPr>
        <w:tc>
          <w:tcPr>
            <w:tcW w:w="1210"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404"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proofErr w:type="spellStart"/>
            <w:proofErr w:type="gramStart"/>
            <w:r w:rsidRPr="0074359C">
              <w:rPr>
                <w:rFonts w:ascii="Times New Roman" w:hAnsi="Times New Roman" w:cs="Times New Roman"/>
                <w:b/>
                <w:bCs/>
                <w:sz w:val="24"/>
                <w:szCs w:val="24"/>
              </w:rPr>
              <w:t>T.Bil</w:t>
            </w:r>
            <w:proofErr w:type="spellEnd"/>
            <w:proofErr w:type="gramEnd"/>
            <w:r w:rsidRPr="0074359C">
              <w:rPr>
                <w:rFonts w:ascii="Times New Roman" w:hAnsi="Times New Roman" w:cs="Times New Roman"/>
                <w:b/>
                <w:bCs/>
                <w:sz w:val="24"/>
                <w:szCs w:val="24"/>
              </w:rPr>
              <w:t xml:space="preserve"> (µmol/</w:t>
            </w:r>
            <w:r w:rsidR="00166877">
              <w:rPr>
                <w:rFonts w:ascii="Times New Roman" w:hAnsi="Times New Roman" w:cs="Times New Roman"/>
                <w:b/>
                <w:bCs/>
                <w:sz w:val="24"/>
                <w:szCs w:val="24"/>
              </w:rPr>
              <w:t>L</w:t>
            </w:r>
            <w:r w:rsidRPr="0074359C">
              <w:rPr>
                <w:rFonts w:ascii="Times New Roman" w:hAnsi="Times New Roman" w:cs="Times New Roman"/>
                <w:b/>
                <w:bCs/>
                <w:sz w:val="24"/>
                <w:szCs w:val="24"/>
              </w:rPr>
              <w:t>)</w:t>
            </w:r>
          </w:p>
        </w:tc>
        <w:tc>
          <w:tcPr>
            <w:tcW w:w="1837"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ALP</w:t>
            </w:r>
          </w:p>
          <w:p w:rsidR="00860187" w:rsidRPr="0074359C" w:rsidRDefault="00860187" w:rsidP="004B2B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w:t>
            </w:r>
            <w:r w:rsidRPr="0074359C">
              <w:rPr>
                <w:rFonts w:ascii="Times New Roman" w:hAnsi="Times New Roman" w:cs="Times New Roman"/>
                <w:b/>
                <w:bCs/>
                <w:sz w:val="24"/>
                <w:szCs w:val="24"/>
              </w:rPr>
              <w:t>/L)</w:t>
            </w:r>
          </w:p>
        </w:tc>
        <w:tc>
          <w:tcPr>
            <w:tcW w:w="1525"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ALT</w:t>
            </w:r>
          </w:p>
          <w:p w:rsidR="00860187" w:rsidRPr="0074359C" w:rsidRDefault="00860187" w:rsidP="004B2B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w:t>
            </w:r>
            <w:r w:rsidRPr="0074359C">
              <w:rPr>
                <w:rFonts w:ascii="Times New Roman" w:hAnsi="Times New Roman" w:cs="Times New Roman"/>
                <w:b/>
                <w:bCs/>
                <w:sz w:val="24"/>
                <w:szCs w:val="24"/>
              </w:rPr>
              <w:t>/L)</w:t>
            </w:r>
          </w:p>
        </w:tc>
        <w:tc>
          <w:tcPr>
            <w:tcW w:w="1729"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AST (U</w:t>
            </w:r>
            <w:r w:rsidRPr="0074359C">
              <w:rPr>
                <w:rFonts w:ascii="Times New Roman" w:hAnsi="Times New Roman" w:cs="Times New Roman"/>
                <w:b/>
                <w:bCs/>
                <w:sz w:val="24"/>
                <w:szCs w:val="24"/>
              </w:rPr>
              <w:t>/L)</w:t>
            </w:r>
          </w:p>
        </w:tc>
        <w:tc>
          <w:tcPr>
            <w:tcW w:w="1729" w:type="dxa"/>
            <w:tcBorders>
              <w:top w:val="single" w:sz="4" w:space="0" w:color="auto"/>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Protein (g/L)</w:t>
            </w:r>
          </w:p>
        </w:tc>
      </w:tr>
      <w:tr w:rsidR="00860187" w:rsidRPr="0074359C" w:rsidTr="00860187">
        <w:trPr>
          <w:trHeight w:val="673"/>
        </w:trPr>
        <w:tc>
          <w:tcPr>
            <w:tcW w:w="1210" w:type="dxa"/>
            <w:tcBorders>
              <w:top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404"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8.47±0.15</w:t>
            </w:r>
            <w:r w:rsidRPr="0074359C">
              <w:rPr>
                <w:rFonts w:ascii="Times New Roman" w:hAnsi="Times New Roman" w:cs="Times New Roman"/>
                <w:sz w:val="24"/>
                <w:szCs w:val="24"/>
                <w:vertAlign w:val="superscript"/>
              </w:rPr>
              <w:t>a</w:t>
            </w:r>
          </w:p>
        </w:tc>
        <w:tc>
          <w:tcPr>
            <w:tcW w:w="1837"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2" w:name="_Hlk200608488"/>
            <w:r w:rsidRPr="0074359C">
              <w:rPr>
                <w:rFonts w:ascii="Times New Roman" w:hAnsi="Times New Roman" w:cs="Times New Roman"/>
                <w:sz w:val="24"/>
                <w:szCs w:val="24"/>
              </w:rPr>
              <w:t>144.63±3.77</w:t>
            </w:r>
            <w:bookmarkEnd w:id="2"/>
            <w:r w:rsidRPr="0074359C">
              <w:rPr>
                <w:rFonts w:ascii="Times New Roman" w:hAnsi="Times New Roman" w:cs="Times New Roman"/>
                <w:sz w:val="24"/>
                <w:szCs w:val="24"/>
                <w:vertAlign w:val="superscript"/>
              </w:rPr>
              <w:t>b</w:t>
            </w:r>
          </w:p>
        </w:tc>
        <w:tc>
          <w:tcPr>
            <w:tcW w:w="1525"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3" w:name="_Hlk200608592"/>
            <w:r w:rsidRPr="0074359C">
              <w:rPr>
                <w:rFonts w:ascii="Times New Roman" w:hAnsi="Times New Roman" w:cs="Times New Roman"/>
                <w:sz w:val="24"/>
                <w:szCs w:val="24"/>
              </w:rPr>
              <w:t>39.30±2.07</w:t>
            </w:r>
            <w:bookmarkEnd w:id="3"/>
            <w:r w:rsidRPr="0074359C">
              <w:rPr>
                <w:rFonts w:ascii="Times New Roman" w:hAnsi="Times New Roman" w:cs="Times New Roman"/>
                <w:sz w:val="24"/>
                <w:szCs w:val="24"/>
                <w:vertAlign w:val="superscript"/>
              </w:rPr>
              <w:t>a</w:t>
            </w:r>
          </w:p>
        </w:tc>
        <w:tc>
          <w:tcPr>
            <w:tcW w:w="1729"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42.67±15.36</w:t>
            </w:r>
            <w:r w:rsidRPr="0074359C">
              <w:rPr>
                <w:rFonts w:ascii="Times New Roman" w:hAnsi="Times New Roman" w:cs="Times New Roman"/>
                <w:sz w:val="24"/>
                <w:szCs w:val="24"/>
                <w:vertAlign w:val="superscript"/>
              </w:rPr>
              <w:t>a</w:t>
            </w:r>
          </w:p>
        </w:tc>
        <w:tc>
          <w:tcPr>
            <w:tcW w:w="1729" w:type="dxa"/>
            <w:tcBorders>
              <w:top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68.17±2.31</w:t>
            </w:r>
            <w:r w:rsidRPr="0074359C">
              <w:rPr>
                <w:rFonts w:ascii="Times New Roman" w:hAnsi="Times New Roman" w:cs="Times New Roman"/>
                <w:sz w:val="24"/>
                <w:szCs w:val="24"/>
                <w:vertAlign w:val="superscript"/>
              </w:rPr>
              <w:t>a</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4" w:name="_Hlk200608123"/>
            <w:r w:rsidRPr="0074359C">
              <w:rPr>
                <w:rFonts w:ascii="Times New Roman" w:hAnsi="Times New Roman" w:cs="Times New Roman"/>
                <w:sz w:val="24"/>
                <w:szCs w:val="24"/>
              </w:rPr>
              <w:t>9.63±0.49</w:t>
            </w:r>
            <w:bookmarkEnd w:id="4"/>
            <w:r w:rsidRPr="0074359C">
              <w:rPr>
                <w:rFonts w:ascii="Times New Roman" w:hAnsi="Times New Roman" w:cs="Times New Roman"/>
                <w:sz w:val="24"/>
                <w:szCs w:val="24"/>
                <w:vertAlign w:val="superscript"/>
              </w:rPr>
              <w:t>a</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156.33±3.36</w:t>
            </w:r>
            <w:r w:rsidRPr="0074359C">
              <w:rPr>
                <w:rFonts w:ascii="Times New Roman" w:hAnsi="Times New Roman" w:cs="Times New Roman"/>
                <w:sz w:val="24"/>
                <w:szCs w:val="24"/>
                <w:vertAlign w:val="superscript"/>
              </w:rPr>
              <w:t>b</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60.27±2.05</w:t>
            </w:r>
            <w:r w:rsidRPr="0074359C">
              <w:rPr>
                <w:rFonts w:ascii="Times New Roman" w:hAnsi="Times New Roman" w:cs="Times New Roman"/>
                <w:sz w:val="24"/>
                <w:szCs w:val="24"/>
                <w:vertAlign w:val="superscript"/>
              </w:rPr>
              <w:t>b</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84.00±9.44</w:t>
            </w:r>
            <w:r w:rsidRPr="0074359C">
              <w:rPr>
                <w:rFonts w:ascii="Times New Roman" w:hAnsi="Times New Roman" w:cs="Times New Roman"/>
                <w:sz w:val="24"/>
                <w:szCs w:val="24"/>
                <w:vertAlign w:val="superscript"/>
              </w:rPr>
              <w:t>c</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81.70±3.92</w:t>
            </w:r>
            <w:r w:rsidRPr="0074359C">
              <w:rPr>
                <w:rFonts w:ascii="Times New Roman" w:hAnsi="Times New Roman" w:cs="Times New Roman"/>
                <w:sz w:val="24"/>
                <w:szCs w:val="24"/>
                <w:vertAlign w:val="superscript"/>
              </w:rPr>
              <w:t>c</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III</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5" w:name="_Hlk200608087"/>
            <w:r w:rsidRPr="0074359C">
              <w:rPr>
                <w:rFonts w:ascii="Times New Roman" w:hAnsi="Times New Roman" w:cs="Times New Roman"/>
                <w:sz w:val="24"/>
                <w:szCs w:val="24"/>
              </w:rPr>
              <w:t>8.80±0.40</w:t>
            </w:r>
            <w:bookmarkEnd w:id="5"/>
            <w:r w:rsidRPr="0074359C">
              <w:rPr>
                <w:rFonts w:ascii="Times New Roman" w:hAnsi="Times New Roman" w:cs="Times New Roman"/>
                <w:sz w:val="24"/>
                <w:szCs w:val="24"/>
                <w:vertAlign w:val="superscript"/>
              </w:rPr>
              <w:t>a</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115.57±10.74</w:t>
            </w:r>
            <w:r w:rsidRPr="0074359C">
              <w:rPr>
                <w:rFonts w:ascii="Times New Roman" w:hAnsi="Times New Roman" w:cs="Times New Roman"/>
                <w:sz w:val="24"/>
                <w:szCs w:val="24"/>
                <w:vertAlign w:val="superscript"/>
              </w:rPr>
              <w:t>a</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73.57±7.15</w:t>
            </w:r>
            <w:r w:rsidRPr="0074359C">
              <w:rPr>
                <w:rFonts w:ascii="Times New Roman" w:hAnsi="Times New Roman" w:cs="Times New Roman"/>
                <w:sz w:val="24"/>
                <w:szCs w:val="24"/>
                <w:vertAlign w:val="superscript"/>
              </w:rPr>
              <w:t>d</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53.83±4.32</w:t>
            </w:r>
            <w:r w:rsidRPr="0074359C">
              <w:rPr>
                <w:rFonts w:ascii="Times New Roman" w:hAnsi="Times New Roman" w:cs="Times New Roman"/>
                <w:sz w:val="24"/>
                <w:szCs w:val="24"/>
                <w:vertAlign w:val="superscript"/>
              </w:rPr>
              <w:t>a</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80.60±4.10</w:t>
            </w:r>
            <w:r w:rsidRPr="0074359C">
              <w:rPr>
                <w:rFonts w:ascii="Times New Roman" w:hAnsi="Times New Roman" w:cs="Times New Roman"/>
                <w:sz w:val="24"/>
                <w:szCs w:val="24"/>
                <w:vertAlign w:val="superscript"/>
              </w:rPr>
              <w:t>c</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11.23±0.83</w:t>
            </w:r>
            <w:r w:rsidRPr="0074359C">
              <w:rPr>
                <w:rFonts w:ascii="Times New Roman" w:hAnsi="Times New Roman" w:cs="Times New Roman"/>
                <w:sz w:val="24"/>
                <w:szCs w:val="24"/>
                <w:vertAlign w:val="superscript"/>
              </w:rPr>
              <w:t>b</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167.20±2.55</w:t>
            </w:r>
            <w:r w:rsidRPr="0074359C">
              <w:rPr>
                <w:rFonts w:ascii="Times New Roman" w:hAnsi="Times New Roman" w:cs="Times New Roman"/>
                <w:sz w:val="24"/>
                <w:szCs w:val="24"/>
                <w:vertAlign w:val="superscript"/>
              </w:rPr>
              <w:t>c</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66.57±4.65</w:t>
            </w:r>
            <w:r w:rsidRPr="0074359C">
              <w:rPr>
                <w:rFonts w:ascii="Times New Roman" w:hAnsi="Times New Roman" w:cs="Times New Roman"/>
                <w:sz w:val="24"/>
                <w:szCs w:val="24"/>
                <w:vertAlign w:val="superscript"/>
              </w:rPr>
              <w:t>c</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60.67±16.52</w:t>
            </w:r>
            <w:r w:rsidRPr="0074359C">
              <w:rPr>
                <w:rFonts w:ascii="Times New Roman" w:hAnsi="Times New Roman" w:cs="Times New Roman"/>
                <w:sz w:val="24"/>
                <w:szCs w:val="24"/>
                <w:vertAlign w:val="superscript"/>
              </w:rPr>
              <w:t>b</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78.63±5.61</w:t>
            </w:r>
            <w:r w:rsidRPr="0074359C">
              <w:rPr>
                <w:rFonts w:ascii="Times New Roman" w:hAnsi="Times New Roman" w:cs="Times New Roman"/>
                <w:sz w:val="24"/>
                <w:szCs w:val="24"/>
                <w:vertAlign w:val="superscript"/>
              </w:rPr>
              <w:t>b</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12.90±0.95</w:t>
            </w:r>
            <w:r w:rsidRPr="0074359C">
              <w:rPr>
                <w:rFonts w:ascii="Times New Roman" w:hAnsi="Times New Roman" w:cs="Times New Roman"/>
                <w:sz w:val="24"/>
                <w:szCs w:val="24"/>
                <w:vertAlign w:val="superscript"/>
              </w:rPr>
              <w:t>c</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186.40±9.23</w:t>
            </w:r>
            <w:r w:rsidRPr="0074359C">
              <w:rPr>
                <w:rFonts w:ascii="Times New Roman" w:hAnsi="Times New Roman" w:cs="Times New Roman"/>
                <w:sz w:val="24"/>
                <w:szCs w:val="24"/>
                <w:vertAlign w:val="superscript"/>
              </w:rPr>
              <w:t>c</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92.07±5.09</w:t>
            </w:r>
            <w:r w:rsidRPr="0074359C">
              <w:rPr>
                <w:rFonts w:ascii="Times New Roman" w:hAnsi="Times New Roman" w:cs="Times New Roman"/>
                <w:sz w:val="24"/>
                <w:szCs w:val="24"/>
                <w:vertAlign w:val="superscript"/>
              </w:rPr>
              <w:t>e</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88.93±13.04</w:t>
            </w:r>
            <w:r w:rsidRPr="0074359C">
              <w:rPr>
                <w:rFonts w:ascii="Times New Roman" w:hAnsi="Times New Roman" w:cs="Times New Roman"/>
                <w:sz w:val="24"/>
                <w:szCs w:val="24"/>
                <w:vertAlign w:val="superscript"/>
              </w:rPr>
              <w:t>d</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82.60±2.49</w:t>
            </w:r>
            <w:r w:rsidRPr="0074359C">
              <w:rPr>
                <w:rFonts w:ascii="Times New Roman" w:hAnsi="Times New Roman" w:cs="Times New Roman"/>
                <w:sz w:val="24"/>
                <w:szCs w:val="24"/>
                <w:vertAlign w:val="superscript"/>
              </w:rPr>
              <w:t>c</w:t>
            </w:r>
          </w:p>
        </w:tc>
      </w:tr>
      <w:tr w:rsidR="00860187" w:rsidRPr="0074359C" w:rsidTr="00860187">
        <w:trPr>
          <w:trHeight w:val="67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6" w:name="_Hlk200608044"/>
            <w:r w:rsidRPr="0074359C">
              <w:rPr>
                <w:rFonts w:ascii="Times New Roman" w:hAnsi="Times New Roman" w:cs="Times New Roman"/>
                <w:sz w:val="24"/>
                <w:szCs w:val="24"/>
              </w:rPr>
              <w:t>9.70±0.75</w:t>
            </w:r>
            <w:bookmarkEnd w:id="6"/>
            <w:r w:rsidRPr="0074359C">
              <w:rPr>
                <w:rFonts w:ascii="Times New Roman" w:hAnsi="Times New Roman" w:cs="Times New Roman"/>
                <w:sz w:val="24"/>
                <w:szCs w:val="24"/>
                <w:vertAlign w:val="superscript"/>
              </w:rPr>
              <w:t>a</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179.17±7.38</w:t>
            </w:r>
            <w:r w:rsidRPr="0074359C">
              <w:rPr>
                <w:rFonts w:ascii="Times New Roman" w:hAnsi="Times New Roman" w:cs="Times New Roman"/>
                <w:sz w:val="24"/>
                <w:szCs w:val="24"/>
                <w:vertAlign w:val="superscript"/>
              </w:rPr>
              <w:t>d</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71.37±9.11</w:t>
            </w:r>
            <w:r w:rsidRPr="0074359C">
              <w:rPr>
                <w:rFonts w:ascii="Times New Roman" w:hAnsi="Times New Roman" w:cs="Times New Roman"/>
                <w:sz w:val="24"/>
                <w:szCs w:val="24"/>
                <w:vertAlign w:val="superscript"/>
              </w:rPr>
              <w:t>d</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81.03±9.83</w:t>
            </w:r>
            <w:r w:rsidRPr="0074359C">
              <w:rPr>
                <w:rFonts w:ascii="Times New Roman" w:hAnsi="Times New Roman" w:cs="Times New Roman"/>
                <w:sz w:val="24"/>
                <w:szCs w:val="24"/>
                <w:vertAlign w:val="superscript"/>
              </w:rPr>
              <w:t>c</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80.47±5.56</w:t>
            </w:r>
            <w:r w:rsidRPr="0074359C">
              <w:rPr>
                <w:rFonts w:ascii="Times New Roman" w:hAnsi="Times New Roman" w:cs="Times New Roman"/>
                <w:sz w:val="24"/>
                <w:szCs w:val="24"/>
                <w:vertAlign w:val="superscript"/>
              </w:rPr>
              <w:t>c</w:t>
            </w:r>
          </w:p>
        </w:tc>
      </w:tr>
      <w:tr w:rsidR="00860187" w:rsidRPr="0074359C" w:rsidTr="00860187">
        <w:trPr>
          <w:trHeight w:val="683"/>
        </w:trPr>
        <w:tc>
          <w:tcPr>
            <w:tcW w:w="1210" w:type="dxa"/>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404"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11.10±1.39</w:t>
            </w:r>
            <w:r w:rsidRPr="0074359C">
              <w:rPr>
                <w:rFonts w:ascii="Times New Roman" w:hAnsi="Times New Roman" w:cs="Times New Roman"/>
                <w:sz w:val="24"/>
                <w:szCs w:val="24"/>
                <w:vertAlign w:val="superscript"/>
              </w:rPr>
              <w:t>b</w:t>
            </w:r>
          </w:p>
        </w:tc>
        <w:tc>
          <w:tcPr>
            <w:tcW w:w="1837"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125.70±20.95</w:t>
            </w:r>
            <w:r w:rsidRPr="0074359C">
              <w:rPr>
                <w:rFonts w:ascii="Times New Roman" w:hAnsi="Times New Roman" w:cs="Times New Roman"/>
                <w:sz w:val="24"/>
                <w:szCs w:val="24"/>
                <w:vertAlign w:val="superscript"/>
              </w:rPr>
              <w:t>a</w:t>
            </w:r>
          </w:p>
        </w:tc>
        <w:tc>
          <w:tcPr>
            <w:tcW w:w="1525"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56.67±4.12</w:t>
            </w:r>
            <w:r w:rsidRPr="0074359C">
              <w:rPr>
                <w:rFonts w:ascii="Times New Roman" w:hAnsi="Times New Roman" w:cs="Times New Roman"/>
                <w:sz w:val="24"/>
                <w:szCs w:val="24"/>
                <w:vertAlign w:val="superscript"/>
              </w:rPr>
              <w:t>b</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59.00±3.15</w:t>
            </w:r>
            <w:r w:rsidRPr="0074359C">
              <w:rPr>
                <w:rFonts w:ascii="Times New Roman" w:hAnsi="Times New Roman" w:cs="Times New Roman"/>
                <w:sz w:val="24"/>
                <w:szCs w:val="24"/>
                <w:vertAlign w:val="superscript"/>
              </w:rPr>
              <w:t>a</w:t>
            </w:r>
          </w:p>
        </w:tc>
        <w:tc>
          <w:tcPr>
            <w:tcW w:w="1729" w:type="dxa"/>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71.93±1.96</w:t>
            </w:r>
            <w:r w:rsidRPr="0074359C">
              <w:rPr>
                <w:rFonts w:ascii="Times New Roman" w:hAnsi="Times New Roman" w:cs="Times New Roman"/>
                <w:sz w:val="24"/>
                <w:szCs w:val="24"/>
                <w:vertAlign w:val="superscript"/>
              </w:rPr>
              <w:t>a</w:t>
            </w:r>
          </w:p>
        </w:tc>
      </w:tr>
      <w:tr w:rsidR="00860187" w:rsidRPr="0074359C" w:rsidTr="00860187">
        <w:trPr>
          <w:trHeight w:val="664"/>
        </w:trPr>
        <w:tc>
          <w:tcPr>
            <w:tcW w:w="1210"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404"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bookmarkStart w:id="7" w:name="_Hlk200608072"/>
            <w:r w:rsidRPr="0074359C">
              <w:rPr>
                <w:rFonts w:ascii="Times New Roman" w:hAnsi="Times New Roman" w:cs="Times New Roman"/>
                <w:sz w:val="24"/>
                <w:szCs w:val="24"/>
              </w:rPr>
              <w:t>8.93±0.61</w:t>
            </w:r>
            <w:bookmarkEnd w:id="7"/>
            <w:r w:rsidRPr="0074359C">
              <w:rPr>
                <w:rFonts w:ascii="Times New Roman" w:hAnsi="Times New Roman" w:cs="Times New Roman"/>
                <w:sz w:val="24"/>
                <w:szCs w:val="24"/>
                <w:vertAlign w:val="superscript"/>
              </w:rPr>
              <w:t>a</w:t>
            </w:r>
          </w:p>
        </w:tc>
        <w:tc>
          <w:tcPr>
            <w:tcW w:w="1837"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149.93±4.70</w:t>
            </w:r>
            <w:r w:rsidRPr="0074359C">
              <w:rPr>
                <w:rFonts w:ascii="Times New Roman" w:hAnsi="Times New Roman" w:cs="Times New Roman"/>
                <w:sz w:val="24"/>
                <w:szCs w:val="24"/>
                <w:vertAlign w:val="superscript"/>
              </w:rPr>
              <w:t>b</w:t>
            </w:r>
          </w:p>
        </w:tc>
        <w:tc>
          <w:tcPr>
            <w:tcW w:w="1525"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57.23±3.97</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68.07±2.00</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rsidR="00860187" w:rsidRPr="0074359C" w:rsidRDefault="00860187" w:rsidP="004B2B7E">
            <w:pPr>
              <w:spacing w:line="276"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77.80±2.71</w:t>
            </w:r>
            <w:r w:rsidRPr="0074359C">
              <w:rPr>
                <w:rFonts w:ascii="Times New Roman" w:hAnsi="Times New Roman" w:cs="Times New Roman"/>
                <w:sz w:val="24"/>
                <w:szCs w:val="24"/>
                <w:vertAlign w:val="superscript"/>
              </w:rPr>
              <w:t>b</w:t>
            </w:r>
          </w:p>
        </w:tc>
      </w:tr>
    </w:tbl>
    <w:p w:rsidR="00860187" w:rsidRPr="0074359C" w:rsidRDefault="00860187" w:rsidP="004B2B7E">
      <w:pPr>
        <w:spacing w:line="276" w:lineRule="auto"/>
        <w:jc w:val="both"/>
        <w:rPr>
          <w:rFonts w:ascii="Times New Roman" w:hAnsi="Times New Roman" w:cs="Times New Roman"/>
          <w:bCs/>
          <w:i/>
          <w:sz w:val="24"/>
          <w:szCs w:val="24"/>
          <w:lang w:val="en-GB"/>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rsidR="00860187" w:rsidRPr="0074359C"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860187" w:rsidRDefault="00860187"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Pr="0074359C" w:rsidRDefault="004B2B7E" w:rsidP="004B2B7E">
      <w:pPr>
        <w:spacing w:line="278" w:lineRule="auto"/>
        <w:rPr>
          <w:rFonts w:ascii="Times New Roman" w:hAnsi="Times New Roman" w:cs="Times New Roman"/>
          <w:b/>
          <w:bCs/>
          <w:sz w:val="24"/>
          <w:szCs w:val="24"/>
        </w:rPr>
      </w:pPr>
      <w:r>
        <w:rPr>
          <w:rFonts w:ascii="Times New Roman" w:hAnsi="Times New Roman" w:cs="Times New Roman"/>
          <w:b/>
          <w:bCs/>
          <w:sz w:val="24"/>
          <w:szCs w:val="24"/>
        </w:rPr>
        <w:t>Table 4</w:t>
      </w:r>
      <w:r w:rsidRPr="0074359C">
        <w:rPr>
          <w:rFonts w:ascii="Times New Roman" w:hAnsi="Times New Roman" w:cs="Times New Roman"/>
          <w:b/>
          <w:bCs/>
          <w:sz w:val="24"/>
          <w:szCs w:val="24"/>
        </w:rPr>
        <w:t>: Effects of Antibiotics resi</w:t>
      </w:r>
      <w:r>
        <w:rPr>
          <w:rFonts w:ascii="Times New Roman" w:hAnsi="Times New Roman" w:cs="Times New Roman"/>
          <w:b/>
          <w:bCs/>
          <w:sz w:val="24"/>
          <w:szCs w:val="24"/>
        </w:rPr>
        <w:t>d</w:t>
      </w:r>
      <w:r w:rsidRPr="0074359C">
        <w:rPr>
          <w:rFonts w:ascii="Times New Roman" w:hAnsi="Times New Roman" w:cs="Times New Roman"/>
          <w:b/>
          <w:bCs/>
          <w:sz w:val="24"/>
          <w:szCs w:val="24"/>
        </w:rPr>
        <w:t xml:space="preserve">ues on Kidney Function Parameters in </w:t>
      </w:r>
      <w:proofErr w:type="spellStart"/>
      <w:r w:rsidRPr="0074359C">
        <w:rPr>
          <w:rFonts w:ascii="Times New Roman" w:hAnsi="Times New Roman" w:cs="Times New Roman"/>
          <w:b/>
          <w:bCs/>
          <w:sz w:val="24"/>
          <w:szCs w:val="24"/>
        </w:rPr>
        <w:t>wistar</w:t>
      </w:r>
      <w:proofErr w:type="spellEnd"/>
      <w:r w:rsidRPr="0074359C">
        <w:rPr>
          <w:rFonts w:ascii="Times New Roman" w:hAnsi="Times New Roman" w:cs="Times New Roman"/>
          <w:b/>
          <w:bCs/>
          <w:sz w:val="24"/>
          <w:szCs w:val="24"/>
        </w:rPr>
        <w:t xml:space="preserve"> rat</w:t>
      </w:r>
      <w:r>
        <w:rPr>
          <w:rFonts w:ascii="Times New Roman" w:hAnsi="Times New Roman" w:cs="Times New Roman"/>
          <w:b/>
          <w:bCs/>
          <w:sz w:val="24"/>
          <w:szCs w:val="24"/>
        </w:rPr>
        <w: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544"/>
        <w:gridCol w:w="1276"/>
        <w:gridCol w:w="1559"/>
        <w:gridCol w:w="1417"/>
        <w:gridCol w:w="1418"/>
        <w:gridCol w:w="1426"/>
      </w:tblGrid>
      <w:tr w:rsidR="004B2B7E" w:rsidRPr="0074359C" w:rsidTr="0031279F">
        <w:tc>
          <w:tcPr>
            <w:tcW w:w="1008"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544" w:type="dxa"/>
            <w:tcBorders>
              <w:top w:val="single" w:sz="4" w:space="0" w:color="auto"/>
              <w:bottom w:val="single" w:sz="4" w:space="0" w:color="auto"/>
            </w:tcBorders>
          </w:tcPr>
          <w:p w:rsidR="004B2B7E" w:rsidRPr="0074359C" w:rsidRDefault="004B2B7E" w:rsidP="0031279F">
            <w:pPr>
              <w:spacing w:line="480" w:lineRule="auto"/>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Na</w:t>
            </w:r>
            <w:r w:rsidRPr="0074359C">
              <w:rPr>
                <w:rFonts w:ascii="Times New Roman" w:hAnsi="Times New Roman" w:cs="Times New Roman"/>
                <w:b/>
                <w:bCs/>
                <w:sz w:val="24"/>
                <w:szCs w:val="24"/>
                <w:vertAlign w:val="superscript"/>
              </w:rPr>
              <w:t>+</w:t>
            </w:r>
          </w:p>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w:t>
            </w:r>
            <w:r w:rsidR="00166877">
              <w:rPr>
                <w:rFonts w:ascii="Times New Roman" w:hAnsi="Times New Roman" w:cs="Times New Roman"/>
                <w:b/>
                <w:bCs/>
                <w:sz w:val="24"/>
                <w:szCs w:val="24"/>
              </w:rPr>
              <w:t>L</w:t>
            </w:r>
            <w:r w:rsidRPr="0074359C">
              <w:rPr>
                <w:rFonts w:ascii="Times New Roman" w:hAnsi="Times New Roman" w:cs="Times New Roman"/>
                <w:b/>
                <w:bCs/>
                <w:sz w:val="24"/>
                <w:szCs w:val="24"/>
              </w:rPr>
              <w:t>)</w:t>
            </w:r>
          </w:p>
        </w:tc>
        <w:tc>
          <w:tcPr>
            <w:tcW w:w="1276"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K</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(mmol/</w:t>
            </w:r>
            <w:r w:rsidR="00166877">
              <w:rPr>
                <w:rFonts w:ascii="Times New Roman" w:hAnsi="Times New Roman" w:cs="Times New Roman"/>
                <w:b/>
                <w:bCs/>
                <w:sz w:val="24"/>
                <w:szCs w:val="24"/>
              </w:rPr>
              <w:t>L</w:t>
            </w:r>
            <w:r w:rsidRPr="0074359C">
              <w:rPr>
                <w:rFonts w:ascii="Times New Roman" w:hAnsi="Times New Roman" w:cs="Times New Roman"/>
                <w:b/>
                <w:bCs/>
                <w:sz w:val="24"/>
                <w:szCs w:val="24"/>
              </w:rPr>
              <w:t>)</w:t>
            </w:r>
          </w:p>
        </w:tc>
        <w:tc>
          <w:tcPr>
            <w:tcW w:w="1559"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Cl</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w:t>
            </w:r>
          </w:p>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w:t>
            </w:r>
            <w:r w:rsidR="00166877">
              <w:rPr>
                <w:rFonts w:ascii="Times New Roman" w:hAnsi="Times New Roman" w:cs="Times New Roman"/>
                <w:b/>
                <w:bCs/>
                <w:sz w:val="24"/>
                <w:szCs w:val="24"/>
              </w:rPr>
              <w:t>L</w:t>
            </w:r>
            <w:r w:rsidRPr="0074359C">
              <w:rPr>
                <w:rFonts w:ascii="Times New Roman" w:hAnsi="Times New Roman" w:cs="Times New Roman"/>
                <w:b/>
                <w:bCs/>
                <w:sz w:val="24"/>
                <w:szCs w:val="24"/>
              </w:rPr>
              <w:t>)</w:t>
            </w:r>
          </w:p>
        </w:tc>
        <w:tc>
          <w:tcPr>
            <w:tcW w:w="1417"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HCO</w:t>
            </w:r>
            <w:r w:rsidRPr="007C63C8">
              <w:rPr>
                <w:rFonts w:ascii="Times New Roman" w:hAnsi="Times New Roman" w:cs="Times New Roman"/>
                <w:b/>
                <w:bCs/>
                <w:sz w:val="24"/>
                <w:szCs w:val="24"/>
                <w:vertAlign w:val="subscript"/>
              </w:rPr>
              <w:t>3</w:t>
            </w:r>
            <w:r w:rsidRPr="0074359C">
              <w:rPr>
                <w:rFonts w:ascii="Times New Roman" w:hAnsi="Times New Roman" w:cs="Times New Roman"/>
                <w:b/>
                <w:bCs/>
                <w:sz w:val="24"/>
                <w:szCs w:val="24"/>
                <w:vertAlign w:val="superscript"/>
              </w:rPr>
              <w:t>-</w:t>
            </w:r>
          </w:p>
          <w:p w:rsidR="004B2B7E" w:rsidRPr="0074359C" w:rsidRDefault="004B2B7E" w:rsidP="003127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(mmol/L</w:t>
            </w:r>
            <w:r w:rsidRPr="0074359C">
              <w:rPr>
                <w:rFonts w:ascii="Times New Roman" w:hAnsi="Times New Roman" w:cs="Times New Roman"/>
                <w:b/>
                <w:bCs/>
                <w:sz w:val="24"/>
                <w:szCs w:val="24"/>
              </w:rPr>
              <w:t>)</w:t>
            </w:r>
          </w:p>
        </w:tc>
        <w:tc>
          <w:tcPr>
            <w:tcW w:w="1418"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Urea </w:t>
            </w:r>
          </w:p>
          <w:p w:rsidR="004B2B7E" w:rsidRPr="0074359C" w:rsidRDefault="004B2B7E" w:rsidP="003127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(mmol/L</w:t>
            </w:r>
            <w:r w:rsidRPr="0074359C">
              <w:rPr>
                <w:rFonts w:ascii="Times New Roman" w:hAnsi="Times New Roman" w:cs="Times New Roman"/>
                <w:b/>
                <w:bCs/>
                <w:sz w:val="24"/>
                <w:szCs w:val="24"/>
              </w:rPr>
              <w:t>)</w:t>
            </w:r>
          </w:p>
        </w:tc>
        <w:tc>
          <w:tcPr>
            <w:tcW w:w="1426" w:type="dxa"/>
            <w:tcBorders>
              <w:top w:val="single" w:sz="4" w:space="0" w:color="auto"/>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Creatinine</w:t>
            </w:r>
          </w:p>
          <w:p w:rsidR="004B2B7E" w:rsidRPr="0074359C" w:rsidRDefault="004B2B7E" w:rsidP="003127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(mmol/L</w:t>
            </w:r>
            <w:r w:rsidRPr="0074359C">
              <w:rPr>
                <w:rFonts w:ascii="Times New Roman" w:hAnsi="Times New Roman" w:cs="Times New Roman"/>
                <w:b/>
                <w:bCs/>
                <w:sz w:val="24"/>
                <w:szCs w:val="24"/>
              </w:rPr>
              <w:t>)</w:t>
            </w:r>
          </w:p>
        </w:tc>
      </w:tr>
      <w:tr w:rsidR="004B2B7E" w:rsidRPr="0074359C" w:rsidTr="0031279F">
        <w:tc>
          <w:tcPr>
            <w:tcW w:w="1008" w:type="dxa"/>
            <w:tcBorders>
              <w:top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544"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139.50±0.87</w:t>
            </w:r>
            <w:r w:rsidRPr="0074359C">
              <w:rPr>
                <w:rFonts w:ascii="Times New Roman" w:hAnsi="Times New Roman" w:cs="Times New Roman"/>
                <w:sz w:val="24"/>
                <w:szCs w:val="24"/>
                <w:vertAlign w:val="superscript"/>
              </w:rPr>
              <w:t>a</w:t>
            </w:r>
          </w:p>
        </w:tc>
        <w:tc>
          <w:tcPr>
            <w:tcW w:w="1276"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4.23±0.25</w:t>
            </w:r>
            <w:r w:rsidRPr="0074359C">
              <w:rPr>
                <w:rFonts w:ascii="Times New Roman" w:hAnsi="Times New Roman" w:cs="Times New Roman"/>
                <w:sz w:val="24"/>
                <w:szCs w:val="24"/>
                <w:vertAlign w:val="superscript"/>
              </w:rPr>
              <w:t>a</w:t>
            </w:r>
          </w:p>
        </w:tc>
        <w:tc>
          <w:tcPr>
            <w:tcW w:w="1559"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95.40±1.65</w:t>
            </w:r>
            <w:r w:rsidRPr="0074359C">
              <w:rPr>
                <w:rFonts w:ascii="Times New Roman" w:hAnsi="Times New Roman" w:cs="Times New Roman"/>
                <w:sz w:val="24"/>
                <w:szCs w:val="24"/>
                <w:vertAlign w:val="superscript"/>
              </w:rPr>
              <w:t>a</w:t>
            </w:r>
          </w:p>
        </w:tc>
        <w:tc>
          <w:tcPr>
            <w:tcW w:w="1417"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22.80±1.95</w:t>
            </w:r>
            <w:r w:rsidRPr="0074359C">
              <w:rPr>
                <w:rFonts w:ascii="Times New Roman" w:hAnsi="Times New Roman" w:cs="Times New Roman"/>
                <w:sz w:val="24"/>
                <w:szCs w:val="24"/>
                <w:vertAlign w:val="superscript"/>
              </w:rPr>
              <w:t>a</w:t>
            </w:r>
          </w:p>
        </w:tc>
        <w:tc>
          <w:tcPr>
            <w:tcW w:w="1418"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6.30±0.10</w:t>
            </w:r>
            <w:r w:rsidRPr="0074359C">
              <w:rPr>
                <w:rFonts w:ascii="Times New Roman" w:hAnsi="Times New Roman" w:cs="Times New Roman"/>
                <w:sz w:val="24"/>
                <w:szCs w:val="24"/>
                <w:vertAlign w:val="superscript"/>
              </w:rPr>
              <w:t>a</w:t>
            </w:r>
          </w:p>
        </w:tc>
        <w:tc>
          <w:tcPr>
            <w:tcW w:w="1426" w:type="dxa"/>
            <w:tcBorders>
              <w:top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4.33±0.15</w:t>
            </w:r>
            <w:r w:rsidRPr="0074359C">
              <w:rPr>
                <w:rFonts w:ascii="Times New Roman" w:hAnsi="Times New Roman" w:cs="Times New Roman"/>
                <w:sz w:val="24"/>
                <w:szCs w:val="24"/>
                <w:vertAlign w:val="superscript"/>
              </w:rPr>
              <w:t>a</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152.63±2.21</w:t>
            </w:r>
            <w:r w:rsidRPr="0074359C">
              <w:rPr>
                <w:rFonts w:ascii="Times New Roman" w:hAnsi="Times New Roman" w:cs="Times New Roman"/>
                <w:sz w:val="24"/>
                <w:szCs w:val="24"/>
                <w:vertAlign w:val="superscript"/>
              </w:rPr>
              <w:t>b</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5.43±0.55</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99.90±2.95</w:t>
            </w:r>
            <w:r w:rsidRPr="0074359C">
              <w:rPr>
                <w:rFonts w:ascii="Times New Roman" w:hAnsi="Times New Roman" w:cs="Times New Roman"/>
                <w:sz w:val="24"/>
                <w:szCs w:val="24"/>
                <w:vertAlign w:val="superscript"/>
              </w:rPr>
              <w:t>a</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26.83±1.45</w:t>
            </w:r>
            <w:r w:rsidRPr="0074359C">
              <w:rPr>
                <w:rFonts w:ascii="Times New Roman" w:hAnsi="Times New Roman" w:cs="Times New Roman"/>
                <w:sz w:val="24"/>
                <w:szCs w:val="24"/>
                <w:vertAlign w:val="superscript"/>
              </w:rPr>
              <w:t>d</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6.93±0.15</w:t>
            </w:r>
            <w:r w:rsidRPr="0074359C">
              <w:rPr>
                <w:rFonts w:ascii="Times New Roman" w:hAnsi="Times New Roman" w:cs="Times New Roman"/>
                <w:sz w:val="24"/>
                <w:szCs w:val="24"/>
                <w:vertAlign w:val="superscript"/>
              </w:rPr>
              <w:t>a</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9.67±0.42</w:t>
            </w:r>
            <w:r w:rsidRPr="0074359C">
              <w:rPr>
                <w:rFonts w:ascii="Times New Roman" w:hAnsi="Times New Roman" w:cs="Times New Roman"/>
                <w:sz w:val="24"/>
                <w:szCs w:val="24"/>
                <w:vertAlign w:val="superscript"/>
              </w:rPr>
              <w:t>b</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III</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158.90±1.10</w:t>
            </w:r>
            <w:r w:rsidRPr="0074359C">
              <w:rPr>
                <w:rFonts w:ascii="Times New Roman" w:hAnsi="Times New Roman" w:cs="Times New Roman"/>
                <w:sz w:val="24"/>
                <w:szCs w:val="24"/>
                <w:vertAlign w:val="superscript"/>
              </w:rPr>
              <w:t>b</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5.53±0.45</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99.37±2.18</w:t>
            </w:r>
            <w:r w:rsidRPr="0074359C">
              <w:rPr>
                <w:rFonts w:ascii="Times New Roman" w:hAnsi="Times New Roman" w:cs="Times New Roman"/>
                <w:sz w:val="24"/>
                <w:szCs w:val="24"/>
                <w:vertAlign w:val="superscript"/>
              </w:rPr>
              <w:t>a</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19.77±0.25</w:t>
            </w:r>
            <w:r w:rsidRPr="0074359C">
              <w:rPr>
                <w:rFonts w:ascii="Times New Roman" w:hAnsi="Times New Roman" w:cs="Times New Roman"/>
                <w:sz w:val="24"/>
                <w:szCs w:val="24"/>
                <w:vertAlign w:val="superscript"/>
              </w:rPr>
              <w:t>a</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10.07±1.81</w:t>
            </w:r>
            <w:r w:rsidRPr="0074359C">
              <w:rPr>
                <w:rFonts w:ascii="Times New Roman" w:hAnsi="Times New Roman" w:cs="Times New Roman"/>
                <w:sz w:val="24"/>
                <w:szCs w:val="24"/>
                <w:vertAlign w:val="superscript"/>
              </w:rPr>
              <w:t>d</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11.00±1.11</w:t>
            </w:r>
            <w:r w:rsidRPr="0074359C">
              <w:rPr>
                <w:rFonts w:ascii="Times New Roman" w:hAnsi="Times New Roman" w:cs="Times New Roman"/>
                <w:sz w:val="24"/>
                <w:szCs w:val="24"/>
                <w:vertAlign w:val="superscript"/>
              </w:rPr>
              <w:t>c</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170.07±0.25</w:t>
            </w:r>
            <w:r w:rsidRPr="0074359C">
              <w:rPr>
                <w:rFonts w:ascii="Times New Roman" w:hAnsi="Times New Roman" w:cs="Times New Roman"/>
                <w:sz w:val="24"/>
                <w:szCs w:val="24"/>
                <w:vertAlign w:val="superscript"/>
              </w:rPr>
              <w:t>c</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5.27±0.68</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103.33±7.06</w:t>
            </w:r>
            <w:r w:rsidRPr="0074359C">
              <w:rPr>
                <w:rFonts w:ascii="Times New Roman" w:hAnsi="Times New Roman" w:cs="Times New Roman"/>
                <w:sz w:val="24"/>
                <w:szCs w:val="24"/>
                <w:vertAlign w:val="superscript"/>
              </w:rPr>
              <w:t>b</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24.80±0.90</w:t>
            </w:r>
            <w:r w:rsidRPr="0074359C">
              <w:rPr>
                <w:rFonts w:ascii="Times New Roman" w:hAnsi="Times New Roman" w:cs="Times New Roman"/>
                <w:sz w:val="24"/>
                <w:szCs w:val="24"/>
                <w:vertAlign w:val="superscript"/>
              </w:rPr>
              <w:t>b</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11.23±1.25</w:t>
            </w:r>
            <w:r w:rsidRPr="0074359C">
              <w:rPr>
                <w:rFonts w:ascii="Times New Roman" w:hAnsi="Times New Roman" w:cs="Times New Roman"/>
                <w:sz w:val="24"/>
                <w:szCs w:val="24"/>
                <w:vertAlign w:val="superscript"/>
              </w:rPr>
              <w:t>e</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11.43±0.23</w:t>
            </w:r>
            <w:r w:rsidRPr="0074359C">
              <w:rPr>
                <w:rFonts w:ascii="Times New Roman" w:hAnsi="Times New Roman" w:cs="Times New Roman"/>
                <w:sz w:val="24"/>
                <w:szCs w:val="24"/>
                <w:vertAlign w:val="superscript"/>
              </w:rPr>
              <w:t>d</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177.07±6.24</w:t>
            </w:r>
            <w:r w:rsidRPr="0074359C">
              <w:rPr>
                <w:rFonts w:ascii="Times New Roman" w:hAnsi="Times New Roman" w:cs="Times New Roman"/>
                <w:sz w:val="24"/>
                <w:szCs w:val="24"/>
                <w:vertAlign w:val="superscript"/>
              </w:rPr>
              <w:t>c</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5.17±0.25</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108.53±4.14</w:t>
            </w:r>
            <w:r w:rsidRPr="0074359C">
              <w:rPr>
                <w:rFonts w:ascii="Times New Roman" w:hAnsi="Times New Roman" w:cs="Times New Roman"/>
                <w:sz w:val="24"/>
                <w:szCs w:val="24"/>
                <w:vertAlign w:val="superscript"/>
              </w:rPr>
              <w:t>c</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27.67±1.48</w:t>
            </w:r>
            <w:r w:rsidRPr="0074359C">
              <w:rPr>
                <w:rFonts w:ascii="Times New Roman" w:hAnsi="Times New Roman" w:cs="Times New Roman"/>
                <w:sz w:val="24"/>
                <w:szCs w:val="24"/>
                <w:vertAlign w:val="superscript"/>
              </w:rPr>
              <w:t>d</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9.80±0.30</w:t>
            </w:r>
            <w:r w:rsidRPr="0074359C">
              <w:rPr>
                <w:rFonts w:ascii="Times New Roman" w:hAnsi="Times New Roman" w:cs="Times New Roman"/>
                <w:sz w:val="24"/>
                <w:szCs w:val="24"/>
                <w:vertAlign w:val="superscript"/>
              </w:rPr>
              <w:t>d</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8.33±1.19</w:t>
            </w:r>
            <w:r w:rsidRPr="0074359C">
              <w:rPr>
                <w:rFonts w:ascii="Times New Roman" w:hAnsi="Times New Roman" w:cs="Times New Roman"/>
                <w:sz w:val="24"/>
                <w:szCs w:val="24"/>
                <w:vertAlign w:val="superscript"/>
              </w:rPr>
              <w:t>b</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158.57±8.07</w:t>
            </w:r>
            <w:r w:rsidRPr="0074359C">
              <w:rPr>
                <w:rFonts w:ascii="Times New Roman" w:hAnsi="Times New Roman" w:cs="Times New Roman"/>
                <w:sz w:val="24"/>
                <w:szCs w:val="24"/>
                <w:vertAlign w:val="superscript"/>
              </w:rPr>
              <w:t>b</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5.97±0.32</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97.96±1.00</w:t>
            </w:r>
            <w:r w:rsidRPr="0074359C">
              <w:rPr>
                <w:rFonts w:ascii="Times New Roman" w:hAnsi="Times New Roman" w:cs="Times New Roman"/>
                <w:sz w:val="24"/>
                <w:szCs w:val="24"/>
                <w:vertAlign w:val="superscript"/>
              </w:rPr>
              <w:t>a</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25.30±3.69</w:t>
            </w:r>
            <w:r w:rsidRPr="0074359C">
              <w:rPr>
                <w:rFonts w:ascii="Times New Roman" w:hAnsi="Times New Roman" w:cs="Times New Roman"/>
                <w:sz w:val="24"/>
                <w:szCs w:val="24"/>
                <w:vertAlign w:val="superscript"/>
              </w:rPr>
              <w:t>b</w:t>
            </w:r>
          </w:p>
        </w:tc>
        <w:tc>
          <w:tcPr>
            <w:tcW w:w="1418"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9.83±0.25</w:t>
            </w:r>
            <w:r w:rsidRPr="0074359C">
              <w:rPr>
                <w:rFonts w:ascii="Times New Roman" w:hAnsi="Times New Roman" w:cs="Times New Roman"/>
                <w:sz w:val="24"/>
                <w:szCs w:val="24"/>
                <w:vertAlign w:val="superscript"/>
              </w:rPr>
              <w:t>d</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8.73±1.21</w:t>
            </w:r>
            <w:r w:rsidRPr="0074359C">
              <w:rPr>
                <w:rFonts w:ascii="Times New Roman" w:hAnsi="Times New Roman" w:cs="Times New Roman"/>
                <w:sz w:val="24"/>
                <w:szCs w:val="24"/>
                <w:vertAlign w:val="superscript"/>
              </w:rPr>
              <w:t>b</w:t>
            </w:r>
          </w:p>
        </w:tc>
      </w:tr>
      <w:tr w:rsidR="004B2B7E" w:rsidRPr="0074359C" w:rsidTr="0031279F">
        <w:tc>
          <w:tcPr>
            <w:tcW w:w="1008" w:type="dxa"/>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544"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183.93±4.11</w:t>
            </w:r>
            <w:r w:rsidRPr="0074359C">
              <w:rPr>
                <w:rFonts w:ascii="Times New Roman" w:hAnsi="Times New Roman" w:cs="Times New Roman"/>
                <w:sz w:val="24"/>
                <w:szCs w:val="24"/>
                <w:vertAlign w:val="superscript"/>
              </w:rPr>
              <w:t>d</w:t>
            </w:r>
          </w:p>
        </w:tc>
        <w:tc>
          <w:tcPr>
            <w:tcW w:w="127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5.90±0.98</w:t>
            </w:r>
            <w:r w:rsidRPr="0074359C">
              <w:rPr>
                <w:rFonts w:ascii="Times New Roman" w:hAnsi="Times New Roman" w:cs="Times New Roman"/>
                <w:sz w:val="24"/>
                <w:szCs w:val="24"/>
                <w:vertAlign w:val="superscript"/>
              </w:rPr>
              <w:t>b</w:t>
            </w:r>
          </w:p>
        </w:tc>
        <w:tc>
          <w:tcPr>
            <w:tcW w:w="1559"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102.50±4.92</w:t>
            </w:r>
            <w:r w:rsidRPr="0074359C">
              <w:rPr>
                <w:rFonts w:ascii="Times New Roman" w:hAnsi="Times New Roman" w:cs="Times New Roman"/>
                <w:sz w:val="24"/>
                <w:szCs w:val="24"/>
                <w:vertAlign w:val="superscript"/>
              </w:rPr>
              <w:t>b</w:t>
            </w:r>
          </w:p>
        </w:tc>
        <w:tc>
          <w:tcPr>
            <w:tcW w:w="1417"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22.07±1.82</w:t>
            </w:r>
            <w:r w:rsidRPr="0074359C">
              <w:rPr>
                <w:rFonts w:ascii="Times New Roman" w:hAnsi="Times New Roman" w:cs="Times New Roman"/>
                <w:sz w:val="24"/>
                <w:szCs w:val="24"/>
                <w:vertAlign w:val="superscript"/>
              </w:rPr>
              <w:t>a</w:t>
            </w:r>
          </w:p>
        </w:tc>
        <w:tc>
          <w:tcPr>
            <w:tcW w:w="1418" w:type="dxa"/>
          </w:tcPr>
          <w:p w:rsidR="004B2B7E" w:rsidRPr="0074359C" w:rsidRDefault="004B2B7E" w:rsidP="0031279F">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8.23±0.51</w:t>
            </w:r>
            <w:r w:rsidRPr="0074359C">
              <w:rPr>
                <w:rFonts w:ascii="Times New Roman" w:hAnsi="Times New Roman" w:cs="Times New Roman"/>
                <w:sz w:val="24"/>
                <w:szCs w:val="24"/>
                <w:vertAlign w:val="superscript"/>
              </w:rPr>
              <w:t>b</w:t>
            </w:r>
          </w:p>
        </w:tc>
        <w:tc>
          <w:tcPr>
            <w:tcW w:w="1426" w:type="dxa"/>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8.83±0.76</w:t>
            </w:r>
            <w:r w:rsidRPr="0074359C">
              <w:rPr>
                <w:rFonts w:ascii="Times New Roman" w:hAnsi="Times New Roman" w:cs="Times New Roman"/>
                <w:sz w:val="24"/>
                <w:szCs w:val="24"/>
                <w:vertAlign w:val="superscript"/>
              </w:rPr>
              <w:t>b</w:t>
            </w:r>
          </w:p>
        </w:tc>
      </w:tr>
      <w:tr w:rsidR="004B2B7E" w:rsidRPr="0074359C" w:rsidTr="0031279F">
        <w:tc>
          <w:tcPr>
            <w:tcW w:w="1008"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544"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182.90±2.85</w:t>
            </w:r>
            <w:r w:rsidRPr="0074359C">
              <w:rPr>
                <w:rFonts w:ascii="Times New Roman" w:hAnsi="Times New Roman" w:cs="Times New Roman"/>
                <w:sz w:val="24"/>
                <w:szCs w:val="24"/>
                <w:vertAlign w:val="superscript"/>
              </w:rPr>
              <w:t>d</w:t>
            </w:r>
          </w:p>
        </w:tc>
        <w:tc>
          <w:tcPr>
            <w:tcW w:w="1276"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5.50±0.26</w:t>
            </w:r>
            <w:r w:rsidRPr="0074359C">
              <w:rPr>
                <w:rFonts w:ascii="Times New Roman" w:hAnsi="Times New Roman" w:cs="Times New Roman"/>
                <w:sz w:val="24"/>
                <w:szCs w:val="24"/>
                <w:vertAlign w:val="superscript"/>
              </w:rPr>
              <w:t>b</w:t>
            </w:r>
          </w:p>
        </w:tc>
        <w:tc>
          <w:tcPr>
            <w:tcW w:w="1559"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119.23±0.78</w:t>
            </w:r>
            <w:r w:rsidRPr="0074359C">
              <w:rPr>
                <w:rFonts w:ascii="Times New Roman" w:hAnsi="Times New Roman" w:cs="Times New Roman"/>
                <w:sz w:val="24"/>
                <w:szCs w:val="24"/>
                <w:vertAlign w:val="superscript"/>
              </w:rPr>
              <w:t>d</w:t>
            </w:r>
          </w:p>
        </w:tc>
        <w:tc>
          <w:tcPr>
            <w:tcW w:w="1417"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25.80±1.69</w:t>
            </w:r>
            <w:r w:rsidRPr="0074359C">
              <w:rPr>
                <w:rFonts w:ascii="Times New Roman" w:hAnsi="Times New Roman" w:cs="Times New Roman"/>
                <w:sz w:val="24"/>
                <w:szCs w:val="24"/>
                <w:vertAlign w:val="superscript"/>
              </w:rPr>
              <w:t>c</w:t>
            </w:r>
          </w:p>
        </w:tc>
        <w:tc>
          <w:tcPr>
            <w:tcW w:w="1418"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9.17±0.25</w:t>
            </w:r>
            <w:r w:rsidRPr="0074359C">
              <w:rPr>
                <w:rFonts w:ascii="Times New Roman" w:hAnsi="Times New Roman" w:cs="Times New Roman"/>
                <w:sz w:val="24"/>
                <w:szCs w:val="24"/>
                <w:vertAlign w:val="superscript"/>
              </w:rPr>
              <w:t>c</w:t>
            </w:r>
          </w:p>
        </w:tc>
        <w:tc>
          <w:tcPr>
            <w:tcW w:w="1426" w:type="dxa"/>
            <w:tcBorders>
              <w:bottom w:val="single" w:sz="4" w:space="0" w:color="auto"/>
            </w:tcBorders>
          </w:tcPr>
          <w:p w:rsidR="004B2B7E" w:rsidRPr="0074359C" w:rsidRDefault="004B2B7E" w:rsidP="0031279F">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12.47±0.61</w:t>
            </w:r>
            <w:r w:rsidRPr="0074359C">
              <w:rPr>
                <w:rFonts w:ascii="Times New Roman" w:hAnsi="Times New Roman" w:cs="Times New Roman"/>
                <w:sz w:val="24"/>
                <w:szCs w:val="24"/>
                <w:vertAlign w:val="superscript"/>
              </w:rPr>
              <w:t>d</w:t>
            </w:r>
          </w:p>
        </w:tc>
      </w:tr>
    </w:tbl>
    <w:p w:rsidR="004B2B7E" w:rsidRPr="0074359C" w:rsidRDefault="004B2B7E" w:rsidP="004B2B7E">
      <w:pPr>
        <w:spacing w:line="24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rsidR="004B2B7E" w:rsidRPr="0074359C" w:rsidRDefault="004B2B7E" w:rsidP="004B2B7E">
      <w:pPr>
        <w:rPr>
          <w:rFonts w:ascii="Times New Roman" w:hAnsi="Times New Roman" w:cs="Times New Roman"/>
          <w:i/>
          <w:sz w:val="24"/>
          <w:szCs w:val="24"/>
        </w:rPr>
      </w:pPr>
    </w:p>
    <w:p w:rsidR="004B2B7E" w:rsidRPr="0074359C" w:rsidRDefault="004B2B7E" w:rsidP="004B2B7E">
      <w:pPr>
        <w:rPr>
          <w:rFonts w:ascii="Times New Roman" w:hAnsi="Times New Roman" w:cs="Times New Roman"/>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4B2B7E" w:rsidRDefault="004B2B7E" w:rsidP="004B2B7E">
      <w:pPr>
        <w:spacing w:line="276" w:lineRule="auto"/>
        <w:rPr>
          <w:rFonts w:ascii="Times New Roman" w:hAnsi="Times New Roman" w:cs="Times New Roman"/>
          <w:b/>
          <w:bCs/>
          <w:sz w:val="24"/>
          <w:szCs w:val="24"/>
        </w:rPr>
      </w:pPr>
    </w:p>
    <w:p w:rsidR="00860187" w:rsidRPr="0074359C" w:rsidRDefault="00860187" w:rsidP="004B2B7E">
      <w:pPr>
        <w:spacing w:line="276" w:lineRule="auto"/>
        <w:rPr>
          <w:rFonts w:ascii="Times New Roman" w:hAnsi="Times New Roman" w:cs="Times New Roman"/>
          <w:sz w:val="24"/>
          <w:szCs w:val="24"/>
        </w:rPr>
      </w:pPr>
    </w:p>
    <w:tbl>
      <w:tblPr>
        <w:tblStyle w:val="TableGrid"/>
        <w:tblpPr w:leftFromText="180" w:rightFromText="180" w:vertAnchor="text" w:horzAnchor="margin" w:tblpXSpec="center" w:tblpY="991"/>
        <w:tblW w:w="1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291"/>
        <w:gridCol w:w="1384"/>
        <w:gridCol w:w="1384"/>
        <w:gridCol w:w="1370"/>
        <w:gridCol w:w="1284"/>
        <w:gridCol w:w="1284"/>
        <w:gridCol w:w="1284"/>
        <w:gridCol w:w="1391"/>
      </w:tblGrid>
      <w:tr w:rsidR="00860187" w:rsidRPr="0074359C" w:rsidTr="00860187">
        <w:trPr>
          <w:trHeight w:val="455"/>
        </w:trPr>
        <w:tc>
          <w:tcPr>
            <w:tcW w:w="1279"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291"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3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13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370"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2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2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284"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391" w:type="dxa"/>
            <w:tcBorders>
              <w:top w:val="single" w:sz="4" w:space="0" w:color="auto"/>
              <w:bottom w:val="single" w:sz="4" w:space="0" w:color="auto"/>
            </w:tcBorders>
          </w:tcPr>
          <w:p w:rsidR="00860187" w:rsidRPr="0074359C" w:rsidRDefault="00860187" w:rsidP="004B2B7E">
            <w:pPr>
              <w:spacing w:line="276" w:lineRule="auto"/>
              <w:rPr>
                <w:rFonts w:ascii="Times New Roman" w:hAnsi="Times New Roman" w:cs="Times New Roman"/>
                <w:b/>
                <w:bCs/>
                <w:sz w:val="24"/>
                <w:szCs w:val="24"/>
              </w:rPr>
            </w:pPr>
            <w:r w:rsidRPr="0074359C">
              <w:rPr>
                <w:rFonts w:ascii="Times New Roman" w:hAnsi="Times New Roman" w:cs="Times New Roman"/>
                <w:b/>
                <w:bCs/>
                <w:sz w:val="24"/>
                <w:szCs w:val="24"/>
              </w:rPr>
              <w:t>VIII</w:t>
            </w:r>
          </w:p>
        </w:tc>
      </w:tr>
      <w:tr w:rsidR="00860187" w:rsidRPr="0074359C" w:rsidTr="00860187">
        <w:trPr>
          <w:trHeight w:val="445"/>
        </w:trPr>
        <w:tc>
          <w:tcPr>
            <w:tcW w:w="1279" w:type="dxa"/>
            <w:tcBorders>
              <w:top w:val="single" w:sz="4" w:space="0" w:color="auto"/>
            </w:tcBorders>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WBC(×10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1291"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6.60±0.20</w:t>
            </w:r>
            <w:r w:rsidRPr="0074359C">
              <w:rPr>
                <w:rFonts w:ascii="Times New Roman" w:hAnsi="Times New Roman" w:cs="Times New Roman"/>
                <w:sz w:val="20"/>
                <w:szCs w:val="20"/>
                <w:vertAlign w:val="superscript"/>
              </w:rPr>
              <w:t>a</w:t>
            </w:r>
          </w:p>
        </w:tc>
        <w:tc>
          <w:tcPr>
            <w:tcW w:w="13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16.60±0.79</w:t>
            </w:r>
            <w:r w:rsidRPr="0074359C">
              <w:rPr>
                <w:rFonts w:ascii="Times New Roman" w:hAnsi="Times New Roman" w:cs="Times New Roman"/>
                <w:sz w:val="20"/>
                <w:szCs w:val="20"/>
                <w:vertAlign w:val="superscript"/>
              </w:rPr>
              <w:t>c</w:t>
            </w:r>
          </w:p>
        </w:tc>
        <w:tc>
          <w:tcPr>
            <w:tcW w:w="13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10.10±3.03</w:t>
            </w:r>
            <w:r w:rsidRPr="0074359C">
              <w:rPr>
                <w:rFonts w:ascii="Times New Roman" w:hAnsi="Times New Roman" w:cs="Times New Roman"/>
                <w:sz w:val="20"/>
                <w:szCs w:val="20"/>
                <w:vertAlign w:val="superscript"/>
              </w:rPr>
              <w:t>b</w:t>
            </w:r>
          </w:p>
        </w:tc>
        <w:tc>
          <w:tcPr>
            <w:tcW w:w="1370"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9.03±2.50</w:t>
            </w:r>
            <w:r w:rsidRPr="0074359C">
              <w:rPr>
                <w:rFonts w:ascii="Times New Roman" w:hAnsi="Times New Roman" w:cs="Times New Roman"/>
                <w:sz w:val="20"/>
                <w:szCs w:val="20"/>
                <w:vertAlign w:val="superscript"/>
              </w:rPr>
              <w:t>b</w:t>
            </w:r>
          </w:p>
        </w:tc>
        <w:tc>
          <w:tcPr>
            <w:tcW w:w="12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8.93±3.54</w:t>
            </w:r>
            <w:r w:rsidRPr="0074359C">
              <w:rPr>
                <w:rFonts w:ascii="Times New Roman" w:hAnsi="Times New Roman" w:cs="Times New Roman"/>
                <w:sz w:val="20"/>
                <w:szCs w:val="20"/>
                <w:vertAlign w:val="superscript"/>
              </w:rPr>
              <w:t>b</w:t>
            </w:r>
          </w:p>
        </w:tc>
        <w:tc>
          <w:tcPr>
            <w:tcW w:w="12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12.40±3.41</w:t>
            </w:r>
            <w:r w:rsidRPr="0074359C">
              <w:rPr>
                <w:rFonts w:ascii="Times New Roman" w:hAnsi="Times New Roman" w:cs="Times New Roman"/>
                <w:sz w:val="20"/>
                <w:szCs w:val="20"/>
                <w:vertAlign w:val="superscript"/>
              </w:rPr>
              <w:t>c</w:t>
            </w:r>
          </w:p>
        </w:tc>
        <w:tc>
          <w:tcPr>
            <w:tcW w:w="1284"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12.33±2.16</w:t>
            </w:r>
            <w:r w:rsidRPr="0074359C">
              <w:rPr>
                <w:rFonts w:ascii="Times New Roman" w:hAnsi="Times New Roman" w:cs="Times New Roman"/>
                <w:sz w:val="20"/>
                <w:szCs w:val="20"/>
                <w:vertAlign w:val="superscript"/>
              </w:rPr>
              <w:t>c</w:t>
            </w:r>
          </w:p>
        </w:tc>
        <w:tc>
          <w:tcPr>
            <w:tcW w:w="1391" w:type="dxa"/>
            <w:tcBorders>
              <w:top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15.13±3.75</w:t>
            </w:r>
            <w:r w:rsidRPr="0074359C">
              <w:rPr>
                <w:rFonts w:ascii="Times New Roman" w:hAnsi="Times New Roman" w:cs="Times New Roman"/>
                <w:sz w:val="20"/>
                <w:szCs w:val="20"/>
                <w:vertAlign w:val="superscript"/>
              </w:rPr>
              <w:t>c</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PCV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37.13±0.42</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53.17±3.20</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50.80±7.16</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49.30±2.52</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53.03±0.90</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50.10±2.45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51.40±2.43</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52.80±2.88</w:t>
            </w:r>
            <w:r w:rsidRPr="0074359C">
              <w:rPr>
                <w:rFonts w:ascii="Times New Roman" w:hAnsi="Times New Roman" w:cs="Times New Roman"/>
                <w:sz w:val="20"/>
                <w:szCs w:val="20"/>
                <w:vertAlign w:val="superscript"/>
              </w:rPr>
              <w:t>b</w:t>
            </w:r>
          </w:p>
        </w:tc>
      </w:tr>
      <w:tr w:rsidR="00860187" w:rsidRPr="0074359C" w:rsidTr="00860187">
        <w:trPr>
          <w:trHeight w:val="45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lastRenderedPageBreak/>
              <w:t>PLT (×10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151.07±1.85</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118.67±13.67</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540.23±26.38</w:t>
            </w:r>
            <w:r w:rsidRPr="0074359C">
              <w:rPr>
                <w:rFonts w:ascii="Times New Roman" w:hAnsi="Times New Roman" w:cs="Times New Roman"/>
                <w:sz w:val="20"/>
                <w:szCs w:val="20"/>
                <w:vertAlign w:val="superscript"/>
              </w:rPr>
              <w:t>e</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735.57±16.26</w:t>
            </w:r>
            <w:r w:rsidRPr="0074359C">
              <w:rPr>
                <w:rFonts w:ascii="Times New Roman" w:hAnsi="Times New Roman" w:cs="Times New Roman"/>
                <w:sz w:val="20"/>
                <w:szCs w:val="20"/>
                <w:vertAlign w:val="superscript"/>
              </w:rPr>
              <w:t>f</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189.30±4.76</w:t>
            </w:r>
            <w:r w:rsidRPr="0074359C">
              <w:rPr>
                <w:rFonts w:ascii="Times New Roman" w:hAnsi="Times New Roman" w:cs="Times New Roman"/>
                <w:sz w:val="20"/>
                <w:szCs w:val="20"/>
                <w:vertAlign w:val="superscript"/>
              </w:rPr>
              <w:t>c</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126.90±8.87</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560.97±1.39</w:t>
            </w:r>
            <w:r w:rsidRPr="0074359C">
              <w:rPr>
                <w:rFonts w:ascii="Times New Roman" w:hAnsi="Times New Roman" w:cs="Times New Roman"/>
                <w:sz w:val="20"/>
                <w:szCs w:val="20"/>
                <w:vertAlign w:val="superscript"/>
              </w:rPr>
              <w:t>e</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229.20±18.27</w:t>
            </w:r>
            <w:r w:rsidRPr="0074359C">
              <w:rPr>
                <w:rFonts w:ascii="Times New Roman" w:hAnsi="Times New Roman" w:cs="Times New Roman"/>
                <w:sz w:val="20"/>
                <w:szCs w:val="20"/>
                <w:vertAlign w:val="superscript"/>
              </w:rPr>
              <w:t>d</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Pr>
                <w:rFonts w:ascii="Times New Roman" w:hAnsi="Times New Roman" w:cs="Times New Roman"/>
                <w:b/>
                <w:bCs/>
                <w:sz w:val="20"/>
                <w:szCs w:val="20"/>
              </w:rPr>
              <w:t>HB (g/dL</w:t>
            </w:r>
            <w:r w:rsidRPr="0074359C">
              <w:rPr>
                <w:rFonts w:ascii="Times New Roman" w:hAnsi="Times New Roman" w:cs="Times New Roman"/>
                <w:b/>
                <w:bCs/>
                <w:sz w:val="20"/>
                <w:szCs w:val="20"/>
              </w:rPr>
              <w:t>)</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11.70±0.20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16.07±2.41</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16.67±2.16</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16.63±0.31</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17.30±0.26</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16.17±0.67</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17.03±0.15</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17.67±0.70</w:t>
            </w:r>
            <w:r w:rsidRPr="0074359C">
              <w:rPr>
                <w:rFonts w:ascii="Times New Roman" w:hAnsi="Times New Roman" w:cs="Times New Roman"/>
                <w:sz w:val="20"/>
                <w:szCs w:val="20"/>
                <w:vertAlign w:val="superscript"/>
              </w:rPr>
              <w:t>b</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RBC (×10</w:t>
            </w:r>
            <w:r w:rsidRPr="0074359C">
              <w:rPr>
                <w:rFonts w:ascii="Times New Roman" w:hAnsi="Times New Roman" w:cs="Times New Roman"/>
                <w:b/>
                <w:bCs/>
                <w:sz w:val="20"/>
                <w:szCs w:val="20"/>
                <w:vertAlign w:val="superscript"/>
              </w:rPr>
              <w:t>12</w:t>
            </w:r>
            <w:r w:rsidRPr="0074359C">
              <w:rPr>
                <w:rFonts w:ascii="Times New Roman" w:hAnsi="Times New Roman" w:cs="Times New Roman"/>
                <w:b/>
                <w:bCs/>
                <w:sz w:val="20"/>
                <w:szCs w:val="20"/>
              </w:rPr>
              <w:t>/L)</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6.87±0.15</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7.93±2.21</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8.57±1.40</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7.53±0.15</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9.23±0.15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8.47±0.68</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9.17±0.32</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8.87±0.92</w:t>
            </w:r>
            <w:r w:rsidRPr="0074359C">
              <w:rPr>
                <w:rFonts w:ascii="Times New Roman" w:hAnsi="Times New Roman" w:cs="Times New Roman"/>
                <w:sz w:val="20"/>
                <w:szCs w:val="20"/>
                <w:vertAlign w:val="superscript"/>
              </w:rPr>
              <w:t>b</w:t>
            </w:r>
          </w:p>
        </w:tc>
      </w:tr>
      <w:tr w:rsidR="00860187" w:rsidRPr="0074359C" w:rsidTr="00860187">
        <w:trPr>
          <w:trHeight w:val="455"/>
        </w:trPr>
        <w:tc>
          <w:tcPr>
            <w:tcW w:w="1279" w:type="dxa"/>
          </w:tcPr>
          <w:p w:rsidR="00860187" w:rsidRPr="0074359C" w:rsidRDefault="00860187" w:rsidP="004B2B7E">
            <w:pPr>
              <w:spacing w:line="276" w:lineRule="auto"/>
              <w:rPr>
                <w:rFonts w:ascii="Times New Roman" w:hAnsi="Times New Roman" w:cs="Times New Roman"/>
                <w:b/>
                <w:bCs/>
                <w:sz w:val="20"/>
                <w:szCs w:val="20"/>
              </w:rPr>
            </w:pPr>
            <w:r>
              <w:rPr>
                <w:rFonts w:ascii="Times New Roman" w:hAnsi="Times New Roman" w:cs="Times New Roman"/>
                <w:b/>
                <w:bCs/>
                <w:sz w:val="20"/>
                <w:szCs w:val="20"/>
              </w:rPr>
              <w:t>MCV (</w:t>
            </w:r>
            <w:proofErr w:type="spellStart"/>
            <w:r>
              <w:rPr>
                <w:rFonts w:ascii="Times New Roman" w:hAnsi="Times New Roman" w:cs="Times New Roman"/>
                <w:b/>
                <w:bCs/>
                <w:sz w:val="20"/>
                <w:szCs w:val="20"/>
              </w:rPr>
              <w:t>fL</w:t>
            </w:r>
            <w:proofErr w:type="spellEnd"/>
            <w:r w:rsidRPr="0074359C">
              <w:rPr>
                <w:rFonts w:ascii="Times New Roman" w:hAnsi="Times New Roman" w:cs="Times New Roman"/>
                <w:b/>
                <w:bCs/>
                <w:sz w:val="20"/>
                <w:szCs w:val="20"/>
              </w:rPr>
              <w:t>)</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56.00±1.00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63.00±9.64</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59.00±1.00</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65.00±4.00</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57.00±1.00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59.00±1.73</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57.33±0.58</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59.33±3.06</w:t>
            </w:r>
            <w:r w:rsidRPr="0074359C">
              <w:rPr>
                <w:rFonts w:ascii="Times New Roman" w:hAnsi="Times New Roman" w:cs="Times New Roman"/>
                <w:sz w:val="20"/>
                <w:szCs w:val="20"/>
                <w:vertAlign w:val="superscript"/>
              </w:rPr>
              <w:t>b</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MCH (</w:t>
            </w:r>
            <w:proofErr w:type="spellStart"/>
            <w:r w:rsidRPr="0074359C">
              <w:rPr>
                <w:rFonts w:ascii="Times New Roman" w:hAnsi="Times New Roman" w:cs="Times New Roman"/>
                <w:b/>
                <w:bCs/>
                <w:sz w:val="20"/>
                <w:szCs w:val="20"/>
              </w:rPr>
              <w:t>pg</w:t>
            </w:r>
            <w:proofErr w:type="spellEnd"/>
            <w:r w:rsidRPr="0074359C">
              <w:rPr>
                <w:rFonts w:ascii="Times New Roman" w:hAnsi="Times New Roman" w:cs="Times New Roman"/>
                <w:b/>
                <w:bCs/>
                <w:sz w:val="20"/>
                <w:szCs w:val="20"/>
              </w:rPr>
              <w:t>)</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18.20±0.40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20.90±3.38</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19.43±0.78</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21.60±1.15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18.73±0.15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19.13±0.81</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18.93±0.40</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19.60±1.92</w:t>
            </w:r>
            <w:r w:rsidRPr="0074359C">
              <w:rPr>
                <w:rFonts w:ascii="Times New Roman" w:hAnsi="Times New Roman" w:cs="Times New Roman"/>
                <w:sz w:val="20"/>
                <w:szCs w:val="20"/>
                <w:vertAlign w:val="superscript"/>
              </w:rPr>
              <w:t>b</w:t>
            </w:r>
          </w:p>
        </w:tc>
      </w:tr>
      <w:tr w:rsidR="00860187" w:rsidRPr="0074359C" w:rsidTr="00860187">
        <w:trPr>
          <w:trHeight w:val="45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MCHC (g/d</w:t>
            </w:r>
            <w:r w:rsidR="00166877">
              <w:rPr>
                <w:rFonts w:ascii="Times New Roman" w:hAnsi="Times New Roman" w:cs="Times New Roman"/>
                <w:b/>
                <w:bCs/>
                <w:sz w:val="20"/>
                <w:szCs w:val="20"/>
              </w:rPr>
              <w:t>L</w:t>
            </w:r>
            <w:r w:rsidRPr="0074359C">
              <w:rPr>
                <w:rFonts w:ascii="Times New Roman" w:hAnsi="Times New Roman" w:cs="Times New Roman"/>
                <w:b/>
                <w:bCs/>
                <w:sz w:val="20"/>
                <w:szCs w:val="20"/>
              </w:rPr>
              <w:t>)</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32.77±0.15</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33.50±1.00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33.27±0.61</w:t>
            </w:r>
            <w:r w:rsidRPr="0074359C">
              <w:rPr>
                <w:rFonts w:ascii="Times New Roman" w:hAnsi="Times New Roman" w:cs="Times New Roman"/>
                <w:sz w:val="20"/>
                <w:szCs w:val="20"/>
                <w:vertAlign w:val="superscript"/>
              </w:rPr>
              <w:t>a</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33.23±0.75</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32.83±0.15</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32.57±0.59</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33.57±0.45</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33.07±1.70</w:t>
            </w:r>
            <w:r w:rsidRPr="0074359C">
              <w:rPr>
                <w:rFonts w:ascii="Times New Roman" w:hAnsi="Times New Roman" w:cs="Times New Roman"/>
                <w:sz w:val="20"/>
                <w:szCs w:val="20"/>
                <w:vertAlign w:val="superscript"/>
              </w:rPr>
              <w:t>a</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N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27.67±4.93</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18.00±12.16</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26.00±7.00</w:t>
            </w:r>
            <w:r w:rsidRPr="0074359C">
              <w:rPr>
                <w:rFonts w:ascii="Times New Roman" w:hAnsi="Times New Roman" w:cs="Times New Roman"/>
                <w:sz w:val="20"/>
                <w:szCs w:val="20"/>
                <w:vertAlign w:val="superscript"/>
              </w:rPr>
              <w:t>a</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23.67±8.50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22.00±1.00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25.00±0.00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28.67±9.07</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24.00±3.75</w:t>
            </w:r>
            <w:r w:rsidRPr="0074359C">
              <w:rPr>
                <w:rFonts w:ascii="Times New Roman" w:hAnsi="Times New Roman" w:cs="Times New Roman"/>
                <w:sz w:val="20"/>
                <w:szCs w:val="20"/>
                <w:vertAlign w:val="superscript"/>
              </w:rPr>
              <w:t>a</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L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64.00±7.00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77.67±12.74</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67.33±6.11</w:t>
            </w:r>
            <w:r w:rsidRPr="0074359C">
              <w:rPr>
                <w:rFonts w:ascii="Times New Roman" w:hAnsi="Times New Roman" w:cs="Times New Roman"/>
                <w:sz w:val="20"/>
                <w:szCs w:val="20"/>
                <w:vertAlign w:val="superscript"/>
              </w:rPr>
              <w:t>a</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69.33±10.07</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70.67±1.15</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68.33±2.31</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64.33±8.14</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69.67±13.32</w:t>
            </w:r>
            <w:r w:rsidRPr="0074359C">
              <w:rPr>
                <w:rFonts w:ascii="Times New Roman" w:hAnsi="Times New Roman" w:cs="Times New Roman"/>
                <w:sz w:val="20"/>
                <w:szCs w:val="20"/>
                <w:vertAlign w:val="superscript"/>
              </w:rPr>
              <w:t>a</w:t>
            </w:r>
          </w:p>
        </w:tc>
      </w:tr>
      <w:tr w:rsidR="00860187" w:rsidRPr="0074359C" w:rsidTr="00860187">
        <w:trPr>
          <w:trHeight w:val="45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M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5.33±1.15</w:t>
            </w:r>
            <w:r w:rsidRPr="0074359C">
              <w:rPr>
                <w:rFonts w:ascii="Times New Roman" w:hAnsi="Times New Roman" w:cs="Times New Roman"/>
                <w:sz w:val="20"/>
                <w:szCs w:val="20"/>
                <w:vertAlign w:val="superscript"/>
              </w:rPr>
              <w:t>b</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4.67±1.52</w:t>
            </w:r>
            <w:r w:rsidRPr="0074359C">
              <w:rPr>
                <w:rFonts w:ascii="Times New Roman" w:hAnsi="Times New Roman" w:cs="Times New Roman"/>
                <w:sz w:val="20"/>
                <w:szCs w:val="20"/>
                <w:vertAlign w:val="superscript"/>
              </w:rPr>
              <w:t>b</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4.33±1.52</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4.33±1.15</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4.00±1.00</w:t>
            </w:r>
            <w:r w:rsidRPr="0074359C">
              <w:rPr>
                <w:rFonts w:ascii="Times New Roman" w:hAnsi="Times New Roman" w:cs="Times New Roman"/>
                <w:sz w:val="20"/>
                <w:szCs w:val="20"/>
                <w:vertAlign w:val="superscript"/>
              </w:rPr>
              <w:t>b</w:t>
            </w:r>
          </w:p>
        </w:tc>
      </w:tr>
      <w:tr w:rsidR="00860187" w:rsidRPr="0074359C" w:rsidTr="00860187">
        <w:trPr>
          <w:trHeight w:val="445"/>
        </w:trPr>
        <w:tc>
          <w:tcPr>
            <w:tcW w:w="1279" w:type="dxa"/>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E (%)</w:t>
            </w:r>
          </w:p>
        </w:tc>
        <w:tc>
          <w:tcPr>
            <w:tcW w:w="12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13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1370"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1284"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1391" w:type="dxa"/>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r>
      <w:tr w:rsidR="00860187" w:rsidRPr="0074359C" w:rsidTr="00860187">
        <w:trPr>
          <w:trHeight w:val="455"/>
        </w:trPr>
        <w:tc>
          <w:tcPr>
            <w:tcW w:w="1279" w:type="dxa"/>
            <w:tcBorders>
              <w:bottom w:val="single" w:sz="4" w:space="0" w:color="auto"/>
            </w:tcBorders>
          </w:tcPr>
          <w:p w:rsidR="00860187" w:rsidRPr="0074359C" w:rsidRDefault="00860187" w:rsidP="004B2B7E">
            <w:pPr>
              <w:spacing w:line="276" w:lineRule="auto"/>
              <w:rPr>
                <w:rFonts w:ascii="Times New Roman" w:hAnsi="Times New Roman" w:cs="Times New Roman"/>
                <w:b/>
                <w:bCs/>
                <w:sz w:val="20"/>
                <w:szCs w:val="20"/>
              </w:rPr>
            </w:pPr>
            <w:r w:rsidRPr="0074359C">
              <w:rPr>
                <w:rFonts w:ascii="Times New Roman" w:hAnsi="Times New Roman" w:cs="Times New Roman"/>
                <w:b/>
                <w:bCs/>
                <w:sz w:val="20"/>
                <w:szCs w:val="20"/>
              </w:rPr>
              <w:t>B (%)</w:t>
            </w:r>
          </w:p>
        </w:tc>
        <w:tc>
          <w:tcPr>
            <w:tcW w:w="1291"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3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3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370"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2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12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1284"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1391" w:type="dxa"/>
            <w:tcBorders>
              <w:bottom w:val="single" w:sz="4" w:space="0" w:color="auto"/>
            </w:tcBorders>
          </w:tcPr>
          <w:p w:rsidR="00860187" w:rsidRPr="0074359C" w:rsidRDefault="00860187" w:rsidP="004B2B7E">
            <w:pPr>
              <w:spacing w:line="276" w:lineRule="auto"/>
              <w:rPr>
                <w:rFonts w:ascii="Times New Roman" w:hAnsi="Times New Roman" w:cs="Times New Roman"/>
                <w:sz w:val="20"/>
                <w:szCs w:val="20"/>
                <w:vertAlign w:val="superscript"/>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r>
    </w:tbl>
    <w:p w:rsidR="00860187" w:rsidRPr="0074359C" w:rsidRDefault="00860187" w:rsidP="004B2B7E">
      <w:pPr>
        <w:spacing w:line="276"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Table 5. Effects of Antibiotics on Hematological Parameters in Wister rats</w:t>
      </w:r>
    </w:p>
    <w:p w:rsidR="008A6E94" w:rsidRDefault="00860187" w:rsidP="008A6E94">
      <w:pPr>
        <w:spacing w:line="276"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across the groups indicate significant differences at P&lt;0.05. I=Control; II= Fluoroquinolones; III=Sulfonamide; IV=Gentamicin; V=Oxytetracycline; VI=Neomycin; VII</w:t>
      </w:r>
      <w:r w:rsidR="008A6E94">
        <w:rPr>
          <w:rFonts w:ascii="Times New Roman" w:hAnsi="Times New Roman" w:cs="Times New Roman"/>
          <w:bCs/>
          <w:i/>
          <w:sz w:val="24"/>
          <w:szCs w:val="24"/>
        </w:rPr>
        <w:t>=</w:t>
      </w:r>
      <w:proofErr w:type="spellStart"/>
      <w:r w:rsidR="008A6E94">
        <w:rPr>
          <w:rFonts w:ascii="Times New Roman" w:hAnsi="Times New Roman" w:cs="Times New Roman"/>
          <w:bCs/>
          <w:i/>
          <w:sz w:val="24"/>
          <w:szCs w:val="24"/>
        </w:rPr>
        <w:t>Tylosin</w:t>
      </w:r>
      <w:proofErr w:type="spellEnd"/>
      <w:r w:rsidR="008A6E94">
        <w:rPr>
          <w:rFonts w:ascii="Times New Roman" w:hAnsi="Times New Roman" w:cs="Times New Roman"/>
          <w:bCs/>
          <w:i/>
          <w:sz w:val="24"/>
          <w:szCs w:val="24"/>
        </w:rPr>
        <w:t xml:space="preserve">; VIII=Penicillin      </w:t>
      </w:r>
    </w:p>
    <w:p w:rsidR="008A6E94" w:rsidRDefault="008A6E94" w:rsidP="008A6E94">
      <w:pPr>
        <w:spacing w:line="276" w:lineRule="auto"/>
        <w:jc w:val="both"/>
        <w:rPr>
          <w:rFonts w:ascii="Times New Roman" w:hAnsi="Times New Roman" w:cs="Times New Roman"/>
          <w:bCs/>
          <w:i/>
          <w:sz w:val="24"/>
          <w:szCs w:val="24"/>
        </w:rPr>
      </w:pPr>
    </w:p>
    <w:p w:rsidR="008A6E94" w:rsidRDefault="004B2B7E" w:rsidP="004B2B7E">
      <w:pPr>
        <w:pStyle w:val="NormalWeb"/>
        <w:spacing w:line="276" w:lineRule="auto"/>
        <w:jc w:val="both"/>
      </w:pPr>
      <w:r>
        <w:t xml:space="preserve">The findings of this study clearly demonstrate that routine antibiotic use in poultry can result in significant accumulation of drug residues in edible tissues, which can then be transferred to consumers through the food chain. The high concentrations of penicillin (4.88 mg/g) and </w:t>
      </w:r>
      <w:proofErr w:type="spellStart"/>
      <w:r>
        <w:t>tylosin</w:t>
      </w:r>
      <w:proofErr w:type="spellEnd"/>
      <w:r>
        <w:t xml:space="preserve"> (1.17 mg/g) in broiler muscle, both well above the maximum residue limits (MRLs) established by U.S. and E.U. regulatory agencies highlight a serious violation of recommended withdrawal periods. These results align with previous studies showing that failure to adhere to withdrawal guidelines is a key factor contributing to antibiotic contamination in animal products [2, 3]. Although residues of gentamicin, oxytetracycline, neomycin, and sulfonamide were lower, they still exceeded permissible levels, emphasizing the public health risks of indiscriminate antibiotic use.</w:t>
      </w:r>
      <w:r w:rsidR="008A6E94">
        <w:t xml:space="preserve"> </w:t>
      </w:r>
    </w:p>
    <w:p w:rsidR="004B2B7E" w:rsidRDefault="004B2B7E" w:rsidP="004B2B7E">
      <w:pPr>
        <w:pStyle w:val="NormalWeb"/>
        <w:spacing w:line="276" w:lineRule="auto"/>
        <w:jc w:val="both"/>
      </w:pPr>
      <w:r>
        <w:t xml:space="preserve">The detection of residues in Wistar rat muscle after dietary exposure confirms that these compounds can move across trophic levels. This secondary contamination represents a potential hazard for humans, exposing them not only to the parent drug but also to active metabolites. Notably, residues remained detectable even after cooking, demonstrating the thermal stability of many veterinary antibiotics and the limitations of conventional food-processing techniques [4]. </w:t>
      </w:r>
      <w:r>
        <w:lastRenderedPageBreak/>
        <w:t>Such persistence increases the risk of chronic low-dose exposure in humans, a known contributor to the emergence of antimicrobial resistance (AMR) [5].</w:t>
      </w:r>
    </w:p>
    <w:p w:rsidR="004B2B7E" w:rsidRDefault="008A6E94" w:rsidP="004B2B7E">
      <w:pPr>
        <w:pStyle w:val="NormalWeb"/>
        <w:spacing w:line="276" w:lineRule="auto"/>
        <w:jc w:val="both"/>
      </w:pPr>
      <w:r>
        <w:t>Biochemical analysi</w:t>
      </w:r>
      <w:r w:rsidR="004B2B7E">
        <w:t>s of the rats revealed significant elevations in liver enzymes, including alanine transaminase (ALT), aspartate transaminase (AST), and alkaline phosphatase (ALP), particularly in groups exposed to oxytetracycline, penicillin, and gentamicin. These elevated enzyme levels are established indicators of liver cell damage, suggesting that dietary exposure to antibiotic residues can compromise hepatic function. In parallel, kidney biomarkers such as sodium, creatinine, and urea were significantly elevated, indicating nephrotoxic effects. Alterations in electrolyte balance, including increases in sodium and chloride, suggest disruptions in renal ion handling, which may contribute to hypertension and other systemic effects. These observations are consistent with previous reports linking chronic antibiotic exposure to hepatotoxicity and nephropathy in both animals and humans [6].</w:t>
      </w:r>
    </w:p>
    <w:p w:rsidR="004B2B7E" w:rsidRDefault="004B2B7E" w:rsidP="004B2B7E">
      <w:pPr>
        <w:pStyle w:val="NormalWeb"/>
        <w:spacing w:line="276" w:lineRule="auto"/>
        <w:jc w:val="both"/>
      </w:pPr>
      <w:r>
        <w:t>Hematological analysis revealed pronounced changes in white blood cell (WBC) counts and packed cell volume (PCV) in antibiotic-exposed groups. Leukocytosis reflects systemic inflammation, while increased PCV may indicate hemoconcentration due to fluid imbalance or a compensatory response to oxidative stress. These results suggest that antibiotic residues not only produce organ-specific toxicity but also stimulate immune activation and oxidative stress, mechanisms implicated in dr</w:t>
      </w:r>
      <w:r w:rsidR="0031279F">
        <w:t xml:space="preserve">ug-induced tissue damage [7, 8, </w:t>
      </w:r>
      <w:r>
        <w:t>9].</w:t>
      </w:r>
    </w:p>
    <w:p w:rsidR="008A6E94" w:rsidRDefault="004B2B7E" w:rsidP="008A6E94">
      <w:pPr>
        <w:pStyle w:val="NormalWeb"/>
        <w:spacing w:line="276" w:lineRule="auto"/>
        <w:jc w:val="both"/>
      </w:pPr>
      <w:r>
        <w:t>Beyond direct toxicity, continuous exposure to sub-therapeutic antibiotic residues in food contributes to antimicrobial resistance. Residues in meat and the environment create selective pressure favoring resistant bacterial strains [10]. These resistant organisms can reach humans through direct contact, consumption of contaminated food, or environmental routes, compromising the effectiveness of critical antibiotics [11, 12]. The global economic burden of AMR is substantial, with losses projected to reach USD 100 trillion by 2050</w:t>
      </w:r>
      <w:r w:rsidR="007D0A46">
        <w:t xml:space="preserve"> if current trends persist [5]. </w:t>
      </w:r>
      <w:r>
        <w:t>From a public health standpoint, these findings highlight the urgent need for targeted interventions. Enforcement of withdrawal periods before slaughter is essential to minimize tissue residue levels. Regular monitoring of antibiotic residues in food products should be strengthened to ensure compliance with regulations. The use of antibiotics for growth promotion and non-therapeutic purposes should be eliminated, in line with World Health Organization (WHO) recommendations [13]. Additionally, public awareness campaigns for farmers, veterinarians, and consumers are critical to encourage responsible antibiotic use and reduce the risk of AMR.</w:t>
      </w:r>
    </w:p>
    <w:p w:rsidR="007D0A46" w:rsidRDefault="007D0A46" w:rsidP="008A6E94">
      <w:pPr>
        <w:pStyle w:val="NormalWeb"/>
        <w:spacing w:line="276" w:lineRule="auto"/>
        <w:jc w:val="both"/>
      </w:pPr>
    </w:p>
    <w:p w:rsidR="004B2B7E" w:rsidRPr="008A6E94" w:rsidRDefault="004B2B7E" w:rsidP="008A6E94">
      <w:pPr>
        <w:pStyle w:val="NormalWeb"/>
        <w:numPr>
          <w:ilvl w:val="0"/>
          <w:numId w:val="6"/>
        </w:numPr>
        <w:spacing w:line="276" w:lineRule="auto"/>
        <w:jc w:val="both"/>
        <w:rPr>
          <w:b/>
        </w:rPr>
      </w:pPr>
      <w:r w:rsidRPr="008A6E94">
        <w:rPr>
          <w:b/>
        </w:rPr>
        <w:t>CONCLUSION</w:t>
      </w:r>
    </w:p>
    <w:p w:rsidR="004B2B7E" w:rsidRDefault="004B2B7E" w:rsidP="004B2B7E">
      <w:pPr>
        <w:pStyle w:val="NormalWeb"/>
        <w:spacing w:line="276" w:lineRule="auto"/>
        <w:jc w:val="both"/>
      </w:pPr>
      <w:r>
        <w:t xml:space="preserve">The administration of antibiotics in poultry results in residue accumulation in meat, which, when consumed, can induce significant liver, kidney, and hematological disturbances in mammals. To </w:t>
      </w:r>
      <w:r>
        <w:lastRenderedPageBreak/>
        <w:t>protect consumers and mitigate the emergence of antimicrobial resistance, it is essential to implement strict regulatory oversight, conduct routine residue monitoring, and ensure rational use of antibiotics in animal production.</w:t>
      </w:r>
    </w:p>
    <w:p w:rsidR="00C83358" w:rsidRPr="00C83358" w:rsidRDefault="00C83358" w:rsidP="00C83358">
      <w:pPr>
        <w:pStyle w:val="NormalWeb"/>
        <w:spacing w:line="276" w:lineRule="auto"/>
        <w:jc w:val="both"/>
        <w:rPr>
          <w:b/>
        </w:rPr>
      </w:pPr>
      <w:r w:rsidRPr="00C83358">
        <w:rPr>
          <w:b/>
        </w:rPr>
        <w:t xml:space="preserve">Ethical Approval: </w:t>
      </w:r>
    </w:p>
    <w:p w:rsidR="004B2B7E" w:rsidRPr="00860187" w:rsidRDefault="00C83358" w:rsidP="00C83358">
      <w:pPr>
        <w:pStyle w:val="NormalWeb"/>
        <w:spacing w:line="276" w:lineRule="auto"/>
        <w:jc w:val="both"/>
      </w:pPr>
      <w:r>
        <w:t>Ethical approval was granted by the Ethical Committee, Nasarawa State University, Keffi.</w:t>
      </w:r>
    </w:p>
    <w:p w:rsidR="00C83358" w:rsidRDefault="00C83358" w:rsidP="004B2B7E">
      <w:pPr>
        <w:pStyle w:val="NormalWeb"/>
        <w:tabs>
          <w:tab w:val="center" w:pos="4680"/>
        </w:tabs>
        <w:spacing w:line="276" w:lineRule="auto"/>
        <w:jc w:val="both"/>
        <w:rPr>
          <w:b/>
        </w:rPr>
      </w:pPr>
    </w:p>
    <w:p w:rsidR="004B2B7E" w:rsidRDefault="004B2B7E" w:rsidP="004B2B7E">
      <w:pPr>
        <w:pStyle w:val="NormalWeb"/>
        <w:tabs>
          <w:tab w:val="center" w:pos="4680"/>
        </w:tabs>
        <w:spacing w:line="276" w:lineRule="auto"/>
        <w:jc w:val="both"/>
        <w:rPr>
          <w:b/>
        </w:rPr>
      </w:pPr>
      <w:r w:rsidRPr="0074359C">
        <w:rPr>
          <w:b/>
        </w:rPr>
        <w:t>REFERENCES</w:t>
      </w:r>
    </w:p>
    <w:p w:rsidR="004B2B7E" w:rsidRPr="00484C98" w:rsidRDefault="004B2B7E" w:rsidP="004B2B7E">
      <w:pPr>
        <w:spacing w:line="276" w:lineRule="auto"/>
        <w:ind w:left="720" w:hanging="720"/>
        <w:rPr>
          <w:rFonts w:ascii="Times New Roman" w:hAnsi="Times New Roman" w:cs="Times New Roman"/>
          <w:sz w:val="24"/>
          <w:szCs w:val="24"/>
        </w:rPr>
      </w:pPr>
      <w:r w:rsidRPr="006420A1">
        <w:rPr>
          <w:rFonts w:ascii="Times New Roman" w:hAnsi="Times New Roman" w:cs="Times New Roman"/>
          <w:sz w:val="24"/>
          <w:szCs w:val="24"/>
          <w:vertAlign w:val="subscript"/>
        </w:rPr>
        <w:t>[1]</w:t>
      </w:r>
      <w:r w:rsidRPr="00484C98">
        <w:rPr>
          <w:rFonts w:ascii="Times New Roman" w:hAnsi="Times New Roman" w:cs="Times New Roman"/>
          <w:sz w:val="24"/>
          <w:szCs w:val="24"/>
        </w:rPr>
        <w:t xml:space="preserve"> </w:t>
      </w:r>
      <w:proofErr w:type="spellStart"/>
      <w:r w:rsidRPr="00484C98">
        <w:rPr>
          <w:rFonts w:ascii="Times New Roman" w:hAnsi="Times New Roman" w:cs="Times New Roman"/>
          <w:sz w:val="24"/>
          <w:szCs w:val="24"/>
        </w:rPr>
        <w:t>Denyer</w:t>
      </w:r>
      <w:proofErr w:type="spellEnd"/>
      <w:r w:rsidRPr="00484C98">
        <w:rPr>
          <w:rFonts w:ascii="Times New Roman" w:hAnsi="Times New Roman" w:cs="Times New Roman"/>
          <w:sz w:val="24"/>
          <w:szCs w:val="24"/>
        </w:rPr>
        <w:t xml:space="preserve">, S. P., Hodges, N. A., &amp; Gorman, S. P. (2004). Mechanisms of antibiotic action and </w:t>
      </w:r>
      <w:r>
        <w:rPr>
          <w:rFonts w:ascii="Times New Roman" w:hAnsi="Times New Roman" w:cs="Times New Roman"/>
          <w:sz w:val="24"/>
          <w:szCs w:val="24"/>
        </w:rPr>
        <w:t xml:space="preserve">       </w:t>
      </w:r>
      <w:r w:rsidRPr="00484C98">
        <w:rPr>
          <w:rFonts w:ascii="Times New Roman" w:hAnsi="Times New Roman" w:cs="Times New Roman"/>
          <w:sz w:val="24"/>
          <w:szCs w:val="24"/>
        </w:rPr>
        <w:t xml:space="preserve">resistance. </w:t>
      </w:r>
      <w:r w:rsidRPr="0074140A">
        <w:rPr>
          <w:rFonts w:ascii="Times New Roman" w:hAnsi="Times New Roman" w:cs="Times New Roman"/>
          <w:i/>
          <w:sz w:val="24"/>
          <w:szCs w:val="24"/>
        </w:rPr>
        <w:t>Journal of Antimicrobial Chemotherapy</w:t>
      </w:r>
      <w:r w:rsidRPr="00484C98">
        <w:rPr>
          <w:rFonts w:ascii="Times New Roman" w:hAnsi="Times New Roman" w:cs="Times New Roman"/>
          <w:sz w:val="24"/>
          <w:szCs w:val="24"/>
        </w:rPr>
        <w:t>, 54(5), 987–990. https://doi.org/10.1093/jac/dkh447</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w:t>
      </w:r>
      <w:r w:rsidRPr="00484C98">
        <w:rPr>
          <w:rFonts w:ascii="Times New Roman" w:hAnsi="Times New Roman" w:cs="Times New Roman"/>
          <w:sz w:val="24"/>
          <w:szCs w:val="24"/>
        </w:rPr>
        <w:t xml:space="preserve"> Schlegel, H. G. (2003). General microbiology (7th ed.). Cambridge University Press.</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[3]</w:t>
      </w:r>
      <w:r w:rsidRPr="00484C98">
        <w:rPr>
          <w:rFonts w:ascii="Times New Roman" w:hAnsi="Times New Roman" w:cs="Times New Roman"/>
          <w:sz w:val="24"/>
          <w:szCs w:val="24"/>
        </w:rPr>
        <w:t xml:space="preserve"> Russell, A. D. (2004). Bacterial adaptation and resistance to antibiotics: Challenges and solutions. </w:t>
      </w:r>
      <w:r w:rsidRPr="0074140A">
        <w:rPr>
          <w:rFonts w:ascii="Times New Roman" w:hAnsi="Times New Roman" w:cs="Times New Roman"/>
          <w:i/>
          <w:sz w:val="24"/>
          <w:szCs w:val="24"/>
        </w:rPr>
        <w:t>Journal of Applied Microbiology</w:t>
      </w:r>
      <w:r w:rsidRPr="00484C98">
        <w:rPr>
          <w:rFonts w:ascii="Times New Roman" w:hAnsi="Times New Roman" w:cs="Times New Roman"/>
          <w:sz w:val="24"/>
          <w:szCs w:val="24"/>
        </w:rPr>
        <w:t>, 96(3), 489–496. https://doi.org/</w:t>
      </w:r>
      <w:r>
        <w:rPr>
          <w:rFonts w:ascii="Times New Roman" w:hAnsi="Times New Roman" w:cs="Times New Roman"/>
          <w:sz w:val="24"/>
          <w:szCs w:val="24"/>
        </w:rPr>
        <w:t>10.1046/j.1365-2672.2004.02154.</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[4]</w:t>
      </w:r>
      <w:r w:rsidRPr="00484C98">
        <w:rPr>
          <w:rFonts w:ascii="Times New Roman" w:hAnsi="Times New Roman" w:cs="Times New Roman"/>
          <w:sz w:val="24"/>
          <w:szCs w:val="24"/>
        </w:rPr>
        <w:t xml:space="preserve"> Walsh, C. (2003). Antibiotics: Actions, origins, resistance. ASM Press.</w:t>
      </w:r>
    </w:p>
    <w:p w:rsidR="004B2B7E" w:rsidRPr="00484C98" w:rsidRDefault="004B2B7E" w:rsidP="004B2B7E">
      <w:pPr>
        <w:autoSpaceDE w:val="0"/>
        <w:autoSpaceDN w:val="0"/>
        <w:adjustRightInd w:val="0"/>
        <w:spacing w:after="0" w:line="276"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[5]</w:t>
      </w:r>
      <w:r>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Yüce</w:t>
      </w:r>
      <w:proofErr w:type="spellEnd"/>
      <w:r w:rsidRPr="00FF49B0">
        <w:rPr>
          <w:rFonts w:ascii="Times New Roman" w:hAnsi="Times New Roman" w:cs="Times New Roman"/>
          <w:sz w:val="24"/>
          <w:szCs w:val="24"/>
        </w:rPr>
        <w:t xml:space="preserve">, A. (2001). </w:t>
      </w:r>
      <w:proofErr w:type="spellStart"/>
      <w:r w:rsidRPr="00FF49B0">
        <w:rPr>
          <w:rFonts w:ascii="Times New Roman" w:hAnsi="Times New Roman" w:cs="Times New Roman"/>
          <w:sz w:val="24"/>
          <w:szCs w:val="24"/>
        </w:rPr>
        <w:t>Antimikrobiyal</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ilaçlara</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direnç</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kazanma</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mekanizmaları</w:t>
      </w:r>
      <w:proofErr w:type="spellEnd"/>
      <w:r w:rsidRPr="00FF49B0">
        <w:rPr>
          <w:rFonts w:ascii="Times New Roman" w:hAnsi="Times New Roman" w:cs="Times New Roman"/>
          <w:sz w:val="24"/>
          <w:szCs w:val="24"/>
        </w:rPr>
        <w:t xml:space="preserve">. </w:t>
      </w:r>
      <w:proofErr w:type="spellStart"/>
      <w:r w:rsidRPr="00FF49B0">
        <w:rPr>
          <w:rFonts w:ascii="Times New Roman" w:hAnsi="Times New Roman" w:cs="Times New Roman"/>
          <w:i/>
          <w:iCs/>
          <w:sz w:val="24"/>
          <w:szCs w:val="24"/>
        </w:rPr>
        <w:t>Klimik</w:t>
      </w:r>
      <w:proofErr w:type="spellEnd"/>
      <w:r w:rsidRPr="00FF49B0">
        <w:rPr>
          <w:rFonts w:ascii="Times New Roman" w:hAnsi="Times New Roman" w:cs="Times New Roman"/>
          <w:i/>
          <w:iCs/>
          <w:sz w:val="24"/>
          <w:szCs w:val="24"/>
        </w:rPr>
        <w:t xml:space="preserve"> </w:t>
      </w:r>
      <w:proofErr w:type="spellStart"/>
      <w:r w:rsidRPr="00FF49B0">
        <w:rPr>
          <w:rFonts w:ascii="Times New Roman" w:hAnsi="Times New Roman" w:cs="Times New Roman"/>
          <w:i/>
          <w:iCs/>
          <w:sz w:val="24"/>
          <w:szCs w:val="24"/>
        </w:rPr>
        <w:t>Dergisi</w:t>
      </w:r>
      <w:proofErr w:type="spellEnd"/>
      <w:r w:rsidRPr="00FF49B0">
        <w:rPr>
          <w:rFonts w:ascii="Times New Roman" w:hAnsi="Times New Roman" w:cs="Times New Roman"/>
          <w:sz w:val="24"/>
          <w:szCs w:val="24"/>
        </w:rPr>
        <w:t xml:space="preserve"> 14:41-46.</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[6]</w:t>
      </w:r>
      <w:r w:rsidRPr="00484C98">
        <w:rPr>
          <w:rFonts w:ascii="Times New Roman" w:hAnsi="Times New Roman" w:cs="Times New Roman"/>
          <w:sz w:val="24"/>
          <w:szCs w:val="24"/>
        </w:rPr>
        <w:t xml:space="preserve"> Gold, H. S., &amp; </w:t>
      </w:r>
      <w:proofErr w:type="spellStart"/>
      <w:r w:rsidRPr="00484C98">
        <w:rPr>
          <w:rFonts w:ascii="Times New Roman" w:hAnsi="Times New Roman" w:cs="Times New Roman"/>
          <w:sz w:val="24"/>
          <w:szCs w:val="24"/>
        </w:rPr>
        <w:t>Moellering</w:t>
      </w:r>
      <w:proofErr w:type="spellEnd"/>
      <w:r w:rsidRPr="00484C98">
        <w:rPr>
          <w:rFonts w:ascii="Times New Roman" w:hAnsi="Times New Roman" w:cs="Times New Roman"/>
          <w:sz w:val="24"/>
          <w:szCs w:val="24"/>
        </w:rPr>
        <w:t xml:space="preserve">, R. C. (1996). Antimicrobial-drug resistance. </w:t>
      </w:r>
      <w:r w:rsidRPr="0074140A">
        <w:rPr>
          <w:rFonts w:ascii="Times New Roman" w:hAnsi="Times New Roman" w:cs="Times New Roman"/>
          <w:i/>
          <w:sz w:val="24"/>
          <w:szCs w:val="24"/>
        </w:rPr>
        <w:t>New England Journal of Medicine,</w:t>
      </w:r>
      <w:r w:rsidRPr="00484C98">
        <w:rPr>
          <w:rFonts w:ascii="Times New Roman" w:hAnsi="Times New Roman" w:cs="Times New Roman"/>
          <w:sz w:val="24"/>
          <w:szCs w:val="24"/>
        </w:rPr>
        <w:t xml:space="preserve"> 335(19), 1445–1453. https://doi.org/10.1056/NEJM199611073351907</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[7]</w:t>
      </w:r>
      <w:r w:rsidRPr="00484C98">
        <w:rPr>
          <w:rFonts w:ascii="Times New Roman" w:hAnsi="Times New Roman" w:cs="Times New Roman"/>
          <w:sz w:val="24"/>
          <w:szCs w:val="24"/>
        </w:rPr>
        <w:t xml:space="preserve"> Holmes, A. H., Moore, L. S. P., </w:t>
      </w:r>
      <w:proofErr w:type="spellStart"/>
      <w:r w:rsidRPr="00484C98">
        <w:rPr>
          <w:rFonts w:ascii="Times New Roman" w:hAnsi="Times New Roman" w:cs="Times New Roman"/>
          <w:sz w:val="24"/>
          <w:szCs w:val="24"/>
        </w:rPr>
        <w:t>Sundsfjord</w:t>
      </w:r>
      <w:proofErr w:type="spellEnd"/>
      <w:r w:rsidRPr="00484C98">
        <w:rPr>
          <w:rFonts w:ascii="Times New Roman" w:hAnsi="Times New Roman" w:cs="Times New Roman"/>
          <w:sz w:val="24"/>
          <w:szCs w:val="24"/>
        </w:rPr>
        <w:t xml:space="preserve">, A., </w:t>
      </w:r>
      <w:proofErr w:type="spellStart"/>
      <w:r w:rsidRPr="00484C98">
        <w:rPr>
          <w:rFonts w:ascii="Times New Roman" w:hAnsi="Times New Roman" w:cs="Times New Roman"/>
          <w:sz w:val="24"/>
          <w:szCs w:val="24"/>
        </w:rPr>
        <w:t>Steinbakk</w:t>
      </w:r>
      <w:proofErr w:type="spellEnd"/>
      <w:r w:rsidRPr="00484C98">
        <w:rPr>
          <w:rFonts w:ascii="Times New Roman" w:hAnsi="Times New Roman" w:cs="Times New Roman"/>
          <w:sz w:val="24"/>
          <w:szCs w:val="24"/>
        </w:rPr>
        <w:t xml:space="preserve">, M., </w:t>
      </w:r>
      <w:proofErr w:type="spellStart"/>
      <w:r w:rsidRPr="00484C98">
        <w:rPr>
          <w:rFonts w:ascii="Times New Roman" w:hAnsi="Times New Roman" w:cs="Times New Roman"/>
          <w:sz w:val="24"/>
          <w:szCs w:val="24"/>
        </w:rPr>
        <w:t>Regmi</w:t>
      </w:r>
      <w:proofErr w:type="spellEnd"/>
      <w:r w:rsidRPr="00484C98">
        <w:rPr>
          <w:rFonts w:ascii="Times New Roman" w:hAnsi="Times New Roman" w:cs="Times New Roman"/>
          <w:sz w:val="24"/>
          <w:szCs w:val="24"/>
        </w:rPr>
        <w:t xml:space="preserve">, S., </w:t>
      </w:r>
      <w:proofErr w:type="spellStart"/>
      <w:r w:rsidRPr="00484C98">
        <w:rPr>
          <w:rFonts w:ascii="Times New Roman" w:hAnsi="Times New Roman" w:cs="Times New Roman"/>
          <w:sz w:val="24"/>
          <w:szCs w:val="24"/>
        </w:rPr>
        <w:t>Karkey</w:t>
      </w:r>
      <w:proofErr w:type="spellEnd"/>
      <w:r w:rsidRPr="00484C98">
        <w:rPr>
          <w:rFonts w:ascii="Times New Roman" w:hAnsi="Times New Roman" w:cs="Times New Roman"/>
          <w:sz w:val="24"/>
          <w:szCs w:val="24"/>
        </w:rPr>
        <w:t xml:space="preserve">, A., Guerin, P. J., &amp; Piddock, L. J. V. (2016). Understanding the mechanisms and drivers of antimicrobial resistance. </w:t>
      </w:r>
      <w:r w:rsidRPr="0074140A">
        <w:rPr>
          <w:rFonts w:ascii="Times New Roman" w:hAnsi="Times New Roman" w:cs="Times New Roman"/>
          <w:i/>
          <w:sz w:val="24"/>
          <w:szCs w:val="24"/>
        </w:rPr>
        <w:t>The Lancet</w:t>
      </w:r>
      <w:r w:rsidRPr="00484C98">
        <w:rPr>
          <w:rFonts w:ascii="Times New Roman" w:hAnsi="Times New Roman" w:cs="Times New Roman"/>
          <w:sz w:val="24"/>
          <w:szCs w:val="24"/>
        </w:rPr>
        <w:t>, 387(10014), 176–187. https://doi.org/10.1016/S0140-6736(15)00473-0</w:t>
      </w:r>
    </w:p>
    <w:p w:rsidR="004B2B7E" w:rsidRPr="00600403"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[8]</w:t>
      </w:r>
      <w:r w:rsidRPr="00484C98">
        <w:rPr>
          <w:rFonts w:ascii="Times New Roman" w:hAnsi="Times New Roman" w:cs="Times New Roman"/>
          <w:sz w:val="24"/>
          <w:szCs w:val="24"/>
        </w:rPr>
        <w:t xml:space="preserve"> </w:t>
      </w:r>
      <w:r w:rsidRPr="00600403">
        <w:rPr>
          <w:rFonts w:ascii="Times New Roman" w:hAnsi="Times New Roman" w:cs="Times New Roman"/>
          <w:sz w:val="24"/>
          <w:szCs w:val="24"/>
        </w:rPr>
        <w:t xml:space="preserve">Chowdhury, S., Hassan, M. M., </w:t>
      </w:r>
      <w:proofErr w:type="spellStart"/>
      <w:r w:rsidRPr="00600403">
        <w:rPr>
          <w:rFonts w:ascii="Times New Roman" w:hAnsi="Times New Roman" w:cs="Times New Roman"/>
          <w:sz w:val="24"/>
          <w:szCs w:val="24"/>
        </w:rPr>
        <w:t>Alam</w:t>
      </w:r>
      <w:proofErr w:type="spellEnd"/>
      <w:r w:rsidRPr="00600403">
        <w:rPr>
          <w:rFonts w:ascii="Times New Roman" w:hAnsi="Times New Roman" w:cs="Times New Roman"/>
          <w:sz w:val="24"/>
          <w:szCs w:val="24"/>
        </w:rPr>
        <w:t xml:space="preserve">, M., Sattar, S., Bari, M. S., </w:t>
      </w:r>
      <w:proofErr w:type="spellStart"/>
      <w:r w:rsidRPr="00600403">
        <w:rPr>
          <w:rFonts w:ascii="Times New Roman" w:hAnsi="Times New Roman" w:cs="Times New Roman"/>
          <w:sz w:val="24"/>
          <w:szCs w:val="24"/>
        </w:rPr>
        <w:t>Saifuddin</w:t>
      </w:r>
      <w:proofErr w:type="spellEnd"/>
      <w:r w:rsidRPr="00600403">
        <w:rPr>
          <w:rFonts w:ascii="Times New Roman" w:hAnsi="Times New Roman" w:cs="Times New Roman"/>
          <w:sz w:val="24"/>
          <w:szCs w:val="24"/>
        </w:rPr>
        <w:t xml:space="preserve">, A. K. M., &amp; Hoque, M. A. (2015). Antibiotic residues in milk and eggs of commercial and local farms at Chittagong, Bangladesh. </w:t>
      </w:r>
      <w:r w:rsidRPr="00600403">
        <w:rPr>
          <w:rStyle w:val="Emphasis"/>
          <w:rFonts w:ascii="Times New Roman" w:hAnsi="Times New Roman" w:cs="Times New Roman"/>
          <w:sz w:val="24"/>
          <w:szCs w:val="24"/>
        </w:rPr>
        <w:t>Veterinary World, 8</w:t>
      </w:r>
      <w:r w:rsidRPr="00600403">
        <w:rPr>
          <w:rFonts w:ascii="Times New Roman" w:hAnsi="Times New Roman" w:cs="Times New Roman"/>
          <w:sz w:val="24"/>
          <w:szCs w:val="24"/>
        </w:rPr>
        <w:t>(4), 467–471. https://doi.org/10.14202/vetworld.2015.467-471</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[9]</w:t>
      </w:r>
      <w:r>
        <w:rPr>
          <w:rFonts w:ascii="Times New Roman" w:hAnsi="Times New Roman" w:cs="Times New Roman"/>
          <w:sz w:val="24"/>
          <w:szCs w:val="24"/>
        </w:rPr>
        <w:t xml:space="preserve"> </w:t>
      </w:r>
      <w:r w:rsidRPr="00831CB2">
        <w:rPr>
          <w:rFonts w:ascii="Times New Roman" w:hAnsi="Times New Roman" w:cs="Times New Roman"/>
          <w:sz w:val="24"/>
          <w:szCs w:val="24"/>
        </w:rPr>
        <w:t xml:space="preserve">Hassan, M. M., Siam, M., Shahid, M., Chowdhury, S. R., Islam, M. R., Haque, M. M., et al. (2021). Residual antimicrobial agents in food originating from animals: Public health concerns. </w:t>
      </w:r>
      <w:r w:rsidRPr="00831CB2">
        <w:rPr>
          <w:rFonts w:ascii="Times New Roman" w:hAnsi="Times New Roman" w:cs="Times New Roman"/>
          <w:i/>
          <w:sz w:val="24"/>
          <w:szCs w:val="24"/>
        </w:rPr>
        <w:t>Frontiers in Microbiology</w:t>
      </w:r>
      <w:r w:rsidRPr="00831CB2">
        <w:rPr>
          <w:rFonts w:ascii="Times New Roman" w:hAnsi="Times New Roman" w:cs="Times New Roman"/>
          <w:sz w:val="24"/>
          <w:szCs w:val="24"/>
        </w:rPr>
        <w:t>, 12, 697812. https://doi.org/10.3389/fmicb.2021.697812</w:t>
      </w:r>
    </w:p>
    <w:p w:rsidR="004B2B7E"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lastRenderedPageBreak/>
        <w:t>[10]</w:t>
      </w:r>
      <w:r w:rsidRPr="00484C98">
        <w:rPr>
          <w:rFonts w:ascii="Times New Roman" w:hAnsi="Times New Roman" w:cs="Times New Roman"/>
          <w:sz w:val="24"/>
          <w:szCs w:val="24"/>
        </w:rPr>
        <w:t xml:space="preserve"> </w:t>
      </w:r>
      <w:proofErr w:type="spellStart"/>
      <w:r w:rsidRPr="00F13686">
        <w:rPr>
          <w:rFonts w:ascii="Times New Roman" w:hAnsi="Times New Roman" w:cs="Times New Roman"/>
          <w:sz w:val="24"/>
          <w:szCs w:val="24"/>
        </w:rPr>
        <w:t>Treiber</w:t>
      </w:r>
      <w:proofErr w:type="spellEnd"/>
      <w:r w:rsidRPr="00F13686">
        <w:rPr>
          <w:rFonts w:ascii="Times New Roman" w:hAnsi="Times New Roman" w:cs="Times New Roman"/>
          <w:sz w:val="24"/>
          <w:szCs w:val="24"/>
        </w:rPr>
        <w:t xml:space="preserve">, F. M., Santini, A., &amp; Colangelo, D. (2021). </w:t>
      </w:r>
      <w:proofErr w:type="spellStart"/>
      <w:proofErr w:type="gramStart"/>
      <w:r w:rsidRPr="00F13686">
        <w:rPr>
          <w:rFonts w:ascii="Times New Roman" w:hAnsi="Times New Roman" w:cs="Times New Roman"/>
          <w:sz w:val="24"/>
          <w:szCs w:val="24"/>
        </w:rPr>
        <w:t>Antibiotics</w:t>
      </w:r>
      <w:r>
        <w:rPr>
          <w:rStyle w:val="Emphasis"/>
          <w:rFonts w:ascii="Times New Roman" w:hAnsi="Times New Roman" w:cs="Times New Roman"/>
          <w:sz w:val="24"/>
          <w:szCs w:val="24"/>
        </w:rPr>
        <w:t>..</w:t>
      </w:r>
      <w:proofErr w:type="gramEnd"/>
      <w:r w:rsidRPr="00F13686">
        <w:rPr>
          <w:rStyle w:val="Emphasis"/>
          <w:rFonts w:ascii="Times New Roman" w:hAnsi="Times New Roman" w:cs="Times New Roman"/>
          <w:sz w:val="24"/>
          <w:szCs w:val="24"/>
        </w:rPr>
        <w:t>Antimicrobial</w:t>
      </w:r>
      <w:proofErr w:type="spellEnd"/>
      <w:r w:rsidRPr="00F13686">
        <w:rPr>
          <w:rStyle w:val="Emphasis"/>
          <w:rFonts w:ascii="Times New Roman" w:hAnsi="Times New Roman" w:cs="Times New Roman"/>
          <w:sz w:val="24"/>
          <w:szCs w:val="24"/>
        </w:rPr>
        <w:t xml:space="preserve"> residues in food from animal origin — a review of the literature focusing on products collected </w:t>
      </w:r>
      <w:r>
        <w:rPr>
          <w:rStyle w:val="Emphasis"/>
          <w:rFonts w:ascii="Times New Roman" w:hAnsi="Times New Roman" w:cs="Times New Roman"/>
          <w:sz w:val="24"/>
          <w:szCs w:val="24"/>
        </w:rPr>
        <w:t>in stores and markets worldwide</w:t>
      </w:r>
      <w:r w:rsidRPr="00F13686">
        <w:rPr>
          <w:rFonts w:ascii="Times New Roman" w:hAnsi="Times New Roman" w:cs="Times New Roman"/>
          <w:sz w:val="24"/>
          <w:szCs w:val="24"/>
        </w:rPr>
        <w:t>, 10(5), 534. https://doi.org/10.3390/antibiotics10050534</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[11]</w:t>
      </w:r>
      <w:r w:rsidRPr="00484C98">
        <w:rPr>
          <w:rFonts w:ascii="Times New Roman" w:hAnsi="Times New Roman" w:cs="Times New Roman"/>
          <w:sz w:val="24"/>
          <w:szCs w:val="24"/>
        </w:rPr>
        <w:t xml:space="preserve"> Landers, T. F., Cohen, B., </w:t>
      </w:r>
      <w:proofErr w:type="spellStart"/>
      <w:r w:rsidRPr="00484C98">
        <w:rPr>
          <w:rFonts w:ascii="Times New Roman" w:hAnsi="Times New Roman" w:cs="Times New Roman"/>
          <w:sz w:val="24"/>
          <w:szCs w:val="24"/>
        </w:rPr>
        <w:t>Wittum</w:t>
      </w:r>
      <w:proofErr w:type="spellEnd"/>
      <w:r w:rsidRPr="00484C98">
        <w:rPr>
          <w:rFonts w:ascii="Times New Roman" w:hAnsi="Times New Roman" w:cs="Times New Roman"/>
          <w:sz w:val="24"/>
          <w:szCs w:val="24"/>
        </w:rPr>
        <w:t xml:space="preserve">, T. E., &amp; Larson, E. L. (2012). A review of antibiotic use in food animals: Perspective, policy, and potential. </w:t>
      </w:r>
      <w:r w:rsidRPr="0074140A">
        <w:rPr>
          <w:rFonts w:ascii="Times New Roman" w:hAnsi="Times New Roman" w:cs="Times New Roman"/>
          <w:i/>
          <w:sz w:val="24"/>
          <w:szCs w:val="24"/>
        </w:rPr>
        <w:t>Clinical Infectious Diseases</w:t>
      </w:r>
      <w:r w:rsidRPr="00484C98">
        <w:rPr>
          <w:rFonts w:ascii="Times New Roman" w:hAnsi="Times New Roman" w:cs="Times New Roman"/>
          <w:sz w:val="24"/>
          <w:szCs w:val="24"/>
        </w:rPr>
        <w:t>, 54(5), 718–725. https://doi.org/10.1093/cid/cir831</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337388">
        <w:rPr>
          <w:rFonts w:ascii="Times New Roman" w:hAnsi="Times New Roman" w:cs="Times New Roman"/>
          <w:sz w:val="24"/>
          <w:szCs w:val="24"/>
          <w:highlight w:val="red"/>
          <w:vertAlign w:val="subscript"/>
        </w:rPr>
        <w:t>[12]</w:t>
      </w:r>
      <w:r w:rsidRPr="00337388">
        <w:rPr>
          <w:rFonts w:ascii="Times New Roman" w:hAnsi="Times New Roman" w:cs="Times New Roman"/>
          <w:sz w:val="24"/>
          <w:szCs w:val="24"/>
          <w:highlight w:val="red"/>
        </w:rPr>
        <w:t xml:space="preserve"> </w:t>
      </w:r>
      <w:proofErr w:type="spellStart"/>
      <w:r w:rsidR="00A54453" w:rsidRPr="00A54453">
        <w:rPr>
          <w:rStyle w:val="Strong"/>
          <w:rFonts w:ascii="Times New Roman" w:hAnsi="Times New Roman" w:cs="Times New Roman"/>
          <w:b w:val="0"/>
          <w:sz w:val="24"/>
          <w:szCs w:val="24"/>
        </w:rPr>
        <w:t>Acar</w:t>
      </w:r>
      <w:proofErr w:type="spellEnd"/>
      <w:r w:rsidR="00A54453" w:rsidRPr="00A54453">
        <w:rPr>
          <w:rStyle w:val="Strong"/>
          <w:rFonts w:ascii="Times New Roman" w:hAnsi="Times New Roman" w:cs="Times New Roman"/>
          <w:b w:val="0"/>
          <w:sz w:val="24"/>
          <w:szCs w:val="24"/>
        </w:rPr>
        <w:t xml:space="preserve">, J., &amp; </w:t>
      </w:r>
      <w:proofErr w:type="spellStart"/>
      <w:r w:rsidR="00A54453" w:rsidRPr="00A54453">
        <w:rPr>
          <w:rStyle w:val="Strong"/>
          <w:rFonts w:ascii="Times New Roman" w:hAnsi="Times New Roman" w:cs="Times New Roman"/>
          <w:b w:val="0"/>
          <w:sz w:val="24"/>
          <w:szCs w:val="24"/>
        </w:rPr>
        <w:t>Rostel</w:t>
      </w:r>
      <w:proofErr w:type="spellEnd"/>
      <w:r w:rsidR="00A54453" w:rsidRPr="00A54453">
        <w:rPr>
          <w:rStyle w:val="Strong"/>
          <w:rFonts w:ascii="Times New Roman" w:hAnsi="Times New Roman" w:cs="Times New Roman"/>
          <w:b w:val="0"/>
          <w:sz w:val="24"/>
          <w:szCs w:val="24"/>
        </w:rPr>
        <w:t xml:space="preserve">, B. (2001). Antimicrobial resistance: an overview. Revue </w:t>
      </w:r>
      <w:proofErr w:type="spellStart"/>
      <w:r w:rsidR="00A54453" w:rsidRPr="00A54453">
        <w:rPr>
          <w:rStyle w:val="Strong"/>
          <w:rFonts w:ascii="Times New Roman" w:hAnsi="Times New Roman" w:cs="Times New Roman"/>
          <w:b w:val="0"/>
          <w:sz w:val="24"/>
          <w:szCs w:val="24"/>
        </w:rPr>
        <w:t>Scientifique</w:t>
      </w:r>
      <w:proofErr w:type="spellEnd"/>
      <w:r w:rsidR="00A54453" w:rsidRPr="00A54453">
        <w:rPr>
          <w:rStyle w:val="Strong"/>
          <w:rFonts w:ascii="Times New Roman" w:hAnsi="Times New Roman" w:cs="Times New Roman"/>
          <w:b w:val="0"/>
          <w:sz w:val="24"/>
          <w:szCs w:val="24"/>
        </w:rPr>
        <w:t xml:space="preserve"> et Technique-Office International des Epizooties, 20(3), 797-810.</w:t>
      </w:r>
      <w:bookmarkStart w:id="8" w:name="_GoBack"/>
      <w:bookmarkEnd w:id="8"/>
    </w:p>
    <w:p w:rsidR="004B2B7E" w:rsidRPr="00B334B4"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[13]</w:t>
      </w:r>
      <w:r w:rsidRPr="00484C98">
        <w:rPr>
          <w:rFonts w:ascii="Times New Roman" w:hAnsi="Times New Roman" w:cs="Times New Roman"/>
          <w:sz w:val="24"/>
          <w:szCs w:val="24"/>
        </w:rPr>
        <w:t xml:space="preserve"> </w:t>
      </w:r>
      <w:r w:rsidRPr="00B334B4">
        <w:rPr>
          <w:rFonts w:ascii="Times New Roman" w:hAnsi="Times New Roman" w:cs="Times New Roman"/>
          <w:sz w:val="24"/>
          <w:szCs w:val="24"/>
        </w:rPr>
        <w:t xml:space="preserve">Hanna, N., Sun, P., Sun, Q., Li, X., Yang, X., Ji, X., Zou, H., </w:t>
      </w:r>
      <w:proofErr w:type="spellStart"/>
      <w:r w:rsidRPr="00B334B4">
        <w:rPr>
          <w:rFonts w:ascii="Times New Roman" w:hAnsi="Times New Roman" w:cs="Times New Roman"/>
          <w:sz w:val="24"/>
          <w:szCs w:val="24"/>
        </w:rPr>
        <w:t>Ottoson</w:t>
      </w:r>
      <w:proofErr w:type="spellEnd"/>
      <w:r w:rsidRPr="00B334B4">
        <w:rPr>
          <w:rFonts w:ascii="Times New Roman" w:hAnsi="Times New Roman" w:cs="Times New Roman"/>
          <w:sz w:val="24"/>
          <w:szCs w:val="24"/>
        </w:rPr>
        <w:t xml:space="preserve">, J., Nilsson, L. E., Berglund, B., </w:t>
      </w:r>
      <w:proofErr w:type="spellStart"/>
      <w:r w:rsidRPr="00B334B4">
        <w:rPr>
          <w:rFonts w:ascii="Times New Roman" w:hAnsi="Times New Roman" w:cs="Times New Roman"/>
          <w:sz w:val="24"/>
          <w:szCs w:val="24"/>
        </w:rPr>
        <w:t>Dyar</w:t>
      </w:r>
      <w:proofErr w:type="spellEnd"/>
      <w:r w:rsidRPr="00B334B4">
        <w:rPr>
          <w:rFonts w:ascii="Times New Roman" w:hAnsi="Times New Roman" w:cs="Times New Roman"/>
          <w:sz w:val="24"/>
          <w:szCs w:val="24"/>
        </w:rPr>
        <w:t xml:space="preserve">, O. J., </w:t>
      </w:r>
      <w:proofErr w:type="spellStart"/>
      <w:r w:rsidRPr="00B334B4">
        <w:rPr>
          <w:rFonts w:ascii="Times New Roman" w:hAnsi="Times New Roman" w:cs="Times New Roman"/>
          <w:sz w:val="24"/>
          <w:szCs w:val="24"/>
        </w:rPr>
        <w:t>Tamhankar</w:t>
      </w:r>
      <w:proofErr w:type="spellEnd"/>
      <w:r w:rsidRPr="00B334B4">
        <w:rPr>
          <w:rFonts w:ascii="Times New Roman" w:hAnsi="Times New Roman" w:cs="Times New Roman"/>
          <w:sz w:val="24"/>
          <w:szCs w:val="24"/>
        </w:rPr>
        <w:t xml:space="preserve">, A. J., &amp; </w:t>
      </w:r>
      <w:proofErr w:type="spellStart"/>
      <w:r w:rsidRPr="00B334B4">
        <w:rPr>
          <w:rFonts w:ascii="Times New Roman" w:hAnsi="Times New Roman" w:cs="Times New Roman"/>
          <w:sz w:val="24"/>
          <w:szCs w:val="24"/>
        </w:rPr>
        <w:t>Stålsby</w:t>
      </w:r>
      <w:proofErr w:type="spellEnd"/>
      <w:r w:rsidRPr="00B334B4">
        <w:rPr>
          <w:rFonts w:ascii="Times New Roman" w:hAnsi="Times New Roman" w:cs="Times New Roman"/>
          <w:sz w:val="24"/>
          <w:szCs w:val="24"/>
        </w:rPr>
        <w:t xml:space="preserve"> </w:t>
      </w:r>
      <w:proofErr w:type="spellStart"/>
      <w:r w:rsidRPr="00B334B4">
        <w:rPr>
          <w:rFonts w:ascii="Times New Roman" w:hAnsi="Times New Roman" w:cs="Times New Roman"/>
          <w:sz w:val="24"/>
          <w:szCs w:val="24"/>
        </w:rPr>
        <w:t>Lundborg</w:t>
      </w:r>
      <w:proofErr w:type="spellEnd"/>
      <w:r w:rsidRPr="00B334B4">
        <w:rPr>
          <w:rFonts w:ascii="Times New Roman" w:hAnsi="Times New Roman" w:cs="Times New Roman"/>
          <w:sz w:val="24"/>
          <w:szCs w:val="24"/>
        </w:rPr>
        <w:t xml:space="preserve">, C. (2018). Presence of antibiotic residues in various environmental compartments of Shandong province in eastern China: Its potential for resistance development and ecological and human risk. </w:t>
      </w:r>
      <w:r w:rsidRPr="00B334B4">
        <w:rPr>
          <w:rStyle w:val="Emphasis"/>
          <w:rFonts w:ascii="Times New Roman" w:hAnsi="Times New Roman" w:cs="Times New Roman"/>
          <w:sz w:val="24"/>
          <w:szCs w:val="24"/>
        </w:rPr>
        <w:t>Environmental International, 114</w:t>
      </w:r>
      <w:r w:rsidRPr="00B334B4">
        <w:rPr>
          <w:rFonts w:ascii="Times New Roman" w:hAnsi="Times New Roman" w:cs="Times New Roman"/>
          <w:sz w:val="24"/>
          <w:szCs w:val="24"/>
        </w:rPr>
        <w:t>, 131–142. https://doi.org/10.1016/j.envint.2018.02.003</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[14].</w:t>
      </w:r>
      <w:r>
        <w:rPr>
          <w:rFonts w:ascii="Times New Roman" w:hAnsi="Times New Roman" w:cs="Times New Roman"/>
          <w:sz w:val="24"/>
          <w:szCs w:val="24"/>
        </w:rPr>
        <w:t xml:space="preserve"> </w:t>
      </w:r>
      <w:proofErr w:type="spellStart"/>
      <w:r w:rsidRPr="009C17D6">
        <w:rPr>
          <w:rFonts w:ascii="Times New Roman" w:hAnsi="Times New Roman" w:cs="Times New Roman"/>
          <w:sz w:val="24"/>
          <w:szCs w:val="24"/>
        </w:rPr>
        <w:t>Organisation</w:t>
      </w:r>
      <w:proofErr w:type="spellEnd"/>
      <w:r w:rsidRPr="009C17D6">
        <w:rPr>
          <w:rFonts w:ascii="Times New Roman" w:hAnsi="Times New Roman" w:cs="Times New Roman"/>
          <w:sz w:val="24"/>
          <w:szCs w:val="24"/>
        </w:rPr>
        <w:t xml:space="preserve"> for Economic Co-operation and Development. (2009). </w:t>
      </w:r>
      <w:r w:rsidRPr="009A3AC2">
        <w:rPr>
          <w:rFonts w:ascii="Times New Roman" w:hAnsi="Times New Roman" w:cs="Times New Roman"/>
          <w:i/>
          <w:sz w:val="24"/>
          <w:szCs w:val="24"/>
        </w:rPr>
        <w:t xml:space="preserve">Guidance document on the definition of residue </w:t>
      </w:r>
      <w:r w:rsidRPr="009C17D6">
        <w:rPr>
          <w:rFonts w:ascii="Times New Roman" w:hAnsi="Times New Roman" w:cs="Times New Roman"/>
          <w:sz w:val="24"/>
          <w:szCs w:val="24"/>
        </w:rPr>
        <w:t>(2nd ed., ENV/JM/</w:t>
      </w:r>
      <w:proofErr w:type="gramStart"/>
      <w:r w:rsidRPr="009C17D6">
        <w:rPr>
          <w:rFonts w:ascii="Times New Roman" w:hAnsi="Times New Roman" w:cs="Times New Roman"/>
          <w:sz w:val="24"/>
          <w:szCs w:val="24"/>
        </w:rPr>
        <w:t>MONO(</w:t>
      </w:r>
      <w:proofErr w:type="gramEnd"/>
      <w:r w:rsidRPr="009C17D6">
        <w:rPr>
          <w:rFonts w:ascii="Times New Roman" w:hAnsi="Times New Roman" w:cs="Times New Roman"/>
          <w:sz w:val="24"/>
          <w:szCs w:val="24"/>
        </w:rPr>
        <w:t>2009)30). OECD Publishing</w:t>
      </w:r>
    </w:p>
    <w:p w:rsidR="004B2B7E" w:rsidRPr="00A54453" w:rsidRDefault="004B2B7E" w:rsidP="004B2B7E">
      <w:pPr>
        <w:autoSpaceDE w:val="0"/>
        <w:autoSpaceDN w:val="0"/>
        <w:adjustRightInd w:val="0"/>
        <w:spacing w:after="0" w:line="276" w:lineRule="auto"/>
        <w:ind w:left="993" w:hanging="993"/>
        <w:jc w:val="both"/>
        <w:rPr>
          <w:rFonts w:ascii="Times New Roman" w:hAnsi="Times New Roman" w:cs="Times New Roman"/>
          <w:sz w:val="24"/>
          <w:szCs w:val="24"/>
        </w:rPr>
      </w:pPr>
      <w:r w:rsidRPr="00337388">
        <w:rPr>
          <w:rFonts w:ascii="Times New Roman" w:hAnsi="Times New Roman" w:cs="Times New Roman"/>
          <w:sz w:val="24"/>
          <w:szCs w:val="24"/>
          <w:highlight w:val="red"/>
          <w:vertAlign w:val="subscript"/>
        </w:rPr>
        <w:t>[15</w:t>
      </w:r>
      <w:r w:rsidRPr="00A54453">
        <w:rPr>
          <w:rFonts w:ascii="Times New Roman" w:hAnsi="Times New Roman" w:cs="Times New Roman"/>
          <w:sz w:val="24"/>
          <w:szCs w:val="24"/>
          <w:vertAlign w:val="subscript"/>
        </w:rPr>
        <w:t>].</w:t>
      </w:r>
      <w:r w:rsidRPr="00A54453">
        <w:rPr>
          <w:rFonts w:ascii="Times New Roman" w:hAnsi="Times New Roman" w:cs="Times New Roman"/>
          <w:sz w:val="24"/>
          <w:szCs w:val="24"/>
        </w:rPr>
        <w:t xml:space="preserve"> WHO. (2011). </w:t>
      </w:r>
      <w:r w:rsidRPr="00A54453">
        <w:rPr>
          <w:rFonts w:ascii="Times New Roman" w:hAnsi="Times New Roman" w:cs="Times New Roman"/>
          <w:i/>
          <w:iCs/>
          <w:sz w:val="24"/>
          <w:szCs w:val="24"/>
        </w:rPr>
        <w:t xml:space="preserve">Tackling Foodborne Antimicrobial Resistance Globally through Integrated Surveillance. </w:t>
      </w:r>
      <w:hyperlink r:id="rId7" w:history="1">
        <w:r w:rsidRPr="00A54453">
          <w:rPr>
            <w:rStyle w:val="Hyperlink"/>
            <w:rFonts w:ascii="Times New Roman" w:hAnsi="Times New Roman" w:cs="Times New Roman"/>
            <w:sz w:val="24"/>
            <w:szCs w:val="24"/>
          </w:rPr>
          <w:t>https://apps.who.int/iris/bitstream/handle/10665/75198/9789241504010eng</w:t>
        </w:r>
      </w:hyperlink>
      <w:r w:rsidRPr="00A54453">
        <w:rPr>
          <w:rFonts w:ascii="Times New Roman" w:hAnsi="Times New Roman" w:cs="Times New Roman"/>
          <w:sz w:val="24"/>
          <w:szCs w:val="24"/>
        </w:rPr>
        <w:t xml:space="preserve">. </w:t>
      </w:r>
    </w:p>
    <w:p w:rsidR="004B2B7E" w:rsidRPr="00484C98" w:rsidRDefault="004B2B7E" w:rsidP="004B2B7E">
      <w:pPr>
        <w:autoSpaceDE w:val="0"/>
        <w:autoSpaceDN w:val="0"/>
        <w:adjustRightInd w:val="0"/>
        <w:spacing w:after="0" w:line="276" w:lineRule="auto"/>
        <w:ind w:left="993" w:hanging="993"/>
        <w:jc w:val="both"/>
        <w:rPr>
          <w:rFonts w:ascii="Times New Roman" w:hAnsi="Times New Roman" w:cs="Times New Roman"/>
          <w:sz w:val="24"/>
          <w:szCs w:val="24"/>
        </w:rPr>
      </w:pPr>
      <w:r w:rsidRPr="00A54453">
        <w:rPr>
          <w:rFonts w:ascii="Times New Roman" w:hAnsi="Times New Roman" w:cs="Times New Roman"/>
          <w:sz w:val="24"/>
          <w:szCs w:val="24"/>
          <w:vertAlign w:val="subscript"/>
        </w:rPr>
        <w:t>[16].</w:t>
      </w:r>
      <w:r w:rsidRPr="00A54453">
        <w:rPr>
          <w:rFonts w:ascii="Times New Roman" w:hAnsi="Times New Roman" w:cs="Times New Roman"/>
          <w:sz w:val="24"/>
          <w:szCs w:val="24"/>
        </w:rPr>
        <w:t xml:space="preserve"> FDA. (2009). </w:t>
      </w:r>
      <w:r w:rsidRPr="00A54453">
        <w:rPr>
          <w:rFonts w:ascii="Times New Roman" w:hAnsi="Times New Roman" w:cs="Times New Roman"/>
          <w:i/>
          <w:iCs/>
          <w:sz w:val="24"/>
          <w:szCs w:val="24"/>
        </w:rPr>
        <w:t>Summary report Antimicrobials.</w:t>
      </w:r>
      <w:r w:rsidRPr="00A54453">
        <w:rPr>
          <w:rFonts w:ascii="Times New Roman" w:hAnsi="Times New Roman" w:cs="Times New Roman"/>
          <w:sz w:val="24"/>
          <w:szCs w:val="24"/>
        </w:rPr>
        <w:t xml:space="preserve"> Sold or Distributed for Use in Food- Producing Animals.</w:t>
      </w:r>
    </w:p>
    <w:p w:rsidR="004B2B7E" w:rsidRPr="00F14F10"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[17].</w:t>
      </w:r>
      <w:r w:rsidRPr="00484C98">
        <w:rPr>
          <w:rFonts w:ascii="Times New Roman" w:hAnsi="Times New Roman" w:cs="Times New Roman"/>
          <w:sz w:val="24"/>
          <w:szCs w:val="24"/>
        </w:rPr>
        <w:t xml:space="preserve"> </w:t>
      </w:r>
      <w:r w:rsidRPr="008A6E94">
        <w:rPr>
          <w:rStyle w:val="Strong"/>
          <w:rFonts w:ascii="Times New Roman" w:hAnsi="Times New Roman" w:cs="Times New Roman"/>
          <w:b w:val="0"/>
          <w:sz w:val="24"/>
          <w:szCs w:val="24"/>
        </w:rPr>
        <w:t xml:space="preserve">Khalifa, H. O., </w:t>
      </w:r>
      <w:proofErr w:type="spellStart"/>
      <w:r w:rsidRPr="008A6E94">
        <w:rPr>
          <w:rStyle w:val="Strong"/>
          <w:rFonts w:ascii="Times New Roman" w:hAnsi="Times New Roman" w:cs="Times New Roman"/>
          <w:b w:val="0"/>
          <w:sz w:val="24"/>
          <w:szCs w:val="24"/>
        </w:rPr>
        <w:t>Shikoray</w:t>
      </w:r>
      <w:proofErr w:type="spellEnd"/>
      <w:r w:rsidRPr="008A6E94">
        <w:rPr>
          <w:rStyle w:val="Strong"/>
          <w:rFonts w:ascii="Times New Roman" w:hAnsi="Times New Roman" w:cs="Times New Roman"/>
          <w:b w:val="0"/>
          <w:sz w:val="24"/>
          <w:szCs w:val="24"/>
        </w:rPr>
        <w:t>, L., Mohamed-Yousif Ibrahim Mohamed, M., Habib, I., &amp; Matsumoto, T. (2024).</w:t>
      </w:r>
      <w:r w:rsidRPr="00F14F10">
        <w:rPr>
          <w:rFonts w:ascii="Times New Roman" w:hAnsi="Times New Roman" w:cs="Times New Roman"/>
          <w:b/>
          <w:sz w:val="24"/>
          <w:szCs w:val="24"/>
        </w:rPr>
        <w:t xml:space="preserve"> </w:t>
      </w:r>
      <w:r w:rsidRPr="00F14F10">
        <w:rPr>
          <w:rFonts w:ascii="Times New Roman" w:hAnsi="Times New Roman" w:cs="Times New Roman"/>
          <w:sz w:val="24"/>
          <w:szCs w:val="24"/>
        </w:rPr>
        <w:t xml:space="preserve">Veterinary drug residues in the food chain as an emerging public health threat: Sources, analytical methods, health impacts, and preventive measures. </w:t>
      </w:r>
      <w:r w:rsidRPr="00F14F10">
        <w:rPr>
          <w:rStyle w:val="Emphasis"/>
          <w:rFonts w:ascii="Times New Roman" w:hAnsi="Times New Roman" w:cs="Times New Roman"/>
          <w:sz w:val="24"/>
          <w:szCs w:val="24"/>
        </w:rPr>
        <w:t>Foods, 13</w:t>
      </w:r>
      <w:r w:rsidRPr="00F14F10">
        <w:rPr>
          <w:rFonts w:ascii="Times New Roman" w:hAnsi="Times New Roman" w:cs="Times New Roman"/>
          <w:sz w:val="24"/>
          <w:szCs w:val="24"/>
        </w:rPr>
        <w:t>(11), 1629. https://doi.org/10.3390/foods13111629</w:t>
      </w:r>
    </w:p>
    <w:p w:rsidR="004B2B7E" w:rsidRPr="00484C98"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[18</w:t>
      </w:r>
      <w:proofErr w:type="gramStart"/>
      <w:r w:rsidRPr="00831CB2">
        <w:rPr>
          <w:rFonts w:ascii="Times New Roman" w:hAnsi="Times New Roman" w:cs="Times New Roman"/>
          <w:sz w:val="24"/>
          <w:szCs w:val="24"/>
          <w:vertAlign w:val="subscript"/>
        </w:rPr>
        <w:t>]</w:t>
      </w:r>
      <w:r w:rsidRPr="00484C9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F14F10">
        <w:rPr>
          <w:rFonts w:ascii="Times New Roman" w:hAnsi="Times New Roman" w:cs="Times New Roman"/>
          <w:sz w:val="24"/>
          <w:szCs w:val="24"/>
        </w:rPr>
        <w:t>Polianciuc</w:t>
      </w:r>
      <w:proofErr w:type="spellEnd"/>
      <w:proofErr w:type="gramEnd"/>
      <w:r w:rsidRPr="00F14F10">
        <w:rPr>
          <w:rFonts w:ascii="Times New Roman" w:hAnsi="Times New Roman" w:cs="Times New Roman"/>
          <w:sz w:val="24"/>
          <w:szCs w:val="24"/>
        </w:rPr>
        <w:t xml:space="preserve">, S. I., </w:t>
      </w:r>
      <w:proofErr w:type="spellStart"/>
      <w:r w:rsidRPr="00F14F10">
        <w:rPr>
          <w:rFonts w:ascii="Times New Roman" w:hAnsi="Times New Roman" w:cs="Times New Roman"/>
          <w:sz w:val="24"/>
          <w:szCs w:val="24"/>
        </w:rPr>
        <w:t>Gurzău</w:t>
      </w:r>
      <w:proofErr w:type="spellEnd"/>
      <w:r w:rsidRPr="00F14F10">
        <w:rPr>
          <w:rFonts w:ascii="Times New Roman" w:hAnsi="Times New Roman" w:cs="Times New Roman"/>
          <w:sz w:val="24"/>
          <w:szCs w:val="24"/>
        </w:rPr>
        <w:t xml:space="preserve">, </w:t>
      </w:r>
      <w:r>
        <w:rPr>
          <w:rFonts w:ascii="Times New Roman" w:hAnsi="Times New Roman" w:cs="Times New Roman"/>
          <w:sz w:val="24"/>
          <w:szCs w:val="24"/>
        </w:rPr>
        <w:t xml:space="preserve">A. E., Kiss, B., &amp; </w:t>
      </w:r>
      <w:proofErr w:type="spellStart"/>
      <w:r>
        <w:rPr>
          <w:rFonts w:ascii="Times New Roman" w:hAnsi="Times New Roman" w:cs="Times New Roman"/>
          <w:sz w:val="24"/>
          <w:szCs w:val="24"/>
        </w:rPr>
        <w:t>Ștefan</w:t>
      </w:r>
      <w:proofErr w:type="spellEnd"/>
      <w:r>
        <w:rPr>
          <w:rFonts w:ascii="Times New Roman" w:hAnsi="Times New Roman" w:cs="Times New Roman"/>
          <w:sz w:val="24"/>
          <w:szCs w:val="24"/>
        </w:rPr>
        <w:t xml:space="preserve">, M. G., </w:t>
      </w:r>
      <w:proofErr w:type="spellStart"/>
      <w:r>
        <w:rPr>
          <w:rFonts w:ascii="Times New Roman" w:hAnsi="Times New Roman" w:cs="Times New Roman"/>
          <w:sz w:val="24"/>
          <w:szCs w:val="24"/>
        </w:rPr>
        <w:t>Loghin</w:t>
      </w:r>
      <w:proofErr w:type="spellEnd"/>
      <w:r>
        <w:rPr>
          <w:rFonts w:ascii="Times New Roman" w:hAnsi="Times New Roman" w:cs="Times New Roman"/>
          <w:sz w:val="24"/>
          <w:szCs w:val="24"/>
        </w:rPr>
        <w:t xml:space="preserve">, F (2020).  </w:t>
      </w:r>
      <w:r w:rsidRPr="00B964CA">
        <w:rPr>
          <w:rFonts w:ascii="Times New Roman" w:hAnsi="Times New Roman" w:cs="Times New Roman"/>
          <w:sz w:val="24"/>
          <w:szCs w:val="24"/>
        </w:rPr>
        <w:t>Antibiotics in the environment: Causes and consequences. Medicine and Pharmacy Reports, 93(3), 231–240. https://doi.org/10.15386/mpr-</w:t>
      </w:r>
      <w:r>
        <w:rPr>
          <w:rFonts w:ascii="Times New Roman" w:hAnsi="Times New Roman" w:cs="Times New Roman"/>
          <w:sz w:val="24"/>
          <w:szCs w:val="24"/>
        </w:rPr>
        <w:t>1742</w:t>
      </w:r>
    </w:p>
    <w:p w:rsidR="004B2B7E" w:rsidRPr="00484C98" w:rsidRDefault="004B2B7E" w:rsidP="004B2B7E">
      <w:pPr>
        <w:autoSpaceDE w:val="0"/>
        <w:autoSpaceDN w:val="0"/>
        <w:adjustRightInd w:val="0"/>
        <w:spacing w:after="0" w:line="276"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[19]</w:t>
      </w:r>
      <w:r>
        <w:rPr>
          <w:rFonts w:ascii="Times New Roman" w:hAnsi="Times New Roman" w:cs="Times New Roman"/>
          <w:sz w:val="24"/>
          <w:szCs w:val="24"/>
        </w:rPr>
        <w:t xml:space="preserve">. </w:t>
      </w:r>
      <w:proofErr w:type="spellStart"/>
      <w:r w:rsidRPr="00FF49B0">
        <w:rPr>
          <w:rFonts w:ascii="Times New Roman" w:hAnsi="Times New Roman" w:cs="Times New Roman"/>
          <w:sz w:val="24"/>
          <w:szCs w:val="24"/>
        </w:rPr>
        <w:t>Zuccato</w:t>
      </w:r>
      <w:proofErr w:type="spellEnd"/>
      <w:r w:rsidRPr="00FF49B0">
        <w:rPr>
          <w:rFonts w:ascii="Times New Roman" w:hAnsi="Times New Roman" w:cs="Times New Roman"/>
          <w:sz w:val="24"/>
          <w:szCs w:val="24"/>
        </w:rPr>
        <w:t xml:space="preserve">, D., Calamari, M., </w:t>
      </w:r>
      <w:proofErr w:type="spellStart"/>
      <w:r w:rsidRPr="00FF49B0">
        <w:rPr>
          <w:rFonts w:ascii="Times New Roman" w:hAnsi="Times New Roman" w:cs="Times New Roman"/>
          <w:sz w:val="24"/>
          <w:szCs w:val="24"/>
        </w:rPr>
        <w:t>Natangelo</w:t>
      </w:r>
      <w:proofErr w:type="spellEnd"/>
      <w:r w:rsidRPr="00FF49B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FF49B0">
        <w:rPr>
          <w:rFonts w:ascii="Times New Roman" w:hAnsi="Times New Roman" w:cs="Times New Roman"/>
          <w:sz w:val="24"/>
          <w:szCs w:val="24"/>
        </w:rPr>
        <w:t xml:space="preserve">Fanelli, R. (2000). Presence of therapeutic drugs in the environment. </w:t>
      </w:r>
      <w:r w:rsidRPr="00FF49B0">
        <w:rPr>
          <w:rFonts w:ascii="Times New Roman" w:hAnsi="Times New Roman" w:cs="Times New Roman"/>
          <w:i/>
          <w:iCs/>
          <w:sz w:val="24"/>
          <w:szCs w:val="24"/>
        </w:rPr>
        <w:t>Lancet.</w:t>
      </w:r>
      <w:r w:rsidRPr="00FF49B0">
        <w:rPr>
          <w:rFonts w:ascii="Times New Roman" w:hAnsi="Times New Roman" w:cs="Times New Roman"/>
          <w:sz w:val="24"/>
          <w:szCs w:val="24"/>
        </w:rPr>
        <w:t xml:space="preserve"> </w:t>
      </w:r>
      <w:r w:rsidRPr="00FF49B0">
        <w:rPr>
          <w:rFonts w:ascii="Times New Roman" w:hAnsi="Times New Roman" w:cs="Times New Roman"/>
          <w:b/>
          <w:bCs/>
          <w:sz w:val="24"/>
          <w:szCs w:val="24"/>
        </w:rPr>
        <w:t>355</w:t>
      </w:r>
      <w:r w:rsidRPr="00FF49B0">
        <w:rPr>
          <w:rFonts w:ascii="Times New Roman" w:hAnsi="Times New Roman" w:cs="Times New Roman"/>
          <w:sz w:val="24"/>
          <w:szCs w:val="24"/>
        </w:rPr>
        <w:t>:1789–1790.</w:t>
      </w:r>
    </w:p>
    <w:p w:rsidR="004B2B7E" w:rsidRDefault="004B2B7E" w:rsidP="004B2B7E">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[20].</w:t>
      </w:r>
      <w:r w:rsidRPr="00484C98">
        <w:rPr>
          <w:rFonts w:ascii="Times New Roman" w:hAnsi="Times New Roman" w:cs="Times New Roman"/>
          <w:sz w:val="24"/>
          <w:szCs w:val="24"/>
        </w:rPr>
        <w:t xml:space="preserve"> </w:t>
      </w:r>
      <w:proofErr w:type="spellStart"/>
      <w:r w:rsidRPr="00FA0D58">
        <w:rPr>
          <w:rFonts w:ascii="Times New Roman" w:hAnsi="Times New Roman" w:cs="Times New Roman"/>
          <w:sz w:val="24"/>
          <w:szCs w:val="24"/>
        </w:rPr>
        <w:t>Arsène</w:t>
      </w:r>
      <w:proofErr w:type="spellEnd"/>
      <w:r w:rsidRPr="00FA0D58">
        <w:rPr>
          <w:rFonts w:ascii="Times New Roman" w:hAnsi="Times New Roman" w:cs="Times New Roman"/>
          <w:sz w:val="24"/>
          <w:szCs w:val="24"/>
        </w:rPr>
        <w:t xml:space="preserve">, M. M. J., </w:t>
      </w:r>
      <w:proofErr w:type="spellStart"/>
      <w:r w:rsidRPr="00FA0D58">
        <w:rPr>
          <w:rFonts w:ascii="Times New Roman" w:hAnsi="Times New Roman" w:cs="Times New Roman"/>
          <w:sz w:val="24"/>
          <w:szCs w:val="24"/>
        </w:rPr>
        <w:t>Davares</w:t>
      </w:r>
      <w:proofErr w:type="spellEnd"/>
      <w:r w:rsidRPr="00FA0D58">
        <w:rPr>
          <w:rFonts w:ascii="Times New Roman" w:hAnsi="Times New Roman" w:cs="Times New Roman"/>
          <w:sz w:val="24"/>
          <w:szCs w:val="24"/>
        </w:rPr>
        <w:t xml:space="preserve">, A. K. L., </w:t>
      </w:r>
      <w:proofErr w:type="spellStart"/>
      <w:r w:rsidRPr="00FA0D58">
        <w:rPr>
          <w:rFonts w:ascii="Times New Roman" w:hAnsi="Times New Roman" w:cs="Times New Roman"/>
          <w:sz w:val="24"/>
          <w:szCs w:val="24"/>
        </w:rPr>
        <w:t>Podoprigora</w:t>
      </w:r>
      <w:proofErr w:type="spellEnd"/>
      <w:r w:rsidRPr="00FA0D58">
        <w:rPr>
          <w:rFonts w:ascii="Times New Roman" w:hAnsi="Times New Roman" w:cs="Times New Roman"/>
          <w:sz w:val="24"/>
          <w:szCs w:val="24"/>
        </w:rPr>
        <w:t xml:space="preserve">, I. V., </w:t>
      </w:r>
      <w:proofErr w:type="spellStart"/>
      <w:r w:rsidRPr="00FA0D58">
        <w:rPr>
          <w:rFonts w:ascii="Times New Roman" w:hAnsi="Times New Roman" w:cs="Times New Roman"/>
          <w:sz w:val="24"/>
          <w:szCs w:val="24"/>
        </w:rPr>
        <w:t>Smolyakova</w:t>
      </w:r>
      <w:proofErr w:type="spellEnd"/>
      <w:r w:rsidRPr="00FA0D58">
        <w:rPr>
          <w:rFonts w:ascii="Times New Roman" w:hAnsi="Times New Roman" w:cs="Times New Roman"/>
          <w:sz w:val="24"/>
          <w:szCs w:val="24"/>
        </w:rPr>
        <w:t xml:space="preserve">, L. A., </w:t>
      </w:r>
      <w:proofErr w:type="spellStart"/>
      <w:r w:rsidRPr="00FA0D58">
        <w:rPr>
          <w:rFonts w:ascii="Times New Roman" w:hAnsi="Times New Roman" w:cs="Times New Roman"/>
          <w:sz w:val="24"/>
          <w:szCs w:val="24"/>
        </w:rPr>
        <w:t>Sarra</w:t>
      </w:r>
      <w:proofErr w:type="spellEnd"/>
      <w:r w:rsidRPr="00FA0D58">
        <w:rPr>
          <w:rFonts w:ascii="Times New Roman" w:hAnsi="Times New Roman" w:cs="Times New Roman"/>
          <w:sz w:val="24"/>
          <w:szCs w:val="24"/>
        </w:rPr>
        <w:t xml:space="preserve">, S., </w:t>
      </w:r>
      <w:proofErr w:type="spellStart"/>
      <w:r w:rsidRPr="00FA0D58">
        <w:rPr>
          <w:rFonts w:ascii="Times New Roman" w:hAnsi="Times New Roman" w:cs="Times New Roman"/>
          <w:sz w:val="24"/>
          <w:szCs w:val="24"/>
        </w:rPr>
        <w:t>Khelifi</w:t>
      </w:r>
      <w:proofErr w:type="spellEnd"/>
      <w:r w:rsidRPr="00FA0D58">
        <w:rPr>
          <w:rFonts w:ascii="Times New Roman" w:hAnsi="Times New Roman" w:cs="Times New Roman"/>
          <w:sz w:val="24"/>
          <w:szCs w:val="24"/>
        </w:rPr>
        <w:t xml:space="preserve">, I., &amp; </w:t>
      </w:r>
      <w:proofErr w:type="spellStart"/>
      <w:r w:rsidRPr="00FA0D58">
        <w:rPr>
          <w:rFonts w:ascii="Times New Roman" w:hAnsi="Times New Roman" w:cs="Times New Roman"/>
          <w:sz w:val="24"/>
          <w:szCs w:val="24"/>
        </w:rPr>
        <w:t>Sergueïevna</w:t>
      </w:r>
      <w:proofErr w:type="spellEnd"/>
      <w:r w:rsidRPr="00FA0D58">
        <w:rPr>
          <w:rFonts w:ascii="Times New Roman" w:hAnsi="Times New Roman" w:cs="Times New Roman"/>
          <w:sz w:val="24"/>
          <w:szCs w:val="24"/>
        </w:rPr>
        <w:t xml:space="preserve">, D. M. (2022). </w:t>
      </w:r>
      <w:r w:rsidRPr="00FA0D58">
        <w:rPr>
          <w:rStyle w:val="Emphasis"/>
          <w:rFonts w:ascii="Times New Roman" w:hAnsi="Times New Roman" w:cs="Times New Roman"/>
          <w:sz w:val="24"/>
          <w:szCs w:val="24"/>
        </w:rPr>
        <w:t>The public health issue of antibiotic residues in food and feed: Causes, consequences, and potential solutions.</w:t>
      </w:r>
      <w:r w:rsidRPr="00FA0D58">
        <w:rPr>
          <w:rFonts w:ascii="Times New Roman" w:hAnsi="Times New Roman" w:cs="Times New Roman"/>
          <w:sz w:val="24"/>
          <w:szCs w:val="24"/>
        </w:rPr>
        <w:t xml:space="preserve"> </w:t>
      </w:r>
      <w:r w:rsidRPr="00FA0D58">
        <w:rPr>
          <w:rStyle w:val="Emphasis"/>
          <w:rFonts w:ascii="Times New Roman" w:hAnsi="Times New Roman" w:cs="Times New Roman"/>
          <w:sz w:val="24"/>
          <w:szCs w:val="24"/>
        </w:rPr>
        <w:t>Veterinary World, 15</w:t>
      </w:r>
      <w:r w:rsidRPr="00FA0D58">
        <w:rPr>
          <w:rFonts w:ascii="Times New Roman" w:hAnsi="Times New Roman" w:cs="Times New Roman"/>
          <w:sz w:val="24"/>
          <w:szCs w:val="24"/>
        </w:rPr>
        <w:t xml:space="preserve">(3), 662–671. </w:t>
      </w:r>
      <w:hyperlink r:id="rId8" w:tgtFrame="_new" w:history="1">
        <w:r w:rsidRPr="00FA0D58">
          <w:rPr>
            <w:rStyle w:val="Hyperlink"/>
            <w:rFonts w:ascii="Times New Roman" w:hAnsi="Times New Roman" w:cs="Times New Roman"/>
            <w:sz w:val="24"/>
            <w:szCs w:val="24"/>
          </w:rPr>
          <w:t>https://doi.org/10.14202/vetworld.2022.662-671</w:t>
        </w:r>
      </w:hyperlink>
    </w:p>
    <w:p w:rsidR="00860187" w:rsidRPr="007D0A46" w:rsidRDefault="004B2B7E" w:rsidP="007D0A46">
      <w:pPr>
        <w:spacing w:line="276"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[21</w:t>
      </w:r>
      <w:proofErr w:type="gramStart"/>
      <w:r w:rsidRPr="00831CB2">
        <w:rPr>
          <w:rFonts w:ascii="Times New Roman" w:hAnsi="Times New Roman" w:cs="Times New Roman"/>
          <w:sz w:val="24"/>
          <w:szCs w:val="24"/>
          <w:vertAlign w:val="subscript"/>
        </w:rPr>
        <w:t>]</w:t>
      </w:r>
      <w:r>
        <w:rPr>
          <w:rFonts w:ascii="Times New Roman" w:hAnsi="Times New Roman" w:cs="Times New Roman"/>
          <w:sz w:val="24"/>
          <w:szCs w:val="24"/>
        </w:rPr>
        <w:t>.</w:t>
      </w:r>
      <w:r w:rsidRPr="00484C98">
        <w:rPr>
          <w:rFonts w:ascii="Times New Roman" w:hAnsi="Times New Roman" w:cs="Times New Roman"/>
          <w:sz w:val="24"/>
          <w:szCs w:val="24"/>
        </w:rPr>
        <w:t>Duncan</w:t>
      </w:r>
      <w:proofErr w:type="gramEnd"/>
      <w:r w:rsidRPr="00484C98">
        <w:rPr>
          <w:rFonts w:ascii="Times New Roman" w:hAnsi="Times New Roman" w:cs="Times New Roman"/>
          <w:sz w:val="24"/>
          <w:szCs w:val="24"/>
        </w:rPr>
        <w:t xml:space="preserve">, D. B. (1957). Multiple range test for significance of differences. </w:t>
      </w:r>
      <w:r w:rsidRPr="0074140A">
        <w:rPr>
          <w:rFonts w:ascii="Times New Roman" w:hAnsi="Times New Roman" w:cs="Times New Roman"/>
          <w:i/>
          <w:sz w:val="24"/>
          <w:szCs w:val="24"/>
        </w:rPr>
        <w:t>Biometrics</w:t>
      </w:r>
      <w:r w:rsidRPr="00484C98">
        <w:rPr>
          <w:rFonts w:ascii="Times New Roman" w:hAnsi="Times New Roman" w:cs="Times New Roman"/>
          <w:sz w:val="24"/>
          <w:szCs w:val="24"/>
        </w:rPr>
        <w:t>, 13(1), 1–42. https://doi.org/10.2307/3001478</w:t>
      </w:r>
    </w:p>
    <w:sectPr w:rsidR="00860187" w:rsidRPr="007D0A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E04" w:rsidRDefault="00004E04" w:rsidP="004B2B7E">
      <w:pPr>
        <w:spacing w:after="0" w:line="240" w:lineRule="auto"/>
      </w:pPr>
      <w:r>
        <w:separator/>
      </w:r>
    </w:p>
  </w:endnote>
  <w:endnote w:type="continuationSeparator" w:id="0">
    <w:p w:rsidR="00004E04" w:rsidRDefault="00004E04" w:rsidP="004B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E04" w:rsidRDefault="00004E04" w:rsidP="004B2B7E">
      <w:pPr>
        <w:spacing w:after="0" w:line="240" w:lineRule="auto"/>
      </w:pPr>
      <w:r>
        <w:separator/>
      </w:r>
    </w:p>
  </w:footnote>
  <w:footnote w:type="continuationSeparator" w:id="0">
    <w:p w:rsidR="00004E04" w:rsidRDefault="00004E04" w:rsidP="004B2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B51"/>
    <w:multiLevelType w:val="hybridMultilevel"/>
    <w:tmpl w:val="4A00789A"/>
    <w:lvl w:ilvl="0" w:tplc="486815B8">
      <w:start w:val="1"/>
      <w:numFmt w:val="upp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E64D22"/>
    <w:multiLevelType w:val="hybridMultilevel"/>
    <w:tmpl w:val="4956BF6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A17C1"/>
    <w:multiLevelType w:val="hybridMultilevel"/>
    <w:tmpl w:val="7F5EA0BC"/>
    <w:lvl w:ilvl="0" w:tplc="A9DC11D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65AD7"/>
    <w:multiLevelType w:val="hybridMultilevel"/>
    <w:tmpl w:val="C8A882E2"/>
    <w:lvl w:ilvl="0" w:tplc="417E05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72D11"/>
    <w:multiLevelType w:val="hybridMultilevel"/>
    <w:tmpl w:val="73CCE25C"/>
    <w:lvl w:ilvl="0" w:tplc="79ECE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B7497"/>
    <w:multiLevelType w:val="hybridMultilevel"/>
    <w:tmpl w:val="86EC9632"/>
    <w:lvl w:ilvl="0" w:tplc="2A32387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87"/>
    <w:rsid w:val="00004787"/>
    <w:rsid w:val="00004E04"/>
    <w:rsid w:val="00096E6A"/>
    <w:rsid w:val="000B1610"/>
    <w:rsid w:val="00166877"/>
    <w:rsid w:val="001D6D61"/>
    <w:rsid w:val="00223217"/>
    <w:rsid w:val="0031279F"/>
    <w:rsid w:val="00337388"/>
    <w:rsid w:val="004823A4"/>
    <w:rsid w:val="004B2B7E"/>
    <w:rsid w:val="005E3CD7"/>
    <w:rsid w:val="007D0A46"/>
    <w:rsid w:val="00860187"/>
    <w:rsid w:val="008A6E94"/>
    <w:rsid w:val="00A54453"/>
    <w:rsid w:val="00AF1650"/>
    <w:rsid w:val="00C351BD"/>
    <w:rsid w:val="00C83358"/>
    <w:rsid w:val="00CA3651"/>
    <w:rsid w:val="00D44462"/>
    <w:rsid w:val="00E9152F"/>
    <w:rsid w:val="00EF3807"/>
    <w:rsid w:val="00F1371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A60A-78EA-4736-A35C-5D026507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601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601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01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0187"/>
    <w:rPr>
      <w:rFonts w:ascii="Times New Roman" w:eastAsia="Times New Roman" w:hAnsi="Times New Roman" w:cs="Times New Roman"/>
      <w:b/>
      <w:bCs/>
      <w:sz w:val="24"/>
      <w:szCs w:val="24"/>
    </w:rPr>
  </w:style>
  <w:style w:type="paragraph" w:styleId="NormalWeb">
    <w:name w:val="Normal (Web)"/>
    <w:basedOn w:val="Normal"/>
    <w:uiPriority w:val="99"/>
    <w:unhideWhenUsed/>
    <w:rsid w:val="008601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0187"/>
    <w:rPr>
      <w:b/>
      <w:bCs/>
    </w:rPr>
  </w:style>
  <w:style w:type="character" w:styleId="Emphasis">
    <w:name w:val="Emphasis"/>
    <w:basedOn w:val="DefaultParagraphFont"/>
    <w:uiPriority w:val="20"/>
    <w:qFormat/>
    <w:rsid w:val="00860187"/>
    <w:rPr>
      <w:i/>
      <w:iCs/>
    </w:rPr>
  </w:style>
  <w:style w:type="paragraph" w:styleId="ListParagraph">
    <w:name w:val="List Paragraph"/>
    <w:basedOn w:val="Normal"/>
    <w:uiPriority w:val="34"/>
    <w:qFormat/>
    <w:rsid w:val="00860187"/>
    <w:pPr>
      <w:spacing w:after="120" w:line="264" w:lineRule="auto"/>
      <w:ind w:left="720"/>
      <w:contextualSpacing/>
    </w:pPr>
    <w:rPr>
      <w:rFonts w:eastAsiaTheme="minorEastAsia"/>
      <w:sz w:val="20"/>
      <w:szCs w:val="20"/>
    </w:rPr>
  </w:style>
  <w:style w:type="table" w:styleId="TableGrid">
    <w:name w:val="Table Grid"/>
    <w:basedOn w:val="TableNormal"/>
    <w:uiPriority w:val="59"/>
    <w:rsid w:val="00860187"/>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B7E"/>
    <w:rPr>
      <w:color w:val="0563C1" w:themeColor="hyperlink"/>
      <w:u w:val="single"/>
    </w:rPr>
  </w:style>
  <w:style w:type="paragraph" w:styleId="Header">
    <w:name w:val="header"/>
    <w:basedOn w:val="Normal"/>
    <w:link w:val="HeaderChar"/>
    <w:uiPriority w:val="99"/>
    <w:unhideWhenUsed/>
    <w:rsid w:val="004B2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B7E"/>
  </w:style>
  <w:style w:type="paragraph" w:styleId="Footer">
    <w:name w:val="footer"/>
    <w:basedOn w:val="Normal"/>
    <w:link w:val="FooterChar"/>
    <w:uiPriority w:val="99"/>
    <w:unhideWhenUsed/>
    <w:rsid w:val="004B2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03828">
      <w:bodyDiv w:val="1"/>
      <w:marLeft w:val="0"/>
      <w:marRight w:val="0"/>
      <w:marTop w:val="0"/>
      <w:marBottom w:val="0"/>
      <w:divBdr>
        <w:top w:val="none" w:sz="0" w:space="0" w:color="auto"/>
        <w:left w:val="none" w:sz="0" w:space="0" w:color="auto"/>
        <w:bottom w:val="none" w:sz="0" w:space="0" w:color="auto"/>
        <w:right w:val="none" w:sz="0" w:space="0" w:color="auto"/>
      </w:divBdr>
    </w:div>
    <w:div w:id="708257995">
      <w:bodyDiv w:val="1"/>
      <w:marLeft w:val="0"/>
      <w:marRight w:val="0"/>
      <w:marTop w:val="0"/>
      <w:marBottom w:val="0"/>
      <w:divBdr>
        <w:top w:val="none" w:sz="0" w:space="0" w:color="auto"/>
        <w:left w:val="none" w:sz="0" w:space="0" w:color="auto"/>
        <w:bottom w:val="none" w:sz="0" w:space="0" w:color="auto"/>
        <w:right w:val="none" w:sz="0" w:space="0" w:color="auto"/>
      </w:divBdr>
    </w:div>
    <w:div w:id="872503220">
      <w:bodyDiv w:val="1"/>
      <w:marLeft w:val="0"/>
      <w:marRight w:val="0"/>
      <w:marTop w:val="0"/>
      <w:marBottom w:val="0"/>
      <w:divBdr>
        <w:top w:val="none" w:sz="0" w:space="0" w:color="auto"/>
        <w:left w:val="none" w:sz="0" w:space="0" w:color="auto"/>
        <w:bottom w:val="none" w:sz="0" w:space="0" w:color="auto"/>
        <w:right w:val="none" w:sz="0" w:space="0" w:color="auto"/>
      </w:divBdr>
    </w:div>
    <w:div w:id="88194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02/vetworld.2022.662-671" TargetMode="External"/><Relationship Id="rId3" Type="http://schemas.openxmlformats.org/officeDocument/2006/relationships/settings" Target="settings.xml"/><Relationship Id="rId7" Type="http://schemas.openxmlformats.org/officeDocument/2006/relationships/hyperlink" Target="https://apps.who.int/iris/bitstream/handle/10665/75198/9789241504010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15</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12</cp:revision>
  <dcterms:created xsi:type="dcterms:W3CDTF">2025-10-27T21:34:00Z</dcterms:created>
  <dcterms:modified xsi:type="dcterms:W3CDTF">2025-10-31T10:36:00Z</dcterms:modified>
</cp:coreProperties>
</file>