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3E6F1" w14:textId="25F0AE17" w:rsidR="00D325FF" w:rsidRPr="0057039D" w:rsidRDefault="00F5488C" w:rsidP="00B5276C">
      <w:pPr>
        <w:spacing w:line="360" w:lineRule="auto"/>
        <w:jc w:val="both"/>
        <w:rPr>
          <w:rFonts w:ascii="Arial" w:hAnsi="Arial" w:cs="Arial"/>
          <w:b/>
          <w:bCs/>
          <w:sz w:val="20"/>
          <w:szCs w:val="20"/>
        </w:rPr>
      </w:pPr>
      <w:r w:rsidRPr="0057039D">
        <w:rPr>
          <w:rFonts w:ascii="Arial" w:hAnsi="Arial" w:cs="Arial"/>
          <w:b/>
          <w:bCs/>
        </w:rPr>
        <w:t>Assessment of milk production and per capita growth in Northeast India</w:t>
      </w:r>
    </w:p>
    <w:p w14:paraId="216C7992" w14:textId="77777777" w:rsidR="00D325FF" w:rsidRPr="0057039D" w:rsidRDefault="00D325FF" w:rsidP="00B5276C">
      <w:pPr>
        <w:spacing w:line="360" w:lineRule="auto"/>
        <w:jc w:val="both"/>
        <w:rPr>
          <w:rFonts w:ascii="Arial" w:hAnsi="Arial" w:cs="Arial"/>
          <w:sz w:val="20"/>
          <w:szCs w:val="20"/>
        </w:rPr>
      </w:pPr>
    </w:p>
    <w:p w14:paraId="48520E85" w14:textId="565B5F31" w:rsidR="00DB1DF8" w:rsidRPr="0057039D" w:rsidRDefault="00A83D30" w:rsidP="00B5276C">
      <w:pPr>
        <w:spacing w:line="360" w:lineRule="auto"/>
        <w:jc w:val="both"/>
        <w:rPr>
          <w:rFonts w:ascii="Arial" w:hAnsi="Arial" w:cs="Arial"/>
          <w:b/>
          <w:bCs/>
        </w:rPr>
      </w:pPr>
      <w:r w:rsidRPr="0057039D">
        <w:rPr>
          <w:rFonts w:ascii="Arial" w:hAnsi="Arial" w:cs="Arial"/>
          <w:b/>
          <w:bCs/>
        </w:rPr>
        <w:t>ABSTRACT</w:t>
      </w:r>
    </w:p>
    <w:p w14:paraId="2C8BED2B" w14:textId="46330520" w:rsidR="001E43D1" w:rsidRPr="0057039D" w:rsidRDefault="00381C13" w:rsidP="00B5276C">
      <w:pPr>
        <w:spacing w:line="360" w:lineRule="auto"/>
        <w:jc w:val="both"/>
        <w:rPr>
          <w:rFonts w:ascii="Arial" w:hAnsi="Arial" w:cs="Arial"/>
          <w:sz w:val="20"/>
          <w:szCs w:val="20"/>
        </w:rPr>
      </w:pPr>
      <w:r>
        <w:rPr>
          <w:rFonts w:ascii="Arial" w:hAnsi="Arial" w:cs="Arial"/>
          <w:b/>
          <w:bCs/>
          <w:sz w:val="20"/>
          <w:szCs w:val="20"/>
          <w:lang w:val="en-GB"/>
        </w:rPr>
        <w:t xml:space="preserve">Background and </w:t>
      </w:r>
      <w:r w:rsidR="003873AE" w:rsidRPr="0057039D">
        <w:rPr>
          <w:rFonts w:ascii="Arial" w:hAnsi="Arial" w:cs="Arial"/>
          <w:b/>
          <w:bCs/>
          <w:sz w:val="20"/>
          <w:szCs w:val="20"/>
          <w:lang w:val="en-GB"/>
        </w:rPr>
        <w:t>Aims:</w:t>
      </w:r>
      <w:r w:rsidR="003873AE" w:rsidRPr="0057039D">
        <w:rPr>
          <w:rFonts w:ascii="Arial" w:hAnsi="Arial" w:cs="Arial"/>
          <w:sz w:val="20"/>
          <w:szCs w:val="20"/>
          <w:lang w:val="en-GB"/>
        </w:rPr>
        <w:t xml:space="preserve"> The dairy sector in Northeast India </w:t>
      </w:r>
      <w:bookmarkStart w:id="0" w:name="_GoBack"/>
      <w:bookmarkEnd w:id="0"/>
      <w:r w:rsidR="00A53ADF" w:rsidRPr="0057039D">
        <w:rPr>
          <w:rFonts w:ascii="Arial" w:hAnsi="Arial" w:cs="Arial"/>
          <w:sz w:val="20"/>
          <w:szCs w:val="20"/>
          <w:lang w:val="en-GB"/>
        </w:rPr>
        <w:t>continue</w:t>
      </w:r>
      <w:r w:rsidR="003873AE" w:rsidRPr="0057039D">
        <w:rPr>
          <w:rFonts w:ascii="Arial" w:hAnsi="Arial" w:cs="Arial"/>
          <w:sz w:val="20"/>
          <w:szCs w:val="20"/>
          <w:lang w:val="en-GB"/>
        </w:rPr>
        <w:t xml:space="preserve"> to face challenges with regard to the low and inconsistent milk production and l</w:t>
      </w:r>
      <w:r w:rsidR="00D635FA" w:rsidRPr="0057039D">
        <w:rPr>
          <w:rFonts w:ascii="Arial" w:hAnsi="Arial" w:cs="Arial"/>
          <w:sz w:val="20"/>
          <w:szCs w:val="20"/>
          <w:lang w:val="en-GB"/>
        </w:rPr>
        <w:t>ow</w:t>
      </w:r>
      <w:r w:rsidR="003873AE" w:rsidRPr="0057039D">
        <w:rPr>
          <w:rFonts w:ascii="Arial" w:hAnsi="Arial" w:cs="Arial"/>
          <w:sz w:val="20"/>
          <w:szCs w:val="20"/>
          <w:lang w:val="en-GB"/>
        </w:rPr>
        <w:t xml:space="preserve"> per capita availability, leading to high dependence o</w:t>
      </w:r>
      <w:r w:rsidR="0028055A" w:rsidRPr="0057039D">
        <w:rPr>
          <w:rFonts w:ascii="Arial" w:hAnsi="Arial" w:cs="Arial"/>
          <w:sz w:val="20"/>
          <w:szCs w:val="20"/>
          <w:lang w:val="en-GB"/>
        </w:rPr>
        <w:t>n</w:t>
      </w:r>
      <w:r w:rsidR="003873AE" w:rsidRPr="0057039D">
        <w:rPr>
          <w:rFonts w:ascii="Arial" w:hAnsi="Arial" w:cs="Arial"/>
          <w:sz w:val="20"/>
          <w:szCs w:val="20"/>
          <w:lang w:val="en-GB"/>
        </w:rPr>
        <w:t xml:space="preserve"> imports from other states. This study examines long-term growth in milk production and per capita availability using Compound Annual Growth Rate (CAGR). </w:t>
      </w:r>
      <w:r w:rsidR="003873AE" w:rsidRPr="0057039D">
        <w:rPr>
          <w:rFonts w:ascii="Arial" w:hAnsi="Arial" w:cs="Arial"/>
          <w:sz w:val="20"/>
          <w:szCs w:val="20"/>
        </w:rPr>
        <w:t>T</w:t>
      </w:r>
      <w:r w:rsidR="007F6883" w:rsidRPr="0057039D">
        <w:rPr>
          <w:rFonts w:ascii="Arial" w:hAnsi="Arial" w:cs="Arial"/>
          <w:sz w:val="20"/>
          <w:szCs w:val="20"/>
        </w:rPr>
        <w:t>he milk production in the Northeastern states makes up only 0.70 percent of the country’s total milk output. Assam leads regional production, followed by Tripura, while states like Mizoram and Arunachal Pradesh contribut</w:t>
      </w:r>
      <w:r w:rsidR="000A2AA7" w:rsidRPr="0057039D">
        <w:rPr>
          <w:rFonts w:ascii="Arial" w:hAnsi="Arial" w:cs="Arial"/>
          <w:sz w:val="20"/>
          <w:szCs w:val="20"/>
        </w:rPr>
        <w:t>e minimal</w:t>
      </w:r>
      <w:r w:rsidR="002537FE" w:rsidRPr="0057039D">
        <w:rPr>
          <w:rFonts w:ascii="Arial" w:hAnsi="Arial" w:cs="Arial"/>
          <w:sz w:val="20"/>
          <w:szCs w:val="20"/>
        </w:rPr>
        <w:t>ly</w:t>
      </w:r>
      <w:r w:rsidR="007F6883" w:rsidRPr="0057039D">
        <w:rPr>
          <w:rFonts w:ascii="Arial" w:hAnsi="Arial" w:cs="Arial"/>
          <w:sz w:val="20"/>
          <w:szCs w:val="20"/>
        </w:rPr>
        <w:t xml:space="preserve">. </w:t>
      </w:r>
      <w:r w:rsidR="00612728" w:rsidRPr="0057039D">
        <w:rPr>
          <w:rFonts w:ascii="Arial" w:hAnsi="Arial" w:cs="Arial"/>
          <w:sz w:val="20"/>
          <w:szCs w:val="20"/>
        </w:rPr>
        <w:t xml:space="preserve">The region’s per capita availability is </w:t>
      </w:r>
      <w:r w:rsidR="00612728" w:rsidRPr="0057039D">
        <w:rPr>
          <w:rFonts w:ascii="Arial" w:hAnsi="Arial" w:cs="Arial"/>
          <w:color w:val="000000" w:themeColor="text1"/>
          <w:sz w:val="20"/>
          <w:szCs w:val="20"/>
        </w:rPr>
        <w:t xml:space="preserve">71 g/day. </w:t>
      </w:r>
      <w:r w:rsidR="007F6883" w:rsidRPr="0057039D">
        <w:rPr>
          <w:rFonts w:ascii="Arial" w:hAnsi="Arial" w:cs="Arial"/>
          <w:sz w:val="20"/>
          <w:szCs w:val="20"/>
        </w:rPr>
        <w:t xml:space="preserve">Increasing urbanization, changing lifestyles, and rising purchasing power are driving higher demand for milk and dairy products, creating new market opportunities. However, problems with marketing, processing infrastructure, and perceptions of quality limit growth. </w:t>
      </w:r>
    </w:p>
    <w:p w14:paraId="7718BC84" w14:textId="7733519D" w:rsidR="00033BAE" w:rsidRPr="0057039D" w:rsidRDefault="00033BAE" w:rsidP="00B5276C">
      <w:pPr>
        <w:spacing w:line="360" w:lineRule="auto"/>
        <w:jc w:val="both"/>
        <w:rPr>
          <w:rFonts w:ascii="Arial" w:eastAsia="Calibri" w:hAnsi="Arial" w:cs="Arial"/>
          <w:sz w:val="20"/>
          <w:szCs w:val="20"/>
        </w:rPr>
      </w:pPr>
      <w:r w:rsidRPr="0057039D">
        <w:rPr>
          <w:rFonts w:ascii="Arial" w:eastAsia="Calibri" w:hAnsi="Arial" w:cs="Arial"/>
          <w:b/>
          <w:sz w:val="20"/>
          <w:szCs w:val="20"/>
        </w:rPr>
        <w:t>Study design:</w:t>
      </w:r>
      <w:r w:rsidRPr="0057039D">
        <w:rPr>
          <w:rFonts w:ascii="Arial" w:eastAsia="Calibri" w:hAnsi="Arial" w:cs="Arial"/>
          <w:sz w:val="20"/>
          <w:szCs w:val="20"/>
        </w:rPr>
        <w:t xml:space="preserve">  </w:t>
      </w:r>
      <w:r w:rsidR="001E4F5C" w:rsidRPr="0057039D">
        <w:rPr>
          <w:rFonts w:ascii="Arial" w:eastAsia="Calibri" w:hAnsi="Arial" w:cs="Arial"/>
          <w:sz w:val="20"/>
          <w:szCs w:val="20"/>
        </w:rPr>
        <w:t xml:space="preserve">The study is a secondary time series data, designed to study the </w:t>
      </w:r>
      <w:r w:rsidR="004E4FAD" w:rsidRPr="0057039D">
        <w:rPr>
          <w:rFonts w:ascii="Arial" w:eastAsia="Calibri" w:hAnsi="Arial" w:cs="Arial"/>
          <w:sz w:val="20"/>
          <w:szCs w:val="20"/>
        </w:rPr>
        <w:t>milk production and per capita growth</w:t>
      </w:r>
      <w:r w:rsidR="009C73CB" w:rsidRPr="0057039D">
        <w:rPr>
          <w:rFonts w:ascii="Arial" w:eastAsia="Calibri" w:hAnsi="Arial" w:cs="Arial"/>
          <w:sz w:val="20"/>
          <w:szCs w:val="20"/>
        </w:rPr>
        <w:t xml:space="preserve"> in</w:t>
      </w:r>
      <w:r w:rsidR="001E4F5C" w:rsidRPr="0057039D">
        <w:rPr>
          <w:rFonts w:ascii="Arial" w:eastAsia="Calibri" w:hAnsi="Arial" w:cs="Arial"/>
          <w:sz w:val="20"/>
          <w:szCs w:val="20"/>
        </w:rPr>
        <w:t xml:space="preserve"> </w:t>
      </w:r>
      <w:r w:rsidR="00DB4B5E" w:rsidRPr="0057039D">
        <w:rPr>
          <w:rFonts w:ascii="Arial" w:eastAsia="Calibri" w:hAnsi="Arial" w:cs="Arial"/>
          <w:sz w:val="20"/>
          <w:szCs w:val="20"/>
        </w:rPr>
        <w:t xml:space="preserve">the </w:t>
      </w:r>
      <w:r w:rsidR="001E4F5C" w:rsidRPr="0057039D">
        <w:rPr>
          <w:rFonts w:ascii="Arial" w:eastAsia="Calibri" w:hAnsi="Arial" w:cs="Arial"/>
          <w:sz w:val="20"/>
          <w:szCs w:val="20"/>
        </w:rPr>
        <w:t>Northeastern states</w:t>
      </w:r>
      <w:r w:rsidR="005A680B" w:rsidRPr="0057039D">
        <w:rPr>
          <w:rFonts w:ascii="Arial" w:eastAsia="Calibri" w:hAnsi="Arial" w:cs="Arial"/>
          <w:sz w:val="20"/>
          <w:szCs w:val="20"/>
        </w:rPr>
        <w:t>.</w:t>
      </w:r>
      <w:r w:rsidR="00DB4B5E" w:rsidRPr="0057039D">
        <w:rPr>
          <w:rFonts w:ascii="Arial" w:eastAsia="Calibri" w:hAnsi="Arial" w:cs="Arial"/>
          <w:sz w:val="20"/>
          <w:szCs w:val="20"/>
        </w:rPr>
        <w:t xml:space="preserve"> The study on this region is important as milk production is fluctuating over the years despite an increas</w:t>
      </w:r>
      <w:r w:rsidR="00A04B39" w:rsidRPr="0057039D">
        <w:rPr>
          <w:rFonts w:ascii="Arial" w:eastAsia="Calibri" w:hAnsi="Arial" w:cs="Arial"/>
          <w:sz w:val="20"/>
          <w:szCs w:val="20"/>
        </w:rPr>
        <w:t>e</w:t>
      </w:r>
      <w:r w:rsidR="00DB4B5E" w:rsidRPr="0057039D">
        <w:rPr>
          <w:rFonts w:ascii="Arial" w:eastAsia="Calibri" w:hAnsi="Arial" w:cs="Arial"/>
          <w:sz w:val="20"/>
          <w:szCs w:val="20"/>
        </w:rPr>
        <w:t xml:space="preserve"> in milk production nationwide.</w:t>
      </w:r>
      <w:r w:rsidR="009C73CB" w:rsidRPr="0057039D">
        <w:rPr>
          <w:rFonts w:ascii="Arial" w:eastAsia="Calibri" w:hAnsi="Arial" w:cs="Arial"/>
          <w:sz w:val="20"/>
          <w:szCs w:val="20"/>
        </w:rPr>
        <w:t xml:space="preserve"> </w:t>
      </w:r>
    </w:p>
    <w:p w14:paraId="5569A72B" w14:textId="59E8D7F3" w:rsidR="00D91AA5" w:rsidRPr="0057039D" w:rsidRDefault="00D91AA5" w:rsidP="00B5276C">
      <w:pPr>
        <w:spacing w:line="360" w:lineRule="auto"/>
        <w:jc w:val="both"/>
        <w:rPr>
          <w:rFonts w:ascii="Arial" w:eastAsia="Calibri" w:hAnsi="Arial" w:cs="Arial"/>
          <w:sz w:val="20"/>
          <w:szCs w:val="20"/>
        </w:rPr>
      </w:pPr>
      <w:r w:rsidRPr="0057039D">
        <w:rPr>
          <w:rFonts w:ascii="Arial" w:eastAsia="Calibri" w:hAnsi="Arial" w:cs="Arial"/>
          <w:b/>
          <w:sz w:val="20"/>
          <w:szCs w:val="20"/>
        </w:rPr>
        <w:t>Place and Duration of Study:</w:t>
      </w:r>
      <w:r w:rsidRPr="0057039D">
        <w:rPr>
          <w:rFonts w:ascii="Arial" w:eastAsia="Calibri" w:hAnsi="Arial" w:cs="Arial"/>
          <w:sz w:val="20"/>
          <w:szCs w:val="20"/>
        </w:rPr>
        <w:t xml:space="preserve"> </w:t>
      </w:r>
      <w:r w:rsidR="002518E3" w:rsidRPr="0057039D">
        <w:rPr>
          <w:rFonts w:ascii="Arial" w:eastAsia="Calibri" w:hAnsi="Arial" w:cs="Arial"/>
          <w:sz w:val="20"/>
          <w:szCs w:val="20"/>
        </w:rPr>
        <w:t>Northeast India, for the</w:t>
      </w:r>
      <w:r w:rsidR="00CD249C" w:rsidRPr="0057039D">
        <w:rPr>
          <w:rFonts w:ascii="Arial" w:eastAsia="Calibri" w:hAnsi="Arial" w:cs="Arial"/>
          <w:sz w:val="20"/>
          <w:szCs w:val="20"/>
        </w:rPr>
        <w:t xml:space="preserve"> period</w:t>
      </w:r>
      <w:r w:rsidR="002518E3" w:rsidRPr="0057039D">
        <w:rPr>
          <w:rFonts w:ascii="Arial" w:eastAsia="Calibri" w:hAnsi="Arial" w:cs="Arial"/>
          <w:sz w:val="20"/>
          <w:szCs w:val="20"/>
        </w:rPr>
        <w:t xml:space="preserve"> 2010-2023.</w:t>
      </w:r>
    </w:p>
    <w:p w14:paraId="5851137B" w14:textId="6916954C" w:rsidR="004A6639" w:rsidRDefault="00D91AA5" w:rsidP="00B5276C">
      <w:pPr>
        <w:spacing w:line="360" w:lineRule="auto"/>
        <w:jc w:val="both"/>
        <w:rPr>
          <w:rFonts w:ascii="Arial" w:eastAsia="Calibri" w:hAnsi="Arial" w:cs="Arial"/>
          <w:sz w:val="20"/>
          <w:szCs w:val="20"/>
        </w:rPr>
      </w:pPr>
      <w:r w:rsidRPr="0057039D">
        <w:rPr>
          <w:rFonts w:ascii="Arial" w:eastAsia="Calibri" w:hAnsi="Arial" w:cs="Arial"/>
          <w:b/>
          <w:bCs/>
          <w:sz w:val="20"/>
          <w:szCs w:val="20"/>
        </w:rPr>
        <w:t>Methodology:</w:t>
      </w:r>
      <w:r w:rsidRPr="0057039D">
        <w:rPr>
          <w:rFonts w:ascii="Arial" w:eastAsia="Calibri" w:hAnsi="Arial" w:cs="Arial"/>
          <w:sz w:val="20"/>
          <w:szCs w:val="20"/>
        </w:rPr>
        <w:t xml:space="preserve"> </w:t>
      </w:r>
      <w:r w:rsidR="004A6639" w:rsidRPr="004A6639">
        <w:rPr>
          <w:rFonts w:ascii="Arial" w:eastAsia="Calibri" w:hAnsi="Arial" w:cs="Arial"/>
          <w:sz w:val="20"/>
          <w:szCs w:val="20"/>
        </w:rPr>
        <w:t xml:space="preserve">Compound Annual Growth Rate (CAGR) is a measure that shows the average annual growth rate of a variable over a period of time, assuming the growth happened at a steady (compounded) rate each year. </w:t>
      </w:r>
      <w:r w:rsidR="00B13D7B" w:rsidRPr="00B13D7B">
        <w:rPr>
          <w:rFonts w:ascii="Arial" w:eastAsia="Calibri" w:hAnsi="Arial" w:cs="Arial"/>
          <w:sz w:val="20"/>
          <w:szCs w:val="20"/>
        </w:rPr>
        <w:t xml:space="preserve">To study the </w:t>
      </w:r>
      <w:proofErr w:type="spellStart"/>
      <w:r w:rsidR="00B13D7B" w:rsidRPr="00B13D7B">
        <w:rPr>
          <w:rFonts w:ascii="Arial" w:eastAsia="Calibri" w:hAnsi="Arial" w:cs="Arial"/>
          <w:sz w:val="20"/>
          <w:szCs w:val="20"/>
        </w:rPr>
        <w:t>spatio</w:t>
      </w:r>
      <w:proofErr w:type="spellEnd"/>
      <w:r w:rsidR="00B13D7B" w:rsidRPr="00B13D7B">
        <w:rPr>
          <w:rFonts w:ascii="Arial" w:eastAsia="Calibri" w:hAnsi="Arial" w:cs="Arial"/>
          <w:sz w:val="20"/>
          <w:szCs w:val="20"/>
        </w:rPr>
        <w:t xml:space="preserve">-temporal productivity dynamics of milk production and per capita availability in different states of the </w:t>
      </w:r>
      <w:proofErr w:type="spellStart"/>
      <w:r w:rsidR="00B13D7B" w:rsidRPr="00B13D7B">
        <w:rPr>
          <w:rFonts w:ascii="Arial" w:eastAsia="Calibri" w:hAnsi="Arial" w:cs="Arial"/>
          <w:sz w:val="20"/>
          <w:szCs w:val="20"/>
        </w:rPr>
        <w:t>Northeastern</w:t>
      </w:r>
      <w:proofErr w:type="spellEnd"/>
      <w:r w:rsidR="00B13D7B" w:rsidRPr="00B13D7B">
        <w:rPr>
          <w:rFonts w:ascii="Arial" w:eastAsia="Calibri" w:hAnsi="Arial" w:cs="Arial"/>
          <w:sz w:val="20"/>
          <w:szCs w:val="20"/>
        </w:rPr>
        <w:t xml:space="preserve"> region, the exponential growth equation was used to compute the annual growth rates</w:t>
      </w:r>
      <w:r w:rsidR="00B13D7B">
        <w:rPr>
          <w:rFonts w:ascii="Arial" w:eastAsia="Calibri" w:hAnsi="Arial" w:cs="Arial"/>
          <w:sz w:val="20"/>
          <w:szCs w:val="20"/>
        </w:rPr>
        <w:t>.</w:t>
      </w:r>
    </w:p>
    <w:p w14:paraId="4155944E" w14:textId="62F2E85B" w:rsidR="00D91AA5" w:rsidRPr="0057039D" w:rsidRDefault="00D91AA5" w:rsidP="00B5276C">
      <w:pPr>
        <w:spacing w:line="360" w:lineRule="auto"/>
        <w:jc w:val="both"/>
        <w:rPr>
          <w:rFonts w:ascii="Arial" w:hAnsi="Arial" w:cs="Arial"/>
          <w:sz w:val="20"/>
          <w:szCs w:val="20"/>
        </w:rPr>
      </w:pPr>
      <w:r w:rsidRPr="0057039D">
        <w:rPr>
          <w:rFonts w:ascii="Arial" w:eastAsia="Calibri" w:hAnsi="Arial" w:cs="Arial"/>
          <w:b/>
          <w:bCs/>
          <w:sz w:val="20"/>
          <w:szCs w:val="20"/>
        </w:rPr>
        <w:t>Results</w:t>
      </w:r>
      <w:r w:rsidR="006A55EC">
        <w:rPr>
          <w:rFonts w:ascii="Arial" w:eastAsia="Calibri" w:hAnsi="Arial" w:cs="Arial"/>
          <w:b/>
          <w:bCs/>
          <w:sz w:val="20"/>
          <w:szCs w:val="20"/>
        </w:rPr>
        <w:t xml:space="preserve"> and conclusion</w:t>
      </w:r>
      <w:r w:rsidRPr="0057039D">
        <w:rPr>
          <w:rFonts w:ascii="Arial" w:eastAsia="Calibri" w:hAnsi="Arial" w:cs="Arial"/>
          <w:b/>
          <w:bCs/>
          <w:sz w:val="20"/>
          <w:szCs w:val="20"/>
        </w:rPr>
        <w:t>:</w:t>
      </w:r>
      <w:r w:rsidRPr="0057039D">
        <w:rPr>
          <w:rFonts w:ascii="Arial" w:eastAsia="Calibri" w:hAnsi="Arial" w:cs="Arial"/>
          <w:sz w:val="20"/>
          <w:szCs w:val="20"/>
        </w:rPr>
        <w:t xml:space="preserve"> </w:t>
      </w:r>
      <w:r w:rsidR="008630CB" w:rsidRPr="0057039D">
        <w:rPr>
          <w:rFonts w:ascii="Arial" w:hAnsi="Arial" w:cs="Arial"/>
          <w:sz w:val="20"/>
          <w:szCs w:val="20"/>
        </w:rPr>
        <w:t xml:space="preserve">The regional average growth fluctuates between small positive values and several negative </w:t>
      </w:r>
      <w:r w:rsidR="00CD249C" w:rsidRPr="0057039D">
        <w:rPr>
          <w:rFonts w:ascii="Arial" w:hAnsi="Arial" w:cs="Arial"/>
          <w:sz w:val="20"/>
          <w:szCs w:val="20"/>
        </w:rPr>
        <w:t>values</w:t>
      </w:r>
      <w:r w:rsidR="008630CB" w:rsidRPr="0057039D">
        <w:rPr>
          <w:rFonts w:ascii="Arial" w:hAnsi="Arial" w:cs="Arial"/>
          <w:sz w:val="20"/>
          <w:szCs w:val="20"/>
        </w:rPr>
        <w:t>. While some states contribute to</w:t>
      </w:r>
      <w:r w:rsidR="00140AA6" w:rsidRPr="0057039D">
        <w:rPr>
          <w:rFonts w:ascii="Arial" w:hAnsi="Arial" w:cs="Arial"/>
          <w:sz w:val="20"/>
          <w:szCs w:val="20"/>
        </w:rPr>
        <w:t xml:space="preserve"> </w:t>
      </w:r>
      <w:r w:rsidR="008630CB" w:rsidRPr="0057039D">
        <w:rPr>
          <w:rFonts w:ascii="Arial" w:hAnsi="Arial" w:cs="Arial"/>
          <w:sz w:val="20"/>
          <w:szCs w:val="20"/>
        </w:rPr>
        <w:t xml:space="preserve">regional improvement, widespread negative values in recent years between 2020-2023 </w:t>
      </w:r>
      <w:r w:rsidR="00B96991" w:rsidRPr="0057039D">
        <w:rPr>
          <w:rFonts w:ascii="Arial" w:hAnsi="Arial" w:cs="Arial"/>
          <w:sz w:val="20"/>
          <w:szCs w:val="20"/>
        </w:rPr>
        <w:t>indicate</w:t>
      </w:r>
      <w:r w:rsidR="008630CB" w:rsidRPr="0057039D">
        <w:rPr>
          <w:rFonts w:ascii="Arial" w:hAnsi="Arial" w:cs="Arial"/>
          <w:sz w:val="20"/>
          <w:szCs w:val="20"/>
        </w:rPr>
        <w:t xml:space="preserve"> a decreasing trend, especially in states like Arunachal Pradesh, Manipur, Nagaland, and Mizoram.</w:t>
      </w:r>
      <w:r w:rsidR="00BA3D71" w:rsidRPr="0057039D">
        <w:rPr>
          <w:rFonts w:ascii="Arial" w:hAnsi="Arial" w:cs="Arial"/>
          <w:sz w:val="20"/>
          <w:szCs w:val="20"/>
        </w:rPr>
        <w:t xml:space="preserve"> Outliers in the per capita availability are observed in Arunachal</w:t>
      </w:r>
      <w:r w:rsidR="00140AA6" w:rsidRPr="0057039D">
        <w:rPr>
          <w:rFonts w:ascii="Arial" w:hAnsi="Arial" w:cs="Arial"/>
          <w:sz w:val="20"/>
          <w:szCs w:val="20"/>
        </w:rPr>
        <w:t xml:space="preserve"> Pradesh</w:t>
      </w:r>
      <w:r w:rsidR="008504CE" w:rsidRPr="0057039D">
        <w:rPr>
          <w:rFonts w:ascii="Arial" w:hAnsi="Arial" w:cs="Arial"/>
          <w:sz w:val="20"/>
          <w:szCs w:val="20"/>
        </w:rPr>
        <w:t xml:space="preserve"> throughout the study period</w:t>
      </w:r>
      <w:r w:rsidR="00BA3D71" w:rsidRPr="0057039D">
        <w:rPr>
          <w:rFonts w:ascii="Arial" w:hAnsi="Arial" w:cs="Arial"/>
          <w:sz w:val="20"/>
          <w:szCs w:val="20"/>
        </w:rPr>
        <w:t>.</w:t>
      </w:r>
      <w:r w:rsidR="00CD249C" w:rsidRPr="0057039D">
        <w:rPr>
          <w:rFonts w:ascii="Arial" w:hAnsi="Arial" w:cs="Arial"/>
          <w:sz w:val="20"/>
          <w:szCs w:val="20"/>
        </w:rPr>
        <w:t xml:space="preserve"> Assam is the leading milk producer in the region</w:t>
      </w:r>
      <w:r w:rsidR="00872A5F" w:rsidRPr="0057039D">
        <w:rPr>
          <w:rFonts w:ascii="Arial" w:hAnsi="Arial" w:cs="Arial"/>
          <w:sz w:val="20"/>
          <w:szCs w:val="20"/>
        </w:rPr>
        <w:t>,</w:t>
      </w:r>
      <w:r w:rsidR="00CD249C" w:rsidRPr="0057039D">
        <w:rPr>
          <w:rFonts w:ascii="Arial" w:hAnsi="Arial" w:cs="Arial"/>
          <w:sz w:val="20"/>
          <w:szCs w:val="20"/>
        </w:rPr>
        <w:t xml:space="preserve"> </w:t>
      </w:r>
      <w:r w:rsidR="00C63E23" w:rsidRPr="0057039D">
        <w:rPr>
          <w:rFonts w:ascii="Arial" w:hAnsi="Arial" w:cs="Arial"/>
          <w:sz w:val="20"/>
          <w:szCs w:val="20"/>
        </w:rPr>
        <w:t>followed by Tripura</w:t>
      </w:r>
      <w:r w:rsidR="00140AA6" w:rsidRPr="0057039D">
        <w:rPr>
          <w:rFonts w:ascii="Arial" w:hAnsi="Arial" w:cs="Arial"/>
          <w:sz w:val="20"/>
          <w:szCs w:val="20"/>
        </w:rPr>
        <w:t>, which contributes about 62.74% and 11.76%, respectively,</w:t>
      </w:r>
      <w:r w:rsidR="00C63E23" w:rsidRPr="0057039D">
        <w:rPr>
          <w:rFonts w:ascii="Arial" w:hAnsi="Arial" w:cs="Arial"/>
          <w:sz w:val="20"/>
          <w:szCs w:val="20"/>
        </w:rPr>
        <w:t xml:space="preserve"> </w:t>
      </w:r>
      <w:r w:rsidR="00CD249C" w:rsidRPr="0057039D">
        <w:rPr>
          <w:rFonts w:ascii="Arial" w:hAnsi="Arial" w:cs="Arial"/>
          <w:sz w:val="20"/>
          <w:szCs w:val="20"/>
        </w:rPr>
        <w:t xml:space="preserve">to the </w:t>
      </w:r>
      <w:r w:rsidR="00C63E23" w:rsidRPr="0057039D">
        <w:rPr>
          <w:rFonts w:ascii="Arial" w:hAnsi="Arial" w:cs="Arial"/>
          <w:sz w:val="20"/>
          <w:szCs w:val="20"/>
        </w:rPr>
        <w:t xml:space="preserve">country’s </w:t>
      </w:r>
      <w:r w:rsidR="00CD249C" w:rsidRPr="0057039D">
        <w:rPr>
          <w:rFonts w:ascii="Arial" w:hAnsi="Arial" w:cs="Arial"/>
          <w:sz w:val="20"/>
          <w:szCs w:val="20"/>
        </w:rPr>
        <w:t>total milk production</w:t>
      </w:r>
      <w:r w:rsidR="00C63E23" w:rsidRPr="0057039D">
        <w:rPr>
          <w:rFonts w:ascii="Arial" w:hAnsi="Arial" w:cs="Arial"/>
          <w:sz w:val="20"/>
          <w:szCs w:val="20"/>
        </w:rPr>
        <w:t xml:space="preserve"> </w:t>
      </w:r>
      <w:r w:rsidR="00CD249C" w:rsidRPr="0057039D">
        <w:rPr>
          <w:rFonts w:ascii="Arial" w:hAnsi="Arial" w:cs="Arial"/>
          <w:sz w:val="20"/>
          <w:szCs w:val="20"/>
        </w:rPr>
        <w:t>among the northeastern states.</w:t>
      </w:r>
      <w:r w:rsidR="00C63E23" w:rsidRPr="0057039D">
        <w:rPr>
          <w:rFonts w:ascii="Arial" w:hAnsi="Arial" w:cs="Arial"/>
          <w:sz w:val="20"/>
          <w:szCs w:val="20"/>
        </w:rPr>
        <w:t xml:space="preserve"> </w:t>
      </w:r>
    </w:p>
    <w:p w14:paraId="5281EECB" w14:textId="256D5E9E" w:rsidR="004B11D9" w:rsidRPr="0057039D" w:rsidRDefault="004B11D9" w:rsidP="00B5276C">
      <w:pPr>
        <w:spacing w:line="360" w:lineRule="auto"/>
        <w:jc w:val="both"/>
        <w:rPr>
          <w:rFonts w:ascii="Arial" w:hAnsi="Arial" w:cs="Arial"/>
          <w:b/>
          <w:bCs/>
          <w:sz w:val="20"/>
          <w:szCs w:val="20"/>
        </w:rPr>
      </w:pPr>
      <w:r w:rsidRPr="0057039D">
        <w:rPr>
          <w:rFonts w:ascii="Arial" w:hAnsi="Arial" w:cs="Arial"/>
          <w:b/>
          <w:bCs/>
          <w:sz w:val="20"/>
          <w:szCs w:val="20"/>
        </w:rPr>
        <w:t xml:space="preserve">Keywords: </w:t>
      </w:r>
      <w:r w:rsidRPr="0057039D">
        <w:rPr>
          <w:rFonts w:ascii="Arial" w:hAnsi="Arial" w:cs="Arial"/>
          <w:sz w:val="20"/>
          <w:szCs w:val="20"/>
        </w:rPr>
        <w:t xml:space="preserve">Dairy, </w:t>
      </w:r>
      <w:r w:rsidR="003564E1" w:rsidRPr="0057039D">
        <w:rPr>
          <w:rFonts w:ascii="Arial" w:hAnsi="Arial" w:cs="Arial"/>
          <w:sz w:val="20"/>
          <w:szCs w:val="20"/>
        </w:rPr>
        <w:t>D</w:t>
      </w:r>
      <w:r w:rsidR="00FE35C9" w:rsidRPr="0057039D">
        <w:rPr>
          <w:rFonts w:ascii="Arial" w:hAnsi="Arial" w:cs="Arial"/>
          <w:sz w:val="20"/>
          <w:szCs w:val="20"/>
        </w:rPr>
        <w:t xml:space="preserve">airy </w:t>
      </w:r>
      <w:r w:rsidR="003564E1" w:rsidRPr="0057039D">
        <w:rPr>
          <w:rFonts w:ascii="Arial" w:hAnsi="Arial" w:cs="Arial"/>
          <w:sz w:val="20"/>
          <w:szCs w:val="20"/>
        </w:rPr>
        <w:t>c</w:t>
      </w:r>
      <w:r w:rsidR="00FE35C9" w:rsidRPr="0057039D">
        <w:rPr>
          <w:rFonts w:ascii="Arial" w:hAnsi="Arial" w:cs="Arial"/>
          <w:sz w:val="20"/>
          <w:szCs w:val="20"/>
        </w:rPr>
        <w:t xml:space="preserve">ooperatives, </w:t>
      </w:r>
      <w:r w:rsidR="003564E1" w:rsidRPr="0057039D">
        <w:rPr>
          <w:rFonts w:ascii="Arial" w:hAnsi="Arial" w:cs="Arial"/>
          <w:sz w:val="20"/>
          <w:szCs w:val="20"/>
        </w:rPr>
        <w:t>G</w:t>
      </w:r>
      <w:r w:rsidRPr="0057039D">
        <w:rPr>
          <w:rFonts w:ascii="Arial" w:hAnsi="Arial" w:cs="Arial"/>
          <w:sz w:val="20"/>
          <w:szCs w:val="20"/>
        </w:rPr>
        <w:t xml:space="preserve">rowth rate, Northeast India </w:t>
      </w:r>
    </w:p>
    <w:p w14:paraId="3EBF8706" w14:textId="6773F7DD" w:rsidR="002A47CD" w:rsidRPr="0057039D" w:rsidRDefault="00A83D30" w:rsidP="00B5276C">
      <w:pPr>
        <w:pStyle w:val="ListParagraph"/>
        <w:numPr>
          <w:ilvl w:val="0"/>
          <w:numId w:val="1"/>
        </w:numPr>
        <w:spacing w:line="360" w:lineRule="auto"/>
        <w:jc w:val="both"/>
        <w:rPr>
          <w:rFonts w:ascii="Arial" w:hAnsi="Arial" w:cs="Arial"/>
          <w:b/>
          <w:bCs/>
        </w:rPr>
      </w:pPr>
      <w:r w:rsidRPr="0057039D">
        <w:rPr>
          <w:rFonts w:ascii="Arial" w:hAnsi="Arial" w:cs="Arial"/>
          <w:b/>
          <w:bCs/>
        </w:rPr>
        <w:t>INTRODUCTION</w:t>
      </w:r>
    </w:p>
    <w:p w14:paraId="377F2714" w14:textId="532D93C0" w:rsidR="00CA5FAD" w:rsidRPr="0057039D" w:rsidRDefault="00674FD8" w:rsidP="00CA5FAD">
      <w:pPr>
        <w:spacing w:line="360" w:lineRule="auto"/>
        <w:jc w:val="both"/>
        <w:rPr>
          <w:rFonts w:ascii="Arial" w:hAnsi="Arial" w:cs="Arial"/>
          <w:sz w:val="20"/>
          <w:szCs w:val="20"/>
        </w:rPr>
      </w:pPr>
      <w:r w:rsidRPr="0057039D">
        <w:rPr>
          <w:rFonts w:ascii="Arial" w:hAnsi="Arial" w:cs="Arial"/>
          <w:sz w:val="20"/>
          <w:szCs w:val="20"/>
        </w:rPr>
        <w:t>India is the world’s largest milk producer</w:t>
      </w:r>
      <w:r w:rsidR="006E5B4E" w:rsidRPr="0057039D">
        <w:rPr>
          <w:rFonts w:ascii="Arial" w:hAnsi="Arial" w:cs="Arial"/>
          <w:sz w:val="20"/>
          <w:szCs w:val="20"/>
        </w:rPr>
        <w:t>,</w:t>
      </w:r>
      <w:r w:rsidRPr="0057039D">
        <w:rPr>
          <w:rFonts w:ascii="Arial" w:hAnsi="Arial" w:cs="Arial"/>
          <w:sz w:val="20"/>
          <w:szCs w:val="20"/>
        </w:rPr>
        <w:t xml:space="preserve"> </w:t>
      </w:r>
      <w:r w:rsidR="00E40A43" w:rsidRPr="0057039D">
        <w:rPr>
          <w:rFonts w:ascii="Arial" w:hAnsi="Arial" w:cs="Arial"/>
          <w:sz w:val="20"/>
          <w:szCs w:val="20"/>
        </w:rPr>
        <w:t>with</w:t>
      </w:r>
      <w:r w:rsidRPr="0057039D">
        <w:rPr>
          <w:rFonts w:ascii="Arial" w:hAnsi="Arial" w:cs="Arial"/>
          <w:sz w:val="20"/>
          <w:szCs w:val="20"/>
        </w:rPr>
        <w:t xml:space="preserve"> 23</w:t>
      </w:r>
      <w:r w:rsidR="00DF7D4F" w:rsidRPr="0057039D">
        <w:rPr>
          <w:rFonts w:ascii="Arial" w:hAnsi="Arial" w:cs="Arial"/>
          <w:sz w:val="20"/>
          <w:szCs w:val="20"/>
        </w:rPr>
        <w:t>9.30</w:t>
      </w:r>
      <w:r w:rsidRPr="0057039D">
        <w:rPr>
          <w:rFonts w:ascii="Arial" w:hAnsi="Arial" w:cs="Arial"/>
          <w:sz w:val="20"/>
          <w:szCs w:val="20"/>
        </w:rPr>
        <w:t xml:space="preserve"> million metric </w:t>
      </w:r>
      <w:r w:rsidR="009242C7" w:rsidRPr="0057039D">
        <w:rPr>
          <w:rFonts w:ascii="Arial" w:hAnsi="Arial" w:cs="Arial"/>
          <w:sz w:val="20"/>
          <w:szCs w:val="20"/>
        </w:rPr>
        <w:t>tons</w:t>
      </w:r>
      <w:r w:rsidRPr="0057039D">
        <w:rPr>
          <w:rFonts w:ascii="Arial" w:hAnsi="Arial" w:cs="Arial"/>
          <w:sz w:val="20"/>
          <w:szCs w:val="20"/>
        </w:rPr>
        <w:t xml:space="preserve"> (MT) of milk </w:t>
      </w:r>
      <w:r w:rsidR="00E40A43" w:rsidRPr="0057039D">
        <w:rPr>
          <w:rFonts w:ascii="Arial" w:hAnsi="Arial" w:cs="Arial"/>
          <w:sz w:val="20"/>
          <w:szCs w:val="20"/>
        </w:rPr>
        <w:t>and</w:t>
      </w:r>
      <w:r w:rsidRPr="0057039D">
        <w:rPr>
          <w:rFonts w:ascii="Arial" w:hAnsi="Arial" w:cs="Arial"/>
          <w:sz w:val="20"/>
          <w:szCs w:val="20"/>
        </w:rPr>
        <w:t xml:space="preserve"> </w:t>
      </w:r>
      <w:r w:rsidR="006E5B4E" w:rsidRPr="0057039D">
        <w:rPr>
          <w:rFonts w:ascii="Arial" w:hAnsi="Arial" w:cs="Arial"/>
          <w:sz w:val="20"/>
          <w:szCs w:val="20"/>
        </w:rPr>
        <w:t>a</w:t>
      </w:r>
      <w:r w:rsidRPr="0057039D">
        <w:rPr>
          <w:rFonts w:ascii="Arial" w:hAnsi="Arial" w:cs="Arial"/>
          <w:sz w:val="20"/>
          <w:szCs w:val="20"/>
        </w:rPr>
        <w:t xml:space="preserve"> per capita availability of 4</w:t>
      </w:r>
      <w:r w:rsidR="00DF7D4F" w:rsidRPr="0057039D">
        <w:rPr>
          <w:rFonts w:ascii="Arial" w:hAnsi="Arial" w:cs="Arial"/>
          <w:sz w:val="20"/>
          <w:szCs w:val="20"/>
        </w:rPr>
        <w:t>71</w:t>
      </w:r>
      <w:r w:rsidRPr="0057039D">
        <w:rPr>
          <w:rFonts w:ascii="Arial" w:hAnsi="Arial" w:cs="Arial"/>
          <w:sz w:val="20"/>
          <w:szCs w:val="20"/>
        </w:rPr>
        <w:t xml:space="preserve"> g/day (NDDB, 202</w:t>
      </w:r>
      <w:r w:rsidR="002B240F" w:rsidRPr="0057039D">
        <w:rPr>
          <w:rFonts w:ascii="Arial" w:hAnsi="Arial" w:cs="Arial"/>
          <w:sz w:val="20"/>
          <w:szCs w:val="20"/>
        </w:rPr>
        <w:t>4</w:t>
      </w:r>
      <w:r w:rsidR="00CC5A0A" w:rsidRPr="0057039D">
        <w:rPr>
          <w:rFonts w:ascii="Arial" w:hAnsi="Arial" w:cs="Arial"/>
          <w:sz w:val="20"/>
          <w:szCs w:val="20"/>
        </w:rPr>
        <w:t>).</w:t>
      </w:r>
      <w:r w:rsidRPr="0057039D">
        <w:rPr>
          <w:rFonts w:ascii="Arial" w:hAnsi="Arial" w:cs="Arial"/>
          <w:sz w:val="20"/>
          <w:szCs w:val="20"/>
        </w:rPr>
        <w:t xml:space="preserve"> </w:t>
      </w:r>
      <w:r w:rsidR="00F24A81" w:rsidRPr="0057039D">
        <w:rPr>
          <w:rFonts w:ascii="Arial" w:hAnsi="Arial" w:cs="Arial"/>
          <w:sz w:val="20"/>
          <w:szCs w:val="20"/>
        </w:rPr>
        <w:t>Milk production and dairy farming hold significant importance as subsidiary occupations of agriculture. They generate employment, strengthen the national economy, and provide income to both urban and rural areas (</w:t>
      </w:r>
      <w:r w:rsidR="00250E6F" w:rsidRPr="0057039D">
        <w:rPr>
          <w:rFonts w:ascii="Arial" w:hAnsi="Arial" w:cs="Arial"/>
          <w:sz w:val="20"/>
          <w:szCs w:val="20"/>
        </w:rPr>
        <w:t>P</w:t>
      </w:r>
      <w:r w:rsidR="00F24A81" w:rsidRPr="0057039D">
        <w:rPr>
          <w:rFonts w:ascii="Arial" w:hAnsi="Arial" w:cs="Arial"/>
          <w:sz w:val="20"/>
          <w:szCs w:val="20"/>
        </w:rPr>
        <w:t xml:space="preserve">asar </w:t>
      </w:r>
      <w:r w:rsidR="003E444D" w:rsidRPr="0057039D">
        <w:rPr>
          <w:rFonts w:ascii="Arial" w:hAnsi="Arial" w:cs="Arial"/>
          <w:sz w:val="20"/>
          <w:szCs w:val="20"/>
        </w:rPr>
        <w:t>et al.</w:t>
      </w:r>
      <w:r w:rsidR="00F24A81" w:rsidRPr="0057039D">
        <w:rPr>
          <w:rFonts w:ascii="Arial" w:hAnsi="Arial" w:cs="Arial"/>
          <w:sz w:val="20"/>
          <w:szCs w:val="20"/>
        </w:rPr>
        <w:t xml:space="preserve"> 2024). </w:t>
      </w:r>
      <w:r w:rsidR="00E40A43" w:rsidRPr="0057039D">
        <w:rPr>
          <w:rFonts w:ascii="Arial" w:hAnsi="Arial" w:cs="Arial"/>
          <w:sz w:val="20"/>
          <w:szCs w:val="20"/>
        </w:rPr>
        <w:t>Alt</w:t>
      </w:r>
      <w:r w:rsidR="00605D67" w:rsidRPr="0057039D">
        <w:rPr>
          <w:rFonts w:ascii="Arial" w:hAnsi="Arial" w:cs="Arial"/>
          <w:sz w:val="20"/>
          <w:szCs w:val="20"/>
        </w:rPr>
        <w:t>hough the country is self-sufficient in milk production</w:t>
      </w:r>
      <w:r w:rsidR="001E20C2" w:rsidRPr="0057039D">
        <w:rPr>
          <w:rFonts w:ascii="Arial" w:hAnsi="Arial" w:cs="Arial"/>
          <w:sz w:val="20"/>
          <w:szCs w:val="20"/>
        </w:rPr>
        <w:t xml:space="preserve">, </w:t>
      </w:r>
      <w:r w:rsidR="00E40A43" w:rsidRPr="0057039D">
        <w:rPr>
          <w:rFonts w:ascii="Arial" w:hAnsi="Arial" w:cs="Arial"/>
          <w:sz w:val="20"/>
          <w:szCs w:val="20"/>
        </w:rPr>
        <w:t xml:space="preserve">there are </w:t>
      </w:r>
      <w:r w:rsidR="001E20C2" w:rsidRPr="0057039D">
        <w:rPr>
          <w:rFonts w:ascii="Arial" w:hAnsi="Arial" w:cs="Arial"/>
          <w:sz w:val="20"/>
          <w:szCs w:val="20"/>
        </w:rPr>
        <w:t xml:space="preserve">significant regional </w:t>
      </w:r>
      <w:r w:rsidR="00E40A43" w:rsidRPr="0057039D">
        <w:rPr>
          <w:rFonts w:ascii="Arial" w:hAnsi="Arial" w:cs="Arial"/>
          <w:sz w:val="20"/>
          <w:szCs w:val="20"/>
        </w:rPr>
        <w:t>differences</w:t>
      </w:r>
      <w:r w:rsidR="00B4784D" w:rsidRPr="0057039D">
        <w:rPr>
          <w:rFonts w:ascii="Arial" w:hAnsi="Arial" w:cs="Arial"/>
          <w:sz w:val="20"/>
          <w:szCs w:val="20"/>
        </w:rPr>
        <w:t xml:space="preserve"> in northeastern </w:t>
      </w:r>
      <w:r w:rsidR="004900FF" w:rsidRPr="0057039D">
        <w:rPr>
          <w:rFonts w:ascii="Arial" w:hAnsi="Arial" w:cs="Arial"/>
          <w:sz w:val="20"/>
          <w:szCs w:val="20"/>
        </w:rPr>
        <w:t xml:space="preserve">(NE) </w:t>
      </w:r>
      <w:r w:rsidR="00B4784D" w:rsidRPr="0057039D">
        <w:rPr>
          <w:rFonts w:ascii="Arial" w:hAnsi="Arial" w:cs="Arial"/>
          <w:sz w:val="20"/>
          <w:szCs w:val="20"/>
        </w:rPr>
        <w:t>India</w:t>
      </w:r>
      <w:r w:rsidR="004D404D" w:rsidRPr="0057039D">
        <w:rPr>
          <w:rFonts w:ascii="Arial" w:hAnsi="Arial" w:cs="Arial"/>
          <w:sz w:val="20"/>
          <w:szCs w:val="20"/>
        </w:rPr>
        <w:t>.</w:t>
      </w:r>
      <w:r w:rsidR="009C5FEB" w:rsidRPr="0057039D">
        <w:rPr>
          <w:rFonts w:ascii="Arial" w:hAnsi="Arial" w:cs="Arial"/>
          <w:sz w:val="20"/>
          <w:szCs w:val="20"/>
        </w:rPr>
        <w:t xml:space="preserve"> Dairy </w:t>
      </w:r>
      <w:r w:rsidR="009C5FEB" w:rsidRPr="0057039D">
        <w:rPr>
          <w:rFonts w:ascii="Arial" w:hAnsi="Arial" w:cs="Arial"/>
          <w:sz w:val="20"/>
          <w:szCs w:val="20"/>
        </w:rPr>
        <w:lastRenderedPageBreak/>
        <w:t xml:space="preserve">farming in Northeast India </w:t>
      </w:r>
      <w:r w:rsidR="003F16FE" w:rsidRPr="0057039D">
        <w:rPr>
          <w:rFonts w:ascii="Arial" w:hAnsi="Arial" w:cs="Arial"/>
          <w:sz w:val="20"/>
          <w:szCs w:val="20"/>
        </w:rPr>
        <w:t xml:space="preserve">presents a </w:t>
      </w:r>
      <w:r w:rsidR="004564F0" w:rsidRPr="0057039D">
        <w:rPr>
          <w:rFonts w:ascii="Arial" w:hAnsi="Arial" w:cs="Arial"/>
          <w:sz w:val="20"/>
          <w:szCs w:val="20"/>
        </w:rPr>
        <w:t>unique combination of growth possibilities and operational challenges</w:t>
      </w:r>
      <w:r w:rsidR="00AB567D" w:rsidRPr="0057039D">
        <w:rPr>
          <w:rFonts w:ascii="Arial" w:hAnsi="Arial" w:cs="Arial"/>
          <w:sz w:val="20"/>
          <w:szCs w:val="20"/>
        </w:rPr>
        <w:t xml:space="preserve">. Dominated by </w:t>
      </w:r>
      <w:r w:rsidR="0032309D" w:rsidRPr="0057039D">
        <w:rPr>
          <w:rFonts w:ascii="Arial" w:hAnsi="Arial" w:cs="Arial"/>
          <w:sz w:val="20"/>
          <w:szCs w:val="20"/>
        </w:rPr>
        <w:t>small-scale, traditional rearing systems</w:t>
      </w:r>
      <w:r w:rsidR="00E01DD0" w:rsidRPr="0057039D">
        <w:rPr>
          <w:rFonts w:ascii="Arial" w:hAnsi="Arial" w:cs="Arial"/>
          <w:sz w:val="20"/>
          <w:szCs w:val="20"/>
        </w:rPr>
        <w:t>,</w:t>
      </w:r>
      <w:r w:rsidR="0032309D" w:rsidRPr="0057039D">
        <w:rPr>
          <w:rFonts w:ascii="Arial" w:hAnsi="Arial" w:cs="Arial"/>
          <w:sz w:val="20"/>
          <w:szCs w:val="20"/>
        </w:rPr>
        <w:t xml:space="preserve"> the region fac</w:t>
      </w:r>
      <w:r w:rsidR="00E01DD0" w:rsidRPr="0057039D">
        <w:rPr>
          <w:rFonts w:ascii="Arial" w:hAnsi="Arial" w:cs="Arial"/>
          <w:sz w:val="20"/>
          <w:szCs w:val="20"/>
        </w:rPr>
        <w:t>es issues like low productivity and infrastructure gaps.</w:t>
      </w:r>
      <w:r w:rsidR="000961F2" w:rsidRPr="0057039D">
        <w:rPr>
          <w:rFonts w:ascii="Arial" w:hAnsi="Arial" w:cs="Arial"/>
          <w:sz w:val="20"/>
          <w:szCs w:val="20"/>
        </w:rPr>
        <w:t xml:space="preserve"> </w:t>
      </w:r>
      <w:r w:rsidR="00672469" w:rsidRPr="0057039D">
        <w:rPr>
          <w:rFonts w:ascii="Arial" w:hAnsi="Arial" w:cs="Arial"/>
          <w:sz w:val="20"/>
          <w:szCs w:val="20"/>
        </w:rPr>
        <w:t xml:space="preserve">In this region, milk and milk products are supplied through a combination of local production, leading dairy cooperatives, and private dairies. </w:t>
      </w:r>
      <w:r w:rsidR="00CA5FAD" w:rsidRPr="0057039D">
        <w:rPr>
          <w:rFonts w:ascii="Arial" w:hAnsi="Arial" w:cs="Arial"/>
          <w:sz w:val="20"/>
          <w:szCs w:val="20"/>
        </w:rPr>
        <w:t xml:space="preserve">Some dairy brands present in the Northeast include </w:t>
      </w:r>
      <w:proofErr w:type="spellStart"/>
      <w:r w:rsidR="00CA5FAD" w:rsidRPr="0057039D">
        <w:rPr>
          <w:rFonts w:ascii="Arial" w:hAnsi="Arial" w:cs="Arial"/>
          <w:sz w:val="20"/>
          <w:szCs w:val="20"/>
        </w:rPr>
        <w:t>Purabi</w:t>
      </w:r>
      <w:proofErr w:type="spellEnd"/>
      <w:r w:rsidR="00CA5FAD" w:rsidRPr="0057039D">
        <w:rPr>
          <w:rFonts w:ascii="Arial" w:hAnsi="Arial" w:cs="Arial"/>
          <w:sz w:val="20"/>
          <w:szCs w:val="20"/>
        </w:rPr>
        <w:t xml:space="preserve"> in Assam, Gomati in Tripura, DIMUL in Nagaland, Na Ri in Meghalaya, </w:t>
      </w:r>
      <w:proofErr w:type="spellStart"/>
      <w:r w:rsidR="00CA5FAD" w:rsidRPr="0057039D">
        <w:rPr>
          <w:rFonts w:ascii="Arial" w:hAnsi="Arial" w:cs="Arial"/>
          <w:sz w:val="20"/>
          <w:szCs w:val="20"/>
        </w:rPr>
        <w:t>Chumthang</w:t>
      </w:r>
      <w:proofErr w:type="spellEnd"/>
      <w:r w:rsidR="00CA5FAD" w:rsidRPr="0057039D">
        <w:rPr>
          <w:rFonts w:ascii="Arial" w:hAnsi="Arial" w:cs="Arial"/>
          <w:sz w:val="20"/>
          <w:szCs w:val="20"/>
        </w:rPr>
        <w:t xml:space="preserve"> in Manipur, MULCO in Mizoram, </w:t>
      </w:r>
      <w:proofErr w:type="spellStart"/>
      <w:r w:rsidR="00CA5FAD" w:rsidRPr="0057039D">
        <w:rPr>
          <w:rFonts w:ascii="Arial" w:hAnsi="Arial" w:cs="Arial"/>
          <w:sz w:val="20"/>
          <w:szCs w:val="20"/>
        </w:rPr>
        <w:t>Nyukmadung</w:t>
      </w:r>
      <w:proofErr w:type="spellEnd"/>
      <w:r w:rsidR="00CA5FAD" w:rsidRPr="0057039D">
        <w:rPr>
          <w:rFonts w:ascii="Arial" w:hAnsi="Arial" w:cs="Arial"/>
          <w:sz w:val="20"/>
          <w:szCs w:val="20"/>
        </w:rPr>
        <w:t xml:space="preserve"> in Arunachal, and Kanchenjunga in Sikkim.</w:t>
      </w:r>
    </w:p>
    <w:p w14:paraId="7EEE95E5" w14:textId="38E40641" w:rsidR="00DF61A6" w:rsidRPr="0057039D" w:rsidRDefault="00220738" w:rsidP="00B5276C">
      <w:pPr>
        <w:spacing w:line="360" w:lineRule="auto"/>
        <w:jc w:val="both"/>
        <w:rPr>
          <w:rFonts w:ascii="Arial" w:hAnsi="Arial" w:cs="Arial"/>
          <w:sz w:val="20"/>
          <w:szCs w:val="20"/>
        </w:rPr>
      </w:pPr>
      <w:r w:rsidRPr="0057039D">
        <w:rPr>
          <w:rFonts w:ascii="Arial" w:hAnsi="Arial" w:cs="Arial"/>
          <w:sz w:val="20"/>
          <w:szCs w:val="20"/>
        </w:rPr>
        <w:t>Traditionally,</w:t>
      </w:r>
      <w:r w:rsidR="009F244E" w:rsidRPr="0057039D">
        <w:rPr>
          <w:rFonts w:ascii="Arial" w:hAnsi="Arial" w:cs="Arial"/>
          <w:sz w:val="20"/>
          <w:szCs w:val="20"/>
        </w:rPr>
        <w:t xml:space="preserve"> farmers</w:t>
      </w:r>
      <w:r w:rsidR="0041173E" w:rsidRPr="0057039D">
        <w:rPr>
          <w:rFonts w:ascii="Arial" w:hAnsi="Arial" w:cs="Arial"/>
          <w:sz w:val="20"/>
          <w:szCs w:val="20"/>
        </w:rPr>
        <w:t xml:space="preserve"> in NE rely</w:t>
      </w:r>
      <w:r w:rsidR="009F244E" w:rsidRPr="0057039D">
        <w:rPr>
          <w:rFonts w:ascii="Arial" w:hAnsi="Arial" w:cs="Arial"/>
          <w:sz w:val="20"/>
          <w:szCs w:val="20"/>
        </w:rPr>
        <w:t xml:space="preserve"> on </w:t>
      </w:r>
      <w:r w:rsidRPr="0057039D">
        <w:rPr>
          <w:rFonts w:ascii="Arial" w:hAnsi="Arial" w:cs="Arial"/>
          <w:sz w:val="20"/>
          <w:szCs w:val="20"/>
        </w:rPr>
        <w:t>agricultur</w:t>
      </w:r>
      <w:r w:rsidR="009F244E" w:rsidRPr="0057039D">
        <w:rPr>
          <w:rFonts w:ascii="Arial" w:hAnsi="Arial" w:cs="Arial"/>
          <w:sz w:val="20"/>
          <w:szCs w:val="20"/>
        </w:rPr>
        <w:t xml:space="preserve">al cultivation. </w:t>
      </w:r>
      <w:r w:rsidR="00DF60CA" w:rsidRPr="0057039D">
        <w:rPr>
          <w:rFonts w:ascii="Arial" w:hAnsi="Arial" w:cs="Arial"/>
          <w:sz w:val="20"/>
          <w:szCs w:val="20"/>
        </w:rPr>
        <w:t>However</w:t>
      </w:r>
      <w:r w:rsidR="00A9008F" w:rsidRPr="0057039D">
        <w:rPr>
          <w:rFonts w:ascii="Arial" w:hAnsi="Arial" w:cs="Arial"/>
          <w:sz w:val="20"/>
          <w:szCs w:val="20"/>
        </w:rPr>
        <w:t>,</w:t>
      </w:r>
      <w:r w:rsidR="002E1DEE" w:rsidRPr="0057039D">
        <w:rPr>
          <w:rFonts w:ascii="Arial" w:hAnsi="Arial" w:cs="Arial"/>
          <w:sz w:val="20"/>
          <w:szCs w:val="20"/>
        </w:rPr>
        <w:t xml:space="preserve"> dairy farming</w:t>
      </w:r>
      <w:r w:rsidR="0041173E" w:rsidRPr="0057039D">
        <w:rPr>
          <w:rFonts w:ascii="Arial" w:hAnsi="Arial" w:cs="Arial"/>
          <w:sz w:val="20"/>
          <w:szCs w:val="20"/>
        </w:rPr>
        <w:t xml:space="preserve"> has become an important activity</w:t>
      </w:r>
      <w:r w:rsidR="006A227E" w:rsidRPr="0057039D">
        <w:rPr>
          <w:rFonts w:ascii="Arial" w:hAnsi="Arial" w:cs="Arial"/>
          <w:sz w:val="20"/>
          <w:szCs w:val="20"/>
        </w:rPr>
        <w:t xml:space="preserve"> </w:t>
      </w:r>
      <w:r w:rsidR="001D0AEC" w:rsidRPr="0057039D">
        <w:rPr>
          <w:rFonts w:ascii="Arial" w:hAnsi="Arial" w:cs="Arial"/>
          <w:sz w:val="20"/>
          <w:szCs w:val="20"/>
        </w:rPr>
        <w:t xml:space="preserve">in </w:t>
      </w:r>
      <w:r w:rsidR="005D3DA7" w:rsidRPr="0057039D">
        <w:rPr>
          <w:rFonts w:ascii="Arial" w:hAnsi="Arial" w:cs="Arial"/>
          <w:sz w:val="20"/>
          <w:szCs w:val="20"/>
        </w:rPr>
        <w:t>the</w:t>
      </w:r>
      <w:r w:rsidR="006A227E" w:rsidRPr="0057039D">
        <w:rPr>
          <w:rFonts w:ascii="Arial" w:hAnsi="Arial" w:cs="Arial"/>
          <w:sz w:val="20"/>
          <w:szCs w:val="20"/>
        </w:rPr>
        <w:t xml:space="preserve"> region</w:t>
      </w:r>
      <w:r w:rsidR="0041173E" w:rsidRPr="0057039D">
        <w:rPr>
          <w:rFonts w:ascii="Arial" w:hAnsi="Arial" w:cs="Arial"/>
          <w:sz w:val="20"/>
          <w:szCs w:val="20"/>
        </w:rPr>
        <w:t>, offering</w:t>
      </w:r>
      <w:r w:rsidR="001674E9" w:rsidRPr="0057039D">
        <w:rPr>
          <w:rFonts w:ascii="Arial" w:hAnsi="Arial" w:cs="Arial"/>
          <w:sz w:val="20"/>
          <w:szCs w:val="20"/>
        </w:rPr>
        <w:t xml:space="preserve"> numerous</w:t>
      </w:r>
      <w:r w:rsidR="0041173E" w:rsidRPr="0057039D">
        <w:rPr>
          <w:rFonts w:ascii="Arial" w:hAnsi="Arial" w:cs="Arial"/>
          <w:sz w:val="20"/>
          <w:szCs w:val="20"/>
        </w:rPr>
        <w:t xml:space="preserve"> investment</w:t>
      </w:r>
      <w:r w:rsidR="002E1DEE" w:rsidRPr="0057039D">
        <w:rPr>
          <w:rFonts w:ascii="Arial" w:hAnsi="Arial" w:cs="Arial"/>
          <w:sz w:val="20"/>
          <w:szCs w:val="20"/>
        </w:rPr>
        <w:t xml:space="preserve"> </w:t>
      </w:r>
      <w:r w:rsidR="00E52489" w:rsidRPr="0057039D">
        <w:rPr>
          <w:rFonts w:ascii="Arial" w:hAnsi="Arial" w:cs="Arial"/>
          <w:sz w:val="20"/>
          <w:szCs w:val="20"/>
        </w:rPr>
        <w:t>opportunities.</w:t>
      </w:r>
      <w:r w:rsidR="002E1DEE" w:rsidRPr="0057039D">
        <w:rPr>
          <w:rFonts w:ascii="Arial" w:hAnsi="Arial" w:cs="Arial"/>
          <w:sz w:val="20"/>
          <w:szCs w:val="20"/>
        </w:rPr>
        <w:t xml:space="preserve"> </w:t>
      </w:r>
      <w:r w:rsidR="000126B1" w:rsidRPr="0057039D">
        <w:rPr>
          <w:rFonts w:ascii="Arial" w:hAnsi="Arial" w:cs="Arial"/>
          <w:sz w:val="20"/>
          <w:szCs w:val="20"/>
        </w:rPr>
        <w:t xml:space="preserve">Northeast India has diverse geographical features, including hills, plains, and valleys, which </w:t>
      </w:r>
      <w:r w:rsidR="00BA75FE" w:rsidRPr="0057039D">
        <w:rPr>
          <w:rFonts w:ascii="Arial" w:hAnsi="Arial" w:cs="Arial"/>
          <w:sz w:val="20"/>
          <w:szCs w:val="20"/>
        </w:rPr>
        <w:t>influence</w:t>
      </w:r>
      <w:r w:rsidR="000126B1" w:rsidRPr="0057039D">
        <w:rPr>
          <w:rFonts w:ascii="Arial" w:hAnsi="Arial" w:cs="Arial"/>
          <w:sz w:val="20"/>
          <w:szCs w:val="20"/>
        </w:rPr>
        <w:t xml:space="preserve"> dairy farming practices.</w:t>
      </w:r>
      <w:r w:rsidR="00BA75FE" w:rsidRPr="0057039D">
        <w:rPr>
          <w:rFonts w:ascii="Arial" w:hAnsi="Arial" w:cs="Arial"/>
          <w:sz w:val="20"/>
          <w:szCs w:val="20"/>
        </w:rPr>
        <w:t xml:space="preserve"> Although smaller in scale compared to</w:t>
      </w:r>
      <w:r w:rsidR="000126B1" w:rsidRPr="0057039D">
        <w:rPr>
          <w:rFonts w:ascii="Arial" w:hAnsi="Arial" w:cs="Arial"/>
          <w:sz w:val="20"/>
          <w:szCs w:val="20"/>
        </w:rPr>
        <w:t xml:space="preserve"> </w:t>
      </w:r>
      <w:r w:rsidR="003C693F" w:rsidRPr="0057039D">
        <w:rPr>
          <w:rFonts w:ascii="Arial" w:hAnsi="Arial" w:cs="Arial"/>
          <w:sz w:val="20"/>
          <w:szCs w:val="20"/>
        </w:rPr>
        <w:t>other parts of the country, the dairy sector in Northeast India significant</w:t>
      </w:r>
      <w:r w:rsidR="00BA75FE" w:rsidRPr="0057039D">
        <w:rPr>
          <w:rFonts w:ascii="Arial" w:hAnsi="Arial" w:cs="Arial"/>
          <w:sz w:val="20"/>
          <w:szCs w:val="20"/>
        </w:rPr>
        <w:t>ly supports local</w:t>
      </w:r>
      <w:r w:rsidR="003C693F" w:rsidRPr="0057039D">
        <w:rPr>
          <w:rFonts w:ascii="Arial" w:hAnsi="Arial" w:cs="Arial"/>
          <w:sz w:val="20"/>
          <w:szCs w:val="20"/>
        </w:rPr>
        <w:t xml:space="preserve"> livelihoods and nutrition</w:t>
      </w:r>
      <w:r w:rsidR="00BA75FE" w:rsidRPr="0057039D">
        <w:rPr>
          <w:rFonts w:ascii="Arial" w:hAnsi="Arial" w:cs="Arial"/>
          <w:sz w:val="20"/>
          <w:szCs w:val="20"/>
        </w:rPr>
        <w:t xml:space="preserve">. </w:t>
      </w:r>
      <w:r w:rsidR="00395B17" w:rsidRPr="0057039D">
        <w:rPr>
          <w:rFonts w:ascii="Arial" w:hAnsi="Arial" w:cs="Arial"/>
          <w:sz w:val="20"/>
          <w:szCs w:val="20"/>
        </w:rPr>
        <w:t xml:space="preserve">Due to small landholdings and limited alternative </w:t>
      </w:r>
      <w:r w:rsidR="00BA75FE" w:rsidRPr="0057039D">
        <w:rPr>
          <w:rFonts w:ascii="Arial" w:hAnsi="Arial" w:cs="Arial"/>
          <w:sz w:val="20"/>
          <w:szCs w:val="20"/>
        </w:rPr>
        <w:t>income sources</w:t>
      </w:r>
      <w:r w:rsidR="00395B17" w:rsidRPr="0057039D">
        <w:rPr>
          <w:rFonts w:ascii="Arial" w:hAnsi="Arial" w:cs="Arial"/>
          <w:sz w:val="20"/>
          <w:szCs w:val="20"/>
        </w:rPr>
        <w:t xml:space="preserve">, dairy farming and livestock enterprises are particularly </w:t>
      </w:r>
      <w:r w:rsidR="00BA75FE" w:rsidRPr="0057039D">
        <w:rPr>
          <w:rFonts w:ascii="Arial" w:hAnsi="Arial" w:cs="Arial"/>
          <w:sz w:val="20"/>
          <w:szCs w:val="20"/>
        </w:rPr>
        <w:t>vita</w:t>
      </w:r>
      <w:r w:rsidR="00395B17" w:rsidRPr="0057039D">
        <w:rPr>
          <w:rFonts w:ascii="Arial" w:hAnsi="Arial" w:cs="Arial"/>
          <w:sz w:val="20"/>
          <w:szCs w:val="20"/>
        </w:rPr>
        <w:t>l in this region (Priscilla</w:t>
      </w:r>
      <w:r w:rsidR="00130986" w:rsidRPr="0057039D">
        <w:rPr>
          <w:rFonts w:ascii="Arial" w:hAnsi="Arial" w:cs="Arial"/>
          <w:sz w:val="20"/>
          <w:szCs w:val="20"/>
        </w:rPr>
        <w:t xml:space="preserve"> </w:t>
      </w:r>
      <w:r w:rsidR="003E444D" w:rsidRPr="0057039D">
        <w:rPr>
          <w:rFonts w:ascii="Arial" w:hAnsi="Arial" w:cs="Arial"/>
          <w:sz w:val="20"/>
          <w:szCs w:val="20"/>
        </w:rPr>
        <w:t>et al</w:t>
      </w:r>
      <w:r w:rsidR="003E444D" w:rsidRPr="0057039D">
        <w:rPr>
          <w:rFonts w:ascii="Arial" w:hAnsi="Arial" w:cs="Arial"/>
          <w:i/>
          <w:iCs/>
          <w:sz w:val="20"/>
          <w:szCs w:val="20"/>
        </w:rPr>
        <w:t>.</w:t>
      </w:r>
      <w:r w:rsidR="00395B17" w:rsidRPr="0057039D">
        <w:rPr>
          <w:rFonts w:ascii="Arial" w:hAnsi="Arial" w:cs="Arial"/>
          <w:sz w:val="20"/>
          <w:szCs w:val="20"/>
        </w:rPr>
        <w:t xml:space="preserve"> 2017).</w:t>
      </w:r>
      <w:r w:rsidR="008C048C" w:rsidRPr="0057039D">
        <w:rPr>
          <w:rFonts w:ascii="Arial" w:hAnsi="Arial" w:cs="Arial"/>
          <w:sz w:val="20"/>
          <w:szCs w:val="20"/>
        </w:rPr>
        <w:t xml:space="preserve"> </w:t>
      </w:r>
      <w:r w:rsidR="00F54CDE" w:rsidRPr="0057039D">
        <w:rPr>
          <w:rFonts w:ascii="Arial" w:hAnsi="Arial" w:cs="Arial"/>
          <w:sz w:val="20"/>
          <w:szCs w:val="20"/>
        </w:rPr>
        <w:t>The region faces issues like low productivity, lack of fodder, low adoption of improved breeds, cooperative challenges, and reliance on milk imports from other states.</w:t>
      </w:r>
      <w:r w:rsidR="009D17CF" w:rsidRPr="0057039D">
        <w:rPr>
          <w:rFonts w:ascii="Arial" w:hAnsi="Arial" w:cs="Arial"/>
          <w:sz w:val="20"/>
          <w:szCs w:val="20"/>
        </w:rPr>
        <w:t xml:space="preserve"> A study conducted by </w:t>
      </w:r>
      <w:proofErr w:type="spellStart"/>
      <w:r w:rsidR="005D6A46" w:rsidRPr="0057039D">
        <w:rPr>
          <w:rFonts w:ascii="Arial" w:hAnsi="Arial" w:cs="Arial"/>
          <w:sz w:val="20"/>
          <w:szCs w:val="20"/>
        </w:rPr>
        <w:t>Malsawmdawngliana</w:t>
      </w:r>
      <w:proofErr w:type="spellEnd"/>
      <w:r w:rsidR="005D6A46" w:rsidRPr="0057039D">
        <w:rPr>
          <w:rFonts w:ascii="Arial" w:hAnsi="Arial" w:cs="Arial"/>
          <w:sz w:val="20"/>
          <w:szCs w:val="20"/>
        </w:rPr>
        <w:t xml:space="preserve"> and Rahman (201</w:t>
      </w:r>
      <w:r w:rsidR="00F76E34" w:rsidRPr="0057039D">
        <w:rPr>
          <w:rFonts w:ascii="Arial" w:hAnsi="Arial" w:cs="Arial"/>
          <w:sz w:val="20"/>
          <w:szCs w:val="20"/>
        </w:rPr>
        <w:t>6</w:t>
      </w:r>
      <w:r w:rsidR="005D6A46" w:rsidRPr="0057039D">
        <w:rPr>
          <w:rFonts w:ascii="Arial" w:hAnsi="Arial" w:cs="Arial"/>
          <w:sz w:val="20"/>
          <w:szCs w:val="20"/>
        </w:rPr>
        <w:t>)</w:t>
      </w:r>
      <w:r w:rsidR="00CC39E1" w:rsidRPr="0057039D">
        <w:rPr>
          <w:rFonts w:ascii="Arial" w:hAnsi="Arial" w:cs="Arial"/>
          <w:sz w:val="20"/>
          <w:szCs w:val="20"/>
        </w:rPr>
        <w:t xml:space="preserve"> </w:t>
      </w:r>
      <w:r w:rsidR="003D325C" w:rsidRPr="0057039D">
        <w:rPr>
          <w:rFonts w:ascii="Arial" w:hAnsi="Arial" w:cs="Arial"/>
          <w:sz w:val="20"/>
          <w:szCs w:val="20"/>
        </w:rPr>
        <w:t xml:space="preserve">has emphasised the necessity of training </w:t>
      </w:r>
      <w:r w:rsidR="00EA5819" w:rsidRPr="0057039D">
        <w:rPr>
          <w:rFonts w:ascii="Arial" w:hAnsi="Arial" w:cs="Arial"/>
          <w:sz w:val="20"/>
          <w:szCs w:val="20"/>
        </w:rPr>
        <w:t>on vaccination, deworming, Artificial insemination, fodder growth, herd recording</w:t>
      </w:r>
      <w:r w:rsidR="00825334" w:rsidRPr="0057039D">
        <w:rPr>
          <w:rFonts w:ascii="Arial" w:hAnsi="Arial" w:cs="Arial"/>
          <w:sz w:val="20"/>
          <w:szCs w:val="20"/>
        </w:rPr>
        <w:t>,</w:t>
      </w:r>
      <w:r w:rsidR="00EA5819" w:rsidRPr="0057039D">
        <w:rPr>
          <w:rFonts w:ascii="Arial" w:hAnsi="Arial" w:cs="Arial"/>
          <w:sz w:val="20"/>
          <w:szCs w:val="20"/>
        </w:rPr>
        <w:t xml:space="preserve"> etc.</w:t>
      </w:r>
      <w:r w:rsidR="00825334" w:rsidRPr="0057039D">
        <w:rPr>
          <w:rFonts w:ascii="Arial" w:hAnsi="Arial" w:cs="Arial"/>
          <w:sz w:val="20"/>
          <w:szCs w:val="20"/>
        </w:rPr>
        <w:t>, for improving the productivity in the region.</w:t>
      </w:r>
    </w:p>
    <w:p w14:paraId="2EE42676" w14:textId="2174D6F0" w:rsidR="00227B70" w:rsidRPr="0057039D" w:rsidRDefault="008C048C" w:rsidP="00B5276C">
      <w:pPr>
        <w:spacing w:line="360" w:lineRule="auto"/>
        <w:jc w:val="both"/>
        <w:rPr>
          <w:rFonts w:ascii="Arial" w:hAnsi="Arial" w:cs="Arial"/>
          <w:sz w:val="20"/>
          <w:szCs w:val="20"/>
        </w:rPr>
      </w:pPr>
      <w:r w:rsidRPr="0057039D">
        <w:rPr>
          <w:rFonts w:ascii="Arial" w:hAnsi="Arial" w:cs="Arial"/>
          <w:sz w:val="20"/>
          <w:szCs w:val="20"/>
        </w:rPr>
        <w:t>The future of processed milk and related industries in the area looks promising, supported by initiatives like the Government of India’s Act East Policy, the Free Trade Agreement with ASEAN, and the Pan Asian Highway. The region’s strategic location, sharing 98 percent of its borders with neighbo</w:t>
      </w:r>
      <w:r w:rsidR="00C65CD1" w:rsidRPr="0057039D">
        <w:rPr>
          <w:rFonts w:ascii="Arial" w:hAnsi="Arial" w:cs="Arial"/>
          <w:sz w:val="20"/>
          <w:szCs w:val="20"/>
        </w:rPr>
        <w:t>u</w:t>
      </w:r>
      <w:r w:rsidRPr="0057039D">
        <w:rPr>
          <w:rFonts w:ascii="Arial" w:hAnsi="Arial" w:cs="Arial"/>
          <w:sz w:val="20"/>
          <w:szCs w:val="20"/>
        </w:rPr>
        <w:t xml:space="preserve">ring countries, offers significant export opportunities and enhances its economic potential. </w:t>
      </w:r>
      <w:r w:rsidR="00227B70" w:rsidRPr="0057039D">
        <w:rPr>
          <w:rFonts w:ascii="Arial" w:hAnsi="Arial" w:cs="Arial"/>
          <w:sz w:val="20"/>
          <w:szCs w:val="20"/>
        </w:rPr>
        <w:t xml:space="preserve">Consumption of milk and milk products is low in the region. Nonetheless, with the increasing per capita income and changing lifestyle, the demand for milk and milk products is rising (Feroze </w:t>
      </w:r>
      <w:r w:rsidR="003E444D" w:rsidRPr="0057039D">
        <w:rPr>
          <w:rFonts w:ascii="Arial" w:hAnsi="Arial" w:cs="Arial"/>
          <w:sz w:val="20"/>
          <w:szCs w:val="20"/>
        </w:rPr>
        <w:t>et al.</w:t>
      </w:r>
      <w:r w:rsidR="00227B70" w:rsidRPr="0057039D">
        <w:rPr>
          <w:rFonts w:ascii="Arial" w:hAnsi="Arial" w:cs="Arial"/>
          <w:sz w:val="20"/>
          <w:szCs w:val="20"/>
        </w:rPr>
        <w:t xml:space="preserve"> 2010). The projected household demand in 2030 indicates significant market potential for dairy products in the Northeastern States (NDDB, 2021). </w:t>
      </w:r>
      <w:r w:rsidR="003F100E" w:rsidRPr="0057039D">
        <w:rPr>
          <w:rFonts w:ascii="Arial" w:hAnsi="Arial" w:cs="Arial"/>
          <w:sz w:val="20"/>
          <w:szCs w:val="20"/>
        </w:rPr>
        <w:t xml:space="preserve">This study aims to study the trends of milk production and per capita </w:t>
      </w:r>
      <w:r w:rsidR="00E32900" w:rsidRPr="0057039D">
        <w:rPr>
          <w:rFonts w:ascii="Arial" w:hAnsi="Arial" w:cs="Arial"/>
          <w:sz w:val="20"/>
          <w:szCs w:val="20"/>
        </w:rPr>
        <w:t>availability</w:t>
      </w:r>
      <w:r w:rsidR="003F100E" w:rsidRPr="0057039D">
        <w:rPr>
          <w:rFonts w:ascii="Arial" w:hAnsi="Arial" w:cs="Arial"/>
          <w:sz w:val="20"/>
          <w:szCs w:val="20"/>
        </w:rPr>
        <w:t xml:space="preserve"> in Northeastern India.</w:t>
      </w:r>
    </w:p>
    <w:p w14:paraId="55392769" w14:textId="1DDC3BD6" w:rsidR="006A06F5" w:rsidRPr="0057039D" w:rsidRDefault="006F287F" w:rsidP="00B5276C">
      <w:pPr>
        <w:spacing w:line="360" w:lineRule="auto"/>
        <w:jc w:val="both"/>
        <w:rPr>
          <w:rFonts w:ascii="Arial" w:hAnsi="Arial" w:cs="Arial"/>
          <w:b/>
          <w:bCs/>
          <w:sz w:val="20"/>
          <w:szCs w:val="20"/>
        </w:rPr>
      </w:pPr>
      <w:r w:rsidRPr="0057039D">
        <w:rPr>
          <w:rFonts w:ascii="Arial" w:hAnsi="Arial" w:cs="Arial"/>
          <w:b/>
          <w:bCs/>
        </w:rPr>
        <w:t>2. METHODOLOGY</w:t>
      </w:r>
    </w:p>
    <w:p w14:paraId="0CA9BCCB" w14:textId="59CA0AD7" w:rsidR="006A06F5" w:rsidRPr="0057039D" w:rsidRDefault="00277130" w:rsidP="00B5276C">
      <w:pPr>
        <w:spacing w:line="360" w:lineRule="auto"/>
        <w:jc w:val="both"/>
        <w:rPr>
          <w:rFonts w:ascii="Arial" w:hAnsi="Arial" w:cs="Arial"/>
          <w:b/>
          <w:bCs/>
          <w:sz w:val="20"/>
          <w:szCs w:val="20"/>
          <w:u w:val="single"/>
        </w:rPr>
      </w:pPr>
      <w:r w:rsidRPr="0057039D">
        <w:rPr>
          <w:rFonts w:ascii="Arial" w:hAnsi="Arial" w:cs="Arial"/>
          <w:b/>
          <w:bCs/>
          <w:sz w:val="20"/>
          <w:szCs w:val="20"/>
          <w:u w:val="single"/>
        </w:rPr>
        <w:t xml:space="preserve">2.1 </w:t>
      </w:r>
      <w:r w:rsidR="006A06F5" w:rsidRPr="0057039D">
        <w:rPr>
          <w:rFonts w:ascii="Arial" w:hAnsi="Arial" w:cs="Arial"/>
          <w:b/>
          <w:bCs/>
          <w:sz w:val="20"/>
          <w:szCs w:val="20"/>
          <w:u w:val="single"/>
        </w:rPr>
        <w:t>Compound annual growth rate (CAGR)</w:t>
      </w:r>
    </w:p>
    <w:p w14:paraId="3661727A" w14:textId="77777777" w:rsidR="009B3FBB" w:rsidRDefault="009B3FBB" w:rsidP="00CE28E1">
      <w:pPr>
        <w:spacing w:line="360" w:lineRule="auto"/>
        <w:jc w:val="both"/>
        <w:rPr>
          <w:rFonts w:ascii="Arial" w:hAnsi="Arial" w:cs="Arial"/>
          <w:sz w:val="20"/>
          <w:szCs w:val="20"/>
        </w:rPr>
      </w:pPr>
      <w:r w:rsidRPr="00CE28E1">
        <w:rPr>
          <w:rFonts w:ascii="Arial" w:hAnsi="Arial" w:cs="Arial"/>
          <w:sz w:val="20"/>
          <w:szCs w:val="20"/>
        </w:rPr>
        <w:t xml:space="preserve">Compound Annual Growth Rate (CAGR) is a measure that shows the average annual growth rate of a variable over a period of time, assuming the growth happened at a steady (compounded) rate each year. It gives a single percentage figure that indicates the average yearly rate at which the variable has grown during the specified period. To study the </w:t>
      </w:r>
      <w:proofErr w:type="spellStart"/>
      <w:r w:rsidRPr="00CE28E1">
        <w:rPr>
          <w:rFonts w:ascii="Arial" w:hAnsi="Arial" w:cs="Arial"/>
          <w:sz w:val="20"/>
          <w:szCs w:val="20"/>
        </w:rPr>
        <w:t>spatio</w:t>
      </w:r>
      <w:proofErr w:type="spellEnd"/>
      <w:r w:rsidRPr="00CE28E1">
        <w:rPr>
          <w:rFonts w:ascii="Arial" w:hAnsi="Arial" w:cs="Arial"/>
          <w:sz w:val="20"/>
          <w:szCs w:val="20"/>
        </w:rPr>
        <w:t xml:space="preserve">-temporal productivity dynamics of milk production and per capita availability in different states of the Northeastern region, the exponential growth equation of the following form was used to compute the annual growth rates; </w:t>
      </w:r>
    </w:p>
    <w:p w14:paraId="5F8F4A99" w14:textId="77777777" w:rsidR="00464AFD" w:rsidRPr="00467F1D" w:rsidRDefault="00464AFD" w:rsidP="00464AFD">
      <w:pPr>
        <w:spacing w:line="240" w:lineRule="auto"/>
        <w:jc w:val="both"/>
        <w:rPr>
          <w:rFonts w:ascii="Times New Roman" w:hAnsi="Times New Roman" w:cs="Times New Roman"/>
        </w:rPr>
      </w:pPr>
      <w:r w:rsidRPr="00467F1D">
        <w:rPr>
          <w:rFonts w:ascii="Times New Roman" w:hAnsi="Times New Roman" w:cs="Times New Roman"/>
        </w:rPr>
        <w:t>Y =</w:t>
      </w:r>
      <w:proofErr w:type="spellStart"/>
      <w:r>
        <w:rPr>
          <w:rFonts w:ascii="Times New Roman" w:hAnsi="Times New Roman" w:cs="Times New Roman"/>
        </w:rPr>
        <w:t>b</w:t>
      </w:r>
      <w:r w:rsidRPr="00467F1D">
        <w:rPr>
          <w:rFonts w:ascii="Times New Roman" w:hAnsi="Times New Roman" w:cs="Times New Roman"/>
        </w:rPr>
        <w:t>c</w:t>
      </w:r>
      <w:r w:rsidRPr="00467F1D">
        <w:rPr>
          <w:rFonts w:ascii="Times New Roman" w:hAnsi="Times New Roman" w:cs="Times New Roman"/>
          <w:vertAlign w:val="superscript"/>
        </w:rPr>
        <w:t>t</w:t>
      </w:r>
      <w:proofErr w:type="spellEnd"/>
      <w:r w:rsidRPr="00467F1D">
        <w:rPr>
          <w:rFonts w:ascii="Times New Roman" w:hAnsi="Times New Roman" w:cs="Times New Roman"/>
        </w:rPr>
        <w:t xml:space="preserve"> </w:t>
      </w:r>
      <w:r>
        <w:rPr>
          <w:rFonts w:ascii="Times New Roman" w:hAnsi="Times New Roman" w:cs="Times New Roman"/>
        </w:rPr>
        <w:t>………</w:t>
      </w:r>
      <w:r w:rsidRPr="00467F1D">
        <w:rPr>
          <w:rFonts w:ascii="Times New Roman" w:hAnsi="Times New Roman" w:cs="Times New Roman"/>
        </w:rPr>
        <w:t xml:space="preserve"> (</w:t>
      </w:r>
      <w:r>
        <w:rPr>
          <w:rFonts w:ascii="Times New Roman" w:hAnsi="Times New Roman" w:cs="Times New Roman"/>
        </w:rPr>
        <w:t>I</w:t>
      </w:r>
      <w:r w:rsidRPr="00467F1D">
        <w:rPr>
          <w:rFonts w:ascii="Times New Roman" w:hAnsi="Times New Roman" w:cs="Times New Roman"/>
        </w:rPr>
        <w:t>)</w:t>
      </w:r>
    </w:p>
    <w:p w14:paraId="172DB1AA"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 xml:space="preserve">Where Y = production in </w:t>
      </w:r>
      <w:r>
        <w:rPr>
          <w:rFonts w:ascii="Times New Roman" w:hAnsi="Times New Roman" w:cs="Times New Roman"/>
        </w:rPr>
        <w:t xml:space="preserve">the </w:t>
      </w:r>
      <w:r w:rsidRPr="00467F1D">
        <w:rPr>
          <w:rFonts w:ascii="Times New Roman" w:hAnsi="Times New Roman" w:cs="Times New Roman"/>
        </w:rPr>
        <w:t>1st year</w:t>
      </w:r>
      <w:r>
        <w:rPr>
          <w:rFonts w:ascii="Times New Roman" w:hAnsi="Times New Roman" w:cs="Times New Roman"/>
        </w:rPr>
        <w:t>,</w:t>
      </w:r>
      <w:r w:rsidRPr="00467F1D">
        <w:rPr>
          <w:rFonts w:ascii="Times New Roman" w:hAnsi="Times New Roman" w:cs="Times New Roman"/>
        </w:rPr>
        <w:t xml:space="preserve"> </w:t>
      </w:r>
    </w:p>
    <w:p w14:paraId="4F0597AE" w14:textId="77777777" w:rsidR="00464AFD" w:rsidRDefault="00464AFD" w:rsidP="00464AFD">
      <w:pPr>
        <w:spacing w:line="240" w:lineRule="auto"/>
        <w:jc w:val="both"/>
        <w:rPr>
          <w:rFonts w:ascii="Times New Roman" w:hAnsi="Times New Roman" w:cs="Times New Roman"/>
        </w:rPr>
      </w:pPr>
      <w:r>
        <w:rPr>
          <w:rFonts w:ascii="Times New Roman" w:hAnsi="Times New Roman" w:cs="Times New Roman"/>
        </w:rPr>
        <w:lastRenderedPageBreak/>
        <w:t>b</w:t>
      </w:r>
      <w:r w:rsidRPr="00467F1D">
        <w:rPr>
          <w:rFonts w:ascii="Times New Roman" w:hAnsi="Times New Roman" w:cs="Times New Roman"/>
        </w:rPr>
        <w:t xml:space="preserve"> = intercept</w:t>
      </w:r>
    </w:p>
    <w:p w14:paraId="2498CEA5"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t = year (time period) (say t = 1,</w:t>
      </w:r>
      <w:proofErr w:type="gramStart"/>
      <w:r w:rsidRPr="00467F1D">
        <w:rPr>
          <w:rFonts w:ascii="Times New Roman" w:hAnsi="Times New Roman" w:cs="Times New Roman"/>
        </w:rPr>
        <w:t>2,3,…</w:t>
      </w:r>
      <w:proofErr w:type="gramEnd"/>
      <w:r w:rsidRPr="00467F1D">
        <w:rPr>
          <w:rFonts w:ascii="Times New Roman" w:hAnsi="Times New Roman" w:cs="Times New Roman"/>
        </w:rPr>
        <w:t xml:space="preserve">,n) </w:t>
      </w:r>
    </w:p>
    <w:p w14:paraId="153C6104" w14:textId="77777777" w:rsidR="00464AFD" w:rsidRDefault="00464AFD" w:rsidP="00464AFD">
      <w:pPr>
        <w:spacing w:line="240" w:lineRule="auto"/>
        <w:jc w:val="both"/>
        <w:rPr>
          <w:rFonts w:ascii="Times New Roman" w:hAnsi="Times New Roman" w:cs="Times New Roman"/>
        </w:rPr>
      </w:pPr>
      <w:r>
        <w:rPr>
          <w:rFonts w:ascii="Times New Roman" w:hAnsi="Times New Roman" w:cs="Times New Roman"/>
        </w:rPr>
        <w:t>c</w:t>
      </w:r>
      <w:r w:rsidRPr="00467F1D">
        <w:rPr>
          <w:rFonts w:ascii="Times New Roman" w:hAnsi="Times New Roman" w:cs="Times New Roman"/>
        </w:rPr>
        <w:t xml:space="preserve"> = 1 + r/100, </w:t>
      </w:r>
      <w:r>
        <w:rPr>
          <w:rFonts w:ascii="Times New Roman" w:hAnsi="Times New Roman" w:cs="Times New Roman"/>
        </w:rPr>
        <w:t>w</w:t>
      </w:r>
      <w:r w:rsidRPr="00467F1D">
        <w:rPr>
          <w:rFonts w:ascii="Times New Roman" w:hAnsi="Times New Roman" w:cs="Times New Roman"/>
        </w:rPr>
        <w:t xml:space="preserve">here ‘r’ </w:t>
      </w:r>
      <w:r>
        <w:rPr>
          <w:rFonts w:ascii="Times New Roman" w:hAnsi="Times New Roman" w:cs="Times New Roman"/>
        </w:rPr>
        <w:t>is the annual</w:t>
      </w:r>
      <w:r w:rsidRPr="00467F1D">
        <w:rPr>
          <w:rFonts w:ascii="Times New Roman" w:hAnsi="Times New Roman" w:cs="Times New Roman"/>
        </w:rPr>
        <w:t xml:space="preserve"> percentage of compound growth rate of production</w:t>
      </w:r>
      <w:r>
        <w:rPr>
          <w:rFonts w:ascii="Times New Roman" w:hAnsi="Times New Roman" w:cs="Times New Roman"/>
        </w:rPr>
        <w:t xml:space="preserve"> and per capita availability</w:t>
      </w:r>
      <w:r w:rsidRPr="00467F1D">
        <w:rPr>
          <w:rFonts w:ascii="Times New Roman" w:hAnsi="Times New Roman" w:cs="Times New Roman"/>
        </w:rPr>
        <w:t xml:space="preserve"> per annum</w:t>
      </w:r>
      <w:r>
        <w:rPr>
          <w:rFonts w:ascii="Times New Roman" w:hAnsi="Times New Roman" w:cs="Times New Roman"/>
        </w:rPr>
        <w:t>.</w:t>
      </w:r>
    </w:p>
    <w:p w14:paraId="48629E76"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 xml:space="preserve">By taking logarithms </w:t>
      </w:r>
      <w:r>
        <w:rPr>
          <w:rFonts w:ascii="Times New Roman" w:hAnsi="Times New Roman" w:cs="Times New Roman"/>
        </w:rPr>
        <w:t xml:space="preserve">on </w:t>
      </w:r>
      <w:r w:rsidRPr="00467F1D">
        <w:rPr>
          <w:rFonts w:ascii="Times New Roman" w:hAnsi="Times New Roman" w:cs="Times New Roman"/>
        </w:rPr>
        <w:t>both side</w:t>
      </w:r>
      <w:r>
        <w:rPr>
          <w:rFonts w:ascii="Times New Roman" w:hAnsi="Times New Roman" w:cs="Times New Roman"/>
        </w:rPr>
        <w:t>s</w:t>
      </w:r>
      <w:r w:rsidRPr="00467F1D">
        <w:rPr>
          <w:rFonts w:ascii="Times New Roman" w:hAnsi="Times New Roman" w:cs="Times New Roman"/>
        </w:rPr>
        <w:t xml:space="preserve"> of the equation, it ha</w:t>
      </w:r>
      <w:r>
        <w:rPr>
          <w:rFonts w:ascii="Times New Roman" w:hAnsi="Times New Roman" w:cs="Times New Roman"/>
        </w:rPr>
        <w:t>s</w:t>
      </w:r>
      <w:r w:rsidRPr="00467F1D">
        <w:rPr>
          <w:rFonts w:ascii="Times New Roman" w:hAnsi="Times New Roman" w:cs="Times New Roman"/>
        </w:rPr>
        <w:t xml:space="preserve"> been reduced to </w:t>
      </w:r>
      <w:r>
        <w:rPr>
          <w:rFonts w:ascii="Times New Roman" w:hAnsi="Times New Roman" w:cs="Times New Roman"/>
        </w:rPr>
        <w:t xml:space="preserve">the </w:t>
      </w:r>
      <w:r w:rsidRPr="00467F1D">
        <w:rPr>
          <w:rFonts w:ascii="Times New Roman" w:hAnsi="Times New Roman" w:cs="Times New Roman"/>
        </w:rPr>
        <w:t>following linear form with log ‘Y’ as</w:t>
      </w:r>
      <w:r>
        <w:rPr>
          <w:rFonts w:ascii="Times New Roman" w:hAnsi="Times New Roman" w:cs="Times New Roman"/>
        </w:rPr>
        <w:t xml:space="preserve"> the</w:t>
      </w:r>
      <w:r w:rsidRPr="00467F1D">
        <w:rPr>
          <w:rFonts w:ascii="Times New Roman" w:hAnsi="Times New Roman" w:cs="Times New Roman"/>
        </w:rPr>
        <w:t xml:space="preserve"> dependent variable and ‘t’ as</w:t>
      </w:r>
      <w:r>
        <w:rPr>
          <w:rFonts w:ascii="Times New Roman" w:hAnsi="Times New Roman" w:cs="Times New Roman"/>
        </w:rPr>
        <w:t xml:space="preserve"> the</w:t>
      </w:r>
      <w:r w:rsidRPr="00467F1D">
        <w:rPr>
          <w:rFonts w:ascii="Times New Roman" w:hAnsi="Times New Roman" w:cs="Times New Roman"/>
        </w:rPr>
        <w:t xml:space="preserve"> independent variable</w:t>
      </w:r>
      <w:r>
        <w:rPr>
          <w:rFonts w:ascii="Times New Roman" w:hAnsi="Times New Roman" w:cs="Times New Roman"/>
        </w:rPr>
        <w:t>;</w:t>
      </w:r>
      <w:r w:rsidRPr="00467F1D">
        <w:rPr>
          <w:rFonts w:ascii="Times New Roman" w:hAnsi="Times New Roman" w:cs="Times New Roman"/>
        </w:rPr>
        <w:t xml:space="preserve"> </w:t>
      </w:r>
    </w:p>
    <w:p w14:paraId="0A65DDB3" w14:textId="77777777" w:rsidR="00464AFD" w:rsidRDefault="00464AFD" w:rsidP="00464AFD">
      <w:pPr>
        <w:spacing w:line="240" w:lineRule="auto"/>
        <w:jc w:val="both"/>
        <w:rPr>
          <w:rFonts w:ascii="Times New Roman" w:hAnsi="Times New Roman" w:cs="Times New Roman"/>
        </w:rPr>
      </w:pPr>
      <w:proofErr w:type="spellStart"/>
      <w:r w:rsidRPr="00467F1D">
        <w:rPr>
          <w:rFonts w:ascii="Times New Roman" w:hAnsi="Times New Roman" w:cs="Times New Roman"/>
        </w:rPr>
        <w:t>logY</w:t>
      </w:r>
      <w:r w:rsidRPr="00467F1D">
        <w:rPr>
          <w:rFonts w:ascii="Times New Roman" w:hAnsi="Times New Roman" w:cs="Times New Roman"/>
          <w:vertAlign w:val="subscript"/>
        </w:rPr>
        <w:t>t</w:t>
      </w:r>
      <w:proofErr w:type="spellEnd"/>
      <w:r w:rsidRPr="00467F1D">
        <w:rPr>
          <w:rFonts w:ascii="Times New Roman" w:hAnsi="Times New Roman" w:cs="Times New Roman"/>
        </w:rPr>
        <w:t xml:space="preserve"> = log </w:t>
      </w:r>
      <w:r>
        <w:rPr>
          <w:rFonts w:ascii="Times New Roman" w:hAnsi="Times New Roman" w:cs="Times New Roman"/>
        </w:rPr>
        <w:t>b</w:t>
      </w:r>
      <w:r w:rsidRPr="00467F1D">
        <w:rPr>
          <w:rFonts w:ascii="Times New Roman" w:hAnsi="Times New Roman" w:cs="Times New Roman"/>
        </w:rPr>
        <w:t xml:space="preserve"> + t log</w:t>
      </w:r>
      <w:r>
        <w:rPr>
          <w:rFonts w:ascii="Times New Roman" w:hAnsi="Times New Roman" w:cs="Times New Roman"/>
        </w:rPr>
        <w:t xml:space="preserve"> c</w:t>
      </w:r>
      <w:r w:rsidRPr="00467F1D">
        <w:rPr>
          <w:rFonts w:ascii="Times New Roman" w:hAnsi="Times New Roman" w:cs="Times New Roman"/>
        </w:rPr>
        <w:t xml:space="preserve"> </w:t>
      </w:r>
    </w:p>
    <w:p w14:paraId="00F6E4C9"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 xml:space="preserve">For convenience, if we put ‘log </w:t>
      </w:r>
      <w:r>
        <w:rPr>
          <w:rFonts w:ascii="Times New Roman" w:hAnsi="Times New Roman" w:cs="Times New Roman"/>
        </w:rPr>
        <w:t>b</w:t>
      </w:r>
      <w:r w:rsidRPr="00467F1D">
        <w:rPr>
          <w:rFonts w:ascii="Times New Roman" w:hAnsi="Times New Roman" w:cs="Times New Roman"/>
        </w:rPr>
        <w:t xml:space="preserve">’ = </w:t>
      </w:r>
      <w:r>
        <w:rPr>
          <w:rFonts w:ascii="Times New Roman" w:hAnsi="Times New Roman" w:cs="Times New Roman"/>
        </w:rPr>
        <w:t>B</w:t>
      </w:r>
      <w:r w:rsidRPr="00467F1D">
        <w:rPr>
          <w:rFonts w:ascii="Times New Roman" w:hAnsi="Times New Roman" w:cs="Times New Roman"/>
        </w:rPr>
        <w:t xml:space="preserve"> and ‘log </w:t>
      </w:r>
      <w:r>
        <w:rPr>
          <w:rFonts w:ascii="Times New Roman" w:hAnsi="Times New Roman" w:cs="Times New Roman"/>
        </w:rPr>
        <w:t>c</w:t>
      </w:r>
      <w:r w:rsidRPr="00467F1D">
        <w:rPr>
          <w:rFonts w:ascii="Times New Roman" w:hAnsi="Times New Roman" w:cs="Times New Roman"/>
        </w:rPr>
        <w:t xml:space="preserve">’ = </w:t>
      </w:r>
      <w:r>
        <w:rPr>
          <w:rFonts w:ascii="Times New Roman" w:hAnsi="Times New Roman" w:cs="Times New Roman"/>
        </w:rPr>
        <w:t>C</w:t>
      </w:r>
      <w:r w:rsidRPr="00467F1D">
        <w:rPr>
          <w:rFonts w:ascii="Times New Roman" w:hAnsi="Times New Roman" w:cs="Times New Roman"/>
        </w:rPr>
        <w:t>, then this can be written as</w:t>
      </w:r>
      <w:r>
        <w:rPr>
          <w:rFonts w:ascii="Times New Roman" w:hAnsi="Times New Roman" w:cs="Times New Roman"/>
        </w:rPr>
        <w:t>;</w:t>
      </w:r>
    </w:p>
    <w:p w14:paraId="1AB3B4CF" w14:textId="77777777" w:rsidR="00464AFD" w:rsidRDefault="00464AFD" w:rsidP="00464AFD">
      <w:pPr>
        <w:spacing w:line="240" w:lineRule="auto"/>
        <w:jc w:val="both"/>
        <w:rPr>
          <w:rFonts w:ascii="Times New Roman" w:hAnsi="Times New Roman" w:cs="Times New Roman"/>
        </w:rPr>
      </w:pPr>
      <w:proofErr w:type="spellStart"/>
      <w:r w:rsidRPr="00467F1D">
        <w:rPr>
          <w:rFonts w:ascii="Times New Roman" w:hAnsi="Times New Roman" w:cs="Times New Roman"/>
        </w:rPr>
        <w:t>logY</w:t>
      </w:r>
      <w:r w:rsidRPr="00467F1D">
        <w:rPr>
          <w:rFonts w:ascii="Times New Roman" w:hAnsi="Times New Roman" w:cs="Times New Roman"/>
          <w:vertAlign w:val="subscript"/>
        </w:rPr>
        <w:t>t</w:t>
      </w:r>
      <w:proofErr w:type="spellEnd"/>
      <w:r w:rsidRPr="00467F1D">
        <w:rPr>
          <w:rFonts w:ascii="Times New Roman" w:hAnsi="Times New Roman" w:cs="Times New Roman"/>
        </w:rPr>
        <w:t xml:space="preserve"> = </w:t>
      </w:r>
      <w:r>
        <w:rPr>
          <w:rFonts w:ascii="Times New Roman" w:hAnsi="Times New Roman" w:cs="Times New Roman"/>
        </w:rPr>
        <w:t>B</w:t>
      </w:r>
      <w:r w:rsidRPr="00467F1D">
        <w:rPr>
          <w:rFonts w:ascii="Times New Roman" w:hAnsi="Times New Roman" w:cs="Times New Roman"/>
        </w:rPr>
        <w:t xml:space="preserve"> + </w:t>
      </w:r>
      <w:r>
        <w:rPr>
          <w:rFonts w:ascii="Times New Roman" w:hAnsi="Times New Roman" w:cs="Times New Roman"/>
        </w:rPr>
        <w:t>C</w:t>
      </w:r>
      <w:r w:rsidRPr="00467F1D">
        <w:rPr>
          <w:rFonts w:ascii="Times New Roman" w:hAnsi="Times New Roman" w:cs="Times New Roman"/>
        </w:rPr>
        <w:t xml:space="preserve"> t</w:t>
      </w:r>
      <w:r>
        <w:rPr>
          <w:rFonts w:ascii="Times New Roman" w:hAnsi="Times New Roman" w:cs="Times New Roman"/>
        </w:rPr>
        <w:t>………</w:t>
      </w:r>
      <w:r w:rsidRPr="00467F1D">
        <w:rPr>
          <w:rFonts w:ascii="Times New Roman" w:hAnsi="Times New Roman" w:cs="Times New Roman"/>
        </w:rPr>
        <w:t>(</w:t>
      </w:r>
      <w:r>
        <w:rPr>
          <w:rFonts w:ascii="Times New Roman" w:hAnsi="Times New Roman" w:cs="Times New Roman"/>
        </w:rPr>
        <w:t>II</w:t>
      </w:r>
      <w:r w:rsidRPr="00467F1D">
        <w:rPr>
          <w:rFonts w:ascii="Times New Roman" w:hAnsi="Times New Roman" w:cs="Times New Roman"/>
        </w:rPr>
        <w:t xml:space="preserve">) </w:t>
      </w:r>
    </w:p>
    <w:p w14:paraId="7B2C2F1B"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This is semi</w:t>
      </w:r>
      <w:r>
        <w:rPr>
          <w:rFonts w:ascii="Times New Roman" w:hAnsi="Times New Roman" w:cs="Times New Roman"/>
        </w:rPr>
        <w:t>-</w:t>
      </w:r>
      <w:r w:rsidRPr="00467F1D">
        <w:rPr>
          <w:rFonts w:ascii="Times New Roman" w:hAnsi="Times New Roman" w:cs="Times New Roman"/>
        </w:rPr>
        <w:t xml:space="preserve">log function with time ‘t’ as </w:t>
      </w:r>
      <w:r>
        <w:rPr>
          <w:rFonts w:ascii="Times New Roman" w:hAnsi="Times New Roman" w:cs="Times New Roman"/>
        </w:rPr>
        <w:t xml:space="preserve">the </w:t>
      </w:r>
      <w:r w:rsidRPr="00467F1D">
        <w:rPr>
          <w:rFonts w:ascii="Times New Roman" w:hAnsi="Times New Roman" w:cs="Times New Roman"/>
        </w:rPr>
        <w:t xml:space="preserve">independent variable. </w:t>
      </w:r>
      <w:r>
        <w:rPr>
          <w:rFonts w:ascii="Times New Roman" w:hAnsi="Times New Roman" w:cs="Times New Roman"/>
        </w:rPr>
        <w:t>U</w:t>
      </w:r>
      <w:r w:rsidRPr="00467F1D">
        <w:rPr>
          <w:rFonts w:ascii="Times New Roman" w:hAnsi="Times New Roman" w:cs="Times New Roman"/>
        </w:rPr>
        <w:t xml:space="preserve">sing </w:t>
      </w:r>
      <w:r>
        <w:rPr>
          <w:rFonts w:ascii="Times New Roman" w:hAnsi="Times New Roman" w:cs="Times New Roman"/>
        </w:rPr>
        <w:t xml:space="preserve">the </w:t>
      </w:r>
      <w:r w:rsidRPr="00467F1D">
        <w:rPr>
          <w:rFonts w:ascii="Times New Roman" w:hAnsi="Times New Roman" w:cs="Times New Roman"/>
        </w:rPr>
        <w:t>OLS technique, we have normal equations of the type</w:t>
      </w:r>
    </w:p>
    <w:p w14:paraId="69181634"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 xml:space="preserve">∑log </w:t>
      </w:r>
      <w:proofErr w:type="spellStart"/>
      <w:r w:rsidRPr="00467F1D">
        <w:rPr>
          <w:rFonts w:ascii="Times New Roman" w:hAnsi="Times New Roman" w:cs="Times New Roman"/>
        </w:rPr>
        <w:t>Y</w:t>
      </w:r>
      <w:r w:rsidRPr="00467F1D">
        <w:rPr>
          <w:rFonts w:ascii="Times New Roman" w:hAnsi="Times New Roman" w:cs="Times New Roman"/>
          <w:vertAlign w:val="subscript"/>
        </w:rPr>
        <w:t>t</w:t>
      </w:r>
      <w:proofErr w:type="spellEnd"/>
      <w:r w:rsidRPr="00467F1D">
        <w:rPr>
          <w:rFonts w:ascii="Times New Roman" w:hAnsi="Times New Roman" w:cs="Times New Roman"/>
        </w:rPr>
        <w:t xml:space="preserve"> =</w:t>
      </w:r>
      <w:proofErr w:type="spellStart"/>
      <w:r w:rsidRPr="00467F1D">
        <w:rPr>
          <w:rFonts w:ascii="Times New Roman" w:hAnsi="Times New Roman" w:cs="Times New Roman"/>
        </w:rPr>
        <w:t>n</w:t>
      </w:r>
      <w:r>
        <w:rPr>
          <w:rFonts w:ascii="Times New Roman" w:hAnsi="Times New Roman" w:cs="Times New Roman"/>
        </w:rPr>
        <w:t>B</w:t>
      </w:r>
      <w:proofErr w:type="spellEnd"/>
      <w:r w:rsidRPr="00467F1D">
        <w:rPr>
          <w:rFonts w:ascii="Times New Roman" w:hAnsi="Times New Roman" w:cs="Times New Roman"/>
        </w:rPr>
        <w:t xml:space="preserve"> + </w:t>
      </w:r>
      <w:r>
        <w:rPr>
          <w:rFonts w:ascii="Times New Roman" w:hAnsi="Times New Roman" w:cs="Times New Roman"/>
        </w:rPr>
        <w:t>C</w:t>
      </w:r>
      <w:r w:rsidRPr="00467F1D">
        <w:rPr>
          <w:rFonts w:ascii="Times New Roman" w:hAnsi="Times New Roman" w:cs="Times New Roman"/>
        </w:rPr>
        <w:t xml:space="preserve"> ∑t </w:t>
      </w:r>
    </w:p>
    <w:p w14:paraId="5C18C6FE"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 xml:space="preserve">∑log </w:t>
      </w:r>
      <w:proofErr w:type="spellStart"/>
      <w:r w:rsidRPr="00467F1D">
        <w:rPr>
          <w:rFonts w:ascii="Times New Roman" w:hAnsi="Times New Roman" w:cs="Times New Roman"/>
        </w:rPr>
        <w:t>Y</w:t>
      </w:r>
      <w:r w:rsidRPr="00467F1D">
        <w:rPr>
          <w:rFonts w:ascii="Times New Roman" w:hAnsi="Times New Roman" w:cs="Times New Roman"/>
          <w:vertAlign w:val="subscript"/>
        </w:rPr>
        <w:t>t</w:t>
      </w:r>
      <w:proofErr w:type="spellEnd"/>
      <w:r w:rsidRPr="00467F1D">
        <w:rPr>
          <w:rFonts w:ascii="Times New Roman" w:hAnsi="Times New Roman" w:cs="Times New Roman"/>
        </w:rPr>
        <w:t xml:space="preserve"> t = </w:t>
      </w:r>
      <w:r>
        <w:rPr>
          <w:rFonts w:ascii="Times New Roman" w:hAnsi="Times New Roman" w:cs="Times New Roman"/>
        </w:rPr>
        <w:t>B</w:t>
      </w:r>
      <w:r w:rsidRPr="00467F1D">
        <w:rPr>
          <w:rFonts w:ascii="Times New Roman" w:hAnsi="Times New Roman" w:cs="Times New Roman"/>
        </w:rPr>
        <w:t xml:space="preserve"> ∑ t + </w:t>
      </w:r>
      <w:r>
        <w:rPr>
          <w:rFonts w:ascii="Times New Roman" w:hAnsi="Times New Roman" w:cs="Times New Roman"/>
        </w:rPr>
        <w:t>C</w:t>
      </w:r>
      <w:r w:rsidRPr="00467F1D">
        <w:rPr>
          <w:rFonts w:ascii="Times New Roman" w:hAnsi="Times New Roman" w:cs="Times New Roman"/>
        </w:rPr>
        <w:t xml:space="preserve"> ∑t</w:t>
      </w:r>
      <w:r w:rsidRPr="00467F1D">
        <w:rPr>
          <w:rFonts w:ascii="Times New Roman" w:hAnsi="Times New Roman" w:cs="Times New Roman"/>
          <w:vertAlign w:val="superscript"/>
        </w:rPr>
        <w:t>2</w:t>
      </w:r>
      <w:r>
        <w:rPr>
          <w:rFonts w:ascii="Times New Roman" w:hAnsi="Times New Roman" w:cs="Times New Roman"/>
        </w:rPr>
        <w:t>………</w:t>
      </w:r>
      <w:r w:rsidRPr="00467F1D">
        <w:rPr>
          <w:rFonts w:ascii="Times New Roman" w:hAnsi="Times New Roman" w:cs="Times New Roman"/>
        </w:rPr>
        <w:t>(</w:t>
      </w:r>
      <w:r>
        <w:rPr>
          <w:rFonts w:ascii="Times New Roman" w:hAnsi="Times New Roman" w:cs="Times New Roman"/>
        </w:rPr>
        <w:t>III</w:t>
      </w:r>
      <w:r w:rsidRPr="00467F1D">
        <w:rPr>
          <w:rFonts w:ascii="Times New Roman" w:hAnsi="Times New Roman" w:cs="Times New Roman"/>
        </w:rPr>
        <w:t xml:space="preserve">) </w:t>
      </w:r>
    </w:p>
    <w:p w14:paraId="3D96F303"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 xml:space="preserve">Where ‘n’ is the number of observations (years) </w:t>
      </w:r>
    </w:p>
    <w:p w14:paraId="62F593C7"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By solving equation (</w:t>
      </w:r>
      <w:r>
        <w:rPr>
          <w:rFonts w:ascii="Times New Roman" w:hAnsi="Times New Roman" w:cs="Times New Roman"/>
        </w:rPr>
        <w:t>III</w:t>
      </w:r>
      <w:r w:rsidRPr="00467F1D">
        <w:rPr>
          <w:rFonts w:ascii="Times New Roman" w:hAnsi="Times New Roman" w:cs="Times New Roman"/>
        </w:rPr>
        <w:t>), the values of ‘</w:t>
      </w:r>
      <w:r>
        <w:rPr>
          <w:rFonts w:ascii="Times New Roman" w:hAnsi="Times New Roman" w:cs="Times New Roman"/>
        </w:rPr>
        <w:t>B</w:t>
      </w:r>
      <w:r w:rsidRPr="00467F1D">
        <w:rPr>
          <w:rFonts w:ascii="Times New Roman" w:hAnsi="Times New Roman" w:cs="Times New Roman"/>
        </w:rPr>
        <w:t>’ and ‘</w:t>
      </w:r>
      <w:r>
        <w:rPr>
          <w:rFonts w:ascii="Times New Roman" w:hAnsi="Times New Roman" w:cs="Times New Roman"/>
        </w:rPr>
        <w:t>C</w:t>
      </w:r>
      <w:r w:rsidRPr="00467F1D">
        <w:rPr>
          <w:rFonts w:ascii="Times New Roman" w:hAnsi="Times New Roman" w:cs="Times New Roman"/>
        </w:rPr>
        <w:t xml:space="preserve">’ </w:t>
      </w:r>
      <w:r>
        <w:rPr>
          <w:rFonts w:ascii="Times New Roman" w:hAnsi="Times New Roman" w:cs="Times New Roman"/>
        </w:rPr>
        <w:t>were estimated</w:t>
      </w:r>
      <w:r w:rsidRPr="00467F1D">
        <w:rPr>
          <w:rFonts w:ascii="Times New Roman" w:hAnsi="Times New Roman" w:cs="Times New Roman"/>
        </w:rPr>
        <w:t xml:space="preserve">. </w:t>
      </w:r>
      <w:r>
        <w:rPr>
          <w:rFonts w:ascii="Times New Roman" w:hAnsi="Times New Roman" w:cs="Times New Roman"/>
        </w:rPr>
        <w:t>To obtain the</w:t>
      </w:r>
      <w:r w:rsidRPr="00467F1D">
        <w:rPr>
          <w:rFonts w:ascii="Times New Roman" w:hAnsi="Times New Roman" w:cs="Times New Roman"/>
        </w:rPr>
        <w:t xml:space="preserve"> compound growth rate from the regression coefficients, the following </w:t>
      </w:r>
      <w:r>
        <w:rPr>
          <w:rFonts w:ascii="Times New Roman" w:hAnsi="Times New Roman" w:cs="Times New Roman"/>
        </w:rPr>
        <w:t>steps were used</w:t>
      </w:r>
      <w:r w:rsidRPr="00467F1D">
        <w:rPr>
          <w:rFonts w:ascii="Times New Roman" w:hAnsi="Times New Roman" w:cs="Times New Roman"/>
        </w:rPr>
        <w:t xml:space="preserve">. </w:t>
      </w:r>
      <w:r w:rsidRPr="00211F93">
        <w:rPr>
          <w:rFonts w:ascii="Times New Roman" w:hAnsi="Times New Roman" w:cs="Times New Roman"/>
        </w:rPr>
        <w:t xml:space="preserve">When C is positive, its antilogarithm is first computed. From this value, one is subtracted, and the resulting figure is multiplied by 100. This </w:t>
      </w:r>
      <w:r>
        <w:rPr>
          <w:rFonts w:ascii="Times New Roman" w:hAnsi="Times New Roman" w:cs="Times New Roman"/>
        </w:rPr>
        <w:t>gives</w:t>
      </w:r>
      <w:r w:rsidRPr="00211F93">
        <w:rPr>
          <w:rFonts w:ascii="Times New Roman" w:hAnsi="Times New Roman" w:cs="Times New Roman"/>
        </w:rPr>
        <w:t xml:space="preserve"> the compound </w:t>
      </w:r>
      <w:r>
        <w:rPr>
          <w:rFonts w:ascii="Times New Roman" w:hAnsi="Times New Roman" w:cs="Times New Roman"/>
        </w:rPr>
        <w:t xml:space="preserve">annual </w:t>
      </w:r>
      <w:r w:rsidRPr="00211F93">
        <w:rPr>
          <w:rFonts w:ascii="Times New Roman" w:hAnsi="Times New Roman" w:cs="Times New Roman"/>
        </w:rPr>
        <w:t>growth rate (C</w:t>
      </w:r>
      <w:r>
        <w:rPr>
          <w:rFonts w:ascii="Times New Roman" w:hAnsi="Times New Roman" w:cs="Times New Roman"/>
        </w:rPr>
        <w:t>A</w:t>
      </w:r>
      <w:r w:rsidRPr="00211F93">
        <w:rPr>
          <w:rFonts w:ascii="Times New Roman" w:hAnsi="Times New Roman" w:cs="Times New Roman"/>
        </w:rPr>
        <w:t>GR), representing a positive or increasing growth trend.</w:t>
      </w:r>
    </w:p>
    <w:p w14:paraId="02332365" w14:textId="77777777" w:rsidR="00464AFD" w:rsidRDefault="00464AFD" w:rsidP="00464AFD">
      <w:pPr>
        <w:spacing w:line="240" w:lineRule="auto"/>
        <w:jc w:val="both"/>
        <w:rPr>
          <w:rFonts w:ascii="Times New Roman" w:hAnsi="Times New Roman" w:cs="Times New Roman"/>
        </w:rPr>
      </w:pPr>
      <w:r w:rsidRPr="00211F93">
        <w:rPr>
          <w:rFonts w:ascii="Times New Roman" w:hAnsi="Times New Roman" w:cs="Times New Roman"/>
        </w:rPr>
        <w:t>When the estimated coefficient C is negative, the method of computing the C</w:t>
      </w:r>
      <w:r>
        <w:rPr>
          <w:rFonts w:ascii="Times New Roman" w:hAnsi="Times New Roman" w:cs="Times New Roman"/>
        </w:rPr>
        <w:t>A</w:t>
      </w:r>
      <w:r w:rsidRPr="00211F93">
        <w:rPr>
          <w:rFonts w:ascii="Times New Roman" w:hAnsi="Times New Roman" w:cs="Times New Roman"/>
        </w:rPr>
        <w:t>GR remains unchanged. However, the resulting C</w:t>
      </w:r>
      <w:r>
        <w:rPr>
          <w:rFonts w:ascii="Times New Roman" w:hAnsi="Times New Roman" w:cs="Times New Roman"/>
        </w:rPr>
        <w:t>A</w:t>
      </w:r>
      <w:r w:rsidRPr="00211F93">
        <w:rPr>
          <w:rFonts w:ascii="Times New Roman" w:hAnsi="Times New Roman" w:cs="Times New Roman"/>
        </w:rPr>
        <w:t xml:space="preserve">GR will also be negative, indicating a decline in the variable over time. The </w:t>
      </w:r>
      <w:r>
        <w:rPr>
          <w:rFonts w:ascii="Times New Roman" w:hAnsi="Times New Roman" w:cs="Times New Roman"/>
        </w:rPr>
        <w:t>CAGR</w:t>
      </w:r>
      <w:r w:rsidRPr="00211F93">
        <w:rPr>
          <w:rFonts w:ascii="Times New Roman" w:hAnsi="Times New Roman" w:cs="Times New Roman"/>
        </w:rPr>
        <w:t xml:space="preserve"> (</w:t>
      </w:r>
      <w:r>
        <w:rPr>
          <w:rFonts w:ascii="Times New Roman" w:hAnsi="Times New Roman" w:cs="Times New Roman"/>
        </w:rPr>
        <w:t>%</w:t>
      </w:r>
      <w:r w:rsidRPr="00211F93">
        <w:rPr>
          <w:rFonts w:ascii="Times New Roman" w:hAnsi="Times New Roman" w:cs="Times New Roman"/>
        </w:rPr>
        <w:t>) is obtained using the formula</w:t>
      </w:r>
      <w:r>
        <w:rPr>
          <w:rFonts w:ascii="Times New Roman" w:hAnsi="Times New Roman" w:cs="Times New Roman"/>
        </w:rPr>
        <w:t>;</w:t>
      </w:r>
    </w:p>
    <w:p w14:paraId="7EE194F5"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r = (</w:t>
      </w:r>
      <w:r>
        <w:rPr>
          <w:rFonts w:ascii="Times New Roman" w:hAnsi="Times New Roman" w:cs="Times New Roman"/>
        </w:rPr>
        <w:t>c</w:t>
      </w:r>
      <w:r w:rsidRPr="00467F1D">
        <w:rPr>
          <w:rFonts w:ascii="Times New Roman" w:hAnsi="Times New Roman" w:cs="Times New Roman"/>
        </w:rPr>
        <w:t>-1) X 100</w:t>
      </w:r>
    </w:p>
    <w:p w14:paraId="2F1C6ED9"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r = (Antilog ‘</w:t>
      </w:r>
      <w:r>
        <w:rPr>
          <w:rFonts w:ascii="Times New Roman" w:hAnsi="Times New Roman" w:cs="Times New Roman"/>
        </w:rPr>
        <w:t>C</w:t>
      </w:r>
      <w:r w:rsidRPr="00467F1D">
        <w:rPr>
          <w:rFonts w:ascii="Times New Roman" w:hAnsi="Times New Roman" w:cs="Times New Roman"/>
        </w:rPr>
        <w:t xml:space="preserve">’ -1) X 100 </w:t>
      </w:r>
    </w:p>
    <w:p w14:paraId="70D53E57" w14:textId="77777777" w:rsidR="00464AFD" w:rsidRDefault="00464AFD" w:rsidP="00464AFD">
      <w:pPr>
        <w:spacing w:line="240" w:lineRule="auto"/>
        <w:jc w:val="both"/>
        <w:rPr>
          <w:rFonts w:ascii="Times New Roman" w:hAnsi="Times New Roman" w:cs="Times New Roman"/>
        </w:rPr>
      </w:pPr>
      <w:r w:rsidRPr="00467F1D">
        <w:rPr>
          <w:rFonts w:ascii="Times New Roman" w:hAnsi="Times New Roman" w:cs="Times New Roman"/>
        </w:rPr>
        <w:t>This represent</w:t>
      </w:r>
      <w:r>
        <w:rPr>
          <w:rFonts w:ascii="Times New Roman" w:hAnsi="Times New Roman" w:cs="Times New Roman"/>
        </w:rPr>
        <w:t>s</w:t>
      </w:r>
      <w:r w:rsidRPr="00467F1D">
        <w:rPr>
          <w:rFonts w:ascii="Times New Roman" w:hAnsi="Times New Roman" w:cs="Times New Roman"/>
        </w:rPr>
        <w:t xml:space="preserve"> a uniform rate of change from </w:t>
      </w:r>
      <w:r>
        <w:rPr>
          <w:rFonts w:ascii="Times New Roman" w:hAnsi="Times New Roman" w:cs="Times New Roman"/>
        </w:rPr>
        <w:t xml:space="preserve">one </w:t>
      </w:r>
      <w:r w:rsidRPr="00467F1D">
        <w:rPr>
          <w:rFonts w:ascii="Times New Roman" w:hAnsi="Times New Roman" w:cs="Times New Roman"/>
        </w:rPr>
        <w:t xml:space="preserve">observation to </w:t>
      </w:r>
      <w:r>
        <w:rPr>
          <w:rFonts w:ascii="Times New Roman" w:hAnsi="Times New Roman" w:cs="Times New Roman"/>
        </w:rPr>
        <w:t>the next</w:t>
      </w:r>
      <w:r w:rsidRPr="00467F1D">
        <w:rPr>
          <w:rFonts w:ascii="Times New Roman" w:hAnsi="Times New Roman" w:cs="Times New Roman"/>
        </w:rPr>
        <w:t>.</w:t>
      </w:r>
    </w:p>
    <w:p w14:paraId="3FC582B2" w14:textId="77777777" w:rsidR="00464AFD" w:rsidRPr="00467F1D" w:rsidRDefault="00464AFD" w:rsidP="00464AFD">
      <w:pPr>
        <w:spacing w:line="240" w:lineRule="auto"/>
        <w:jc w:val="both"/>
        <w:rPr>
          <w:rFonts w:ascii="Times New Roman" w:hAnsi="Times New Roman" w:cs="Times New Roman"/>
        </w:rPr>
      </w:pPr>
    </w:p>
    <w:p w14:paraId="4CDAFE51" w14:textId="0219472A" w:rsidR="006F287F" w:rsidRPr="0057039D" w:rsidRDefault="006F287F" w:rsidP="00B5276C">
      <w:pPr>
        <w:pStyle w:val="ListParagraph"/>
        <w:numPr>
          <w:ilvl w:val="0"/>
          <w:numId w:val="4"/>
        </w:numPr>
        <w:spacing w:line="360" w:lineRule="auto"/>
        <w:jc w:val="both"/>
        <w:rPr>
          <w:rFonts w:ascii="Arial" w:hAnsi="Arial" w:cs="Arial"/>
          <w:b/>
          <w:bCs/>
        </w:rPr>
      </w:pPr>
      <w:r w:rsidRPr="0057039D">
        <w:rPr>
          <w:rFonts w:ascii="Arial" w:hAnsi="Arial" w:cs="Arial"/>
          <w:b/>
          <w:bCs/>
        </w:rPr>
        <w:t>RESULTS AND DISCUSSIONS</w:t>
      </w:r>
    </w:p>
    <w:p w14:paraId="64A80DA3" w14:textId="1A130D83" w:rsidR="00580BDB" w:rsidRPr="0057039D" w:rsidRDefault="00BB735A" w:rsidP="00B5276C">
      <w:pPr>
        <w:spacing w:line="360" w:lineRule="auto"/>
        <w:jc w:val="both"/>
        <w:rPr>
          <w:rFonts w:ascii="Arial" w:hAnsi="Arial" w:cs="Arial"/>
          <w:b/>
          <w:bCs/>
          <w:sz w:val="20"/>
          <w:szCs w:val="20"/>
          <w:u w:val="single"/>
        </w:rPr>
      </w:pPr>
      <w:r w:rsidRPr="0057039D">
        <w:rPr>
          <w:rFonts w:ascii="Arial" w:hAnsi="Arial" w:cs="Arial"/>
          <w:b/>
          <w:bCs/>
          <w:sz w:val="20"/>
          <w:szCs w:val="20"/>
          <w:u w:val="single"/>
        </w:rPr>
        <w:t xml:space="preserve">3.1 </w:t>
      </w:r>
      <w:r w:rsidR="00F36611" w:rsidRPr="0057039D">
        <w:rPr>
          <w:rFonts w:ascii="Arial" w:hAnsi="Arial" w:cs="Arial"/>
          <w:b/>
          <w:bCs/>
          <w:sz w:val="20"/>
          <w:szCs w:val="20"/>
          <w:u w:val="single"/>
        </w:rPr>
        <w:t>Status of m</w:t>
      </w:r>
      <w:r w:rsidR="00580BDB" w:rsidRPr="0057039D">
        <w:rPr>
          <w:rFonts w:ascii="Arial" w:hAnsi="Arial" w:cs="Arial"/>
          <w:b/>
          <w:bCs/>
          <w:sz w:val="20"/>
          <w:szCs w:val="20"/>
          <w:u w:val="single"/>
        </w:rPr>
        <w:t>ilk production</w:t>
      </w:r>
      <w:r w:rsidR="00F36611" w:rsidRPr="0057039D">
        <w:rPr>
          <w:rFonts w:ascii="Arial" w:hAnsi="Arial" w:cs="Arial"/>
          <w:b/>
          <w:bCs/>
          <w:sz w:val="20"/>
          <w:szCs w:val="20"/>
          <w:u w:val="single"/>
        </w:rPr>
        <w:t xml:space="preserve"> in </w:t>
      </w:r>
      <w:r w:rsidR="007E4301" w:rsidRPr="0057039D">
        <w:rPr>
          <w:rFonts w:ascii="Arial" w:hAnsi="Arial" w:cs="Arial"/>
          <w:b/>
          <w:bCs/>
          <w:sz w:val="20"/>
          <w:szCs w:val="20"/>
          <w:u w:val="single"/>
        </w:rPr>
        <w:t xml:space="preserve">the </w:t>
      </w:r>
      <w:r w:rsidR="00F36611" w:rsidRPr="0057039D">
        <w:rPr>
          <w:rFonts w:ascii="Arial" w:hAnsi="Arial" w:cs="Arial"/>
          <w:b/>
          <w:bCs/>
          <w:sz w:val="20"/>
          <w:szCs w:val="20"/>
          <w:u w:val="single"/>
        </w:rPr>
        <w:t>northeast</w:t>
      </w:r>
    </w:p>
    <w:p w14:paraId="07C1CA7E" w14:textId="6CD77FDD" w:rsidR="006A06F5" w:rsidRPr="0057039D" w:rsidRDefault="000C1872" w:rsidP="00B5276C">
      <w:pPr>
        <w:spacing w:line="360" w:lineRule="auto"/>
        <w:jc w:val="both"/>
        <w:rPr>
          <w:rFonts w:ascii="Arial" w:hAnsi="Arial" w:cs="Arial"/>
          <w:sz w:val="20"/>
          <w:szCs w:val="20"/>
        </w:rPr>
      </w:pPr>
      <w:r w:rsidRPr="0057039D">
        <w:rPr>
          <w:rFonts w:ascii="Arial" w:hAnsi="Arial" w:cs="Arial"/>
          <w:sz w:val="20"/>
          <w:szCs w:val="20"/>
        </w:rPr>
        <w:t xml:space="preserve">The </w:t>
      </w:r>
      <w:r w:rsidR="00791B1F" w:rsidRPr="0057039D">
        <w:rPr>
          <w:rFonts w:ascii="Arial" w:hAnsi="Arial" w:cs="Arial"/>
          <w:sz w:val="20"/>
          <w:szCs w:val="20"/>
        </w:rPr>
        <w:t xml:space="preserve">milk </w:t>
      </w:r>
      <w:r w:rsidRPr="0057039D">
        <w:rPr>
          <w:rFonts w:ascii="Arial" w:hAnsi="Arial" w:cs="Arial"/>
          <w:sz w:val="20"/>
          <w:szCs w:val="20"/>
        </w:rPr>
        <w:t xml:space="preserve">production of </w:t>
      </w:r>
      <w:r w:rsidR="00244E81" w:rsidRPr="0057039D">
        <w:rPr>
          <w:rFonts w:ascii="Arial" w:hAnsi="Arial" w:cs="Arial"/>
          <w:sz w:val="20"/>
          <w:szCs w:val="20"/>
        </w:rPr>
        <w:t>northeastern</w:t>
      </w:r>
      <w:r w:rsidRPr="0057039D">
        <w:rPr>
          <w:rFonts w:ascii="Arial" w:hAnsi="Arial" w:cs="Arial"/>
          <w:sz w:val="20"/>
          <w:szCs w:val="20"/>
        </w:rPr>
        <w:t xml:space="preserve"> states </w:t>
      </w:r>
      <w:r w:rsidR="00612728" w:rsidRPr="0057039D">
        <w:rPr>
          <w:rFonts w:ascii="Arial" w:hAnsi="Arial" w:cs="Arial"/>
          <w:sz w:val="20"/>
          <w:szCs w:val="20"/>
        </w:rPr>
        <w:t>is</w:t>
      </w:r>
      <w:r w:rsidRPr="0057039D">
        <w:rPr>
          <w:rFonts w:ascii="Arial" w:hAnsi="Arial" w:cs="Arial"/>
          <w:sz w:val="20"/>
          <w:szCs w:val="20"/>
        </w:rPr>
        <w:t xml:space="preserve"> very low</w:t>
      </w:r>
      <w:r w:rsidR="007D4165" w:rsidRPr="0057039D">
        <w:rPr>
          <w:rFonts w:ascii="Arial" w:hAnsi="Arial" w:cs="Arial"/>
          <w:sz w:val="20"/>
          <w:szCs w:val="20"/>
        </w:rPr>
        <w:t>,</w:t>
      </w:r>
      <w:r w:rsidR="00A463F5" w:rsidRPr="0057039D">
        <w:rPr>
          <w:rFonts w:ascii="Arial" w:hAnsi="Arial" w:cs="Arial"/>
          <w:sz w:val="20"/>
          <w:szCs w:val="20"/>
        </w:rPr>
        <w:t xml:space="preserve"> contributing </w:t>
      </w:r>
      <w:r w:rsidR="00A463F5" w:rsidRPr="0057039D">
        <w:rPr>
          <w:rFonts w:ascii="Arial" w:hAnsi="Arial" w:cs="Arial"/>
          <w:color w:val="000000" w:themeColor="text1"/>
          <w:sz w:val="20"/>
          <w:szCs w:val="20"/>
        </w:rPr>
        <w:t xml:space="preserve">just 0.70 </w:t>
      </w:r>
      <w:r w:rsidR="00A463F5" w:rsidRPr="0057039D">
        <w:rPr>
          <w:rFonts w:ascii="Arial" w:hAnsi="Arial" w:cs="Arial"/>
          <w:sz w:val="20"/>
          <w:szCs w:val="20"/>
        </w:rPr>
        <w:t>percent</w:t>
      </w:r>
      <w:r w:rsidR="00994C4E" w:rsidRPr="0057039D">
        <w:rPr>
          <w:rFonts w:ascii="Arial" w:hAnsi="Arial" w:cs="Arial"/>
          <w:sz w:val="20"/>
          <w:szCs w:val="20"/>
        </w:rPr>
        <w:t xml:space="preserve"> to the nation’s </w:t>
      </w:r>
      <w:r w:rsidR="00E70491" w:rsidRPr="0057039D">
        <w:rPr>
          <w:rFonts w:ascii="Arial" w:hAnsi="Arial" w:cs="Arial"/>
          <w:sz w:val="20"/>
          <w:szCs w:val="20"/>
        </w:rPr>
        <w:t>total milk production</w:t>
      </w:r>
      <w:r w:rsidR="007D4165" w:rsidRPr="0057039D">
        <w:rPr>
          <w:rFonts w:ascii="Arial" w:hAnsi="Arial" w:cs="Arial"/>
          <w:sz w:val="20"/>
          <w:szCs w:val="20"/>
        </w:rPr>
        <w:t>,</w:t>
      </w:r>
      <w:r w:rsidR="00E70491" w:rsidRPr="0057039D">
        <w:rPr>
          <w:rFonts w:ascii="Arial" w:hAnsi="Arial" w:cs="Arial"/>
          <w:sz w:val="20"/>
          <w:szCs w:val="20"/>
        </w:rPr>
        <w:t xml:space="preserve"> </w:t>
      </w:r>
      <w:r w:rsidR="00DF174F" w:rsidRPr="0057039D">
        <w:rPr>
          <w:rFonts w:ascii="Arial" w:hAnsi="Arial" w:cs="Arial"/>
          <w:sz w:val="20"/>
          <w:szCs w:val="20"/>
        </w:rPr>
        <w:t>with</w:t>
      </w:r>
      <w:r w:rsidR="00994C4E" w:rsidRPr="0057039D">
        <w:rPr>
          <w:rFonts w:ascii="Arial" w:hAnsi="Arial" w:cs="Arial"/>
          <w:sz w:val="20"/>
          <w:szCs w:val="20"/>
        </w:rPr>
        <w:t xml:space="preserve"> Assam alone accounting </w:t>
      </w:r>
      <w:r w:rsidR="009316C7" w:rsidRPr="0057039D">
        <w:rPr>
          <w:rFonts w:ascii="Arial" w:hAnsi="Arial" w:cs="Arial"/>
          <w:sz w:val="20"/>
          <w:szCs w:val="20"/>
        </w:rPr>
        <w:t xml:space="preserve">for </w:t>
      </w:r>
      <w:r w:rsidR="00994C4E" w:rsidRPr="0057039D">
        <w:rPr>
          <w:rFonts w:ascii="Arial" w:hAnsi="Arial" w:cs="Arial"/>
          <w:sz w:val="20"/>
          <w:szCs w:val="20"/>
        </w:rPr>
        <w:t>62.</w:t>
      </w:r>
      <w:r w:rsidR="00C63E23" w:rsidRPr="0057039D">
        <w:rPr>
          <w:rFonts w:ascii="Arial" w:hAnsi="Arial" w:cs="Arial"/>
          <w:sz w:val="20"/>
          <w:szCs w:val="20"/>
        </w:rPr>
        <w:t>74</w:t>
      </w:r>
      <w:r w:rsidR="00994C4E" w:rsidRPr="0057039D">
        <w:rPr>
          <w:rFonts w:ascii="Arial" w:hAnsi="Arial" w:cs="Arial"/>
          <w:sz w:val="20"/>
          <w:szCs w:val="20"/>
        </w:rPr>
        <w:t xml:space="preserve"> percent of this total</w:t>
      </w:r>
      <w:r w:rsidR="007C47D5" w:rsidRPr="0057039D">
        <w:rPr>
          <w:rFonts w:ascii="Arial" w:hAnsi="Arial" w:cs="Arial"/>
          <w:sz w:val="20"/>
          <w:szCs w:val="20"/>
        </w:rPr>
        <w:t xml:space="preserve"> (Fig. 1)</w:t>
      </w:r>
      <w:r w:rsidR="007507B4" w:rsidRPr="0057039D">
        <w:rPr>
          <w:rFonts w:ascii="Arial" w:hAnsi="Arial" w:cs="Arial"/>
          <w:sz w:val="20"/>
          <w:szCs w:val="20"/>
        </w:rPr>
        <w:t>.</w:t>
      </w:r>
      <w:r w:rsidR="00994C4E" w:rsidRPr="0057039D">
        <w:rPr>
          <w:rFonts w:ascii="Arial" w:hAnsi="Arial" w:cs="Arial"/>
          <w:sz w:val="20"/>
          <w:szCs w:val="20"/>
        </w:rPr>
        <w:t xml:space="preserve"> </w:t>
      </w:r>
      <w:r w:rsidR="007507B4" w:rsidRPr="0057039D">
        <w:rPr>
          <w:rFonts w:ascii="Arial" w:hAnsi="Arial" w:cs="Arial"/>
          <w:sz w:val="20"/>
          <w:szCs w:val="20"/>
        </w:rPr>
        <w:t>Assam is the leading milk-producing state in the region, followed by Tripura, where</w:t>
      </w:r>
      <w:r w:rsidR="00917F09" w:rsidRPr="0057039D">
        <w:rPr>
          <w:rFonts w:ascii="Arial" w:hAnsi="Arial" w:cs="Arial"/>
          <w:sz w:val="20"/>
          <w:szCs w:val="20"/>
        </w:rPr>
        <w:t xml:space="preserve"> milk</w:t>
      </w:r>
    </w:p>
    <w:p w14:paraId="2D922F41" w14:textId="77777777" w:rsidR="006A06F5" w:rsidRPr="0057039D" w:rsidRDefault="006A06F5" w:rsidP="00BB735A">
      <w:pPr>
        <w:spacing w:line="360" w:lineRule="auto"/>
        <w:jc w:val="center"/>
        <w:rPr>
          <w:rFonts w:ascii="Arial" w:hAnsi="Arial" w:cs="Arial"/>
          <w:sz w:val="20"/>
          <w:szCs w:val="20"/>
        </w:rPr>
      </w:pPr>
      <w:r w:rsidRPr="0057039D">
        <w:rPr>
          <w:rFonts w:ascii="Arial" w:hAnsi="Arial" w:cs="Arial"/>
          <w:b/>
          <w:bCs/>
          <w:noProof/>
          <w:sz w:val="20"/>
          <w:szCs w:val="20"/>
        </w:rPr>
        <w:lastRenderedPageBreak/>
        <w:drawing>
          <wp:inline distT="0" distB="0" distL="0" distR="0" wp14:anchorId="7B146687" wp14:editId="58AE4280">
            <wp:extent cx="3315335" cy="2162755"/>
            <wp:effectExtent l="19050" t="19050" r="18415" b="28575"/>
            <wp:docPr id="393907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6864" cy="2170276"/>
                    </a:xfrm>
                    <a:prstGeom prst="rect">
                      <a:avLst/>
                    </a:prstGeom>
                    <a:noFill/>
                    <a:ln>
                      <a:solidFill>
                        <a:schemeClr val="tx1"/>
                      </a:solidFill>
                    </a:ln>
                  </pic:spPr>
                </pic:pic>
              </a:graphicData>
            </a:graphic>
          </wp:inline>
        </w:drawing>
      </w:r>
    </w:p>
    <w:p w14:paraId="5C2BAB6D" w14:textId="77777777" w:rsidR="006A06F5" w:rsidRPr="0057039D" w:rsidRDefault="006A06F5" w:rsidP="00B5276C">
      <w:pPr>
        <w:spacing w:line="360" w:lineRule="auto"/>
        <w:jc w:val="both"/>
        <w:rPr>
          <w:rFonts w:ascii="Arial" w:hAnsi="Arial" w:cs="Arial"/>
          <w:sz w:val="20"/>
          <w:szCs w:val="20"/>
        </w:rPr>
      </w:pPr>
      <w:r w:rsidRPr="0057039D">
        <w:rPr>
          <w:rFonts w:ascii="Arial" w:hAnsi="Arial" w:cs="Arial"/>
          <w:b/>
          <w:bCs/>
          <w:sz w:val="20"/>
          <w:szCs w:val="20"/>
        </w:rPr>
        <w:t xml:space="preserve">Fig 1: </w:t>
      </w:r>
      <w:r w:rsidRPr="0057039D">
        <w:rPr>
          <w:rFonts w:ascii="Arial" w:hAnsi="Arial" w:cs="Arial"/>
          <w:sz w:val="20"/>
          <w:szCs w:val="20"/>
        </w:rPr>
        <w:t>Total milk production contribution in northeast India during 2010-2023</w:t>
      </w:r>
    </w:p>
    <w:p w14:paraId="067E1256" w14:textId="303A1346" w:rsidR="006A06F5" w:rsidRPr="0057039D" w:rsidRDefault="006A06F5" w:rsidP="00B5276C">
      <w:pPr>
        <w:spacing w:line="360" w:lineRule="auto"/>
        <w:jc w:val="both"/>
        <w:rPr>
          <w:rFonts w:ascii="Arial" w:hAnsi="Arial" w:cs="Arial"/>
          <w:b/>
          <w:bCs/>
          <w:sz w:val="20"/>
          <w:szCs w:val="20"/>
        </w:rPr>
      </w:pPr>
      <w:r w:rsidRPr="0057039D">
        <w:rPr>
          <w:rFonts w:ascii="Arial" w:hAnsi="Arial" w:cs="Arial"/>
          <w:b/>
          <w:bCs/>
          <w:sz w:val="20"/>
          <w:szCs w:val="20"/>
        </w:rPr>
        <w:t>Source: BAHS, 2024</w:t>
      </w:r>
    </w:p>
    <w:p w14:paraId="64970D2D" w14:textId="1CDCC3FF" w:rsidR="00001DC6" w:rsidRPr="0057039D" w:rsidRDefault="007507B4" w:rsidP="00B5276C">
      <w:pPr>
        <w:spacing w:line="360" w:lineRule="auto"/>
        <w:jc w:val="both"/>
        <w:rPr>
          <w:rFonts w:ascii="Arial" w:hAnsi="Arial" w:cs="Arial"/>
          <w:sz w:val="20"/>
          <w:szCs w:val="20"/>
        </w:rPr>
      </w:pPr>
      <w:r w:rsidRPr="0057039D">
        <w:rPr>
          <w:rFonts w:ascii="Arial" w:hAnsi="Arial" w:cs="Arial"/>
          <w:sz w:val="20"/>
          <w:szCs w:val="20"/>
        </w:rPr>
        <w:t>production has steadily increased over the last decade.</w:t>
      </w:r>
      <w:r w:rsidR="00093E90" w:rsidRPr="0057039D">
        <w:rPr>
          <w:rFonts w:ascii="Arial" w:hAnsi="Arial" w:cs="Arial"/>
          <w:sz w:val="20"/>
          <w:szCs w:val="20"/>
        </w:rPr>
        <w:t xml:space="preserve"> </w:t>
      </w:r>
      <w:r w:rsidRPr="0057039D">
        <w:rPr>
          <w:rFonts w:ascii="Arial" w:hAnsi="Arial" w:cs="Arial"/>
          <w:sz w:val="20"/>
          <w:szCs w:val="20"/>
        </w:rPr>
        <w:t xml:space="preserve">Other states show fluctuating trends in production. </w:t>
      </w:r>
      <w:r w:rsidR="00E2355F" w:rsidRPr="0057039D">
        <w:rPr>
          <w:rFonts w:ascii="Arial" w:hAnsi="Arial" w:cs="Arial"/>
          <w:sz w:val="20"/>
          <w:szCs w:val="20"/>
        </w:rPr>
        <w:t>The least contribution is</w:t>
      </w:r>
      <w:r w:rsidR="00DD5B1C" w:rsidRPr="0057039D">
        <w:rPr>
          <w:rFonts w:ascii="Arial" w:hAnsi="Arial" w:cs="Arial"/>
          <w:sz w:val="20"/>
          <w:szCs w:val="20"/>
        </w:rPr>
        <w:t xml:space="preserve"> from</w:t>
      </w:r>
      <w:r w:rsidR="00E2355F" w:rsidRPr="0057039D">
        <w:rPr>
          <w:rFonts w:ascii="Arial" w:hAnsi="Arial" w:cs="Arial"/>
          <w:sz w:val="20"/>
          <w:szCs w:val="20"/>
        </w:rPr>
        <w:t xml:space="preserve"> the state of Mizoram</w:t>
      </w:r>
      <w:r w:rsidR="00001DC6" w:rsidRPr="0057039D">
        <w:rPr>
          <w:rFonts w:ascii="Arial" w:hAnsi="Arial" w:cs="Arial"/>
          <w:sz w:val="20"/>
          <w:szCs w:val="20"/>
        </w:rPr>
        <w:t>,</w:t>
      </w:r>
      <w:r w:rsidR="00E2355F" w:rsidRPr="0057039D">
        <w:rPr>
          <w:rFonts w:ascii="Arial" w:hAnsi="Arial" w:cs="Arial"/>
          <w:sz w:val="20"/>
          <w:szCs w:val="20"/>
        </w:rPr>
        <w:t xml:space="preserve"> followed by Arunachal Pradesh. </w:t>
      </w:r>
      <w:r w:rsidR="00A65158" w:rsidRPr="0057039D">
        <w:rPr>
          <w:rFonts w:ascii="Arial" w:hAnsi="Arial" w:cs="Arial"/>
          <w:sz w:val="20"/>
          <w:szCs w:val="20"/>
        </w:rPr>
        <w:t xml:space="preserve">The total milk produced in the Northeast from 2010 to 2022 is </w:t>
      </w:r>
      <w:r w:rsidR="00A65158" w:rsidRPr="0057039D">
        <w:rPr>
          <w:rFonts w:ascii="Arial" w:eastAsia="Times New Roman" w:hAnsi="Arial" w:cs="Arial"/>
          <w:kern w:val="0"/>
          <w:sz w:val="20"/>
          <w:szCs w:val="20"/>
          <w:lang w:eastAsia="en-IN"/>
          <w14:ligatures w14:val="none"/>
        </w:rPr>
        <w:t>19,359.65 thousand tonnes, with Assam alone contributing 12,106.42 thousand tonnes</w:t>
      </w:r>
      <w:r w:rsidR="00DE0BFA" w:rsidRPr="0057039D">
        <w:rPr>
          <w:rFonts w:ascii="Arial" w:eastAsia="Times New Roman" w:hAnsi="Arial" w:cs="Arial"/>
          <w:kern w:val="0"/>
          <w:sz w:val="20"/>
          <w:szCs w:val="20"/>
          <w:lang w:eastAsia="en-IN"/>
          <w14:ligatures w14:val="none"/>
        </w:rPr>
        <w:t>,</w:t>
      </w:r>
      <w:r w:rsidR="00A65158" w:rsidRPr="0057039D">
        <w:rPr>
          <w:rFonts w:ascii="Arial" w:eastAsia="Times New Roman" w:hAnsi="Arial" w:cs="Arial"/>
          <w:kern w:val="0"/>
          <w:sz w:val="20"/>
          <w:szCs w:val="20"/>
          <w:lang w:eastAsia="en-IN"/>
          <w14:ligatures w14:val="none"/>
        </w:rPr>
        <w:t xml:space="preserve"> Mizoram produced the least, with just 238.88 thousand tonnes (1.47%)</w:t>
      </w:r>
      <w:r w:rsidR="00DD5B1C" w:rsidRPr="0057039D">
        <w:rPr>
          <w:rFonts w:ascii="Arial" w:eastAsia="Times New Roman" w:hAnsi="Arial" w:cs="Arial"/>
          <w:kern w:val="0"/>
          <w:sz w:val="20"/>
          <w:szCs w:val="20"/>
          <w:lang w:eastAsia="en-IN"/>
          <w14:ligatures w14:val="none"/>
        </w:rPr>
        <w:t>,</w:t>
      </w:r>
      <w:r w:rsidR="00A65158" w:rsidRPr="0057039D">
        <w:rPr>
          <w:rFonts w:ascii="Arial" w:eastAsia="Times New Roman" w:hAnsi="Arial" w:cs="Arial"/>
          <w:kern w:val="0"/>
          <w:sz w:val="20"/>
          <w:szCs w:val="20"/>
          <w:lang w:eastAsia="en-IN"/>
          <w14:ligatures w14:val="none"/>
        </w:rPr>
        <w:t xml:space="preserve"> followed by Arunachal Pradesh (2.93%) during the same period.</w:t>
      </w:r>
    </w:p>
    <w:p w14:paraId="3BC9B147" w14:textId="3FE5A4C2" w:rsidR="009B0B1B" w:rsidRPr="0057039D" w:rsidRDefault="00001DC6" w:rsidP="00B5276C">
      <w:pPr>
        <w:spacing w:line="360" w:lineRule="auto"/>
        <w:jc w:val="both"/>
        <w:rPr>
          <w:rFonts w:ascii="Arial" w:hAnsi="Arial" w:cs="Arial"/>
          <w:sz w:val="20"/>
          <w:szCs w:val="20"/>
        </w:rPr>
      </w:pPr>
      <w:r w:rsidRPr="0057039D">
        <w:rPr>
          <w:rFonts w:ascii="Arial" w:hAnsi="Arial" w:cs="Arial"/>
          <w:sz w:val="20"/>
          <w:szCs w:val="20"/>
        </w:rPr>
        <w:t>Table 1 presents annual percentage growth rates</w:t>
      </w:r>
      <w:r w:rsidR="00D84570" w:rsidRPr="0057039D">
        <w:rPr>
          <w:rFonts w:ascii="Arial" w:hAnsi="Arial" w:cs="Arial"/>
          <w:sz w:val="20"/>
          <w:szCs w:val="20"/>
        </w:rPr>
        <w:t xml:space="preserve"> of milk production for Northeastern states and India from 2010-23</w:t>
      </w:r>
      <w:r w:rsidRPr="0057039D">
        <w:rPr>
          <w:rFonts w:ascii="Arial" w:hAnsi="Arial" w:cs="Arial"/>
          <w:sz w:val="20"/>
          <w:szCs w:val="20"/>
        </w:rPr>
        <w:t>.</w:t>
      </w:r>
      <w:r w:rsidR="00D84570" w:rsidRPr="0057039D">
        <w:rPr>
          <w:rFonts w:ascii="Arial" w:hAnsi="Arial" w:cs="Arial"/>
          <w:sz w:val="20"/>
          <w:szCs w:val="20"/>
        </w:rPr>
        <w:t xml:space="preserve"> These values indicate year to year percentage increase or decrease in milk production.</w:t>
      </w:r>
      <w:r w:rsidRPr="0057039D">
        <w:rPr>
          <w:rFonts w:ascii="Arial" w:hAnsi="Arial" w:cs="Arial"/>
          <w:sz w:val="20"/>
          <w:szCs w:val="20"/>
        </w:rPr>
        <w:t xml:space="preserve"> </w:t>
      </w:r>
      <w:r w:rsidR="00D33BD2">
        <w:rPr>
          <w:rFonts w:ascii="Arial" w:hAnsi="Arial" w:cs="Arial"/>
          <w:sz w:val="20"/>
          <w:szCs w:val="20"/>
        </w:rPr>
        <w:t>Initially, t</w:t>
      </w:r>
      <w:r w:rsidR="00BF3280" w:rsidRPr="0057039D">
        <w:rPr>
          <w:rFonts w:ascii="Arial" w:hAnsi="Arial" w:cs="Arial"/>
          <w:sz w:val="20"/>
          <w:szCs w:val="20"/>
        </w:rPr>
        <w:t xml:space="preserve">he overall growth rate for the Northeastern region </w:t>
      </w:r>
      <w:r w:rsidR="00D33BD2">
        <w:rPr>
          <w:rFonts w:ascii="Arial" w:hAnsi="Arial" w:cs="Arial"/>
          <w:sz w:val="20"/>
          <w:szCs w:val="20"/>
        </w:rPr>
        <w:t>shows</w:t>
      </w:r>
      <w:r w:rsidR="00BF3280" w:rsidRPr="0057039D">
        <w:rPr>
          <w:rFonts w:ascii="Arial" w:hAnsi="Arial" w:cs="Arial"/>
          <w:sz w:val="20"/>
          <w:szCs w:val="20"/>
        </w:rPr>
        <w:t xml:space="preserve"> fluctuating patterns but improve in the later years, particularly after 2017. </w:t>
      </w:r>
      <w:r w:rsidRPr="0057039D">
        <w:rPr>
          <w:rFonts w:ascii="Arial" w:hAnsi="Arial" w:cs="Arial"/>
          <w:sz w:val="20"/>
          <w:szCs w:val="20"/>
        </w:rPr>
        <w:t>The regional average growth fluctuates between small positive values and several negative years. While some states contribute to regional improvement, widespread negative values in recent years between 2020-2023 show</w:t>
      </w:r>
      <w:r w:rsidR="00620322" w:rsidRPr="0057039D">
        <w:rPr>
          <w:rFonts w:ascii="Arial" w:hAnsi="Arial" w:cs="Arial"/>
          <w:sz w:val="20"/>
          <w:szCs w:val="20"/>
        </w:rPr>
        <w:t xml:space="preserve"> a</w:t>
      </w:r>
      <w:r w:rsidRPr="0057039D">
        <w:rPr>
          <w:rFonts w:ascii="Arial" w:hAnsi="Arial" w:cs="Arial"/>
          <w:sz w:val="20"/>
          <w:szCs w:val="20"/>
        </w:rPr>
        <w:t xml:space="preserve"> decreasing trend</w:t>
      </w:r>
      <w:r w:rsidR="00552D21" w:rsidRPr="0057039D">
        <w:rPr>
          <w:rFonts w:ascii="Arial" w:hAnsi="Arial" w:cs="Arial"/>
          <w:sz w:val="20"/>
          <w:szCs w:val="20"/>
        </w:rPr>
        <w:t xml:space="preserve">, especially </w:t>
      </w:r>
      <w:r w:rsidR="00F36A42" w:rsidRPr="0057039D">
        <w:rPr>
          <w:rFonts w:ascii="Arial" w:hAnsi="Arial" w:cs="Arial"/>
          <w:sz w:val="20"/>
          <w:szCs w:val="20"/>
        </w:rPr>
        <w:t xml:space="preserve">in </w:t>
      </w:r>
      <w:r w:rsidR="00552D21" w:rsidRPr="0057039D">
        <w:rPr>
          <w:rFonts w:ascii="Arial" w:hAnsi="Arial" w:cs="Arial"/>
          <w:sz w:val="20"/>
          <w:szCs w:val="20"/>
        </w:rPr>
        <w:t xml:space="preserve">states like Arunachal Pradesh, Manipur, Nagaland, and Mizoram. </w:t>
      </w:r>
      <w:r w:rsidR="00824C6C" w:rsidRPr="0057039D">
        <w:rPr>
          <w:rFonts w:ascii="Arial" w:hAnsi="Arial" w:cs="Arial"/>
          <w:sz w:val="20"/>
          <w:szCs w:val="20"/>
        </w:rPr>
        <w:t xml:space="preserve">Assam demonstrates </w:t>
      </w:r>
      <w:r w:rsidR="00DC4D0E" w:rsidRPr="0057039D">
        <w:rPr>
          <w:rFonts w:ascii="Arial" w:hAnsi="Arial" w:cs="Arial"/>
          <w:sz w:val="20"/>
          <w:szCs w:val="20"/>
        </w:rPr>
        <w:t xml:space="preserve">a </w:t>
      </w:r>
      <w:r w:rsidR="00824C6C" w:rsidRPr="0057039D">
        <w:rPr>
          <w:rFonts w:ascii="Arial" w:hAnsi="Arial" w:cs="Arial"/>
          <w:sz w:val="20"/>
          <w:szCs w:val="20"/>
        </w:rPr>
        <w:t>relatively stable and positive growth rate over the years</w:t>
      </w:r>
      <w:r w:rsidR="00DC4D0E" w:rsidRPr="0057039D">
        <w:rPr>
          <w:rFonts w:ascii="Arial" w:hAnsi="Arial" w:cs="Arial"/>
          <w:sz w:val="20"/>
          <w:szCs w:val="20"/>
        </w:rPr>
        <w:t>,</w:t>
      </w:r>
      <w:r w:rsidR="00824C6C" w:rsidRPr="0057039D">
        <w:rPr>
          <w:rFonts w:ascii="Arial" w:hAnsi="Arial" w:cs="Arial"/>
          <w:sz w:val="20"/>
          <w:szCs w:val="20"/>
        </w:rPr>
        <w:t xml:space="preserve"> indicating a comparatively stronger dairy base and better institutional support within the state. </w:t>
      </w:r>
      <w:r w:rsidR="00DC4D0E" w:rsidRPr="0057039D">
        <w:rPr>
          <w:rFonts w:ascii="Arial" w:hAnsi="Arial" w:cs="Arial"/>
          <w:sz w:val="20"/>
          <w:szCs w:val="20"/>
        </w:rPr>
        <w:t xml:space="preserve">Tripura also shows a moderate level of consistency with predominantly positive growth trends over the years. </w:t>
      </w:r>
      <w:r w:rsidR="007507B4" w:rsidRPr="0057039D">
        <w:rPr>
          <w:rFonts w:ascii="Arial" w:hAnsi="Arial" w:cs="Arial"/>
          <w:sz w:val="20"/>
          <w:szCs w:val="20"/>
        </w:rPr>
        <w:t>The lowest growth rate was observed in Nagaland, while Arunachal Pradesh exhibit</w:t>
      </w:r>
      <w:r w:rsidR="00285CA2">
        <w:rPr>
          <w:rFonts w:ascii="Arial" w:hAnsi="Arial" w:cs="Arial"/>
          <w:sz w:val="20"/>
          <w:szCs w:val="20"/>
        </w:rPr>
        <w:t>ing</w:t>
      </w:r>
      <w:r w:rsidR="007507B4" w:rsidRPr="0057039D">
        <w:rPr>
          <w:rFonts w:ascii="Arial" w:hAnsi="Arial" w:cs="Arial"/>
          <w:sz w:val="20"/>
          <w:szCs w:val="20"/>
        </w:rPr>
        <w:t xml:space="preserve"> significant fluctuations in its growth rate.</w:t>
      </w:r>
      <w:r w:rsidR="00494C21" w:rsidRPr="0057039D">
        <w:rPr>
          <w:rFonts w:ascii="Arial" w:hAnsi="Arial" w:cs="Arial"/>
          <w:sz w:val="20"/>
          <w:szCs w:val="20"/>
        </w:rPr>
        <w:t xml:space="preserve"> </w:t>
      </w:r>
      <w:r w:rsidR="009B0B1B" w:rsidRPr="0057039D">
        <w:rPr>
          <w:rFonts w:ascii="Arial" w:hAnsi="Arial" w:cs="Arial"/>
          <w:sz w:val="20"/>
          <w:szCs w:val="20"/>
        </w:rPr>
        <w:t xml:space="preserve">At the national level, India shows steady and moderate growth throughout the period, with </w:t>
      </w:r>
      <w:r w:rsidR="007D55EA">
        <w:rPr>
          <w:rFonts w:ascii="Arial" w:hAnsi="Arial" w:cs="Arial"/>
          <w:sz w:val="20"/>
          <w:szCs w:val="20"/>
        </w:rPr>
        <w:t xml:space="preserve">an </w:t>
      </w:r>
      <w:r w:rsidR="009B0B1B" w:rsidRPr="0057039D">
        <w:rPr>
          <w:rFonts w:ascii="Arial" w:hAnsi="Arial" w:cs="Arial"/>
          <w:sz w:val="20"/>
          <w:szCs w:val="20"/>
        </w:rPr>
        <w:t xml:space="preserve">annual </w:t>
      </w:r>
      <w:r w:rsidR="007D55EA">
        <w:rPr>
          <w:rFonts w:ascii="Arial" w:hAnsi="Arial" w:cs="Arial"/>
          <w:sz w:val="20"/>
          <w:szCs w:val="20"/>
        </w:rPr>
        <w:t>increase</w:t>
      </w:r>
      <w:r w:rsidR="009B0B1B" w:rsidRPr="0057039D">
        <w:rPr>
          <w:rFonts w:ascii="Arial" w:hAnsi="Arial" w:cs="Arial"/>
          <w:sz w:val="20"/>
          <w:szCs w:val="20"/>
        </w:rPr>
        <w:t xml:space="preserve"> ranging between 3 and 6 percent. This stability contrast</w:t>
      </w:r>
      <w:r w:rsidR="00B80946" w:rsidRPr="0057039D">
        <w:rPr>
          <w:rFonts w:ascii="Arial" w:hAnsi="Arial" w:cs="Arial"/>
          <w:sz w:val="20"/>
          <w:szCs w:val="20"/>
        </w:rPr>
        <w:t>s</w:t>
      </w:r>
      <w:r w:rsidR="002A24B6" w:rsidRPr="0057039D">
        <w:rPr>
          <w:rFonts w:ascii="Arial" w:hAnsi="Arial" w:cs="Arial"/>
          <w:sz w:val="20"/>
          <w:szCs w:val="20"/>
        </w:rPr>
        <w:t xml:space="preserve"> with the v</w:t>
      </w:r>
      <w:r w:rsidR="00C8132D">
        <w:rPr>
          <w:rFonts w:ascii="Arial" w:hAnsi="Arial" w:cs="Arial"/>
          <w:sz w:val="20"/>
          <w:szCs w:val="20"/>
        </w:rPr>
        <w:t>ariation</w:t>
      </w:r>
      <w:r w:rsidR="002A24B6" w:rsidRPr="0057039D">
        <w:rPr>
          <w:rFonts w:ascii="Arial" w:hAnsi="Arial" w:cs="Arial"/>
          <w:sz w:val="20"/>
          <w:szCs w:val="20"/>
        </w:rPr>
        <w:t xml:space="preserve"> observed in the Northeastern states</w:t>
      </w:r>
      <w:r w:rsidR="009B0B1B" w:rsidRPr="0057039D">
        <w:rPr>
          <w:rFonts w:ascii="Arial" w:hAnsi="Arial" w:cs="Arial"/>
          <w:sz w:val="20"/>
          <w:szCs w:val="20"/>
        </w:rPr>
        <w:t xml:space="preserve">. </w:t>
      </w:r>
      <w:r w:rsidR="00F965F1" w:rsidRPr="0057039D">
        <w:rPr>
          <w:rFonts w:ascii="Arial" w:hAnsi="Arial" w:cs="Arial"/>
          <w:sz w:val="20"/>
          <w:szCs w:val="20"/>
        </w:rPr>
        <w:t xml:space="preserve">This may be due to the slower growth of the livestock sector in the NER compared to the national level, which is consistent with the study of Kumar </w:t>
      </w:r>
      <w:r w:rsidR="003E444D" w:rsidRPr="0057039D">
        <w:rPr>
          <w:rFonts w:ascii="Arial" w:hAnsi="Arial" w:cs="Arial"/>
          <w:i/>
          <w:iCs/>
          <w:sz w:val="20"/>
          <w:szCs w:val="20"/>
        </w:rPr>
        <w:t>et al.</w:t>
      </w:r>
      <w:r w:rsidR="00F965F1" w:rsidRPr="0057039D">
        <w:rPr>
          <w:rFonts w:ascii="Arial" w:hAnsi="Arial" w:cs="Arial"/>
          <w:sz w:val="20"/>
          <w:szCs w:val="20"/>
        </w:rPr>
        <w:t xml:space="preserve"> </w:t>
      </w:r>
      <w:r w:rsidR="00DD5B1C" w:rsidRPr="0057039D">
        <w:rPr>
          <w:rFonts w:ascii="Arial" w:hAnsi="Arial" w:cs="Arial"/>
          <w:sz w:val="20"/>
          <w:szCs w:val="20"/>
        </w:rPr>
        <w:t>(</w:t>
      </w:r>
      <w:r w:rsidR="00F965F1" w:rsidRPr="0057039D">
        <w:rPr>
          <w:rFonts w:ascii="Arial" w:hAnsi="Arial" w:cs="Arial"/>
          <w:sz w:val="20"/>
          <w:szCs w:val="20"/>
        </w:rPr>
        <w:t xml:space="preserve">2007), which could be linked to poor resource endowment in terms of crossbred, cooperative organizations, marketing channels, and dairy infrastructures (Feroze </w:t>
      </w:r>
      <w:r w:rsidR="003E444D" w:rsidRPr="0057039D">
        <w:rPr>
          <w:rFonts w:ascii="Arial" w:hAnsi="Arial" w:cs="Arial"/>
          <w:sz w:val="20"/>
          <w:szCs w:val="20"/>
        </w:rPr>
        <w:t>et al.</w:t>
      </w:r>
      <w:r w:rsidR="00F965F1" w:rsidRPr="0057039D">
        <w:rPr>
          <w:rFonts w:ascii="Arial" w:hAnsi="Arial" w:cs="Arial"/>
          <w:sz w:val="20"/>
          <w:szCs w:val="20"/>
        </w:rPr>
        <w:t xml:space="preserve"> 2017), thereby affecting production. </w:t>
      </w:r>
    </w:p>
    <w:p w14:paraId="201FF857" w14:textId="41FA5633" w:rsidR="006A06F5" w:rsidRPr="0057039D" w:rsidRDefault="00F965F1" w:rsidP="00B5276C">
      <w:pPr>
        <w:spacing w:line="360" w:lineRule="auto"/>
        <w:jc w:val="both"/>
        <w:rPr>
          <w:rFonts w:ascii="Arial" w:hAnsi="Arial" w:cs="Arial"/>
          <w:sz w:val="20"/>
          <w:szCs w:val="20"/>
        </w:rPr>
      </w:pPr>
      <w:r w:rsidRPr="0057039D">
        <w:rPr>
          <w:rFonts w:ascii="Arial" w:hAnsi="Arial" w:cs="Arial"/>
          <w:sz w:val="20"/>
          <w:szCs w:val="20"/>
        </w:rPr>
        <w:t xml:space="preserve">The decline in dairy farming is largely driven by urbanization and land use changes. As cities expand, agricultural land is often repurposed for residential, commercial, and industrial development, reducing land availability for dairy farming. Urban sprawl leads to higher land prices, making it large-scale dairy operations less viable for farmers. Additionally, infrastructure development, such as roads and factories, </w:t>
      </w:r>
      <w:r w:rsidRPr="0057039D">
        <w:rPr>
          <w:rFonts w:ascii="Arial" w:hAnsi="Arial" w:cs="Arial"/>
          <w:sz w:val="20"/>
          <w:szCs w:val="20"/>
        </w:rPr>
        <w:lastRenderedPageBreak/>
        <w:t xml:space="preserve">disrupts traditional farming areas, limiting grazing space and access to resources. The shift from rural agriculture to urban infrastructure also results in fewer areas designated for livestock rearing. Consequently, dairy production is increasingly shifting to more rural or specialized regions where land remains available and affordable, leading to a concentration rather than expansion of dairy farms. </w:t>
      </w:r>
    </w:p>
    <w:p w14:paraId="75D6D6A6" w14:textId="77777777" w:rsidR="006A06F5" w:rsidRPr="0057039D" w:rsidRDefault="006A06F5" w:rsidP="00B5276C">
      <w:pPr>
        <w:spacing w:line="360" w:lineRule="auto"/>
        <w:jc w:val="both"/>
        <w:rPr>
          <w:rFonts w:ascii="Arial" w:hAnsi="Arial" w:cs="Arial"/>
          <w:sz w:val="20"/>
          <w:szCs w:val="20"/>
        </w:rPr>
      </w:pPr>
      <w:r w:rsidRPr="0057039D">
        <w:rPr>
          <w:rFonts w:ascii="Arial" w:hAnsi="Arial" w:cs="Arial"/>
          <w:b/>
          <w:bCs/>
          <w:sz w:val="20"/>
          <w:szCs w:val="20"/>
        </w:rPr>
        <w:t xml:space="preserve">Table 1: </w:t>
      </w:r>
      <w:r w:rsidRPr="0057039D">
        <w:rPr>
          <w:rFonts w:ascii="Arial" w:hAnsi="Arial" w:cs="Arial"/>
          <w:sz w:val="20"/>
          <w:szCs w:val="20"/>
        </w:rPr>
        <w:t>Annual growth rate of milk production in Northeast India</w:t>
      </w:r>
    </w:p>
    <w:tbl>
      <w:tblPr>
        <w:tblW w:w="5000" w:type="pct"/>
        <w:tblBorders>
          <w:top w:val="single" w:sz="4" w:space="0" w:color="auto"/>
          <w:bottom w:val="single" w:sz="4" w:space="0" w:color="auto"/>
        </w:tblBorders>
        <w:tblLook w:val="04A0" w:firstRow="1" w:lastRow="0" w:firstColumn="1" w:lastColumn="0" w:noHBand="0" w:noVBand="1"/>
      </w:tblPr>
      <w:tblGrid>
        <w:gridCol w:w="657"/>
        <w:gridCol w:w="1107"/>
        <w:gridCol w:w="821"/>
        <w:gridCol w:w="931"/>
        <w:gridCol w:w="1184"/>
        <w:gridCol w:w="975"/>
        <w:gridCol w:w="1064"/>
        <w:gridCol w:w="799"/>
        <w:gridCol w:w="843"/>
        <w:gridCol w:w="645"/>
      </w:tblGrid>
      <w:tr w:rsidR="00F46753" w:rsidRPr="0057039D" w14:paraId="4DEA43E2" w14:textId="77777777" w:rsidTr="0049507B">
        <w:trPr>
          <w:trHeight w:val="290"/>
        </w:trPr>
        <w:tc>
          <w:tcPr>
            <w:tcW w:w="359" w:type="pct"/>
            <w:tcBorders>
              <w:top w:val="single" w:sz="4" w:space="0" w:color="auto"/>
              <w:bottom w:val="single" w:sz="4" w:space="0" w:color="auto"/>
            </w:tcBorders>
            <w:noWrap/>
            <w:vAlign w:val="bottom"/>
            <w:hideMark/>
          </w:tcPr>
          <w:p w14:paraId="4DF59AD6"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Year</w:t>
            </w:r>
          </w:p>
        </w:tc>
        <w:tc>
          <w:tcPr>
            <w:tcW w:w="613" w:type="pct"/>
            <w:tcBorders>
              <w:top w:val="single" w:sz="4" w:space="0" w:color="auto"/>
              <w:bottom w:val="single" w:sz="4" w:space="0" w:color="auto"/>
            </w:tcBorders>
            <w:noWrap/>
            <w:vAlign w:val="bottom"/>
            <w:hideMark/>
          </w:tcPr>
          <w:p w14:paraId="6241D962"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Arunachal</w:t>
            </w:r>
          </w:p>
        </w:tc>
        <w:tc>
          <w:tcPr>
            <w:tcW w:w="441" w:type="pct"/>
            <w:tcBorders>
              <w:top w:val="single" w:sz="4" w:space="0" w:color="auto"/>
              <w:bottom w:val="single" w:sz="4" w:space="0" w:color="auto"/>
            </w:tcBorders>
            <w:noWrap/>
            <w:vAlign w:val="bottom"/>
            <w:hideMark/>
          </w:tcPr>
          <w:p w14:paraId="133D760C"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 xml:space="preserve">Assam </w:t>
            </w:r>
          </w:p>
        </w:tc>
        <w:tc>
          <w:tcPr>
            <w:tcW w:w="526" w:type="pct"/>
            <w:tcBorders>
              <w:top w:val="single" w:sz="4" w:space="0" w:color="auto"/>
              <w:bottom w:val="single" w:sz="4" w:space="0" w:color="auto"/>
            </w:tcBorders>
            <w:noWrap/>
            <w:vAlign w:val="bottom"/>
            <w:hideMark/>
          </w:tcPr>
          <w:p w14:paraId="37E65DFC"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Manipur</w:t>
            </w:r>
          </w:p>
        </w:tc>
        <w:tc>
          <w:tcPr>
            <w:tcW w:w="644" w:type="pct"/>
            <w:tcBorders>
              <w:top w:val="single" w:sz="4" w:space="0" w:color="auto"/>
              <w:bottom w:val="single" w:sz="4" w:space="0" w:color="auto"/>
            </w:tcBorders>
            <w:noWrap/>
            <w:vAlign w:val="bottom"/>
            <w:hideMark/>
          </w:tcPr>
          <w:p w14:paraId="1BB06C28"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Meghalaya</w:t>
            </w:r>
          </w:p>
        </w:tc>
        <w:tc>
          <w:tcPr>
            <w:tcW w:w="552" w:type="pct"/>
            <w:tcBorders>
              <w:top w:val="single" w:sz="4" w:space="0" w:color="auto"/>
              <w:bottom w:val="single" w:sz="4" w:space="0" w:color="auto"/>
            </w:tcBorders>
            <w:noWrap/>
            <w:vAlign w:val="bottom"/>
            <w:hideMark/>
          </w:tcPr>
          <w:p w14:paraId="5A320BAD"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Mizoram</w:t>
            </w:r>
          </w:p>
        </w:tc>
        <w:tc>
          <w:tcPr>
            <w:tcW w:w="572" w:type="pct"/>
            <w:tcBorders>
              <w:top w:val="single" w:sz="4" w:space="0" w:color="auto"/>
              <w:bottom w:val="single" w:sz="4" w:space="0" w:color="auto"/>
            </w:tcBorders>
            <w:noWrap/>
            <w:vAlign w:val="bottom"/>
            <w:hideMark/>
          </w:tcPr>
          <w:p w14:paraId="4CF6E12F"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Nagaland</w:t>
            </w:r>
          </w:p>
        </w:tc>
        <w:tc>
          <w:tcPr>
            <w:tcW w:w="461" w:type="pct"/>
            <w:tcBorders>
              <w:top w:val="single" w:sz="4" w:space="0" w:color="auto"/>
              <w:bottom w:val="single" w:sz="4" w:space="0" w:color="auto"/>
            </w:tcBorders>
            <w:noWrap/>
            <w:vAlign w:val="bottom"/>
            <w:hideMark/>
          </w:tcPr>
          <w:p w14:paraId="3629B326"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Sikkim</w:t>
            </w:r>
          </w:p>
        </w:tc>
        <w:tc>
          <w:tcPr>
            <w:tcW w:w="474" w:type="pct"/>
            <w:tcBorders>
              <w:top w:val="single" w:sz="4" w:space="0" w:color="auto"/>
              <w:bottom w:val="single" w:sz="4" w:space="0" w:color="auto"/>
            </w:tcBorders>
            <w:noWrap/>
            <w:vAlign w:val="bottom"/>
            <w:hideMark/>
          </w:tcPr>
          <w:p w14:paraId="78CA81EE"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Tripura</w:t>
            </w:r>
          </w:p>
        </w:tc>
        <w:tc>
          <w:tcPr>
            <w:tcW w:w="358" w:type="pct"/>
            <w:tcBorders>
              <w:top w:val="single" w:sz="4" w:space="0" w:color="auto"/>
              <w:bottom w:val="single" w:sz="4" w:space="0" w:color="auto"/>
            </w:tcBorders>
          </w:tcPr>
          <w:p w14:paraId="0BE79275"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All India</w:t>
            </w:r>
          </w:p>
        </w:tc>
      </w:tr>
      <w:tr w:rsidR="00F46753" w:rsidRPr="0057039D" w14:paraId="68563F6B" w14:textId="77777777" w:rsidTr="0049507B">
        <w:trPr>
          <w:trHeight w:val="290"/>
        </w:trPr>
        <w:tc>
          <w:tcPr>
            <w:tcW w:w="359" w:type="pct"/>
            <w:tcBorders>
              <w:top w:val="single" w:sz="4" w:space="0" w:color="auto"/>
            </w:tcBorders>
            <w:noWrap/>
            <w:vAlign w:val="bottom"/>
            <w:hideMark/>
          </w:tcPr>
          <w:p w14:paraId="2F3B037A"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2010</w:t>
            </w:r>
          </w:p>
        </w:tc>
        <w:tc>
          <w:tcPr>
            <w:tcW w:w="613" w:type="pct"/>
            <w:tcBorders>
              <w:top w:val="single" w:sz="4" w:space="0" w:color="auto"/>
            </w:tcBorders>
            <w:noWrap/>
            <w:vAlign w:val="bottom"/>
            <w:hideMark/>
          </w:tcPr>
          <w:p w14:paraId="06013903"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9.31</w:t>
            </w:r>
          </w:p>
        </w:tc>
        <w:tc>
          <w:tcPr>
            <w:tcW w:w="441" w:type="pct"/>
            <w:tcBorders>
              <w:top w:val="single" w:sz="4" w:space="0" w:color="auto"/>
            </w:tcBorders>
            <w:noWrap/>
            <w:vAlign w:val="bottom"/>
            <w:hideMark/>
          </w:tcPr>
          <w:p w14:paraId="77F4EBD2"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4.55</w:t>
            </w:r>
          </w:p>
        </w:tc>
        <w:tc>
          <w:tcPr>
            <w:tcW w:w="526" w:type="pct"/>
            <w:tcBorders>
              <w:top w:val="single" w:sz="4" w:space="0" w:color="auto"/>
            </w:tcBorders>
            <w:noWrap/>
            <w:vAlign w:val="bottom"/>
            <w:hideMark/>
          </w:tcPr>
          <w:p w14:paraId="0A07DF4A"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0.00</w:t>
            </w:r>
          </w:p>
        </w:tc>
        <w:tc>
          <w:tcPr>
            <w:tcW w:w="644" w:type="pct"/>
            <w:tcBorders>
              <w:top w:val="single" w:sz="4" w:space="0" w:color="auto"/>
            </w:tcBorders>
            <w:noWrap/>
            <w:vAlign w:val="bottom"/>
            <w:hideMark/>
          </w:tcPr>
          <w:p w14:paraId="6B0DC111"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1.46</w:t>
            </w:r>
          </w:p>
        </w:tc>
        <w:tc>
          <w:tcPr>
            <w:tcW w:w="552" w:type="pct"/>
            <w:tcBorders>
              <w:top w:val="single" w:sz="4" w:space="0" w:color="auto"/>
            </w:tcBorders>
            <w:noWrap/>
            <w:vAlign w:val="bottom"/>
            <w:hideMark/>
          </w:tcPr>
          <w:p w14:paraId="09B4A94F"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3.91</w:t>
            </w:r>
          </w:p>
        </w:tc>
        <w:tc>
          <w:tcPr>
            <w:tcW w:w="572" w:type="pct"/>
            <w:tcBorders>
              <w:top w:val="single" w:sz="4" w:space="0" w:color="auto"/>
            </w:tcBorders>
            <w:noWrap/>
            <w:vAlign w:val="bottom"/>
            <w:hideMark/>
          </w:tcPr>
          <w:p w14:paraId="72CFE030"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-2.53</w:t>
            </w:r>
          </w:p>
        </w:tc>
        <w:tc>
          <w:tcPr>
            <w:tcW w:w="461" w:type="pct"/>
            <w:tcBorders>
              <w:top w:val="single" w:sz="4" w:space="0" w:color="auto"/>
            </w:tcBorders>
            <w:noWrap/>
            <w:vAlign w:val="bottom"/>
            <w:hideMark/>
          </w:tcPr>
          <w:p w14:paraId="2BD87CE3"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-1.80</w:t>
            </w:r>
          </w:p>
        </w:tc>
        <w:tc>
          <w:tcPr>
            <w:tcW w:w="474" w:type="pct"/>
            <w:tcBorders>
              <w:top w:val="single" w:sz="4" w:space="0" w:color="auto"/>
            </w:tcBorders>
            <w:noWrap/>
            <w:vAlign w:val="bottom"/>
            <w:hideMark/>
          </w:tcPr>
          <w:p w14:paraId="2B3BD63A"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4.48</w:t>
            </w:r>
          </w:p>
        </w:tc>
        <w:tc>
          <w:tcPr>
            <w:tcW w:w="358" w:type="pct"/>
            <w:tcBorders>
              <w:top w:val="single" w:sz="4" w:space="0" w:color="auto"/>
            </w:tcBorders>
            <w:vAlign w:val="bottom"/>
          </w:tcPr>
          <w:p w14:paraId="319626AB"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hAnsi="Arial" w:cs="Arial"/>
                <w:sz w:val="20"/>
                <w:szCs w:val="20"/>
              </w:rPr>
              <w:t>4.66</w:t>
            </w:r>
          </w:p>
        </w:tc>
      </w:tr>
      <w:tr w:rsidR="00F46753" w:rsidRPr="0057039D" w14:paraId="2C5A10E3" w14:textId="77777777" w:rsidTr="0049507B">
        <w:trPr>
          <w:trHeight w:val="290"/>
        </w:trPr>
        <w:tc>
          <w:tcPr>
            <w:tcW w:w="359" w:type="pct"/>
            <w:noWrap/>
            <w:vAlign w:val="bottom"/>
            <w:hideMark/>
          </w:tcPr>
          <w:p w14:paraId="4FCBC8C8"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2011</w:t>
            </w:r>
          </w:p>
        </w:tc>
        <w:tc>
          <w:tcPr>
            <w:tcW w:w="613" w:type="pct"/>
            <w:noWrap/>
            <w:vAlign w:val="bottom"/>
            <w:hideMark/>
          </w:tcPr>
          <w:p w14:paraId="57E2837C"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-22.84</w:t>
            </w:r>
          </w:p>
        </w:tc>
        <w:tc>
          <w:tcPr>
            <w:tcW w:w="441" w:type="pct"/>
            <w:noWrap/>
            <w:vAlign w:val="bottom"/>
            <w:hideMark/>
          </w:tcPr>
          <w:p w14:paraId="27DB1C4B"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0.70</w:t>
            </w:r>
          </w:p>
        </w:tc>
        <w:tc>
          <w:tcPr>
            <w:tcW w:w="526" w:type="pct"/>
            <w:noWrap/>
            <w:vAlign w:val="bottom"/>
            <w:hideMark/>
          </w:tcPr>
          <w:p w14:paraId="1BD92079"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0.78</w:t>
            </w:r>
          </w:p>
        </w:tc>
        <w:tc>
          <w:tcPr>
            <w:tcW w:w="644" w:type="pct"/>
            <w:noWrap/>
            <w:vAlign w:val="bottom"/>
            <w:hideMark/>
          </w:tcPr>
          <w:p w14:paraId="73BF7069"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0.69</w:t>
            </w:r>
          </w:p>
        </w:tc>
        <w:tc>
          <w:tcPr>
            <w:tcW w:w="552" w:type="pct"/>
            <w:noWrap/>
            <w:vAlign w:val="bottom"/>
            <w:hideMark/>
          </w:tcPr>
          <w:p w14:paraId="12485DAA"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21.70</w:t>
            </w:r>
          </w:p>
        </w:tc>
        <w:tc>
          <w:tcPr>
            <w:tcW w:w="572" w:type="pct"/>
            <w:noWrap/>
            <w:vAlign w:val="bottom"/>
            <w:hideMark/>
          </w:tcPr>
          <w:p w14:paraId="7D3DFD6C"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2.59</w:t>
            </w:r>
          </w:p>
        </w:tc>
        <w:tc>
          <w:tcPr>
            <w:tcW w:w="461" w:type="pct"/>
            <w:noWrap/>
            <w:vAlign w:val="bottom"/>
            <w:hideMark/>
          </w:tcPr>
          <w:p w14:paraId="4E30210E"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4.14</w:t>
            </w:r>
          </w:p>
        </w:tc>
        <w:tc>
          <w:tcPr>
            <w:tcW w:w="474" w:type="pct"/>
            <w:noWrap/>
            <w:vAlign w:val="bottom"/>
            <w:hideMark/>
          </w:tcPr>
          <w:p w14:paraId="2770E3A3"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6.24</w:t>
            </w:r>
          </w:p>
        </w:tc>
        <w:tc>
          <w:tcPr>
            <w:tcW w:w="358" w:type="pct"/>
            <w:vAlign w:val="bottom"/>
          </w:tcPr>
          <w:p w14:paraId="30D9BDFB"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hAnsi="Arial" w:cs="Arial"/>
                <w:sz w:val="20"/>
                <w:szCs w:val="20"/>
              </w:rPr>
              <w:t>4.97</w:t>
            </w:r>
          </w:p>
        </w:tc>
      </w:tr>
      <w:tr w:rsidR="00F46753" w:rsidRPr="0057039D" w14:paraId="5838E798" w14:textId="77777777" w:rsidTr="0049507B">
        <w:trPr>
          <w:trHeight w:val="290"/>
        </w:trPr>
        <w:tc>
          <w:tcPr>
            <w:tcW w:w="359" w:type="pct"/>
            <w:noWrap/>
            <w:vAlign w:val="bottom"/>
            <w:hideMark/>
          </w:tcPr>
          <w:p w14:paraId="1646B1FA"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2012</w:t>
            </w:r>
          </w:p>
        </w:tc>
        <w:tc>
          <w:tcPr>
            <w:tcW w:w="613" w:type="pct"/>
            <w:noWrap/>
            <w:vAlign w:val="bottom"/>
            <w:hideMark/>
          </w:tcPr>
          <w:p w14:paraId="312691AC"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3.60</w:t>
            </w:r>
          </w:p>
        </w:tc>
        <w:tc>
          <w:tcPr>
            <w:tcW w:w="441" w:type="pct"/>
            <w:noWrap/>
            <w:vAlign w:val="bottom"/>
            <w:hideMark/>
          </w:tcPr>
          <w:p w14:paraId="2FAF42C3"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0.46</w:t>
            </w:r>
          </w:p>
        </w:tc>
        <w:tc>
          <w:tcPr>
            <w:tcW w:w="526" w:type="pct"/>
            <w:noWrap/>
            <w:vAlign w:val="bottom"/>
            <w:hideMark/>
          </w:tcPr>
          <w:p w14:paraId="71A0ED0E"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1.81</w:t>
            </w:r>
          </w:p>
        </w:tc>
        <w:tc>
          <w:tcPr>
            <w:tcW w:w="644" w:type="pct"/>
            <w:noWrap/>
            <w:vAlign w:val="bottom"/>
            <w:hideMark/>
          </w:tcPr>
          <w:p w14:paraId="45B33775"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1.04</w:t>
            </w:r>
          </w:p>
        </w:tc>
        <w:tc>
          <w:tcPr>
            <w:tcW w:w="552" w:type="pct"/>
            <w:noWrap/>
            <w:vAlign w:val="bottom"/>
            <w:hideMark/>
          </w:tcPr>
          <w:p w14:paraId="076369A3"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w:t>
            </w:r>
          </w:p>
        </w:tc>
        <w:tc>
          <w:tcPr>
            <w:tcW w:w="572" w:type="pct"/>
            <w:noWrap/>
            <w:vAlign w:val="bottom"/>
            <w:hideMark/>
          </w:tcPr>
          <w:p w14:paraId="0BD8356F"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0.85</w:t>
            </w:r>
          </w:p>
        </w:tc>
        <w:tc>
          <w:tcPr>
            <w:tcW w:w="461" w:type="pct"/>
            <w:noWrap/>
            <w:vAlign w:val="bottom"/>
            <w:hideMark/>
          </w:tcPr>
          <w:p w14:paraId="0086A50A"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-6.13</w:t>
            </w:r>
          </w:p>
        </w:tc>
        <w:tc>
          <w:tcPr>
            <w:tcW w:w="474" w:type="pct"/>
            <w:noWrap/>
            <w:vAlign w:val="bottom"/>
            <w:hideMark/>
          </w:tcPr>
          <w:p w14:paraId="48762F93"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6.34</w:t>
            </w:r>
          </w:p>
        </w:tc>
        <w:tc>
          <w:tcPr>
            <w:tcW w:w="358" w:type="pct"/>
            <w:vAlign w:val="bottom"/>
          </w:tcPr>
          <w:p w14:paraId="790BE40E"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hAnsi="Arial" w:cs="Arial"/>
                <w:sz w:val="20"/>
                <w:szCs w:val="20"/>
              </w:rPr>
              <w:t>3.54</w:t>
            </w:r>
          </w:p>
        </w:tc>
      </w:tr>
      <w:tr w:rsidR="00F46753" w:rsidRPr="0057039D" w14:paraId="06A1C08E" w14:textId="77777777" w:rsidTr="0049507B">
        <w:trPr>
          <w:trHeight w:val="290"/>
        </w:trPr>
        <w:tc>
          <w:tcPr>
            <w:tcW w:w="359" w:type="pct"/>
            <w:noWrap/>
            <w:vAlign w:val="bottom"/>
            <w:hideMark/>
          </w:tcPr>
          <w:p w14:paraId="1A198B76"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2013</w:t>
            </w:r>
          </w:p>
        </w:tc>
        <w:tc>
          <w:tcPr>
            <w:tcW w:w="613" w:type="pct"/>
            <w:noWrap/>
            <w:vAlign w:val="bottom"/>
            <w:hideMark/>
          </w:tcPr>
          <w:p w14:paraId="6107EE27"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89.26</w:t>
            </w:r>
          </w:p>
        </w:tc>
        <w:tc>
          <w:tcPr>
            <w:tcW w:w="441" w:type="pct"/>
            <w:noWrap/>
            <w:vAlign w:val="bottom"/>
            <w:hideMark/>
          </w:tcPr>
          <w:p w14:paraId="08484888"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1.92</w:t>
            </w:r>
          </w:p>
        </w:tc>
        <w:tc>
          <w:tcPr>
            <w:tcW w:w="526" w:type="pct"/>
            <w:noWrap/>
            <w:vAlign w:val="bottom"/>
            <w:hideMark/>
          </w:tcPr>
          <w:p w14:paraId="58132E45"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2.46</w:t>
            </w:r>
          </w:p>
        </w:tc>
        <w:tc>
          <w:tcPr>
            <w:tcW w:w="644" w:type="pct"/>
            <w:noWrap/>
            <w:vAlign w:val="bottom"/>
            <w:hideMark/>
          </w:tcPr>
          <w:p w14:paraId="72E2F4FD"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1.84</w:t>
            </w:r>
          </w:p>
        </w:tc>
        <w:tc>
          <w:tcPr>
            <w:tcW w:w="552" w:type="pct"/>
            <w:noWrap/>
            <w:vAlign w:val="bottom"/>
            <w:hideMark/>
          </w:tcPr>
          <w:p w14:paraId="07DD8BA5"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10.05</w:t>
            </w:r>
          </w:p>
        </w:tc>
        <w:tc>
          <w:tcPr>
            <w:tcW w:w="572" w:type="pct"/>
            <w:noWrap/>
            <w:vAlign w:val="bottom"/>
            <w:hideMark/>
          </w:tcPr>
          <w:p w14:paraId="5942E4A0"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2.97</w:t>
            </w:r>
          </w:p>
        </w:tc>
        <w:tc>
          <w:tcPr>
            <w:tcW w:w="461" w:type="pct"/>
            <w:noWrap/>
            <w:vAlign w:val="bottom"/>
            <w:hideMark/>
          </w:tcPr>
          <w:p w14:paraId="7649A3FD"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8.90</w:t>
            </w:r>
          </w:p>
        </w:tc>
        <w:tc>
          <w:tcPr>
            <w:tcW w:w="474" w:type="pct"/>
            <w:noWrap/>
            <w:vAlign w:val="bottom"/>
            <w:hideMark/>
          </w:tcPr>
          <w:p w14:paraId="02252743"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10.13</w:t>
            </w:r>
          </w:p>
        </w:tc>
        <w:tc>
          <w:tcPr>
            <w:tcW w:w="358" w:type="pct"/>
            <w:vAlign w:val="bottom"/>
          </w:tcPr>
          <w:p w14:paraId="665FDCAD"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hAnsi="Arial" w:cs="Arial"/>
                <w:sz w:val="20"/>
                <w:szCs w:val="20"/>
              </w:rPr>
              <w:t>3.97</w:t>
            </w:r>
          </w:p>
        </w:tc>
      </w:tr>
      <w:tr w:rsidR="00F46753" w:rsidRPr="0057039D" w14:paraId="521837AC" w14:textId="77777777" w:rsidTr="0049507B">
        <w:trPr>
          <w:trHeight w:val="290"/>
        </w:trPr>
        <w:tc>
          <w:tcPr>
            <w:tcW w:w="359" w:type="pct"/>
            <w:noWrap/>
            <w:vAlign w:val="bottom"/>
            <w:hideMark/>
          </w:tcPr>
          <w:p w14:paraId="0664BAB1"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2014</w:t>
            </w:r>
          </w:p>
        </w:tc>
        <w:tc>
          <w:tcPr>
            <w:tcW w:w="613" w:type="pct"/>
            <w:noWrap/>
            <w:vAlign w:val="bottom"/>
            <w:hideMark/>
          </w:tcPr>
          <w:p w14:paraId="615AC721"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6.98</w:t>
            </w:r>
          </w:p>
        </w:tc>
        <w:tc>
          <w:tcPr>
            <w:tcW w:w="441" w:type="pct"/>
            <w:noWrap/>
            <w:vAlign w:val="bottom"/>
            <w:hideMark/>
          </w:tcPr>
          <w:p w14:paraId="72962AFB"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1.72</w:t>
            </w:r>
          </w:p>
        </w:tc>
        <w:tc>
          <w:tcPr>
            <w:tcW w:w="526" w:type="pct"/>
            <w:noWrap/>
            <w:vAlign w:val="bottom"/>
            <w:hideMark/>
          </w:tcPr>
          <w:p w14:paraId="05FBD1E7"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0.00</w:t>
            </w:r>
          </w:p>
        </w:tc>
        <w:tc>
          <w:tcPr>
            <w:tcW w:w="644" w:type="pct"/>
            <w:noWrap/>
            <w:vAlign w:val="bottom"/>
            <w:hideMark/>
          </w:tcPr>
          <w:p w14:paraId="28B041FE"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1.22</w:t>
            </w:r>
          </w:p>
        </w:tc>
        <w:tc>
          <w:tcPr>
            <w:tcW w:w="552" w:type="pct"/>
            <w:noWrap/>
            <w:vAlign w:val="bottom"/>
            <w:hideMark/>
          </w:tcPr>
          <w:p w14:paraId="0CE07429"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46.67</w:t>
            </w:r>
          </w:p>
        </w:tc>
        <w:tc>
          <w:tcPr>
            <w:tcW w:w="572" w:type="pct"/>
            <w:noWrap/>
            <w:vAlign w:val="bottom"/>
            <w:hideMark/>
          </w:tcPr>
          <w:p w14:paraId="19D4F5EE"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6.17</w:t>
            </w:r>
          </w:p>
        </w:tc>
        <w:tc>
          <w:tcPr>
            <w:tcW w:w="461" w:type="pct"/>
            <w:noWrap/>
            <w:vAlign w:val="bottom"/>
            <w:hideMark/>
          </w:tcPr>
          <w:p w14:paraId="19EB654F"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8.70</w:t>
            </w:r>
          </w:p>
        </w:tc>
        <w:tc>
          <w:tcPr>
            <w:tcW w:w="474" w:type="pct"/>
            <w:noWrap/>
            <w:vAlign w:val="bottom"/>
            <w:hideMark/>
          </w:tcPr>
          <w:p w14:paraId="769A43DD"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8.46</w:t>
            </w:r>
          </w:p>
        </w:tc>
        <w:tc>
          <w:tcPr>
            <w:tcW w:w="358" w:type="pct"/>
            <w:vAlign w:val="bottom"/>
          </w:tcPr>
          <w:p w14:paraId="172A7005"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hAnsi="Arial" w:cs="Arial"/>
                <w:sz w:val="20"/>
                <w:szCs w:val="20"/>
              </w:rPr>
              <w:t>6.27</w:t>
            </w:r>
          </w:p>
        </w:tc>
      </w:tr>
      <w:tr w:rsidR="00F46753" w:rsidRPr="0057039D" w14:paraId="3C052431" w14:textId="77777777" w:rsidTr="0049507B">
        <w:trPr>
          <w:trHeight w:val="290"/>
        </w:trPr>
        <w:tc>
          <w:tcPr>
            <w:tcW w:w="359" w:type="pct"/>
            <w:noWrap/>
            <w:vAlign w:val="bottom"/>
            <w:hideMark/>
          </w:tcPr>
          <w:p w14:paraId="061CA2BF"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2015</w:t>
            </w:r>
          </w:p>
        </w:tc>
        <w:tc>
          <w:tcPr>
            <w:tcW w:w="613" w:type="pct"/>
            <w:noWrap/>
            <w:vAlign w:val="bottom"/>
            <w:hideMark/>
          </w:tcPr>
          <w:p w14:paraId="139C2406"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8.70</w:t>
            </w:r>
          </w:p>
        </w:tc>
        <w:tc>
          <w:tcPr>
            <w:tcW w:w="441" w:type="pct"/>
            <w:noWrap/>
            <w:vAlign w:val="bottom"/>
            <w:hideMark/>
          </w:tcPr>
          <w:p w14:paraId="681EBB37"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1.69</w:t>
            </w:r>
          </w:p>
        </w:tc>
        <w:tc>
          <w:tcPr>
            <w:tcW w:w="526" w:type="pct"/>
            <w:noWrap/>
            <w:vAlign w:val="bottom"/>
            <w:hideMark/>
          </w:tcPr>
          <w:p w14:paraId="7E01204B"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-3.66</w:t>
            </w:r>
          </w:p>
        </w:tc>
        <w:tc>
          <w:tcPr>
            <w:tcW w:w="644" w:type="pct"/>
            <w:noWrap/>
            <w:vAlign w:val="bottom"/>
            <w:hideMark/>
          </w:tcPr>
          <w:p w14:paraId="0C40CBFE"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1.20</w:t>
            </w:r>
          </w:p>
        </w:tc>
        <w:tc>
          <w:tcPr>
            <w:tcW w:w="552" w:type="pct"/>
            <w:noWrap/>
            <w:vAlign w:val="bottom"/>
            <w:hideMark/>
          </w:tcPr>
          <w:p w14:paraId="2CDE94BC"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9.09</w:t>
            </w:r>
          </w:p>
        </w:tc>
        <w:tc>
          <w:tcPr>
            <w:tcW w:w="572" w:type="pct"/>
            <w:noWrap/>
            <w:vAlign w:val="bottom"/>
            <w:hideMark/>
          </w:tcPr>
          <w:p w14:paraId="71FCB262"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-10.47</w:t>
            </w:r>
          </w:p>
        </w:tc>
        <w:tc>
          <w:tcPr>
            <w:tcW w:w="461" w:type="pct"/>
            <w:noWrap/>
            <w:vAlign w:val="bottom"/>
            <w:hideMark/>
          </w:tcPr>
          <w:p w14:paraId="06543B63"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34.00</w:t>
            </w:r>
          </w:p>
        </w:tc>
        <w:tc>
          <w:tcPr>
            <w:tcW w:w="474" w:type="pct"/>
            <w:noWrap/>
            <w:vAlign w:val="bottom"/>
            <w:hideMark/>
          </w:tcPr>
          <w:p w14:paraId="6876FA16"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7.80</w:t>
            </w:r>
          </w:p>
        </w:tc>
        <w:tc>
          <w:tcPr>
            <w:tcW w:w="358" w:type="pct"/>
            <w:vAlign w:val="bottom"/>
          </w:tcPr>
          <w:p w14:paraId="376515E1"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hAnsi="Arial" w:cs="Arial"/>
                <w:sz w:val="20"/>
                <w:szCs w:val="20"/>
              </w:rPr>
              <w:t>6.27</w:t>
            </w:r>
          </w:p>
        </w:tc>
      </w:tr>
      <w:tr w:rsidR="00F46753" w:rsidRPr="0057039D" w14:paraId="388DE1D4" w14:textId="77777777" w:rsidTr="0049507B">
        <w:trPr>
          <w:trHeight w:val="290"/>
        </w:trPr>
        <w:tc>
          <w:tcPr>
            <w:tcW w:w="359" w:type="pct"/>
            <w:noWrap/>
            <w:vAlign w:val="bottom"/>
            <w:hideMark/>
          </w:tcPr>
          <w:p w14:paraId="2C4A4245"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2016</w:t>
            </w:r>
          </w:p>
        </w:tc>
        <w:tc>
          <w:tcPr>
            <w:tcW w:w="613" w:type="pct"/>
            <w:noWrap/>
            <w:vAlign w:val="bottom"/>
            <w:hideMark/>
          </w:tcPr>
          <w:p w14:paraId="37DD1C12"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5.06</w:t>
            </w:r>
          </w:p>
        </w:tc>
        <w:tc>
          <w:tcPr>
            <w:tcW w:w="441" w:type="pct"/>
            <w:noWrap/>
            <w:vAlign w:val="bottom"/>
            <w:hideMark/>
          </w:tcPr>
          <w:p w14:paraId="388AB18F"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2.17</w:t>
            </w:r>
          </w:p>
        </w:tc>
        <w:tc>
          <w:tcPr>
            <w:tcW w:w="526" w:type="pct"/>
            <w:noWrap/>
            <w:vAlign w:val="bottom"/>
            <w:hideMark/>
          </w:tcPr>
          <w:p w14:paraId="3BCA9EAE"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-0.23</w:t>
            </w:r>
          </w:p>
        </w:tc>
        <w:tc>
          <w:tcPr>
            <w:tcW w:w="644" w:type="pct"/>
            <w:noWrap/>
            <w:vAlign w:val="bottom"/>
            <w:hideMark/>
          </w:tcPr>
          <w:p w14:paraId="673649FB"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-0.05</w:t>
            </w:r>
          </w:p>
        </w:tc>
        <w:tc>
          <w:tcPr>
            <w:tcW w:w="552" w:type="pct"/>
            <w:noWrap/>
            <w:vAlign w:val="bottom"/>
            <w:hideMark/>
          </w:tcPr>
          <w:p w14:paraId="28C11B0B"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0.67</w:t>
            </w:r>
          </w:p>
        </w:tc>
        <w:tc>
          <w:tcPr>
            <w:tcW w:w="572" w:type="pct"/>
            <w:noWrap/>
            <w:vAlign w:val="bottom"/>
            <w:hideMark/>
          </w:tcPr>
          <w:p w14:paraId="13374E50"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3.08</w:t>
            </w:r>
          </w:p>
        </w:tc>
        <w:tc>
          <w:tcPr>
            <w:tcW w:w="461" w:type="pct"/>
            <w:noWrap/>
            <w:vAlign w:val="bottom"/>
            <w:hideMark/>
          </w:tcPr>
          <w:p w14:paraId="4BC41A52"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-18.88</w:t>
            </w:r>
          </w:p>
        </w:tc>
        <w:tc>
          <w:tcPr>
            <w:tcW w:w="474" w:type="pct"/>
            <w:noWrap/>
            <w:vAlign w:val="bottom"/>
            <w:hideMark/>
          </w:tcPr>
          <w:p w14:paraId="3D328BAA"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4.99</w:t>
            </w:r>
          </w:p>
        </w:tc>
        <w:tc>
          <w:tcPr>
            <w:tcW w:w="358" w:type="pct"/>
            <w:vAlign w:val="bottom"/>
          </w:tcPr>
          <w:p w14:paraId="5724C45C"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hAnsi="Arial" w:cs="Arial"/>
                <w:sz w:val="20"/>
                <w:szCs w:val="20"/>
              </w:rPr>
              <w:t>6.38</w:t>
            </w:r>
          </w:p>
        </w:tc>
      </w:tr>
      <w:tr w:rsidR="00F46753" w:rsidRPr="0057039D" w14:paraId="4BB27CDD" w14:textId="77777777" w:rsidTr="0049507B">
        <w:trPr>
          <w:trHeight w:val="290"/>
        </w:trPr>
        <w:tc>
          <w:tcPr>
            <w:tcW w:w="359" w:type="pct"/>
            <w:noWrap/>
            <w:vAlign w:val="bottom"/>
            <w:hideMark/>
          </w:tcPr>
          <w:p w14:paraId="361D44C7"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2017</w:t>
            </w:r>
          </w:p>
        </w:tc>
        <w:tc>
          <w:tcPr>
            <w:tcW w:w="613" w:type="pct"/>
            <w:noWrap/>
            <w:vAlign w:val="bottom"/>
            <w:hideMark/>
          </w:tcPr>
          <w:p w14:paraId="1BE45A11"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2.84</w:t>
            </w:r>
          </w:p>
        </w:tc>
        <w:tc>
          <w:tcPr>
            <w:tcW w:w="441" w:type="pct"/>
            <w:noWrap/>
            <w:vAlign w:val="bottom"/>
            <w:hideMark/>
          </w:tcPr>
          <w:p w14:paraId="225FF480"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1.23</w:t>
            </w:r>
          </w:p>
        </w:tc>
        <w:tc>
          <w:tcPr>
            <w:tcW w:w="526" w:type="pct"/>
            <w:noWrap/>
            <w:vAlign w:val="bottom"/>
            <w:hideMark/>
          </w:tcPr>
          <w:p w14:paraId="5633A06D"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3.60</w:t>
            </w:r>
          </w:p>
        </w:tc>
        <w:tc>
          <w:tcPr>
            <w:tcW w:w="644" w:type="pct"/>
            <w:noWrap/>
            <w:vAlign w:val="bottom"/>
            <w:hideMark/>
          </w:tcPr>
          <w:p w14:paraId="159E4BD8"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1.27</w:t>
            </w:r>
          </w:p>
        </w:tc>
        <w:tc>
          <w:tcPr>
            <w:tcW w:w="552" w:type="pct"/>
            <w:noWrap/>
            <w:vAlign w:val="bottom"/>
            <w:hideMark/>
          </w:tcPr>
          <w:p w14:paraId="74D05390"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3.56</w:t>
            </w:r>
          </w:p>
        </w:tc>
        <w:tc>
          <w:tcPr>
            <w:tcW w:w="572" w:type="pct"/>
            <w:noWrap/>
            <w:vAlign w:val="bottom"/>
            <w:hideMark/>
          </w:tcPr>
          <w:p w14:paraId="7722C10E"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-6.65</w:t>
            </w:r>
          </w:p>
        </w:tc>
        <w:tc>
          <w:tcPr>
            <w:tcW w:w="461" w:type="pct"/>
            <w:noWrap/>
            <w:vAlign w:val="bottom"/>
            <w:hideMark/>
          </w:tcPr>
          <w:p w14:paraId="0B553F22"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7.95</w:t>
            </w:r>
          </w:p>
        </w:tc>
        <w:tc>
          <w:tcPr>
            <w:tcW w:w="474" w:type="pct"/>
            <w:noWrap/>
            <w:vAlign w:val="bottom"/>
            <w:hideMark/>
          </w:tcPr>
          <w:p w14:paraId="6063B75E"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9.19</w:t>
            </w:r>
          </w:p>
        </w:tc>
        <w:tc>
          <w:tcPr>
            <w:tcW w:w="358" w:type="pct"/>
            <w:vAlign w:val="bottom"/>
          </w:tcPr>
          <w:p w14:paraId="6C7E7DF1" w14:textId="77777777" w:rsidR="006A06F5" w:rsidRPr="0057039D" w:rsidRDefault="006A06F5"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hAnsi="Arial" w:cs="Arial"/>
                <w:sz w:val="20"/>
                <w:szCs w:val="20"/>
              </w:rPr>
              <w:t>6.62</w:t>
            </w:r>
          </w:p>
        </w:tc>
      </w:tr>
      <w:tr w:rsidR="00F46753" w:rsidRPr="0057039D" w14:paraId="28B628A4" w14:textId="77777777" w:rsidTr="0049507B">
        <w:trPr>
          <w:trHeight w:val="290"/>
        </w:trPr>
        <w:tc>
          <w:tcPr>
            <w:tcW w:w="359" w:type="pct"/>
            <w:noWrap/>
            <w:vAlign w:val="bottom"/>
          </w:tcPr>
          <w:p w14:paraId="0AB90FBD" w14:textId="01424F37"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2018</w:t>
            </w:r>
          </w:p>
        </w:tc>
        <w:tc>
          <w:tcPr>
            <w:tcW w:w="613" w:type="pct"/>
            <w:noWrap/>
            <w:vAlign w:val="bottom"/>
          </w:tcPr>
          <w:p w14:paraId="789D87F8" w14:textId="67E59AA3"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2.00</w:t>
            </w:r>
          </w:p>
        </w:tc>
        <w:tc>
          <w:tcPr>
            <w:tcW w:w="441" w:type="pct"/>
            <w:noWrap/>
            <w:vAlign w:val="bottom"/>
          </w:tcPr>
          <w:p w14:paraId="4E762BC8" w14:textId="6E6A5F1E"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1.19</w:t>
            </w:r>
          </w:p>
        </w:tc>
        <w:tc>
          <w:tcPr>
            <w:tcW w:w="526" w:type="pct"/>
            <w:noWrap/>
            <w:vAlign w:val="bottom"/>
          </w:tcPr>
          <w:p w14:paraId="267A66B5" w14:textId="01CFE987"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5.01</w:t>
            </w:r>
          </w:p>
        </w:tc>
        <w:tc>
          <w:tcPr>
            <w:tcW w:w="644" w:type="pct"/>
            <w:noWrap/>
            <w:vAlign w:val="bottom"/>
          </w:tcPr>
          <w:p w14:paraId="40C2F96F" w14:textId="203E9B9D"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1.86</w:t>
            </w:r>
          </w:p>
        </w:tc>
        <w:tc>
          <w:tcPr>
            <w:tcW w:w="552" w:type="pct"/>
            <w:noWrap/>
            <w:vAlign w:val="bottom"/>
          </w:tcPr>
          <w:p w14:paraId="12E7DC56" w14:textId="1CE49907"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2.92</w:t>
            </w:r>
          </w:p>
        </w:tc>
        <w:tc>
          <w:tcPr>
            <w:tcW w:w="572" w:type="pct"/>
            <w:noWrap/>
            <w:vAlign w:val="bottom"/>
          </w:tcPr>
          <w:p w14:paraId="63FC8DE1" w14:textId="08CF547F"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-2.05</w:t>
            </w:r>
          </w:p>
        </w:tc>
        <w:tc>
          <w:tcPr>
            <w:tcW w:w="461" w:type="pct"/>
            <w:noWrap/>
            <w:vAlign w:val="bottom"/>
          </w:tcPr>
          <w:p w14:paraId="6ADBEB3E" w14:textId="14E95365"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3.72</w:t>
            </w:r>
          </w:p>
        </w:tc>
        <w:tc>
          <w:tcPr>
            <w:tcW w:w="474" w:type="pct"/>
            <w:noWrap/>
            <w:vAlign w:val="bottom"/>
          </w:tcPr>
          <w:p w14:paraId="11DCA90E" w14:textId="56311990"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6.32</w:t>
            </w:r>
          </w:p>
        </w:tc>
        <w:tc>
          <w:tcPr>
            <w:tcW w:w="358" w:type="pct"/>
            <w:vAlign w:val="bottom"/>
          </w:tcPr>
          <w:p w14:paraId="594E378E" w14:textId="5B57824A" w:rsidR="007D4B93" w:rsidRPr="0057039D" w:rsidRDefault="007D4B93" w:rsidP="00B5276C">
            <w:pPr>
              <w:spacing w:after="0" w:line="240" w:lineRule="auto"/>
              <w:jc w:val="both"/>
              <w:rPr>
                <w:rFonts w:ascii="Arial" w:hAnsi="Arial" w:cs="Arial"/>
                <w:sz w:val="20"/>
                <w:szCs w:val="20"/>
              </w:rPr>
            </w:pPr>
            <w:r w:rsidRPr="0057039D">
              <w:rPr>
                <w:rFonts w:ascii="Arial" w:eastAsia="Times New Roman" w:hAnsi="Arial" w:cs="Arial"/>
                <w:kern w:val="0"/>
                <w:sz w:val="20"/>
                <w:szCs w:val="20"/>
                <w:lang w:eastAsia="en-IN"/>
                <w14:ligatures w14:val="none"/>
              </w:rPr>
              <w:t>6.47</w:t>
            </w:r>
          </w:p>
        </w:tc>
      </w:tr>
      <w:tr w:rsidR="00F46753" w:rsidRPr="0057039D" w14:paraId="4688C833" w14:textId="77777777" w:rsidTr="0049507B">
        <w:trPr>
          <w:trHeight w:val="290"/>
        </w:trPr>
        <w:tc>
          <w:tcPr>
            <w:tcW w:w="359" w:type="pct"/>
            <w:noWrap/>
            <w:vAlign w:val="bottom"/>
          </w:tcPr>
          <w:p w14:paraId="56FFBCD1" w14:textId="646A0221"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2019</w:t>
            </w:r>
          </w:p>
        </w:tc>
        <w:tc>
          <w:tcPr>
            <w:tcW w:w="613" w:type="pct"/>
            <w:noWrap/>
            <w:vAlign w:val="bottom"/>
          </w:tcPr>
          <w:p w14:paraId="2BFB9477" w14:textId="51E0896C"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10.04</w:t>
            </w:r>
          </w:p>
        </w:tc>
        <w:tc>
          <w:tcPr>
            <w:tcW w:w="441" w:type="pct"/>
            <w:noWrap/>
            <w:vAlign w:val="bottom"/>
          </w:tcPr>
          <w:p w14:paraId="6D7B5A57" w14:textId="2E04E17B"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4.27</w:t>
            </w:r>
          </w:p>
        </w:tc>
        <w:tc>
          <w:tcPr>
            <w:tcW w:w="526" w:type="pct"/>
            <w:noWrap/>
            <w:vAlign w:val="bottom"/>
          </w:tcPr>
          <w:p w14:paraId="3045B5E4" w14:textId="0C4AFF15"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4.55</w:t>
            </w:r>
          </w:p>
        </w:tc>
        <w:tc>
          <w:tcPr>
            <w:tcW w:w="644" w:type="pct"/>
            <w:noWrap/>
            <w:vAlign w:val="bottom"/>
          </w:tcPr>
          <w:p w14:paraId="7D5FB016" w14:textId="34288279"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1.14</w:t>
            </w:r>
          </w:p>
        </w:tc>
        <w:tc>
          <w:tcPr>
            <w:tcW w:w="552" w:type="pct"/>
            <w:noWrap/>
            <w:vAlign w:val="bottom"/>
          </w:tcPr>
          <w:p w14:paraId="5AF3280A" w14:textId="11223E7E"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-8.62</w:t>
            </w:r>
          </w:p>
        </w:tc>
        <w:tc>
          <w:tcPr>
            <w:tcW w:w="572" w:type="pct"/>
            <w:noWrap/>
            <w:vAlign w:val="bottom"/>
          </w:tcPr>
          <w:p w14:paraId="3D53DEC6" w14:textId="69C415C7"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-15.06</w:t>
            </w:r>
          </w:p>
        </w:tc>
        <w:tc>
          <w:tcPr>
            <w:tcW w:w="461" w:type="pct"/>
            <w:noWrap/>
            <w:vAlign w:val="bottom"/>
          </w:tcPr>
          <w:p w14:paraId="55963549" w14:textId="2284615D"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37.95</w:t>
            </w:r>
          </w:p>
        </w:tc>
        <w:tc>
          <w:tcPr>
            <w:tcW w:w="474" w:type="pct"/>
            <w:noWrap/>
            <w:vAlign w:val="bottom"/>
          </w:tcPr>
          <w:p w14:paraId="7E8705CF" w14:textId="4B98001B"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7.19</w:t>
            </w:r>
          </w:p>
        </w:tc>
        <w:tc>
          <w:tcPr>
            <w:tcW w:w="358" w:type="pct"/>
            <w:vAlign w:val="bottom"/>
          </w:tcPr>
          <w:p w14:paraId="1CF6E3AB" w14:textId="0BF7494F" w:rsidR="007D4B93" w:rsidRPr="0057039D" w:rsidRDefault="007D4B93" w:rsidP="00B5276C">
            <w:pPr>
              <w:spacing w:after="0" w:line="240" w:lineRule="auto"/>
              <w:jc w:val="both"/>
              <w:rPr>
                <w:rFonts w:ascii="Arial" w:hAnsi="Arial" w:cs="Arial"/>
                <w:sz w:val="20"/>
                <w:szCs w:val="20"/>
              </w:rPr>
            </w:pPr>
            <w:r w:rsidRPr="0057039D">
              <w:rPr>
                <w:rFonts w:ascii="Arial" w:hAnsi="Arial" w:cs="Arial"/>
                <w:sz w:val="20"/>
                <w:szCs w:val="20"/>
              </w:rPr>
              <w:t>5.69</w:t>
            </w:r>
          </w:p>
        </w:tc>
      </w:tr>
      <w:tr w:rsidR="00F46753" w:rsidRPr="0057039D" w14:paraId="52092771" w14:textId="77777777" w:rsidTr="0049507B">
        <w:trPr>
          <w:trHeight w:val="290"/>
        </w:trPr>
        <w:tc>
          <w:tcPr>
            <w:tcW w:w="359" w:type="pct"/>
            <w:noWrap/>
            <w:vAlign w:val="bottom"/>
          </w:tcPr>
          <w:p w14:paraId="007B45E1" w14:textId="4A81F50B" w:rsidR="007D4B93" w:rsidRPr="0057039D" w:rsidRDefault="007D4B93" w:rsidP="00B5276C">
            <w:pPr>
              <w:spacing w:after="0" w:line="240" w:lineRule="auto"/>
              <w:jc w:val="both"/>
              <w:rPr>
                <w:rFonts w:ascii="Arial" w:eastAsia="Times New Roman" w:hAnsi="Arial" w:cs="Arial"/>
                <w:b/>
                <w:bCs/>
                <w:kern w:val="0"/>
                <w:sz w:val="20"/>
                <w:szCs w:val="20"/>
                <w:lang w:eastAsia="en-IN"/>
                <w14:ligatures w14:val="none"/>
              </w:rPr>
            </w:pPr>
            <w:r w:rsidRPr="0057039D">
              <w:rPr>
                <w:rFonts w:ascii="Arial" w:eastAsia="Times New Roman" w:hAnsi="Arial" w:cs="Arial"/>
                <w:kern w:val="0"/>
                <w:sz w:val="20"/>
                <w:szCs w:val="20"/>
                <w:lang w:eastAsia="en-IN"/>
                <w14:ligatures w14:val="none"/>
              </w:rPr>
              <w:t>2020</w:t>
            </w:r>
          </w:p>
        </w:tc>
        <w:tc>
          <w:tcPr>
            <w:tcW w:w="613" w:type="pct"/>
            <w:noWrap/>
            <w:vAlign w:val="bottom"/>
          </w:tcPr>
          <w:p w14:paraId="14346BCF" w14:textId="76A2931D"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-27.61</w:t>
            </w:r>
          </w:p>
        </w:tc>
        <w:tc>
          <w:tcPr>
            <w:tcW w:w="441" w:type="pct"/>
            <w:noWrap/>
            <w:vAlign w:val="bottom"/>
          </w:tcPr>
          <w:p w14:paraId="3A1897FA" w14:textId="55F2C3DC"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3.71</w:t>
            </w:r>
          </w:p>
        </w:tc>
        <w:tc>
          <w:tcPr>
            <w:tcW w:w="526" w:type="pct"/>
            <w:noWrap/>
            <w:vAlign w:val="bottom"/>
          </w:tcPr>
          <w:p w14:paraId="5C8B2481" w14:textId="5D50A05E"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-20.75</w:t>
            </w:r>
          </w:p>
        </w:tc>
        <w:tc>
          <w:tcPr>
            <w:tcW w:w="644" w:type="pct"/>
            <w:noWrap/>
            <w:vAlign w:val="bottom"/>
          </w:tcPr>
          <w:p w14:paraId="61044061" w14:textId="792520FE"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1.76</w:t>
            </w:r>
          </w:p>
        </w:tc>
        <w:tc>
          <w:tcPr>
            <w:tcW w:w="552" w:type="pct"/>
            <w:noWrap/>
            <w:vAlign w:val="bottom"/>
          </w:tcPr>
          <w:p w14:paraId="7B26A911" w14:textId="206FB13A"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7.86</w:t>
            </w:r>
          </w:p>
        </w:tc>
        <w:tc>
          <w:tcPr>
            <w:tcW w:w="572" w:type="pct"/>
            <w:noWrap/>
            <w:vAlign w:val="bottom"/>
          </w:tcPr>
          <w:p w14:paraId="1530FD98" w14:textId="77EEC8C5"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-9.26</w:t>
            </w:r>
          </w:p>
        </w:tc>
        <w:tc>
          <w:tcPr>
            <w:tcW w:w="461" w:type="pct"/>
            <w:noWrap/>
            <w:vAlign w:val="bottom"/>
          </w:tcPr>
          <w:p w14:paraId="137D72FC" w14:textId="1E993171"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-12.02</w:t>
            </w:r>
          </w:p>
        </w:tc>
        <w:tc>
          <w:tcPr>
            <w:tcW w:w="474" w:type="pct"/>
            <w:noWrap/>
            <w:vAlign w:val="bottom"/>
          </w:tcPr>
          <w:p w14:paraId="4EB0DAF4" w14:textId="760A89E6"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3.81</w:t>
            </w:r>
          </w:p>
        </w:tc>
        <w:tc>
          <w:tcPr>
            <w:tcW w:w="358" w:type="pct"/>
            <w:vAlign w:val="bottom"/>
          </w:tcPr>
          <w:p w14:paraId="71CC9F53" w14:textId="2EFF2AB0" w:rsidR="007D4B93" w:rsidRPr="0057039D" w:rsidRDefault="007D4B93" w:rsidP="00B5276C">
            <w:pPr>
              <w:spacing w:after="0" w:line="240" w:lineRule="auto"/>
              <w:jc w:val="both"/>
              <w:rPr>
                <w:rFonts w:ascii="Arial" w:hAnsi="Arial" w:cs="Arial"/>
                <w:sz w:val="20"/>
                <w:szCs w:val="20"/>
              </w:rPr>
            </w:pPr>
            <w:r w:rsidRPr="0057039D">
              <w:rPr>
                <w:rFonts w:ascii="Arial" w:hAnsi="Arial" w:cs="Arial"/>
                <w:sz w:val="20"/>
                <w:szCs w:val="20"/>
              </w:rPr>
              <w:t>5.81</w:t>
            </w:r>
          </w:p>
        </w:tc>
      </w:tr>
      <w:tr w:rsidR="00F46753" w:rsidRPr="0057039D" w14:paraId="493862DB" w14:textId="77777777" w:rsidTr="0049507B">
        <w:trPr>
          <w:trHeight w:val="290"/>
        </w:trPr>
        <w:tc>
          <w:tcPr>
            <w:tcW w:w="359" w:type="pct"/>
            <w:noWrap/>
            <w:vAlign w:val="bottom"/>
          </w:tcPr>
          <w:p w14:paraId="40120F0F" w14:textId="2E46B93D"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2021</w:t>
            </w:r>
          </w:p>
        </w:tc>
        <w:tc>
          <w:tcPr>
            <w:tcW w:w="613" w:type="pct"/>
            <w:noWrap/>
            <w:vAlign w:val="bottom"/>
          </w:tcPr>
          <w:p w14:paraId="0FD88027" w14:textId="6A3D1939"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4.83</w:t>
            </w:r>
          </w:p>
        </w:tc>
        <w:tc>
          <w:tcPr>
            <w:tcW w:w="441" w:type="pct"/>
            <w:noWrap/>
            <w:vAlign w:val="bottom"/>
          </w:tcPr>
          <w:p w14:paraId="7FB91980" w14:textId="44FD8529"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2.93</w:t>
            </w:r>
          </w:p>
        </w:tc>
        <w:tc>
          <w:tcPr>
            <w:tcW w:w="526" w:type="pct"/>
            <w:noWrap/>
            <w:vAlign w:val="bottom"/>
          </w:tcPr>
          <w:p w14:paraId="7B1452AF" w14:textId="4CEA4D7C"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6.33</w:t>
            </w:r>
          </w:p>
        </w:tc>
        <w:tc>
          <w:tcPr>
            <w:tcW w:w="644" w:type="pct"/>
            <w:noWrap/>
            <w:vAlign w:val="bottom"/>
          </w:tcPr>
          <w:p w14:paraId="55B50845" w14:textId="53AB74D9"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1.22</w:t>
            </w:r>
          </w:p>
        </w:tc>
        <w:tc>
          <w:tcPr>
            <w:tcW w:w="552" w:type="pct"/>
            <w:noWrap/>
            <w:vAlign w:val="bottom"/>
          </w:tcPr>
          <w:p w14:paraId="1D0B3348" w14:textId="73AE8AC3"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-3.11</w:t>
            </w:r>
          </w:p>
        </w:tc>
        <w:tc>
          <w:tcPr>
            <w:tcW w:w="572" w:type="pct"/>
            <w:noWrap/>
            <w:vAlign w:val="bottom"/>
          </w:tcPr>
          <w:p w14:paraId="51BB206E" w14:textId="0A0E4431"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9.19</w:t>
            </w:r>
          </w:p>
        </w:tc>
        <w:tc>
          <w:tcPr>
            <w:tcW w:w="461" w:type="pct"/>
            <w:noWrap/>
            <w:vAlign w:val="bottom"/>
          </w:tcPr>
          <w:p w14:paraId="12D7FC8C" w14:textId="605ACE43"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17.16</w:t>
            </w:r>
          </w:p>
        </w:tc>
        <w:tc>
          <w:tcPr>
            <w:tcW w:w="474" w:type="pct"/>
            <w:noWrap/>
            <w:vAlign w:val="bottom"/>
          </w:tcPr>
          <w:p w14:paraId="03003F82" w14:textId="16A7BE9A"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5.23</w:t>
            </w:r>
          </w:p>
        </w:tc>
        <w:tc>
          <w:tcPr>
            <w:tcW w:w="358" w:type="pct"/>
            <w:vAlign w:val="bottom"/>
          </w:tcPr>
          <w:p w14:paraId="3B911DFE" w14:textId="1C158CA5" w:rsidR="007D4B93" w:rsidRPr="0057039D" w:rsidRDefault="007D4B93" w:rsidP="00B5276C">
            <w:pPr>
              <w:spacing w:after="0" w:line="240" w:lineRule="auto"/>
              <w:jc w:val="both"/>
              <w:rPr>
                <w:rFonts w:ascii="Arial" w:hAnsi="Arial" w:cs="Arial"/>
                <w:sz w:val="20"/>
                <w:szCs w:val="20"/>
              </w:rPr>
            </w:pPr>
            <w:r w:rsidRPr="0057039D">
              <w:rPr>
                <w:rFonts w:ascii="Arial" w:hAnsi="Arial" w:cs="Arial"/>
                <w:sz w:val="20"/>
                <w:szCs w:val="20"/>
              </w:rPr>
              <w:t>5.29</w:t>
            </w:r>
          </w:p>
        </w:tc>
      </w:tr>
      <w:tr w:rsidR="00F46753" w:rsidRPr="0057039D" w14:paraId="402BDD1B" w14:textId="77777777" w:rsidTr="0049507B">
        <w:trPr>
          <w:trHeight w:val="290"/>
        </w:trPr>
        <w:tc>
          <w:tcPr>
            <w:tcW w:w="359" w:type="pct"/>
            <w:noWrap/>
            <w:vAlign w:val="bottom"/>
          </w:tcPr>
          <w:p w14:paraId="25502052" w14:textId="05DD4A3F"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2022</w:t>
            </w:r>
          </w:p>
        </w:tc>
        <w:tc>
          <w:tcPr>
            <w:tcW w:w="613" w:type="pct"/>
            <w:noWrap/>
            <w:vAlign w:val="bottom"/>
          </w:tcPr>
          <w:p w14:paraId="0DF4A523" w14:textId="1575FFC6"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-1.02</w:t>
            </w:r>
          </w:p>
        </w:tc>
        <w:tc>
          <w:tcPr>
            <w:tcW w:w="441" w:type="pct"/>
            <w:noWrap/>
            <w:vAlign w:val="bottom"/>
          </w:tcPr>
          <w:p w14:paraId="7D6FDDCB" w14:textId="6AE1FAD6"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2.48</w:t>
            </w:r>
          </w:p>
        </w:tc>
        <w:tc>
          <w:tcPr>
            <w:tcW w:w="526" w:type="pct"/>
            <w:noWrap/>
            <w:vAlign w:val="bottom"/>
          </w:tcPr>
          <w:p w14:paraId="479CA9C9" w14:textId="7A60CE83"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-4.87</w:t>
            </w:r>
          </w:p>
        </w:tc>
        <w:tc>
          <w:tcPr>
            <w:tcW w:w="644" w:type="pct"/>
            <w:noWrap/>
            <w:vAlign w:val="bottom"/>
          </w:tcPr>
          <w:p w14:paraId="602A535E" w14:textId="6EDF71A5"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3.64</w:t>
            </w:r>
          </w:p>
        </w:tc>
        <w:tc>
          <w:tcPr>
            <w:tcW w:w="552" w:type="pct"/>
            <w:noWrap/>
            <w:vAlign w:val="bottom"/>
          </w:tcPr>
          <w:p w14:paraId="52CD24B3" w14:textId="0D17C31A"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-0.45</w:t>
            </w:r>
          </w:p>
        </w:tc>
        <w:tc>
          <w:tcPr>
            <w:tcW w:w="572" w:type="pct"/>
            <w:noWrap/>
            <w:vAlign w:val="bottom"/>
          </w:tcPr>
          <w:p w14:paraId="2305C1EB" w14:textId="63A46F2B"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-18.83</w:t>
            </w:r>
          </w:p>
        </w:tc>
        <w:tc>
          <w:tcPr>
            <w:tcW w:w="461" w:type="pct"/>
            <w:noWrap/>
            <w:vAlign w:val="bottom"/>
          </w:tcPr>
          <w:p w14:paraId="2EED1483" w14:textId="3649C3B3"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0.01</w:t>
            </w:r>
          </w:p>
        </w:tc>
        <w:tc>
          <w:tcPr>
            <w:tcW w:w="474" w:type="pct"/>
            <w:noWrap/>
            <w:vAlign w:val="bottom"/>
          </w:tcPr>
          <w:p w14:paraId="5838ABA6" w14:textId="46E58644"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6.07</w:t>
            </w:r>
          </w:p>
        </w:tc>
        <w:tc>
          <w:tcPr>
            <w:tcW w:w="358" w:type="pct"/>
            <w:vAlign w:val="bottom"/>
          </w:tcPr>
          <w:p w14:paraId="111DD2C7" w14:textId="18026381" w:rsidR="007D4B93" w:rsidRPr="0057039D" w:rsidRDefault="007D4B93" w:rsidP="00B5276C">
            <w:pPr>
              <w:spacing w:after="0" w:line="240" w:lineRule="auto"/>
              <w:jc w:val="both"/>
              <w:rPr>
                <w:rFonts w:ascii="Arial" w:hAnsi="Arial" w:cs="Arial"/>
                <w:sz w:val="20"/>
                <w:szCs w:val="20"/>
              </w:rPr>
            </w:pPr>
            <w:r w:rsidRPr="0057039D">
              <w:rPr>
                <w:rFonts w:ascii="Arial" w:hAnsi="Arial" w:cs="Arial"/>
                <w:sz w:val="20"/>
                <w:szCs w:val="20"/>
              </w:rPr>
              <w:t>4.30</w:t>
            </w:r>
          </w:p>
        </w:tc>
      </w:tr>
      <w:tr w:rsidR="00F46753" w:rsidRPr="0057039D" w14:paraId="00E087A5" w14:textId="77777777" w:rsidTr="0049507B">
        <w:trPr>
          <w:trHeight w:val="290"/>
        </w:trPr>
        <w:tc>
          <w:tcPr>
            <w:tcW w:w="359" w:type="pct"/>
            <w:noWrap/>
            <w:vAlign w:val="bottom"/>
          </w:tcPr>
          <w:p w14:paraId="7DCD98D9" w14:textId="7719A0ED"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2023</w:t>
            </w:r>
          </w:p>
        </w:tc>
        <w:tc>
          <w:tcPr>
            <w:tcW w:w="613" w:type="pct"/>
            <w:noWrap/>
            <w:vAlign w:val="bottom"/>
          </w:tcPr>
          <w:p w14:paraId="536DA641" w14:textId="2D3FA4C0"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-56.08</w:t>
            </w:r>
          </w:p>
        </w:tc>
        <w:tc>
          <w:tcPr>
            <w:tcW w:w="441" w:type="pct"/>
            <w:noWrap/>
            <w:vAlign w:val="bottom"/>
          </w:tcPr>
          <w:p w14:paraId="308FFB55" w14:textId="7DA02EF1"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8.53</w:t>
            </w:r>
          </w:p>
        </w:tc>
        <w:tc>
          <w:tcPr>
            <w:tcW w:w="526" w:type="pct"/>
            <w:noWrap/>
            <w:vAlign w:val="bottom"/>
          </w:tcPr>
          <w:p w14:paraId="1EA9BF0D" w14:textId="0535C18D"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-11.83</w:t>
            </w:r>
          </w:p>
        </w:tc>
        <w:tc>
          <w:tcPr>
            <w:tcW w:w="644" w:type="pct"/>
            <w:noWrap/>
            <w:vAlign w:val="bottom"/>
          </w:tcPr>
          <w:p w14:paraId="71132106" w14:textId="7A4EE435"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3.77</w:t>
            </w:r>
          </w:p>
        </w:tc>
        <w:tc>
          <w:tcPr>
            <w:tcW w:w="552" w:type="pct"/>
            <w:noWrap/>
            <w:vAlign w:val="bottom"/>
          </w:tcPr>
          <w:p w14:paraId="05E6D214" w14:textId="3F95C8FA"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3.88</w:t>
            </w:r>
          </w:p>
        </w:tc>
        <w:tc>
          <w:tcPr>
            <w:tcW w:w="572" w:type="pct"/>
            <w:noWrap/>
            <w:vAlign w:val="bottom"/>
          </w:tcPr>
          <w:p w14:paraId="0315F627" w14:textId="704C053F"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6.50</w:t>
            </w:r>
          </w:p>
        </w:tc>
        <w:tc>
          <w:tcPr>
            <w:tcW w:w="461" w:type="pct"/>
            <w:noWrap/>
            <w:vAlign w:val="bottom"/>
          </w:tcPr>
          <w:p w14:paraId="7C90E213" w14:textId="2F722757"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-6.40</w:t>
            </w:r>
          </w:p>
        </w:tc>
        <w:tc>
          <w:tcPr>
            <w:tcW w:w="474" w:type="pct"/>
            <w:noWrap/>
            <w:vAlign w:val="bottom"/>
          </w:tcPr>
          <w:p w14:paraId="5D3DDDAD" w14:textId="495C0C59" w:rsidR="007D4B93" w:rsidRPr="0057039D" w:rsidRDefault="007D4B93" w:rsidP="00B5276C">
            <w:pPr>
              <w:spacing w:after="0" w:line="240" w:lineRule="auto"/>
              <w:jc w:val="both"/>
              <w:rPr>
                <w:rFonts w:ascii="Arial" w:eastAsia="Times New Roman" w:hAnsi="Arial" w:cs="Arial"/>
                <w:kern w:val="0"/>
                <w:sz w:val="20"/>
                <w:szCs w:val="20"/>
                <w:lang w:eastAsia="en-IN"/>
                <w14:ligatures w14:val="none"/>
              </w:rPr>
            </w:pPr>
            <w:r w:rsidRPr="0057039D">
              <w:rPr>
                <w:rFonts w:ascii="Arial" w:eastAsia="Times New Roman" w:hAnsi="Arial" w:cs="Arial"/>
                <w:kern w:val="0"/>
                <w:sz w:val="20"/>
                <w:szCs w:val="20"/>
                <w:lang w:eastAsia="en-IN"/>
                <w14:ligatures w14:val="none"/>
              </w:rPr>
              <w:t>7.47</w:t>
            </w:r>
          </w:p>
        </w:tc>
        <w:tc>
          <w:tcPr>
            <w:tcW w:w="358" w:type="pct"/>
            <w:vAlign w:val="bottom"/>
          </w:tcPr>
          <w:p w14:paraId="296E2079" w14:textId="2A1F5E7A" w:rsidR="007D4B93" w:rsidRPr="0057039D" w:rsidRDefault="007D4B93" w:rsidP="00B5276C">
            <w:pPr>
              <w:spacing w:after="0" w:line="240" w:lineRule="auto"/>
              <w:jc w:val="both"/>
              <w:rPr>
                <w:rFonts w:ascii="Arial" w:hAnsi="Arial" w:cs="Arial"/>
                <w:sz w:val="20"/>
                <w:szCs w:val="20"/>
              </w:rPr>
            </w:pPr>
            <w:r w:rsidRPr="0057039D">
              <w:rPr>
                <w:rFonts w:ascii="Arial" w:hAnsi="Arial" w:cs="Arial"/>
                <w:sz w:val="20"/>
                <w:szCs w:val="20"/>
              </w:rPr>
              <w:t>3.78</w:t>
            </w:r>
          </w:p>
        </w:tc>
      </w:tr>
    </w:tbl>
    <w:p w14:paraId="186207E8" w14:textId="77777777" w:rsidR="006A06F5" w:rsidRPr="0057039D" w:rsidRDefault="006A06F5" w:rsidP="00B5276C">
      <w:pPr>
        <w:spacing w:line="360" w:lineRule="auto"/>
        <w:jc w:val="both"/>
        <w:rPr>
          <w:rFonts w:ascii="Arial" w:hAnsi="Arial" w:cs="Arial"/>
          <w:sz w:val="20"/>
          <w:szCs w:val="20"/>
        </w:rPr>
      </w:pPr>
      <w:r w:rsidRPr="0057039D">
        <w:rPr>
          <w:rFonts w:ascii="Arial" w:hAnsi="Arial" w:cs="Arial"/>
          <w:sz w:val="20"/>
          <w:szCs w:val="20"/>
        </w:rPr>
        <w:t>The unit of the figure is expressed in percentage</w:t>
      </w:r>
    </w:p>
    <w:p w14:paraId="5586F77A" w14:textId="77777777" w:rsidR="006A06F5" w:rsidRPr="0057039D" w:rsidRDefault="006A06F5" w:rsidP="00B5276C">
      <w:pPr>
        <w:spacing w:line="360" w:lineRule="auto"/>
        <w:jc w:val="both"/>
        <w:rPr>
          <w:rFonts w:ascii="Arial" w:hAnsi="Arial" w:cs="Arial"/>
          <w:sz w:val="20"/>
          <w:szCs w:val="20"/>
        </w:rPr>
      </w:pPr>
      <w:r w:rsidRPr="0057039D">
        <w:rPr>
          <w:rFonts w:ascii="Arial" w:hAnsi="Arial" w:cs="Arial"/>
          <w:b/>
          <w:bCs/>
          <w:sz w:val="20"/>
          <w:szCs w:val="20"/>
        </w:rPr>
        <w:t>Source:</w:t>
      </w:r>
      <w:r w:rsidRPr="0057039D">
        <w:rPr>
          <w:rFonts w:ascii="Arial" w:hAnsi="Arial" w:cs="Arial"/>
          <w:sz w:val="20"/>
          <w:szCs w:val="20"/>
        </w:rPr>
        <w:t xml:space="preserve"> BAHS, 2024</w:t>
      </w:r>
    </w:p>
    <w:p w14:paraId="7D8C3511" w14:textId="548F3CF3" w:rsidR="00210E0B" w:rsidRPr="0057039D" w:rsidRDefault="00210E0B" w:rsidP="00B5276C">
      <w:pPr>
        <w:spacing w:line="360" w:lineRule="auto"/>
        <w:jc w:val="both"/>
        <w:rPr>
          <w:rFonts w:ascii="Arial" w:hAnsi="Arial" w:cs="Arial"/>
          <w:sz w:val="20"/>
          <w:szCs w:val="20"/>
        </w:rPr>
      </w:pPr>
      <w:r w:rsidRPr="0057039D">
        <w:rPr>
          <w:rFonts w:ascii="Arial" w:hAnsi="Arial" w:cs="Arial"/>
          <w:sz w:val="20"/>
          <w:szCs w:val="20"/>
        </w:rPr>
        <w:t xml:space="preserve">The region’s per capita availability is 71 g/day which is below the all-India average </w:t>
      </w:r>
      <w:r w:rsidR="00DC4E07" w:rsidRPr="0057039D">
        <w:rPr>
          <w:rFonts w:ascii="Arial" w:hAnsi="Arial" w:cs="Arial"/>
          <w:sz w:val="20"/>
          <w:szCs w:val="20"/>
        </w:rPr>
        <w:t xml:space="preserve">of </w:t>
      </w:r>
      <w:r w:rsidRPr="0057039D">
        <w:rPr>
          <w:rFonts w:ascii="Arial" w:hAnsi="Arial" w:cs="Arial"/>
          <w:sz w:val="20"/>
          <w:szCs w:val="20"/>
        </w:rPr>
        <w:t xml:space="preserve">471 g/day (BAHS, 2024). Figure 2 illustrates significant variations in the growth rate of per capita availability in Arunachal Pradesh, exhibiting outliers. A large negative dip was seen in 2011 and a major spike in 2013, which is likely to be because of the poor infrastructure.  A relatively stronger and stable positive growth rate was seen in the states of Mizoram and Sikkim. These two states show strong positive growth from 2014 to 2016. Sikkim has shown </w:t>
      </w:r>
      <w:r w:rsidR="00CF3682" w:rsidRPr="0057039D">
        <w:rPr>
          <w:rFonts w:ascii="Arial" w:hAnsi="Arial" w:cs="Arial"/>
          <w:sz w:val="20"/>
          <w:szCs w:val="20"/>
        </w:rPr>
        <w:t xml:space="preserve">a </w:t>
      </w:r>
      <w:r w:rsidRPr="0057039D">
        <w:rPr>
          <w:rFonts w:ascii="Arial" w:hAnsi="Arial" w:cs="Arial"/>
          <w:sz w:val="20"/>
          <w:szCs w:val="20"/>
        </w:rPr>
        <w:t xml:space="preserve">better-than-average steady growth rate compared to the other north-eastern states over the years. The </w:t>
      </w:r>
      <w:r w:rsidR="0057039D" w:rsidRPr="0057039D">
        <w:rPr>
          <w:rFonts w:ascii="Arial" w:hAnsi="Arial" w:cs="Arial"/>
          <w:sz w:val="20"/>
          <w:szCs w:val="20"/>
        </w:rPr>
        <w:t xml:space="preserve">states of Assam, Tripura, Manipur, Meghalaya, and Nagaland have shown </w:t>
      </w:r>
    </w:p>
    <w:p w14:paraId="7640681E" w14:textId="77777777" w:rsidR="00210E0B" w:rsidRPr="0057039D" w:rsidRDefault="00210E0B" w:rsidP="00B5276C">
      <w:pPr>
        <w:spacing w:line="360" w:lineRule="auto"/>
        <w:jc w:val="both"/>
        <w:rPr>
          <w:rFonts w:ascii="Arial" w:hAnsi="Arial" w:cs="Arial"/>
          <w:sz w:val="20"/>
          <w:szCs w:val="20"/>
        </w:rPr>
      </w:pPr>
      <w:r w:rsidRPr="0057039D">
        <w:rPr>
          <w:rFonts w:ascii="Arial" w:hAnsi="Arial" w:cs="Arial"/>
          <w:noProof/>
          <w:sz w:val="20"/>
          <w:szCs w:val="20"/>
        </w:rPr>
        <w:lastRenderedPageBreak/>
        <w:drawing>
          <wp:inline distT="0" distB="0" distL="0" distR="0" wp14:anchorId="075D39A9" wp14:editId="1E79BEF2">
            <wp:extent cx="5731510" cy="3352165"/>
            <wp:effectExtent l="0" t="0" r="2540" b="635"/>
            <wp:docPr id="1116545035" name="Chart 1">
              <a:extLst xmlns:a="http://schemas.openxmlformats.org/drawingml/2006/main">
                <a:ext uri="{FF2B5EF4-FFF2-40B4-BE49-F238E27FC236}">
                  <a16:creationId xmlns:a16="http://schemas.microsoft.com/office/drawing/2014/main" id="{9B34CF7D-71BF-FB33-5264-C21FD22C1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E74C0C" w14:textId="1DC7DB39" w:rsidR="00210E0B" w:rsidRPr="0057039D" w:rsidRDefault="00210E0B" w:rsidP="00B5276C">
      <w:pPr>
        <w:spacing w:line="360" w:lineRule="auto"/>
        <w:jc w:val="both"/>
        <w:rPr>
          <w:rFonts w:ascii="Arial" w:hAnsi="Arial" w:cs="Arial"/>
          <w:sz w:val="20"/>
          <w:szCs w:val="20"/>
        </w:rPr>
      </w:pPr>
      <w:r w:rsidRPr="0057039D">
        <w:rPr>
          <w:rFonts w:ascii="Arial" w:hAnsi="Arial" w:cs="Arial"/>
          <w:b/>
          <w:bCs/>
          <w:sz w:val="20"/>
          <w:szCs w:val="20"/>
        </w:rPr>
        <w:t>Fig</w:t>
      </w:r>
      <w:r w:rsidR="00CF3682" w:rsidRPr="0057039D">
        <w:rPr>
          <w:rFonts w:ascii="Arial" w:hAnsi="Arial" w:cs="Arial"/>
          <w:b/>
          <w:bCs/>
          <w:sz w:val="20"/>
          <w:szCs w:val="20"/>
        </w:rPr>
        <w:t>ure</w:t>
      </w:r>
      <w:r w:rsidRPr="0057039D">
        <w:rPr>
          <w:rFonts w:ascii="Arial" w:hAnsi="Arial" w:cs="Arial"/>
          <w:b/>
          <w:bCs/>
          <w:sz w:val="20"/>
          <w:szCs w:val="20"/>
        </w:rPr>
        <w:t xml:space="preserve"> 2: </w:t>
      </w:r>
      <w:r w:rsidRPr="0057039D">
        <w:rPr>
          <w:rFonts w:ascii="Arial" w:hAnsi="Arial" w:cs="Arial"/>
          <w:sz w:val="20"/>
          <w:szCs w:val="20"/>
        </w:rPr>
        <w:t>Per capita growth rate of northeastern states and India during 2010-2023</w:t>
      </w:r>
    </w:p>
    <w:p w14:paraId="5FC4BEC5" w14:textId="54296EDF" w:rsidR="00210E0B" w:rsidRPr="0057039D" w:rsidRDefault="00210E0B" w:rsidP="00B5276C">
      <w:pPr>
        <w:spacing w:line="360" w:lineRule="auto"/>
        <w:jc w:val="both"/>
        <w:rPr>
          <w:rFonts w:ascii="Arial" w:hAnsi="Arial" w:cs="Arial"/>
          <w:sz w:val="20"/>
          <w:szCs w:val="20"/>
        </w:rPr>
      </w:pPr>
      <w:r w:rsidRPr="0057039D">
        <w:rPr>
          <w:rFonts w:ascii="Arial" w:hAnsi="Arial" w:cs="Arial"/>
          <w:sz w:val="20"/>
          <w:szCs w:val="20"/>
        </w:rPr>
        <w:t xml:space="preserve">moderate growth with fewer extreme highs and lows over the years. </w:t>
      </w:r>
      <w:r w:rsidR="0060689A" w:rsidRPr="0057039D">
        <w:rPr>
          <w:rFonts w:ascii="Arial" w:hAnsi="Arial" w:cs="Arial"/>
          <w:sz w:val="20"/>
          <w:szCs w:val="20"/>
        </w:rPr>
        <w:t xml:space="preserve">On the other hand, </w:t>
      </w:r>
      <w:r w:rsidRPr="0057039D">
        <w:rPr>
          <w:rFonts w:ascii="Arial" w:hAnsi="Arial" w:cs="Arial"/>
          <w:sz w:val="20"/>
          <w:szCs w:val="20"/>
        </w:rPr>
        <w:t xml:space="preserve">India’s national growth rate shows a </w:t>
      </w:r>
      <w:r w:rsidR="00CF3682" w:rsidRPr="0057039D">
        <w:rPr>
          <w:rFonts w:ascii="Arial" w:hAnsi="Arial" w:cs="Arial"/>
          <w:sz w:val="20"/>
          <w:szCs w:val="20"/>
        </w:rPr>
        <w:t>positive trend</w:t>
      </w:r>
      <w:r w:rsidRPr="0057039D">
        <w:rPr>
          <w:rFonts w:ascii="Arial" w:hAnsi="Arial" w:cs="Arial"/>
          <w:sz w:val="20"/>
          <w:szCs w:val="20"/>
        </w:rPr>
        <w:t xml:space="preserve"> throughout the study period, reflecting smoother national-level economic trends in milk production. Overall, there is high variability in the growth rate in the northeastern states, in contrast to the minor year-to-year changes at the national level.</w:t>
      </w:r>
    </w:p>
    <w:p w14:paraId="2A4E9D9C" w14:textId="34F66051" w:rsidR="00F655A7" w:rsidRPr="0057039D" w:rsidRDefault="00C6093C" w:rsidP="00B5276C">
      <w:pPr>
        <w:spacing w:line="360" w:lineRule="auto"/>
        <w:jc w:val="both"/>
        <w:rPr>
          <w:rFonts w:ascii="Arial" w:hAnsi="Arial" w:cs="Arial"/>
          <w:b/>
          <w:bCs/>
          <w:sz w:val="20"/>
          <w:szCs w:val="20"/>
        </w:rPr>
      </w:pPr>
      <w:r w:rsidRPr="0057039D">
        <w:rPr>
          <w:rFonts w:ascii="Arial" w:hAnsi="Arial" w:cs="Arial"/>
          <w:b/>
          <w:bCs/>
          <w:sz w:val="20"/>
          <w:szCs w:val="20"/>
        </w:rPr>
        <w:t xml:space="preserve">3.2 </w:t>
      </w:r>
      <w:r w:rsidR="00AD0643" w:rsidRPr="0057039D">
        <w:rPr>
          <w:rFonts w:ascii="Arial" w:hAnsi="Arial" w:cs="Arial"/>
          <w:b/>
          <w:bCs/>
          <w:sz w:val="20"/>
          <w:szCs w:val="20"/>
        </w:rPr>
        <w:t>Challenges</w:t>
      </w:r>
      <w:r w:rsidR="00F7115F" w:rsidRPr="0057039D">
        <w:rPr>
          <w:rFonts w:ascii="Arial" w:hAnsi="Arial" w:cs="Arial"/>
          <w:b/>
          <w:bCs/>
          <w:sz w:val="20"/>
          <w:szCs w:val="20"/>
        </w:rPr>
        <w:t xml:space="preserve"> in the dairy sector</w:t>
      </w:r>
    </w:p>
    <w:p w14:paraId="2CE9F180" w14:textId="4A6B8E9F" w:rsidR="005D6929" w:rsidRPr="0057039D" w:rsidRDefault="006A29C5" w:rsidP="00B5276C">
      <w:pPr>
        <w:spacing w:line="360" w:lineRule="auto"/>
        <w:jc w:val="both"/>
        <w:rPr>
          <w:rFonts w:ascii="Arial" w:hAnsi="Arial" w:cs="Arial"/>
          <w:sz w:val="20"/>
          <w:szCs w:val="20"/>
        </w:rPr>
      </w:pPr>
      <w:r w:rsidRPr="0057039D">
        <w:rPr>
          <w:rFonts w:ascii="Arial" w:hAnsi="Arial" w:cs="Arial"/>
          <w:sz w:val="20"/>
          <w:szCs w:val="20"/>
        </w:rPr>
        <w:t>Inadequate dry fodder is the main constraint faced by farmers, followed by the high cost of concentrate feed and transportation</w:t>
      </w:r>
      <w:r w:rsidR="00D8081C" w:rsidRPr="0057039D">
        <w:rPr>
          <w:rFonts w:ascii="Arial" w:hAnsi="Arial" w:cs="Arial"/>
          <w:sz w:val="20"/>
          <w:szCs w:val="20"/>
        </w:rPr>
        <w:t xml:space="preserve"> due to the geographical constraints </w:t>
      </w:r>
      <w:r w:rsidR="00315FFD" w:rsidRPr="0057039D">
        <w:rPr>
          <w:rFonts w:ascii="Arial" w:hAnsi="Arial" w:cs="Arial"/>
          <w:sz w:val="20"/>
          <w:szCs w:val="20"/>
        </w:rPr>
        <w:t>of the region</w:t>
      </w:r>
      <w:r w:rsidRPr="0057039D">
        <w:rPr>
          <w:rFonts w:ascii="Arial" w:hAnsi="Arial" w:cs="Arial"/>
          <w:sz w:val="20"/>
          <w:szCs w:val="20"/>
        </w:rPr>
        <w:t>. Other major feeding challenges includ</w:t>
      </w:r>
      <w:r w:rsidR="00A20949" w:rsidRPr="0057039D">
        <w:rPr>
          <w:rFonts w:ascii="Arial" w:hAnsi="Arial" w:cs="Arial"/>
          <w:sz w:val="20"/>
          <w:szCs w:val="20"/>
        </w:rPr>
        <w:t>e</w:t>
      </w:r>
      <w:r w:rsidR="00315FFD" w:rsidRPr="0057039D">
        <w:rPr>
          <w:rFonts w:ascii="Arial" w:hAnsi="Arial" w:cs="Arial"/>
          <w:sz w:val="20"/>
          <w:szCs w:val="20"/>
        </w:rPr>
        <w:t xml:space="preserve"> a</w:t>
      </w:r>
      <w:r w:rsidR="00A20949" w:rsidRPr="0057039D">
        <w:rPr>
          <w:rFonts w:ascii="Arial" w:hAnsi="Arial" w:cs="Arial"/>
          <w:sz w:val="20"/>
          <w:szCs w:val="20"/>
        </w:rPr>
        <w:t xml:space="preserve"> </w:t>
      </w:r>
      <w:r w:rsidRPr="0057039D">
        <w:rPr>
          <w:rFonts w:ascii="Arial" w:hAnsi="Arial" w:cs="Arial"/>
          <w:sz w:val="20"/>
          <w:szCs w:val="20"/>
        </w:rPr>
        <w:t>lack of knowledge about balanced feeding (</w:t>
      </w:r>
      <w:proofErr w:type="spellStart"/>
      <w:r w:rsidR="00917F09" w:rsidRPr="0057039D">
        <w:rPr>
          <w:rFonts w:ascii="Arial" w:hAnsi="Arial" w:cs="Arial"/>
          <w:sz w:val="20"/>
          <w:szCs w:val="20"/>
        </w:rPr>
        <w:t>Khoveio</w:t>
      </w:r>
      <w:proofErr w:type="spellEnd"/>
      <w:r w:rsidR="00703A29" w:rsidRPr="0057039D">
        <w:rPr>
          <w:rFonts w:ascii="Arial" w:hAnsi="Arial" w:cs="Arial"/>
          <w:sz w:val="20"/>
          <w:szCs w:val="20"/>
        </w:rPr>
        <w:t xml:space="preserve"> </w:t>
      </w:r>
      <w:r w:rsidR="003E444D" w:rsidRPr="0057039D">
        <w:rPr>
          <w:rFonts w:ascii="Arial" w:hAnsi="Arial" w:cs="Arial"/>
          <w:sz w:val="20"/>
          <w:szCs w:val="20"/>
        </w:rPr>
        <w:t>et al.</w:t>
      </w:r>
      <w:r w:rsidRPr="0057039D">
        <w:rPr>
          <w:rFonts w:ascii="Arial" w:hAnsi="Arial" w:cs="Arial"/>
          <w:sz w:val="20"/>
          <w:szCs w:val="20"/>
        </w:rPr>
        <w:t xml:space="preserve"> 2012; </w:t>
      </w:r>
      <w:proofErr w:type="spellStart"/>
      <w:r w:rsidRPr="0057039D">
        <w:rPr>
          <w:rFonts w:ascii="Arial" w:hAnsi="Arial" w:cs="Arial"/>
          <w:sz w:val="20"/>
          <w:szCs w:val="20"/>
        </w:rPr>
        <w:t>Lalrinsangpuii</w:t>
      </w:r>
      <w:proofErr w:type="spellEnd"/>
      <w:r w:rsidRPr="0057039D">
        <w:rPr>
          <w:rFonts w:ascii="Arial" w:hAnsi="Arial" w:cs="Arial"/>
          <w:sz w:val="20"/>
          <w:szCs w:val="20"/>
        </w:rPr>
        <w:t xml:space="preserve"> </w:t>
      </w:r>
      <w:r w:rsidR="003E444D" w:rsidRPr="0057039D">
        <w:rPr>
          <w:rFonts w:ascii="Arial" w:hAnsi="Arial" w:cs="Arial"/>
          <w:sz w:val="20"/>
          <w:szCs w:val="20"/>
        </w:rPr>
        <w:t>et al.</w:t>
      </w:r>
      <w:r w:rsidRPr="0057039D">
        <w:rPr>
          <w:rFonts w:ascii="Arial" w:hAnsi="Arial" w:cs="Arial"/>
          <w:sz w:val="20"/>
          <w:szCs w:val="20"/>
        </w:rPr>
        <w:t xml:space="preserve"> 2016; Singh </w:t>
      </w:r>
      <w:r w:rsidR="003E444D" w:rsidRPr="0057039D">
        <w:rPr>
          <w:rFonts w:ascii="Arial" w:hAnsi="Arial" w:cs="Arial"/>
          <w:sz w:val="20"/>
          <w:szCs w:val="20"/>
        </w:rPr>
        <w:t>et al.</w:t>
      </w:r>
      <w:r w:rsidRPr="0057039D">
        <w:rPr>
          <w:rFonts w:ascii="Arial" w:hAnsi="Arial" w:cs="Arial"/>
          <w:sz w:val="20"/>
          <w:szCs w:val="20"/>
        </w:rPr>
        <w:t xml:space="preserve"> 2021), and the non-adoption of quality feed and scientific management practices.</w:t>
      </w:r>
      <w:r w:rsidR="003930AD" w:rsidRPr="0057039D">
        <w:rPr>
          <w:rFonts w:ascii="Arial" w:hAnsi="Arial" w:cs="Arial"/>
          <w:sz w:val="20"/>
          <w:szCs w:val="20"/>
        </w:rPr>
        <w:t xml:space="preserve"> </w:t>
      </w:r>
      <w:r w:rsidRPr="0057039D">
        <w:rPr>
          <w:rFonts w:ascii="Arial" w:hAnsi="Arial" w:cs="Arial"/>
          <w:sz w:val="20"/>
          <w:szCs w:val="20"/>
        </w:rPr>
        <w:t xml:space="preserve">Another significant issue is the limited use of improved breeds, along with the unavailability and inaccessibility of quality feed (Singh </w:t>
      </w:r>
      <w:r w:rsidR="003E444D" w:rsidRPr="0057039D">
        <w:rPr>
          <w:rFonts w:ascii="Arial" w:hAnsi="Arial" w:cs="Arial"/>
          <w:sz w:val="20"/>
          <w:szCs w:val="20"/>
        </w:rPr>
        <w:t>et al.</w:t>
      </w:r>
      <w:r w:rsidRPr="0057039D">
        <w:rPr>
          <w:rFonts w:ascii="Arial" w:hAnsi="Arial" w:cs="Arial"/>
          <w:sz w:val="20"/>
          <w:szCs w:val="20"/>
        </w:rPr>
        <w:t xml:space="preserve"> 2012). The inability of breeds like </w:t>
      </w:r>
      <w:proofErr w:type="spellStart"/>
      <w:r w:rsidRPr="0057039D">
        <w:rPr>
          <w:rFonts w:ascii="Arial" w:hAnsi="Arial" w:cs="Arial"/>
          <w:sz w:val="20"/>
          <w:szCs w:val="20"/>
        </w:rPr>
        <w:t>Gir</w:t>
      </w:r>
      <w:proofErr w:type="spellEnd"/>
      <w:r w:rsidRPr="0057039D">
        <w:rPr>
          <w:rFonts w:ascii="Arial" w:hAnsi="Arial" w:cs="Arial"/>
          <w:sz w:val="20"/>
          <w:szCs w:val="20"/>
        </w:rPr>
        <w:t xml:space="preserve">, </w:t>
      </w:r>
      <w:proofErr w:type="spellStart"/>
      <w:r w:rsidRPr="0057039D">
        <w:rPr>
          <w:rFonts w:ascii="Arial" w:hAnsi="Arial" w:cs="Arial"/>
          <w:sz w:val="20"/>
          <w:szCs w:val="20"/>
        </w:rPr>
        <w:t>Tharparkar</w:t>
      </w:r>
      <w:proofErr w:type="spellEnd"/>
      <w:r w:rsidRPr="0057039D">
        <w:rPr>
          <w:rFonts w:ascii="Arial" w:hAnsi="Arial" w:cs="Arial"/>
          <w:sz w:val="20"/>
          <w:szCs w:val="20"/>
        </w:rPr>
        <w:t xml:space="preserve">, and Sahiwal to adapt to different climatic conditions also presents challenges in rearing high milk-yielding animals. Limited AI services, especially among non-member cooperative farmers, pose a major challenge, as timely insemination is crucial for dairy cows to optimize reproductive efficiency by breeding at the right time in their </w:t>
      </w:r>
      <w:proofErr w:type="spellStart"/>
      <w:r w:rsidRPr="0057039D">
        <w:rPr>
          <w:rFonts w:ascii="Arial" w:hAnsi="Arial" w:cs="Arial"/>
          <w:sz w:val="20"/>
          <w:szCs w:val="20"/>
        </w:rPr>
        <w:t>estrous</w:t>
      </w:r>
      <w:proofErr w:type="spellEnd"/>
      <w:r w:rsidRPr="0057039D">
        <w:rPr>
          <w:rFonts w:ascii="Arial" w:hAnsi="Arial" w:cs="Arial"/>
          <w:sz w:val="20"/>
          <w:szCs w:val="20"/>
        </w:rPr>
        <w:t xml:space="preserve"> cycle. This enhances conception rates, reduces calving intervals, and boosts milk production, supporting overall herd productivity and profitability. Besides low surplus production by farmers, inadequate marketing infrastructure and an inefficient milk delivery system force producers to sell their milk at low prices through existing co-operatives, as they have few options to sell directly to consumers. Moreover, many cooperative member farmers have not received services beyond milk procurement. Fluctuations in milk prices also remain a major constraint for farmers (Singh </w:t>
      </w:r>
      <w:r w:rsidR="003E444D" w:rsidRPr="0057039D">
        <w:rPr>
          <w:rFonts w:ascii="Arial" w:hAnsi="Arial" w:cs="Arial"/>
          <w:sz w:val="20"/>
          <w:szCs w:val="20"/>
        </w:rPr>
        <w:t>et al.</w:t>
      </w:r>
      <w:r w:rsidRPr="0057039D">
        <w:rPr>
          <w:rFonts w:ascii="Arial" w:hAnsi="Arial" w:cs="Arial"/>
          <w:sz w:val="20"/>
          <w:szCs w:val="20"/>
        </w:rPr>
        <w:t xml:space="preserve"> 2021</w:t>
      </w:r>
      <w:r w:rsidR="0082297D" w:rsidRPr="0057039D">
        <w:rPr>
          <w:rFonts w:ascii="Arial" w:hAnsi="Arial" w:cs="Arial"/>
          <w:sz w:val="20"/>
          <w:szCs w:val="20"/>
        </w:rPr>
        <w:t xml:space="preserve">; </w:t>
      </w:r>
      <w:proofErr w:type="spellStart"/>
      <w:r w:rsidRPr="0057039D">
        <w:rPr>
          <w:rFonts w:ascii="Arial" w:hAnsi="Arial" w:cs="Arial"/>
          <w:sz w:val="20"/>
          <w:szCs w:val="20"/>
        </w:rPr>
        <w:t>Lalrinsangpuii</w:t>
      </w:r>
      <w:proofErr w:type="spellEnd"/>
      <w:r w:rsidRPr="0057039D">
        <w:rPr>
          <w:rFonts w:ascii="Arial" w:hAnsi="Arial" w:cs="Arial"/>
          <w:sz w:val="20"/>
          <w:szCs w:val="20"/>
        </w:rPr>
        <w:t xml:space="preserve"> </w:t>
      </w:r>
      <w:r w:rsidR="003E444D" w:rsidRPr="0057039D">
        <w:rPr>
          <w:rFonts w:ascii="Arial" w:hAnsi="Arial" w:cs="Arial"/>
          <w:sz w:val="20"/>
          <w:szCs w:val="20"/>
        </w:rPr>
        <w:t>et al.</w:t>
      </w:r>
      <w:r w:rsidRPr="0057039D">
        <w:rPr>
          <w:rFonts w:ascii="Arial" w:hAnsi="Arial" w:cs="Arial"/>
          <w:sz w:val="20"/>
          <w:szCs w:val="20"/>
        </w:rPr>
        <w:t xml:space="preserve"> 2016). Cooperatives face issues such as inadequate infrastructure and high transportation costs. Besides low milk production, most member farmers supply only surplus milk to </w:t>
      </w:r>
      <w:r w:rsidRPr="0057039D">
        <w:rPr>
          <w:rFonts w:ascii="Arial" w:hAnsi="Arial" w:cs="Arial"/>
          <w:sz w:val="20"/>
          <w:szCs w:val="20"/>
        </w:rPr>
        <w:lastRenderedPageBreak/>
        <w:t xml:space="preserve">cooperatives, which often results in processing plants importing raw milk from other states, creating financial burdens due to transportation costs. </w:t>
      </w:r>
      <w:proofErr w:type="spellStart"/>
      <w:r w:rsidRPr="0057039D">
        <w:rPr>
          <w:rFonts w:ascii="Arial" w:hAnsi="Arial" w:cs="Arial"/>
          <w:sz w:val="20"/>
          <w:szCs w:val="20"/>
        </w:rPr>
        <w:t>Sirohi’s</w:t>
      </w:r>
      <w:proofErr w:type="spellEnd"/>
      <w:r w:rsidRPr="0057039D">
        <w:rPr>
          <w:rFonts w:ascii="Arial" w:hAnsi="Arial" w:cs="Arial"/>
          <w:sz w:val="20"/>
          <w:szCs w:val="20"/>
        </w:rPr>
        <w:t xml:space="preserve"> (2009) study noted that necessary institutional and infrastructural support mechanisms have not been implemented, and a comprehensive business and management plan is lacking in cooperatives. The entire value chain faces challenges, with consumers perceiving locally packaged milk as lacking quality. Consequently, some consumers have shifted to raw milk consumption but continue to encounter problems such as </w:t>
      </w:r>
      <w:proofErr w:type="gramStart"/>
      <w:r w:rsidRPr="0057039D">
        <w:rPr>
          <w:rFonts w:ascii="Arial" w:hAnsi="Arial" w:cs="Arial"/>
          <w:sz w:val="20"/>
          <w:szCs w:val="20"/>
        </w:rPr>
        <w:t>poor</w:t>
      </w:r>
      <w:r w:rsidR="00E432EC" w:rsidRPr="0057039D">
        <w:rPr>
          <w:rFonts w:ascii="Arial" w:hAnsi="Arial" w:cs="Arial"/>
          <w:sz w:val="20"/>
          <w:szCs w:val="20"/>
        </w:rPr>
        <w:t xml:space="preserve"> </w:t>
      </w:r>
      <w:r w:rsidRPr="0057039D">
        <w:rPr>
          <w:rFonts w:ascii="Arial" w:hAnsi="Arial" w:cs="Arial"/>
          <w:sz w:val="20"/>
          <w:szCs w:val="20"/>
        </w:rPr>
        <w:t>quality</w:t>
      </w:r>
      <w:proofErr w:type="gramEnd"/>
      <w:r w:rsidRPr="0057039D">
        <w:rPr>
          <w:rFonts w:ascii="Arial" w:hAnsi="Arial" w:cs="Arial"/>
          <w:sz w:val="20"/>
          <w:szCs w:val="20"/>
        </w:rPr>
        <w:t xml:space="preserve"> control, increased adulteration, and foul odo</w:t>
      </w:r>
      <w:r w:rsidR="00612728" w:rsidRPr="0057039D">
        <w:rPr>
          <w:rFonts w:ascii="Arial" w:hAnsi="Arial" w:cs="Arial"/>
          <w:sz w:val="20"/>
          <w:szCs w:val="20"/>
        </w:rPr>
        <w:t>u</w:t>
      </w:r>
      <w:r w:rsidRPr="0057039D">
        <w:rPr>
          <w:rFonts w:ascii="Arial" w:hAnsi="Arial" w:cs="Arial"/>
          <w:sz w:val="20"/>
          <w:szCs w:val="20"/>
        </w:rPr>
        <w:t>rs, ultimately leading to a preference for UHT milk imported from outside the northeastern states. This adulteration issue is often linked to low milk production despite high demand.</w:t>
      </w:r>
      <w:r w:rsidR="00C818D5" w:rsidRPr="0057039D">
        <w:rPr>
          <w:rFonts w:ascii="Arial" w:hAnsi="Arial" w:cs="Arial"/>
          <w:sz w:val="20"/>
          <w:szCs w:val="20"/>
        </w:rPr>
        <w:t xml:space="preserve"> </w:t>
      </w:r>
    </w:p>
    <w:p w14:paraId="164104E5" w14:textId="2C93E14E" w:rsidR="003904A4" w:rsidRPr="0057039D" w:rsidRDefault="00C57817" w:rsidP="00B5276C">
      <w:pPr>
        <w:pStyle w:val="ListParagraph"/>
        <w:numPr>
          <w:ilvl w:val="0"/>
          <w:numId w:val="2"/>
        </w:numPr>
        <w:spacing w:line="360" w:lineRule="auto"/>
        <w:jc w:val="both"/>
        <w:rPr>
          <w:rFonts w:ascii="Arial" w:hAnsi="Arial" w:cs="Arial"/>
          <w:b/>
          <w:bCs/>
        </w:rPr>
      </w:pPr>
      <w:r w:rsidRPr="0057039D">
        <w:rPr>
          <w:rFonts w:ascii="Arial" w:hAnsi="Arial" w:cs="Arial"/>
          <w:b/>
          <w:bCs/>
        </w:rPr>
        <w:t>CONCLUSION</w:t>
      </w:r>
    </w:p>
    <w:p w14:paraId="7AB38D8C" w14:textId="2142F249" w:rsidR="0018755F" w:rsidRPr="0057039D" w:rsidRDefault="006A29C5" w:rsidP="00B5276C">
      <w:pPr>
        <w:spacing w:line="360" w:lineRule="auto"/>
        <w:jc w:val="both"/>
        <w:rPr>
          <w:rFonts w:ascii="Arial" w:hAnsi="Arial" w:cs="Arial"/>
          <w:sz w:val="20"/>
          <w:szCs w:val="20"/>
        </w:rPr>
      </w:pPr>
      <w:r w:rsidRPr="0057039D">
        <w:rPr>
          <w:rFonts w:ascii="Arial" w:hAnsi="Arial" w:cs="Arial"/>
          <w:sz w:val="20"/>
          <w:szCs w:val="20"/>
        </w:rPr>
        <w:t xml:space="preserve">The </w:t>
      </w:r>
      <w:r w:rsidR="006F5BD7" w:rsidRPr="0057039D">
        <w:rPr>
          <w:rFonts w:ascii="Arial" w:hAnsi="Arial" w:cs="Arial"/>
          <w:sz w:val="20"/>
          <w:szCs w:val="20"/>
        </w:rPr>
        <w:t>landscape of</w:t>
      </w:r>
      <w:r w:rsidR="00097646" w:rsidRPr="0057039D">
        <w:rPr>
          <w:rFonts w:ascii="Arial" w:hAnsi="Arial" w:cs="Arial"/>
          <w:sz w:val="20"/>
          <w:szCs w:val="20"/>
        </w:rPr>
        <w:t xml:space="preserve"> the </w:t>
      </w:r>
      <w:r w:rsidRPr="0057039D">
        <w:rPr>
          <w:rFonts w:ascii="Arial" w:hAnsi="Arial" w:cs="Arial"/>
          <w:sz w:val="20"/>
          <w:szCs w:val="20"/>
        </w:rPr>
        <w:t xml:space="preserve">dairy sector in Northeast India </w:t>
      </w:r>
      <w:r w:rsidR="00861234" w:rsidRPr="0057039D">
        <w:rPr>
          <w:rFonts w:ascii="Arial" w:hAnsi="Arial" w:cs="Arial"/>
          <w:sz w:val="20"/>
          <w:szCs w:val="20"/>
        </w:rPr>
        <w:t>consists of</w:t>
      </w:r>
      <w:r w:rsidRPr="0057039D">
        <w:rPr>
          <w:rFonts w:ascii="Arial" w:hAnsi="Arial" w:cs="Arial"/>
          <w:sz w:val="20"/>
          <w:szCs w:val="20"/>
        </w:rPr>
        <w:t xml:space="preserve"> both challenges and promising opportunities. The region’s natural resources and increasing demand for dairy products provide a strong foundation for growth. However, there are significant gaps in infrastructure, low productivity, and reliance on milk imports from other areas, which create obstacles. With more government support, technological innovations, and the development of cooperative models, the Northeast has the potential to become a self-sufficient and competitive dairy hub. </w:t>
      </w:r>
      <w:r w:rsidR="0090556C" w:rsidRPr="0057039D">
        <w:rPr>
          <w:rFonts w:ascii="Arial" w:hAnsi="Arial" w:cs="Arial"/>
          <w:sz w:val="20"/>
          <w:szCs w:val="20"/>
        </w:rPr>
        <w:t xml:space="preserve">By tackling infrastructure and productivity issues, the region can transform its dairy industry, supporting rural livelihoods and boosting regional economic growth. </w:t>
      </w:r>
    </w:p>
    <w:p w14:paraId="7FDCEBA9" w14:textId="471B1A4A" w:rsidR="00C23A8F" w:rsidRPr="0057039D" w:rsidRDefault="00C23A8F" w:rsidP="00C27E26">
      <w:pPr>
        <w:pStyle w:val="ListParagraph"/>
        <w:numPr>
          <w:ilvl w:val="0"/>
          <w:numId w:val="2"/>
        </w:numPr>
        <w:spacing w:line="360" w:lineRule="auto"/>
        <w:jc w:val="both"/>
        <w:rPr>
          <w:rFonts w:ascii="Arial" w:hAnsi="Arial" w:cs="Arial"/>
          <w:b/>
          <w:bCs/>
        </w:rPr>
      </w:pPr>
      <w:r w:rsidRPr="0057039D">
        <w:rPr>
          <w:rFonts w:ascii="Arial" w:hAnsi="Arial" w:cs="Arial"/>
          <w:b/>
          <w:bCs/>
        </w:rPr>
        <w:t>P</w:t>
      </w:r>
      <w:r w:rsidR="00C27E26" w:rsidRPr="0057039D">
        <w:rPr>
          <w:rFonts w:ascii="Arial" w:hAnsi="Arial" w:cs="Arial"/>
          <w:b/>
          <w:bCs/>
        </w:rPr>
        <w:t>OLICY IMPLICATIONS</w:t>
      </w:r>
    </w:p>
    <w:p w14:paraId="655AFC69" w14:textId="78C05278" w:rsidR="00A6600E" w:rsidRPr="0057039D" w:rsidRDefault="00C23A8F" w:rsidP="00B5276C">
      <w:pPr>
        <w:spacing w:line="360" w:lineRule="auto"/>
        <w:jc w:val="both"/>
        <w:rPr>
          <w:rFonts w:ascii="Arial" w:hAnsi="Arial" w:cs="Arial"/>
          <w:b/>
          <w:bCs/>
        </w:rPr>
      </w:pPr>
      <w:r w:rsidRPr="0057039D">
        <w:rPr>
          <w:rFonts w:ascii="Arial" w:hAnsi="Arial" w:cs="Arial"/>
          <w:sz w:val="20"/>
          <w:szCs w:val="20"/>
        </w:rPr>
        <w:t>There is a need for a multi-sectoral approach that involves experts from different fields to improve the dairy sector in the region by improving the genetic makeup of the animal, creating awareness about the government policies and subsidies for enhancing the livelihoods of the farmers, and better management approaches like feeding and housing</w:t>
      </w:r>
      <w:r w:rsidR="00221E56" w:rsidRPr="0057039D">
        <w:rPr>
          <w:rFonts w:ascii="Arial" w:hAnsi="Arial" w:cs="Arial"/>
          <w:sz w:val="20"/>
          <w:szCs w:val="20"/>
        </w:rPr>
        <w:t>,</w:t>
      </w:r>
      <w:r w:rsidRPr="0057039D">
        <w:rPr>
          <w:rFonts w:ascii="Arial" w:hAnsi="Arial" w:cs="Arial"/>
          <w:sz w:val="20"/>
          <w:szCs w:val="20"/>
        </w:rPr>
        <w:t xml:space="preserve"> which are in line with the region’s climatic conditions. </w:t>
      </w:r>
    </w:p>
    <w:p w14:paraId="2574D213" w14:textId="77777777" w:rsidR="00CD431E" w:rsidRPr="0057039D" w:rsidRDefault="00CD431E" w:rsidP="00CD431E">
      <w:pPr>
        <w:spacing w:after="200" w:line="276" w:lineRule="auto"/>
        <w:jc w:val="both"/>
        <w:outlineLvl w:val="0"/>
        <w:rPr>
          <w:rFonts w:ascii="Arial" w:eastAsia="Times New Roman" w:hAnsi="Arial" w:cs="Arial"/>
          <w:kern w:val="0"/>
          <w:lang w:val="en-GB" w:eastAsia="en-GB"/>
          <w14:ligatures w14:val="none"/>
        </w:rPr>
      </w:pPr>
      <w:r w:rsidRPr="0057039D">
        <w:rPr>
          <w:rFonts w:ascii="Arial" w:eastAsia="Times New Roman" w:hAnsi="Arial" w:cs="Arial"/>
          <w:b/>
          <w:bCs/>
          <w:kern w:val="0"/>
          <w:lang w:val="en-GB" w:eastAsia="en-GB"/>
          <w14:ligatures w14:val="none"/>
        </w:rPr>
        <w:t>COMPETING INTERESTS DISCLAIMER:</w:t>
      </w:r>
    </w:p>
    <w:p w14:paraId="0DABEC43" w14:textId="34CB57AB" w:rsidR="00CD431E" w:rsidRPr="0057039D" w:rsidRDefault="00CD431E" w:rsidP="00CD431E">
      <w:pPr>
        <w:spacing w:after="200" w:line="276" w:lineRule="auto"/>
        <w:rPr>
          <w:rFonts w:ascii="Arial" w:eastAsia="Times New Roman" w:hAnsi="Arial" w:cs="Arial"/>
          <w:kern w:val="0"/>
          <w:lang w:val="en-GB" w:eastAsia="en-GB"/>
          <w14:ligatures w14:val="none"/>
        </w:rPr>
      </w:pPr>
      <w:r w:rsidRPr="0057039D">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7EF194E" w14:textId="2AAAAB8A" w:rsidR="00C44839" w:rsidRPr="0057039D" w:rsidRDefault="00C44839" w:rsidP="00CD431E">
      <w:pPr>
        <w:spacing w:after="200" w:line="276" w:lineRule="auto"/>
        <w:rPr>
          <w:rFonts w:ascii="Arial" w:eastAsia="Times New Roman" w:hAnsi="Arial" w:cs="Arial"/>
          <w:kern w:val="0"/>
          <w:lang w:val="en-GB" w:eastAsia="en-GB"/>
          <w14:ligatures w14:val="none"/>
        </w:rPr>
      </w:pPr>
    </w:p>
    <w:p w14:paraId="0445002B" w14:textId="77777777" w:rsidR="00C44839" w:rsidRPr="0057039D" w:rsidRDefault="00C44839" w:rsidP="00C44839">
      <w:pPr>
        <w:rPr>
          <w:rFonts w:ascii="Arial" w:eastAsia="Calibri" w:hAnsi="Arial" w:cs="Arial"/>
          <w:highlight w:val="yellow"/>
          <w:lang w:val="en-US"/>
        </w:rPr>
      </w:pPr>
      <w:bookmarkStart w:id="1" w:name="_Hlk197682619"/>
      <w:bookmarkStart w:id="2" w:name="_Hlk180402183"/>
      <w:bookmarkStart w:id="3" w:name="_Hlk183680988"/>
      <w:bookmarkStart w:id="4" w:name="_Hlk197351200"/>
      <w:r w:rsidRPr="0057039D">
        <w:rPr>
          <w:rFonts w:ascii="Arial" w:eastAsia="Calibri" w:hAnsi="Arial" w:cs="Arial"/>
          <w:highlight w:val="yellow"/>
          <w:lang w:val="en-US"/>
        </w:rPr>
        <w:t>Disclaimer (Artificial intelligence)</w:t>
      </w:r>
    </w:p>
    <w:p w14:paraId="66243115" w14:textId="77777777" w:rsidR="00C44839" w:rsidRPr="0057039D" w:rsidRDefault="00C44839" w:rsidP="00C44839">
      <w:pPr>
        <w:rPr>
          <w:rFonts w:ascii="Arial" w:eastAsia="Calibri" w:hAnsi="Arial" w:cs="Arial"/>
          <w:highlight w:val="yellow"/>
          <w:lang w:val="en-US"/>
        </w:rPr>
      </w:pPr>
      <w:r w:rsidRPr="0057039D">
        <w:rPr>
          <w:rFonts w:ascii="Arial" w:eastAsia="Calibri" w:hAnsi="Arial" w:cs="Arial"/>
          <w:highlight w:val="yellow"/>
          <w:lang w:val="en-US"/>
        </w:rPr>
        <w:t xml:space="preserve">Option 1: </w:t>
      </w:r>
    </w:p>
    <w:p w14:paraId="157BED11" w14:textId="77777777" w:rsidR="00C44839" w:rsidRPr="0057039D" w:rsidRDefault="00C44839" w:rsidP="00C44839">
      <w:pPr>
        <w:rPr>
          <w:rFonts w:ascii="Arial" w:eastAsia="Calibri" w:hAnsi="Arial" w:cs="Arial"/>
          <w:highlight w:val="yellow"/>
          <w:lang w:val="en-US"/>
        </w:rPr>
      </w:pPr>
      <w:r w:rsidRPr="0057039D">
        <w:rPr>
          <w:rFonts w:ascii="Arial" w:eastAsia="Calibri" w:hAnsi="Arial" w:cs="Arial"/>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E425102" w14:textId="77777777" w:rsidR="00C44839" w:rsidRPr="0057039D" w:rsidRDefault="00C44839" w:rsidP="00C44839">
      <w:pPr>
        <w:rPr>
          <w:rFonts w:ascii="Arial" w:eastAsia="Calibri" w:hAnsi="Arial" w:cs="Arial"/>
          <w:highlight w:val="yellow"/>
          <w:lang w:val="en-US"/>
        </w:rPr>
      </w:pPr>
      <w:r w:rsidRPr="0057039D">
        <w:rPr>
          <w:rFonts w:ascii="Arial" w:eastAsia="Calibri" w:hAnsi="Arial" w:cs="Arial"/>
          <w:highlight w:val="yellow"/>
          <w:lang w:val="en-US"/>
        </w:rPr>
        <w:t xml:space="preserve">Option 2: </w:t>
      </w:r>
    </w:p>
    <w:p w14:paraId="612A9D88" w14:textId="77777777" w:rsidR="00C44839" w:rsidRPr="0057039D" w:rsidRDefault="00C44839" w:rsidP="00C44839">
      <w:pPr>
        <w:rPr>
          <w:rFonts w:ascii="Arial" w:eastAsia="Calibri" w:hAnsi="Arial" w:cs="Arial"/>
          <w:highlight w:val="yellow"/>
          <w:lang w:val="en-US"/>
        </w:rPr>
      </w:pPr>
      <w:r w:rsidRPr="0057039D">
        <w:rPr>
          <w:rFonts w:ascii="Arial" w:eastAsia="Calibri" w:hAnsi="Arial" w:cs="Arial"/>
          <w:highlight w:val="yellow"/>
          <w:lang w:val="en-US"/>
        </w:rPr>
        <w:t xml:space="preserve">Author(s) hereby declare that generative AI technologies such as Large Language Models, etc. have been used during the writing or editing of manuscripts. This explanation will include </w:t>
      </w:r>
      <w:r w:rsidRPr="0057039D">
        <w:rPr>
          <w:rFonts w:ascii="Arial" w:eastAsia="Calibri" w:hAnsi="Arial" w:cs="Arial"/>
          <w:highlight w:val="yellow"/>
          <w:lang w:val="en-US"/>
        </w:rPr>
        <w:lastRenderedPageBreak/>
        <w:t>the name, version, model, and source of the generative AI technology and as well as all input prompts provided to the generative AI technology</w:t>
      </w:r>
    </w:p>
    <w:p w14:paraId="3AEA4226" w14:textId="77777777" w:rsidR="00C44839" w:rsidRPr="0057039D" w:rsidRDefault="00C44839" w:rsidP="00C44839">
      <w:pPr>
        <w:rPr>
          <w:rFonts w:ascii="Arial" w:eastAsia="Calibri" w:hAnsi="Arial" w:cs="Arial"/>
          <w:highlight w:val="yellow"/>
          <w:lang w:val="en-US"/>
        </w:rPr>
      </w:pPr>
      <w:r w:rsidRPr="0057039D">
        <w:rPr>
          <w:rFonts w:ascii="Arial" w:eastAsia="Calibri" w:hAnsi="Arial" w:cs="Arial"/>
          <w:highlight w:val="yellow"/>
          <w:lang w:val="en-US"/>
        </w:rPr>
        <w:t>Details of the AI usage are given below:</w:t>
      </w:r>
    </w:p>
    <w:p w14:paraId="47F87A2E" w14:textId="77777777" w:rsidR="00C44839" w:rsidRPr="0057039D" w:rsidRDefault="00C44839" w:rsidP="00C44839">
      <w:pPr>
        <w:rPr>
          <w:rFonts w:ascii="Arial" w:eastAsia="Calibri" w:hAnsi="Arial" w:cs="Arial"/>
          <w:highlight w:val="yellow"/>
          <w:lang w:val="en-US"/>
        </w:rPr>
      </w:pPr>
      <w:r w:rsidRPr="0057039D">
        <w:rPr>
          <w:rFonts w:ascii="Arial" w:eastAsia="Calibri" w:hAnsi="Arial" w:cs="Arial"/>
          <w:highlight w:val="yellow"/>
          <w:lang w:val="en-US"/>
        </w:rPr>
        <w:t>1.</w:t>
      </w:r>
    </w:p>
    <w:p w14:paraId="22741067" w14:textId="77777777" w:rsidR="00C44839" w:rsidRPr="0057039D" w:rsidRDefault="00C44839" w:rsidP="00C44839">
      <w:pPr>
        <w:rPr>
          <w:rFonts w:ascii="Arial" w:eastAsia="Calibri" w:hAnsi="Arial" w:cs="Arial"/>
          <w:highlight w:val="yellow"/>
          <w:lang w:val="en-US"/>
        </w:rPr>
      </w:pPr>
      <w:r w:rsidRPr="0057039D">
        <w:rPr>
          <w:rFonts w:ascii="Arial" w:eastAsia="Calibri" w:hAnsi="Arial" w:cs="Arial"/>
          <w:highlight w:val="yellow"/>
          <w:lang w:val="en-US"/>
        </w:rPr>
        <w:t>2.</w:t>
      </w:r>
    </w:p>
    <w:p w14:paraId="59A60327" w14:textId="77777777" w:rsidR="00C44839" w:rsidRPr="0057039D" w:rsidRDefault="00C44839" w:rsidP="00C44839">
      <w:pPr>
        <w:rPr>
          <w:rFonts w:ascii="Arial" w:eastAsia="Calibri" w:hAnsi="Arial" w:cs="Arial"/>
          <w:lang w:val="en-US"/>
        </w:rPr>
      </w:pPr>
      <w:bookmarkStart w:id="5" w:name="_Hlk197682629"/>
      <w:bookmarkEnd w:id="1"/>
      <w:r w:rsidRPr="0057039D">
        <w:rPr>
          <w:rFonts w:ascii="Arial" w:eastAsia="Calibri" w:hAnsi="Arial" w:cs="Arial"/>
          <w:highlight w:val="yellow"/>
          <w:lang w:val="en-US"/>
        </w:rPr>
        <w:t>3.</w:t>
      </w:r>
      <w:bookmarkStart w:id="6" w:name="_Hlk187485061"/>
      <w:bookmarkEnd w:id="2"/>
      <w:bookmarkEnd w:id="3"/>
      <w:bookmarkEnd w:id="5"/>
    </w:p>
    <w:bookmarkEnd w:id="4"/>
    <w:bookmarkEnd w:id="6"/>
    <w:p w14:paraId="70839DAE" w14:textId="77777777" w:rsidR="00C44839" w:rsidRPr="0057039D" w:rsidRDefault="00C44839" w:rsidP="00CD431E">
      <w:pPr>
        <w:spacing w:after="200" w:line="276" w:lineRule="auto"/>
        <w:rPr>
          <w:rFonts w:ascii="Arial" w:eastAsia="Times New Roman" w:hAnsi="Arial" w:cs="Arial"/>
          <w:kern w:val="0"/>
          <w:lang w:val="en-GB" w:eastAsia="en-GB"/>
          <w14:ligatures w14:val="none"/>
        </w:rPr>
      </w:pPr>
    </w:p>
    <w:p w14:paraId="0EB5441C" w14:textId="77777777" w:rsidR="00CD431E" w:rsidRPr="0057039D" w:rsidRDefault="00CD431E" w:rsidP="00CD431E">
      <w:pPr>
        <w:spacing w:after="200" w:line="276" w:lineRule="auto"/>
        <w:rPr>
          <w:rFonts w:ascii="Arial" w:eastAsia="Times New Roman" w:hAnsi="Arial" w:cs="Arial"/>
          <w:kern w:val="0"/>
          <w:lang w:val="en-GB" w:eastAsia="en-GB"/>
          <w14:ligatures w14:val="none"/>
        </w:rPr>
      </w:pPr>
    </w:p>
    <w:p w14:paraId="2887DB3C" w14:textId="77777777" w:rsidR="00CD431E" w:rsidRPr="0057039D" w:rsidRDefault="00CD431E" w:rsidP="00B5276C">
      <w:pPr>
        <w:spacing w:line="360" w:lineRule="auto"/>
        <w:jc w:val="both"/>
        <w:rPr>
          <w:rFonts w:ascii="Arial" w:hAnsi="Arial" w:cs="Arial"/>
          <w:sz w:val="20"/>
          <w:szCs w:val="20"/>
        </w:rPr>
      </w:pPr>
    </w:p>
    <w:p w14:paraId="1228A79D" w14:textId="0AA4118D" w:rsidR="00813F7D" w:rsidRPr="0057039D" w:rsidRDefault="00480810" w:rsidP="00B5276C">
      <w:pPr>
        <w:spacing w:line="360" w:lineRule="auto"/>
        <w:jc w:val="both"/>
        <w:rPr>
          <w:rFonts w:ascii="Arial" w:hAnsi="Arial" w:cs="Arial"/>
          <w:b/>
          <w:bCs/>
        </w:rPr>
      </w:pPr>
      <w:r w:rsidRPr="0057039D">
        <w:rPr>
          <w:rFonts w:ascii="Arial" w:hAnsi="Arial" w:cs="Arial"/>
          <w:b/>
          <w:bCs/>
        </w:rPr>
        <w:t>REFERENCES</w:t>
      </w:r>
    </w:p>
    <w:p w14:paraId="58E3D19E" w14:textId="77777777" w:rsidR="0098478C" w:rsidRPr="0057039D" w:rsidRDefault="0098478C" w:rsidP="00B5276C">
      <w:pPr>
        <w:spacing w:line="360" w:lineRule="auto"/>
        <w:ind w:left="720" w:hanging="720"/>
        <w:jc w:val="both"/>
        <w:rPr>
          <w:rFonts w:ascii="Arial" w:hAnsi="Arial" w:cs="Arial"/>
          <w:sz w:val="20"/>
          <w:szCs w:val="20"/>
        </w:rPr>
      </w:pPr>
      <w:r w:rsidRPr="0057039D">
        <w:rPr>
          <w:rFonts w:ascii="Arial" w:hAnsi="Arial" w:cs="Arial"/>
          <w:sz w:val="20"/>
          <w:szCs w:val="20"/>
        </w:rPr>
        <w:t>BAHS. (2024). Basic Animal Husbandry &amp; Fisheries Statistics, Ministry of Agriculture, Department of Animal Husbandry, Dairying and Fisheries, Krishi Bhawan, New Delhi</w:t>
      </w:r>
    </w:p>
    <w:p w14:paraId="36ED8E3D" w14:textId="77777777" w:rsidR="0098478C" w:rsidRPr="0057039D" w:rsidRDefault="0098478C" w:rsidP="00B5276C">
      <w:pPr>
        <w:spacing w:line="360" w:lineRule="auto"/>
        <w:ind w:left="720" w:hanging="720"/>
        <w:jc w:val="both"/>
        <w:rPr>
          <w:rFonts w:ascii="Arial" w:hAnsi="Arial" w:cs="Arial"/>
          <w:sz w:val="20"/>
          <w:szCs w:val="20"/>
        </w:rPr>
      </w:pPr>
      <w:r w:rsidRPr="0057039D">
        <w:rPr>
          <w:rFonts w:ascii="Arial" w:hAnsi="Arial" w:cs="Arial"/>
          <w:sz w:val="20"/>
          <w:szCs w:val="20"/>
        </w:rPr>
        <w:t xml:space="preserve">Feroze, S M., Singh, R., &amp; </w:t>
      </w:r>
      <w:proofErr w:type="spellStart"/>
      <w:r w:rsidRPr="0057039D">
        <w:rPr>
          <w:rFonts w:ascii="Arial" w:hAnsi="Arial" w:cs="Arial"/>
          <w:sz w:val="20"/>
          <w:szCs w:val="20"/>
        </w:rPr>
        <w:t>Sirohi</w:t>
      </w:r>
      <w:proofErr w:type="spellEnd"/>
      <w:r w:rsidRPr="0057039D">
        <w:rPr>
          <w:rFonts w:ascii="Arial" w:hAnsi="Arial" w:cs="Arial"/>
          <w:sz w:val="20"/>
          <w:szCs w:val="20"/>
        </w:rPr>
        <w:t>, S. (2017). Fodder and labour for augmenting milk production in hills: A case study of Meghalaya. Indian Journal of Dairy Science, 70, 611-615.</w:t>
      </w:r>
    </w:p>
    <w:p w14:paraId="52768CF5" w14:textId="77777777" w:rsidR="0098478C" w:rsidRPr="0057039D" w:rsidRDefault="0098478C" w:rsidP="00B5276C">
      <w:pPr>
        <w:spacing w:line="360" w:lineRule="auto"/>
        <w:ind w:left="720" w:hanging="720"/>
        <w:jc w:val="both"/>
        <w:rPr>
          <w:rFonts w:ascii="Arial" w:hAnsi="Arial" w:cs="Arial"/>
          <w:sz w:val="20"/>
          <w:szCs w:val="20"/>
        </w:rPr>
      </w:pPr>
      <w:r w:rsidRPr="0057039D">
        <w:rPr>
          <w:rFonts w:ascii="Arial" w:hAnsi="Arial" w:cs="Arial"/>
          <w:sz w:val="20"/>
          <w:szCs w:val="20"/>
        </w:rPr>
        <w:t>Feroze, S.  M., Raju, V. T., Singh, R., &amp; Tripathi, A K. (2010). Status of Livestock Sector: A Micro Study of North Eastern India. Indian Journal of Hill Farming, 23, 43-51.</w:t>
      </w:r>
    </w:p>
    <w:p w14:paraId="290A61D5" w14:textId="77777777" w:rsidR="0098478C" w:rsidRPr="0057039D" w:rsidRDefault="0098478C" w:rsidP="00B5276C">
      <w:pPr>
        <w:spacing w:line="360" w:lineRule="auto"/>
        <w:ind w:left="720" w:hanging="720"/>
        <w:jc w:val="both"/>
        <w:rPr>
          <w:rFonts w:ascii="Arial" w:hAnsi="Arial" w:cs="Arial"/>
          <w:sz w:val="20"/>
          <w:szCs w:val="20"/>
        </w:rPr>
      </w:pPr>
      <w:proofErr w:type="spellStart"/>
      <w:r w:rsidRPr="0057039D">
        <w:rPr>
          <w:rFonts w:ascii="Arial" w:hAnsi="Arial" w:cs="Arial"/>
          <w:sz w:val="20"/>
          <w:szCs w:val="20"/>
        </w:rPr>
        <w:t>Khoveio</w:t>
      </w:r>
      <w:proofErr w:type="spellEnd"/>
      <w:r w:rsidRPr="0057039D">
        <w:rPr>
          <w:rFonts w:ascii="Arial" w:hAnsi="Arial" w:cs="Arial"/>
          <w:sz w:val="20"/>
          <w:szCs w:val="20"/>
        </w:rPr>
        <w:t>, M. L., Jain, D. K., Chauhan, A. K. (2012). Economics of milk production and its constraints in Nagaland. Indian Journal of Dairy Science, 65, 520-526.</w:t>
      </w:r>
    </w:p>
    <w:p w14:paraId="0E57DF28" w14:textId="77777777" w:rsidR="0098478C" w:rsidRPr="0057039D" w:rsidRDefault="0098478C" w:rsidP="00B5276C">
      <w:pPr>
        <w:spacing w:line="360" w:lineRule="auto"/>
        <w:ind w:left="720" w:hanging="720"/>
        <w:jc w:val="both"/>
        <w:rPr>
          <w:rFonts w:ascii="Arial" w:hAnsi="Arial" w:cs="Arial"/>
          <w:sz w:val="20"/>
          <w:szCs w:val="20"/>
        </w:rPr>
      </w:pPr>
      <w:r w:rsidRPr="0057039D">
        <w:rPr>
          <w:rFonts w:ascii="Arial" w:hAnsi="Arial" w:cs="Arial"/>
          <w:sz w:val="20"/>
          <w:szCs w:val="20"/>
        </w:rPr>
        <w:t>Kumar, A., Staal, S., Elumalai, K., &amp; Singh, D. K. (2007). Livestock Sector in North- Eastern Region of India: An Appraisal of Performance. Agricultural Economics Research Review, 20, 255-272.</w:t>
      </w:r>
    </w:p>
    <w:p w14:paraId="5C18AC8A" w14:textId="77777777" w:rsidR="0098478C" w:rsidRPr="0057039D" w:rsidRDefault="0098478C" w:rsidP="00B5276C">
      <w:pPr>
        <w:spacing w:line="360" w:lineRule="auto"/>
        <w:ind w:left="720" w:hanging="720"/>
        <w:jc w:val="both"/>
        <w:rPr>
          <w:rFonts w:ascii="Arial" w:hAnsi="Arial" w:cs="Arial"/>
          <w:sz w:val="20"/>
          <w:szCs w:val="20"/>
        </w:rPr>
      </w:pPr>
      <w:proofErr w:type="spellStart"/>
      <w:r w:rsidRPr="0057039D">
        <w:rPr>
          <w:rFonts w:ascii="Arial" w:hAnsi="Arial" w:cs="Arial"/>
          <w:sz w:val="20"/>
          <w:szCs w:val="20"/>
        </w:rPr>
        <w:t>Lalrinsangpuii</w:t>
      </w:r>
      <w:proofErr w:type="spellEnd"/>
      <w:r w:rsidRPr="0057039D">
        <w:rPr>
          <w:rFonts w:ascii="Arial" w:hAnsi="Arial" w:cs="Arial"/>
          <w:sz w:val="20"/>
          <w:szCs w:val="20"/>
        </w:rPr>
        <w:t xml:space="preserve">., Malhotra, R., &amp; Priscilla., L. (2018). Economics of milk production and its constraints in Mizoram. Indian Journal of Dairy Science, 69, 588-594. </w:t>
      </w:r>
    </w:p>
    <w:p w14:paraId="39A00E03" w14:textId="77777777" w:rsidR="0098478C" w:rsidRPr="0057039D" w:rsidRDefault="0098478C" w:rsidP="00B5276C">
      <w:pPr>
        <w:spacing w:line="360" w:lineRule="auto"/>
        <w:ind w:left="720" w:hanging="720"/>
        <w:jc w:val="both"/>
        <w:rPr>
          <w:rFonts w:ascii="Arial" w:hAnsi="Arial" w:cs="Arial"/>
          <w:sz w:val="20"/>
          <w:szCs w:val="20"/>
        </w:rPr>
      </w:pPr>
      <w:proofErr w:type="spellStart"/>
      <w:r w:rsidRPr="0057039D">
        <w:rPr>
          <w:rFonts w:ascii="Arial" w:hAnsi="Arial" w:cs="Arial"/>
          <w:sz w:val="20"/>
          <w:szCs w:val="20"/>
        </w:rPr>
        <w:t>Malsawmdawngliana</w:t>
      </w:r>
      <w:proofErr w:type="spellEnd"/>
      <w:r w:rsidRPr="0057039D">
        <w:rPr>
          <w:rFonts w:ascii="Arial" w:hAnsi="Arial" w:cs="Arial"/>
          <w:sz w:val="20"/>
          <w:szCs w:val="20"/>
        </w:rPr>
        <w:t>, R., &amp; Rahman, S. (2016). Management practices followed by the dairy farmers of Mizoram, India.</w:t>
      </w:r>
    </w:p>
    <w:p w14:paraId="4C4667CC" w14:textId="77777777" w:rsidR="0098478C" w:rsidRPr="0057039D" w:rsidRDefault="0098478C" w:rsidP="00B5276C">
      <w:pPr>
        <w:spacing w:line="360" w:lineRule="auto"/>
        <w:ind w:left="720" w:hanging="720"/>
        <w:jc w:val="both"/>
        <w:rPr>
          <w:rFonts w:ascii="Arial" w:hAnsi="Arial" w:cs="Arial"/>
          <w:sz w:val="20"/>
          <w:szCs w:val="20"/>
        </w:rPr>
      </w:pPr>
      <w:r w:rsidRPr="0057039D">
        <w:rPr>
          <w:rFonts w:ascii="Arial" w:hAnsi="Arial" w:cs="Arial"/>
          <w:sz w:val="20"/>
          <w:szCs w:val="20"/>
        </w:rPr>
        <w:t xml:space="preserve">NDDB. (2021). Annual Report 2022-23. Retrieved from </w:t>
      </w:r>
      <w:hyperlink r:id="rId9" w:history="1">
        <w:r w:rsidRPr="0057039D">
          <w:rPr>
            <w:rStyle w:val="Hyperlink"/>
            <w:rFonts w:ascii="Arial" w:hAnsi="Arial" w:cs="Arial"/>
            <w:color w:val="auto"/>
            <w:sz w:val="20"/>
            <w:szCs w:val="20"/>
          </w:rPr>
          <w:t>https://www.nddb.coop/about/report.2022- 23</w:t>
        </w:r>
      </w:hyperlink>
      <w:r w:rsidRPr="0057039D">
        <w:rPr>
          <w:rFonts w:ascii="Arial" w:hAnsi="Arial" w:cs="Arial"/>
          <w:sz w:val="20"/>
          <w:szCs w:val="20"/>
        </w:rPr>
        <w:t>.</w:t>
      </w:r>
    </w:p>
    <w:p w14:paraId="4408EDBA" w14:textId="77777777" w:rsidR="0098478C" w:rsidRPr="0057039D" w:rsidRDefault="0098478C" w:rsidP="00B5276C">
      <w:pPr>
        <w:spacing w:line="360" w:lineRule="auto"/>
        <w:ind w:left="720" w:hanging="720"/>
        <w:jc w:val="both"/>
        <w:rPr>
          <w:rFonts w:ascii="Arial" w:hAnsi="Arial" w:cs="Arial"/>
          <w:sz w:val="20"/>
          <w:szCs w:val="20"/>
        </w:rPr>
      </w:pPr>
      <w:r w:rsidRPr="0057039D">
        <w:rPr>
          <w:rFonts w:ascii="Arial" w:hAnsi="Arial" w:cs="Arial"/>
          <w:sz w:val="20"/>
          <w:szCs w:val="20"/>
        </w:rPr>
        <w:t>NDDB. (2024). Annual Report 2022-23. Retrieved from https://www.nddb.coop/about/report.2023- 24.</w:t>
      </w:r>
    </w:p>
    <w:p w14:paraId="2594D2A3" w14:textId="77777777" w:rsidR="0098478C" w:rsidRPr="0057039D" w:rsidRDefault="0098478C" w:rsidP="00B5276C">
      <w:pPr>
        <w:spacing w:line="360" w:lineRule="auto"/>
        <w:ind w:left="720" w:hanging="720"/>
        <w:jc w:val="both"/>
        <w:rPr>
          <w:rFonts w:ascii="Arial" w:hAnsi="Arial" w:cs="Arial"/>
          <w:sz w:val="20"/>
          <w:szCs w:val="20"/>
        </w:rPr>
      </w:pPr>
      <w:r w:rsidRPr="0057039D">
        <w:rPr>
          <w:rFonts w:ascii="Arial" w:hAnsi="Arial" w:cs="Arial"/>
          <w:sz w:val="20"/>
          <w:szCs w:val="20"/>
        </w:rPr>
        <w:t xml:space="preserve">Pasar, M., </w:t>
      </w:r>
      <w:proofErr w:type="spellStart"/>
      <w:r w:rsidRPr="0057039D">
        <w:rPr>
          <w:rFonts w:ascii="Arial" w:hAnsi="Arial" w:cs="Arial"/>
          <w:sz w:val="20"/>
          <w:szCs w:val="20"/>
        </w:rPr>
        <w:t>Houmai</w:t>
      </w:r>
      <w:proofErr w:type="spellEnd"/>
      <w:r w:rsidRPr="0057039D">
        <w:rPr>
          <w:rFonts w:ascii="Arial" w:hAnsi="Arial" w:cs="Arial"/>
          <w:sz w:val="20"/>
          <w:szCs w:val="20"/>
        </w:rPr>
        <w:t xml:space="preserve">, T. A, </w:t>
      </w:r>
      <w:proofErr w:type="spellStart"/>
      <w:r w:rsidRPr="0057039D">
        <w:rPr>
          <w:rFonts w:ascii="Arial" w:hAnsi="Arial" w:cs="Arial"/>
          <w:sz w:val="20"/>
          <w:szCs w:val="20"/>
        </w:rPr>
        <w:t>Lalhmingmawii</w:t>
      </w:r>
      <w:proofErr w:type="spellEnd"/>
      <w:r w:rsidRPr="0057039D">
        <w:rPr>
          <w:rFonts w:ascii="Arial" w:hAnsi="Arial" w:cs="Arial"/>
          <w:sz w:val="20"/>
          <w:szCs w:val="20"/>
        </w:rPr>
        <w:t xml:space="preserve">, S., &amp; </w:t>
      </w:r>
      <w:proofErr w:type="spellStart"/>
      <w:r w:rsidRPr="0057039D">
        <w:rPr>
          <w:rFonts w:ascii="Arial" w:hAnsi="Arial" w:cs="Arial"/>
          <w:sz w:val="20"/>
          <w:szCs w:val="20"/>
        </w:rPr>
        <w:t>Lalmuansangi</w:t>
      </w:r>
      <w:proofErr w:type="spellEnd"/>
      <w:r w:rsidRPr="0057039D">
        <w:rPr>
          <w:rFonts w:ascii="Arial" w:hAnsi="Arial" w:cs="Arial"/>
          <w:sz w:val="20"/>
          <w:szCs w:val="20"/>
        </w:rPr>
        <w:t>. (2024). Growth Trends and Instability Analysis of Milk Production in India International Journal of Agriculture, Environment and Biotechnology Citation: International Journal of Agriculture, Environment and Biotechnology, 17, 289-294. DOI: 10.30954/0974-1712.03.2024.13</w:t>
      </w:r>
    </w:p>
    <w:p w14:paraId="5961776D" w14:textId="77777777" w:rsidR="0098478C" w:rsidRPr="0057039D" w:rsidRDefault="0098478C" w:rsidP="00B5276C">
      <w:pPr>
        <w:spacing w:line="360" w:lineRule="auto"/>
        <w:ind w:left="720" w:hanging="720"/>
        <w:jc w:val="both"/>
        <w:rPr>
          <w:rFonts w:ascii="Arial" w:hAnsi="Arial" w:cs="Arial"/>
          <w:sz w:val="20"/>
          <w:szCs w:val="20"/>
        </w:rPr>
      </w:pPr>
      <w:r w:rsidRPr="0057039D">
        <w:rPr>
          <w:rFonts w:ascii="Arial" w:hAnsi="Arial" w:cs="Arial"/>
          <w:sz w:val="20"/>
          <w:szCs w:val="20"/>
        </w:rPr>
        <w:t xml:space="preserve">Priscilla, L., Chauhan, A. K., </w:t>
      </w:r>
      <w:proofErr w:type="spellStart"/>
      <w:r w:rsidRPr="0057039D">
        <w:rPr>
          <w:rFonts w:ascii="Arial" w:hAnsi="Arial" w:cs="Arial"/>
          <w:sz w:val="20"/>
          <w:szCs w:val="20"/>
        </w:rPr>
        <w:t>Lalrinsangpuii</w:t>
      </w:r>
      <w:proofErr w:type="spellEnd"/>
      <w:r w:rsidRPr="0057039D">
        <w:rPr>
          <w:rFonts w:ascii="Arial" w:hAnsi="Arial" w:cs="Arial"/>
          <w:sz w:val="20"/>
          <w:szCs w:val="20"/>
        </w:rPr>
        <w:t>., Balakrishnan, A., &amp; Gururaj, M. (2017). Participation Behaviour of Dairy Farmers in Dairy Co-operative Societies in Manipur: A Double Hurdle Approach. Indian Journal of Agricultural Economics, 72, 420-428.</w:t>
      </w:r>
    </w:p>
    <w:p w14:paraId="0B2F83FE" w14:textId="77777777" w:rsidR="0098478C" w:rsidRPr="0057039D" w:rsidRDefault="0098478C" w:rsidP="00B5276C">
      <w:pPr>
        <w:spacing w:line="360" w:lineRule="auto"/>
        <w:ind w:left="720" w:hanging="720"/>
        <w:jc w:val="both"/>
        <w:rPr>
          <w:rFonts w:ascii="Arial" w:hAnsi="Arial" w:cs="Arial"/>
          <w:sz w:val="20"/>
          <w:szCs w:val="20"/>
        </w:rPr>
      </w:pPr>
      <w:r w:rsidRPr="0057039D">
        <w:rPr>
          <w:rFonts w:ascii="Arial" w:hAnsi="Arial" w:cs="Arial"/>
          <w:sz w:val="20"/>
          <w:szCs w:val="20"/>
        </w:rPr>
        <w:lastRenderedPageBreak/>
        <w:t xml:space="preserve">Singh, A. S., Singh, K., Chakravarty, R., </w:t>
      </w:r>
      <w:proofErr w:type="spellStart"/>
      <w:r w:rsidRPr="0057039D">
        <w:rPr>
          <w:rFonts w:ascii="Arial" w:hAnsi="Arial" w:cs="Arial"/>
          <w:sz w:val="20"/>
          <w:szCs w:val="20"/>
        </w:rPr>
        <w:t>Vairagar</w:t>
      </w:r>
      <w:proofErr w:type="spellEnd"/>
      <w:r w:rsidRPr="0057039D">
        <w:rPr>
          <w:rFonts w:ascii="Arial" w:hAnsi="Arial" w:cs="Arial"/>
          <w:sz w:val="20"/>
          <w:szCs w:val="20"/>
        </w:rPr>
        <w:t>, V. G., &amp; Kumar, C. (2012). Constraints perceived by members of Manipur (India) milk producers’ cooperative union in practicing improved dairy farming. Journal of Dairying, Foods &amp; Home Sciences, 31, 279 – 283.</w:t>
      </w:r>
    </w:p>
    <w:p w14:paraId="38E75043" w14:textId="77777777" w:rsidR="0098478C" w:rsidRPr="0057039D" w:rsidRDefault="0098478C" w:rsidP="00B5276C">
      <w:pPr>
        <w:spacing w:line="360" w:lineRule="auto"/>
        <w:ind w:left="720" w:hanging="720"/>
        <w:jc w:val="both"/>
        <w:rPr>
          <w:rFonts w:ascii="Arial" w:hAnsi="Arial" w:cs="Arial"/>
          <w:sz w:val="20"/>
          <w:szCs w:val="20"/>
        </w:rPr>
      </w:pPr>
      <w:r w:rsidRPr="0057039D">
        <w:rPr>
          <w:rFonts w:ascii="Arial" w:hAnsi="Arial" w:cs="Arial"/>
          <w:sz w:val="20"/>
          <w:szCs w:val="20"/>
        </w:rPr>
        <w:t xml:space="preserve">Singh, R., </w:t>
      </w:r>
      <w:proofErr w:type="spellStart"/>
      <w:r w:rsidRPr="0057039D">
        <w:rPr>
          <w:rFonts w:ascii="Arial" w:hAnsi="Arial" w:cs="Arial"/>
          <w:sz w:val="20"/>
          <w:szCs w:val="20"/>
        </w:rPr>
        <w:t>Chiphang</w:t>
      </w:r>
      <w:proofErr w:type="spellEnd"/>
      <w:r w:rsidRPr="0057039D">
        <w:rPr>
          <w:rFonts w:ascii="Arial" w:hAnsi="Arial" w:cs="Arial"/>
          <w:sz w:val="20"/>
          <w:szCs w:val="20"/>
        </w:rPr>
        <w:t>, S., &amp; Singh, A. (2021). Constraint analysis of dairy sector in North Eastern Region: A producers and consumers perspective. Indian Journal of Dairy Science, 74, 277-279.</w:t>
      </w:r>
    </w:p>
    <w:p w14:paraId="1CFEDB88" w14:textId="77777777" w:rsidR="0098478C" w:rsidRPr="0057039D" w:rsidRDefault="0098478C" w:rsidP="00B5276C">
      <w:pPr>
        <w:spacing w:line="360" w:lineRule="auto"/>
        <w:ind w:left="720" w:hanging="720"/>
        <w:jc w:val="both"/>
        <w:rPr>
          <w:rFonts w:ascii="Arial" w:hAnsi="Arial" w:cs="Arial"/>
          <w:sz w:val="20"/>
          <w:szCs w:val="20"/>
        </w:rPr>
      </w:pPr>
      <w:proofErr w:type="spellStart"/>
      <w:r w:rsidRPr="0057039D">
        <w:rPr>
          <w:rFonts w:ascii="Arial" w:hAnsi="Arial" w:cs="Arial"/>
          <w:sz w:val="20"/>
          <w:szCs w:val="20"/>
        </w:rPr>
        <w:t>Sirohi</w:t>
      </w:r>
      <w:proofErr w:type="spellEnd"/>
      <w:r w:rsidRPr="0057039D">
        <w:rPr>
          <w:rFonts w:ascii="Arial" w:hAnsi="Arial" w:cs="Arial"/>
          <w:sz w:val="20"/>
          <w:szCs w:val="20"/>
        </w:rPr>
        <w:t>, S., Kumar, A., &amp; Staal, S. J. (2009). Formal Milk Processing Sector in Assam: Lessons to be Learnt from Institutional Failure. Agricultural Economics Research Review, 22, 245-254.</w:t>
      </w:r>
    </w:p>
    <w:p w14:paraId="0E9B5C47" w14:textId="77777777" w:rsidR="006569F8" w:rsidRPr="0057039D" w:rsidRDefault="006569F8" w:rsidP="00B5276C">
      <w:pPr>
        <w:spacing w:line="360" w:lineRule="auto"/>
        <w:ind w:firstLine="720"/>
        <w:jc w:val="both"/>
        <w:rPr>
          <w:rFonts w:ascii="Arial" w:hAnsi="Arial" w:cs="Arial"/>
          <w:sz w:val="20"/>
          <w:szCs w:val="20"/>
        </w:rPr>
      </w:pPr>
    </w:p>
    <w:sectPr w:rsidR="006569F8" w:rsidRPr="0057039D" w:rsidSect="00B404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3A724" w14:textId="77777777" w:rsidR="002624DA" w:rsidRDefault="002624DA" w:rsidP="00DB1DF8">
      <w:pPr>
        <w:spacing w:after="0" w:line="240" w:lineRule="auto"/>
      </w:pPr>
      <w:r>
        <w:separator/>
      </w:r>
    </w:p>
  </w:endnote>
  <w:endnote w:type="continuationSeparator" w:id="0">
    <w:p w14:paraId="2E94D885" w14:textId="77777777" w:rsidR="002624DA" w:rsidRDefault="002624DA" w:rsidP="00DB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0DFB" w14:textId="77777777" w:rsidR="00B404DB" w:rsidRDefault="00B40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229250"/>
      <w:docPartObj>
        <w:docPartGallery w:val="Page Numbers (Bottom of Page)"/>
        <w:docPartUnique/>
      </w:docPartObj>
    </w:sdtPr>
    <w:sdtEndPr>
      <w:rPr>
        <w:noProof/>
      </w:rPr>
    </w:sdtEndPr>
    <w:sdtContent>
      <w:p w14:paraId="56F6B6F9" w14:textId="2677C813" w:rsidR="002973DF" w:rsidRDefault="00297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9215BA" w14:textId="77777777" w:rsidR="00DB1DF8" w:rsidRDefault="00DB1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BB07" w14:textId="77777777" w:rsidR="00B404DB" w:rsidRDefault="00B4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96A2F" w14:textId="77777777" w:rsidR="002624DA" w:rsidRDefault="002624DA" w:rsidP="00DB1DF8">
      <w:pPr>
        <w:spacing w:after="0" w:line="240" w:lineRule="auto"/>
      </w:pPr>
      <w:r>
        <w:separator/>
      </w:r>
    </w:p>
  </w:footnote>
  <w:footnote w:type="continuationSeparator" w:id="0">
    <w:p w14:paraId="1A78FE52" w14:textId="77777777" w:rsidR="002624DA" w:rsidRDefault="002624DA" w:rsidP="00DB1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7B67F" w14:textId="4DBB8BEF" w:rsidR="00B404DB" w:rsidRDefault="002624DA">
    <w:pPr>
      <w:pStyle w:val="Header"/>
    </w:pPr>
    <w:r>
      <w:rPr>
        <w:noProof/>
      </w:rPr>
      <w:pict w14:anchorId="0812A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76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9BCA" w14:textId="36AA63AB" w:rsidR="00B404DB" w:rsidRDefault="002624DA">
    <w:pPr>
      <w:pStyle w:val="Header"/>
    </w:pPr>
    <w:r>
      <w:rPr>
        <w:noProof/>
      </w:rPr>
      <w:pict w14:anchorId="620D6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76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A89D" w14:textId="55280A2B" w:rsidR="00B404DB" w:rsidRDefault="002624DA">
    <w:pPr>
      <w:pStyle w:val="Header"/>
    </w:pPr>
    <w:r>
      <w:rPr>
        <w:noProof/>
      </w:rPr>
      <w:pict w14:anchorId="2E462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76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B441B"/>
    <w:multiLevelType w:val="hybridMultilevel"/>
    <w:tmpl w:val="C5864B9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F7705D"/>
    <w:multiLevelType w:val="hybridMultilevel"/>
    <w:tmpl w:val="9782D6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633A0A"/>
    <w:multiLevelType w:val="hybridMultilevel"/>
    <w:tmpl w:val="31C25B1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921BBC"/>
    <w:multiLevelType w:val="hybridMultilevel"/>
    <w:tmpl w:val="1D1C468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MrEwMbMwMzYxMzZT0lEKTi0uzszPAykwqgUAe21oTiwAAAA="/>
  </w:docVars>
  <w:rsids>
    <w:rsidRoot w:val="00B51DB8"/>
    <w:rsid w:val="000006F2"/>
    <w:rsid w:val="00001DC6"/>
    <w:rsid w:val="00002075"/>
    <w:rsid w:val="00003957"/>
    <w:rsid w:val="00004E8D"/>
    <w:rsid w:val="000126B1"/>
    <w:rsid w:val="00033BAE"/>
    <w:rsid w:val="000431C3"/>
    <w:rsid w:val="00043DFE"/>
    <w:rsid w:val="00050561"/>
    <w:rsid w:val="00051BD1"/>
    <w:rsid w:val="00055E81"/>
    <w:rsid w:val="00057C2B"/>
    <w:rsid w:val="00074327"/>
    <w:rsid w:val="00075599"/>
    <w:rsid w:val="00076DA7"/>
    <w:rsid w:val="000772B0"/>
    <w:rsid w:val="00077DD8"/>
    <w:rsid w:val="000803F9"/>
    <w:rsid w:val="0008099D"/>
    <w:rsid w:val="00082812"/>
    <w:rsid w:val="00093E90"/>
    <w:rsid w:val="00094ECC"/>
    <w:rsid w:val="000961F2"/>
    <w:rsid w:val="00097646"/>
    <w:rsid w:val="000A2AA7"/>
    <w:rsid w:val="000A49BF"/>
    <w:rsid w:val="000B1EB4"/>
    <w:rsid w:val="000B2256"/>
    <w:rsid w:val="000B510C"/>
    <w:rsid w:val="000B7AF7"/>
    <w:rsid w:val="000C1849"/>
    <w:rsid w:val="000C1872"/>
    <w:rsid w:val="000C5720"/>
    <w:rsid w:val="000D1936"/>
    <w:rsid w:val="000D57AA"/>
    <w:rsid w:val="000D7B2F"/>
    <w:rsid w:val="000F476D"/>
    <w:rsid w:val="000F7BAA"/>
    <w:rsid w:val="00100453"/>
    <w:rsid w:val="00100692"/>
    <w:rsid w:val="00100DCF"/>
    <w:rsid w:val="00101BB2"/>
    <w:rsid w:val="00113395"/>
    <w:rsid w:val="00114F6E"/>
    <w:rsid w:val="00116AA7"/>
    <w:rsid w:val="00126E9D"/>
    <w:rsid w:val="00130986"/>
    <w:rsid w:val="00130C8F"/>
    <w:rsid w:val="001347C9"/>
    <w:rsid w:val="00135948"/>
    <w:rsid w:val="001365E8"/>
    <w:rsid w:val="00140AA6"/>
    <w:rsid w:val="001470F9"/>
    <w:rsid w:val="00151AF7"/>
    <w:rsid w:val="00153781"/>
    <w:rsid w:val="00154C94"/>
    <w:rsid w:val="00156C07"/>
    <w:rsid w:val="00161759"/>
    <w:rsid w:val="00162EA2"/>
    <w:rsid w:val="00165F5E"/>
    <w:rsid w:val="001674E9"/>
    <w:rsid w:val="00167B6C"/>
    <w:rsid w:val="00175F54"/>
    <w:rsid w:val="001808E7"/>
    <w:rsid w:val="0018178D"/>
    <w:rsid w:val="001827AF"/>
    <w:rsid w:val="00183A5B"/>
    <w:rsid w:val="0018755F"/>
    <w:rsid w:val="00187AA6"/>
    <w:rsid w:val="001971DE"/>
    <w:rsid w:val="001972C1"/>
    <w:rsid w:val="00197506"/>
    <w:rsid w:val="001A0045"/>
    <w:rsid w:val="001A0253"/>
    <w:rsid w:val="001A36B7"/>
    <w:rsid w:val="001A61DF"/>
    <w:rsid w:val="001B2948"/>
    <w:rsid w:val="001C2564"/>
    <w:rsid w:val="001C4143"/>
    <w:rsid w:val="001C4FEA"/>
    <w:rsid w:val="001D0AEC"/>
    <w:rsid w:val="001D4ECE"/>
    <w:rsid w:val="001E02BD"/>
    <w:rsid w:val="001E20C2"/>
    <w:rsid w:val="001E3985"/>
    <w:rsid w:val="001E43D1"/>
    <w:rsid w:val="001E4F5C"/>
    <w:rsid w:val="001E767B"/>
    <w:rsid w:val="001F0AE3"/>
    <w:rsid w:val="001F37DA"/>
    <w:rsid w:val="001F5C0D"/>
    <w:rsid w:val="002007B7"/>
    <w:rsid w:val="00206F53"/>
    <w:rsid w:val="00207C49"/>
    <w:rsid w:val="00210E0B"/>
    <w:rsid w:val="00212E26"/>
    <w:rsid w:val="002139EA"/>
    <w:rsid w:val="00215198"/>
    <w:rsid w:val="00220685"/>
    <w:rsid w:val="00220738"/>
    <w:rsid w:val="00221E56"/>
    <w:rsid w:val="00225368"/>
    <w:rsid w:val="00227B70"/>
    <w:rsid w:val="00231DB5"/>
    <w:rsid w:val="00240C72"/>
    <w:rsid w:val="002411DE"/>
    <w:rsid w:val="0024154F"/>
    <w:rsid w:val="00242701"/>
    <w:rsid w:val="002447C5"/>
    <w:rsid w:val="00244E81"/>
    <w:rsid w:val="00250A2E"/>
    <w:rsid w:val="00250E6F"/>
    <w:rsid w:val="002514FE"/>
    <w:rsid w:val="002518E3"/>
    <w:rsid w:val="0025215C"/>
    <w:rsid w:val="002537FE"/>
    <w:rsid w:val="002574F8"/>
    <w:rsid w:val="00261545"/>
    <w:rsid w:val="002624DA"/>
    <w:rsid w:val="00264A67"/>
    <w:rsid w:val="002650F7"/>
    <w:rsid w:val="002707F9"/>
    <w:rsid w:val="002728A4"/>
    <w:rsid w:val="002730CD"/>
    <w:rsid w:val="0027630A"/>
    <w:rsid w:val="00277130"/>
    <w:rsid w:val="00277AB2"/>
    <w:rsid w:val="0028055A"/>
    <w:rsid w:val="00283100"/>
    <w:rsid w:val="00283616"/>
    <w:rsid w:val="00284BF4"/>
    <w:rsid w:val="00285CA2"/>
    <w:rsid w:val="00287125"/>
    <w:rsid w:val="002900FE"/>
    <w:rsid w:val="002902BB"/>
    <w:rsid w:val="002973DF"/>
    <w:rsid w:val="002A24B6"/>
    <w:rsid w:val="002A47CD"/>
    <w:rsid w:val="002B240F"/>
    <w:rsid w:val="002B2732"/>
    <w:rsid w:val="002C4A0C"/>
    <w:rsid w:val="002E1DEE"/>
    <w:rsid w:val="002E252B"/>
    <w:rsid w:val="002E257D"/>
    <w:rsid w:val="002E5D50"/>
    <w:rsid w:val="002F267E"/>
    <w:rsid w:val="002F39D1"/>
    <w:rsid w:val="002F47D7"/>
    <w:rsid w:val="002F5CB6"/>
    <w:rsid w:val="002F65ED"/>
    <w:rsid w:val="003012C9"/>
    <w:rsid w:val="00304E16"/>
    <w:rsid w:val="00306EF4"/>
    <w:rsid w:val="0031033D"/>
    <w:rsid w:val="0031241B"/>
    <w:rsid w:val="00313846"/>
    <w:rsid w:val="00315FFD"/>
    <w:rsid w:val="0032309D"/>
    <w:rsid w:val="00326097"/>
    <w:rsid w:val="00326748"/>
    <w:rsid w:val="00327E20"/>
    <w:rsid w:val="00330261"/>
    <w:rsid w:val="00331A61"/>
    <w:rsid w:val="00331ED2"/>
    <w:rsid w:val="003349EC"/>
    <w:rsid w:val="00336A9A"/>
    <w:rsid w:val="003412BC"/>
    <w:rsid w:val="0034754D"/>
    <w:rsid w:val="00347811"/>
    <w:rsid w:val="003519DE"/>
    <w:rsid w:val="00351EFF"/>
    <w:rsid w:val="0035584D"/>
    <w:rsid w:val="003564E1"/>
    <w:rsid w:val="00356931"/>
    <w:rsid w:val="003605F8"/>
    <w:rsid w:val="00360841"/>
    <w:rsid w:val="00362D95"/>
    <w:rsid w:val="00366ADA"/>
    <w:rsid w:val="003712D1"/>
    <w:rsid w:val="00371E15"/>
    <w:rsid w:val="003729F8"/>
    <w:rsid w:val="0037327E"/>
    <w:rsid w:val="00374A35"/>
    <w:rsid w:val="00376F77"/>
    <w:rsid w:val="00381C13"/>
    <w:rsid w:val="00382C17"/>
    <w:rsid w:val="003850F4"/>
    <w:rsid w:val="00386997"/>
    <w:rsid w:val="00387245"/>
    <w:rsid w:val="003873AE"/>
    <w:rsid w:val="003874F6"/>
    <w:rsid w:val="00387664"/>
    <w:rsid w:val="003904A4"/>
    <w:rsid w:val="0039054A"/>
    <w:rsid w:val="0039086B"/>
    <w:rsid w:val="00391A70"/>
    <w:rsid w:val="003930AD"/>
    <w:rsid w:val="00395B17"/>
    <w:rsid w:val="003960FE"/>
    <w:rsid w:val="003962FB"/>
    <w:rsid w:val="00397C45"/>
    <w:rsid w:val="00397CBF"/>
    <w:rsid w:val="003A5985"/>
    <w:rsid w:val="003B10B5"/>
    <w:rsid w:val="003B1565"/>
    <w:rsid w:val="003B1FFC"/>
    <w:rsid w:val="003B72A4"/>
    <w:rsid w:val="003C26AC"/>
    <w:rsid w:val="003C2861"/>
    <w:rsid w:val="003C2C45"/>
    <w:rsid w:val="003C693F"/>
    <w:rsid w:val="003D1B50"/>
    <w:rsid w:val="003D325C"/>
    <w:rsid w:val="003D4670"/>
    <w:rsid w:val="003D72F6"/>
    <w:rsid w:val="003E3A1A"/>
    <w:rsid w:val="003E444D"/>
    <w:rsid w:val="003E4F02"/>
    <w:rsid w:val="003F05DA"/>
    <w:rsid w:val="003F0EFA"/>
    <w:rsid w:val="003F100E"/>
    <w:rsid w:val="003F16FE"/>
    <w:rsid w:val="00403544"/>
    <w:rsid w:val="0041173E"/>
    <w:rsid w:val="00415B7E"/>
    <w:rsid w:val="00415D33"/>
    <w:rsid w:val="00420995"/>
    <w:rsid w:val="004232A8"/>
    <w:rsid w:val="00424388"/>
    <w:rsid w:val="00425D5D"/>
    <w:rsid w:val="00426D71"/>
    <w:rsid w:val="004273F4"/>
    <w:rsid w:val="00433080"/>
    <w:rsid w:val="0043554F"/>
    <w:rsid w:val="00437A7B"/>
    <w:rsid w:val="00437E88"/>
    <w:rsid w:val="004427EF"/>
    <w:rsid w:val="00446CFC"/>
    <w:rsid w:val="00452588"/>
    <w:rsid w:val="004564F0"/>
    <w:rsid w:val="00457443"/>
    <w:rsid w:val="00461CE4"/>
    <w:rsid w:val="00463F51"/>
    <w:rsid w:val="00464AFD"/>
    <w:rsid w:val="00464C21"/>
    <w:rsid w:val="00471D96"/>
    <w:rsid w:val="004769D9"/>
    <w:rsid w:val="00480810"/>
    <w:rsid w:val="004812A2"/>
    <w:rsid w:val="004828A7"/>
    <w:rsid w:val="00482959"/>
    <w:rsid w:val="00483B2A"/>
    <w:rsid w:val="00485A10"/>
    <w:rsid w:val="004900FF"/>
    <w:rsid w:val="004916B7"/>
    <w:rsid w:val="00492A91"/>
    <w:rsid w:val="00494C21"/>
    <w:rsid w:val="0049507B"/>
    <w:rsid w:val="004A1E44"/>
    <w:rsid w:val="004A2428"/>
    <w:rsid w:val="004A5263"/>
    <w:rsid w:val="004A5951"/>
    <w:rsid w:val="004A6551"/>
    <w:rsid w:val="004A6639"/>
    <w:rsid w:val="004B11D9"/>
    <w:rsid w:val="004B6493"/>
    <w:rsid w:val="004D1804"/>
    <w:rsid w:val="004D3A2B"/>
    <w:rsid w:val="004D404D"/>
    <w:rsid w:val="004D768E"/>
    <w:rsid w:val="004E1CEC"/>
    <w:rsid w:val="004E2701"/>
    <w:rsid w:val="004E4FAD"/>
    <w:rsid w:val="004F1CA3"/>
    <w:rsid w:val="004F434C"/>
    <w:rsid w:val="004F618A"/>
    <w:rsid w:val="0050303F"/>
    <w:rsid w:val="00504637"/>
    <w:rsid w:val="00505863"/>
    <w:rsid w:val="005127B6"/>
    <w:rsid w:val="00523657"/>
    <w:rsid w:val="005314F7"/>
    <w:rsid w:val="00534647"/>
    <w:rsid w:val="00537905"/>
    <w:rsid w:val="00537B69"/>
    <w:rsid w:val="00541CC7"/>
    <w:rsid w:val="0054399C"/>
    <w:rsid w:val="00544271"/>
    <w:rsid w:val="00552D21"/>
    <w:rsid w:val="0056017D"/>
    <w:rsid w:val="00560806"/>
    <w:rsid w:val="005624F3"/>
    <w:rsid w:val="00562EB5"/>
    <w:rsid w:val="00563ED8"/>
    <w:rsid w:val="00564D09"/>
    <w:rsid w:val="005665DB"/>
    <w:rsid w:val="0057039D"/>
    <w:rsid w:val="00572029"/>
    <w:rsid w:val="005769A3"/>
    <w:rsid w:val="00580A46"/>
    <w:rsid w:val="00580BDB"/>
    <w:rsid w:val="0058126E"/>
    <w:rsid w:val="00581486"/>
    <w:rsid w:val="005827BC"/>
    <w:rsid w:val="00587908"/>
    <w:rsid w:val="0059099A"/>
    <w:rsid w:val="00595FCB"/>
    <w:rsid w:val="00597276"/>
    <w:rsid w:val="005A06DB"/>
    <w:rsid w:val="005A3773"/>
    <w:rsid w:val="005A526B"/>
    <w:rsid w:val="005A566D"/>
    <w:rsid w:val="005A680B"/>
    <w:rsid w:val="005A7666"/>
    <w:rsid w:val="005B56EF"/>
    <w:rsid w:val="005C0B7C"/>
    <w:rsid w:val="005C6385"/>
    <w:rsid w:val="005C72EA"/>
    <w:rsid w:val="005D057D"/>
    <w:rsid w:val="005D0FD4"/>
    <w:rsid w:val="005D18E9"/>
    <w:rsid w:val="005D395D"/>
    <w:rsid w:val="005D3DA7"/>
    <w:rsid w:val="005D6929"/>
    <w:rsid w:val="005D6A46"/>
    <w:rsid w:val="005E5171"/>
    <w:rsid w:val="005E7CCC"/>
    <w:rsid w:val="005E7D6D"/>
    <w:rsid w:val="005F3B51"/>
    <w:rsid w:val="005F42FF"/>
    <w:rsid w:val="005F7278"/>
    <w:rsid w:val="00600E57"/>
    <w:rsid w:val="0060293C"/>
    <w:rsid w:val="00603B38"/>
    <w:rsid w:val="00605D67"/>
    <w:rsid w:val="0060689A"/>
    <w:rsid w:val="00612546"/>
    <w:rsid w:val="00612728"/>
    <w:rsid w:val="00614654"/>
    <w:rsid w:val="006178DC"/>
    <w:rsid w:val="00620322"/>
    <w:rsid w:val="00636B1B"/>
    <w:rsid w:val="006434E9"/>
    <w:rsid w:val="00651020"/>
    <w:rsid w:val="00653D97"/>
    <w:rsid w:val="006549C9"/>
    <w:rsid w:val="006569F8"/>
    <w:rsid w:val="00670D4A"/>
    <w:rsid w:val="00672469"/>
    <w:rsid w:val="00674FD8"/>
    <w:rsid w:val="00675A17"/>
    <w:rsid w:val="0067613B"/>
    <w:rsid w:val="00681806"/>
    <w:rsid w:val="00687048"/>
    <w:rsid w:val="00696DE6"/>
    <w:rsid w:val="006973B6"/>
    <w:rsid w:val="006A06F5"/>
    <w:rsid w:val="006A227E"/>
    <w:rsid w:val="006A29C5"/>
    <w:rsid w:val="006A55EC"/>
    <w:rsid w:val="006A7662"/>
    <w:rsid w:val="006A77BE"/>
    <w:rsid w:val="006B3AA6"/>
    <w:rsid w:val="006B4E11"/>
    <w:rsid w:val="006C132C"/>
    <w:rsid w:val="006C37E8"/>
    <w:rsid w:val="006C4C52"/>
    <w:rsid w:val="006C5AD9"/>
    <w:rsid w:val="006D3497"/>
    <w:rsid w:val="006D64CC"/>
    <w:rsid w:val="006E3255"/>
    <w:rsid w:val="006E5B4E"/>
    <w:rsid w:val="006F287F"/>
    <w:rsid w:val="006F3489"/>
    <w:rsid w:val="006F42A3"/>
    <w:rsid w:val="006F45E6"/>
    <w:rsid w:val="006F5BD7"/>
    <w:rsid w:val="006F7EFC"/>
    <w:rsid w:val="0070002D"/>
    <w:rsid w:val="00703A29"/>
    <w:rsid w:val="00705516"/>
    <w:rsid w:val="00711051"/>
    <w:rsid w:val="00711ADB"/>
    <w:rsid w:val="0071481C"/>
    <w:rsid w:val="00716B5C"/>
    <w:rsid w:val="007228FC"/>
    <w:rsid w:val="00725031"/>
    <w:rsid w:val="00727B53"/>
    <w:rsid w:val="0073626E"/>
    <w:rsid w:val="00740EE7"/>
    <w:rsid w:val="007477F3"/>
    <w:rsid w:val="007507B4"/>
    <w:rsid w:val="00752DF8"/>
    <w:rsid w:val="00754310"/>
    <w:rsid w:val="00754334"/>
    <w:rsid w:val="00756157"/>
    <w:rsid w:val="0076292D"/>
    <w:rsid w:val="00766539"/>
    <w:rsid w:val="007712B0"/>
    <w:rsid w:val="007713A0"/>
    <w:rsid w:val="00772286"/>
    <w:rsid w:val="007722E6"/>
    <w:rsid w:val="00773F6E"/>
    <w:rsid w:val="007757A1"/>
    <w:rsid w:val="00782234"/>
    <w:rsid w:val="00783F20"/>
    <w:rsid w:val="00786DC8"/>
    <w:rsid w:val="007878C1"/>
    <w:rsid w:val="00791B1F"/>
    <w:rsid w:val="00793B0E"/>
    <w:rsid w:val="007A25AD"/>
    <w:rsid w:val="007A3624"/>
    <w:rsid w:val="007A3E07"/>
    <w:rsid w:val="007B1A09"/>
    <w:rsid w:val="007B72B9"/>
    <w:rsid w:val="007C47D5"/>
    <w:rsid w:val="007C4DC3"/>
    <w:rsid w:val="007C65BC"/>
    <w:rsid w:val="007C6619"/>
    <w:rsid w:val="007D4124"/>
    <w:rsid w:val="007D4165"/>
    <w:rsid w:val="007D4B93"/>
    <w:rsid w:val="007D55EA"/>
    <w:rsid w:val="007D5F3F"/>
    <w:rsid w:val="007E1FEA"/>
    <w:rsid w:val="007E2789"/>
    <w:rsid w:val="007E3F93"/>
    <w:rsid w:val="007E4301"/>
    <w:rsid w:val="007E5868"/>
    <w:rsid w:val="007E7570"/>
    <w:rsid w:val="007F0F4C"/>
    <w:rsid w:val="007F0FB3"/>
    <w:rsid w:val="007F4C24"/>
    <w:rsid w:val="007F6883"/>
    <w:rsid w:val="0080017C"/>
    <w:rsid w:val="008043CC"/>
    <w:rsid w:val="008048DE"/>
    <w:rsid w:val="008053E9"/>
    <w:rsid w:val="008116A0"/>
    <w:rsid w:val="00811BAA"/>
    <w:rsid w:val="00813F7D"/>
    <w:rsid w:val="00821368"/>
    <w:rsid w:val="0082297D"/>
    <w:rsid w:val="00824C6C"/>
    <w:rsid w:val="00825334"/>
    <w:rsid w:val="0083105C"/>
    <w:rsid w:val="00833E94"/>
    <w:rsid w:val="00836A93"/>
    <w:rsid w:val="00840296"/>
    <w:rsid w:val="00841720"/>
    <w:rsid w:val="008504CE"/>
    <w:rsid w:val="00851356"/>
    <w:rsid w:val="00857DDB"/>
    <w:rsid w:val="00861234"/>
    <w:rsid w:val="008630CB"/>
    <w:rsid w:val="0086664C"/>
    <w:rsid w:val="008672D9"/>
    <w:rsid w:val="00870FAF"/>
    <w:rsid w:val="00872A5F"/>
    <w:rsid w:val="00875C7D"/>
    <w:rsid w:val="00887043"/>
    <w:rsid w:val="00890447"/>
    <w:rsid w:val="00894508"/>
    <w:rsid w:val="00894E31"/>
    <w:rsid w:val="00897703"/>
    <w:rsid w:val="008A2E23"/>
    <w:rsid w:val="008A69D4"/>
    <w:rsid w:val="008B01DB"/>
    <w:rsid w:val="008B23B4"/>
    <w:rsid w:val="008C048C"/>
    <w:rsid w:val="008C1FA0"/>
    <w:rsid w:val="008C5B60"/>
    <w:rsid w:val="008C6461"/>
    <w:rsid w:val="008C7204"/>
    <w:rsid w:val="008D3C96"/>
    <w:rsid w:val="008E1BED"/>
    <w:rsid w:val="008E2E38"/>
    <w:rsid w:val="008E5936"/>
    <w:rsid w:val="008E65E7"/>
    <w:rsid w:val="008E7E04"/>
    <w:rsid w:val="008F02E9"/>
    <w:rsid w:val="008F2497"/>
    <w:rsid w:val="008F2DDA"/>
    <w:rsid w:val="008F4706"/>
    <w:rsid w:val="008F6B9F"/>
    <w:rsid w:val="009000B7"/>
    <w:rsid w:val="009028FB"/>
    <w:rsid w:val="00902BE3"/>
    <w:rsid w:val="0090556C"/>
    <w:rsid w:val="00910137"/>
    <w:rsid w:val="009102D3"/>
    <w:rsid w:val="00913CFE"/>
    <w:rsid w:val="009172B0"/>
    <w:rsid w:val="00917314"/>
    <w:rsid w:val="00917F09"/>
    <w:rsid w:val="009242C7"/>
    <w:rsid w:val="009256F6"/>
    <w:rsid w:val="009316C7"/>
    <w:rsid w:val="00933275"/>
    <w:rsid w:val="009429B4"/>
    <w:rsid w:val="009443BC"/>
    <w:rsid w:val="00945F10"/>
    <w:rsid w:val="0094603F"/>
    <w:rsid w:val="0095120E"/>
    <w:rsid w:val="009520F9"/>
    <w:rsid w:val="00952130"/>
    <w:rsid w:val="00952DFB"/>
    <w:rsid w:val="00953C63"/>
    <w:rsid w:val="00954D64"/>
    <w:rsid w:val="009614F4"/>
    <w:rsid w:val="00963E3D"/>
    <w:rsid w:val="00965C4C"/>
    <w:rsid w:val="009674DD"/>
    <w:rsid w:val="0096768A"/>
    <w:rsid w:val="00976E47"/>
    <w:rsid w:val="009817BE"/>
    <w:rsid w:val="0098478C"/>
    <w:rsid w:val="0098781D"/>
    <w:rsid w:val="00994C4E"/>
    <w:rsid w:val="0099566F"/>
    <w:rsid w:val="009A1B21"/>
    <w:rsid w:val="009B0292"/>
    <w:rsid w:val="009B0B1B"/>
    <w:rsid w:val="009B1D11"/>
    <w:rsid w:val="009B2125"/>
    <w:rsid w:val="009B3FBB"/>
    <w:rsid w:val="009B4823"/>
    <w:rsid w:val="009B5366"/>
    <w:rsid w:val="009B6F35"/>
    <w:rsid w:val="009C1CDE"/>
    <w:rsid w:val="009C5080"/>
    <w:rsid w:val="009C586F"/>
    <w:rsid w:val="009C5FEB"/>
    <w:rsid w:val="009C73CB"/>
    <w:rsid w:val="009C79DC"/>
    <w:rsid w:val="009D17CF"/>
    <w:rsid w:val="009D1993"/>
    <w:rsid w:val="009D1A5D"/>
    <w:rsid w:val="009D3410"/>
    <w:rsid w:val="009E35E6"/>
    <w:rsid w:val="009F244E"/>
    <w:rsid w:val="009F34BF"/>
    <w:rsid w:val="009F5698"/>
    <w:rsid w:val="00A0028D"/>
    <w:rsid w:val="00A02AEF"/>
    <w:rsid w:val="00A04200"/>
    <w:rsid w:val="00A04B39"/>
    <w:rsid w:val="00A0601E"/>
    <w:rsid w:val="00A07925"/>
    <w:rsid w:val="00A17962"/>
    <w:rsid w:val="00A20949"/>
    <w:rsid w:val="00A249BC"/>
    <w:rsid w:val="00A27924"/>
    <w:rsid w:val="00A326AA"/>
    <w:rsid w:val="00A34FDB"/>
    <w:rsid w:val="00A36FB3"/>
    <w:rsid w:val="00A406E6"/>
    <w:rsid w:val="00A4105C"/>
    <w:rsid w:val="00A4500C"/>
    <w:rsid w:val="00A463F5"/>
    <w:rsid w:val="00A53ADF"/>
    <w:rsid w:val="00A57AF4"/>
    <w:rsid w:val="00A614C6"/>
    <w:rsid w:val="00A61BCC"/>
    <w:rsid w:val="00A622C3"/>
    <w:rsid w:val="00A63564"/>
    <w:rsid w:val="00A64211"/>
    <w:rsid w:val="00A65158"/>
    <w:rsid w:val="00A6600E"/>
    <w:rsid w:val="00A6642F"/>
    <w:rsid w:val="00A73924"/>
    <w:rsid w:val="00A73F80"/>
    <w:rsid w:val="00A81B0B"/>
    <w:rsid w:val="00A824D4"/>
    <w:rsid w:val="00A83D30"/>
    <w:rsid w:val="00A84D91"/>
    <w:rsid w:val="00A8656A"/>
    <w:rsid w:val="00A9008F"/>
    <w:rsid w:val="00A91904"/>
    <w:rsid w:val="00A93196"/>
    <w:rsid w:val="00A94FE1"/>
    <w:rsid w:val="00A952C8"/>
    <w:rsid w:val="00A973B6"/>
    <w:rsid w:val="00AA4991"/>
    <w:rsid w:val="00AA68C3"/>
    <w:rsid w:val="00AA692B"/>
    <w:rsid w:val="00AB0558"/>
    <w:rsid w:val="00AB0C15"/>
    <w:rsid w:val="00AB48AA"/>
    <w:rsid w:val="00AB567D"/>
    <w:rsid w:val="00AB57D5"/>
    <w:rsid w:val="00AC0C7B"/>
    <w:rsid w:val="00AC0FB6"/>
    <w:rsid w:val="00AC180D"/>
    <w:rsid w:val="00AC32DD"/>
    <w:rsid w:val="00AD0643"/>
    <w:rsid w:val="00AD495C"/>
    <w:rsid w:val="00AD4D53"/>
    <w:rsid w:val="00AD5E0E"/>
    <w:rsid w:val="00AD7547"/>
    <w:rsid w:val="00AE4697"/>
    <w:rsid w:val="00AE472C"/>
    <w:rsid w:val="00AE7B1F"/>
    <w:rsid w:val="00AF66F4"/>
    <w:rsid w:val="00AF75D8"/>
    <w:rsid w:val="00B07C53"/>
    <w:rsid w:val="00B1119B"/>
    <w:rsid w:val="00B116F0"/>
    <w:rsid w:val="00B13D7B"/>
    <w:rsid w:val="00B176B8"/>
    <w:rsid w:val="00B23092"/>
    <w:rsid w:val="00B23674"/>
    <w:rsid w:val="00B2634B"/>
    <w:rsid w:val="00B30656"/>
    <w:rsid w:val="00B30BE7"/>
    <w:rsid w:val="00B3220A"/>
    <w:rsid w:val="00B32A21"/>
    <w:rsid w:val="00B34482"/>
    <w:rsid w:val="00B35E46"/>
    <w:rsid w:val="00B404DB"/>
    <w:rsid w:val="00B4106B"/>
    <w:rsid w:val="00B4784D"/>
    <w:rsid w:val="00B51564"/>
    <w:rsid w:val="00B51DB8"/>
    <w:rsid w:val="00B5276C"/>
    <w:rsid w:val="00B52CDA"/>
    <w:rsid w:val="00B55C6F"/>
    <w:rsid w:val="00B621D2"/>
    <w:rsid w:val="00B645AC"/>
    <w:rsid w:val="00B64B63"/>
    <w:rsid w:val="00B657FB"/>
    <w:rsid w:val="00B70149"/>
    <w:rsid w:val="00B7021F"/>
    <w:rsid w:val="00B759D0"/>
    <w:rsid w:val="00B75CA1"/>
    <w:rsid w:val="00B80946"/>
    <w:rsid w:val="00B82E46"/>
    <w:rsid w:val="00B83E6F"/>
    <w:rsid w:val="00B87489"/>
    <w:rsid w:val="00B91374"/>
    <w:rsid w:val="00B914AF"/>
    <w:rsid w:val="00B920C1"/>
    <w:rsid w:val="00B96991"/>
    <w:rsid w:val="00B97A10"/>
    <w:rsid w:val="00B97E79"/>
    <w:rsid w:val="00BA0681"/>
    <w:rsid w:val="00BA3D71"/>
    <w:rsid w:val="00BA44C6"/>
    <w:rsid w:val="00BA75FE"/>
    <w:rsid w:val="00BB087F"/>
    <w:rsid w:val="00BB167F"/>
    <w:rsid w:val="00BB2438"/>
    <w:rsid w:val="00BB2AF9"/>
    <w:rsid w:val="00BB68BF"/>
    <w:rsid w:val="00BB735A"/>
    <w:rsid w:val="00BB7703"/>
    <w:rsid w:val="00BC501B"/>
    <w:rsid w:val="00BC596B"/>
    <w:rsid w:val="00BC6301"/>
    <w:rsid w:val="00BD21CD"/>
    <w:rsid w:val="00BD3154"/>
    <w:rsid w:val="00BE078C"/>
    <w:rsid w:val="00BE256D"/>
    <w:rsid w:val="00BE6E9C"/>
    <w:rsid w:val="00BE7355"/>
    <w:rsid w:val="00BE7890"/>
    <w:rsid w:val="00BF0400"/>
    <w:rsid w:val="00BF1E97"/>
    <w:rsid w:val="00BF3280"/>
    <w:rsid w:val="00C13AB9"/>
    <w:rsid w:val="00C1641F"/>
    <w:rsid w:val="00C175BA"/>
    <w:rsid w:val="00C21834"/>
    <w:rsid w:val="00C21E3B"/>
    <w:rsid w:val="00C23A8F"/>
    <w:rsid w:val="00C247F2"/>
    <w:rsid w:val="00C27E26"/>
    <w:rsid w:val="00C32EE2"/>
    <w:rsid w:val="00C35160"/>
    <w:rsid w:val="00C354F0"/>
    <w:rsid w:val="00C35E60"/>
    <w:rsid w:val="00C446E8"/>
    <w:rsid w:val="00C44839"/>
    <w:rsid w:val="00C509DF"/>
    <w:rsid w:val="00C57549"/>
    <w:rsid w:val="00C57817"/>
    <w:rsid w:val="00C6093C"/>
    <w:rsid w:val="00C61D4E"/>
    <w:rsid w:val="00C62FCC"/>
    <w:rsid w:val="00C63E23"/>
    <w:rsid w:val="00C64BF0"/>
    <w:rsid w:val="00C65A3F"/>
    <w:rsid w:val="00C65CD1"/>
    <w:rsid w:val="00C73C1A"/>
    <w:rsid w:val="00C754AA"/>
    <w:rsid w:val="00C77CEF"/>
    <w:rsid w:val="00C8132D"/>
    <w:rsid w:val="00C818D5"/>
    <w:rsid w:val="00C85C9D"/>
    <w:rsid w:val="00C87703"/>
    <w:rsid w:val="00C930CA"/>
    <w:rsid w:val="00C93A5D"/>
    <w:rsid w:val="00C93AAA"/>
    <w:rsid w:val="00C93C99"/>
    <w:rsid w:val="00C96413"/>
    <w:rsid w:val="00CA191B"/>
    <w:rsid w:val="00CA5FAD"/>
    <w:rsid w:val="00CA62E8"/>
    <w:rsid w:val="00CA6B34"/>
    <w:rsid w:val="00CB04CD"/>
    <w:rsid w:val="00CB2067"/>
    <w:rsid w:val="00CB6794"/>
    <w:rsid w:val="00CB6E55"/>
    <w:rsid w:val="00CC2655"/>
    <w:rsid w:val="00CC2EDB"/>
    <w:rsid w:val="00CC39E1"/>
    <w:rsid w:val="00CC5A0A"/>
    <w:rsid w:val="00CD249C"/>
    <w:rsid w:val="00CD431E"/>
    <w:rsid w:val="00CD593F"/>
    <w:rsid w:val="00CD644B"/>
    <w:rsid w:val="00CE1FE4"/>
    <w:rsid w:val="00CE28E1"/>
    <w:rsid w:val="00CE32C9"/>
    <w:rsid w:val="00CE697E"/>
    <w:rsid w:val="00CE7D7A"/>
    <w:rsid w:val="00CF2D90"/>
    <w:rsid w:val="00CF3682"/>
    <w:rsid w:val="00CF6C4E"/>
    <w:rsid w:val="00CF78C6"/>
    <w:rsid w:val="00CF7F8E"/>
    <w:rsid w:val="00D0424E"/>
    <w:rsid w:val="00D06FC0"/>
    <w:rsid w:val="00D23452"/>
    <w:rsid w:val="00D23843"/>
    <w:rsid w:val="00D27EA5"/>
    <w:rsid w:val="00D30BE5"/>
    <w:rsid w:val="00D325FF"/>
    <w:rsid w:val="00D33BD2"/>
    <w:rsid w:val="00D37FD8"/>
    <w:rsid w:val="00D50243"/>
    <w:rsid w:val="00D551F3"/>
    <w:rsid w:val="00D6225C"/>
    <w:rsid w:val="00D635FA"/>
    <w:rsid w:val="00D64AEE"/>
    <w:rsid w:val="00D67897"/>
    <w:rsid w:val="00D76471"/>
    <w:rsid w:val="00D8081C"/>
    <w:rsid w:val="00D8124A"/>
    <w:rsid w:val="00D84570"/>
    <w:rsid w:val="00D871A5"/>
    <w:rsid w:val="00D87BD9"/>
    <w:rsid w:val="00D911AF"/>
    <w:rsid w:val="00D91AA5"/>
    <w:rsid w:val="00D92638"/>
    <w:rsid w:val="00DA6A00"/>
    <w:rsid w:val="00DA747C"/>
    <w:rsid w:val="00DB1B1B"/>
    <w:rsid w:val="00DB1DF8"/>
    <w:rsid w:val="00DB4B5E"/>
    <w:rsid w:val="00DB6AED"/>
    <w:rsid w:val="00DC4D0E"/>
    <w:rsid w:val="00DC4E07"/>
    <w:rsid w:val="00DC57FD"/>
    <w:rsid w:val="00DD3CB7"/>
    <w:rsid w:val="00DD4C60"/>
    <w:rsid w:val="00DD5B1C"/>
    <w:rsid w:val="00DD5CA5"/>
    <w:rsid w:val="00DD6EB9"/>
    <w:rsid w:val="00DE0BFA"/>
    <w:rsid w:val="00DE598B"/>
    <w:rsid w:val="00DE78B1"/>
    <w:rsid w:val="00DF174F"/>
    <w:rsid w:val="00DF60CA"/>
    <w:rsid w:val="00DF61A6"/>
    <w:rsid w:val="00DF7D4F"/>
    <w:rsid w:val="00E01DD0"/>
    <w:rsid w:val="00E02626"/>
    <w:rsid w:val="00E0507A"/>
    <w:rsid w:val="00E15AA8"/>
    <w:rsid w:val="00E21B8F"/>
    <w:rsid w:val="00E232DD"/>
    <w:rsid w:val="00E2355F"/>
    <w:rsid w:val="00E2401C"/>
    <w:rsid w:val="00E2567B"/>
    <w:rsid w:val="00E2721E"/>
    <w:rsid w:val="00E30313"/>
    <w:rsid w:val="00E32900"/>
    <w:rsid w:val="00E338EB"/>
    <w:rsid w:val="00E34A45"/>
    <w:rsid w:val="00E365DC"/>
    <w:rsid w:val="00E37344"/>
    <w:rsid w:val="00E40A43"/>
    <w:rsid w:val="00E432EC"/>
    <w:rsid w:val="00E446B1"/>
    <w:rsid w:val="00E52489"/>
    <w:rsid w:val="00E53DA0"/>
    <w:rsid w:val="00E55C29"/>
    <w:rsid w:val="00E55C60"/>
    <w:rsid w:val="00E55F48"/>
    <w:rsid w:val="00E62145"/>
    <w:rsid w:val="00E66AAA"/>
    <w:rsid w:val="00E70491"/>
    <w:rsid w:val="00E71E71"/>
    <w:rsid w:val="00E72363"/>
    <w:rsid w:val="00E80BFC"/>
    <w:rsid w:val="00E80FAF"/>
    <w:rsid w:val="00E858ED"/>
    <w:rsid w:val="00E862E4"/>
    <w:rsid w:val="00E9171B"/>
    <w:rsid w:val="00E926A0"/>
    <w:rsid w:val="00E932EE"/>
    <w:rsid w:val="00E949C5"/>
    <w:rsid w:val="00E95605"/>
    <w:rsid w:val="00EA5819"/>
    <w:rsid w:val="00EA5990"/>
    <w:rsid w:val="00EA7DA7"/>
    <w:rsid w:val="00EA7E53"/>
    <w:rsid w:val="00EB4E59"/>
    <w:rsid w:val="00EB740D"/>
    <w:rsid w:val="00EC1A8C"/>
    <w:rsid w:val="00EC1C66"/>
    <w:rsid w:val="00ED3639"/>
    <w:rsid w:val="00ED424E"/>
    <w:rsid w:val="00ED4A6D"/>
    <w:rsid w:val="00ED68D4"/>
    <w:rsid w:val="00ED6C59"/>
    <w:rsid w:val="00EE214B"/>
    <w:rsid w:val="00EE3BD3"/>
    <w:rsid w:val="00EF662D"/>
    <w:rsid w:val="00EF7473"/>
    <w:rsid w:val="00F01C27"/>
    <w:rsid w:val="00F03106"/>
    <w:rsid w:val="00F04BE0"/>
    <w:rsid w:val="00F05812"/>
    <w:rsid w:val="00F068E2"/>
    <w:rsid w:val="00F06900"/>
    <w:rsid w:val="00F06E2C"/>
    <w:rsid w:val="00F114CB"/>
    <w:rsid w:val="00F120DC"/>
    <w:rsid w:val="00F13269"/>
    <w:rsid w:val="00F153E8"/>
    <w:rsid w:val="00F173E7"/>
    <w:rsid w:val="00F23219"/>
    <w:rsid w:val="00F24A81"/>
    <w:rsid w:val="00F27983"/>
    <w:rsid w:val="00F31319"/>
    <w:rsid w:val="00F36611"/>
    <w:rsid w:val="00F366BC"/>
    <w:rsid w:val="00F36A42"/>
    <w:rsid w:val="00F37B06"/>
    <w:rsid w:val="00F4051E"/>
    <w:rsid w:val="00F46753"/>
    <w:rsid w:val="00F47952"/>
    <w:rsid w:val="00F508DF"/>
    <w:rsid w:val="00F525BE"/>
    <w:rsid w:val="00F53A93"/>
    <w:rsid w:val="00F5417A"/>
    <w:rsid w:val="00F5488C"/>
    <w:rsid w:val="00F54CDE"/>
    <w:rsid w:val="00F60831"/>
    <w:rsid w:val="00F64759"/>
    <w:rsid w:val="00F655A7"/>
    <w:rsid w:val="00F66ABA"/>
    <w:rsid w:val="00F7115F"/>
    <w:rsid w:val="00F71C62"/>
    <w:rsid w:val="00F74E40"/>
    <w:rsid w:val="00F76E34"/>
    <w:rsid w:val="00F81E86"/>
    <w:rsid w:val="00F90F56"/>
    <w:rsid w:val="00F91CAE"/>
    <w:rsid w:val="00F93CD8"/>
    <w:rsid w:val="00F952F4"/>
    <w:rsid w:val="00F965F1"/>
    <w:rsid w:val="00F9683C"/>
    <w:rsid w:val="00F96F47"/>
    <w:rsid w:val="00FB1CD2"/>
    <w:rsid w:val="00FB44E1"/>
    <w:rsid w:val="00FB6810"/>
    <w:rsid w:val="00FC0438"/>
    <w:rsid w:val="00FC3814"/>
    <w:rsid w:val="00FC6181"/>
    <w:rsid w:val="00FC7A59"/>
    <w:rsid w:val="00FD0E2E"/>
    <w:rsid w:val="00FD1817"/>
    <w:rsid w:val="00FD2CD1"/>
    <w:rsid w:val="00FD2EB4"/>
    <w:rsid w:val="00FD5389"/>
    <w:rsid w:val="00FD54D8"/>
    <w:rsid w:val="00FE0CF0"/>
    <w:rsid w:val="00FE166A"/>
    <w:rsid w:val="00FE35C9"/>
    <w:rsid w:val="00FE7562"/>
    <w:rsid w:val="00FF05D5"/>
    <w:rsid w:val="00FF4AB2"/>
    <w:rsid w:val="00FF5DC6"/>
    <w:rsid w:val="00FF70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771CE4"/>
  <w15:chartTrackingRefBased/>
  <w15:docId w15:val="{107150F4-0C74-4A59-B29A-77333277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D64AE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124"/>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D64AEE"/>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793B0E"/>
    <w:rPr>
      <w:color w:val="0563C1" w:themeColor="hyperlink"/>
      <w:u w:val="single"/>
    </w:rPr>
  </w:style>
  <w:style w:type="character" w:styleId="UnresolvedMention">
    <w:name w:val="Unresolved Mention"/>
    <w:basedOn w:val="DefaultParagraphFont"/>
    <w:uiPriority w:val="99"/>
    <w:semiHidden/>
    <w:unhideWhenUsed/>
    <w:rsid w:val="00793B0E"/>
    <w:rPr>
      <w:color w:val="605E5C"/>
      <w:shd w:val="clear" w:color="auto" w:fill="E1DFDD"/>
    </w:rPr>
  </w:style>
  <w:style w:type="paragraph" w:styleId="Header">
    <w:name w:val="header"/>
    <w:basedOn w:val="Normal"/>
    <w:link w:val="HeaderChar"/>
    <w:uiPriority w:val="99"/>
    <w:unhideWhenUsed/>
    <w:rsid w:val="00DB1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DF8"/>
  </w:style>
  <w:style w:type="paragraph" w:styleId="Footer">
    <w:name w:val="footer"/>
    <w:basedOn w:val="Normal"/>
    <w:link w:val="FooterChar"/>
    <w:uiPriority w:val="99"/>
    <w:unhideWhenUsed/>
    <w:rsid w:val="00DB1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DF8"/>
  </w:style>
  <w:style w:type="character" w:styleId="LineNumber">
    <w:name w:val="line number"/>
    <w:basedOn w:val="DefaultParagraphFont"/>
    <w:uiPriority w:val="99"/>
    <w:semiHidden/>
    <w:unhideWhenUsed/>
    <w:rsid w:val="00DB1DF8"/>
  </w:style>
  <w:style w:type="paragraph" w:styleId="ListParagraph">
    <w:name w:val="List Paragraph"/>
    <w:basedOn w:val="Normal"/>
    <w:uiPriority w:val="34"/>
    <w:qFormat/>
    <w:rsid w:val="006F287F"/>
    <w:pPr>
      <w:ind w:left="720"/>
      <w:contextualSpacing/>
    </w:pPr>
  </w:style>
  <w:style w:type="paragraph" w:customStyle="1" w:styleId="AcknHead">
    <w:name w:val="Ackn Head"/>
    <w:basedOn w:val="Normal"/>
    <w:rsid w:val="00A6600E"/>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A6600E"/>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5468">
      <w:bodyDiv w:val="1"/>
      <w:marLeft w:val="0"/>
      <w:marRight w:val="0"/>
      <w:marTop w:val="0"/>
      <w:marBottom w:val="0"/>
      <w:divBdr>
        <w:top w:val="none" w:sz="0" w:space="0" w:color="auto"/>
        <w:left w:val="none" w:sz="0" w:space="0" w:color="auto"/>
        <w:bottom w:val="none" w:sz="0" w:space="0" w:color="auto"/>
        <w:right w:val="none" w:sz="0" w:space="0" w:color="auto"/>
      </w:divBdr>
    </w:div>
    <w:div w:id="229005490">
      <w:bodyDiv w:val="1"/>
      <w:marLeft w:val="0"/>
      <w:marRight w:val="0"/>
      <w:marTop w:val="0"/>
      <w:marBottom w:val="0"/>
      <w:divBdr>
        <w:top w:val="none" w:sz="0" w:space="0" w:color="auto"/>
        <w:left w:val="none" w:sz="0" w:space="0" w:color="auto"/>
        <w:bottom w:val="none" w:sz="0" w:space="0" w:color="auto"/>
        <w:right w:val="none" w:sz="0" w:space="0" w:color="auto"/>
      </w:divBdr>
    </w:div>
    <w:div w:id="322975224">
      <w:bodyDiv w:val="1"/>
      <w:marLeft w:val="0"/>
      <w:marRight w:val="0"/>
      <w:marTop w:val="0"/>
      <w:marBottom w:val="0"/>
      <w:divBdr>
        <w:top w:val="none" w:sz="0" w:space="0" w:color="auto"/>
        <w:left w:val="none" w:sz="0" w:space="0" w:color="auto"/>
        <w:bottom w:val="none" w:sz="0" w:space="0" w:color="auto"/>
        <w:right w:val="none" w:sz="0" w:space="0" w:color="auto"/>
      </w:divBdr>
    </w:div>
    <w:div w:id="333148903">
      <w:bodyDiv w:val="1"/>
      <w:marLeft w:val="0"/>
      <w:marRight w:val="0"/>
      <w:marTop w:val="0"/>
      <w:marBottom w:val="0"/>
      <w:divBdr>
        <w:top w:val="none" w:sz="0" w:space="0" w:color="auto"/>
        <w:left w:val="none" w:sz="0" w:space="0" w:color="auto"/>
        <w:bottom w:val="none" w:sz="0" w:space="0" w:color="auto"/>
        <w:right w:val="none" w:sz="0" w:space="0" w:color="auto"/>
      </w:divBdr>
    </w:div>
    <w:div w:id="637027506">
      <w:bodyDiv w:val="1"/>
      <w:marLeft w:val="0"/>
      <w:marRight w:val="0"/>
      <w:marTop w:val="0"/>
      <w:marBottom w:val="0"/>
      <w:divBdr>
        <w:top w:val="none" w:sz="0" w:space="0" w:color="auto"/>
        <w:left w:val="none" w:sz="0" w:space="0" w:color="auto"/>
        <w:bottom w:val="none" w:sz="0" w:space="0" w:color="auto"/>
        <w:right w:val="none" w:sz="0" w:space="0" w:color="auto"/>
      </w:divBdr>
    </w:div>
    <w:div w:id="644236733">
      <w:bodyDiv w:val="1"/>
      <w:marLeft w:val="0"/>
      <w:marRight w:val="0"/>
      <w:marTop w:val="0"/>
      <w:marBottom w:val="0"/>
      <w:divBdr>
        <w:top w:val="none" w:sz="0" w:space="0" w:color="auto"/>
        <w:left w:val="none" w:sz="0" w:space="0" w:color="auto"/>
        <w:bottom w:val="none" w:sz="0" w:space="0" w:color="auto"/>
        <w:right w:val="none" w:sz="0" w:space="0" w:color="auto"/>
      </w:divBdr>
    </w:div>
    <w:div w:id="652828893">
      <w:bodyDiv w:val="1"/>
      <w:marLeft w:val="0"/>
      <w:marRight w:val="0"/>
      <w:marTop w:val="0"/>
      <w:marBottom w:val="0"/>
      <w:divBdr>
        <w:top w:val="none" w:sz="0" w:space="0" w:color="auto"/>
        <w:left w:val="none" w:sz="0" w:space="0" w:color="auto"/>
        <w:bottom w:val="none" w:sz="0" w:space="0" w:color="auto"/>
        <w:right w:val="none" w:sz="0" w:space="0" w:color="auto"/>
      </w:divBdr>
    </w:div>
    <w:div w:id="744575916">
      <w:bodyDiv w:val="1"/>
      <w:marLeft w:val="0"/>
      <w:marRight w:val="0"/>
      <w:marTop w:val="0"/>
      <w:marBottom w:val="0"/>
      <w:divBdr>
        <w:top w:val="none" w:sz="0" w:space="0" w:color="auto"/>
        <w:left w:val="none" w:sz="0" w:space="0" w:color="auto"/>
        <w:bottom w:val="none" w:sz="0" w:space="0" w:color="auto"/>
        <w:right w:val="none" w:sz="0" w:space="0" w:color="auto"/>
      </w:divBdr>
    </w:div>
    <w:div w:id="758477666">
      <w:bodyDiv w:val="1"/>
      <w:marLeft w:val="0"/>
      <w:marRight w:val="0"/>
      <w:marTop w:val="0"/>
      <w:marBottom w:val="0"/>
      <w:divBdr>
        <w:top w:val="none" w:sz="0" w:space="0" w:color="auto"/>
        <w:left w:val="none" w:sz="0" w:space="0" w:color="auto"/>
        <w:bottom w:val="none" w:sz="0" w:space="0" w:color="auto"/>
        <w:right w:val="none" w:sz="0" w:space="0" w:color="auto"/>
      </w:divBdr>
      <w:divsChild>
        <w:div w:id="385108007">
          <w:marLeft w:val="0"/>
          <w:marRight w:val="0"/>
          <w:marTop w:val="0"/>
          <w:marBottom w:val="0"/>
          <w:divBdr>
            <w:top w:val="none" w:sz="0" w:space="0" w:color="auto"/>
            <w:left w:val="none" w:sz="0" w:space="0" w:color="auto"/>
            <w:bottom w:val="none" w:sz="0" w:space="0" w:color="auto"/>
            <w:right w:val="none" w:sz="0" w:space="0" w:color="auto"/>
          </w:divBdr>
        </w:div>
      </w:divsChild>
    </w:div>
    <w:div w:id="830831569">
      <w:bodyDiv w:val="1"/>
      <w:marLeft w:val="0"/>
      <w:marRight w:val="0"/>
      <w:marTop w:val="0"/>
      <w:marBottom w:val="0"/>
      <w:divBdr>
        <w:top w:val="none" w:sz="0" w:space="0" w:color="auto"/>
        <w:left w:val="none" w:sz="0" w:space="0" w:color="auto"/>
        <w:bottom w:val="none" w:sz="0" w:space="0" w:color="auto"/>
        <w:right w:val="none" w:sz="0" w:space="0" w:color="auto"/>
      </w:divBdr>
    </w:div>
    <w:div w:id="875657993">
      <w:bodyDiv w:val="1"/>
      <w:marLeft w:val="0"/>
      <w:marRight w:val="0"/>
      <w:marTop w:val="0"/>
      <w:marBottom w:val="0"/>
      <w:divBdr>
        <w:top w:val="none" w:sz="0" w:space="0" w:color="auto"/>
        <w:left w:val="none" w:sz="0" w:space="0" w:color="auto"/>
        <w:bottom w:val="none" w:sz="0" w:space="0" w:color="auto"/>
        <w:right w:val="none" w:sz="0" w:space="0" w:color="auto"/>
      </w:divBdr>
      <w:divsChild>
        <w:div w:id="1443961716">
          <w:marLeft w:val="0"/>
          <w:marRight w:val="0"/>
          <w:marTop w:val="0"/>
          <w:marBottom w:val="0"/>
          <w:divBdr>
            <w:top w:val="none" w:sz="0" w:space="0" w:color="auto"/>
            <w:left w:val="none" w:sz="0" w:space="0" w:color="auto"/>
            <w:bottom w:val="none" w:sz="0" w:space="0" w:color="auto"/>
            <w:right w:val="none" w:sz="0" w:space="0" w:color="auto"/>
          </w:divBdr>
          <w:divsChild>
            <w:div w:id="1778524565">
              <w:marLeft w:val="0"/>
              <w:marRight w:val="0"/>
              <w:marTop w:val="0"/>
              <w:marBottom w:val="0"/>
              <w:divBdr>
                <w:top w:val="none" w:sz="0" w:space="0" w:color="auto"/>
                <w:left w:val="none" w:sz="0" w:space="0" w:color="auto"/>
                <w:bottom w:val="none" w:sz="0" w:space="0" w:color="auto"/>
                <w:right w:val="none" w:sz="0" w:space="0" w:color="auto"/>
              </w:divBdr>
              <w:divsChild>
                <w:div w:id="65617000">
                  <w:marLeft w:val="0"/>
                  <w:marRight w:val="0"/>
                  <w:marTop w:val="0"/>
                  <w:marBottom w:val="0"/>
                  <w:divBdr>
                    <w:top w:val="none" w:sz="0" w:space="0" w:color="auto"/>
                    <w:left w:val="none" w:sz="0" w:space="0" w:color="auto"/>
                    <w:bottom w:val="none" w:sz="0" w:space="0" w:color="auto"/>
                    <w:right w:val="none" w:sz="0" w:space="0" w:color="auto"/>
                  </w:divBdr>
                  <w:divsChild>
                    <w:div w:id="3883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3442">
          <w:marLeft w:val="0"/>
          <w:marRight w:val="0"/>
          <w:marTop w:val="0"/>
          <w:marBottom w:val="0"/>
          <w:divBdr>
            <w:top w:val="none" w:sz="0" w:space="0" w:color="auto"/>
            <w:left w:val="none" w:sz="0" w:space="0" w:color="auto"/>
            <w:bottom w:val="none" w:sz="0" w:space="0" w:color="auto"/>
            <w:right w:val="none" w:sz="0" w:space="0" w:color="auto"/>
          </w:divBdr>
          <w:divsChild>
            <w:div w:id="403797901">
              <w:marLeft w:val="0"/>
              <w:marRight w:val="0"/>
              <w:marTop w:val="0"/>
              <w:marBottom w:val="0"/>
              <w:divBdr>
                <w:top w:val="none" w:sz="0" w:space="0" w:color="auto"/>
                <w:left w:val="none" w:sz="0" w:space="0" w:color="auto"/>
                <w:bottom w:val="none" w:sz="0" w:space="0" w:color="auto"/>
                <w:right w:val="none" w:sz="0" w:space="0" w:color="auto"/>
              </w:divBdr>
              <w:divsChild>
                <w:div w:id="81268914">
                  <w:marLeft w:val="0"/>
                  <w:marRight w:val="0"/>
                  <w:marTop w:val="0"/>
                  <w:marBottom w:val="0"/>
                  <w:divBdr>
                    <w:top w:val="none" w:sz="0" w:space="0" w:color="auto"/>
                    <w:left w:val="none" w:sz="0" w:space="0" w:color="auto"/>
                    <w:bottom w:val="none" w:sz="0" w:space="0" w:color="auto"/>
                    <w:right w:val="none" w:sz="0" w:space="0" w:color="auto"/>
                  </w:divBdr>
                  <w:divsChild>
                    <w:div w:id="9774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3097">
      <w:bodyDiv w:val="1"/>
      <w:marLeft w:val="0"/>
      <w:marRight w:val="0"/>
      <w:marTop w:val="0"/>
      <w:marBottom w:val="0"/>
      <w:divBdr>
        <w:top w:val="none" w:sz="0" w:space="0" w:color="auto"/>
        <w:left w:val="none" w:sz="0" w:space="0" w:color="auto"/>
        <w:bottom w:val="none" w:sz="0" w:space="0" w:color="auto"/>
        <w:right w:val="none" w:sz="0" w:space="0" w:color="auto"/>
      </w:divBdr>
    </w:div>
    <w:div w:id="1434856396">
      <w:bodyDiv w:val="1"/>
      <w:marLeft w:val="0"/>
      <w:marRight w:val="0"/>
      <w:marTop w:val="0"/>
      <w:marBottom w:val="0"/>
      <w:divBdr>
        <w:top w:val="none" w:sz="0" w:space="0" w:color="auto"/>
        <w:left w:val="none" w:sz="0" w:space="0" w:color="auto"/>
        <w:bottom w:val="none" w:sz="0" w:space="0" w:color="auto"/>
        <w:right w:val="none" w:sz="0" w:space="0" w:color="auto"/>
      </w:divBdr>
    </w:div>
    <w:div w:id="1559902092">
      <w:bodyDiv w:val="1"/>
      <w:marLeft w:val="0"/>
      <w:marRight w:val="0"/>
      <w:marTop w:val="0"/>
      <w:marBottom w:val="0"/>
      <w:divBdr>
        <w:top w:val="none" w:sz="0" w:space="0" w:color="auto"/>
        <w:left w:val="none" w:sz="0" w:space="0" w:color="auto"/>
        <w:bottom w:val="none" w:sz="0" w:space="0" w:color="auto"/>
        <w:right w:val="none" w:sz="0" w:space="0" w:color="auto"/>
      </w:divBdr>
    </w:div>
    <w:div w:id="1561671719">
      <w:bodyDiv w:val="1"/>
      <w:marLeft w:val="0"/>
      <w:marRight w:val="0"/>
      <w:marTop w:val="0"/>
      <w:marBottom w:val="0"/>
      <w:divBdr>
        <w:top w:val="none" w:sz="0" w:space="0" w:color="auto"/>
        <w:left w:val="none" w:sz="0" w:space="0" w:color="auto"/>
        <w:bottom w:val="none" w:sz="0" w:space="0" w:color="auto"/>
        <w:right w:val="none" w:sz="0" w:space="0" w:color="auto"/>
      </w:divBdr>
      <w:divsChild>
        <w:div w:id="1276710919">
          <w:marLeft w:val="0"/>
          <w:marRight w:val="0"/>
          <w:marTop w:val="0"/>
          <w:marBottom w:val="0"/>
          <w:divBdr>
            <w:top w:val="none" w:sz="0" w:space="0" w:color="auto"/>
            <w:left w:val="none" w:sz="0" w:space="0" w:color="auto"/>
            <w:bottom w:val="none" w:sz="0" w:space="0" w:color="auto"/>
            <w:right w:val="none" w:sz="0" w:space="0" w:color="auto"/>
          </w:divBdr>
          <w:divsChild>
            <w:div w:id="1241717944">
              <w:marLeft w:val="0"/>
              <w:marRight w:val="0"/>
              <w:marTop w:val="0"/>
              <w:marBottom w:val="0"/>
              <w:divBdr>
                <w:top w:val="none" w:sz="0" w:space="0" w:color="auto"/>
                <w:left w:val="none" w:sz="0" w:space="0" w:color="auto"/>
                <w:bottom w:val="none" w:sz="0" w:space="0" w:color="auto"/>
                <w:right w:val="none" w:sz="0" w:space="0" w:color="auto"/>
              </w:divBdr>
              <w:divsChild>
                <w:div w:id="233399715">
                  <w:marLeft w:val="0"/>
                  <w:marRight w:val="0"/>
                  <w:marTop w:val="0"/>
                  <w:marBottom w:val="0"/>
                  <w:divBdr>
                    <w:top w:val="none" w:sz="0" w:space="0" w:color="auto"/>
                    <w:left w:val="none" w:sz="0" w:space="0" w:color="auto"/>
                    <w:bottom w:val="none" w:sz="0" w:space="0" w:color="auto"/>
                    <w:right w:val="none" w:sz="0" w:space="0" w:color="auto"/>
                  </w:divBdr>
                  <w:divsChild>
                    <w:div w:id="9136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81360">
          <w:marLeft w:val="0"/>
          <w:marRight w:val="0"/>
          <w:marTop w:val="0"/>
          <w:marBottom w:val="0"/>
          <w:divBdr>
            <w:top w:val="none" w:sz="0" w:space="0" w:color="auto"/>
            <w:left w:val="none" w:sz="0" w:space="0" w:color="auto"/>
            <w:bottom w:val="none" w:sz="0" w:space="0" w:color="auto"/>
            <w:right w:val="none" w:sz="0" w:space="0" w:color="auto"/>
          </w:divBdr>
          <w:divsChild>
            <w:div w:id="1576090352">
              <w:marLeft w:val="0"/>
              <w:marRight w:val="0"/>
              <w:marTop w:val="0"/>
              <w:marBottom w:val="0"/>
              <w:divBdr>
                <w:top w:val="none" w:sz="0" w:space="0" w:color="auto"/>
                <w:left w:val="none" w:sz="0" w:space="0" w:color="auto"/>
                <w:bottom w:val="none" w:sz="0" w:space="0" w:color="auto"/>
                <w:right w:val="none" w:sz="0" w:space="0" w:color="auto"/>
              </w:divBdr>
              <w:divsChild>
                <w:div w:id="1861702811">
                  <w:marLeft w:val="0"/>
                  <w:marRight w:val="0"/>
                  <w:marTop w:val="0"/>
                  <w:marBottom w:val="0"/>
                  <w:divBdr>
                    <w:top w:val="none" w:sz="0" w:space="0" w:color="auto"/>
                    <w:left w:val="none" w:sz="0" w:space="0" w:color="auto"/>
                    <w:bottom w:val="none" w:sz="0" w:space="0" w:color="auto"/>
                    <w:right w:val="none" w:sz="0" w:space="0" w:color="auto"/>
                  </w:divBdr>
                  <w:divsChild>
                    <w:div w:id="18701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31624">
      <w:bodyDiv w:val="1"/>
      <w:marLeft w:val="0"/>
      <w:marRight w:val="0"/>
      <w:marTop w:val="0"/>
      <w:marBottom w:val="0"/>
      <w:divBdr>
        <w:top w:val="none" w:sz="0" w:space="0" w:color="auto"/>
        <w:left w:val="none" w:sz="0" w:space="0" w:color="auto"/>
        <w:bottom w:val="none" w:sz="0" w:space="0" w:color="auto"/>
        <w:right w:val="none" w:sz="0" w:space="0" w:color="auto"/>
      </w:divBdr>
      <w:divsChild>
        <w:div w:id="613907250">
          <w:marLeft w:val="0"/>
          <w:marRight w:val="0"/>
          <w:marTop w:val="0"/>
          <w:marBottom w:val="0"/>
          <w:divBdr>
            <w:top w:val="none" w:sz="0" w:space="0" w:color="auto"/>
            <w:left w:val="none" w:sz="0" w:space="0" w:color="auto"/>
            <w:bottom w:val="none" w:sz="0" w:space="0" w:color="auto"/>
            <w:right w:val="none" w:sz="0" w:space="0" w:color="auto"/>
          </w:divBdr>
        </w:div>
      </w:divsChild>
    </w:div>
    <w:div w:id="1628243714">
      <w:bodyDiv w:val="1"/>
      <w:marLeft w:val="0"/>
      <w:marRight w:val="0"/>
      <w:marTop w:val="0"/>
      <w:marBottom w:val="0"/>
      <w:divBdr>
        <w:top w:val="none" w:sz="0" w:space="0" w:color="auto"/>
        <w:left w:val="none" w:sz="0" w:space="0" w:color="auto"/>
        <w:bottom w:val="none" w:sz="0" w:space="0" w:color="auto"/>
        <w:right w:val="none" w:sz="0" w:space="0" w:color="auto"/>
      </w:divBdr>
    </w:div>
    <w:div w:id="1680037228">
      <w:bodyDiv w:val="1"/>
      <w:marLeft w:val="0"/>
      <w:marRight w:val="0"/>
      <w:marTop w:val="0"/>
      <w:marBottom w:val="0"/>
      <w:divBdr>
        <w:top w:val="none" w:sz="0" w:space="0" w:color="auto"/>
        <w:left w:val="none" w:sz="0" w:space="0" w:color="auto"/>
        <w:bottom w:val="none" w:sz="0" w:space="0" w:color="auto"/>
        <w:right w:val="none" w:sz="0" w:space="0" w:color="auto"/>
      </w:divBdr>
    </w:div>
    <w:div w:id="1691877806">
      <w:bodyDiv w:val="1"/>
      <w:marLeft w:val="0"/>
      <w:marRight w:val="0"/>
      <w:marTop w:val="0"/>
      <w:marBottom w:val="0"/>
      <w:divBdr>
        <w:top w:val="none" w:sz="0" w:space="0" w:color="auto"/>
        <w:left w:val="none" w:sz="0" w:space="0" w:color="auto"/>
        <w:bottom w:val="none" w:sz="0" w:space="0" w:color="auto"/>
        <w:right w:val="none" w:sz="0" w:space="0" w:color="auto"/>
      </w:divBdr>
    </w:div>
    <w:div w:id="1740326788">
      <w:bodyDiv w:val="1"/>
      <w:marLeft w:val="0"/>
      <w:marRight w:val="0"/>
      <w:marTop w:val="0"/>
      <w:marBottom w:val="0"/>
      <w:divBdr>
        <w:top w:val="none" w:sz="0" w:space="0" w:color="auto"/>
        <w:left w:val="none" w:sz="0" w:space="0" w:color="auto"/>
        <w:bottom w:val="none" w:sz="0" w:space="0" w:color="auto"/>
        <w:right w:val="none" w:sz="0" w:space="0" w:color="auto"/>
      </w:divBdr>
    </w:div>
    <w:div w:id="1836415196">
      <w:bodyDiv w:val="1"/>
      <w:marLeft w:val="0"/>
      <w:marRight w:val="0"/>
      <w:marTop w:val="0"/>
      <w:marBottom w:val="0"/>
      <w:divBdr>
        <w:top w:val="none" w:sz="0" w:space="0" w:color="auto"/>
        <w:left w:val="none" w:sz="0" w:space="0" w:color="auto"/>
        <w:bottom w:val="none" w:sz="0" w:space="0" w:color="auto"/>
        <w:right w:val="none" w:sz="0" w:space="0" w:color="auto"/>
      </w:divBdr>
    </w:div>
    <w:div w:id="1871258307">
      <w:bodyDiv w:val="1"/>
      <w:marLeft w:val="0"/>
      <w:marRight w:val="0"/>
      <w:marTop w:val="0"/>
      <w:marBottom w:val="0"/>
      <w:divBdr>
        <w:top w:val="none" w:sz="0" w:space="0" w:color="auto"/>
        <w:left w:val="none" w:sz="0" w:space="0" w:color="auto"/>
        <w:bottom w:val="none" w:sz="0" w:space="0" w:color="auto"/>
        <w:right w:val="none" w:sz="0" w:space="0" w:color="auto"/>
      </w:divBdr>
    </w:div>
    <w:div w:id="202231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ddb.coop/about/report.2022-%2023"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sar\AppData\Local\Microsoft\Windows\INetCache\IE\213CP25A\Copy_of_percapita_milk_NE_2001_2023.revised%5b1%5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'[Copy_of_percapita_milk_NE_2001_2023.revised(1).xlsx]Sheet1'!$L$12</c:f>
              <c:strCache>
                <c:ptCount val="1"/>
                <c:pt idx="0">
                  <c:v>Arunachal Pradesh</c:v>
                </c:pt>
              </c:strCache>
            </c:strRef>
          </c:tx>
          <c:spPr>
            <a:solidFill>
              <a:schemeClr val="accent2">
                <a:lumMod val="60000"/>
                <a:lumOff val="40000"/>
              </a:schemeClr>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'[Copy_of_percapita_milk_NE_2001_2023.revised(1).xlsx]Sheet1'!$L$13:$L$25</c:f>
              <c:numCache>
                <c:formatCode>0.00</c:formatCode>
                <c:ptCount val="13"/>
                <c:pt idx="0">
                  <c:v>-30.158730158730162</c:v>
                </c:pt>
                <c:pt idx="1">
                  <c:v>11.363636363636376</c:v>
                </c:pt>
                <c:pt idx="2">
                  <c:v>89.795918367347042</c:v>
                </c:pt>
                <c:pt idx="3">
                  <c:v>5.3763440860215228</c:v>
                </c:pt>
                <c:pt idx="4">
                  <c:v>7.1428571428570731</c:v>
                </c:pt>
                <c:pt idx="5">
                  <c:v>3.8095238095238182</c:v>
                </c:pt>
                <c:pt idx="6">
                  <c:v>-8.2568807339448931</c:v>
                </c:pt>
                <c:pt idx="7">
                  <c:v>0.99999999999997868</c:v>
                </c:pt>
                <c:pt idx="8">
                  <c:v>8.9108910891089188</c:v>
                </c:pt>
                <c:pt idx="9">
                  <c:v>-28.181818181818208</c:v>
                </c:pt>
                <c:pt idx="10">
                  <c:v>3.7974683544304</c:v>
                </c:pt>
                <c:pt idx="11">
                  <c:v>-1.2195121951219412</c:v>
                </c:pt>
                <c:pt idx="12">
                  <c:v>-56.790123456790155</c:v>
                </c:pt>
              </c:numCache>
            </c:numRef>
          </c:val>
          <c:extLst>
            <c:ext xmlns:c16="http://schemas.microsoft.com/office/drawing/2014/chart" uri="{C3380CC4-5D6E-409C-BE32-E72D297353CC}">
              <c16:uniqueId val="{00000000-FF1D-465F-AF4B-B0833FD3277A}"/>
            </c:ext>
          </c:extLst>
        </c:ser>
        <c:ser>
          <c:idx val="1"/>
          <c:order val="1"/>
          <c:tx>
            <c:strRef>
              <c:f>'[Copy_of_percapita_milk_NE_2001_2023.revised(1).xlsx]Sheet1'!$M$12</c:f>
              <c:strCache>
                <c:ptCount val="1"/>
                <c:pt idx="0">
                  <c:v>Assam</c:v>
                </c:pt>
              </c:strCache>
            </c:strRef>
          </c:tx>
          <c:spPr>
            <a:solidFill>
              <a:srgbClr val="00B050"/>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'[Copy_of_percapita_milk_NE_2001_2023.revised(1).xlsx]Sheet1'!$M$13:$M$25</c:f>
              <c:numCache>
                <c:formatCode>0.00</c:formatCode>
                <c:ptCount val="13"/>
                <c:pt idx="0">
                  <c:v>-1.4084507042253169</c:v>
                </c:pt>
                <c:pt idx="1">
                  <c:v>-1.4285714285714346</c:v>
                </c:pt>
                <c:pt idx="2">
                  <c:v>0</c:v>
                </c:pt>
                <c:pt idx="3">
                  <c:v>1.449275362318847</c:v>
                </c:pt>
                <c:pt idx="4">
                  <c:v>0</c:v>
                </c:pt>
                <c:pt idx="5">
                  <c:v>1.4285714285714013</c:v>
                </c:pt>
                <c:pt idx="6">
                  <c:v>0</c:v>
                </c:pt>
                <c:pt idx="7">
                  <c:v>0</c:v>
                </c:pt>
                <c:pt idx="8">
                  <c:v>2.8169014084506783</c:v>
                </c:pt>
                <c:pt idx="9">
                  <c:v>2.739726027397249</c:v>
                </c:pt>
                <c:pt idx="10">
                  <c:v>2.6666666666667282</c:v>
                </c:pt>
                <c:pt idx="11">
                  <c:v>1.2987012987012658</c:v>
                </c:pt>
                <c:pt idx="12">
                  <c:v>7.692307692307665</c:v>
                </c:pt>
              </c:numCache>
            </c:numRef>
          </c:val>
          <c:extLst>
            <c:ext xmlns:c16="http://schemas.microsoft.com/office/drawing/2014/chart" uri="{C3380CC4-5D6E-409C-BE32-E72D297353CC}">
              <c16:uniqueId val="{00000001-FF1D-465F-AF4B-B0833FD3277A}"/>
            </c:ext>
          </c:extLst>
        </c:ser>
        <c:ser>
          <c:idx val="2"/>
          <c:order val="2"/>
          <c:tx>
            <c:strRef>
              <c:f>'[Copy_of_percapita_milk_NE_2001_2023.revised(1).xlsx]Sheet1'!$N$12</c:f>
              <c:strCache>
                <c:ptCount val="1"/>
                <c:pt idx="0">
                  <c:v>Manipur</c:v>
                </c:pt>
              </c:strCache>
            </c:strRef>
          </c:tx>
          <c:spPr>
            <a:solidFill>
              <a:schemeClr val="accent3"/>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'[Copy_of_percapita_milk_NE_2001_2023.revised(1).xlsx]Sheet1'!$N$13:$N$25</c:f>
              <c:numCache>
                <c:formatCode>0.00</c:formatCode>
                <c:ptCount val="13"/>
                <c:pt idx="0">
                  <c:v>-9.090909090909161</c:v>
                </c:pt>
                <c:pt idx="1">
                  <c:v>0</c:v>
                </c:pt>
                <c:pt idx="2">
                  <c:v>0</c:v>
                </c:pt>
                <c:pt idx="3">
                  <c:v>0</c:v>
                </c:pt>
                <c:pt idx="4">
                  <c:v>-4.99999999999996</c:v>
                </c:pt>
                <c:pt idx="5">
                  <c:v>-1.3157894736842368</c:v>
                </c:pt>
                <c:pt idx="6">
                  <c:v>-1.3333333333332642</c:v>
                </c:pt>
                <c:pt idx="7">
                  <c:v>2.7027027027026529</c:v>
                </c:pt>
                <c:pt idx="8">
                  <c:v>3.9473684210526327</c:v>
                </c:pt>
                <c:pt idx="9">
                  <c:v>-21.518987341772146</c:v>
                </c:pt>
                <c:pt idx="10">
                  <c:v>4.8387096774193061</c:v>
                </c:pt>
                <c:pt idx="11">
                  <c:v>-4.6153846153845768</c:v>
                </c:pt>
                <c:pt idx="12">
                  <c:v>-12.903225806451612</c:v>
                </c:pt>
              </c:numCache>
            </c:numRef>
          </c:val>
          <c:extLst>
            <c:ext xmlns:c16="http://schemas.microsoft.com/office/drawing/2014/chart" uri="{C3380CC4-5D6E-409C-BE32-E72D297353CC}">
              <c16:uniqueId val="{00000002-FF1D-465F-AF4B-B0833FD3277A}"/>
            </c:ext>
          </c:extLst>
        </c:ser>
        <c:ser>
          <c:idx val="3"/>
          <c:order val="3"/>
          <c:tx>
            <c:strRef>
              <c:f>'[Copy_of_percapita_milk_NE_2001_2023.revised(1).xlsx]Sheet1'!$O$12</c:f>
              <c:strCache>
                <c:ptCount val="1"/>
                <c:pt idx="0">
                  <c:v>Meghalaya</c:v>
                </c:pt>
              </c:strCache>
            </c:strRef>
          </c:tx>
          <c:spPr>
            <a:solidFill>
              <a:schemeClr val="accent4"/>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'[Copy_of_percapita_milk_NE_2001_2023.revised(1).xlsx]Sheet1'!$O$13:$O$25</c:f>
              <c:numCache>
                <c:formatCode>0.00</c:formatCode>
                <c:ptCount val="13"/>
                <c:pt idx="0">
                  <c:v>-10.843373493975895</c:v>
                </c:pt>
                <c:pt idx="1">
                  <c:v>12.162162162162149</c:v>
                </c:pt>
                <c:pt idx="2">
                  <c:v>1.2048192771083821</c:v>
                </c:pt>
                <c:pt idx="3">
                  <c:v>0</c:v>
                </c:pt>
                <c:pt idx="4">
                  <c:v>-1.1904761904761307</c:v>
                </c:pt>
                <c:pt idx="5">
                  <c:v>0</c:v>
                </c:pt>
                <c:pt idx="6">
                  <c:v>-10.843373493975895</c:v>
                </c:pt>
                <c:pt idx="7">
                  <c:v>0</c:v>
                </c:pt>
                <c:pt idx="8">
                  <c:v>0</c:v>
                </c:pt>
                <c:pt idx="9">
                  <c:v>1.3513513513512709</c:v>
                </c:pt>
                <c:pt idx="10">
                  <c:v>0</c:v>
                </c:pt>
                <c:pt idx="11">
                  <c:v>2.6666666666667282</c:v>
                </c:pt>
                <c:pt idx="12">
                  <c:v>2.5974025974025761</c:v>
                </c:pt>
              </c:numCache>
            </c:numRef>
          </c:val>
          <c:extLst>
            <c:ext xmlns:c16="http://schemas.microsoft.com/office/drawing/2014/chart" uri="{C3380CC4-5D6E-409C-BE32-E72D297353CC}">
              <c16:uniqueId val="{00000003-FF1D-465F-AF4B-B0833FD3277A}"/>
            </c:ext>
          </c:extLst>
        </c:ser>
        <c:ser>
          <c:idx val="4"/>
          <c:order val="4"/>
          <c:tx>
            <c:strRef>
              <c:f>'[Copy_of_percapita_milk_NE_2001_2023.revised(1).xlsx]Sheet1'!$P$12</c:f>
              <c:strCache>
                <c:ptCount val="1"/>
                <c:pt idx="0">
                  <c:v>Mizoram</c:v>
                </c:pt>
              </c:strCache>
            </c:strRef>
          </c:tx>
          <c:spPr>
            <a:solidFill>
              <a:schemeClr val="accent5"/>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'[Copy_of_percapita_milk_NE_2001_2023.revised(1).xlsx]Sheet1'!$P$13:$P$25</c:f>
              <c:numCache>
                <c:formatCode>0.00</c:formatCode>
                <c:ptCount val="13"/>
                <c:pt idx="0">
                  <c:v>12.903225806451601</c:v>
                </c:pt>
                <c:pt idx="1">
                  <c:v>2.8571428571428692</c:v>
                </c:pt>
                <c:pt idx="2">
                  <c:v>11.111111111111116</c:v>
                </c:pt>
                <c:pt idx="3">
                  <c:v>32.500000000000014</c:v>
                </c:pt>
                <c:pt idx="4">
                  <c:v>7.547169811320753</c:v>
                </c:pt>
                <c:pt idx="5">
                  <c:v>8.7719298245614077</c:v>
                </c:pt>
                <c:pt idx="6">
                  <c:v>-4.8387096774193399</c:v>
                </c:pt>
                <c:pt idx="7">
                  <c:v>1.6949152542372392</c:v>
                </c:pt>
                <c:pt idx="8">
                  <c:v>-9.9999999999999645</c:v>
                </c:pt>
                <c:pt idx="9">
                  <c:v>7.4074074074073737</c:v>
                </c:pt>
                <c:pt idx="10">
                  <c:v>-5.1724137931034031</c:v>
                </c:pt>
                <c:pt idx="11">
                  <c:v>0</c:v>
                </c:pt>
                <c:pt idx="12">
                  <c:v>1.8181818181818299</c:v>
                </c:pt>
              </c:numCache>
            </c:numRef>
          </c:val>
          <c:extLst>
            <c:ext xmlns:c16="http://schemas.microsoft.com/office/drawing/2014/chart" uri="{C3380CC4-5D6E-409C-BE32-E72D297353CC}">
              <c16:uniqueId val="{00000004-FF1D-465F-AF4B-B0833FD3277A}"/>
            </c:ext>
          </c:extLst>
        </c:ser>
        <c:ser>
          <c:idx val="5"/>
          <c:order val="5"/>
          <c:tx>
            <c:strRef>
              <c:f>'[Copy_of_percapita_milk_NE_2001_2023.revised(1).xlsx]Sheet1'!$Q$12</c:f>
              <c:strCache>
                <c:ptCount val="1"/>
                <c:pt idx="0">
                  <c:v>Nagaland</c:v>
                </c:pt>
              </c:strCache>
            </c:strRef>
          </c:tx>
          <c:spPr>
            <a:solidFill>
              <a:schemeClr val="accent6"/>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'[Copy_of_percapita_milk_NE_2001_2023.revised(1).xlsx]Sheet1'!$Q$13:$Q$25</c:f>
              <c:numCache>
                <c:formatCode>0.00</c:formatCode>
                <c:ptCount val="13"/>
                <c:pt idx="0">
                  <c:v>16.129032258064502</c:v>
                </c:pt>
                <c:pt idx="1">
                  <c:v>-12.962962962962987</c:v>
                </c:pt>
                <c:pt idx="2">
                  <c:v>1.0638297872340496</c:v>
                </c:pt>
                <c:pt idx="3">
                  <c:v>-7.3684210526315352</c:v>
                </c:pt>
                <c:pt idx="4">
                  <c:v>1.1363636363635798</c:v>
                </c:pt>
                <c:pt idx="5">
                  <c:v>2.2471910112359383</c:v>
                </c:pt>
                <c:pt idx="6">
                  <c:v>5.4945054945055194</c:v>
                </c:pt>
                <c:pt idx="7">
                  <c:v>-3.1249999999999556</c:v>
                </c:pt>
                <c:pt idx="8">
                  <c:v>-16.129032258064548</c:v>
                </c:pt>
                <c:pt idx="9">
                  <c:v>-8.9743589743589638</c:v>
                </c:pt>
                <c:pt idx="10">
                  <c:v>7.0422535211267512</c:v>
                </c:pt>
                <c:pt idx="11">
                  <c:v>-19.736842105263154</c:v>
                </c:pt>
                <c:pt idx="12">
                  <c:v>6.5573770491802907</c:v>
                </c:pt>
              </c:numCache>
            </c:numRef>
          </c:val>
          <c:extLst>
            <c:ext xmlns:c16="http://schemas.microsoft.com/office/drawing/2014/chart" uri="{C3380CC4-5D6E-409C-BE32-E72D297353CC}">
              <c16:uniqueId val="{00000005-FF1D-465F-AF4B-B0833FD3277A}"/>
            </c:ext>
          </c:extLst>
        </c:ser>
        <c:ser>
          <c:idx val="6"/>
          <c:order val="6"/>
          <c:tx>
            <c:strRef>
              <c:f>'[Copy_of_percapita_milk_NE_2001_2023.revised(1).xlsx]Sheet1'!$R$12</c:f>
              <c:strCache>
                <c:ptCount val="1"/>
                <c:pt idx="0">
                  <c:v>Sikkim</c:v>
                </c:pt>
              </c:strCache>
            </c:strRef>
          </c:tx>
          <c:spPr>
            <a:solidFill>
              <a:srgbClr val="FF0000"/>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'[Copy_of_percapita_milk_NE_2001_2023.revised(1).xlsx]Sheet1'!$R$13:$R$25</c:f>
              <c:numCache>
                <c:formatCode>0.00</c:formatCode>
                <c:ptCount val="13"/>
                <c:pt idx="0">
                  <c:v>4.1237113402062153</c:v>
                </c:pt>
                <c:pt idx="1">
                  <c:v>-7.9207920792079172</c:v>
                </c:pt>
                <c:pt idx="2">
                  <c:v>7.526881720430012</c:v>
                </c:pt>
                <c:pt idx="3">
                  <c:v>7.4999999999999956</c:v>
                </c:pt>
                <c:pt idx="4">
                  <c:v>31.162790697674492</c:v>
                </c:pt>
                <c:pt idx="5">
                  <c:v>-19.14893617021276</c:v>
                </c:pt>
                <c:pt idx="6">
                  <c:v>8.333333333333325</c:v>
                </c:pt>
                <c:pt idx="7">
                  <c:v>2.8340080971659631</c:v>
                </c:pt>
                <c:pt idx="8">
                  <c:v>35.826771653543354</c:v>
                </c:pt>
                <c:pt idx="9">
                  <c:v>-12.463768115942065</c:v>
                </c:pt>
                <c:pt idx="10">
                  <c:v>15.894039735099286</c:v>
                </c:pt>
                <c:pt idx="11">
                  <c:v>-0.85714285714281191</c:v>
                </c:pt>
                <c:pt idx="12">
                  <c:v>-7.4927953890490118</c:v>
                </c:pt>
              </c:numCache>
            </c:numRef>
          </c:val>
          <c:extLst>
            <c:ext xmlns:c16="http://schemas.microsoft.com/office/drawing/2014/chart" uri="{C3380CC4-5D6E-409C-BE32-E72D297353CC}">
              <c16:uniqueId val="{00000006-FF1D-465F-AF4B-B0833FD3277A}"/>
            </c:ext>
          </c:extLst>
        </c:ser>
        <c:ser>
          <c:idx val="7"/>
          <c:order val="7"/>
          <c:tx>
            <c:strRef>
              <c:f>'[Copy_of_percapita_milk_NE_2001_2023.revised(1).xlsx]Sheet1'!$S$12</c:f>
              <c:strCache>
                <c:ptCount val="1"/>
                <c:pt idx="0">
                  <c:v>Tripura</c:v>
                </c:pt>
              </c:strCache>
            </c:strRef>
          </c:tx>
          <c:spPr>
            <a:solidFill>
              <a:schemeClr val="tx1"/>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'[Copy_of_percapita_milk_NE_2001_2023.revised(1).xlsx]Sheet1'!$S$13:$S$25</c:f>
              <c:numCache>
                <c:formatCode>0.00</c:formatCode>
                <c:ptCount val="13"/>
                <c:pt idx="0">
                  <c:v>3.7500000000000755</c:v>
                </c:pt>
                <c:pt idx="1">
                  <c:v>6.024096385542177</c:v>
                </c:pt>
                <c:pt idx="2">
                  <c:v>7.9545454545454142</c:v>
                </c:pt>
                <c:pt idx="3">
                  <c:v>8.4210526315789735</c:v>
                </c:pt>
                <c:pt idx="4">
                  <c:v>5.8252427184465772</c:v>
                </c:pt>
                <c:pt idx="5">
                  <c:v>4.5871559633027914</c:v>
                </c:pt>
                <c:pt idx="6">
                  <c:v>7.0175438596491224</c:v>
                </c:pt>
                <c:pt idx="7">
                  <c:v>4.918032786885207</c:v>
                </c:pt>
                <c:pt idx="8">
                  <c:v>6.2500000000000666</c:v>
                </c:pt>
                <c:pt idx="9">
                  <c:v>2.9411764705881582</c:v>
                </c:pt>
                <c:pt idx="10">
                  <c:v>4.2857142857143149</c:v>
                </c:pt>
                <c:pt idx="11">
                  <c:v>4.7945205479452024</c:v>
                </c:pt>
                <c:pt idx="12">
                  <c:v>6.5359477124183218</c:v>
                </c:pt>
              </c:numCache>
            </c:numRef>
          </c:val>
          <c:extLst>
            <c:ext xmlns:c16="http://schemas.microsoft.com/office/drawing/2014/chart" uri="{C3380CC4-5D6E-409C-BE32-E72D297353CC}">
              <c16:uniqueId val="{00000007-FF1D-465F-AF4B-B0833FD3277A}"/>
            </c:ext>
          </c:extLst>
        </c:ser>
        <c:ser>
          <c:idx val="8"/>
          <c:order val="8"/>
          <c:tx>
            <c:strRef>
              <c:f>'[Copy_of_percapita_milk_NE_2001_2023.revised(1).xlsx]Sheet1'!$T$12</c:f>
              <c:strCache>
                <c:ptCount val="1"/>
                <c:pt idx="0">
                  <c:v>India</c:v>
                </c:pt>
              </c:strCache>
            </c:strRef>
          </c:tx>
          <c:spPr>
            <a:solidFill>
              <a:srgbClr val="FFFF00"/>
            </a:solidFill>
            <a:ln>
              <a:noFill/>
            </a:ln>
            <a:effectLst/>
          </c:spPr>
          <c:invertIfNegative val="0"/>
          <c:cat>
            <c:numRef>
              <c:f>'[Copy_of_percapita_milk_NE_2001_2023.revised(1).xlsx]Sheet1'!$K$13:$K$25</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'[Copy_of_percapita_milk_NE_2001_2023.revised(1).xlsx]Sheet1'!$T$13:$T$25</c:f>
              <c:numCache>
                <c:formatCode>0.00</c:formatCode>
                <c:ptCount val="13"/>
                <c:pt idx="0">
                  <c:v>3.202846975088991</c:v>
                </c:pt>
                <c:pt idx="1">
                  <c:v>3.1034482758621307</c:v>
                </c:pt>
                <c:pt idx="2">
                  <c:v>2.6755852842808681</c:v>
                </c:pt>
                <c:pt idx="3">
                  <c:v>3.9087947882736174</c:v>
                </c:pt>
                <c:pt idx="4">
                  <c:v>4.3887147335423426</c:v>
                </c:pt>
                <c:pt idx="5">
                  <c:v>5.4054054054053502</c:v>
                </c:pt>
                <c:pt idx="6">
                  <c:v>5.4131054131054235</c:v>
                </c:pt>
                <c:pt idx="7">
                  <c:v>5.4054054054054612</c:v>
                </c:pt>
                <c:pt idx="8">
                  <c:v>4.102564102564088</c:v>
                </c:pt>
                <c:pt idx="9">
                  <c:v>5.1724137931034919</c:v>
                </c:pt>
                <c:pt idx="10">
                  <c:v>4.4496487119437766</c:v>
                </c:pt>
                <c:pt idx="11">
                  <c:v>2.9147982062780242</c:v>
                </c:pt>
                <c:pt idx="12">
                  <c:v>2.614379084967311</c:v>
                </c:pt>
              </c:numCache>
            </c:numRef>
          </c:val>
          <c:extLst>
            <c:ext xmlns:c16="http://schemas.microsoft.com/office/drawing/2014/chart" uri="{C3380CC4-5D6E-409C-BE32-E72D297353CC}">
              <c16:uniqueId val="{00000008-FF1D-465F-AF4B-B0833FD3277A}"/>
            </c:ext>
          </c:extLst>
        </c:ser>
        <c:dLbls>
          <c:showLegendKey val="0"/>
          <c:showVal val="0"/>
          <c:showCatName val="0"/>
          <c:showSerName val="0"/>
          <c:showPercent val="0"/>
          <c:showBubbleSize val="0"/>
        </c:dLbls>
        <c:gapWidth val="219"/>
        <c:axId val="1543241951"/>
        <c:axId val="1543225631"/>
      </c:barChart>
      <c:catAx>
        <c:axId val="15432419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43225631"/>
        <c:crosses val="autoZero"/>
        <c:auto val="1"/>
        <c:lblAlgn val="ctr"/>
        <c:lblOffset val="100"/>
        <c:noMultiLvlLbl val="0"/>
      </c:catAx>
      <c:valAx>
        <c:axId val="15432256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 Per capita</a:t>
                </a:r>
                <a:r>
                  <a:rPr lang="en-IN" baseline="0">
                    <a:solidFill>
                      <a:schemeClr val="tx1"/>
                    </a:solidFill>
                  </a:rPr>
                  <a:t> g</a:t>
                </a:r>
                <a:r>
                  <a:rPr lang="en-IN">
                    <a:solidFill>
                      <a:schemeClr val="tx1"/>
                    </a:solidFill>
                  </a:rPr>
                  <a:t>rowth</a:t>
                </a:r>
                <a:r>
                  <a:rPr lang="en-IN" baseline="0">
                    <a:solidFill>
                      <a:schemeClr val="tx1"/>
                    </a:solidFill>
                  </a:rPr>
                  <a:t> rate (%)</a:t>
                </a:r>
                <a:endParaRPr lang="en-IN">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43241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Tusoing Alphonse</dc:creator>
  <cp:keywords/>
  <dc:description/>
  <cp:lastModifiedBy>SDI 1020</cp:lastModifiedBy>
  <cp:revision>15</cp:revision>
  <dcterms:created xsi:type="dcterms:W3CDTF">2025-11-22T17:50:00Z</dcterms:created>
  <dcterms:modified xsi:type="dcterms:W3CDTF">2025-11-25T06:48:00Z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2e4a2f1e-a3a7-4f35-be09-55f7789eb439</vt:lpwstr>
  </property>
</Properties>
</file>