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018F" w14:textId="713D6FBF" w:rsidR="00B33CA4" w:rsidRDefault="003C2D06">
      <w:pPr>
        <w:spacing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Functional Status of Selected Self-Help Groups in the Bundelkhand Region of Uttar Pradesh</w:t>
      </w:r>
      <w:r w:rsidR="00560884">
        <w:rPr>
          <w:rFonts w:ascii="Times New Roman" w:eastAsia="SimSun" w:hAnsi="Times New Roman" w:cs="Times New Roman"/>
          <w:b/>
          <w:bCs/>
          <w:sz w:val="24"/>
          <w:szCs w:val="24"/>
        </w:rPr>
        <w:t>, India</w:t>
      </w:r>
    </w:p>
    <w:p w14:paraId="36817178" w14:textId="77777777" w:rsidR="00B33CA4" w:rsidRDefault="00B33CA4">
      <w:pPr>
        <w:spacing w:line="360" w:lineRule="auto"/>
        <w:jc w:val="center"/>
        <w:rPr>
          <w:rFonts w:ascii="Times New Roman" w:eastAsia="sans-serif" w:hAnsi="Times New Roman" w:cs="Times New Roman"/>
          <w:sz w:val="24"/>
          <w:szCs w:val="24"/>
          <w:shd w:val="clear" w:color="auto" w:fill="FFFFFF"/>
        </w:rPr>
      </w:pPr>
    </w:p>
    <w:p w14:paraId="5E1D7BD6" w14:textId="77777777" w:rsidR="00B33CA4" w:rsidRDefault="00B33CA4">
      <w:pPr>
        <w:spacing w:line="360" w:lineRule="auto"/>
        <w:jc w:val="center"/>
        <w:rPr>
          <w:rFonts w:ascii="Times New Roman" w:eastAsia="sans-serif" w:hAnsi="Times New Roman" w:cs="Times New Roman"/>
          <w:sz w:val="24"/>
          <w:szCs w:val="24"/>
          <w:shd w:val="clear" w:color="auto" w:fill="FFFFFF"/>
        </w:rPr>
      </w:pPr>
    </w:p>
    <w:p w14:paraId="741BDD2D" w14:textId="77777777" w:rsidR="00B33CA4" w:rsidRDefault="003C2D06">
      <w:pP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Abstract </w:t>
      </w:r>
    </w:p>
    <w:p w14:paraId="140AD0A3" w14:textId="77777777" w:rsidR="00B33CA4" w:rsidRDefault="003C2D06">
      <w:pPr>
        <w:pStyle w:val="NormalWeb"/>
        <w:spacing w:line="360" w:lineRule="auto"/>
        <w:jc w:val="both"/>
        <w:rPr>
          <w:rFonts w:ascii="Times New Roman" w:hAnsi="Times New Roman"/>
          <w:color w:val="FF0000"/>
        </w:rPr>
      </w:pPr>
      <w:r>
        <w:rPr>
          <w:color w:val="FF0000"/>
        </w:rPr>
        <w:t xml:space="preserve">Self-Help Groups (SHGs) are important in the empowerment of women and livelihood security in Bundelkhand, a drought-prone area and socio-economically disadvantaged region of Uttar Pradesh. This paper analyses the functional status of the chosen SHGs in the </w:t>
      </w:r>
      <w:proofErr w:type="spellStart"/>
      <w:r>
        <w:rPr>
          <w:color w:val="FF0000"/>
        </w:rPr>
        <w:t>Jalaun</w:t>
      </w:r>
      <w:proofErr w:type="spellEnd"/>
      <w:r>
        <w:rPr>
          <w:color w:val="FF0000"/>
        </w:rPr>
        <w:t xml:space="preserve"> and Banda district. The data were gathered via interviews, which involved 160 SHG members in four blocks chosen purposely using the cross-sectional research design. The evaluation was directed on the core indicators of SHG operation in terms of meeting practices, role dispersion, record keeping, financial management, decision making processes, relationship with external organizations, community involvement and project execution.  These results show that a majority of SHGs are highly governed internally as evidenced by frequent meetings, clearly defined roles, systematic maintenance of records and making proper use of bank accounts. There was also a report of active involvement in the community development initiatives and collective decision-making activities among groups. Financial management, availability of external grants and effective project implementation are however the areas where it has been hard to overcome and the issues of enduring structural limitations are evident.  In general, the paper is an indication that although SHGs in Bundelkhand are functional, specific interventions, especially in the areas of financial literacy, resource mobilization and capacity building are necessary to enhance their performance and sustainability in the long term. These lessons may be used by policy makers and development practitioners to improve women empowerment and rural development in marginalized areas.</w:t>
      </w:r>
    </w:p>
    <w:p w14:paraId="58906F17" w14:textId="77777777" w:rsidR="00B33CA4" w:rsidRDefault="003C2D06">
      <w:pPr>
        <w:spacing w:line="360" w:lineRule="auto"/>
        <w:jc w:val="both"/>
        <w:rPr>
          <w:rFonts w:ascii="Times New Roman" w:eastAsia="SimSun" w:hAnsi="Times New Roman" w:cs="Times New Roman"/>
          <w:sz w:val="24"/>
          <w:szCs w:val="24"/>
        </w:rPr>
      </w:pPr>
      <w:r>
        <w:rPr>
          <w:rStyle w:val="Strong"/>
          <w:rFonts w:ascii="Times New Roman" w:eastAsia="SimSun" w:hAnsi="Times New Roman" w:cs="Times New Roman"/>
          <w:color w:val="FF0000"/>
          <w:sz w:val="24"/>
          <w:szCs w:val="24"/>
        </w:rPr>
        <w:t>Keywords:</w:t>
      </w:r>
      <w:r>
        <w:rPr>
          <w:rFonts w:ascii="Times New Roman" w:eastAsia="SimSun" w:hAnsi="Times New Roman" w:cs="Times New Roman"/>
          <w:color w:val="FF0000"/>
          <w:sz w:val="24"/>
          <w:szCs w:val="24"/>
        </w:rPr>
        <w:br/>
        <w:t>Self-Help Groups (SHGs), Functional Status, S</w:t>
      </w:r>
      <w:r>
        <w:rPr>
          <w:rFonts w:ascii="Times New Roman" w:hAnsi="Times New Roman" w:cs="Times New Roman"/>
          <w:color w:val="FF0000"/>
          <w:sz w:val="24"/>
          <w:szCs w:val="24"/>
        </w:rPr>
        <w:t>ustainability, Financial management, Community development, Empowerment</w:t>
      </w:r>
    </w:p>
    <w:p w14:paraId="338D9A33" w14:textId="77777777" w:rsidR="00B33CA4" w:rsidRDefault="00B33CA4">
      <w:pPr>
        <w:spacing w:line="360" w:lineRule="auto"/>
        <w:jc w:val="both"/>
        <w:rPr>
          <w:rFonts w:ascii="Times New Roman" w:eastAsia="SimSun" w:hAnsi="Times New Roman" w:cs="Times New Roman"/>
          <w:sz w:val="24"/>
          <w:szCs w:val="24"/>
        </w:rPr>
      </w:pPr>
    </w:p>
    <w:p w14:paraId="2839B4F9" w14:textId="77777777" w:rsidR="00B33CA4" w:rsidRDefault="003C2D06">
      <w:pPr>
        <w:pStyle w:val="Heading2"/>
        <w:jc w:val="both"/>
        <w:rPr>
          <w:rFonts w:ascii="Times New Roman" w:hAnsi="Times New Roman" w:hint="default"/>
        </w:rPr>
      </w:pPr>
      <w:r>
        <w:rPr>
          <w:rFonts w:ascii="Times New Roman" w:hAnsi="Times New Roman" w:hint="default"/>
          <w:sz w:val="24"/>
          <w:szCs w:val="24"/>
        </w:rPr>
        <w:lastRenderedPageBreak/>
        <w:t>Introduction</w:t>
      </w:r>
    </w:p>
    <w:p w14:paraId="3006A148" w14:textId="12A3D80A" w:rsidR="00B33CA4" w:rsidRDefault="003C2D06">
      <w:pPr>
        <w:pStyle w:val="NormalWeb"/>
        <w:spacing w:line="360" w:lineRule="auto"/>
        <w:jc w:val="both"/>
        <w:rPr>
          <w:rFonts w:ascii="Times New Roman" w:hAnsi="Times New Roman"/>
          <w:b/>
          <w:bCs/>
        </w:rPr>
      </w:pPr>
      <w:r>
        <w:rPr>
          <w:rFonts w:ascii="Times New Roman" w:hAnsi="Times New Roman"/>
        </w:rPr>
        <w:t xml:space="preserve">Self-Help Groups (SHGs) have emerged to become one of the most significant </w:t>
      </w:r>
      <w:proofErr w:type="gramStart"/>
      <w:r>
        <w:rPr>
          <w:rFonts w:ascii="Times New Roman" w:hAnsi="Times New Roman"/>
        </w:rPr>
        <w:t>community based</w:t>
      </w:r>
      <w:proofErr w:type="gramEnd"/>
      <w:r>
        <w:rPr>
          <w:rFonts w:ascii="Times New Roman" w:hAnsi="Times New Roman"/>
        </w:rPr>
        <w:t xml:space="preserve"> strategies to reduce poverty, financial inclusion and empowering women in the rural India. Once being popularized as informal savings-and-credit organizations, SHGs nowadays serve as institutional means of creating social capital, increasing bargaining power, and facilitating collective action among rural women </w:t>
      </w:r>
      <w:r>
        <w:rPr>
          <w:rFonts w:ascii="Times New Roman" w:hAnsi="Times New Roman"/>
          <w:b/>
          <w:bCs/>
        </w:rPr>
        <w:t>(</w:t>
      </w:r>
      <w:proofErr w:type="spellStart"/>
      <w:r>
        <w:rPr>
          <w:rFonts w:ascii="Times New Roman" w:hAnsi="Times New Roman"/>
          <w:b/>
          <w:bCs/>
        </w:rPr>
        <w:t>Sihag</w:t>
      </w:r>
      <w:proofErr w:type="spellEnd"/>
      <w:r>
        <w:rPr>
          <w:rFonts w:ascii="Times New Roman" w:hAnsi="Times New Roman"/>
          <w:b/>
          <w:bCs/>
        </w:rPr>
        <w:t xml:space="preserve"> &amp;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SHGs can be used to enhance the resilience of the household and lessen reliance on informal moneylenders through regular savings, internal lending, and access to formal financial institutions (Reserve Bank of India, 2023). The experience of the other states in India has revealed that the membership in SHGs is connected with the increase in access to credit, growth of their savings, and enhancement of the confidence of women and decision-making positions in the household and community </w:t>
      </w:r>
      <w:r>
        <w:rPr>
          <w:rFonts w:ascii="Times New Roman" w:hAnsi="Times New Roman"/>
          <w:b/>
          <w:bCs/>
        </w:rPr>
        <w:t xml:space="preserve">(Asian Development Bank, 2016; Yadav and Bhaskar, 2025). </w:t>
      </w:r>
    </w:p>
    <w:p w14:paraId="2E603D08" w14:textId="21ED13A1" w:rsidR="00B33CA4" w:rsidRDefault="003C2D06">
      <w:pPr>
        <w:pStyle w:val="NormalWeb"/>
        <w:spacing w:line="360" w:lineRule="auto"/>
        <w:jc w:val="both"/>
        <w:rPr>
          <w:rFonts w:ascii="Times New Roman" w:hAnsi="Times New Roman"/>
        </w:rPr>
      </w:pPr>
      <w:r>
        <w:rPr>
          <w:rFonts w:ascii="Times New Roman" w:hAnsi="Times New Roman"/>
        </w:rPr>
        <w:t xml:space="preserve">The SHG network in rural India has been greatly increased by the SHG-bank linkage </w:t>
      </w:r>
      <w:proofErr w:type="spellStart"/>
      <w:r>
        <w:rPr>
          <w:rFonts w:ascii="Times New Roman" w:hAnsi="Times New Roman"/>
        </w:rPr>
        <w:t>Programme</w:t>
      </w:r>
      <w:proofErr w:type="spellEnd"/>
      <w:r>
        <w:rPr>
          <w:rFonts w:ascii="Times New Roman" w:hAnsi="Times New Roman"/>
        </w:rPr>
        <w:t xml:space="preserve"> (SBLP) and the </w:t>
      </w:r>
      <w:proofErr w:type="spellStart"/>
      <w:r>
        <w:rPr>
          <w:rFonts w:ascii="Times New Roman" w:hAnsi="Times New Roman"/>
        </w:rPr>
        <w:t>deendayal</w:t>
      </w:r>
      <w:proofErr w:type="spellEnd"/>
      <w:r>
        <w:rPr>
          <w:rFonts w:ascii="Times New Roman" w:hAnsi="Times New Roman"/>
        </w:rPr>
        <w:t xml:space="preserve"> </w:t>
      </w:r>
      <w:proofErr w:type="spellStart"/>
      <w:r>
        <w:rPr>
          <w:rFonts w:ascii="Times New Roman" w:hAnsi="Times New Roman"/>
        </w:rPr>
        <w:t>antyodaya</w:t>
      </w:r>
      <w:proofErr w:type="spellEnd"/>
      <w:r>
        <w:rPr>
          <w:rFonts w:ascii="Times New Roman" w:hAnsi="Times New Roman"/>
        </w:rPr>
        <w:t xml:space="preserve"> </w:t>
      </w:r>
      <w:bookmarkStart w:id="0" w:name="_Hlk214276349"/>
      <w:r>
        <w:rPr>
          <w:rFonts w:ascii="Times New Roman" w:hAnsi="Times New Roman"/>
        </w:rPr>
        <w:t>Yojana</w:t>
      </w:r>
      <w:bookmarkEnd w:id="0"/>
      <w:r>
        <w:rPr>
          <w:rFonts w:ascii="Times New Roman" w:hAnsi="Times New Roman"/>
        </w:rPr>
        <w:t xml:space="preserve">-National Rural Livelihoods Mission (DAY-NRLM) at the national level. Through the SHG-Bank linkage </w:t>
      </w:r>
      <w:proofErr w:type="spellStart"/>
      <w:r>
        <w:rPr>
          <w:rFonts w:ascii="Times New Roman" w:hAnsi="Times New Roman"/>
        </w:rPr>
        <w:t>programme</w:t>
      </w:r>
      <w:proofErr w:type="spellEnd"/>
      <w:r>
        <w:rPr>
          <w:rFonts w:ascii="Times New Roman" w:hAnsi="Times New Roman"/>
        </w:rPr>
        <w:t xml:space="preserve">, which is facilitated by NABARD and overseen by the reserve bank of India, millions of SHGs were incorporated into formal banking making it a key tool of microfinance and livelihood promotion </w:t>
      </w:r>
      <w:r>
        <w:rPr>
          <w:rFonts w:ascii="Times New Roman" w:hAnsi="Times New Roman"/>
          <w:b/>
          <w:bCs/>
        </w:rPr>
        <w:t>(Reserve Bank of India, 2023)</w:t>
      </w:r>
      <w:r>
        <w:rPr>
          <w:rFonts w:ascii="Times New Roman" w:hAnsi="Times New Roman"/>
        </w:rPr>
        <w:t xml:space="preserve">. At the same time, DAY -NRLM aims at </w:t>
      </w:r>
      <w:proofErr w:type="spellStart"/>
      <w:r>
        <w:rPr>
          <w:rFonts w:ascii="Times New Roman" w:hAnsi="Times New Roman"/>
        </w:rPr>
        <w:t>organising</w:t>
      </w:r>
      <w:proofErr w:type="spellEnd"/>
      <w:r>
        <w:rPr>
          <w:rFonts w:ascii="Times New Roman" w:hAnsi="Times New Roman"/>
        </w:rPr>
        <w:t xml:space="preserve"> the poor rural women into SHGs and federations, capacity building and access to credit, skills and markets (Ministry of Rural Development, 2022; World Bank, 2017). According to the evaluations, functional SHGs under these programs can result in the improvement of the socio-economic status of women, their engagement in the local government, and their involvement in income-generating activities </w:t>
      </w:r>
      <w:r>
        <w:rPr>
          <w:rFonts w:ascii="Times New Roman" w:hAnsi="Times New Roman"/>
          <w:b/>
          <w:bCs/>
        </w:rPr>
        <w:t>(3ie, 2020; World Bank, 2017).</w:t>
      </w:r>
      <w:r>
        <w:rPr>
          <w:rFonts w:ascii="Times New Roman" w:hAnsi="Times New Roman"/>
        </w:rPr>
        <w:t xml:space="preserve"> Regardless of these successes, SHGs are not effective in all regions and much depends on the internal functional status of the SHGs. The main aspects of SHG operations are regular meetings, roles and responsibilities clear distribution, record, accounts and finances, financial discipline, democratic decision-making, conflict management systems, and connections to external bodies </w:t>
      </w:r>
      <w:r>
        <w:rPr>
          <w:rFonts w:ascii="Times New Roman" w:hAnsi="Times New Roman"/>
          <w:b/>
          <w:bCs/>
        </w:rPr>
        <w:t>(</w:t>
      </w:r>
      <w:proofErr w:type="spellStart"/>
      <w:r>
        <w:rPr>
          <w:rFonts w:ascii="Times New Roman" w:hAnsi="Times New Roman"/>
          <w:b/>
          <w:bCs/>
        </w:rPr>
        <w:t>Sihag</w:t>
      </w:r>
      <w:proofErr w:type="spellEnd"/>
      <w:r>
        <w:rPr>
          <w:rFonts w:ascii="Times New Roman" w:hAnsi="Times New Roman"/>
          <w:b/>
          <w:bCs/>
        </w:rPr>
        <w:t xml:space="preserve"> and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Research has stressed that SHGs that have robust internal governance and disclosed operations have a higher chance of surviving and become trusted by members to </w:t>
      </w:r>
      <w:r>
        <w:rPr>
          <w:rFonts w:ascii="Times New Roman" w:hAnsi="Times New Roman"/>
        </w:rPr>
        <w:lastRenderedPageBreak/>
        <w:t xml:space="preserve">effectively and adequately tap the institutional support (3ie, 2020; Asian Development Bank, 2016). Conversely, those groups that have poor records, inconsistent meetings, or decision-making </w:t>
      </w:r>
      <w:proofErr w:type="spellStart"/>
      <w:r>
        <w:rPr>
          <w:rFonts w:ascii="Times New Roman" w:hAnsi="Times New Roman"/>
        </w:rPr>
        <w:t>centralisation</w:t>
      </w:r>
      <w:proofErr w:type="spellEnd"/>
      <w:r>
        <w:rPr>
          <w:rFonts w:ascii="Times New Roman" w:hAnsi="Times New Roman"/>
        </w:rPr>
        <w:t xml:space="preserve"> are most likely to stagnate and fail, thus restricting their ability to empower their members</w:t>
      </w:r>
      <w:r>
        <w:rPr>
          <w:rFonts w:ascii="Times New Roman" w:hAnsi="Times New Roman"/>
          <w:b/>
          <w:bCs/>
        </w:rPr>
        <w:t>.</w:t>
      </w:r>
      <w:r>
        <w:rPr>
          <w:rFonts w:ascii="Times New Roman" w:hAnsi="Times New Roman"/>
        </w:rPr>
        <w:t xml:space="preserve"> Hence, it is important to evaluate the functional situation of SHGs in these dimensions in order to find out their true role in empowering women and rural development. </w:t>
      </w:r>
    </w:p>
    <w:p w14:paraId="57223EAE" w14:textId="1F16CBE6" w:rsidR="00B33CA4" w:rsidRDefault="003C2D06">
      <w:pPr>
        <w:pStyle w:val="NormalWeb"/>
        <w:spacing w:line="360" w:lineRule="auto"/>
        <w:jc w:val="both"/>
        <w:rPr>
          <w:rFonts w:ascii="Times New Roman" w:eastAsia="SimSun" w:hAnsi="Times New Roman"/>
        </w:rPr>
      </w:pPr>
      <w:r>
        <w:rPr>
          <w:rFonts w:ascii="Times New Roman" w:hAnsi="Times New Roman"/>
        </w:rPr>
        <w:t>This assessment imperative is especially severe in socio-economically stricken areas like Bundelkhand of Uttar Pradesh. The conditions in Bundelkhand include semi-arid climates, hilly terrain, frequent droughts, low irrigation rates, and subsistence-based, rain-based agriculture</w:t>
      </w:r>
      <w:r w:rsidR="00130E6A">
        <w:rPr>
          <w:rFonts w:ascii="Times New Roman" w:hAnsi="Times New Roman"/>
        </w:rPr>
        <w:t xml:space="preserve">. </w:t>
      </w:r>
      <w:r>
        <w:rPr>
          <w:rFonts w:ascii="Times New Roman" w:hAnsi="Times New Roman"/>
        </w:rPr>
        <w:t xml:space="preserve">Such structural constraints limit the livelihood opportunity and increase poverty with rural women being the worst affected. Under these circumstances, SHGs can act as providers of microfinance, as well as, as a group to share risks, social institutions, and community-based development projects </w:t>
      </w:r>
      <w:r>
        <w:rPr>
          <w:rFonts w:ascii="Times New Roman" w:hAnsi="Times New Roman"/>
          <w:b/>
          <w:bCs/>
        </w:rPr>
        <w:t>(3ie, 2020; Asian Development Bank, 2016).</w:t>
      </w:r>
      <w:r>
        <w:rPr>
          <w:rFonts w:ascii="Times New Roman" w:hAnsi="Times New Roman"/>
        </w:rPr>
        <w:t xml:space="preserve"> SHGs have been heavily marketed by the government and non-government bodies in this area within the framework of NRLM and other programs, but there is no empirical data on how successfully they operate in practice and to what degree the internal organizational structure can empower women in the long term </w:t>
      </w:r>
      <w:r>
        <w:rPr>
          <w:rFonts w:ascii="Times New Roman" w:hAnsi="Times New Roman"/>
          <w:b/>
          <w:bCs/>
        </w:rPr>
        <w:t>(Ministry of Rural Development, 2022; World Bank, 2017).</w:t>
      </w:r>
      <w:r>
        <w:rPr>
          <w:rFonts w:ascii="Times New Roman" w:hAnsi="Times New Roman"/>
        </w:rPr>
        <w:t xml:space="preserve"> It is on this background that the current research aims at evaluating the functional position of the selected SHGs within the Bundelkhand region of Uttar Pradesh, through the responses gathered through 160 respondents of SHGs. The study will examine the areas of meeting practice, record-keeping, the operation of bank accounts, access to outside help, lending practices, collective decision-making, and inter-group cooperation, registration, community development, financial management issues, dispute-resolution processes, future planning, and project implementation and thus give a complete picture of the functioning of SHGs in a difficult rural environment. The results will be valuable to the body of knowledge on SHGs, microfinance, and women empowerment </w:t>
      </w:r>
      <w:r>
        <w:rPr>
          <w:rFonts w:ascii="Times New Roman" w:hAnsi="Times New Roman"/>
          <w:b/>
          <w:bCs/>
        </w:rPr>
        <w:t>(3ie, 2020; Yadav and Bhaskar, 2025)</w:t>
      </w:r>
      <w:r>
        <w:rPr>
          <w:rFonts w:ascii="Times New Roman" w:hAnsi="Times New Roman"/>
        </w:rPr>
        <w:t xml:space="preserve"> and will provide useful information to policymakers, implementing agencies, and practitioners who want to reaffirm the performance of SHGs and advance their contribution to empowering rural women in Bundelkhand and other areas.</w:t>
      </w:r>
    </w:p>
    <w:p w14:paraId="47E4D6CC" w14:textId="77777777" w:rsidR="00B33CA4" w:rsidRDefault="003C2D06">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Material and Methods </w:t>
      </w:r>
    </w:p>
    <w:p w14:paraId="02E7A9C3" w14:textId="77777777" w:rsidR="00B33CA4" w:rsidRDefault="003C2D06">
      <w:pPr>
        <w:pStyle w:val="NormalWeb"/>
        <w:spacing w:line="360" w:lineRule="auto"/>
        <w:jc w:val="both"/>
        <w:rPr>
          <w:rFonts w:ascii="Times New Roman" w:hAnsi="Times New Roman"/>
        </w:rPr>
      </w:pPr>
      <w:r>
        <w:rPr>
          <w:rFonts w:ascii="Times New Roman" w:hAnsi="Times New Roman"/>
        </w:rPr>
        <w:lastRenderedPageBreak/>
        <w:t xml:space="preserve">The current study was carried out in Bundelkhand region of Uttar Pradesh, a semi-arid and socio-economically vulnerable region located at the southern part of the state characterized by undulating topography, irregular rainfall, poor irrigation facilities and mainly rainfed agriculture, which all combine to form the livelihood patterns and development challenge of the rural people. Nevertheless, with such limitations, Bundelkhand has a high level of social cohesion and community-based programs, including Self-Help Groups (SHGs), that are widely used, which is why this region is an appropriate study area to understand their current state of operation and whether they help to empower women. In order to meet the aim of the study, a cross-sectional research design was used which enabled the data to be collected at a single time to determine the relationship between variables and describe population characteristics. Out of the seven districts of Bundelkhand, the districts of </w:t>
      </w:r>
      <w:proofErr w:type="spellStart"/>
      <w:r>
        <w:rPr>
          <w:rFonts w:ascii="Times New Roman" w:hAnsi="Times New Roman"/>
        </w:rPr>
        <w:t>Jalaun</w:t>
      </w:r>
      <w:proofErr w:type="spellEnd"/>
      <w:r>
        <w:rPr>
          <w:rFonts w:ascii="Times New Roman" w:hAnsi="Times New Roman"/>
        </w:rPr>
        <w:t xml:space="preserve"> and Banda were selected purposely because of the highest number of active and functioning SHGs formed in the government-supported initiatives like the National Rural Livelihood Mission (NRLM) and the State Rural Livelihood Mission (SRLM). Four blocks </w:t>
      </w:r>
      <w:proofErr w:type="gramStart"/>
      <w:r>
        <w:rPr>
          <w:rFonts w:ascii="Times New Roman" w:hAnsi="Times New Roman"/>
        </w:rPr>
        <w:t xml:space="preserve">( </w:t>
      </w:r>
      <w:proofErr w:type="spellStart"/>
      <w:r>
        <w:rPr>
          <w:rFonts w:ascii="Times New Roman" w:hAnsi="Times New Roman"/>
        </w:rPr>
        <w:t>Nadigaon</w:t>
      </w:r>
      <w:proofErr w:type="spellEnd"/>
      <w:proofErr w:type="gramEnd"/>
      <w:r>
        <w:rPr>
          <w:rFonts w:ascii="Times New Roman" w:hAnsi="Times New Roman"/>
        </w:rPr>
        <w:t xml:space="preserve"> and </w:t>
      </w:r>
      <w:proofErr w:type="spellStart"/>
      <w:r>
        <w:rPr>
          <w:rFonts w:ascii="Times New Roman" w:hAnsi="Times New Roman"/>
        </w:rPr>
        <w:t>Konch</w:t>
      </w:r>
      <w:proofErr w:type="spellEnd"/>
      <w:r>
        <w:rPr>
          <w:rFonts w:ascii="Times New Roman" w:hAnsi="Times New Roman"/>
        </w:rPr>
        <w:t xml:space="preserve"> in </w:t>
      </w:r>
      <w:proofErr w:type="spellStart"/>
      <w:r>
        <w:rPr>
          <w:rFonts w:ascii="Times New Roman" w:hAnsi="Times New Roman"/>
        </w:rPr>
        <w:t>Jalaun</w:t>
      </w:r>
      <w:proofErr w:type="spellEnd"/>
      <w:r>
        <w:rPr>
          <w:rFonts w:ascii="Times New Roman" w:hAnsi="Times New Roman"/>
        </w:rPr>
        <w:t xml:space="preserve">, </w:t>
      </w:r>
      <w:proofErr w:type="spellStart"/>
      <w:r>
        <w:rPr>
          <w:rFonts w:ascii="Times New Roman" w:hAnsi="Times New Roman"/>
        </w:rPr>
        <w:t>Badokhar</w:t>
      </w:r>
      <w:proofErr w:type="spellEnd"/>
      <w:r>
        <w:rPr>
          <w:rFonts w:ascii="Times New Roman" w:hAnsi="Times New Roman"/>
        </w:rPr>
        <w:t xml:space="preserve"> Khurd and </w:t>
      </w:r>
      <w:proofErr w:type="spellStart"/>
      <w:r>
        <w:rPr>
          <w:rFonts w:ascii="Times New Roman" w:hAnsi="Times New Roman"/>
        </w:rPr>
        <w:t>Baberu</w:t>
      </w:r>
      <w:proofErr w:type="spellEnd"/>
      <w:r>
        <w:rPr>
          <w:rFonts w:ascii="Times New Roman" w:hAnsi="Times New Roman"/>
        </w:rPr>
        <w:t xml:space="preserve"> in Banda ) within these districts were also selected purposely with regards to focalization of well-functioning SHGs and current livelihood promotion efforts. Multi-stage sampling technique was adopted where the identification of functioning SHGs within the sampled blocks was carried out followed by random selection of eight members of each SHG who were to be the respondents. In order to make a comparison, as similar as possible number of non-SHG women was also picked in the same localities with same criteria that included age, occupation and income to reduce selection bias and make an analogy between the experimental (SHG member) and control (non-member) groups. One hundred and sixty members of SHGs were surveyed in order to determine the functional performance of their respective SHGs. The responses obtained as a group will indicate the total functional conditions of SHGs within the study area. The structured interview schedule was adopted as the primary data collection tool, which encompassed the functional dimensions of SHGs, socio-economic aspects, and livelihood background as well as other aspects of women empowerment. This </w:t>
      </w:r>
      <w:proofErr w:type="spellStart"/>
      <w:r>
        <w:rPr>
          <w:rFonts w:ascii="Times New Roman" w:hAnsi="Times New Roman"/>
        </w:rPr>
        <w:t>approachological</w:t>
      </w:r>
      <w:proofErr w:type="spellEnd"/>
      <w:r>
        <w:rPr>
          <w:rFonts w:ascii="Times New Roman" w:hAnsi="Times New Roman"/>
        </w:rPr>
        <w:t xml:space="preserve"> framework enabled an assessment of the functional status of a number of SHGs in Bundelkhand region in a comprehensive manner.</w:t>
      </w:r>
    </w:p>
    <w:p w14:paraId="290145F3" w14:textId="77777777" w:rsidR="00B33CA4" w:rsidRDefault="003C2D06">
      <w:pPr>
        <w:pStyle w:val="Heading1"/>
        <w:jc w:val="both"/>
        <w:rPr>
          <w:rFonts w:ascii="Times New Roman" w:hAnsi="Times New Roman" w:hint="default"/>
          <w:sz w:val="24"/>
          <w:szCs w:val="24"/>
        </w:rPr>
      </w:pPr>
      <w:r>
        <w:rPr>
          <w:rStyle w:val="Strong"/>
          <w:rFonts w:ascii="Times New Roman" w:hAnsi="Times New Roman" w:hint="default"/>
          <w:b/>
          <w:bCs/>
          <w:sz w:val="24"/>
          <w:szCs w:val="24"/>
        </w:rPr>
        <w:t>RESULTS AND DISCUSSION</w:t>
      </w:r>
    </w:p>
    <w:p w14:paraId="2101029C" w14:textId="77777777" w:rsidR="00B33CA4" w:rsidRDefault="003C2D06">
      <w:pPr>
        <w:pStyle w:val="NormalWeb"/>
        <w:spacing w:line="360" w:lineRule="auto"/>
        <w:jc w:val="both"/>
        <w:rPr>
          <w:rFonts w:ascii="Times New Roman" w:hAnsi="Times New Roman"/>
        </w:rPr>
      </w:pPr>
      <w:r>
        <w:rPr>
          <w:rFonts w:ascii="Times New Roman" w:hAnsi="Times New Roman"/>
        </w:rPr>
        <w:lastRenderedPageBreak/>
        <w:t>The functional status of Self-Help Groups (SHGs) in the Bundelkhand region of Uttar Pradesh was assessed using responses from 160 SHG members. Although data were collected from individual members, the aggregated responses provide a reliable reflection of the functioning of their respective SHGs.</w:t>
      </w:r>
    </w:p>
    <w:p w14:paraId="532C703C" w14:textId="77777777" w:rsidR="00B33CA4" w:rsidRDefault="003C2D06">
      <w:pPr>
        <w:pStyle w:val="NormalWeb"/>
        <w:jc w:val="both"/>
        <w:rPr>
          <w:rFonts w:ascii="Times New Roman" w:hAnsi="Times New Roman"/>
        </w:rPr>
      </w:pPr>
      <w:r>
        <w:rPr>
          <w:rFonts w:ascii="Times New Roman" w:hAnsi="Times New Roman"/>
        </w:rPr>
        <w:t xml:space="preserve">Table-1: </w:t>
      </w:r>
      <w:r>
        <w:rPr>
          <w:rFonts w:ascii="Times New Roman" w:hAnsi="Times New Roman"/>
          <w:b/>
        </w:rPr>
        <w:t>Functional Status of selected SHGs in study area</w:t>
      </w:r>
    </w:p>
    <w:tbl>
      <w:tblPr>
        <w:tblStyle w:val="TableGrid"/>
        <w:tblpPr w:leftFromText="180" w:rightFromText="180" w:vertAnchor="text" w:horzAnchor="page" w:tblpX="1495" w:tblpY="194"/>
        <w:tblOverlap w:val="never"/>
        <w:tblW w:w="0" w:type="auto"/>
        <w:tblLook w:val="04A0" w:firstRow="1" w:lastRow="0" w:firstColumn="1" w:lastColumn="0" w:noHBand="0" w:noVBand="1"/>
      </w:tblPr>
      <w:tblGrid>
        <w:gridCol w:w="810"/>
        <w:gridCol w:w="5197"/>
        <w:gridCol w:w="1232"/>
        <w:gridCol w:w="1283"/>
      </w:tblGrid>
      <w:tr w:rsidR="00B33CA4" w14:paraId="2BE5492F" w14:textId="77777777">
        <w:tc>
          <w:tcPr>
            <w:tcW w:w="810" w:type="dxa"/>
          </w:tcPr>
          <w:p w14:paraId="4E9EA1B7" w14:textId="77777777" w:rsidR="00B33CA4" w:rsidRDefault="003C2D06">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Sr.No</w:t>
            </w:r>
            <w:proofErr w:type="spellEnd"/>
          </w:p>
        </w:tc>
        <w:tc>
          <w:tcPr>
            <w:tcW w:w="5197" w:type="dxa"/>
          </w:tcPr>
          <w:p w14:paraId="13D938E9" w14:textId="77777777" w:rsidR="00B33CA4" w:rsidRDefault="003C2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232" w:type="dxa"/>
          </w:tcPr>
          <w:p w14:paraId="1EFD4BF8" w14:textId="77777777" w:rsidR="00B33CA4" w:rsidRDefault="003C2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Yes</w:t>
            </w:r>
          </w:p>
        </w:tc>
        <w:tc>
          <w:tcPr>
            <w:tcW w:w="1283" w:type="dxa"/>
          </w:tcPr>
          <w:p w14:paraId="101B167B" w14:textId="77777777" w:rsidR="00B33CA4" w:rsidRDefault="003C2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r>
      <w:tr w:rsidR="00B33CA4" w14:paraId="59BFED90" w14:textId="77777777">
        <w:tc>
          <w:tcPr>
            <w:tcW w:w="810" w:type="dxa"/>
          </w:tcPr>
          <w:p w14:paraId="409A486E"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346969AE" w14:textId="77777777" w:rsidR="00B33CA4" w:rsidRDefault="003C2D06">
            <w:pPr>
              <w:pStyle w:val="NormalWeb"/>
              <w:jc w:val="both"/>
              <w:rPr>
                <w:rFonts w:ascii="Times New Roman" w:hAnsi="Times New Roman"/>
              </w:rPr>
            </w:pPr>
            <w:r>
              <w:rPr>
                <w:rFonts w:ascii="Times New Roman" w:hAnsi="Times New Roman"/>
              </w:rPr>
              <w:t>Does your SHG have a practice of conducting meetings?</w:t>
            </w:r>
          </w:p>
        </w:tc>
        <w:tc>
          <w:tcPr>
            <w:tcW w:w="1232" w:type="dxa"/>
          </w:tcPr>
          <w:p w14:paraId="0E2C80B8"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p w14:paraId="4EE7A818"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283" w:type="dxa"/>
          </w:tcPr>
          <w:p w14:paraId="7E06DEB6"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0970125E"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B33CA4" w14:paraId="42AFD24A" w14:textId="77777777">
        <w:tc>
          <w:tcPr>
            <w:tcW w:w="810" w:type="dxa"/>
          </w:tcPr>
          <w:p w14:paraId="31403B94"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615696E1" w14:textId="77777777" w:rsidR="00B33CA4" w:rsidRDefault="003C2D06">
            <w:pPr>
              <w:pStyle w:val="NormalWeb"/>
              <w:jc w:val="both"/>
              <w:rPr>
                <w:rFonts w:ascii="Times New Roman" w:hAnsi="Times New Roman"/>
              </w:rPr>
            </w:pPr>
            <w:r>
              <w:rPr>
                <w:rFonts w:ascii="Times New Roman" w:hAnsi="Times New Roman"/>
              </w:rPr>
              <w:t>Is the distribution of powers and functions among members well spelt out?</w:t>
            </w:r>
          </w:p>
        </w:tc>
        <w:tc>
          <w:tcPr>
            <w:tcW w:w="1232" w:type="dxa"/>
          </w:tcPr>
          <w:p w14:paraId="7D5AA134"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14:paraId="440F93EF"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(91.3%)</w:t>
            </w:r>
          </w:p>
        </w:tc>
        <w:tc>
          <w:tcPr>
            <w:tcW w:w="1283" w:type="dxa"/>
          </w:tcPr>
          <w:p w14:paraId="43F6D02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0AB626DB"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B33CA4" w14:paraId="12F2FDE2" w14:textId="77777777">
        <w:tc>
          <w:tcPr>
            <w:tcW w:w="810" w:type="dxa"/>
          </w:tcPr>
          <w:p w14:paraId="31085D17"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31013DF4" w14:textId="77777777" w:rsidR="00B33CA4" w:rsidRDefault="003C2D06">
            <w:pPr>
              <w:pStyle w:val="NormalWeb"/>
              <w:jc w:val="both"/>
              <w:rPr>
                <w:rFonts w:ascii="Times New Roman" w:hAnsi="Times New Roman"/>
              </w:rPr>
            </w:pPr>
            <w:r>
              <w:rPr>
                <w:rFonts w:ascii="Times New Roman" w:hAnsi="Times New Roman"/>
              </w:rPr>
              <w:t>Is the record of the SHG’s activity well kept?</w:t>
            </w:r>
          </w:p>
        </w:tc>
        <w:tc>
          <w:tcPr>
            <w:tcW w:w="1232" w:type="dxa"/>
          </w:tcPr>
          <w:p w14:paraId="6131898F"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3632853C"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44FE8CDA"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3C6F673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B33CA4" w14:paraId="055E6589" w14:textId="77777777">
        <w:tc>
          <w:tcPr>
            <w:tcW w:w="810" w:type="dxa"/>
          </w:tcPr>
          <w:p w14:paraId="044F845C"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55F77E3F" w14:textId="77777777" w:rsidR="00B33CA4" w:rsidRDefault="003C2D06">
            <w:pPr>
              <w:pStyle w:val="NormalWeb"/>
              <w:jc w:val="both"/>
              <w:rPr>
                <w:rFonts w:ascii="Times New Roman" w:hAnsi="Times New Roman"/>
              </w:rPr>
            </w:pPr>
            <w:r>
              <w:rPr>
                <w:rFonts w:ascii="Times New Roman" w:hAnsi="Times New Roman"/>
              </w:rPr>
              <w:t>Is there a record-keeping system for the members’ attendance at any of the meetings?</w:t>
            </w:r>
          </w:p>
        </w:tc>
        <w:tc>
          <w:tcPr>
            <w:tcW w:w="1232" w:type="dxa"/>
          </w:tcPr>
          <w:p w14:paraId="46A779B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p w14:paraId="3BA2804F"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283" w:type="dxa"/>
          </w:tcPr>
          <w:p w14:paraId="43DD1CF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70F1ED2C"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tc>
      </w:tr>
      <w:tr w:rsidR="00B33CA4" w14:paraId="0DA87946" w14:textId="77777777">
        <w:tc>
          <w:tcPr>
            <w:tcW w:w="810" w:type="dxa"/>
          </w:tcPr>
          <w:p w14:paraId="042BD1C1"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541BE89D" w14:textId="77777777" w:rsidR="00B33CA4" w:rsidRDefault="003C2D06">
            <w:pPr>
              <w:pStyle w:val="NormalWeb"/>
              <w:jc w:val="both"/>
              <w:rPr>
                <w:rFonts w:ascii="Times New Roman" w:hAnsi="Times New Roman"/>
              </w:rPr>
            </w:pPr>
            <w:r>
              <w:rPr>
                <w:rFonts w:ascii="Times New Roman" w:hAnsi="Times New Roman"/>
              </w:rPr>
              <w:t xml:space="preserve">Do you operate an SHG bank account in the </w:t>
            </w:r>
            <w:proofErr w:type="spellStart"/>
            <w:r>
              <w:rPr>
                <w:rFonts w:ascii="Times New Roman" w:hAnsi="Times New Roman"/>
              </w:rPr>
              <w:t>organisation’s</w:t>
            </w:r>
            <w:proofErr w:type="spellEnd"/>
            <w:r>
              <w:rPr>
                <w:rFonts w:ascii="Times New Roman" w:hAnsi="Times New Roman"/>
              </w:rPr>
              <w:t xml:space="preserve"> name?</w:t>
            </w:r>
          </w:p>
        </w:tc>
        <w:tc>
          <w:tcPr>
            <w:tcW w:w="1232" w:type="dxa"/>
          </w:tcPr>
          <w:p w14:paraId="4E86065F"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5DF3024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2DFEB7F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182F529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B33CA4" w14:paraId="002670C6" w14:textId="77777777">
        <w:tc>
          <w:tcPr>
            <w:tcW w:w="810" w:type="dxa"/>
          </w:tcPr>
          <w:p w14:paraId="20902626"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499D20FD" w14:textId="77777777" w:rsidR="00B33CA4" w:rsidRDefault="003C2D06">
            <w:pPr>
              <w:pStyle w:val="NormalWeb"/>
              <w:jc w:val="both"/>
              <w:rPr>
                <w:rFonts w:ascii="Times New Roman" w:hAnsi="Times New Roman"/>
              </w:rPr>
            </w:pPr>
            <w:r>
              <w:rPr>
                <w:rFonts w:ascii="Times New Roman" w:hAnsi="Times New Roman"/>
              </w:rPr>
              <w:t>Has your SHG taken any external assistance or grant from any source?</w:t>
            </w:r>
          </w:p>
        </w:tc>
        <w:tc>
          <w:tcPr>
            <w:tcW w:w="1232" w:type="dxa"/>
          </w:tcPr>
          <w:p w14:paraId="1C6BB1F0"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1F73C13A"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(70.6%)</w:t>
            </w:r>
          </w:p>
        </w:tc>
        <w:tc>
          <w:tcPr>
            <w:tcW w:w="1283" w:type="dxa"/>
          </w:tcPr>
          <w:p w14:paraId="1E8D7AD4"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2F7EE13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(29.4%)</w:t>
            </w:r>
          </w:p>
        </w:tc>
      </w:tr>
      <w:tr w:rsidR="00B33CA4" w14:paraId="2F4F8D6B" w14:textId="77777777">
        <w:tc>
          <w:tcPr>
            <w:tcW w:w="810" w:type="dxa"/>
          </w:tcPr>
          <w:p w14:paraId="12746A4A"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78127E77" w14:textId="77777777" w:rsidR="00B33CA4" w:rsidRDefault="003C2D06">
            <w:pPr>
              <w:pStyle w:val="NormalWeb"/>
              <w:jc w:val="both"/>
              <w:rPr>
                <w:rFonts w:ascii="Times New Roman" w:hAnsi="Times New Roman"/>
              </w:rPr>
            </w:pPr>
            <w:r>
              <w:rPr>
                <w:rFonts w:ascii="Times New Roman" w:hAnsi="Times New Roman"/>
              </w:rPr>
              <w:t>Is your SHG a lending institution to the members?</w:t>
            </w:r>
          </w:p>
        </w:tc>
        <w:tc>
          <w:tcPr>
            <w:tcW w:w="1232" w:type="dxa"/>
          </w:tcPr>
          <w:p w14:paraId="37A5D9B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27707EFB"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A33026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75062D49"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B33CA4" w14:paraId="37487355" w14:textId="77777777">
        <w:tc>
          <w:tcPr>
            <w:tcW w:w="810" w:type="dxa"/>
          </w:tcPr>
          <w:p w14:paraId="0A2BEAA6"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65E02A66" w14:textId="77777777" w:rsidR="00B33CA4" w:rsidRDefault="003C2D06">
            <w:pPr>
              <w:pStyle w:val="NormalWeb"/>
              <w:jc w:val="both"/>
              <w:rPr>
                <w:rFonts w:ascii="Times New Roman" w:hAnsi="Times New Roman"/>
              </w:rPr>
            </w:pPr>
            <w:r>
              <w:rPr>
                <w:rFonts w:ascii="Times New Roman" w:hAnsi="Times New Roman"/>
              </w:rPr>
              <w:t>Are decisions in your SHG made collectively in general by all members?</w:t>
            </w:r>
          </w:p>
        </w:tc>
        <w:tc>
          <w:tcPr>
            <w:tcW w:w="1232" w:type="dxa"/>
          </w:tcPr>
          <w:p w14:paraId="1578D0BE"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0ACEBF1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E579D18"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416C46B4"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B33CA4" w14:paraId="1223C04F" w14:textId="77777777">
        <w:tc>
          <w:tcPr>
            <w:tcW w:w="810" w:type="dxa"/>
          </w:tcPr>
          <w:p w14:paraId="54A2ABB7"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6915C173" w14:textId="77777777" w:rsidR="00B33CA4" w:rsidRDefault="003C2D06">
            <w:pPr>
              <w:pStyle w:val="NormalWeb"/>
              <w:jc w:val="both"/>
              <w:rPr>
                <w:rFonts w:ascii="Times New Roman" w:hAnsi="Times New Roman"/>
              </w:rPr>
            </w:pPr>
            <w:r>
              <w:rPr>
                <w:rFonts w:ascii="Times New Roman" w:hAnsi="Times New Roman"/>
              </w:rPr>
              <w:t xml:space="preserve">Have you or has your SHG ever worked with one or more SHGs as well as other </w:t>
            </w:r>
            <w:proofErr w:type="spellStart"/>
            <w:r>
              <w:rPr>
                <w:rFonts w:ascii="Times New Roman" w:hAnsi="Times New Roman"/>
              </w:rPr>
              <w:t>organisations</w:t>
            </w:r>
            <w:proofErr w:type="spellEnd"/>
            <w:r>
              <w:rPr>
                <w:rFonts w:ascii="Times New Roman" w:hAnsi="Times New Roman"/>
              </w:rPr>
              <w:t>?</w:t>
            </w:r>
          </w:p>
        </w:tc>
        <w:tc>
          <w:tcPr>
            <w:tcW w:w="1232" w:type="dxa"/>
          </w:tcPr>
          <w:p w14:paraId="1E97484E"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1FD8F710"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0D433F6A"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764316A8"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B33CA4" w14:paraId="6B4323C2" w14:textId="77777777">
        <w:tc>
          <w:tcPr>
            <w:tcW w:w="810" w:type="dxa"/>
          </w:tcPr>
          <w:p w14:paraId="5F5D3B9D"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6D70B725" w14:textId="77777777" w:rsidR="00B33CA4" w:rsidRDefault="003C2D06">
            <w:pPr>
              <w:pStyle w:val="NormalWeb"/>
              <w:jc w:val="both"/>
              <w:rPr>
                <w:rFonts w:ascii="Times New Roman" w:hAnsi="Times New Roman"/>
              </w:rPr>
            </w:pPr>
            <w:r>
              <w:rPr>
                <w:rFonts w:ascii="Times New Roman" w:hAnsi="Times New Roman"/>
              </w:rPr>
              <w:t>What all government rules and regulations your SHG follows can you say whether your SHG is registered with the government authority or not ?</w:t>
            </w:r>
          </w:p>
        </w:tc>
        <w:tc>
          <w:tcPr>
            <w:tcW w:w="1232" w:type="dxa"/>
          </w:tcPr>
          <w:p w14:paraId="741E707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473272B8"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(84.4%)</w:t>
            </w:r>
          </w:p>
        </w:tc>
        <w:tc>
          <w:tcPr>
            <w:tcW w:w="1283" w:type="dxa"/>
          </w:tcPr>
          <w:p w14:paraId="4634CD2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1C8ADFD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B33CA4" w14:paraId="5C4B1C79" w14:textId="77777777">
        <w:tc>
          <w:tcPr>
            <w:tcW w:w="810" w:type="dxa"/>
          </w:tcPr>
          <w:p w14:paraId="52DE3B9C"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0483725F" w14:textId="77777777" w:rsidR="00B33CA4" w:rsidRDefault="003C2D06">
            <w:pPr>
              <w:pStyle w:val="NormalWeb"/>
              <w:jc w:val="both"/>
              <w:rPr>
                <w:rFonts w:ascii="Times New Roman" w:hAnsi="Times New Roman"/>
              </w:rPr>
            </w:pPr>
            <w:r>
              <w:rPr>
                <w:rFonts w:ascii="Times New Roman" w:hAnsi="Times New Roman"/>
              </w:rPr>
              <w:t>Is there involvement of members of your SHG in the community development projects?</w:t>
            </w:r>
          </w:p>
        </w:tc>
        <w:tc>
          <w:tcPr>
            <w:tcW w:w="1232" w:type="dxa"/>
          </w:tcPr>
          <w:p w14:paraId="5AD93D0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28B74ED5"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(81.3%)</w:t>
            </w:r>
          </w:p>
        </w:tc>
        <w:tc>
          <w:tcPr>
            <w:tcW w:w="1283" w:type="dxa"/>
          </w:tcPr>
          <w:p w14:paraId="40A129A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p w14:paraId="67DE8EEF"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B33CA4" w14:paraId="61D71936" w14:textId="77777777">
        <w:tc>
          <w:tcPr>
            <w:tcW w:w="810" w:type="dxa"/>
          </w:tcPr>
          <w:p w14:paraId="3BFA27BC"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5C8D312D" w14:textId="77777777" w:rsidR="00B33CA4" w:rsidRDefault="003C2D06">
            <w:pPr>
              <w:pStyle w:val="NormalWeb"/>
              <w:jc w:val="both"/>
              <w:rPr>
                <w:rFonts w:ascii="Times New Roman" w:hAnsi="Times New Roman"/>
              </w:rPr>
            </w:pPr>
            <w:r>
              <w:rPr>
                <w:rFonts w:ascii="Times New Roman" w:hAnsi="Times New Roman"/>
              </w:rPr>
              <w:t>Did your SHG face any problems in the way of financial management in the last year?</w:t>
            </w:r>
          </w:p>
        </w:tc>
        <w:tc>
          <w:tcPr>
            <w:tcW w:w="1232" w:type="dxa"/>
          </w:tcPr>
          <w:p w14:paraId="0D3D4FE3"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66779E85"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283" w:type="dxa"/>
          </w:tcPr>
          <w:p w14:paraId="0C7A5E80"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4F7AE47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B33CA4" w14:paraId="0499A010" w14:textId="77777777">
        <w:tc>
          <w:tcPr>
            <w:tcW w:w="810" w:type="dxa"/>
          </w:tcPr>
          <w:p w14:paraId="7B732619"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454CE0D3" w14:textId="77777777" w:rsidR="00B33CA4" w:rsidRDefault="003C2D06">
            <w:pPr>
              <w:pStyle w:val="NormalWeb"/>
              <w:jc w:val="both"/>
              <w:rPr>
                <w:rFonts w:ascii="Times New Roman" w:hAnsi="Times New Roman"/>
              </w:rPr>
            </w:pPr>
            <w:r>
              <w:rPr>
                <w:rFonts w:ascii="Times New Roman" w:hAnsi="Times New Roman"/>
              </w:rPr>
              <w:t>Is there any facility to solve the disputes taking place in the SHG?</w:t>
            </w:r>
          </w:p>
        </w:tc>
        <w:tc>
          <w:tcPr>
            <w:tcW w:w="1232" w:type="dxa"/>
          </w:tcPr>
          <w:p w14:paraId="7285340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p>
          <w:p w14:paraId="76108E34"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(77.5%)</w:t>
            </w:r>
          </w:p>
        </w:tc>
        <w:tc>
          <w:tcPr>
            <w:tcW w:w="1283" w:type="dxa"/>
          </w:tcPr>
          <w:p w14:paraId="4406B3E2"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36</w:t>
            </w:r>
          </w:p>
          <w:p w14:paraId="2C54A405"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(22.5%)</w:t>
            </w:r>
          </w:p>
        </w:tc>
      </w:tr>
      <w:tr w:rsidR="00B33CA4" w14:paraId="18CEDFD2" w14:textId="77777777">
        <w:tc>
          <w:tcPr>
            <w:tcW w:w="810" w:type="dxa"/>
          </w:tcPr>
          <w:p w14:paraId="55A9070D"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743B9B31" w14:textId="77777777" w:rsidR="00B33CA4" w:rsidRDefault="003C2D06">
            <w:pPr>
              <w:pStyle w:val="NormalWeb"/>
              <w:jc w:val="both"/>
              <w:rPr>
                <w:rFonts w:ascii="Times New Roman" w:hAnsi="Times New Roman"/>
              </w:rPr>
            </w:pPr>
            <w:r>
              <w:rPr>
                <w:rFonts w:ascii="Times New Roman" w:hAnsi="Times New Roman"/>
              </w:rPr>
              <w:t>Is there any proposal for activities or projects for your SHG that are to be undertaken in the future?</w:t>
            </w:r>
          </w:p>
        </w:tc>
        <w:tc>
          <w:tcPr>
            <w:tcW w:w="1232" w:type="dxa"/>
          </w:tcPr>
          <w:p w14:paraId="597A857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p w14:paraId="1CE3BE8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(82.5%)</w:t>
            </w:r>
          </w:p>
        </w:tc>
        <w:tc>
          <w:tcPr>
            <w:tcW w:w="1283" w:type="dxa"/>
          </w:tcPr>
          <w:p w14:paraId="61706E0E"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7259491E"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B33CA4" w14:paraId="27728E98" w14:textId="77777777">
        <w:tc>
          <w:tcPr>
            <w:tcW w:w="810" w:type="dxa"/>
          </w:tcPr>
          <w:p w14:paraId="2160732D" w14:textId="77777777" w:rsidR="00B33CA4" w:rsidRDefault="00B33CA4">
            <w:pPr>
              <w:pStyle w:val="ListParagraph"/>
              <w:widowControl/>
              <w:numPr>
                <w:ilvl w:val="0"/>
                <w:numId w:val="1"/>
              </w:numPr>
              <w:autoSpaceDE/>
              <w:autoSpaceDN/>
              <w:spacing w:line="360" w:lineRule="auto"/>
              <w:contextualSpacing/>
              <w:jc w:val="both"/>
              <w:rPr>
                <w:b/>
                <w:sz w:val="24"/>
                <w:szCs w:val="24"/>
              </w:rPr>
            </w:pPr>
          </w:p>
        </w:tc>
        <w:tc>
          <w:tcPr>
            <w:tcW w:w="5197" w:type="dxa"/>
          </w:tcPr>
          <w:p w14:paraId="5B8F6B14" w14:textId="77777777" w:rsidR="00B33CA4" w:rsidRDefault="003C2D06">
            <w:pPr>
              <w:pStyle w:val="NormalWeb"/>
              <w:jc w:val="both"/>
              <w:rPr>
                <w:rFonts w:ascii="Times New Roman" w:hAnsi="Times New Roman"/>
              </w:rPr>
            </w:pPr>
            <w:r>
              <w:rPr>
                <w:rFonts w:ascii="Times New Roman" w:hAnsi="Times New Roman"/>
              </w:rPr>
              <w:t>Has your SHG successfully implemented any project in the last year?</w:t>
            </w:r>
          </w:p>
        </w:tc>
        <w:tc>
          <w:tcPr>
            <w:tcW w:w="1232" w:type="dxa"/>
          </w:tcPr>
          <w:p w14:paraId="417F99F5"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p w14:paraId="42DA661D"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(61.9%)</w:t>
            </w:r>
          </w:p>
        </w:tc>
        <w:tc>
          <w:tcPr>
            <w:tcW w:w="1283" w:type="dxa"/>
          </w:tcPr>
          <w:p w14:paraId="47FD8909"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651BD57" w14:textId="77777777" w:rsidR="00B33CA4" w:rsidRDefault="003C2D06">
            <w:pPr>
              <w:spacing w:line="360" w:lineRule="auto"/>
              <w:jc w:val="both"/>
              <w:rPr>
                <w:rFonts w:ascii="Times New Roman" w:hAnsi="Times New Roman" w:cs="Times New Roman"/>
                <w:sz w:val="24"/>
                <w:szCs w:val="24"/>
              </w:rPr>
            </w:pPr>
            <w:r>
              <w:rPr>
                <w:rFonts w:ascii="Times New Roman" w:hAnsi="Times New Roman" w:cs="Times New Roman"/>
                <w:sz w:val="24"/>
                <w:szCs w:val="24"/>
              </w:rPr>
              <w:t>(38.1%)</w:t>
            </w:r>
          </w:p>
        </w:tc>
      </w:tr>
    </w:tbl>
    <w:p w14:paraId="4B5247AC" w14:textId="77777777" w:rsidR="00B33CA4" w:rsidRDefault="00B33CA4">
      <w:pPr>
        <w:pStyle w:val="NormalWeb"/>
        <w:jc w:val="both"/>
        <w:rPr>
          <w:rFonts w:ascii="Times New Roman" w:hAnsi="Times New Roman"/>
        </w:rPr>
      </w:pPr>
    </w:p>
    <w:p w14:paraId="10581D35" w14:textId="77777777" w:rsidR="00B33CA4" w:rsidRDefault="003C2D06">
      <w:pPr>
        <w:pStyle w:val="NormalWeb"/>
        <w:spacing w:line="360" w:lineRule="auto"/>
        <w:jc w:val="both"/>
        <w:rPr>
          <w:rFonts w:ascii="Times New Roman" w:hAnsi="Times New Roman"/>
        </w:rPr>
      </w:pPr>
      <w:r>
        <w:rPr>
          <w:rFonts w:ascii="Times New Roman" w:hAnsi="Times New Roman"/>
        </w:rPr>
        <w:t xml:space="preserve">The findings bring out the organizational, financial, and developmental operations of the groups in various dimensions. Below, the findings are provided as well as discussed. The number of SHGs that have regular meetings is a good sign of group activeness and participation as a high percentage of SHGs (80-percent) indicated that they hold regular meetings. The regular meetings are the keystones of SHG sustainability because they enable the communication and planning, financial discipline, and conflict resolution. But, 20 percent of the members also claimed that the group did not meet regularly, which implied that the cohesion of the groups and continuity of their operations were not regular. This difference can be explained by poor leadership, a lack of motivation, or pressure on livelihoods of the rural environment, which are seasonal. </w:t>
      </w:r>
    </w:p>
    <w:p w14:paraId="6B76A253" w14:textId="77777777" w:rsidR="00B33CA4" w:rsidRDefault="003C2D06">
      <w:pPr>
        <w:pStyle w:val="NormalWeb"/>
        <w:spacing w:line="360" w:lineRule="auto"/>
        <w:jc w:val="both"/>
        <w:rPr>
          <w:rFonts w:ascii="Times New Roman" w:hAnsi="Times New Roman"/>
        </w:rPr>
      </w:pPr>
      <w:r>
        <w:rPr>
          <w:rFonts w:ascii="Times New Roman" w:hAnsi="Times New Roman"/>
        </w:rPr>
        <w:t xml:space="preserve">In the question on the clarity of roles and responsibilities, 91.3 percent of the respondents said that the sharing of powers and functions among the members is spelled out well. This means that there is a high level of internal governance of the majority of SHGs whereby leaders, treasurers and members have distinct roles. Role distribution is clear and increases the level of accountability as well as decision making process. The respondents with only a small percentage of them (8.8) felt otherwise, which indicates that specific capacity-building efforts should be developed within a number of groups. Main indicator of SHG maturity and transparency is the record-keeping. The findings show that 89.4 percent of the groups keep good records of their activities. Likewise, 88.8 percent of SHGs keep meeting attendance books. A good documentation process helps in transparency, development of trust among the members as well as in the audit process of the external auditor or in looking forward to attract financial support of the banks and institutions. This is because the limited groups that do not have </w:t>
      </w:r>
      <w:proofErr w:type="spellStart"/>
      <w:r>
        <w:rPr>
          <w:rFonts w:ascii="Times New Roman" w:hAnsi="Times New Roman"/>
        </w:rPr>
        <w:t>organised</w:t>
      </w:r>
      <w:proofErr w:type="spellEnd"/>
      <w:r>
        <w:rPr>
          <w:rFonts w:ascii="Times New Roman" w:hAnsi="Times New Roman"/>
        </w:rPr>
        <w:t xml:space="preserve"> record keeping might have difficulties getting credit or using government initiatives because of inadequate documentation. As well </w:t>
      </w:r>
      <w:r>
        <w:rPr>
          <w:rFonts w:ascii="Times New Roman" w:hAnsi="Times New Roman"/>
        </w:rPr>
        <w:lastRenderedPageBreak/>
        <w:t xml:space="preserve">financial management indicators showed positive trends. SHGs demonstrate institutional legitimacy and inclusion in finance because 89.4 percent of them have bank accounts under the name of the organization. This falls in line with the NRLM stipulations, which presuppose that SHGs keep group savings and loan transactions in form of formal banking. Nonetheless, 10.6% of groups do not run formal accounts, as it has been shown there are impediments related to either no awareness of these, lack of documentation or institutional support. Exogenous aid is relevant in enhancing the livelihoods activities of SHG. Approximately, 70.6 percent of the respondents said that they received external help or grants via government or non-government sources. This demonstrates that most SHGs have been able to enjoy the programs of credit linkage, skills training, or enterprise development. However, the rest (29.4) never accessed an external support which is an indication that there is a gap in outreach or lack of knowledge of schemes and entitlement programs. </w:t>
      </w:r>
    </w:p>
    <w:p w14:paraId="696A276D" w14:textId="77777777" w:rsidR="00B33CA4" w:rsidRDefault="003C2D06">
      <w:pPr>
        <w:pStyle w:val="NormalWeb"/>
        <w:spacing w:line="360" w:lineRule="auto"/>
        <w:jc w:val="both"/>
        <w:rPr>
          <w:rFonts w:ascii="Times New Roman" w:hAnsi="Times New Roman"/>
        </w:rPr>
      </w:pPr>
      <w:r>
        <w:rPr>
          <w:rFonts w:ascii="Times New Roman" w:hAnsi="Times New Roman"/>
        </w:rPr>
        <w:t xml:space="preserve">The main activity of SHG is lending and credit. The massive 87.5 percent of the respondents affirmed that their SHG is a lending institution to its members. This underlines the inner repayment capability of SHGs and their capacity to operate as microfinance facilities. Availability of small credit encourages income-earning operations and also lessens reliance on informal moneylenders, which in most cases charging very high interest rates. Another necessary characteristic of SHG activity is collective decision-making. An equal percentage (87.5) of the respondents indicated that they make decisions in a collective manner. This strengthens the agenda of SHGs being democratic and participatory, with decisions on loans, projects, savings or group rules being made by consensus. Centralized decision-making was also reported in only 12.5 per cent and this may negatively affect group cohesion and may result in dissatisfaction among members. Scaling of SHG activities is also based on inter-group collaboration and networking. Eighty-nine point four percent of the participants attested that their SHG has partnered with other SHGs or </w:t>
      </w:r>
      <w:proofErr w:type="spellStart"/>
      <w:r>
        <w:rPr>
          <w:rFonts w:ascii="Times New Roman" w:hAnsi="Times New Roman"/>
        </w:rPr>
        <w:t>organisations</w:t>
      </w:r>
      <w:proofErr w:type="spellEnd"/>
      <w:r>
        <w:rPr>
          <w:rFonts w:ascii="Times New Roman" w:hAnsi="Times New Roman"/>
        </w:rPr>
        <w:t xml:space="preserve">. This implies that there is high coordination and involvement in cluster activities, training programs and community activities. This type of cooperation strengthens the collective bargaining power; it increases the access to resources. Regarding compliance with the regulations, 84.4 percent of the respondents claimed that their SHG is registered by the government and observes the necessary rules and regulations. Registration boosts the legitimacy of the group, facilitates formal recognition and access to the </w:t>
      </w:r>
      <w:r>
        <w:rPr>
          <w:rFonts w:ascii="Times New Roman" w:hAnsi="Times New Roman"/>
        </w:rPr>
        <w:lastRenderedPageBreak/>
        <w:t xml:space="preserve">government schemes. A significant number, however, is still unregistered at a rate of 15.6% with the possibility of administrative impediment or ignorance. </w:t>
      </w:r>
    </w:p>
    <w:p w14:paraId="36DC602B" w14:textId="77777777" w:rsidR="00B33CA4" w:rsidRDefault="003C2D06">
      <w:pPr>
        <w:pStyle w:val="NormalWeb"/>
        <w:spacing w:line="360" w:lineRule="auto"/>
        <w:jc w:val="both"/>
        <w:rPr>
          <w:rFonts w:ascii="Times New Roman" w:hAnsi="Times New Roman"/>
        </w:rPr>
      </w:pPr>
      <w:r>
        <w:rPr>
          <w:rFonts w:ascii="Times New Roman" w:hAnsi="Times New Roman"/>
        </w:rPr>
        <w:t xml:space="preserve">The other important aspect of SHG operation is community participation. Approximately 81.3 percent of the respondents said that the members of SHGs are involved in community development activities. SHGs also participate in the sanitation campaigns, health education, education and livelihood promotion. This participation also increases their social presence and makes them stronger as grassroots development institutions. The problem of financial management still persists with 78.1% of the respondents reporting that their SHG had issues with financial management within the past year. These setbacks can be in the form of late bank connections, loan defaults, monetary anomalies or inability to keep records. This underscores the importance of a refresher course in bookkeeping, financial literacy and compliance. The conflict resolution mechanisms were realized to be in 77.5% of SHGs, which depicts that the majority of the groups have either an informal or formal method of resolving conflicts. Nevertheless, 22.5 percent had no such mechanisms which put at risk internal conflicts that could impact group sustainability. Importantly, 82.5% of the respondents said that their SHG has future activity/project proposals. This implies that majority of groups are visionary and willing to invest their business into new revenue earning activities. These programs aid in the maintenance of interest of the members and empowerment of the economy. Lastly, 61.9 percent of SHGs have been able to execute a project within the past year, and 38.1 percent have not. The high score of project implementation portrays good performance of the group however the percentage is very low indicating the challenge faced by rural SHGs such as skills, market accessibility, and finances. </w:t>
      </w:r>
    </w:p>
    <w:p w14:paraId="79AC36ED" w14:textId="77777777" w:rsidR="00B33CA4" w:rsidRDefault="003C2D06">
      <w:pPr>
        <w:pStyle w:val="NormalWeb"/>
        <w:spacing w:line="360" w:lineRule="auto"/>
        <w:jc w:val="both"/>
        <w:rPr>
          <w:rFonts w:ascii="Times New Roman" w:hAnsi="Times New Roman"/>
        </w:rPr>
      </w:pPr>
      <w:r>
        <w:rPr>
          <w:rFonts w:ascii="Times New Roman" w:hAnsi="Times New Roman"/>
        </w:rPr>
        <w:t>In general, the findings of the research show that most SHGs in the Bundelkhand area are operating successfully regarding meetings, record keeping, financial management, decision making and community involvement. Nonetheless, there are opportunities of gaps in the areas of project implementation, conflict resolution, the utilization of external support and stability in financial management. The functional efficiency and sustainability of SHGs in the region can highly be improved through training, institutional and capacity-building programs to strengthen these weak areas.</w:t>
      </w:r>
    </w:p>
    <w:p w14:paraId="7154D76D" w14:textId="77777777" w:rsidR="00B33CA4" w:rsidRDefault="003C2D06">
      <w:pPr>
        <w:pStyle w:val="Heading2"/>
        <w:jc w:val="both"/>
        <w:rPr>
          <w:rFonts w:ascii="Times New Roman" w:hAnsi="Times New Roman" w:hint="default"/>
          <w:sz w:val="24"/>
          <w:szCs w:val="24"/>
        </w:rPr>
      </w:pPr>
      <w:r>
        <w:rPr>
          <w:rStyle w:val="Strong"/>
          <w:rFonts w:ascii="Times New Roman" w:hAnsi="Times New Roman" w:hint="default"/>
          <w:b/>
          <w:bCs/>
          <w:sz w:val="24"/>
          <w:szCs w:val="24"/>
        </w:rPr>
        <w:t>Conclusion</w:t>
      </w:r>
    </w:p>
    <w:p w14:paraId="5F5A3C7F" w14:textId="103DA97D" w:rsidR="00B33CA4" w:rsidRDefault="003C2D06">
      <w:pPr>
        <w:pStyle w:val="NormalWeb"/>
        <w:spacing w:line="360" w:lineRule="auto"/>
        <w:jc w:val="both"/>
        <w:rPr>
          <w:rFonts w:ascii="Times New Roman" w:hAnsi="Times New Roman"/>
        </w:rPr>
      </w:pPr>
      <w:r>
        <w:rPr>
          <w:rFonts w:ascii="Times New Roman" w:hAnsi="Times New Roman"/>
        </w:rPr>
        <w:lastRenderedPageBreak/>
        <w:t xml:space="preserve">The current research evaluated the functional performance of chosen Self-Help Groups (SHGs) in the Bundelkhand jurisdiction of the state of Uttar Pradesh using questionnaires of 160 SHG members. The results show that most SHGs within the study area exhibit a fairly good degree of internal operations, which is exhibited by frequent meetings, clearly defined roles and responsibilities as well as practiced record-keeping measures. The fact that SHG bank account operations are at high rates and that many groups are adopting collective decision-making processes expresses that most groups have embraced key governance mechanisms that are required in ensuring transparency, financial discipline, and sustainability. The fact that SHGs have a significant number of lending activities and inter-group cooperation also indicates that the groups are not merely facilitating financial inclusion but they are also developing as active community-based institutions that can promote wider developmental functions. Nevertheless, the research also points to some aspects that need to be brought up. A substantial number of SHGs claimed to have difficulty in financial management within the past year, which suggests that financial literacy, training, or leadership capacity might be deficient. Almost a third of the groups had not received external grants or support implying that there had been lapsed chances to grow, acquire skills, or promote their businesses. Moreover, not all groups had a system of dispute resolution and future plans, so a significant portion of minorities could be an obstacle to successful operation and sustainability. The fact that the proportion of SHGs that managed to implement the projects in the last year is lower suggests that the project planning, execution and monitoring should be supported better. Generally, the findings indicate that SHGs in Bundelkhand are performing fairly even with the socio-economic factors like drought likeliness, minimal livelihood and infrastructural problems in the area. SHGs have a functional strength in terms of regular meetings and democratic decision making, bank linkages and community involvement, which fulfil the objective of the national livelihood programs, and shows that SHGs can be used to enhance the empowerment of women and the financial </w:t>
      </w:r>
      <w:proofErr w:type="spellStart"/>
      <w:r>
        <w:rPr>
          <w:rFonts w:ascii="Times New Roman" w:hAnsi="Times New Roman"/>
        </w:rPr>
        <w:t>well being</w:t>
      </w:r>
      <w:proofErr w:type="spellEnd"/>
      <w:r>
        <w:rPr>
          <w:rFonts w:ascii="Times New Roman" w:hAnsi="Times New Roman"/>
        </w:rPr>
        <w:t xml:space="preserve"> of households. However, the enhancement of financial management competencies, an increase in access to external support, and the development of greater project implementation capacities are necessary to increase the developmental effect of SHGs to the maximum extent. Finally, internal governance, improvements in training and capacity-building efforts, and institutional long-term sustainability will be important tools to enhance the performance of SHGs </w:t>
      </w:r>
      <w:r>
        <w:rPr>
          <w:rFonts w:ascii="Times New Roman" w:hAnsi="Times New Roman"/>
        </w:rPr>
        <w:lastRenderedPageBreak/>
        <w:t>and long-term sustainability in Bundelkhand. These insights can help policymakers, implementing agencies, and rural development practitioners develop specific interventions that can strengthen SHGs as effective tools of women empowerment and financial inclusion as well as rural transformation in the area.</w:t>
      </w:r>
    </w:p>
    <w:p w14:paraId="502EDBE9" w14:textId="77777777" w:rsidR="001F3C7F" w:rsidRPr="00342D95" w:rsidRDefault="001F3C7F" w:rsidP="001F3C7F">
      <w:pPr>
        <w:pStyle w:val="NormalWeb"/>
        <w:spacing w:line="360" w:lineRule="auto"/>
        <w:jc w:val="both"/>
        <w:rPr>
          <w:rFonts w:ascii="Times New Roman" w:hAnsi="Times New Roman"/>
          <w:b/>
        </w:rPr>
      </w:pPr>
      <w:r w:rsidRPr="00342D95">
        <w:rPr>
          <w:rFonts w:ascii="Times New Roman" w:hAnsi="Times New Roman"/>
          <w:b/>
        </w:rPr>
        <w:t xml:space="preserve">Consent </w:t>
      </w:r>
    </w:p>
    <w:p w14:paraId="289BC98C" w14:textId="30B7574E" w:rsidR="001F3C7F" w:rsidRDefault="001F3C7F" w:rsidP="001F3C7F">
      <w:pPr>
        <w:pStyle w:val="NormalWeb"/>
        <w:spacing w:line="360" w:lineRule="auto"/>
        <w:jc w:val="both"/>
        <w:rPr>
          <w:rFonts w:ascii="Times New Roman" w:hAnsi="Times New Roman"/>
        </w:rPr>
      </w:pPr>
      <w:r w:rsidRPr="001F3C7F">
        <w:rPr>
          <w:rFonts w:ascii="Times New Roman" w:hAnsi="Times New Roman"/>
        </w:rPr>
        <w:t>As per international standards or university standards, respondents’ written consent has been collected and preserved by the author(s).</w:t>
      </w:r>
    </w:p>
    <w:p w14:paraId="76B1D1E5"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Disclaimer (Artificial intelligence)</w:t>
      </w:r>
    </w:p>
    <w:p w14:paraId="1ECE32F8"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 xml:space="preserve">Option 1: </w:t>
      </w:r>
    </w:p>
    <w:p w14:paraId="67861E32"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Author(s) hereby declare that NO generative AI technologies such as Large Language Models (</w:t>
      </w:r>
      <w:proofErr w:type="spellStart"/>
      <w:r>
        <w:rPr>
          <w:rFonts w:ascii="Calibri" w:eastAsia="Calibri" w:hAnsi="Calibri" w:cs="Times New Roman"/>
          <w:kern w:val="2"/>
          <w:sz w:val="22"/>
          <w:szCs w:val="22"/>
          <w:highlight w:val="yellow"/>
          <w:lang w:eastAsia="en-US"/>
          <w14:ligatures w14:val="standardContextual"/>
        </w:rPr>
        <w:t>ChatGPT</w:t>
      </w:r>
      <w:proofErr w:type="spellEnd"/>
      <w:r>
        <w:rPr>
          <w:rFonts w:ascii="Calibri" w:eastAsia="Calibri" w:hAnsi="Calibri" w:cs="Times New Roman"/>
          <w:kern w:val="2"/>
          <w:sz w:val="22"/>
          <w:szCs w:val="22"/>
          <w:highlight w:val="yellow"/>
          <w:lang w:eastAsia="en-US"/>
          <w14:ligatures w14:val="standardContextual"/>
        </w:rPr>
        <w:t xml:space="preserve">, COPILOT, etc.) and text-to-image generators have been used during the writing or editing of this manuscript. </w:t>
      </w:r>
    </w:p>
    <w:p w14:paraId="1F4156A8"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 xml:space="preserve">Option 2: </w:t>
      </w:r>
    </w:p>
    <w:p w14:paraId="28A6337D"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120EB1"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Details of the AI usage are given below:</w:t>
      </w:r>
    </w:p>
    <w:p w14:paraId="4ECA4C54"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1.</w:t>
      </w:r>
    </w:p>
    <w:p w14:paraId="41DF1CEA" w14:textId="77777777" w:rsidR="00B33CA4" w:rsidRDefault="003C2D06">
      <w:pPr>
        <w:spacing w:after="200" w:line="276" w:lineRule="auto"/>
        <w:rPr>
          <w:rFonts w:ascii="Calibri" w:eastAsia="Calibri" w:hAnsi="Calibri" w:cs="Times New Roman"/>
          <w:kern w:val="2"/>
          <w:sz w:val="22"/>
          <w:szCs w:val="22"/>
          <w:highlight w:val="yellow"/>
          <w:lang w:eastAsia="en-US"/>
          <w14:ligatures w14:val="standardContextual"/>
        </w:rPr>
      </w:pPr>
      <w:r>
        <w:rPr>
          <w:rFonts w:ascii="Calibri" w:eastAsia="Calibri" w:hAnsi="Calibri" w:cs="Times New Roman"/>
          <w:kern w:val="2"/>
          <w:sz w:val="22"/>
          <w:szCs w:val="22"/>
          <w:highlight w:val="yellow"/>
          <w:lang w:eastAsia="en-US"/>
          <w14:ligatures w14:val="standardContextual"/>
        </w:rPr>
        <w:t>2.</w:t>
      </w:r>
    </w:p>
    <w:p w14:paraId="27651427" w14:textId="77777777" w:rsidR="00B33CA4" w:rsidRDefault="003C2D06">
      <w:pPr>
        <w:spacing w:after="200" w:line="276" w:lineRule="auto"/>
        <w:rPr>
          <w:rFonts w:ascii="Calibri" w:eastAsia="Calibri" w:hAnsi="Calibri" w:cs="Times New Roman"/>
          <w:kern w:val="2"/>
          <w:sz w:val="22"/>
          <w:szCs w:val="22"/>
          <w:lang w:eastAsia="en-US"/>
          <w14:ligatures w14:val="standardContextual"/>
        </w:rPr>
      </w:pPr>
      <w:r>
        <w:rPr>
          <w:rFonts w:ascii="Calibri" w:eastAsia="Calibri" w:hAnsi="Calibri" w:cs="Times New Roman"/>
          <w:kern w:val="2"/>
          <w:sz w:val="22"/>
          <w:szCs w:val="22"/>
          <w:highlight w:val="yellow"/>
          <w:lang w:eastAsia="en-US"/>
          <w14:ligatures w14:val="standardContextual"/>
        </w:rPr>
        <w:t>3.</w:t>
      </w:r>
    </w:p>
    <w:p w14:paraId="605E7B1B" w14:textId="77777777" w:rsidR="00B33CA4" w:rsidRDefault="00B33CA4">
      <w:pPr>
        <w:pStyle w:val="NormalWeb"/>
        <w:spacing w:line="360" w:lineRule="auto"/>
        <w:jc w:val="both"/>
        <w:rPr>
          <w:rFonts w:ascii="Times New Roman" w:hAnsi="Times New Roman"/>
        </w:rPr>
      </w:pPr>
    </w:p>
    <w:p w14:paraId="26076AA7" w14:textId="77777777" w:rsidR="00B33CA4" w:rsidRDefault="00B33CA4">
      <w:pPr>
        <w:pStyle w:val="NormalWeb"/>
        <w:spacing w:line="360" w:lineRule="auto"/>
        <w:jc w:val="both"/>
        <w:rPr>
          <w:rFonts w:ascii="Times New Roman" w:hAnsi="Times New Roman"/>
        </w:rPr>
      </w:pPr>
    </w:p>
    <w:p w14:paraId="024105CB" w14:textId="77777777" w:rsidR="00B33CA4" w:rsidRDefault="003C2D06">
      <w:pPr>
        <w:pStyle w:val="Heading2"/>
        <w:jc w:val="both"/>
        <w:rPr>
          <w:rFonts w:ascii="Times New Roman" w:hAnsi="Times New Roman" w:hint="default"/>
          <w:sz w:val="24"/>
          <w:szCs w:val="24"/>
        </w:rPr>
      </w:pPr>
      <w:r>
        <w:rPr>
          <w:rFonts w:ascii="Times New Roman" w:hAnsi="Times New Roman" w:hint="default"/>
          <w:sz w:val="24"/>
          <w:szCs w:val="24"/>
        </w:rPr>
        <w:t xml:space="preserve">References </w:t>
      </w:r>
    </w:p>
    <w:p w14:paraId="401A4E0C" w14:textId="77777777" w:rsidR="00B33CA4" w:rsidRPr="00130E6A" w:rsidRDefault="003C2D06" w:rsidP="002A429E">
      <w:pPr>
        <w:pStyle w:val="Heading3"/>
        <w:numPr>
          <w:ilvl w:val="0"/>
          <w:numId w:val="2"/>
        </w:numPr>
        <w:jc w:val="both"/>
        <w:rPr>
          <w:rStyle w:val="Emphasis"/>
          <w:rFonts w:ascii="Times New Roman" w:hAnsi="Times New Roman" w:hint="default"/>
          <w:b w:val="0"/>
          <w:bCs w:val="0"/>
          <w:i w:val="0"/>
          <w:iCs w:val="0"/>
          <w:sz w:val="24"/>
          <w:szCs w:val="24"/>
        </w:rPr>
      </w:pPr>
      <w:bookmarkStart w:id="1" w:name="_GoBack"/>
      <w:bookmarkEnd w:id="1"/>
      <w:r w:rsidRPr="00130E6A">
        <w:rPr>
          <w:rFonts w:ascii="Times New Roman" w:hAnsi="Times New Roman" w:hint="default"/>
          <w:b w:val="0"/>
          <w:bCs w:val="0"/>
          <w:sz w:val="24"/>
          <w:szCs w:val="24"/>
        </w:rPr>
        <w:t xml:space="preserve">Asian Development Bank. (2016). </w:t>
      </w:r>
      <w:r w:rsidRPr="00130E6A">
        <w:rPr>
          <w:rStyle w:val="Emphasis"/>
          <w:rFonts w:ascii="Times New Roman" w:hAnsi="Times New Roman" w:hint="default"/>
          <w:b w:val="0"/>
          <w:bCs w:val="0"/>
          <w:i w:val="0"/>
          <w:iCs w:val="0"/>
          <w:sz w:val="24"/>
          <w:szCs w:val="24"/>
        </w:rPr>
        <w:t>Women’s empowerment through self-help groups: A case study of India.</w:t>
      </w:r>
    </w:p>
    <w:p w14:paraId="6CE50670" w14:textId="77777777" w:rsidR="00B33CA4" w:rsidRPr="002A429E" w:rsidRDefault="00B33CA4">
      <w:pPr>
        <w:rPr>
          <w:rFonts w:ascii="SimSun" w:eastAsia="SimSun" w:hAnsi="SimSun" w:cs="SimSun"/>
          <w:sz w:val="24"/>
          <w:szCs w:val="24"/>
        </w:rPr>
      </w:pPr>
    </w:p>
    <w:p w14:paraId="6249D44D" w14:textId="77777777" w:rsidR="00B33CA4" w:rsidRPr="002A429E" w:rsidRDefault="003C2D06" w:rsidP="002A429E">
      <w:pPr>
        <w:pStyle w:val="ListParagraph"/>
        <w:numPr>
          <w:ilvl w:val="0"/>
          <w:numId w:val="2"/>
        </w:numPr>
        <w:rPr>
          <w:sz w:val="24"/>
          <w:szCs w:val="24"/>
        </w:rPr>
      </w:pPr>
      <w:r w:rsidRPr="002A429E">
        <w:rPr>
          <w:rStyle w:val="Strong"/>
          <w:b w:val="0"/>
          <w:bCs w:val="0"/>
          <w:sz w:val="24"/>
          <w:szCs w:val="24"/>
        </w:rPr>
        <w:t>Deininger, K., &amp; Liu, Y. (2013).</w:t>
      </w:r>
      <w:r w:rsidRPr="002A429E">
        <w:rPr>
          <w:sz w:val="24"/>
          <w:szCs w:val="24"/>
        </w:rPr>
        <w:t xml:space="preserve"> </w:t>
      </w:r>
      <w:r w:rsidRPr="002A429E">
        <w:rPr>
          <w:rStyle w:val="Emphasis"/>
          <w:i w:val="0"/>
          <w:iCs w:val="0"/>
          <w:sz w:val="24"/>
          <w:szCs w:val="24"/>
        </w:rPr>
        <w:t>Economic and social impacts of an innovative self-help group model in India.</w:t>
      </w:r>
      <w:r w:rsidRPr="002A429E">
        <w:rPr>
          <w:sz w:val="24"/>
          <w:szCs w:val="24"/>
        </w:rPr>
        <w:t xml:space="preserve"> World Development, 43, 149–163.</w:t>
      </w:r>
    </w:p>
    <w:p w14:paraId="22B194DD" w14:textId="77777777" w:rsidR="00B33CA4" w:rsidRPr="002A429E" w:rsidRDefault="00B33CA4">
      <w:pPr>
        <w:rPr>
          <w:rFonts w:ascii="Times New Roman" w:hAnsi="Times New Roman" w:cs="Times New Roman"/>
          <w:sz w:val="24"/>
          <w:szCs w:val="24"/>
        </w:rPr>
      </w:pPr>
    </w:p>
    <w:p w14:paraId="2AA67D0E" w14:textId="77777777" w:rsidR="00B33CA4" w:rsidRPr="002A429E" w:rsidRDefault="003C2D06" w:rsidP="002A429E">
      <w:pPr>
        <w:pStyle w:val="Heading3"/>
        <w:numPr>
          <w:ilvl w:val="0"/>
          <w:numId w:val="2"/>
        </w:numPr>
        <w:jc w:val="both"/>
        <w:rPr>
          <w:rStyle w:val="Emphasis"/>
          <w:rFonts w:ascii="Times New Roman" w:hAnsi="Times New Roman" w:hint="default"/>
          <w:b w:val="0"/>
          <w:bCs w:val="0"/>
          <w:i w:val="0"/>
          <w:iCs w:val="0"/>
          <w:sz w:val="24"/>
          <w:szCs w:val="24"/>
        </w:rPr>
      </w:pPr>
      <w:r w:rsidRPr="002A429E">
        <w:rPr>
          <w:rStyle w:val="Strong"/>
          <w:rFonts w:ascii="Times New Roman" w:hAnsi="Times New Roman" w:hint="default"/>
          <w:sz w:val="24"/>
          <w:szCs w:val="24"/>
        </w:rPr>
        <w:lastRenderedPageBreak/>
        <w:t>Government of India. (2023).</w:t>
      </w:r>
      <w:r w:rsidRPr="002A429E">
        <w:rPr>
          <w:rFonts w:ascii="Times New Roman" w:hAnsi="Times New Roman" w:hint="default"/>
          <w:b w:val="0"/>
          <w:bCs w:val="0"/>
          <w:sz w:val="24"/>
          <w:szCs w:val="24"/>
        </w:rPr>
        <w:t xml:space="preserve"> </w:t>
      </w:r>
      <w:r w:rsidRPr="002A429E">
        <w:rPr>
          <w:rStyle w:val="Emphasis"/>
          <w:rFonts w:ascii="Times New Roman" w:hAnsi="Times New Roman" w:hint="default"/>
          <w:b w:val="0"/>
          <w:bCs w:val="0"/>
          <w:i w:val="0"/>
          <w:iCs w:val="0"/>
          <w:sz w:val="24"/>
          <w:szCs w:val="24"/>
        </w:rPr>
        <w:t>Annual Report 2022–23: Ministry of Rural Development.</w:t>
      </w:r>
    </w:p>
    <w:p w14:paraId="26943D7D" w14:textId="77777777" w:rsidR="00B33CA4" w:rsidRPr="002A429E" w:rsidRDefault="003C2D06" w:rsidP="002A429E">
      <w:pPr>
        <w:pStyle w:val="ListParagraph"/>
        <w:numPr>
          <w:ilvl w:val="0"/>
          <w:numId w:val="2"/>
        </w:numPr>
        <w:rPr>
          <w:sz w:val="24"/>
          <w:szCs w:val="24"/>
        </w:rPr>
      </w:pPr>
      <w:proofErr w:type="spellStart"/>
      <w:r w:rsidRPr="002A429E">
        <w:rPr>
          <w:rStyle w:val="Strong"/>
          <w:b w:val="0"/>
          <w:bCs w:val="0"/>
          <w:sz w:val="24"/>
          <w:szCs w:val="24"/>
        </w:rPr>
        <w:t>Holvoet</w:t>
      </w:r>
      <w:proofErr w:type="spellEnd"/>
      <w:r w:rsidRPr="002A429E">
        <w:rPr>
          <w:rStyle w:val="Strong"/>
          <w:b w:val="0"/>
          <w:bCs w:val="0"/>
          <w:sz w:val="24"/>
          <w:szCs w:val="24"/>
        </w:rPr>
        <w:t>, N. (2005).</w:t>
      </w:r>
      <w:r w:rsidRPr="002A429E">
        <w:rPr>
          <w:sz w:val="24"/>
          <w:szCs w:val="24"/>
        </w:rPr>
        <w:t xml:space="preserve"> </w:t>
      </w:r>
      <w:r w:rsidRPr="002A429E">
        <w:rPr>
          <w:rStyle w:val="Emphasis"/>
          <w:i w:val="0"/>
          <w:iCs w:val="0"/>
          <w:sz w:val="24"/>
          <w:szCs w:val="24"/>
        </w:rPr>
        <w:t>The impact of microfinance on decision-making agency: Evidence from South India.</w:t>
      </w:r>
      <w:r w:rsidRPr="002A429E">
        <w:rPr>
          <w:sz w:val="24"/>
          <w:szCs w:val="24"/>
        </w:rPr>
        <w:t xml:space="preserve"> Development and Change, 36(1), 75–102.</w:t>
      </w:r>
    </w:p>
    <w:p w14:paraId="34C9EE37" w14:textId="77777777" w:rsidR="00B33CA4" w:rsidRPr="002A429E" w:rsidRDefault="00B33CA4">
      <w:pPr>
        <w:rPr>
          <w:rFonts w:ascii="Times New Roman" w:hAnsi="Times New Roman" w:cs="Times New Roman"/>
          <w:sz w:val="24"/>
          <w:szCs w:val="24"/>
        </w:rPr>
      </w:pPr>
    </w:p>
    <w:p w14:paraId="5EBE6D4C" w14:textId="77777777" w:rsidR="00B33CA4" w:rsidRPr="002A429E" w:rsidRDefault="00B33CA4">
      <w:pPr>
        <w:rPr>
          <w:rFonts w:ascii="Times New Roman" w:hAnsi="Times New Roman" w:cs="Times New Roman"/>
          <w:sz w:val="24"/>
          <w:szCs w:val="24"/>
        </w:rPr>
      </w:pPr>
    </w:p>
    <w:p w14:paraId="0B5F1925" w14:textId="77777777" w:rsidR="00B33CA4" w:rsidRPr="00CE4C76" w:rsidRDefault="003C2D06" w:rsidP="002A429E">
      <w:pPr>
        <w:pStyle w:val="ListParagraph"/>
        <w:numPr>
          <w:ilvl w:val="0"/>
          <w:numId w:val="2"/>
        </w:numPr>
        <w:rPr>
          <w:sz w:val="24"/>
          <w:szCs w:val="24"/>
        </w:rPr>
      </w:pPr>
      <w:r w:rsidRPr="00CE4C76">
        <w:rPr>
          <w:sz w:val="24"/>
          <w:szCs w:val="24"/>
        </w:rPr>
        <w:t xml:space="preserve">Ministry of Rural Development. (2022). </w:t>
      </w:r>
      <w:r w:rsidRPr="00CE4C76">
        <w:rPr>
          <w:rStyle w:val="Emphasis"/>
          <w:i w:val="0"/>
          <w:iCs w:val="0"/>
          <w:sz w:val="24"/>
          <w:szCs w:val="24"/>
        </w:rPr>
        <w:t xml:space="preserve">Annual report: </w:t>
      </w:r>
      <w:proofErr w:type="spellStart"/>
      <w:r w:rsidRPr="00CE4C76">
        <w:rPr>
          <w:rStyle w:val="Emphasis"/>
          <w:i w:val="0"/>
          <w:iCs w:val="0"/>
          <w:sz w:val="24"/>
          <w:szCs w:val="24"/>
        </w:rPr>
        <w:t>Deendayal</w:t>
      </w:r>
      <w:proofErr w:type="spellEnd"/>
      <w:r w:rsidRPr="00CE4C76">
        <w:rPr>
          <w:rStyle w:val="Emphasis"/>
          <w:i w:val="0"/>
          <w:iCs w:val="0"/>
          <w:sz w:val="24"/>
          <w:szCs w:val="24"/>
        </w:rPr>
        <w:t xml:space="preserve"> </w:t>
      </w:r>
      <w:proofErr w:type="spellStart"/>
      <w:r w:rsidRPr="00CE4C76">
        <w:rPr>
          <w:rStyle w:val="Emphasis"/>
          <w:i w:val="0"/>
          <w:iCs w:val="0"/>
          <w:sz w:val="24"/>
          <w:szCs w:val="24"/>
        </w:rPr>
        <w:t>Antyodaya</w:t>
      </w:r>
      <w:proofErr w:type="spellEnd"/>
      <w:r w:rsidRPr="00CE4C76">
        <w:rPr>
          <w:rStyle w:val="Emphasis"/>
          <w:i w:val="0"/>
          <w:iCs w:val="0"/>
          <w:sz w:val="24"/>
          <w:szCs w:val="24"/>
        </w:rPr>
        <w:t xml:space="preserve"> Yojana–National Rural Livelihoods Mission (DAY–NRLM).</w:t>
      </w:r>
      <w:r w:rsidRPr="00CE4C76">
        <w:rPr>
          <w:sz w:val="24"/>
          <w:szCs w:val="24"/>
        </w:rPr>
        <w:t xml:space="preserve"> Government of India.</w:t>
      </w:r>
    </w:p>
    <w:p w14:paraId="01214F59" w14:textId="77777777" w:rsidR="00B33CA4" w:rsidRPr="002A429E" w:rsidRDefault="003C2D06" w:rsidP="002A429E">
      <w:pPr>
        <w:pStyle w:val="Heading3"/>
        <w:numPr>
          <w:ilvl w:val="0"/>
          <w:numId w:val="2"/>
        </w:numPr>
        <w:jc w:val="both"/>
        <w:rPr>
          <w:rFonts w:ascii="Times New Roman" w:hAnsi="Times New Roman" w:hint="default"/>
          <w:b w:val="0"/>
          <w:bCs w:val="0"/>
          <w:sz w:val="24"/>
          <w:szCs w:val="24"/>
        </w:rPr>
      </w:pPr>
      <w:r w:rsidRPr="002A429E">
        <w:rPr>
          <w:rStyle w:val="Strong"/>
          <w:rFonts w:ascii="Times New Roman" w:hAnsi="Times New Roman" w:hint="default"/>
          <w:sz w:val="24"/>
          <w:szCs w:val="24"/>
        </w:rPr>
        <w:t>NABARD. (2017).</w:t>
      </w:r>
      <w:r w:rsidRPr="002A429E">
        <w:rPr>
          <w:rFonts w:ascii="Times New Roman" w:hAnsi="Times New Roman" w:hint="default"/>
          <w:b w:val="0"/>
          <w:bCs w:val="0"/>
          <w:sz w:val="24"/>
          <w:szCs w:val="24"/>
        </w:rPr>
        <w:t xml:space="preserve"> </w:t>
      </w:r>
      <w:r w:rsidRPr="002A429E">
        <w:rPr>
          <w:rStyle w:val="Emphasis"/>
          <w:rFonts w:ascii="Times New Roman" w:hAnsi="Times New Roman" w:hint="default"/>
          <w:b w:val="0"/>
          <w:bCs w:val="0"/>
          <w:i w:val="0"/>
          <w:iCs w:val="0"/>
          <w:sz w:val="24"/>
          <w:szCs w:val="24"/>
        </w:rPr>
        <w:t>Status of Microfinance in India 2016–17.</w:t>
      </w:r>
      <w:r w:rsidRPr="002A429E">
        <w:rPr>
          <w:rFonts w:ascii="Times New Roman" w:hAnsi="Times New Roman" w:hint="default"/>
          <w:b w:val="0"/>
          <w:bCs w:val="0"/>
          <w:sz w:val="24"/>
          <w:szCs w:val="24"/>
        </w:rPr>
        <w:t xml:space="preserve"> National Bank for Agriculture and Rural Development.</w:t>
      </w:r>
    </w:p>
    <w:p w14:paraId="64FD543F" w14:textId="77777777" w:rsidR="00B33CA4" w:rsidRPr="002A429E" w:rsidRDefault="003C2D06" w:rsidP="002A429E">
      <w:pPr>
        <w:pStyle w:val="ListParagraph"/>
        <w:numPr>
          <w:ilvl w:val="0"/>
          <w:numId w:val="2"/>
        </w:numPr>
        <w:rPr>
          <w:sz w:val="24"/>
          <w:szCs w:val="24"/>
        </w:rPr>
      </w:pPr>
      <w:r w:rsidRPr="002A429E">
        <w:rPr>
          <w:rStyle w:val="Strong"/>
          <w:b w:val="0"/>
          <w:bCs w:val="0"/>
          <w:sz w:val="24"/>
          <w:szCs w:val="24"/>
        </w:rPr>
        <w:t>NRLM. (2021).</w:t>
      </w:r>
      <w:r w:rsidRPr="002A429E">
        <w:rPr>
          <w:sz w:val="24"/>
          <w:szCs w:val="24"/>
        </w:rPr>
        <w:t xml:space="preserve"> </w:t>
      </w:r>
      <w:r w:rsidRPr="002A429E">
        <w:rPr>
          <w:rStyle w:val="Emphasis"/>
          <w:i w:val="0"/>
          <w:iCs w:val="0"/>
          <w:sz w:val="24"/>
          <w:szCs w:val="24"/>
        </w:rPr>
        <w:t>National Rural Livelihood Mission: Framework for Implementation.</w:t>
      </w:r>
      <w:r w:rsidRPr="002A429E">
        <w:rPr>
          <w:sz w:val="24"/>
          <w:szCs w:val="24"/>
        </w:rPr>
        <w:t xml:space="preserve"> Ministry of Rural Development.</w:t>
      </w:r>
    </w:p>
    <w:p w14:paraId="5808FBE1" w14:textId="77777777" w:rsidR="00B33CA4" w:rsidRPr="002A429E" w:rsidRDefault="00B33CA4">
      <w:pPr>
        <w:rPr>
          <w:rFonts w:ascii="Times New Roman" w:hAnsi="Times New Roman" w:cs="Times New Roman"/>
          <w:sz w:val="24"/>
          <w:szCs w:val="24"/>
        </w:rPr>
      </w:pPr>
    </w:p>
    <w:p w14:paraId="0AE3CF82" w14:textId="77777777" w:rsidR="00B33CA4" w:rsidRPr="002A429E" w:rsidRDefault="00B33CA4">
      <w:pPr>
        <w:rPr>
          <w:rFonts w:ascii="Times New Roman" w:hAnsi="Times New Roman" w:cs="Times New Roman"/>
          <w:sz w:val="24"/>
          <w:szCs w:val="24"/>
        </w:rPr>
      </w:pPr>
    </w:p>
    <w:p w14:paraId="5150C389" w14:textId="77777777" w:rsidR="00B33CA4" w:rsidRPr="00A80E8F" w:rsidRDefault="003C2D06" w:rsidP="002A429E">
      <w:pPr>
        <w:pStyle w:val="ListParagraph"/>
        <w:numPr>
          <w:ilvl w:val="0"/>
          <w:numId w:val="2"/>
        </w:numPr>
        <w:rPr>
          <w:sz w:val="24"/>
          <w:szCs w:val="24"/>
        </w:rPr>
      </w:pPr>
      <w:r w:rsidRPr="00A80E8F">
        <w:rPr>
          <w:sz w:val="24"/>
          <w:szCs w:val="24"/>
        </w:rPr>
        <w:t xml:space="preserve">Reserve Bank of India. (2023). </w:t>
      </w:r>
      <w:r w:rsidRPr="00A80E8F">
        <w:rPr>
          <w:rStyle w:val="Emphasis"/>
          <w:i w:val="0"/>
          <w:iCs w:val="0"/>
          <w:sz w:val="24"/>
          <w:szCs w:val="24"/>
        </w:rPr>
        <w:t xml:space="preserve">Status of microfinance in India: SHG–Bank linkage </w:t>
      </w:r>
      <w:proofErr w:type="spellStart"/>
      <w:r w:rsidRPr="00A80E8F">
        <w:rPr>
          <w:rStyle w:val="Emphasis"/>
          <w:i w:val="0"/>
          <w:iCs w:val="0"/>
          <w:sz w:val="24"/>
          <w:szCs w:val="24"/>
        </w:rPr>
        <w:t>programme</w:t>
      </w:r>
      <w:proofErr w:type="spellEnd"/>
      <w:r w:rsidRPr="00A80E8F">
        <w:rPr>
          <w:rStyle w:val="Emphasis"/>
          <w:i w:val="0"/>
          <w:iCs w:val="0"/>
          <w:sz w:val="24"/>
          <w:szCs w:val="24"/>
        </w:rPr>
        <w:t xml:space="preserve"> report.</w:t>
      </w:r>
      <w:r w:rsidRPr="00A80E8F">
        <w:rPr>
          <w:sz w:val="24"/>
          <w:szCs w:val="24"/>
        </w:rPr>
        <w:t xml:space="preserve"> NABARD. </w:t>
      </w:r>
    </w:p>
    <w:p w14:paraId="1D7496A1" w14:textId="77777777" w:rsidR="00B33CA4" w:rsidRPr="002A429E" w:rsidRDefault="003C2D06" w:rsidP="002A429E">
      <w:pPr>
        <w:pStyle w:val="Heading3"/>
        <w:numPr>
          <w:ilvl w:val="0"/>
          <w:numId w:val="2"/>
        </w:numPr>
        <w:jc w:val="both"/>
        <w:rPr>
          <w:rFonts w:ascii="Times New Roman" w:hAnsi="Times New Roman" w:hint="default"/>
          <w:b w:val="0"/>
          <w:bCs w:val="0"/>
          <w:sz w:val="24"/>
          <w:szCs w:val="24"/>
        </w:rPr>
      </w:pPr>
      <w:r w:rsidRPr="002A429E">
        <w:rPr>
          <w:rStyle w:val="Strong"/>
          <w:rFonts w:ascii="Times New Roman" w:hAnsi="Times New Roman" w:hint="default"/>
          <w:sz w:val="24"/>
          <w:szCs w:val="24"/>
        </w:rPr>
        <w:t xml:space="preserve">Swain, R. B., &amp; </w:t>
      </w:r>
      <w:proofErr w:type="spellStart"/>
      <w:r w:rsidRPr="002A429E">
        <w:rPr>
          <w:rStyle w:val="Strong"/>
          <w:rFonts w:ascii="Times New Roman" w:hAnsi="Times New Roman" w:hint="default"/>
          <w:sz w:val="24"/>
          <w:szCs w:val="24"/>
        </w:rPr>
        <w:t>Wallentin</w:t>
      </w:r>
      <w:proofErr w:type="spellEnd"/>
      <w:r w:rsidRPr="002A429E">
        <w:rPr>
          <w:rStyle w:val="Strong"/>
          <w:rFonts w:ascii="Times New Roman" w:hAnsi="Times New Roman" w:hint="default"/>
          <w:sz w:val="24"/>
          <w:szCs w:val="24"/>
        </w:rPr>
        <w:t>, F. Y. (2009).</w:t>
      </w:r>
      <w:r w:rsidRPr="002A429E">
        <w:rPr>
          <w:rFonts w:ascii="Times New Roman" w:hAnsi="Times New Roman" w:hint="default"/>
          <w:b w:val="0"/>
          <w:bCs w:val="0"/>
          <w:sz w:val="24"/>
          <w:szCs w:val="24"/>
        </w:rPr>
        <w:t xml:space="preserve"> </w:t>
      </w:r>
      <w:r w:rsidRPr="002A429E">
        <w:rPr>
          <w:rStyle w:val="Emphasis"/>
          <w:rFonts w:ascii="Times New Roman" w:hAnsi="Times New Roman" w:hint="default"/>
          <w:b w:val="0"/>
          <w:bCs w:val="0"/>
          <w:i w:val="0"/>
          <w:iCs w:val="0"/>
          <w:sz w:val="24"/>
          <w:szCs w:val="24"/>
        </w:rPr>
        <w:t>Does microfinance empower women? Evidence from self‐help groups in India.</w:t>
      </w:r>
      <w:r w:rsidRPr="002A429E">
        <w:rPr>
          <w:rFonts w:ascii="Times New Roman" w:hAnsi="Times New Roman" w:hint="default"/>
          <w:b w:val="0"/>
          <w:bCs w:val="0"/>
          <w:sz w:val="24"/>
          <w:szCs w:val="24"/>
        </w:rPr>
        <w:t xml:space="preserve"> International Review of Applied Economics, 23(5), 541–556.</w:t>
      </w:r>
    </w:p>
    <w:p w14:paraId="7F751D2F" w14:textId="77777777" w:rsidR="00B33CA4" w:rsidRPr="002A429E" w:rsidRDefault="003C2D06" w:rsidP="002A429E">
      <w:pPr>
        <w:pStyle w:val="Heading3"/>
        <w:numPr>
          <w:ilvl w:val="0"/>
          <w:numId w:val="2"/>
        </w:numPr>
        <w:jc w:val="both"/>
        <w:rPr>
          <w:rFonts w:ascii="Times New Roman" w:hAnsi="Times New Roman" w:hint="default"/>
          <w:b w:val="0"/>
          <w:bCs w:val="0"/>
          <w:sz w:val="24"/>
          <w:szCs w:val="24"/>
        </w:rPr>
      </w:pPr>
      <w:proofErr w:type="spellStart"/>
      <w:r w:rsidRPr="002A429E">
        <w:rPr>
          <w:rStyle w:val="Strong"/>
          <w:rFonts w:ascii="Times New Roman" w:hAnsi="Times New Roman" w:hint="default"/>
          <w:sz w:val="24"/>
          <w:szCs w:val="24"/>
        </w:rPr>
        <w:t>Sanyal</w:t>
      </w:r>
      <w:proofErr w:type="spellEnd"/>
      <w:r w:rsidRPr="002A429E">
        <w:rPr>
          <w:rStyle w:val="Strong"/>
          <w:rFonts w:ascii="Times New Roman" w:hAnsi="Times New Roman" w:hint="default"/>
          <w:sz w:val="24"/>
          <w:szCs w:val="24"/>
        </w:rPr>
        <w:t>, P. (2009).</w:t>
      </w:r>
      <w:r w:rsidRPr="002A429E">
        <w:rPr>
          <w:rFonts w:ascii="Times New Roman" w:hAnsi="Times New Roman" w:hint="default"/>
          <w:b w:val="0"/>
          <w:bCs w:val="0"/>
          <w:sz w:val="24"/>
          <w:szCs w:val="24"/>
        </w:rPr>
        <w:t xml:space="preserve"> </w:t>
      </w:r>
      <w:r w:rsidRPr="002A429E">
        <w:rPr>
          <w:rStyle w:val="Emphasis"/>
          <w:rFonts w:ascii="Times New Roman" w:hAnsi="Times New Roman" w:hint="default"/>
          <w:b w:val="0"/>
          <w:bCs w:val="0"/>
          <w:i w:val="0"/>
          <w:iCs w:val="0"/>
          <w:sz w:val="24"/>
          <w:szCs w:val="24"/>
        </w:rPr>
        <w:t>From credit to collective action: The role of microfinance in promoting women’s social capital and normative influence.</w:t>
      </w:r>
      <w:r w:rsidRPr="002A429E">
        <w:rPr>
          <w:rFonts w:ascii="Times New Roman" w:hAnsi="Times New Roman" w:hint="default"/>
          <w:b w:val="0"/>
          <w:bCs w:val="0"/>
          <w:sz w:val="24"/>
          <w:szCs w:val="24"/>
        </w:rPr>
        <w:t xml:space="preserve"> American Sociological Review, 74(4), 529–550.</w:t>
      </w:r>
    </w:p>
    <w:p w14:paraId="2317954A" w14:textId="77777777" w:rsidR="00B33CA4" w:rsidRPr="002A429E" w:rsidRDefault="003C2D06" w:rsidP="002A429E">
      <w:pPr>
        <w:pStyle w:val="Heading3"/>
        <w:numPr>
          <w:ilvl w:val="0"/>
          <w:numId w:val="2"/>
        </w:numPr>
        <w:jc w:val="both"/>
        <w:rPr>
          <w:rFonts w:ascii="Times New Roman" w:hAnsi="Times New Roman" w:hint="default"/>
          <w:b w:val="0"/>
          <w:bCs w:val="0"/>
          <w:sz w:val="24"/>
          <w:szCs w:val="24"/>
        </w:rPr>
      </w:pPr>
      <w:proofErr w:type="spellStart"/>
      <w:r w:rsidRPr="002A429E">
        <w:rPr>
          <w:rFonts w:ascii="Times New Roman" w:hAnsi="Times New Roman" w:hint="default"/>
          <w:b w:val="0"/>
          <w:bCs w:val="0"/>
          <w:sz w:val="24"/>
          <w:szCs w:val="24"/>
        </w:rPr>
        <w:t>Sihag</w:t>
      </w:r>
      <w:proofErr w:type="spellEnd"/>
      <w:r w:rsidRPr="002A429E">
        <w:rPr>
          <w:rFonts w:ascii="Times New Roman" w:hAnsi="Times New Roman" w:hint="default"/>
          <w:b w:val="0"/>
          <w:bCs w:val="0"/>
          <w:sz w:val="24"/>
          <w:szCs w:val="24"/>
        </w:rPr>
        <w:t xml:space="preserve">, R., &amp; </w:t>
      </w:r>
      <w:proofErr w:type="spellStart"/>
      <w:r w:rsidRPr="002A429E">
        <w:rPr>
          <w:rFonts w:ascii="Times New Roman" w:hAnsi="Times New Roman" w:hint="default"/>
          <w:b w:val="0"/>
          <w:bCs w:val="0"/>
          <w:sz w:val="24"/>
          <w:szCs w:val="24"/>
        </w:rPr>
        <w:t>Vermani</w:t>
      </w:r>
      <w:proofErr w:type="spellEnd"/>
      <w:r w:rsidRPr="002A429E">
        <w:rPr>
          <w:rFonts w:ascii="Times New Roman" w:hAnsi="Times New Roman" w:hint="default"/>
          <w:b w:val="0"/>
          <w:bCs w:val="0"/>
          <w:sz w:val="24"/>
          <w:szCs w:val="24"/>
        </w:rPr>
        <w:t xml:space="preserve">, S. (2022). Self-help groups: An approach for economic empowerment of rural women in India. </w:t>
      </w:r>
      <w:r w:rsidRPr="002A429E">
        <w:rPr>
          <w:rStyle w:val="Emphasis"/>
          <w:rFonts w:ascii="Times New Roman" w:hAnsi="Times New Roman" w:hint="default"/>
          <w:b w:val="0"/>
          <w:bCs w:val="0"/>
          <w:i w:val="0"/>
          <w:iCs w:val="0"/>
          <w:sz w:val="24"/>
          <w:szCs w:val="24"/>
        </w:rPr>
        <w:t>Asian Journal of Agricultural Extension, Economics &amp; Sociology, 40</w:t>
      </w:r>
      <w:r w:rsidRPr="002A429E">
        <w:rPr>
          <w:rFonts w:ascii="Times New Roman" w:hAnsi="Times New Roman" w:hint="default"/>
          <w:b w:val="0"/>
          <w:bCs w:val="0"/>
          <w:sz w:val="24"/>
          <w:szCs w:val="24"/>
        </w:rPr>
        <w:t>(4), 107–113.</w:t>
      </w:r>
    </w:p>
    <w:p w14:paraId="2116F79F" w14:textId="77777777" w:rsidR="00B33CA4" w:rsidRPr="002A429E" w:rsidRDefault="003C2D06" w:rsidP="002A429E">
      <w:pPr>
        <w:pStyle w:val="ListParagraph"/>
        <w:numPr>
          <w:ilvl w:val="0"/>
          <w:numId w:val="2"/>
        </w:numPr>
        <w:rPr>
          <w:sz w:val="24"/>
          <w:szCs w:val="24"/>
        </w:rPr>
      </w:pPr>
      <w:r w:rsidRPr="002A429E">
        <w:rPr>
          <w:sz w:val="24"/>
          <w:szCs w:val="24"/>
        </w:rPr>
        <w:t xml:space="preserve">World Bank. (2017). </w:t>
      </w:r>
      <w:r w:rsidRPr="002A429E">
        <w:rPr>
          <w:rStyle w:val="Emphasis"/>
          <w:i w:val="0"/>
          <w:iCs w:val="0"/>
          <w:sz w:val="24"/>
          <w:szCs w:val="24"/>
        </w:rPr>
        <w:t>Empowering rural women in India: The impact of the National Rural Livelihoods Mission.</w:t>
      </w:r>
    </w:p>
    <w:p w14:paraId="2DA37CE3" w14:textId="77777777" w:rsidR="00B33CA4" w:rsidRPr="002A429E" w:rsidRDefault="003C2D06" w:rsidP="002A429E">
      <w:pPr>
        <w:pStyle w:val="Heading3"/>
        <w:numPr>
          <w:ilvl w:val="0"/>
          <w:numId w:val="2"/>
        </w:numPr>
        <w:jc w:val="both"/>
        <w:rPr>
          <w:rFonts w:ascii="Times New Roman" w:hAnsi="Times New Roman" w:hint="default"/>
          <w:b w:val="0"/>
          <w:bCs w:val="0"/>
          <w:sz w:val="24"/>
          <w:szCs w:val="24"/>
        </w:rPr>
      </w:pPr>
      <w:r w:rsidRPr="002A429E">
        <w:rPr>
          <w:rFonts w:ascii="Times New Roman" w:hAnsi="Times New Roman" w:hint="default"/>
          <w:b w:val="0"/>
          <w:bCs w:val="0"/>
          <w:sz w:val="24"/>
          <w:szCs w:val="24"/>
        </w:rPr>
        <w:t xml:space="preserve">Yadav, S., &amp; Bhaskar, H. L. (2025). Exploring the impact of SHGs on women empowerment in the Delhi NCR region. </w:t>
      </w:r>
      <w:r w:rsidRPr="002A429E">
        <w:rPr>
          <w:rStyle w:val="Emphasis"/>
          <w:rFonts w:ascii="Times New Roman" w:hAnsi="Times New Roman" w:hint="default"/>
          <w:b w:val="0"/>
          <w:bCs w:val="0"/>
          <w:i w:val="0"/>
          <w:iCs w:val="0"/>
          <w:sz w:val="24"/>
          <w:szCs w:val="24"/>
        </w:rPr>
        <w:t>RESEARCH REVIEW International Journal of Multidisciplinary, 10</w:t>
      </w:r>
      <w:r w:rsidRPr="002A429E">
        <w:rPr>
          <w:rFonts w:ascii="Times New Roman" w:hAnsi="Times New Roman" w:hint="default"/>
          <w:b w:val="0"/>
          <w:bCs w:val="0"/>
          <w:sz w:val="24"/>
          <w:szCs w:val="24"/>
        </w:rPr>
        <w:t>(6), 13–22.</w:t>
      </w:r>
    </w:p>
    <w:p w14:paraId="36F1386A" w14:textId="77777777" w:rsidR="00B33CA4" w:rsidRPr="002A429E" w:rsidRDefault="003C2D06" w:rsidP="002A429E">
      <w:pPr>
        <w:pStyle w:val="NormalWeb"/>
        <w:numPr>
          <w:ilvl w:val="0"/>
          <w:numId w:val="2"/>
        </w:numPr>
        <w:jc w:val="both"/>
        <w:rPr>
          <w:rFonts w:ascii="Times New Roman" w:hAnsi="Times New Roman"/>
        </w:rPr>
      </w:pPr>
      <w:r w:rsidRPr="002A429E">
        <w:rPr>
          <w:rFonts w:ascii="Times New Roman" w:hAnsi="Times New Roman"/>
        </w:rPr>
        <w:t xml:space="preserve">3ie. (2020, March 8). </w:t>
      </w:r>
      <w:r w:rsidRPr="002A429E">
        <w:rPr>
          <w:rStyle w:val="Emphasis"/>
          <w:rFonts w:ascii="Times New Roman" w:hAnsi="Times New Roman"/>
          <w:i w:val="0"/>
          <w:iCs w:val="0"/>
        </w:rPr>
        <w:t>Empowering women through Self-Help Groups: Evidence of effectiveness, questions of scale.</w:t>
      </w:r>
      <w:r w:rsidRPr="002A429E">
        <w:rPr>
          <w:rFonts w:ascii="Times New Roman" w:hAnsi="Times New Roman"/>
        </w:rPr>
        <w:t xml:space="preserve"> International Initiative for Impact Evaluation.   </w:t>
      </w:r>
    </w:p>
    <w:p w14:paraId="18DECB4A" w14:textId="77777777" w:rsidR="00B33CA4" w:rsidRDefault="003C2D06">
      <w:pPr>
        <w:pStyle w:val="NormalWeb"/>
        <w:jc w:val="both"/>
        <w:rPr>
          <w:rFonts w:ascii="Times New Roman" w:hAnsi="Times New Roman"/>
        </w:rPr>
      </w:pPr>
      <w:r>
        <w:rPr>
          <w:rFonts w:ascii="Times New Roman" w:hAnsi="Times New Roman"/>
        </w:rPr>
        <w:t xml:space="preserve"> </w:t>
      </w:r>
    </w:p>
    <w:p w14:paraId="36C51AA5" w14:textId="77777777" w:rsidR="00B33CA4" w:rsidRDefault="003C2D06">
      <w:pPr>
        <w:pStyle w:val="NormalWeb"/>
        <w:jc w:val="both"/>
        <w:rPr>
          <w:rFonts w:ascii="Times New Roman" w:hAnsi="Times New Roman"/>
        </w:rPr>
      </w:pPr>
      <w:r>
        <w:rPr>
          <w:rFonts w:ascii="Times New Roman" w:hAnsi="Times New Roman"/>
        </w:rPr>
        <w:t xml:space="preserve"> </w:t>
      </w:r>
    </w:p>
    <w:sectPr w:rsidR="00B33CA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D701B" w14:textId="77777777" w:rsidR="003E749E" w:rsidRDefault="003E749E">
      <w:r>
        <w:separator/>
      </w:r>
    </w:p>
  </w:endnote>
  <w:endnote w:type="continuationSeparator" w:id="0">
    <w:p w14:paraId="1AB23D1C" w14:textId="77777777" w:rsidR="003E749E" w:rsidRDefault="003E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1C87" w14:textId="77777777" w:rsidR="00B33CA4" w:rsidRDefault="00B3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776B" w14:textId="77777777" w:rsidR="00B33CA4" w:rsidRDefault="00B33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F3CE" w14:textId="77777777" w:rsidR="00B33CA4" w:rsidRDefault="00B3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639B6" w14:textId="77777777" w:rsidR="003E749E" w:rsidRDefault="003E749E">
      <w:r>
        <w:separator/>
      </w:r>
    </w:p>
  </w:footnote>
  <w:footnote w:type="continuationSeparator" w:id="0">
    <w:p w14:paraId="6B5A4A58" w14:textId="77777777" w:rsidR="003E749E" w:rsidRDefault="003E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F305" w14:textId="77777777" w:rsidR="00B33CA4" w:rsidRDefault="00130E6A">
    <w:pPr>
      <w:pStyle w:val="Header"/>
    </w:pPr>
    <w:r>
      <w:pict w14:anchorId="34B88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2" o:spid="_x0000_s2050"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E041" w14:textId="77777777" w:rsidR="00B33CA4" w:rsidRDefault="00130E6A">
    <w:pPr>
      <w:pStyle w:val="Header"/>
    </w:pPr>
    <w:r>
      <w:pict w14:anchorId="59EBB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3" o:spid="_x0000_s2051"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7FAE" w14:textId="77777777" w:rsidR="00B33CA4" w:rsidRDefault="00130E6A">
    <w:pPr>
      <w:pStyle w:val="Header"/>
    </w:pPr>
    <w:r>
      <w:pict w14:anchorId="7830A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1" o:spid="_x0000_s2049" type="#_x0000_t136" style="position:absolute;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014C5"/>
    <w:multiLevelType w:val="multilevel"/>
    <w:tmpl w:val="21B01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D142A6"/>
    <w:multiLevelType w:val="hybridMultilevel"/>
    <w:tmpl w:val="5C802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NzUwMrWwMDezMDJT0lEKTi0uzszPAykwqgUAcFuufiwAAAA="/>
  </w:docVars>
  <w:rsids>
    <w:rsidRoot w:val="007243B7"/>
    <w:rsid w:val="000766E0"/>
    <w:rsid w:val="00130E6A"/>
    <w:rsid w:val="00146C53"/>
    <w:rsid w:val="00151B38"/>
    <w:rsid w:val="00191C7D"/>
    <w:rsid w:val="001B2660"/>
    <w:rsid w:val="001F3C7F"/>
    <w:rsid w:val="002A429E"/>
    <w:rsid w:val="00333703"/>
    <w:rsid w:val="00342D95"/>
    <w:rsid w:val="003C2D06"/>
    <w:rsid w:val="003E749E"/>
    <w:rsid w:val="003F71C2"/>
    <w:rsid w:val="005544D6"/>
    <w:rsid w:val="00560884"/>
    <w:rsid w:val="007243B7"/>
    <w:rsid w:val="00900C76"/>
    <w:rsid w:val="00991410"/>
    <w:rsid w:val="00A80E8F"/>
    <w:rsid w:val="00B33CA4"/>
    <w:rsid w:val="00C30BC7"/>
    <w:rsid w:val="00C82D6D"/>
    <w:rsid w:val="00CE4C76"/>
    <w:rsid w:val="00DE7A33"/>
    <w:rsid w:val="00F70ECD"/>
    <w:rsid w:val="132121DF"/>
    <w:rsid w:val="13DE02D3"/>
    <w:rsid w:val="420857EE"/>
    <w:rsid w:val="554B5279"/>
    <w:rsid w:val="6033485A"/>
    <w:rsid w:val="65FE5F39"/>
    <w:rsid w:val="7B47230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E1FAA2"/>
  <w15:docId w15:val="{E1343DEC-DB1B-44FE-AECB-57F58AF7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widowControl w:val="0"/>
      <w:autoSpaceDE w:val="0"/>
      <w:autoSpaceDN w:val="0"/>
      <w:ind w:left="1028" w:hanging="721"/>
    </w:pPr>
    <w:rPr>
      <w:rFonts w:ascii="Times New Roman" w:eastAsia="Times New Roman" w:hAnsi="Times New Roman" w:cs="Times New Roman"/>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lang w:val="en-US" w:eastAsia="zh-CN"/>
    </w:rPr>
  </w:style>
  <w:style w:type="character" w:customStyle="1" w:styleId="FooterChar">
    <w:name w:val="Footer Char"/>
    <w:basedOn w:val="DefaultParagraphFont"/>
    <w:link w:val="Footer"/>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ji</dc:creator>
  <cp:lastModifiedBy>SDI PC New 16</cp:lastModifiedBy>
  <cp:revision>18</cp:revision>
  <dcterms:created xsi:type="dcterms:W3CDTF">2025-11-14T19:33:00Z</dcterms:created>
  <dcterms:modified xsi:type="dcterms:W3CDTF">2025-11-22T04:38:00Z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8383C2E868124003A4CCF0D68BE7748D_12</vt:lpwstr>
  </property>
</Properties>
</file>