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BA13A" w14:textId="77777777" w:rsidR="00954E4A" w:rsidRDefault="00954E4A" w:rsidP="00954E4A">
      <w:pPr>
        <w:pStyle w:val="Heading1"/>
        <w:jc w:val="center"/>
        <w:rPr>
          <w:rFonts w:ascii="Times New Roman" w:hAnsi="Times New Roman" w:cs="Times New Roman"/>
          <w:b/>
          <w:bCs/>
          <w:color w:val="000000"/>
        </w:rPr>
      </w:pPr>
      <w:bookmarkStart w:id="0" w:name="X3027af188407e05250150f1c2b715042e80110b"/>
      <w:r>
        <w:rPr>
          <w:rFonts w:ascii="Times New Roman" w:hAnsi="Times New Roman" w:cs="Times New Roman"/>
          <w:b/>
          <w:bCs/>
          <w:color w:val="000000"/>
        </w:rPr>
        <w:t>Managing Misinformation and Disinformation</w:t>
      </w:r>
      <w:r>
        <w:rPr>
          <w:rFonts w:ascii="Times New Roman" w:hAnsi="Times New Roman" w:cs="Times New Roman"/>
          <w:b/>
          <w:bCs/>
          <w:color w:val="000000"/>
          <w:lang w:val="en-US"/>
        </w:rPr>
        <w:t xml:space="preserve"> through </w:t>
      </w:r>
      <w:bookmarkStart w:id="1" w:name="header"/>
      <w:bookmarkEnd w:id="1"/>
      <w:r>
        <w:rPr>
          <w:rFonts w:ascii="Times New Roman" w:hAnsi="Times New Roman" w:cs="Times New Roman"/>
          <w:b/>
          <w:bCs/>
          <w:color w:val="000000"/>
        </w:rPr>
        <w:t>Professional Skepticism</w:t>
      </w:r>
    </w:p>
    <w:p w14:paraId="0CC1956A" w14:textId="77777777" w:rsidR="00354DFA" w:rsidRDefault="00354DFA" w:rsidP="00354DFA">
      <w:pPr>
        <w:pStyle w:val="Heading2"/>
        <w:rPr>
          <w:rFonts w:ascii="Times New Roman" w:hAnsi="Times New Roman" w:cs="Times New Roman"/>
          <w:color w:val="000000"/>
          <w:sz w:val="24"/>
          <w:szCs w:val="24"/>
        </w:rPr>
      </w:pPr>
      <w:bookmarkStart w:id="2" w:name="_GoBack"/>
      <w:bookmarkEnd w:id="2"/>
      <w:r>
        <w:rPr>
          <w:rFonts w:ascii="Times New Roman" w:hAnsi="Times New Roman" w:cs="Times New Roman"/>
          <w:b/>
          <w:bCs/>
          <w:color w:val="000000"/>
          <w:sz w:val="24"/>
          <w:szCs w:val="24"/>
        </w:rPr>
        <w:t>Abstract</w:t>
      </w:r>
    </w:p>
    <w:p w14:paraId="798DB0C3" w14:textId="77777777" w:rsidR="00354DFA" w:rsidRDefault="00354DFA" w:rsidP="00354DFA">
      <w:pPr>
        <w:pStyle w:val="BodyText"/>
        <w:jc w:val="both"/>
        <w:rPr>
          <w:rFonts w:ascii="Times New Roman" w:eastAsia="Calibri" w:hAnsi="Times New Roman" w:cs="Times New Roman"/>
        </w:rPr>
      </w:pPr>
      <w:r>
        <w:rPr>
          <w:rFonts w:ascii="Times New Roman" w:eastAsia="Calibri" w:hAnsi="Times New Roman" w:cs="Times New Roman"/>
        </w:rPr>
        <w:t>In the contemporary information age, misinformation and disinformation present profound threats to decision-making, organizational integrity, and societal trust. This article merges theoretical insights and practical case studies to examine how professional skepticism can counter the harmful effects of false or misleading information. Using case studies from the Cameroon Baptist Convention (CBC) Health Services and MBV Consulting Group, alongside global examples such as the COVID-19 infodemic, the Enron scandal, banking cybercrime, and vaccine misinformation, the study highlights skepticism as both an ethical posture and a methodological safeguard. This study employs a qualitative approach grounded in literature analysis and enriched with illustrative case studies to deepen understanding of the phenomena under review. Drawing on literature in accounting, psychology, information theory, and governance, it situates skepticism within frameworks of ethics, cognitive bias, and fraud theory. The article integrates recent scholarship, policy perspectives, and practical experiences to demonstrate that skepticism is indispensable for protecting organizational transparency, public health, and financial accountability. The study contributes a framework linking professional skepticism to resilience and equity, and it recommends institutional reforms to embed skepticism within training, policy, and governance structures.</w:t>
      </w:r>
    </w:p>
    <w:p w14:paraId="4BC31DF4" w14:textId="77777777" w:rsidR="00354DFA" w:rsidRDefault="00354DFA" w:rsidP="00354DFA">
      <w:pPr>
        <w:pStyle w:val="BodyText"/>
        <w:rPr>
          <w:rFonts w:ascii="Times New Roman" w:hAnsi="Times New Roman" w:cs="Times New Roman"/>
        </w:rPr>
      </w:pPr>
      <w:r>
        <w:rPr>
          <w:rFonts w:ascii="Times New Roman" w:hAnsi="Times New Roman" w:cs="Times New Roman"/>
          <w:b/>
          <w:bCs/>
        </w:rPr>
        <w:t>Keywords:</w:t>
      </w:r>
      <w:r>
        <w:rPr>
          <w:rFonts w:ascii="Times New Roman" w:hAnsi="Times New Roman" w:cs="Times New Roman"/>
        </w:rPr>
        <w:t xml:space="preserve"> Professional skepticism; misinformation; disinformation; forensic auditing; governance</w:t>
      </w:r>
    </w:p>
    <w:p w14:paraId="1760EFE3" w14:textId="77777777" w:rsidR="00354DFA" w:rsidRDefault="00354DFA" w:rsidP="00354DFA">
      <w:pPr>
        <w:pStyle w:val="Heading2"/>
        <w:rPr>
          <w:rFonts w:ascii="Times New Roman" w:hAnsi="Times New Roman" w:cs="Times New Roman"/>
          <w:b/>
          <w:bCs/>
          <w:color w:val="000000"/>
          <w:sz w:val="24"/>
          <w:szCs w:val="24"/>
        </w:rPr>
      </w:pPr>
      <w:r>
        <w:rPr>
          <w:rFonts w:ascii="Times New Roman" w:hAnsi="Times New Roman" w:cs="Times New Roman"/>
          <w:b/>
          <w:bCs/>
          <w:color w:val="000000"/>
          <w:sz w:val="24"/>
          <w:szCs w:val="24"/>
        </w:rPr>
        <w:t>Introduction</w:t>
      </w:r>
    </w:p>
    <w:p w14:paraId="7CDF8D8F" w14:textId="77777777" w:rsidR="00354DFA" w:rsidRDefault="00354DFA" w:rsidP="00354DFA">
      <w:pPr>
        <w:pStyle w:val="FirstParagraph"/>
        <w:jc w:val="both"/>
        <w:rPr>
          <w:rFonts w:ascii="Times New Roman" w:hAnsi="Times New Roman" w:cs="Times New Roman"/>
        </w:rPr>
      </w:pPr>
      <w:r>
        <w:rPr>
          <w:rFonts w:ascii="Times New Roman" w:hAnsi="Times New Roman" w:cs="Times New Roman"/>
        </w:rPr>
        <w:t>The global information landscape has been transformed by the rapid rise of digital communication, where knowledge flows instantly across borders but so too does falsehood. For clarity, misinformation refers to false or inaccurate content shared without intent to deceive, whereas disinformation denotes intentionally crafted falsehoods designed to mislead[34]. The spread of misinformation</w:t>
      </w:r>
      <w:r>
        <w:rPr>
          <w:rFonts w:ascii="Times New Roman" w:hAnsi="Times New Roman" w:cs="Times New Roman"/>
          <w:lang w:val="en-US"/>
        </w:rPr>
        <w:t xml:space="preserve"> </w:t>
      </w:r>
      <w:r>
        <w:rPr>
          <w:rFonts w:ascii="Times New Roman" w:hAnsi="Times New Roman" w:cs="Times New Roman"/>
        </w:rPr>
        <w:t>unintended inaccuracies</w:t>
      </w:r>
      <w:r>
        <w:rPr>
          <w:rFonts w:ascii="Times New Roman" w:hAnsi="Times New Roman" w:cs="Times New Roman"/>
          <w:lang w:val="en-US"/>
        </w:rPr>
        <w:t xml:space="preserve"> </w:t>
      </w:r>
      <w:r>
        <w:rPr>
          <w:rFonts w:ascii="Times New Roman" w:hAnsi="Times New Roman" w:cs="Times New Roman"/>
        </w:rPr>
        <w:t>and disinformation</w:t>
      </w:r>
      <w:r>
        <w:rPr>
          <w:rFonts w:ascii="Times New Roman" w:hAnsi="Times New Roman" w:cs="Times New Roman"/>
          <w:lang w:val="en-US"/>
        </w:rPr>
        <w:t xml:space="preserve"> </w:t>
      </w:r>
      <w:r>
        <w:rPr>
          <w:rFonts w:ascii="Times New Roman" w:hAnsi="Times New Roman" w:cs="Times New Roman"/>
        </w:rPr>
        <w:t>deliberate manipulations</w:t>
      </w:r>
      <w:r>
        <w:rPr>
          <w:rFonts w:ascii="Times New Roman" w:hAnsi="Times New Roman" w:cs="Times New Roman"/>
          <w:lang w:val="en-US"/>
        </w:rPr>
        <w:t xml:space="preserve"> </w:t>
      </w:r>
      <w:r>
        <w:rPr>
          <w:rFonts w:ascii="Times New Roman" w:hAnsi="Times New Roman" w:cs="Times New Roman"/>
        </w:rPr>
        <w:t>has intensified, undermining trust in institutions, destabilizing democracies, and eroding confidence in professional systems that depend on reliable information[3][30]. Scholars argue that this phenomenon constitutes a defining challenge of the twenty-first century, as the amplification of false content on social media platforms now outpaces the circulation of verified truths[4][39]. These dynamics make it increasingly difficult for decision-makers to act on accurate evidence, heightening the risks of error, bias, and institutional breakdown[6]. Research also indicates that false news often spreads more widely and quickly on social media than accurate information, and can significantly influence public opinion on a mass scale[8][38]. This means that misinformation can reshape beliefs and behaviors before corrective evidence reaches affected audiences.</w:t>
      </w:r>
    </w:p>
    <w:p w14:paraId="2746ACB3" w14:textId="77777777" w:rsidR="00354DFA" w:rsidRDefault="00354DFA" w:rsidP="00354DFA">
      <w:pPr>
        <w:pStyle w:val="BodyText"/>
        <w:jc w:val="both"/>
        <w:rPr>
          <w:rFonts w:ascii="Times New Roman" w:hAnsi="Times New Roman" w:cs="Times New Roman"/>
        </w:rPr>
      </w:pPr>
      <w:r>
        <w:rPr>
          <w:rFonts w:ascii="Times New Roman" w:hAnsi="Times New Roman" w:cs="Times New Roman"/>
        </w:rPr>
        <w:t>Within professional domains such as healthcare, finance, and auditing, the stakes of misinformation and disinformation are especially severe. Erroneous or misleading reports in healthcare can lead to harmful patient outcomes, while manipulated financial statements have historically fueled corporate scandals and losses of public trust, as seen in the Enron case[15]. In Africa, the COVID-19 infodemic exemplified how unchecked rumors about vaccines and treatments complicated national responses and strained fragile health systems[11][29]. These realities highlight that falsehood is not only a social or political problem but also a professional risk that directly affects governance, accountability, and the sustainability of institutions.</w:t>
      </w:r>
    </w:p>
    <w:p w14:paraId="5D5C0B58" w14:textId="77777777" w:rsidR="00354DFA" w:rsidRDefault="00354DFA" w:rsidP="00354DFA">
      <w:pPr>
        <w:pStyle w:val="BodyText"/>
        <w:jc w:val="both"/>
        <w:rPr>
          <w:rFonts w:ascii="Times New Roman" w:hAnsi="Times New Roman" w:cs="Times New Roman"/>
        </w:rPr>
      </w:pPr>
      <w:r>
        <w:rPr>
          <w:rFonts w:ascii="Times New Roman" w:hAnsi="Times New Roman" w:cs="Times New Roman"/>
        </w:rPr>
        <w:lastRenderedPageBreak/>
        <w:t>Professional skepticism emerges as a critical countermeasure to these risks. Defined as a questioning mind and a commitment to evidence-based reasoning, skepticism requires practitioners to interrogate assumptions, scrutinize evidence, and resist the pull of confirmation bias[12]. In the auditing profession, skepticism has long been identified as essential for detecting fraud, but its relevance now extends to managing information integrity in broader organizational contexts, from health policy to public governance[13]. By anchoring decisions on verifiable facts, skepticism reduces vulnerability to misinformation and enhances institutional resilience in environments where credibility is constantly under threat.</w:t>
      </w:r>
    </w:p>
    <w:p w14:paraId="2F2C1147" w14:textId="77777777" w:rsidR="00354DFA" w:rsidRDefault="00354DFA" w:rsidP="00354DFA">
      <w:pPr>
        <w:pStyle w:val="BodyText"/>
        <w:jc w:val="both"/>
        <w:rPr>
          <w:rFonts w:ascii="Times New Roman" w:hAnsi="Times New Roman" w:cs="Times New Roman"/>
        </w:rPr>
      </w:pPr>
      <w:r>
        <w:rPr>
          <w:rFonts w:ascii="Times New Roman" w:hAnsi="Times New Roman" w:cs="Times New Roman"/>
        </w:rPr>
        <w:t>This study positions professional skepticism at the intersection of theory and practice by examining both local and global contexts. Using the Cameroon Baptist Convention (CBC) Health Services and MBV Consulting Group as central case studies, the article demonstrates how misinformation within organizational hierarchies can distort judgments and hinder justice. These cases are then situated alongside global experiences</w:t>
      </w:r>
      <w:r>
        <w:rPr>
          <w:rFonts w:ascii="Times New Roman" w:hAnsi="Times New Roman" w:cs="Times New Roman"/>
          <w:lang w:val="en-US"/>
        </w:rPr>
        <w:t xml:space="preserve"> </w:t>
      </w:r>
      <w:r>
        <w:rPr>
          <w:rFonts w:ascii="Times New Roman" w:hAnsi="Times New Roman" w:cs="Times New Roman"/>
        </w:rPr>
        <w:t>such as the World Health Organization’s battle against pandemic falsehoods[40] and international efforts to combat corporate and cyber fraud</w:t>
      </w:r>
      <w:r>
        <w:rPr>
          <w:rFonts w:ascii="Times New Roman" w:hAnsi="Times New Roman" w:cs="Times New Roman"/>
          <w:lang w:val="en-US"/>
        </w:rPr>
        <w:t xml:space="preserve"> </w:t>
      </w:r>
      <w:r>
        <w:rPr>
          <w:rFonts w:ascii="Times New Roman" w:hAnsi="Times New Roman" w:cs="Times New Roman"/>
        </w:rPr>
        <w:t>to illustrate universal lessons. The aim is to contribute a conceptual and practical framework for embedding skepticism into institutional culture, thereby improving governance, strengthening decision-making, and safeguarding fairness in the face of misinformation and disinformation[15]. In doing so, it addresses a gap in the literature by connecting professional ethics, information theory, cognitive psychology, and fraud prevention into a unified perspective on how organizations can resist the destabilizing effects of false information.</w:t>
      </w:r>
    </w:p>
    <w:p w14:paraId="489F9042" w14:textId="77777777" w:rsidR="00354DFA" w:rsidRDefault="00354DFA" w:rsidP="00354DFA">
      <w:pPr>
        <w:pStyle w:val="NormalWeb"/>
        <w:jc w:val="both"/>
      </w:pPr>
      <w:r>
        <w:t>The global information landscape has been transformed by the rapid rise of digital communication, where knowledge flows instantly across borders but so too does falsehood. For clarity, misinformation refers to false or inaccurate content shared without intent to deceive, whereas disinformation denotes intentionally crafted falsehoods designed to mislead[34]. The spread of misinformation unintended inaccuracies and disinformation deliberate manipulations has intensified, undermining trust in institutions, destabilizing democracies, and eroding confidence in professional systems that depend on reliable information[3][30]. Scholars argue that this phenomenon constitutes a defining challenge of the twenty-first century, as the amplification of false content on social media platforms now outpaces the circulation of verified truths[4][39]. These dynamics make it increasingly difficult for decision-makers to act on accurate evidence, heightening the risks of error, bias, and institutional breakdown[6]. Research also indicates that false news often spreads more widely and quickly on social media than accurate information, and can significantly influence public opinion on a mass scale[8][38]. This means that misinformation can reshape beliefs and behaviors before corrective evidence reaches affected audiences.</w:t>
      </w:r>
    </w:p>
    <w:p w14:paraId="2C6E080C" w14:textId="77777777" w:rsidR="00354DFA" w:rsidRDefault="00354DFA" w:rsidP="00354DFA">
      <w:pPr>
        <w:pStyle w:val="NormalWeb"/>
        <w:jc w:val="both"/>
      </w:pPr>
      <w:r>
        <w:t>Within professional domains such as healthcare, finance, and auditing, the stakes of misinformation and disinformation are especially severe. Erroneous or misleading reports in healthcare can lead to harmful patient outcomes, while manipulated financial statements have historically fueled corporate scandals and losses of public trust, as seen in the Enron case[15]. In Africa, the COVID-19 infodemic exemplified how unchecked rumors about vaccines and treatments complicated national responses and strained fragile health systems[11][29]. These realities highlight that falsehood is not only a social or political problem but also a professional risk that directly affects governance, accountability, and the sustainability of institutions.</w:t>
      </w:r>
    </w:p>
    <w:p w14:paraId="1437868F" w14:textId="77777777" w:rsidR="00354DFA" w:rsidRDefault="00354DFA" w:rsidP="00354DFA">
      <w:pPr>
        <w:pStyle w:val="NormalWeb"/>
        <w:jc w:val="both"/>
      </w:pPr>
      <w:r>
        <w:t xml:space="preserve">Professional skepticism emerges as a critical countermeasure to these risks. Defined as a questioning mind and a commitment to evidence-based reasoning, skepticism requires </w:t>
      </w:r>
      <w:r>
        <w:lastRenderedPageBreak/>
        <w:t>practitioners to interrogate assumptions, scrutinize evidence, and resist the pull of confirmation bias[12]. In the auditing profession, skepticism has long been identified as essential for detecting fraud, but its relevance now extends to managing information integrity in broader organizational contexts, from health policy to public governance[13]. By anchoring decisions on verifiable facts, skepticism reduces vulnerability to misinformation and enhances institutional resilience in environments where credibility is constantly under threat.</w:t>
      </w:r>
    </w:p>
    <w:p w14:paraId="3131D964" w14:textId="77777777" w:rsidR="00354DFA" w:rsidRDefault="00354DFA" w:rsidP="00354DFA">
      <w:pPr>
        <w:pStyle w:val="NormalWeb"/>
        <w:jc w:val="both"/>
      </w:pPr>
      <w:r>
        <w:t>This study positions professional skepticism at the intersection of theory and practice by examining both local and global contexts. Using the Cameroon Baptist Convention (CBC) Health Services and MBV Consulting Group as central case studies, the article demonstrates how misinformation within organizational hierarchies can distort judgments and hinder justice. These cases are then situated alongside global experiences such as the World Health Organization’s battle against pandemic falsehoods[40] and international efforts to combat corporate and cyber fraud to illustrate universal lessons.</w:t>
      </w:r>
    </w:p>
    <w:p w14:paraId="606DA911" w14:textId="77777777" w:rsidR="00354DFA" w:rsidRDefault="00354DFA" w:rsidP="00354DFA">
      <w:pPr>
        <w:pStyle w:val="NormalWeb"/>
        <w:jc w:val="both"/>
      </w:pPr>
      <w:r>
        <w:rPr>
          <w:rStyle w:val="Strong"/>
        </w:rPr>
        <w:t>Despite the growing body of literature on misinformation, disinformation, and professional skepticism, existing research tends to treat these issues separately. Prior studies often focus on digital misinformation, cognitive bias, or fraud detection in isolation, leaving limited understanding of how professional skepticism functions as a unified response across diverse institutional settings. There is also little empirical work connecting theory to real-world organizational cases in Sub-Saharan Africa, where misinformation challenges intersect with governance constraints, resource limitations, and cultural dynamics. This gap is especially visible in the healthcare and forensic auditing sectors, where misinformation has immediate consequences for public safety and financial accountability.</w:t>
      </w:r>
    </w:p>
    <w:p w14:paraId="69FBE5E9" w14:textId="77777777" w:rsidR="00354DFA" w:rsidRDefault="00354DFA" w:rsidP="00354DFA">
      <w:pPr>
        <w:pStyle w:val="NormalWeb"/>
        <w:jc w:val="both"/>
      </w:pPr>
      <w:r>
        <w:t>The aim of this article is therefore to offer a conceptual and practical framework for embedding skepticism into institutional culture, improving governance, strengthening decision-making, and safeguarding fairness in the face of misinformation and disinformation[15]. By addressing this gap, the study links professional ethics, information theory, cognitive psychology, and fraud prevention into a unified perspective on how organizations can resist the destabilizing effects of false information.</w:t>
      </w:r>
    </w:p>
    <w:p w14:paraId="7FB01BB2" w14:textId="77777777" w:rsidR="00354DFA" w:rsidRDefault="00354DFA" w:rsidP="00354DFA">
      <w:pPr>
        <w:pStyle w:val="Heading2"/>
        <w:rPr>
          <w:rFonts w:ascii="Times New Roman" w:hAnsi="Times New Roman" w:cs="Times New Roman"/>
          <w:b/>
          <w:bCs/>
          <w:color w:val="000000"/>
          <w:sz w:val="24"/>
          <w:szCs w:val="24"/>
        </w:rPr>
      </w:pPr>
      <w:r>
        <w:rPr>
          <w:rFonts w:ascii="Times New Roman" w:hAnsi="Times New Roman" w:cs="Times New Roman"/>
          <w:b/>
          <w:bCs/>
          <w:color w:val="000000"/>
          <w:sz w:val="24"/>
          <w:szCs w:val="24"/>
        </w:rPr>
        <w:t>Problem Description</w:t>
      </w:r>
    </w:p>
    <w:p w14:paraId="222365C4" w14:textId="77777777" w:rsidR="00354DFA" w:rsidRDefault="00354DFA" w:rsidP="00354DFA">
      <w:pPr>
        <w:pStyle w:val="BodyText"/>
        <w:jc w:val="both"/>
        <w:rPr>
          <w:rFonts w:ascii="Times New Roman" w:eastAsia="Calibri" w:hAnsi="Times New Roman" w:cs="Times New Roman"/>
        </w:rPr>
      </w:pPr>
      <w:r>
        <w:rPr>
          <w:rFonts w:ascii="Times New Roman" w:eastAsia="Calibri" w:hAnsi="Times New Roman" w:cs="Times New Roman"/>
        </w:rPr>
        <w:t>Cameroon, like many countries, has experienced widespread health-related misinformation, including unfounded rumors that contributed to COVID-19 vaccine hesitancy [3], [4]. These false narratives spread rapidly across social networks and community channels, undermining public trust in healthcare institutions and complicating national response efforts [6], [8]. Labor disputes also remain common in the country’s health sector, yet because legal counsel and labor offices often lack specialized expertise in healthcare finance, staff grievances are rarely resolved fairly or transparently [9], [11]. Within this environment, MBV Consulting Group has routinely encountered manipulated financial data, fabricated expense claims and misleading reports during auditing engagements, signaling persistent weaknesses in internal controls and professional skepticism across several institutions [12], [13].</w:t>
      </w:r>
    </w:p>
    <w:p w14:paraId="4303CB79" w14:textId="77777777" w:rsidR="00354DFA" w:rsidRDefault="00354DFA" w:rsidP="00354DFA">
      <w:pPr>
        <w:pStyle w:val="Heading2"/>
        <w:rPr>
          <w:rFonts w:ascii="Times New Roman" w:hAnsi="Times New Roman" w:cs="Times New Roman"/>
          <w:sz w:val="24"/>
          <w:szCs w:val="24"/>
        </w:rPr>
      </w:pPr>
      <w:r>
        <w:rPr>
          <w:rFonts w:ascii="Times New Roman" w:hAnsi="Times New Roman" w:cs="Times New Roman"/>
          <w:b/>
          <w:bCs/>
          <w:color w:val="000000"/>
          <w:sz w:val="24"/>
          <w:szCs w:val="24"/>
        </w:rPr>
        <w:t>Research Objectives</w:t>
      </w:r>
    </w:p>
    <w:p w14:paraId="03A1AE70" w14:textId="77777777" w:rsidR="00354DFA" w:rsidRDefault="00354DFA" w:rsidP="00354DFA">
      <w:pPr>
        <w:pStyle w:val="Compact"/>
        <w:numPr>
          <w:ilvl w:val="0"/>
          <w:numId w:val="1"/>
        </w:numPr>
        <w:rPr>
          <w:rFonts w:ascii="Times New Roman" w:hAnsi="Times New Roman" w:cs="Times New Roman"/>
        </w:rPr>
      </w:pPr>
      <w:r>
        <w:rPr>
          <w:rFonts w:ascii="Times New Roman" w:hAnsi="Times New Roman" w:cs="Times New Roman"/>
        </w:rPr>
        <w:t>To examine the impact of misinformation on professional decision-making.</w:t>
      </w:r>
    </w:p>
    <w:p w14:paraId="6CADAB1E" w14:textId="77777777" w:rsidR="00354DFA" w:rsidRDefault="00354DFA" w:rsidP="00354DFA">
      <w:pPr>
        <w:pStyle w:val="Compact"/>
        <w:numPr>
          <w:ilvl w:val="0"/>
          <w:numId w:val="1"/>
        </w:numPr>
        <w:rPr>
          <w:rFonts w:ascii="Times New Roman" w:hAnsi="Times New Roman" w:cs="Times New Roman"/>
        </w:rPr>
      </w:pPr>
      <w:r>
        <w:rPr>
          <w:rFonts w:ascii="Times New Roman" w:hAnsi="Times New Roman" w:cs="Times New Roman"/>
        </w:rPr>
        <w:t>To evaluate the role of professional skepticism in countering disinformation.</w:t>
      </w:r>
    </w:p>
    <w:p w14:paraId="5D8A9316" w14:textId="77777777" w:rsidR="00354DFA" w:rsidRDefault="00354DFA" w:rsidP="00354DFA">
      <w:pPr>
        <w:pStyle w:val="Compact"/>
        <w:numPr>
          <w:ilvl w:val="0"/>
          <w:numId w:val="1"/>
        </w:numPr>
        <w:rPr>
          <w:rFonts w:ascii="Times New Roman" w:hAnsi="Times New Roman" w:cs="Times New Roman"/>
        </w:rPr>
      </w:pPr>
      <w:r>
        <w:rPr>
          <w:rFonts w:ascii="Times New Roman" w:hAnsi="Times New Roman" w:cs="Times New Roman"/>
        </w:rPr>
        <w:lastRenderedPageBreak/>
        <w:t>To analyze CBC Health Services’ approach to managing health-related misinformation.</w:t>
      </w:r>
    </w:p>
    <w:p w14:paraId="28399021" w14:textId="77777777" w:rsidR="00354DFA" w:rsidRDefault="00354DFA" w:rsidP="00354DFA">
      <w:pPr>
        <w:pStyle w:val="Compact"/>
        <w:numPr>
          <w:ilvl w:val="0"/>
          <w:numId w:val="1"/>
        </w:numPr>
        <w:rPr>
          <w:rFonts w:ascii="Times New Roman" w:hAnsi="Times New Roman" w:cs="Times New Roman"/>
        </w:rPr>
      </w:pPr>
      <w:r>
        <w:rPr>
          <w:rFonts w:ascii="Times New Roman" w:hAnsi="Times New Roman" w:cs="Times New Roman"/>
        </w:rPr>
        <w:t>To assess MBV Consulting Group’s forensic audit practices in addressing financial disinformation.</w:t>
      </w:r>
    </w:p>
    <w:p w14:paraId="435B135C" w14:textId="77777777" w:rsidR="00354DFA" w:rsidRDefault="00354DFA" w:rsidP="00354DFA">
      <w:pPr>
        <w:pStyle w:val="Compact"/>
        <w:numPr>
          <w:ilvl w:val="0"/>
          <w:numId w:val="1"/>
        </w:numPr>
        <w:rPr>
          <w:rFonts w:ascii="Times New Roman" w:hAnsi="Times New Roman" w:cs="Times New Roman"/>
        </w:rPr>
      </w:pPr>
      <w:r>
        <w:rPr>
          <w:rFonts w:ascii="Times New Roman" w:hAnsi="Times New Roman" w:cs="Times New Roman"/>
        </w:rPr>
        <w:t>To propose a conceptual framework linking professional skepticism to institutional resilience.</w:t>
      </w:r>
    </w:p>
    <w:p w14:paraId="1802944E" w14:textId="77777777" w:rsidR="00354DFA" w:rsidRDefault="00354DFA" w:rsidP="00354DFA">
      <w:pPr>
        <w:pStyle w:val="Heading2"/>
        <w:rPr>
          <w:rFonts w:ascii="Times New Roman" w:hAnsi="Times New Roman" w:cs="Times New Roman"/>
          <w:b/>
          <w:bCs/>
          <w:color w:val="000000"/>
          <w:sz w:val="24"/>
          <w:szCs w:val="24"/>
        </w:rPr>
      </w:pPr>
      <w:r>
        <w:rPr>
          <w:rFonts w:ascii="Times New Roman" w:hAnsi="Times New Roman" w:cs="Times New Roman"/>
          <w:b/>
          <w:bCs/>
          <w:color w:val="000000"/>
          <w:sz w:val="24"/>
          <w:szCs w:val="24"/>
        </w:rPr>
        <w:t>Materials and Methods</w:t>
      </w:r>
    </w:p>
    <w:p w14:paraId="36002CAF" w14:textId="77777777" w:rsidR="00354DFA" w:rsidRDefault="00354DFA" w:rsidP="00354DFA">
      <w:pPr>
        <w:pStyle w:val="NormalWeb"/>
        <w:jc w:val="both"/>
      </w:pPr>
      <w:r>
        <w:t>This study employed a qualitative case study approach, selected for its suitability in examining complex social processes and context-specific challenges such as misinformation, disinformation, and the exercise of professional skepticism within organizations. A qualitative design is particularly appropriate for this topic because it enables an in-depth exploration of behaviours, institutional dynamics, and experiential phenomena that cannot be meaningfully captured through quantitative techniques. As Creswell (2013) argues, qualitative inquiry is valuable for understanding how individuals and institutions interpret problems, respond to uncertainty, and construct meaning within their operational environments. In this study, such an approach allowed for a deeper appreciation of how misinformation emerges, circulates, and influences professional judgement within organizational settings.</w:t>
      </w:r>
    </w:p>
    <w:p w14:paraId="3FBEFFD4" w14:textId="77777777" w:rsidR="00354DFA" w:rsidRDefault="00354DFA" w:rsidP="00354DFA">
      <w:pPr>
        <w:pStyle w:val="NormalWeb"/>
        <w:jc w:val="both"/>
      </w:pPr>
      <w:r>
        <w:t>The case study design enabled detailed examination of two focal institutions: CBC Health Services and MBV Consulting Group, whose structures, operational cultures, and professional practices illustrate real-world tensions between information distortion and accountability. These institutions were purposefully selected due to their prominence in Cameroon’s health and governance sectors, their documented exposure to the risks of misinformation, and their distinct strategies in applying professional skepticism to safeguard decision-making processes.</w:t>
      </w:r>
    </w:p>
    <w:p w14:paraId="1D694215" w14:textId="77777777" w:rsidR="00354DFA" w:rsidRDefault="00354DFA" w:rsidP="00354DFA">
      <w:pPr>
        <w:pStyle w:val="NormalWeb"/>
        <w:jc w:val="both"/>
      </w:pPr>
      <w:r>
        <w:t>Data sources were drawn from a combination of documentary evidence and scholarly literature. Institutional documents, including policy manuals, audit reports, and internal communications, offered practical insights into how misinformation manifests within organizational workflows and how leaders respond to such risks. These internal sources were complemented by peer-reviewed research from accounting, psychology, communication, and governance disciplines, as well as publications from professional and international bodies such as the IAASB[17], AICPA[3], WHO[40], and Interpol[18]. The triangulation of these diverse sources strengthened the study by combining empirical observations from organizational practice with theoretical insights from interdisciplinary scholarship.</w:t>
      </w:r>
    </w:p>
    <w:p w14:paraId="6A18DFD7" w14:textId="77777777" w:rsidR="00354DFA" w:rsidRDefault="00354DFA" w:rsidP="00354DFA">
      <w:pPr>
        <w:pStyle w:val="NormalWeb"/>
        <w:jc w:val="both"/>
      </w:pPr>
      <w:r>
        <w:t>A thematic content analysis was applied to identify recurring patterns across institutional and global contexts. Central themes included governance structures, the mechanisms and impacts of misinformation, the role of professional skepticism, and organizational outcomes relating to resilience and accountability. Emerging patterns from CBC Health Services and MBV Consulting Group were compared with global examples—including the Enron scandal[20] and the COVID-19 infodemic[8][40] to validate findings and situate them within broader international debates. This multi-layered analytical approach enhanced reliability, while reflective reasoning, informed by the author’s 25 years of professional experience, enabled richer contextual interpretation aligned with both local realities and global frameworks.</w:t>
      </w:r>
    </w:p>
    <w:p w14:paraId="57502E7E" w14:textId="77777777" w:rsidR="00354DFA" w:rsidRDefault="00354DFA" w:rsidP="00354DFA">
      <w:pPr>
        <w:pStyle w:val="Heading2"/>
        <w:rPr>
          <w:rFonts w:ascii="Times New Roman" w:hAnsi="Times New Roman" w:cs="Times New Roman"/>
          <w:sz w:val="24"/>
          <w:szCs w:val="24"/>
        </w:rPr>
      </w:pPr>
      <w:r>
        <w:rPr>
          <w:rFonts w:ascii="Times New Roman" w:hAnsi="Times New Roman" w:cs="Times New Roman"/>
          <w:b/>
          <w:bCs/>
          <w:color w:val="000000"/>
          <w:sz w:val="24"/>
          <w:szCs w:val="24"/>
        </w:rPr>
        <w:lastRenderedPageBreak/>
        <w:t>Theoretical Background</w:t>
      </w:r>
    </w:p>
    <w:p w14:paraId="3A148D7D" w14:textId="77777777" w:rsidR="00354DFA" w:rsidRDefault="00354DFA" w:rsidP="00354DFA">
      <w:pPr>
        <w:pStyle w:val="FirstParagraph"/>
        <w:jc w:val="both"/>
        <w:rPr>
          <w:rFonts w:ascii="Times New Roman" w:hAnsi="Times New Roman" w:cs="Times New Roman"/>
        </w:rPr>
      </w:pPr>
      <w:r>
        <w:rPr>
          <w:rFonts w:ascii="Times New Roman" w:hAnsi="Times New Roman" w:cs="Times New Roman"/>
        </w:rPr>
        <w:t>Professional skepticism draws on diverse intellectual traditions that reinforce its role as a defense against misinformation and disinformation. At its core, skepticism is rooted in ethical philosophy, which emphasizes the obligation to pursue truth and fairness. From a deontological perspective, professionals have a duty to critically assess evidence and avoid being complicit in disseminating falsehoods, while consequentialist ethics stress the outcomes of such scrutiny in preventing harm to stakeholders. These ethical traditions provide the moral grounding for skepticism in professional practice, ensuring that investigators, auditors, and healthcare leaders anchor their decisions in verifiable truth. For example, MacIntyre’s virtue ethics highlights that honesty and integrity are fundamental traits of effective moral agents, aligning closely with the skeptical virtues expected of professionals[24].</w:t>
      </w:r>
    </w:p>
    <w:p w14:paraId="4184B599" w14:textId="77777777" w:rsidR="00354DFA" w:rsidRDefault="00354DFA" w:rsidP="00354DFA">
      <w:pPr>
        <w:pStyle w:val="BodyText"/>
        <w:jc w:val="both"/>
        <w:rPr>
          <w:rFonts w:ascii="Times New Roman" w:hAnsi="Times New Roman" w:cs="Times New Roman"/>
        </w:rPr>
      </w:pPr>
      <w:r>
        <w:rPr>
          <w:rFonts w:ascii="Times New Roman" w:hAnsi="Times New Roman" w:cs="Times New Roman"/>
        </w:rPr>
        <w:t>Building on these ethical foundations, information theory offers a technical framework for understanding the challenges of misinformation. Shannon’s model of communication[33] distinguished between “signal” and “noise,” highlighting how distortion interferes with the transmission of reliable knowledge. In the digital age, misinformation and disinformation function as systemic noise, disrupting signals and corrupting institutional decision-making. Professional skepticism acts as a filtering mechanism, requiring practitioners to interrogate the quality and credibility of information before relying on it in sensitive decisions.</w:t>
      </w:r>
    </w:p>
    <w:p w14:paraId="1B378979" w14:textId="77777777" w:rsidR="00354DFA" w:rsidRDefault="00354DFA" w:rsidP="00354DFA">
      <w:pPr>
        <w:pStyle w:val="BodyText"/>
        <w:jc w:val="both"/>
        <w:rPr>
          <w:rFonts w:ascii="Times New Roman" w:hAnsi="Times New Roman" w:cs="Times New Roman"/>
        </w:rPr>
      </w:pPr>
      <w:r>
        <w:rPr>
          <w:rFonts w:ascii="Times New Roman" w:hAnsi="Times New Roman" w:cs="Times New Roman"/>
        </w:rPr>
        <w:t>Psychological insights further explain why skepticism is necessary in countering false information. Kahneman’s theory of dual-process reasoning shows how individuals often rely on intuitive, fast thinking (“System 1”)[19], which is susceptible to biases such as confirmation bias and anchoring[22]. Misinformation exploits these vulnerabilities, encouraging quick acceptance of false claims. Skepticism activates “System 2”</w:t>
      </w:r>
      <w:r>
        <w:rPr>
          <w:rFonts w:ascii="Times New Roman" w:hAnsi="Times New Roman" w:cs="Times New Roman"/>
          <w:lang w:val="en-US"/>
        </w:rPr>
        <w:t xml:space="preserve"> </w:t>
      </w:r>
      <w:r>
        <w:rPr>
          <w:rFonts w:ascii="Times New Roman" w:hAnsi="Times New Roman" w:cs="Times New Roman"/>
        </w:rPr>
        <w:t>slow, deliberate thinking</w:t>
      </w:r>
      <w:r>
        <w:rPr>
          <w:rFonts w:ascii="Times New Roman" w:hAnsi="Times New Roman" w:cs="Times New Roman"/>
          <w:lang w:val="en-US"/>
        </w:rPr>
        <w:t xml:space="preserve"> </w:t>
      </w:r>
      <w:r>
        <w:rPr>
          <w:rFonts w:ascii="Times New Roman" w:hAnsi="Times New Roman" w:cs="Times New Roman"/>
        </w:rPr>
        <w:t>which resists such shortcuts and allows for evidence-based judgment[22]. Cognitive phenomena like the illusory truth effect</w:t>
      </w:r>
      <w:r>
        <w:rPr>
          <w:rFonts w:ascii="Times New Roman" w:hAnsi="Times New Roman" w:cs="Times New Roman"/>
          <w:lang w:val="en-US"/>
        </w:rPr>
        <w:t xml:space="preserve"> </w:t>
      </w:r>
      <w:r>
        <w:rPr>
          <w:rFonts w:ascii="Times New Roman" w:hAnsi="Times New Roman" w:cs="Times New Roman"/>
        </w:rPr>
        <w:t>where repeated statements become easier to process and thus seem more believable</w:t>
      </w:r>
      <w:r>
        <w:rPr>
          <w:rFonts w:ascii="Times New Roman" w:hAnsi="Times New Roman" w:cs="Times New Roman"/>
          <w:lang w:val="en-US"/>
        </w:rPr>
        <w:t xml:space="preserve"> </w:t>
      </w:r>
      <w:r>
        <w:rPr>
          <w:rFonts w:ascii="Times New Roman" w:hAnsi="Times New Roman" w:cs="Times New Roman"/>
        </w:rPr>
        <w:t>further underscore the challenge, highlighting the need for continuous skepticism to counter repetition[23]. By linking cognitive psychology to professional behavior, we see how skepticism strengthens resistance to manipulation and guards against overconfidence in false narratives.</w:t>
      </w:r>
    </w:p>
    <w:p w14:paraId="3CA1A719" w14:textId="77777777" w:rsidR="00354DFA" w:rsidRDefault="00354DFA" w:rsidP="00354DFA">
      <w:pPr>
        <w:pStyle w:val="BodyText"/>
        <w:jc w:val="both"/>
        <w:rPr>
          <w:rFonts w:ascii="Times New Roman" w:hAnsi="Times New Roman" w:cs="Times New Roman"/>
        </w:rPr>
      </w:pPr>
      <w:r>
        <w:rPr>
          <w:rFonts w:ascii="Times New Roman" w:hAnsi="Times New Roman" w:cs="Times New Roman"/>
        </w:rPr>
        <w:t>Fraud theories also illustrate the necessity of skepticism. Cressey’s fraud triangle suggests that fraud arises when pressure, opportunity, and rationalization converge[9], while Wolfe and Hermanson’s fraud diamond adds capability as a fourth factor[41]. Skepticism disrupts each component by scrutinizing incentives, testing controls, challenging justifications, and identifying hidden capacities for misconduct. For example, the fraud triangle can be countered by actively questioning whether reported pressures justify outcomes and by rigorously verifying records to close opportunistic gaps. In this way, skepticism is not simply a defensive posture but a proactive intervention against the structural enablers of deception.</w:t>
      </w:r>
    </w:p>
    <w:p w14:paraId="20943024" w14:textId="77777777" w:rsidR="00354DFA" w:rsidRDefault="00354DFA" w:rsidP="00354DFA">
      <w:pPr>
        <w:pStyle w:val="BodyText"/>
        <w:jc w:val="both"/>
        <w:rPr>
          <w:rFonts w:ascii="Times New Roman" w:hAnsi="Times New Roman" w:cs="Times New Roman"/>
        </w:rPr>
      </w:pPr>
    </w:p>
    <w:p w14:paraId="7007A88C" w14:textId="77777777" w:rsidR="00354DFA" w:rsidRDefault="00354DFA" w:rsidP="00354DFA">
      <w:pPr>
        <w:rPr>
          <w:rFonts w:ascii="Times New Roman" w:hAnsi="Times New Roman" w:cs="Times New Roman"/>
        </w:rPr>
      </w:pPr>
      <w:r>
        <w:rPr>
          <w:rFonts w:ascii="Times New Roman" w:hAnsi="Times New Roman" w:cs="Times New Roman"/>
        </w:rPr>
        <w:br/>
      </w:r>
    </w:p>
    <w:p w14:paraId="70D9EA08" w14:textId="77777777" w:rsidR="00354DFA" w:rsidRDefault="00354DFA" w:rsidP="00354DFA">
      <w:pPr>
        <w:pStyle w:val="Heading2"/>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Table </w:t>
      </w:r>
      <w:r>
        <w:rPr>
          <w:rFonts w:ascii="Times New Roman" w:hAnsi="Times New Roman" w:cs="Times New Roman"/>
          <w:b/>
          <w:bCs/>
          <w:color w:val="000000"/>
          <w:sz w:val="24"/>
          <w:szCs w:val="24"/>
          <w:lang w:val="en-US"/>
        </w:rPr>
        <w:t>1</w:t>
      </w:r>
      <w:r>
        <w:rPr>
          <w:rFonts w:ascii="Times New Roman" w:hAnsi="Times New Roman" w:cs="Times New Roman"/>
          <w:b/>
          <w:bCs/>
          <w:color w:val="000000"/>
          <w:sz w:val="24"/>
          <w:szCs w:val="24"/>
        </w:rPr>
        <w:t>. Fraud Triangle vs. Professional Skepticism as a Countermeasure</w:t>
      </w:r>
    </w:p>
    <w:tbl>
      <w:tblPr>
        <w:tblW w:w="0" w:type="auto"/>
        <w:tblLook w:val="0000" w:firstRow="0" w:lastRow="0" w:firstColumn="0" w:lastColumn="0" w:noHBand="0" w:noVBand="0"/>
      </w:tblPr>
      <w:tblGrid>
        <w:gridCol w:w="2880"/>
        <w:gridCol w:w="2880"/>
        <w:gridCol w:w="2880"/>
      </w:tblGrid>
      <w:tr w:rsidR="00354DFA" w14:paraId="2F48DB7B" w14:textId="77777777" w:rsidTr="00ED442E">
        <w:tc>
          <w:tcPr>
            <w:tcW w:w="2880" w:type="dxa"/>
          </w:tcPr>
          <w:p w14:paraId="72F439C0" w14:textId="77777777" w:rsidR="00354DFA" w:rsidRDefault="00354DFA" w:rsidP="00ED442E">
            <w:pPr>
              <w:jc w:val="both"/>
              <w:rPr>
                <w:rFonts w:ascii="Times New Roman" w:hAnsi="Times New Roman" w:cs="Times New Roman"/>
                <w:b/>
                <w:bCs/>
                <w:color w:val="000000"/>
              </w:rPr>
            </w:pPr>
            <w:r>
              <w:rPr>
                <w:rFonts w:ascii="Times New Roman" w:hAnsi="Times New Roman" w:cs="Times New Roman"/>
                <w:b/>
                <w:bCs/>
                <w:color w:val="000000"/>
              </w:rPr>
              <w:t>Fraud Triangle Element</w:t>
            </w:r>
          </w:p>
        </w:tc>
        <w:tc>
          <w:tcPr>
            <w:tcW w:w="2880" w:type="dxa"/>
          </w:tcPr>
          <w:p w14:paraId="1E587CE7" w14:textId="77777777" w:rsidR="00354DFA" w:rsidRDefault="00354DFA" w:rsidP="00ED442E">
            <w:pPr>
              <w:jc w:val="both"/>
              <w:rPr>
                <w:rFonts w:ascii="Times New Roman" w:hAnsi="Times New Roman" w:cs="Times New Roman"/>
                <w:b/>
                <w:bCs/>
                <w:color w:val="000000"/>
              </w:rPr>
            </w:pPr>
            <w:r>
              <w:rPr>
                <w:rFonts w:ascii="Times New Roman" w:hAnsi="Times New Roman" w:cs="Times New Roman"/>
                <w:b/>
                <w:bCs/>
                <w:color w:val="000000"/>
              </w:rPr>
              <w:t>Description</w:t>
            </w:r>
          </w:p>
        </w:tc>
        <w:tc>
          <w:tcPr>
            <w:tcW w:w="2880" w:type="dxa"/>
          </w:tcPr>
          <w:p w14:paraId="43BC7106" w14:textId="77777777" w:rsidR="00354DFA" w:rsidRDefault="00354DFA" w:rsidP="00ED442E">
            <w:pPr>
              <w:jc w:val="both"/>
              <w:rPr>
                <w:rFonts w:ascii="Times New Roman" w:hAnsi="Times New Roman" w:cs="Times New Roman"/>
                <w:b/>
                <w:bCs/>
                <w:color w:val="000000"/>
              </w:rPr>
            </w:pPr>
            <w:r>
              <w:rPr>
                <w:rFonts w:ascii="Times New Roman" w:hAnsi="Times New Roman" w:cs="Times New Roman"/>
                <w:b/>
                <w:bCs/>
                <w:color w:val="000000"/>
              </w:rPr>
              <w:t>Skepticism Role</w:t>
            </w:r>
          </w:p>
        </w:tc>
      </w:tr>
      <w:tr w:rsidR="00354DFA" w14:paraId="1FA31100" w14:textId="77777777" w:rsidTr="00ED442E">
        <w:tc>
          <w:tcPr>
            <w:tcW w:w="2880" w:type="dxa"/>
          </w:tcPr>
          <w:p w14:paraId="1918D188" w14:textId="77777777" w:rsidR="00354DFA" w:rsidRDefault="00354DFA" w:rsidP="00ED442E">
            <w:pPr>
              <w:jc w:val="both"/>
              <w:rPr>
                <w:rFonts w:ascii="Times New Roman" w:hAnsi="Times New Roman" w:cs="Times New Roman"/>
                <w:color w:val="000000"/>
              </w:rPr>
            </w:pPr>
            <w:r>
              <w:rPr>
                <w:rFonts w:ascii="Times New Roman" w:hAnsi="Times New Roman" w:cs="Times New Roman"/>
                <w:color w:val="000000"/>
              </w:rPr>
              <w:t>Pressure</w:t>
            </w:r>
          </w:p>
        </w:tc>
        <w:tc>
          <w:tcPr>
            <w:tcW w:w="2880" w:type="dxa"/>
          </w:tcPr>
          <w:p w14:paraId="682B0BB2" w14:textId="77777777" w:rsidR="00354DFA" w:rsidRDefault="00354DFA" w:rsidP="00ED442E">
            <w:pPr>
              <w:jc w:val="both"/>
              <w:rPr>
                <w:rFonts w:ascii="Times New Roman" w:hAnsi="Times New Roman" w:cs="Times New Roman"/>
                <w:color w:val="000000"/>
              </w:rPr>
            </w:pPr>
            <w:r>
              <w:rPr>
                <w:rFonts w:ascii="Times New Roman" w:hAnsi="Times New Roman" w:cs="Times New Roman"/>
                <w:color w:val="000000"/>
              </w:rPr>
              <w:t>Financial/personal stress</w:t>
            </w:r>
          </w:p>
        </w:tc>
        <w:tc>
          <w:tcPr>
            <w:tcW w:w="2880" w:type="dxa"/>
          </w:tcPr>
          <w:p w14:paraId="566C9BD5" w14:textId="77777777" w:rsidR="00354DFA" w:rsidRDefault="00354DFA" w:rsidP="00ED442E">
            <w:pPr>
              <w:jc w:val="both"/>
              <w:rPr>
                <w:rFonts w:ascii="Times New Roman" w:hAnsi="Times New Roman" w:cs="Times New Roman"/>
                <w:color w:val="000000"/>
              </w:rPr>
            </w:pPr>
            <w:r>
              <w:rPr>
                <w:rFonts w:ascii="Times New Roman" w:hAnsi="Times New Roman" w:cs="Times New Roman"/>
                <w:color w:val="000000"/>
              </w:rPr>
              <w:t>Scrutinizes incentives and pressures</w:t>
            </w:r>
          </w:p>
        </w:tc>
      </w:tr>
      <w:tr w:rsidR="00354DFA" w14:paraId="57962B8C" w14:textId="77777777" w:rsidTr="00ED442E">
        <w:tc>
          <w:tcPr>
            <w:tcW w:w="2880" w:type="dxa"/>
          </w:tcPr>
          <w:p w14:paraId="4DCFDF93" w14:textId="77777777" w:rsidR="00354DFA" w:rsidRDefault="00354DFA" w:rsidP="00ED442E">
            <w:pPr>
              <w:jc w:val="both"/>
              <w:rPr>
                <w:rFonts w:ascii="Times New Roman" w:hAnsi="Times New Roman" w:cs="Times New Roman"/>
                <w:color w:val="000000"/>
              </w:rPr>
            </w:pPr>
            <w:r>
              <w:rPr>
                <w:rFonts w:ascii="Times New Roman" w:hAnsi="Times New Roman" w:cs="Times New Roman"/>
                <w:color w:val="000000"/>
              </w:rPr>
              <w:lastRenderedPageBreak/>
              <w:t>Opportunity</w:t>
            </w:r>
          </w:p>
        </w:tc>
        <w:tc>
          <w:tcPr>
            <w:tcW w:w="2880" w:type="dxa"/>
          </w:tcPr>
          <w:p w14:paraId="3AC0FB8B" w14:textId="77777777" w:rsidR="00354DFA" w:rsidRDefault="00354DFA" w:rsidP="00ED442E">
            <w:pPr>
              <w:jc w:val="both"/>
              <w:rPr>
                <w:rFonts w:ascii="Times New Roman" w:hAnsi="Times New Roman" w:cs="Times New Roman"/>
                <w:color w:val="000000"/>
              </w:rPr>
            </w:pPr>
            <w:r>
              <w:rPr>
                <w:rFonts w:ascii="Times New Roman" w:hAnsi="Times New Roman" w:cs="Times New Roman"/>
                <w:color w:val="000000"/>
              </w:rPr>
              <w:t>Weak internal controls</w:t>
            </w:r>
          </w:p>
        </w:tc>
        <w:tc>
          <w:tcPr>
            <w:tcW w:w="2880" w:type="dxa"/>
          </w:tcPr>
          <w:p w14:paraId="187EE7FA" w14:textId="77777777" w:rsidR="00354DFA" w:rsidRDefault="00354DFA" w:rsidP="00ED442E">
            <w:pPr>
              <w:jc w:val="both"/>
              <w:rPr>
                <w:rFonts w:ascii="Times New Roman" w:hAnsi="Times New Roman" w:cs="Times New Roman"/>
                <w:color w:val="000000"/>
              </w:rPr>
            </w:pPr>
            <w:r>
              <w:rPr>
                <w:rFonts w:ascii="Times New Roman" w:hAnsi="Times New Roman" w:cs="Times New Roman"/>
                <w:color w:val="000000"/>
              </w:rPr>
              <w:t>Tests, verifies, strengthens oversight</w:t>
            </w:r>
          </w:p>
        </w:tc>
      </w:tr>
      <w:tr w:rsidR="00354DFA" w14:paraId="24872257" w14:textId="77777777" w:rsidTr="00ED442E">
        <w:tc>
          <w:tcPr>
            <w:tcW w:w="2880" w:type="dxa"/>
          </w:tcPr>
          <w:p w14:paraId="37118FDF" w14:textId="77777777" w:rsidR="00354DFA" w:rsidRDefault="00354DFA" w:rsidP="00ED442E">
            <w:pPr>
              <w:jc w:val="both"/>
              <w:rPr>
                <w:rFonts w:ascii="Times New Roman" w:hAnsi="Times New Roman" w:cs="Times New Roman"/>
                <w:color w:val="000000"/>
              </w:rPr>
            </w:pPr>
            <w:r>
              <w:rPr>
                <w:rFonts w:ascii="Times New Roman" w:hAnsi="Times New Roman" w:cs="Times New Roman"/>
                <w:color w:val="000000"/>
              </w:rPr>
              <w:t>Rationalization</w:t>
            </w:r>
          </w:p>
        </w:tc>
        <w:tc>
          <w:tcPr>
            <w:tcW w:w="2880" w:type="dxa"/>
          </w:tcPr>
          <w:p w14:paraId="37C93B13" w14:textId="77777777" w:rsidR="00354DFA" w:rsidRDefault="00354DFA" w:rsidP="00ED442E">
            <w:pPr>
              <w:jc w:val="both"/>
              <w:rPr>
                <w:rFonts w:ascii="Times New Roman" w:hAnsi="Times New Roman" w:cs="Times New Roman"/>
                <w:color w:val="000000"/>
              </w:rPr>
            </w:pPr>
            <w:r>
              <w:rPr>
                <w:rFonts w:ascii="Times New Roman" w:hAnsi="Times New Roman" w:cs="Times New Roman"/>
                <w:color w:val="000000"/>
              </w:rPr>
              <w:t>Unethical justifications</w:t>
            </w:r>
          </w:p>
        </w:tc>
        <w:tc>
          <w:tcPr>
            <w:tcW w:w="2880" w:type="dxa"/>
          </w:tcPr>
          <w:p w14:paraId="3DEC124E" w14:textId="77777777" w:rsidR="00354DFA" w:rsidRDefault="00354DFA" w:rsidP="00ED442E">
            <w:pPr>
              <w:jc w:val="both"/>
              <w:rPr>
                <w:rFonts w:ascii="Times New Roman" w:hAnsi="Times New Roman" w:cs="Times New Roman"/>
                <w:color w:val="000000"/>
              </w:rPr>
            </w:pPr>
            <w:r>
              <w:rPr>
                <w:rFonts w:ascii="Times New Roman" w:hAnsi="Times New Roman" w:cs="Times New Roman"/>
                <w:color w:val="000000"/>
              </w:rPr>
              <w:t>Challenges narratives with evidence</w:t>
            </w:r>
          </w:p>
        </w:tc>
      </w:tr>
    </w:tbl>
    <w:p w14:paraId="6F3D1B93" w14:textId="77777777" w:rsidR="00354DFA" w:rsidRDefault="00354DFA" w:rsidP="00354DFA">
      <w:pPr>
        <w:pStyle w:val="BodyText"/>
        <w:jc w:val="both"/>
        <w:rPr>
          <w:rFonts w:ascii="Times New Roman" w:hAnsi="Times New Roman" w:cs="Times New Roman"/>
        </w:rPr>
      </w:pPr>
      <w:r>
        <w:rPr>
          <w:rFonts w:ascii="Times New Roman" w:hAnsi="Times New Roman" w:cs="Times New Roman"/>
        </w:rPr>
        <w:t>The governance literature extends this argument by framing skepticism as a cornerstone of accountability. Institutions such as the IAASB[17] and AICPA emphasize skepticism in auditing standards, recognizing that unchecked acceptance of claims invites organizational failure. This is evident in corporate scandals like Enron, where auditors’ lack of skepticism enabled massive fraud. Embedding skepticism in governance frameworks</w:t>
      </w:r>
      <w:r>
        <w:rPr>
          <w:rFonts w:ascii="Times New Roman" w:hAnsi="Times New Roman" w:cs="Times New Roman"/>
          <w:lang w:val="en-US"/>
        </w:rPr>
        <w:t xml:space="preserve"> </w:t>
      </w:r>
      <w:r>
        <w:rPr>
          <w:rFonts w:ascii="Times New Roman" w:hAnsi="Times New Roman" w:cs="Times New Roman"/>
        </w:rPr>
        <w:t>through policies, codes of conduct, and professional standards</w:t>
      </w:r>
      <w:r>
        <w:rPr>
          <w:rFonts w:ascii="Times New Roman" w:hAnsi="Times New Roman" w:cs="Times New Roman"/>
          <w:lang w:val="en-US"/>
        </w:rPr>
        <w:t xml:space="preserve"> </w:t>
      </w:r>
      <w:r>
        <w:rPr>
          <w:rFonts w:ascii="Times New Roman" w:hAnsi="Times New Roman" w:cs="Times New Roman"/>
        </w:rPr>
        <w:t>ensures that organizations remain resilient to misinformation. For instance, auditors are required to maintain independence and professional judgment precisely to provide checks against biased management narratives.</w:t>
      </w:r>
    </w:p>
    <w:p w14:paraId="1657CA8B" w14:textId="77777777" w:rsidR="00354DFA" w:rsidRDefault="00354DFA" w:rsidP="00354DFA">
      <w:pPr>
        <w:pStyle w:val="BodyText"/>
        <w:jc w:val="both"/>
        <w:rPr>
          <w:rFonts w:ascii="Times New Roman" w:hAnsi="Times New Roman" w:cs="Times New Roman"/>
        </w:rPr>
      </w:pPr>
      <w:r>
        <w:rPr>
          <w:rFonts w:ascii="Times New Roman" w:hAnsi="Times New Roman" w:cs="Times New Roman"/>
        </w:rPr>
        <w:t>At the societal level, skepticism is indispensable in protecting democratic institutions and public health. Studies show that disinformation undermines democratic processes by eroding trust in elections and governance. Similarly, the World Health Organization warns that unchecked health misinformation contributes to vaccine hesitancy and public resistance to evidence-based medicine. Professional skepticism in these domains requires a critical stance toward information sources, systematic verification of claims, and mechanisms for public accountability. Global policy efforts, such as UNESCO’s emphasis on media and information literacy[37], similarly stress the need to empower individuals against the tide of false content.</w:t>
      </w:r>
    </w:p>
    <w:p w14:paraId="4101FEF4" w14:textId="77777777" w:rsidR="00354DFA" w:rsidRDefault="00354DFA" w:rsidP="00354DFA">
      <w:pPr>
        <w:pStyle w:val="BodyText"/>
        <w:jc w:val="both"/>
        <w:rPr>
          <w:rFonts w:ascii="Times New Roman" w:hAnsi="Times New Roman" w:cs="Times New Roman"/>
        </w:rPr>
      </w:pPr>
      <w:r>
        <w:rPr>
          <w:rFonts w:ascii="Times New Roman" w:hAnsi="Times New Roman" w:cs="Times New Roman"/>
        </w:rPr>
        <w:t>Emerging digital threats further highlight the need for skepticism. Online disinformation campaigns exploit algorithms, bots, and echo chambers to magnify falsehoods. Financially, cybercriminals manipulate digital records to conceal fraud, while politically motivated actors weaponize social media narratives. Professional skepticism</w:t>
      </w:r>
      <w:r>
        <w:rPr>
          <w:rFonts w:ascii="Times New Roman" w:hAnsi="Times New Roman" w:cs="Times New Roman"/>
          <w:lang w:val="en-US"/>
        </w:rPr>
        <w:t xml:space="preserve"> </w:t>
      </w:r>
      <w:r>
        <w:rPr>
          <w:rFonts w:ascii="Times New Roman" w:hAnsi="Times New Roman" w:cs="Times New Roman"/>
        </w:rPr>
        <w:t>augmented by digital forensics and data analytics</w:t>
      </w:r>
      <w:r>
        <w:rPr>
          <w:rFonts w:ascii="Times New Roman" w:hAnsi="Times New Roman" w:cs="Times New Roman"/>
          <w:lang w:val="en-US"/>
        </w:rPr>
        <w:t xml:space="preserve"> </w:t>
      </w:r>
      <w:r>
        <w:rPr>
          <w:rFonts w:ascii="Times New Roman" w:hAnsi="Times New Roman" w:cs="Times New Roman"/>
        </w:rPr>
        <w:t>equips investigators to expose these manipulations and restore integrity to digital ecosystems[42].</w:t>
      </w:r>
    </w:p>
    <w:p w14:paraId="049EA2EC" w14:textId="77777777" w:rsidR="00354DFA" w:rsidRDefault="00354DFA" w:rsidP="00354DFA">
      <w:pPr>
        <w:pStyle w:val="BodyText"/>
        <w:jc w:val="both"/>
        <w:rPr>
          <w:rFonts w:ascii="Times New Roman" w:hAnsi="Times New Roman" w:cs="Times New Roman"/>
        </w:rPr>
      </w:pPr>
      <w:r>
        <w:rPr>
          <w:rFonts w:ascii="Times New Roman" w:hAnsi="Times New Roman" w:cs="Times New Roman"/>
        </w:rPr>
        <w:t>Finally, skepticism must be viewed as part of a global agenda for sustainability and justice. The UN Sustainable Development Goals[36] and African Union Agenda 2063 both highlight the need for transparent governance, equity, and accountability. Institutions such as CBC Health Services and MBV Consulting Group show how skepticism can be locally embedded while aligning with international frameworks. By integrating ethical, psychological, theoretical, and governance perspectives, professional skepticism emerges as both a timeless virtue and a modern necessity for navigating misinformation and disinformation in complex societies.</w:t>
      </w:r>
    </w:p>
    <w:p w14:paraId="54DCE7C3" w14:textId="77777777" w:rsidR="00354DFA" w:rsidRDefault="00354DFA" w:rsidP="00354DFA">
      <w:pPr>
        <w:pStyle w:val="Heading2"/>
      </w:pPr>
      <w:r>
        <w:rPr>
          <w:rFonts w:ascii="Times New Roman" w:hAnsi="Times New Roman" w:cs="Times New Roman"/>
          <w:b/>
          <w:bCs/>
          <w:color w:val="000000"/>
          <w:sz w:val="24"/>
          <w:szCs w:val="24"/>
          <w:lang w:val="en-US" w:eastAsia="zh-CN"/>
        </w:rPr>
        <w:t>Results and Discussion</w:t>
      </w:r>
    </w:p>
    <w:p w14:paraId="39B40E3D" w14:textId="77777777" w:rsidR="00354DFA" w:rsidRDefault="00354DFA" w:rsidP="00354DFA">
      <w:pPr>
        <w:pStyle w:val="Heading3"/>
        <w:keepNext w:val="0"/>
        <w:keepLines w:val="0"/>
      </w:pPr>
      <w:r>
        <w:rPr>
          <w:rFonts w:ascii="Times New Roman" w:eastAsia="SimSun" w:hAnsi="Times New Roman" w:cs="Times New Roman"/>
          <w:b/>
          <w:bCs/>
          <w:color w:val="000000"/>
          <w:sz w:val="24"/>
          <w:szCs w:val="24"/>
          <w:lang w:val="en-US" w:eastAsia="zh-CN"/>
        </w:rPr>
        <w:t>CBC Health Service</w:t>
      </w:r>
      <w:r>
        <w:rPr>
          <w:rStyle w:val="Strong"/>
          <w:rFonts w:ascii="Times New Roman" w:eastAsia="SimSun" w:hAnsi="Times New Roman" w:cs="Times New Roman"/>
          <w:color w:val="auto"/>
          <w:sz w:val="24"/>
          <w:szCs w:val="24"/>
          <w:lang w:val="en-US" w:eastAsia="zh-CN" w:bidi="ar"/>
        </w:rPr>
        <w:t>s</w:t>
      </w:r>
    </w:p>
    <w:p w14:paraId="4B93114D" w14:textId="77777777" w:rsidR="00354DFA" w:rsidRDefault="00354DFA" w:rsidP="00354DFA">
      <w:pPr>
        <w:pStyle w:val="NormalWeb"/>
        <w:jc w:val="both"/>
      </w:pPr>
      <w:r>
        <w:t xml:space="preserve">The CBC Health Services case underscores how misinformation within hierarchical structures affects both staff morale and institutional credibility. In systems where authority is centralized, designated officials often act as gatekeepers of information. Research shows that hierarchical institutions frequently experience distortions in communication, leading to biased reporting and misinterpretation of organizational policies ([35]; [5]). In such contexts, staff members may face wrongful appraisals, misrepresentation of their performance, or inaccurate reports about compliance with organizational policies, trends documented in organizational behaviour and human resource management studies across health systems in Africa and similar </w:t>
      </w:r>
      <w:r>
        <w:lastRenderedPageBreak/>
        <w:t>developing-country settings ([2]; [16]),[40]. Such distortions create personal frustration and hinder senior management’s ability to make evidence-based decisions.</w:t>
      </w:r>
    </w:p>
    <w:p w14:paraId="640B9A53" w14:textId="77777777" w:rsidR="00354DFA" w:rsidRDefault="00354DFA" w:rsidP="00354DFA">
      <w:pPr>
        <w:pStyle w:val="NormalWeb"/>
        <w:jc w:val="both"/>
      </w:pPr>
      <w:r>
        <w:t>Professional skepticism provides an essential corrective to these tendencies. By applying skepticism, managers and investigators within CBC Health Services can interrogate the validity of claims, cross-check information from multiple sources, and evaluate whether recommendations align with both policy and practice. This analytical stance is consistent with studies showing that skepticism improves decision accuracy in organizational settings ([27];[31]). For instance, during the rollout of health initiatives such as vaccination campaigns, misinformation spread by rumor often created confusion among staff and patients. Skeptical evaluation of such claims combined with verified medical guidance helped the institution maintain credibility and ensure community safety[40].</w:t>
      </w:r>
    </w:p>
    <w:p w14:paraId="2C2C5CD0" w14:textId="77777777" w:rsidR="00354DFA" w:rsidRDefault="00354DFA" w:rsidP="00354DFA">
      <w:pPr>
        <w:pStyle w:val="NormalWeb"/>
        <w:jc w:val="both"/>
      </w:pPr>
      <w:r>
        <w:t>This study uses a qualitative approach with case study illustrations to enable in-depth exploration of the phenomena of misinformation and professional scepticism in an organizational context. This approach was chosen because it is suitable for understanding social processes, experiences, and the dynamics of institutional contexts  [10].</w:t>
      </w:r>
    </w:p>
    <w:p w14:paraId="3CF1584D" w14:textId="77777777" w:rsidR="00354DFA" w:rsidRDefault="00354DFA" w:rsidP="00354DFA">
      <w:pPr>
        <w:pStyle w:val="NormalWeb"/>
      </w:pPr>
      <w:r>
        <w:rPr>
          <w:rStyle w:val="Strong"/>
        </w:rPr>
        <w:t>Table 2. Types of Misinformation and Disinformation and Their Impacts</w:t>
      </w:r>
    </w:p>
    <w:tbl>
      <w:tblPr>
        <w:tblW w:w="9319" w:type="dxa"/>
        <w:tblCellSpacing w:w="15" w:type="dxa"/>
        <w:tblInd w:w="-163" w:type="dxa"/>
        <w:tblCellMar>
          <w:top w:w="15" w:type="dxa"/>
          <w:left w:w="15" w:type="dxa"/>
          <w:bottom w:w="15" w:type="dxa"/>
          <w:right w:w="15" w:type="dxa"/>
        </w:tblCellMar>
        <w:tblLook w:val="0000" w:firstRow="0" w:lastRow="0" w:firstColumn="0" w:lastColumn="0" w:noHBand="0" w:noVBand="0"/>
      </w:tblPr>
      <w:tblGrid>
        <w:gridCol w:w="1745"/>
        <w:gridCol w:w="3561"/>
        <w:gridCol w:w="4013"/>
      </w:tblGrid>
      <w:tr w:rsidR="00354DFA" w14:paraId="61F8802C" w14:textId="77777777" w:rsidTr="00ED442E">
        <w:trPr>
          <w:tblHeader/>
          <w:tblCellSpacing w:w="15" w:type="dxa"/>
        </w:trPr>
        <w:tc>
          <w:tcPr>
            <w:tcW w:w="1700" w:type="dxa"/>
            <w:vAlign w:val="center"/>
          </w:tcPr>
          <w:p w14:paraId="11D5596B" w14:textId="77777777" w:rsidR="00354DFA" w:rsidRDefault="00354DFA" w:rsidP="00ED442E">
            <w:pPr>
              <w:jc w:val="center"/>
              <w:rPr>
                <w:rFonts w:ascii="Times New Roman" w:hAnsi="Times New Roman" w:cs="Times New Roman"/>
                <w:b/>
                <w:bCs/>
              </w:rPr>
            </w:pPr>
            <w:r>
              <w:rPr>
                <w:rFonts w:ascii="Times New Roman" w:eastAsia="SimSun" w:hAnsi="Times New Roman" w:cs="Times New Roman"/>
                <w:b/>
                <w:bCs/>
                <w:lang w:val="en-US" w:eastAsia="zh-CN" w:bidi="ar"/>
              </w:rPr>
              <w:t>Type</w:t>
            </w:r>
          </w:p>
        </w:tc>
        <w:tc>
          <w:tcPr>
            <w:tcW w:w="3531" w:type="dxa"/>
            <w:vAlign w:val="center"/>
          </w:tcPr>
          <w:p w14:paraId="40D4105F" w14:textId="77777777" w:rsidR="00354DFA" w:rsidRDefault="00354DFA" w:rsidP="00ED442E">
            <w:pPr>
              <w:jc w:val="center"/>
              <w:rPr>
                <w:rFonts w:ascii="Times New Roman" w:hAnsi="Times New Roman" w:cs="Times New Roman"/>
                <w:b/>
                <w:bCs/>
              </w:rPr>
            </w:pPr>
            <w:r>
              <w:rPr>
                <w:rFonts w:ascii="Times New Roman" w:eastAsia="SimSun" w:hAnsi="Times New Roman" w:cs="Times New Roman"/>
                <w:b/>
                <w:bCs/>
                <w:lang w:val="en-US" w:eastAsia="zh-CN" w:bidi="ar"/>
              </w:rPr>
              <w:t>Characteristics</w:t>
            </w:r>
          </w:p>
        </w:tc>
        <w:tc>
          <w:tcPr>
            <w:tcW w:w="3968" w:type="dxa"/>
            <w:vAlign w:val="center"/>
          </w:tcPr>
          <w:p w14:paraId="2284F6B0" w14:textId="77777777" w:rsidR="00354DFA" w:rsidRDefault="00354DFA" w:rsidP="00ED442E">
            <w:pPr>
              <w:jc w:val="center"/>
              <w:rPr>
                <w:rFonts w:ascii="Times New Roman" w:hAnsi="Times New Roman" w:cs="Times New Roman"/>
                <w:b/>
                <w:bCs/>
              </w:rPr>
            </w:pPr>
            <w:r>
              <w:rPr>
                <w:rFonts w:ascii="Times New Roman" w:eastAsia="SimSun" w:hAnsi="Times New Roman" w:cs="Times New Roman"/>
                <w:b/>
                <w:bCs/>
                <w:lang w:val="en-US" w:eastAsia="zh-CN" w:bidi="ar"/>
              </w:rPr>
              <w:t>Impacts</w:t>
            </w:r>
          </w:p>
        </w:tc>
      </w:tr>
      <w:tr w:rsidR="00354DFA" w14:paraId="7DD047ED" w14:textId="77777777" w:rsidTr="00ED442E">
        <w:trPr>
          <w:tblCellSpacing w:w="15" w:type="dxa"/>
        </w:trPr>
        <w:tc>
          <w:tcPr>
            <w:tcW w:w="1700" w:type="dxa"/>
            <w:vAlign w:val="center"/>
          </w:tcPr>
          <w:p w14:paraId="155A07B5" w14:textId="77777777" w:rsidR="00354DFA" w:rsidRDefault="00354DFA" w:rsidP="00ED442E">
            <w:pPr>
              <w:rPr>
                <w:rFonts w:ascii="Times New Roman" w:hAnsi="Times New Roman" w:cs="Times New Roman"/>
              </w:rPr>
            </w:pPr>
            <w:r>
              <w:rPr>
                <w:rFonts w:ascii="Times New Roman" w:eastAsia="SimSun" w:hAnsi="Times New Roman" w:cs="Times New Roman"/>
                <w:lang w:val="en-US" w:eastAsia="zh-CN" w:bidi="ar"/>
              </w:rPr>
              <w:t>Misinformation</w:t>
            </w:r>
          </w:p>
        </w:tc>
        <w:tc>
          <w:tcPr>
            <w:tcW w:w="3531" w:type="dxa"/>
            <w:vAlign w:val="center"/>
          </w:tcPr>
          <w:p w14:paraId="39E65790" w14:textId="77777777" w:rsidR="00354DFA" w:rsidRDefault="00354DFA" w:rsidP="00ED442E">
            <w:pPr>
              <w:rPr>
                <w:rFonts w:ascii="Times New Roman" w:hAnsi="Times New Roman" w:cs="Times New Roman"/>
              </w:rPr>
            </w:pPr>
            <w:r>
              <w:rPr>
                <w:rFonts w:ascii="Times New Roman" w:eastAsia="SimSun" w:hAnsi="Times New Roman" w:cs="Times New Roman"/>
                <w:lang w:val="en-US" w:eastAsia="zh-CN" w:bidi="ar"/>
              </w:rPr>
              <w:t>False content shared unintentionally</w:t>
            </w:r>
          </w:p>
        </w:tc>
        <w:tc>
          <w:tcPr>
            <w:tcW w:w="3968" w:type="dxa"/>
            <w:vAlign w:val="center"/>
          </w:tcPr>
          <w:p w14:paraId="54B9FA9D" w14:textId="77777777" w:rsidR="00354DFA" w:rsidRDefault="00354DFA" w:rsidP="00ED442E">
            <w:pPr>
              <w:rPr>
                <w:rFonts w:ascii="Times New Roman" w:hAnsi="Times New Roman" w:cs="Times New Roman"/>
              </w:rPr>
            </w:pPr>
            <w:r>
              <w:rPr>
                <w:rFonts w:ascii="Times New Roman" w:eastAsia="SimSun" w:hAnsi="Times New Roman" w:cs="Times New Roman"/>
                <w:lang w:val="en-US" w:eastAsia="zh-CN" w:bidi="ar"/>
              </w:rPr>
              <w:t>Confusion, poor decisions, trust erosion</w:t>
            </w:r>
          </w:p>
        </w:tc>
      </w:tr>
      <w:tr w:rsidR="00354DFA" w14:paraId="1C98C827" w14:textId="77777777" w:rsidTr="00ED442E">
        <w:trPr>
          <w:tblCellSpacing w:w="15" w:type="dxa"/>
        </w:trPr>
        <w:tc>
          <w:tcPr>
            <w:tcW w:w="1700" w:type="dxa"/>
            <w:vAlign w:val="center"/>
          </w:tcPr>
          <w:p w14:paraId="3A6448B5" w14:textId="77777777" w:rsidR="00354DFA" w:rsidRDefault="00354DFA" w:rsidP="00ED442E">
            <w:pPr>
              <w:rPr>
                <w:rFonts w:ascii="Times New Roman" w:hAnsi="Times New Roman" w:cs="Times New Roman"/>
              </w:rPr>
            </w:pPr>
            <w:r>
              <w:rPr>
                <w:rFonts w:ascii="Times New Roman" w:eastAsia="SimSun" w:hAnsi="Times New Roman" w:cs="Times New Roman"/>
                <w:lang w:val="en-US" w:eastAsia="zh-CN" w:bidi="ar"/>
              </w:rPr>
              <w:t>Disinformation</w:t>
            </w:r>
          </w:p>
        </w:tc>
        <w:tc>
          <w:tcPr>
            <w:tcW w:w="3531" w:type="dxa"/>
            <w:vAlign w:val="center"/>
          </w:tcPr>
          <w:p w14:paraId="34461A1A" w14:textId="77777777" w:rsidR="00354DFA" w:rsidRDefault="00354DFA" w:rsidP="00ED442E">
            <w:pPr>
              <w:rPr>
                <w:rFonts w:ascii="Times New Roman" w:hAnsi="Times New Roman" w:cs="Times New Roman"/>
              </w:rPr>
            </w:pPr>
            <w:r>
              <w:rPr>
                <w:rFonts w:ascii="Times New Roman" w:eastAsia="SimSun" w:hAnsi="Times New Roman" w:cs="Times New Roman"/>
                <w:lang w:val="en-US" w:eastAsia="zh-CN" w:bidi="ar"/>
              </w:rPr>
              <w:t>False content deliberately crafted</w:t>
            </w:r>
          </w:p>
        </w:tc>
        <w:tc>
          <w:tcPr>
            <w:tcW w:w="3968" w:type="dxa"/>
            <w:vAlign w:val="center"/>
          </w:tcPr>
          <w:p w14:paraId="006422D4" w14:textId="77777777" w:rsidR="00354DFA" w:rsidRDefault="00354DFA" w:rsidP="00ED442E">
            <w:pPr>
              <w:rPr>
                <w:rFonts w:ascii="Times New Roman" w:hAnsi="Times New Roman" w:cs="Times New Roman"/>
              </w:rPr>
            </w:pPr>
            <w:r>
              <w:rPr>
                <w:rFonts w:ascii="Times New Roman" w:eastAsia="SimSun" w:hAnsi="Times New Roman" w:cs="Times New Roman"/>
                <w:lang w:val="en-US" w:eastAsia="zh-CN" w:bidi="ar"/>
              </w:rPr>
              <w:t>Polarization, harm, corruption</w:t>
            </w:r>
          </w:p>
        </w:tc>
      </w:tr>
    </w:tbl>
    <w:p w14:paraId="2C434F4C" w14:textId="77777777" w:rsidR="00354DFA" w:rsidRDefault="00354DFA" w:rsidP="00354DFA">
      <w:pPr>
        <w:pStyle w:val="NormalWeb"/>
        <w:jc w:val="both"/>
      </w:pPr>
      <w:r>
        <w:t>The consequences of unchecked misinformation in CBC Health Services extend beyond internal conflict. Staff grievances often escalate to labor offices or courts where non-expert adjudicators, unfamiliar with hospital management and financial systems, struggle to deliver fair resolutions, an issue widely reported in public-sector dispute resolution literature [7]. This perpetuates cycles of mistrust. Embedding skepticism into policy enforcement and dispute resolution strengthens fairness, reduces conflict, and promotes a culture of transparency aligned with CBC Health Services’ mission of compassionate, accountable healthcare. Proactive scrutiny of claims helps resolve staff disputes internally, reducing reliance on costly external adjudication.</w:t>
      </w:r>
    </w:p>
    <w:p w14:paraId="2D45D148" w14:textId="77777777" w:rsidR="00354DFA" w:rsidRDefault="00354DFA" w:rsidP="00354DFA">
      <w:r>
        <w:rPr>
          <w:rStyle w:val="Strong"/>
          <w:rFonts w:ascii="Times New Roman" w:eastAsia="SimSun" w:hAnsi="Times New Roman" w:cs="Times New Roman"/>
          <w:lang w:val="en-US" w:eastAsia="zh-CN" w:bidi="ar"/>
        </w:rPr>
        <w:t>MBV Consulting Group</w:t>
      </w:r>
    </w:p>
    <w:p w14:paraId="6A7A733F" w14:textId="77777777" w:rsidR="00354DFA" w:rsidRDefault="00354DFA" w:rsidP="00354DFA">
      <w:pPr>
        <w:pStyle w:val="NormalWeb"/>
        <w:jc w:val="both"/>
      </w:pPr>
      <w:r>
        <w:t>The MBV Consulting Group case demonstrates the role of skepticism in professional auditing and forensic investigation. As a consultancy firm handling audits and investigations, MBV regularly confronts situations where financial records have been manipulated to conceal fraud or mismanagement. Such challenges mirror findings in global forensic accounting research, which documents deliberate misclassification of expenses, fictitious vendors, and manipulation of bank reconciliations as common methods of concealment  ([21];  [1]).</w:t>
      </w:r>
    </w:p>
    <w:p w14:paraId="76A42BA6" w14:textId="77777777" w:rsidR="00354DFA" w:rsidRDefault="00354DFA" w:rsidP="00354DFA">
      <w:pPr>
        <w:pStyle w:val="NormalWeb"/>
        <w:jc w:val="both"/>
      </w:pPr>
      <w:r>
        <w:t xml:space="preserve">MBV applies professional skepticism by maintaining independence from client institutions and subjecting financial statements to rigorous scrutiny. This involves validating supporting documentation, cross-checking reported figures against independent records, and probing inconsistencies. These practices are consistent with empirical evidence showing that skeptical </w:t>
      </w:r>
      <w:r>
        <w:lastRenderedPageBreak/>
        <w:t>auditors are more effective at detecting fraud. In cases of suspicion, MBV uses forensic tools such as digital transaction analysis and fraud-risk matrices. These practices have already proven effective in uncovering fraud and reinforcing accountability within Cameroonian institutions, patterns also reflected in regional studies on governance and audit reform  ([25];  [14]).</w:t>
      </w:r>
    </w:p>
    <w:p w14:paraId="132B7180" w14:textId="77777777" w:rsidR="00354DFA" w:rsidRDefault="00354DFA" w:rsidP="00354DFA">
      <w:pPr>
        <w:pStyle w:val="NormalWeb"/>
        <w:jc w:val="both"/>
      </w:pPr>
      <w:r>
        <w:t>Beyond audit effectiveness, MBV’s role includes providing “voice to the voiceless,” enabling staff and organizations to challenge misinformation that might otherwise remain unaddressed; a function recognized in the literature on whistle blowing, accountability, and organizational justice  [26]). In this sense, the consultancy becomes not just a service provider but an accountability partner within Cameroonian governance structures. By aligning its work with international standards such as the IICFIP codes of ethics, MBV Consulting Group demonstrates how skepticism bridges local practices with global best practices, reinforcing justice and equity in organizational decision-making.</w:t>
      </w:r>
    </w:p>
    <w:p w14:paraId="04ADE816" w14:textId="77777777" w:rsidR="00354DFA" w:rsidRDefault="00354DFA" w:rsidP="00354DFA">
      <w:pPr>
        <w:pStyle w:val="Heading3"/>
        <w:keepNext w:val="0"/>
        <w:keepLines w:val="0"/>
        <w:rPr>
          <w:rStyle w:val="Strong"/>
          <w:rFonts w:ascii="Times New Roman" w:eastAsia="SimSun" w:hAnsi="Times New Roman" w:cs="Times New Roman"/>
          <w:color w:val="auto"/>
          <w:sz w:val="24"/>
          <w:szCs w:val="24"/>
          <w:lang w:val="en-US" w:eastAsia="zh-CN" w:bidi="ar"/>
        </w:rPr>
      </w:pPr>
      <w:r>
        <w:rPr>
          <w:rStyle w:val="Strong"/>
          <w:rFonts w:ascii="Times New Roman" w:eastAsia="SimSun" w:hAnsi="Times New Roman" w:cs="Times New Roman"/>
          <w:color w:val="auto"/>
          <w:sz w:val="24"/>
          <w:szCs w:val="24"/>
          <w:lang w:val="en-US" w:eastAsia="zh-CN" w:bidi="ar"/>
        </w:rPr>
        <w:br w:type="page"/>
      </w:r>
      <w:r>
        <w:rPr>
          <w:rStyle w:val="Strong"/>
          <w:rFonts w:ascii="Times New Roman" w:eastAsia="SimSun" w:hAnsi="Times New Roman" w:cs="Times New Roman"/>
          <w:color w:val="auto"/>
          <w:sz w:val="24"/>
          <w:szCs w:val="24"/>
          <w:lang w:val="en-US" w:eastAsia="zh-CN" w:bidi="ar"/>
        </w:rPr>
        <w:lastRenderedPageBreak/>
        <w:t>Global Comparative Cases</w:t>
      </w:r>
    </w:p>
    <w:p w14:paraId="1EAD4A64" w14:textId="77777777" w:rsidR="00354DFA" w:rsidRDefault="00354DFA" w:rsidP="00354DFA">
      <w:pPr>
        <w:pStyle w:val="NormalWeb"/>
        <w:jc w:val="both"/>
      </w:pPr>
      <w:r>
        <w:t>Global experiences further validate the importance of skepticism. The COVID-19 pandemic revealed how misinformation and disinformation can spread faster than the virus itself, creating an “infodemic” that undermined public trust[8][40]. False claims about treatments, vaccines, and preventive measures caused confusion and endangered lives. Institutions that embedded professional skepticism into their communication through fact-checking, peer review, and reliance on credible public-health sources were better able to counter misinformation and maintain public confidence[32].</w:t>
      </w:r>
    </w:p>
    <w:p w14:paraId="790BB338" w14:textId="77777777" w:rsidR="00354DFA" w:rsidRDefault="00354DFA" w:rsidP="00354DFA">
      <w:pPr>
        <w:pStyle w:val="NormalWeb"/>
        <w:jc w:val="both"/>
      </w:pPr>
      <w:r>
        <w:t>Corporate scandals such as Enron illustrate the consequences of weak skepticism. Auditors who accepted management’s statements uncritically allowed fraudulent reporting to persist until collapse, destroying shareholder wealth and public trust. Modern auditing standards now emphasize skepticism to prevent such failures.</w:t>
      </w:r>
    </w:p>
    <w:p w14:paraId="50E763D4" w14:textId="77777777" w:rsidR="00354DFA" w:rsidRDefault="00354DFA" w:rsidP="00354DFA">
      <w:pPr>
        <w:pStyle w:val="NormalWeb"/>
        <w:jc w:val="both"/>
      </w:pPr>
      <w:r>
        <w:t>In the digital economy, cybercriminals manipulate online transaction logs and financial records to exploit oversight weaknesses. Interpol[18] notes that skepticism, combined with digital forensic tools, helps investigators identify red flags such as unusual access patterns and duplicated transactions. In Cameroon, skepticism has also been central in combating vaccine misinformation through community-based health communication strategies[28].</w:t>
      </w:r>
    </w:p>
    <w:p w14:paraId="57ED98DA" w14:textId="77777777" w:rsidR="00354DFA" w:rsidRDefault="00354DFA" w:rsidP="00354DFA">
      <w:pPr>
        <w:pStyle w:val="NormalWeb"/>
        <w:jc w:val="both"/>
      </w:pPr>
      <w:r>
        <w:t>Together, these global parallels confirm that skepticism is universally relevant, adaptable across contexts, and indispensable for institutional resilience in the face of misinformation.</w:t>
      </w:r>
    </w:p>
    <w:p w14:paraId="510DBF0F" w14:textId="77777777" w:rsidR="00354DFA" w:rsidRDefault="00354DFA" w:rsidP="00354DFA">
      <w:pPr>
        <w:pStyle w:val="Heading2"/>
        <w:rPr>
          <w:rFonts w:ascii="Times New Roman" w:hAnsi="Times New Roman" w:cs="Times New Roman"/>
          <w:b/>
          <w:bCs/>
          <w:color w:val="000000"/>
          <w:sz w:val="24"/>
          <w:szCs w:val="24"/>
        </w:rPr>
      </w:pPr>
      <w:r>
        <w:rPr>
          <w:rFonts w:ascii="Times New Roman" w:hAnsi="Times New Roman" w:cs="Times New Roman"/>
          <w:b/>
          <w:bCs/>
          <w:color w:val="000000"/>
          <w:sz w:val="24"/>
          <w:szCs w:val="24"/>
        </w:rPr>
        <w:t>Conclusion</w:t>
      </w:r>
    </w:p>
    <w:p w14:paraId="17677074" w14:textId="77777777" w:rsidR="00354DFA" w:rsidRDefault="00354DFA" w:rsidP="00354DFA">
      <w:pPr>
        <w:pStyle w:val="NormalWeb"/>
        <w:jc w:val="both"/>
      </w:pPr>
      <w:r>
        <w:t>The analysis of misinformation and disinformation reveals that these phenomena are not isolated challenges but systemic threats that cut across healthcare, auditing, governance, and digital ecosystems. In the cases of CBC Health Services and MBV Consulting Group, it becomes clear that misinformation undermines trust in institutional processes, while disinformation actively manipulates decision-making for personal or organizational gain. Both create environments of uncertainty where poor judgments flourish and accountability weakens. Professional skepticism emerges as a critical safeguard in such contexts, providing the intellectual discipline to resist falsehoods and maintain organizational integrity.</w:t>
      </w:r>
    </w:p>
    <w:p w14:paraId="7651C8FC" w14:textId="77777777" w:rsidR="00354DFA" w:rsidRDefault="00354DFA" w:rsidP="00354DFA">
      <w:pPr>
        <w:pStyle w:val="NormalWeb"/>
        <w:jc w:val="both"/>
      </w:pPr>
      <w:r>
        <w:t>From a theoretical standpoint, skepticism operates at the intersection of ethics, psychology, and governance. Ethical frameworks highlight the duty to seek truth and prevent harm, while psychological models explain the vulnerabilities that make individuals and organizations prone to manipulation. Fraud theories illustrate how deception thrives in the absence of scrutiny, and governance standards institutionalize skepticism as a professional requirement. This integrated theoretical lens underscores why skepticism is indispensable for sustainable and transparent institutions.</w:t>
      </w:r>
    </w:p>
    <w:p w14:paraId="3A986A40" w14:textId="77777777" w:rsidR="00354DFA" w:rsidRDefault="00354DFA" w:rsidP="00354DFA">
      <w:pPr>
        <w:pStyle w:val="NormalWeb"/>
        <w:jc w:val="both"/>
      </w:pPr>
      <w:r>
        <w:t xml:space="preserve">The case studies confirm that skepticism is not just theoretical but practically relevant. At CBC Health Services, skepticism helps leaders navigate biased appraisals and misleading managerial reports, fostering fairness in staff management and health campaigns. MBV Consulting Group demonstrates how skepticism in forensic auditing can expose financial misrepresentation, strengthen accountability, and provide credible evidence in judicial processes. These cases align with global examples;from the Enron scandal to the COVID-19 </w:t>
      </w:r>
      <w:r>
        <w:lastRenderedPageBreak/>
        <w:t>infodemic which collectively illustrate the universal necessity of skepticism for institutional resilience.</w:t>
      </w:r>
    </w:p>
    <w:p w14:paraId="0430F916" w14:textId="77777777" w:rsidR="00354DFA" w:rsidRDefault="00354DFA" w:rsidP="00354DFA">
      <w:pPr>
        <w:pStyle w:val="NormalWeb"/>
        <w:jc w:val="both"/>
      </w:pPr>
      <w:r>
        <w:t>This article offers a framework connecting skepticism to institutional resilience, guiding future research and policy efforts in diverse contexts. As a contribution, it provides a basis for empirically assessing how professionally skeptical cultures can enhance organizational outcomes and for designing interventions that institutionalize critical inquiry. The following recommendations are offered:</w:t>
      </w:r>
    </w:p>
    <w:p w14:paraId="65D080AE" w14:textId="77777777" w:rsidR="00354DFA" w:rsidRDefault="00354DFA" w:rsidP="00354DFA">
      <w:pPr>
        <w:pStyle w:val="Compact"/>
        <w:numPr>
          <w:ilvl w:val="0"/>
          <w:numId w:val="1"/>
        </w:numPr>
        <w:jc w:val="both"/>
        <w:rPr>
          <w:rFonts w:ascii="Times New Roman" w:hAnsi="Times New Roman" w:cs="Times New Roman"/>
        </w:rPr>
      </w:pPr>
      <w:r>
        <w:rPr>
          <w:rFonts w:ascii="Times New Roman" w:hAnsi="Times New Roman" w:cs="Times New Roman"/>
          <w:b/>
          <w:bCs/>
        </w:rPr>
        <w:t>Embed skepticism into professional training and certification</w:t>
      </w:r>
      <w:r>
        <w:rPr>
          <w:rFonts w:ascii="Times New Roman" w:hAnsi="Times New Roman" w:cs="Times New Roman"/>
        </w:rPr>
        <w:t xml:space="preserve"> in healthcare, auditing, and governance, ensuring that staff are equipped to question evidence, verify sources, and resist biases.</w:t>
      </w:r>
    </w:p>
    <w:p w14:paraId="0AE57C30" w14:textId="77777777" w:rsidR="00354DFA" w:rsidRDefault="00354DFA" w:rsidP="00354DFA">
      <w:pPr>
        <w:pStyle w:val="Compact"/>
        <w:numPr>
          <w:ilvl w:val="0"/>
          <w:numId w:val="1"/>
        </w:numPr>
        <w:jc w:val="both"/>
        <w:rPr>
          <w:rFonts w:ascii="Times New Roman" w:hAnsi="Times New Roman" w:cs="Times New Roman"/>
        </w:rPr>
      </w:pPr>
      <w:r>
        <w:rPr>
          <w:rFonts w:ascii="Times New Roman" w:hAnsi="Times New Roman" w:cs="Times New Roman"/>
          <w:b/>
          <w:bCs/>
        </w:rPr>
        <w:t>Institutionalize verification mechanisms</w:t>
      </w:r>
      <w:r>
        <w:rPr>
          <w:rFonts w:ascii="Times New Roman" w:hAnsi="Times New Roman" w:cs="Times New Roman"/>
        </w:rPr>
        <w:t>, such as peer review, independent oversight, and digital fact-checking tools, to systematically filter misinformation and disinformation before it distorts decision-making.</w:t>
      </w:r>
    </w:p>
    <w:p w14:paraId="20DA0346" w14:textId="77777777" w:rsidR="00354DFA" w:rsidRDefault="00354DFA" w:rsidP="00354DFA">
      <w:pPr>
        <w:pStyle w:val="Compact"/>
        <w:numPr>
          <w:ilvl w:val="0"/>
          <w:numId w:val="1"/>
        </w:numPr>
        <w:jc w:val="both"/>
        <w:rPr>
          <w:rFonts w:ascii="Times New Roman" w:hAnsi="Times New Roman" w:cs="Times New Roman"/>
        </w:rPr>
      </w:pPr>
      <w:r>
        <w:rPr>
          <w:rFonts w:ascii="Times New Roman" w:hAnsi="Times New Roman" w:cs="Times New Roman"/>
          <w:b/>
          <w:bCs/>
        </w:rPr>
        <w:t>Promote interdisciplinary collaboration</w:t>
      </w:r>
      <w:r>
        <w:rPr>
          <w:rFonts w:ascii="Times New Roman" w:hAnsi="Times New Roman" w:cs="Times New Roman"/>
          <w:b/>
          <w:bCs/>
          <w:lang w:val="en-US"/>
        </w:rPr>
        <w:t xml:space="preserve">, </w:t>
      </w:r>
      <w:r>
        <w:rPr>
          <w:rFonts w:ascii="Times New Roman" w:hAnsi="Times New Roman" w:cs="Times New Roman"/>
          <w:lang w:val="en-US"/>
        </w:rPr>
        <w:t xml:space="preserve">where </w:t>
      </w:r>
      <w:r>
        <w:rPr>
          <w:rFonts w:ascii="Times New Roman" w:hAnsi="Times New Roman" w:cs="Times New Roman"/>
        </w:rPr>
        <w:t>healthcare professionals, IT specialists, policymakers, auditors, and civil society actors should work together to build cultures of critical inquiry. Partnerships like that between MBV Consulting Group and international bodies (e.g., IICFIP) demonstrate the potential for creating global standards for skepticism.</w:t>
      </w:r>
    </w:p>
    <w:p w14:paraId="66BC52FE" w14:textId="77777777" w:rsidR="00354DFA" w:rsidRDefault="00354DFA" w:rsidP="00354DFA">
      <w:pPr>
        <w:pStyle w:val="Compact"/>
        <w:numPr>
          <w:ilvl w:val="0"/>
          <w:numId w:val="1"/>
        </w:numPr>
        <w:jc w:val="both"/>
        <w:rPr>
          <w:rFonts w:ascii="Times New Roman" w:hAnsi="Times New Roman" w:cs="Times New Roman"/>
        </w:rPr>
      </w:pPr>
      <w:r>
        <w:rPr>
          <w:rFonts w:ascii="Times New Roman" w:hAnsi="Times New Roman" w:cs="Times New Roman"/>
          <w:b/>
          <w:bCs/>
        </w:rPr>
        <w:t>Align organizational practices with international governance frameworks</w:t>
      </w:r>
      <w:r>
        <w:rPr>
          <w:rFonts w:ascii="Times New Roman" w:hAnsi="Times New Roman" w:cs="Times New Roman"/>
          <w:b/>
          <w:bCs/>
          <w:lang w:val="en-US"/>
        </w:rPr>
        <w:t xml:space="preserve"> </w:t>
      </w:r>
      <w:r>
        <w:rPr>
          <w:rFonts w:ascii="Times New Roman" w:hAnsi="Times New Roman" w:cs="Times New Roman"/>
        </w:rPr>
        <w:t>such as the United Nations Sustainable Development Goals[36] and the African Union’s Agenda 2063</w:t>
      </w:r>
      <w:r>
        <w:rPr>
          <w:rFonts w:ascii="Times New Roman" w:hAnsi="Times New Roman" w:cs="Times New Roman"/>
          <w:lang w:val="en-US"/>
        </w:rPr>
        <w:t xml:space="preserve"> </w:t>
      </w:r>
      <w:r>
        <w:rPr>
          <w:rFonts w:ascii="Times New Roman" w:hAnsi="Times New Roman" w:cs="Times New Roman"/>
        </w:rPr>
        <w:t>to ensure that skepticism contributes not only to institutional resilience but also to broader goals of equity, justice, and sustainable development.</w:t>
      </w:r>
    </w:p>
    <w:p w14:paraId="61C8CDD0" w14:textId="77777777" w:rsidR="00354DFA" w:rsidRDefault="00354DFA" w:rsidP="00354DFA">
      <w:pPr>
        <w:pStyle w:val="Heading3"/>
        <w:keepNext w:val="0"/>
        <w:keepLines w:val="0"/>
        <w:rPr>
          <w:rFonts w:ascii="Times New Roman" w:eastAsia="Calibri" w:hAnsi="Times New Roman" w:cs="Times New Roman"/>
          <w:b/>
          <w:bCs/>
          <w:color w:val="auto"/>
          <w:sz w:val="24"/>
          <w:szCs w:val="24"/>
        </w:rPr>
      </w:pPr>
      <w:r>
        <w:rPr>
          <w:rFonts w:ascii="Times New Roman" w:eastAsia="Calibri" w:hAnsi="Times New Roman" w:cs="Times New Roman"/>
          <w:b/>
          <w:bCs/>
          <w:color w:val="auto"/>
          <w:sz w:val="24"/>
          <w:szCs w:val="24"/>
        </w:rPr>
        <w:t>Limitations of the Study</w:t>
      </w:r>
    </w:p>
    <w:p w14:paraId="6F8C81D8" w14:textId="77777777" w:rsidR="00354DFA" w:rsidRDefault="00354DFA" w:rsidP="00354DFA">
      <w:pPr>
        <w:pStyle w:val="NormalWeb"/>
        <w:jc w:val="both"/>
      </w:pPr>
      <w:r>
        <w:t>While the study provides meaningful insights into how professional skepticism can counter misinformation and disinformation, it is not without limitations. First, the analysis relies mainly on qualitative illustrations and selected case studies, which limits the generalizability of the findings across sectors and regions. Second, the rapidly evolving nature of digital misinformation means that some trends discussed may shift quickly as new technologies, platforms, and manipulation tactics emerge. Third, the study draws heavily on organizational contexts such as CBC Health Services and MBV Consulting Group, which may differ significantly from smaller institutions or those operating in less regulated environments.</w:t>
      </w:r>
    </w:p>
    <w:p w14:paraId="7C5E4123" w14:textId="77777777" w:rsidR="00354DFA" w:rsidRDefault="00354DFA" w:rsidP="00354DFA">
      <w:pPr>
        <w:pStyle w:val="Heading3"/>
        <w:keepNext w:val="0"/>
        <w:keepLines w:val="0"/>
      </w:pPr>
      <w:r>
        <w:rPr>
          <w:rFonts w:ascii="Times New Roman" w:eastAsia="Calibri" w:hAnsi="Times New Roman" w:cs="Times New Roman"/>
          <w:b/>
          <w:bCs/>
          <w:color w:val="auto"/>
          <w:sz w:val="24"/>
          <w:szCs w:val="24"/>
        </w:rPr>
        <w:t>Directions for Further Research</w:t>
      </w:r>
    </w:p>
    <w:p w14:paraId="46F5DDB7" w14:textId="77777777" w:rsidR="00354DFA" w:rsidRDefault="00354DFA" w:rsidP="00354DFA">
      <w:pPr>
        <w:pStyle w:val="NormalWeb"/>
        <w:jc w:val="both"/>
        <w:rPr>
          <w:rFonts w:eastAsia="Calibri"/>
          <w:b/>
          <w:bCs/>
          <w:lang w:val="en" w:eastAsia="en-US"/>
        </w:rPr>
      </w:pPr>
      <w:r>
        <w:t>Future research could build on these findings in several ways. Empirical studies could measure the effectiveness of skeptical practices across different industries, using quantitative tools to assess outcomes such as decision accuracy, audit quality, or resistance to manipulation. Longitudinal studies would help determine how skepticism develops over time and how training interventions influence professional judgment. Further work could also explore digital-era challenges, such as the role of artificial intelligence, deepfakes, and algorithm-driven misinformation, to understand how skepticism can be adapted for emerging risks. Comparative studies across African, European, and global contexts would provide a broader understanding of institutional readiness and resilience mechanisms.</w:t>
      </w:r>
    </w:p>
    <w:p w14:paraId="61479503" w14:textId="77777777" w:rsidR="00354DFA" w:rsidRDefault="00354DFA" w:rsidP="00354DFA">
      <w:pPr>
        <w:pStyle w:val="NormalWeb"/>
        <w:jc w:val="both"/>
      </w:pPr>
      <w:r>
        <w:t xml:space="preserve">In conclusion, skepticism must be embraced as a professional virtue, an ethical imperative, and a practical tool. By combining moral obligation, analytical rigor, and systemic verification, </w:t>
      </w:r>
      <w:r>
        <w:lastRenderedPageBreak/>
        <w:t>skepticism equips organizations to resist misinformation and disinformation while strengthening justice, equity, and transparency. Institutions that cultivate skepticism will not only survive in a volatile information environment but will also help shape fairer and more resilient societies.</w:t>
      </w:r>
    </w:p>
    <w:p w14:paraId="122C84A3" w14:textId="77777777" w:rsidR="00354DFA" w:rsidRDefault="00354DFA" w:rsidP="00354DFA">
      <w:pPr>
        <w:pStyle w:val="Heading2"/>
        <w:rPr>
          <w:rFonts w:ascii="Times New Roman" w:hAnsi="Times New Roman" w:cs="Times New Roman"/>
          <w:b/>
          <w:bCs/>
          <w:color w:val="000000"/>
          <w:sz w:val="24"/>
          <w:szCs w:val="24"/>
        </w:rPr>
      </w:pPr>
      <w:bookmarkStart w:id="3" w:name="acknowledgements"/>
      <w:r>
        <w:rPr>
          <w:rFonts w:ascii="Times New Roman" w:hAnsi="Times New Roman" w:cs="Times New Roman"/>
          <w:b/>
          <w:bCs/>
          <w:color w:val="000000"/>
          <w:sz w:val="24"/>
          <w:szCs w:val="24"/>
        </w:rPr>
        <w:t>Acknowledgements</w:t>
      </w:r>
    </w:p>
    <w:p w14:paraId="50E90DF2" w14:textId="77777777" w:rsidR="00354DFA" w:rsidRDefault="00354DFA" w:rsidP="00354DFA">
      <w:pPr>
        <w:pStyle w:val="FirstParagraph"/>
        <w:jc w:val="both"/>
        <w:rPr>
          <w:rFonts w:ascii="Times New Roman" w:hAnsi="Times New Roman" w:cs="Times New Roman"/>
        </w:rPr>
      </w:pPr>
      <w:r>
        <w:rPr>
          <w:rFonts w:ascii="Times New Roman" w:hAnsi="Times New Roman" w:cs="Times New Roman"/>
        </w:rPr>
        <w:t>The author thanks colleagues and peer reviewers for their insightful feedback, and professionals at CBC Health Services and MBV Consulting Group for sharing their experiences. Any errors or omissions remain the author’s responsibility.</w:t>
      </w:r>
    </w:p>
    <w:p w14:paraId="17C8E79D" w14:textId="77777777" w:rsidR="00354DFA" w:rsidRDefault="00354DFA" w:rsidP="00354DFA">
      <w:pPr>
        <w:pStyle w:val="Heading2"/>
        <w:rPr>
          <w:rFonts w:ascii="Times New Roman" w:hAnsi="Times New Roman" w:cs="Times New Roman"/>
          <w:b/>
          <w:bCs/>
          <w:color w:val="000000"/>
          <w:sz w:val="24"/>
          <w:szCs w:val="24"/>
        </w:rPr>
      </w:pPr>
      <w:r>
        <w:rPr>
          <w:rFonts w:ascii="Times New Roman" w:hAnsi="Times New Roman" w:cs="Times New Roman"/>
          <w:b/>
          <w:bCs/>
          <w:color w:val="000000"/>
          <w:sz w:val="24"/>
          <w:szCs w:val="24"/>
        </w:rPr>
        <w:t>Disclaimer (Artificial intelligence)</w:t>
      </w:r>
    </w:p>
    <w:p w14:paraId="116A3EB1" w14:textId="77777777" w:rsidR="00354DFA" w:rsidRDefault="00354DFA" w:rsidP="00354DFA">
      <w:pPr>
        <w:pStyle w:val="Heading2"/>
        <w:jc w:val="both"/>
        <w:rPr>
          <w:rFonts w:ascii="Times New Roman" w:hAnsi="Times New Roman" w:cs="Times New Roman"/>
          <w:color w:val="000000"/>
          <w:sz w:val="24"/>
          <w:szCs w:val="24"/>
        </w:rPr>
      </w:pPr>
      <w:r>
        <w:rPr>
          <w:rFonts w:ascii="Times New Roman" w:hAnsi="Times New Roman" w:cs="Times New Roman"/>
          <w:b/>
          <w:bCs/>
          <w:color w:val="000000"/>
          <w:sz w:val="24"/>
          <w:szCs w:val="24"/>
        </w:rPr>
        <w:br/>
      </w:r>
      <w:r>
        <w:rPr>
          <w:rFonts w:ascii="Times New Roman" w:hAnsi="Times New Roman" w:cs="Times New Roman"/>
          <w:color w:val="000000"/>
          <w:sz w:val="24"/>
          <w:szCs w:val="24"/>
        </w:rPr>
        <w:t>The author(s) affirm that no generative AI tool was used to create, analyse, or interpret the research findings presented in this manuscript. Where AI-assisted tools were used strictly for grammar correction or formatting, all intellectual work, interpretations, and conclusions remain entirely those of the author(s).</w:t>
      </w:r>
    </w:p>
    <w:p w14:paraId="33F3B8CF" w14:textId="77777777" w:rsidR="00354DFA" w:rsidRDefault="00354DFA" w:rsidP="00354DFA">
      <w:pPr>
        <w:pStyle w:val="BodyText"/>
        <w:rPr>
          <w:rFonts w:ascii="Times New Roman" w:hAnsi="Times New Roman" w:cs="Times New Roman"/>
        </w:rPr>
      </w:pPr>
    </w:p>
    <w:bookmarkEnd w:id="3"/>
    <w:p w14:paraId="2805B2FE" w14:textId="77777777" w:rsidR="00354DFA" w:rsidRDefault="00354DFA" w:rsidP="00354DFA">
      <w:pPr>
        <w:pStyle w:val="Heading2"/>
        <w:rPr>
          <w:rFonts w:ascii="Times New Roman" w:hAnsi="Times New Roman" w:cs="Times New Roman"/>
          <w:b/>
          <w:bCs/>
          <w:color w:val="000000"/>
          <w:sz w:val="24"/>
          <w:szCs w:val="24"/>
        </w:rPr>
      </w:pPr>
      <w:r>
        <w:rPr>
          <w:rFonts w:ascii="Times New Roman" w:hAnsi="Times New Roman" w:cs="Times New Roman"/>
          <w:b/>
          <w:bCs/>
          <w:color w:val="000000"/>
          <w:sz w:val="24"/>
          <w:szCs w:val="24"/>
        </w:rPr>
        <w:t>References</w:t>
      </w:r>
    </w:p>
    <w:p w14:paraId="7DB09349" w14:textId="77777777" w:rsidR="00354DFA" w:rsidRDefault="00354DFA" w:rsidP="00354DFA">
      <w:pPr>
        <w:pStyle w:val="FirstParagraph"/>
        <w:numPr>
          <w:ilvl w:val="0"/>
          <w:numId w:val="2"/>
        </w:numPr>
        <w:ind w:left="360" w:hangingChars="150" w:hanging="360"/>
        <w:rPr>
          <w:rFonts w:ascii="Times New Roman" w:hAnsi="Times New Roman" w:cs="Times New Roman"/>
          <w:color w:val="000000"/>
        </w:rPr>
      </w:pPr>
      <w:r>
        <w:rPr>
          <w:rFonts w:ascii="Times New Roman" w:hAnsi="Times New Roman" w:cs="Times New Roman"/>
          <w:color w:val="000000"/>
        </w:rPr>
        <w:t>ACFE. (2022). Occupational Fraud 2022: A Report to the Nations. Association of Certified Fraud Examiners.</w:t>
      </w:r>
    </w:p>
    <w:p w14:paraId="7A0F4FA0" w14:textId="77777777" w:rsidR="00354DFA" w:rsidRDefault="00354DFA" w:rsidP="00354DFA">
      <w:pPr>
        <w:pStyle w:val="FirstParagraph"/>
        <w:numPr>
          <w:ilvl w:val="0"/>
          <w:numId w:val="2"/>
        </w:numPr>
        <w:ind w:left="360" w:hangingChars="150" w:hanging="360"/>
        <w:jc w:val="both"/>
        <w:rPr>
          <w:rFonts w:ascii="Times New Roman" w:hAnsi="Times New Roman" w:cs="Times New Roman"/>
          <w:color w:val="000000"/>
        </w:rPr>
      </w:pPr>
      <w:r>
        <w:rPr>
          <w:rFonts w:ascii="Times New Roman" w:hAnsi="Times New Roman" w:cs="Times New Roman"/>
          <w:color w:val="000000"/>
        </w:rPr>
        <w:t xml:space="preserve"> Agyemang, L. S., &amp; Clegg, C. (2016). Health-care communication, power and organizational culture in African contexts. Journal of Organizational Behavior.</w:t>
      </w:r>
    </w:p>
    <w:p w14:paraId="386EB3EC" w14:textId="77777777" w:rsidR="00354DFA" w:rsidRDefault="00354DFA" w:rsidP="00354DFA">
      <w:pPr>
        <w:pStyle w:val="FirstParagraph"/>
        <w:numPr>
          <w:ilvl w:val="0"/>
          <w:numId w:val="2"/>
        </w:numPr>
        <w:ind w:left="360" w:hangingChars="150" w:hanging="360"/>
        <w:jc w:val="both"/>
        <w:rPr>
          <w:rFonts w:ascii="Times New Roman" w:hAnsi="Times New Roman" w:cs="Times New Roman"/>
          <w:color w:val="000000"/>
        </w:rPr>
      </w:pPr>
      <w:r>
        <w:rPr>
          <w:rFonts w:ascii="Times New Roman" w:hAnsi="Times New Roman" w:cs="Times New Roman"/>
          <w:color w:val="000000"/>
        </w:rPr>
        <w:t xml:space="preserve"> AICPA. (2014). Code of professional conduct. American Institute of Certified Public Accountants. </w:t>
      </w:r>
      <w:hyperlink r:id="rId5" w:history="1">
        <w:r>
          <w:rPr>
            <w:rStyle w:val="Hyperlink"/>
            <w:rFonts w:ascii="Times New Roman" w:hAnsi="Times New Roman" w:cs="Times New Roman"/>
            <w:color w:val="000000"/>
          </w:rPr>
          <w:t>https://www.aicpa.org/research/standards/codeofconduct.html</w:t>
        </w:r>
      </w:hyperlink>
    </w:p>
    <w:p w14:paraId="09F935E3" w14:textId="77777777" w:rsidR="00354DFA" w:rsidRDefault="00354DFA" w:rsidP="00354DFA">
      <w:pPr>
        <w:pStyle w:val="FirstParagraph"/>
        <w:numPr>
          <w:ilvl w:val="0"/>
          <w:numId w:val="2"/>
        </w:numPr>
        <w:ind w:left="360" w:hangingChars="150" w:hanging="360"/>
        <w:jc w:val="both"/>
        <w:rPr>
          <w:rFonts w:ascii="Times New Roman" w:hAnsi="Times New Roman" w:cs="Times New Roman"/>
          <w:color w:val="000000"/>
        </w:rPr>
      </w:pPr>
      <w:r>
        <w:rPr>
          <w:rFonts w:ascii="Times New Roman" w:hAnsi="Times New Roman" w:cs="Times New Roman"/>
          <w:color w:val="000000"/>
        </w:rPr>
        <w:t xml:space="preserve"> Allcott, H., &amp; Gentzkow, M. (2017). Social media and fake news in the 2016 election. Journal of Economic Perspectives, 31(2), 211–236. </w:t>
      </w:r>
      <w:hyperlink r:id="rId6" w:history="1">
        <w:r>
          <w:rPr>
            <w:rStyle w:val="Hyperlink"/>
            <w:rFonts w:ascii="Times New Roman" w:hAnsi="Times New Roman" w:cs="Times New Roman"/>
            <w:color w:val="000000"/>
          </w:rPr>
          <w:t>https://doi.org/10.1257/jep.31.2.211</w:t>
        </w:r>
      </w:hyperlink>
    </w:p>
    <w:p w14:paraId="3894EE14" w14:textId="77777777" w:rsidR="00354DFA" w:rsidRDefault="00354DFA" w:rsidP="00354DFA">
      <w:pPr>
        <w:pStyle w:val="FirstParagraph"/>
        <w:numPr>
          <w:ilvl w:val="0"/>
          <w:numId w:val="2"/>
        </w:numPr>
        <w:ind w:left="360" w:hangingChars="150" w:hanging="360"/>
        <w:jc w:val="both"/>
        <w:rPr>
          <w:rFonts w:ascii="Times New Roman" w:hAnsi="Times New Roman" w:cs="Times New Roman"/>
          <w:color w:val="000000"/>
        </w:rPr>
      </w:pPr>
      <w:r>
        <w:rPr>
          <w:rFonts w:ascii="Times New Roman" w:hAnsi="Times New Roman" w:cs="Times New Roman"/>
          <w:color w:val="000000"/>
        </w:rPr>
        <w:t>Argyris, C. (1990). Overcoming organizational defenses: Facilitating organizational learning. Allyn &amp; Bacon.</w:t>
      </w:r>
    </w:p>
    <w:p w14:paraId="447E39FA" w14:textId="77777777" w:rsidR="00354DFA" w:rsidRDefault="00354DFA" w:rsidP="00354DFA">
      <w:pPr>
        <w:pStyle w:val="FirstParagraph"/>
        <w:numPr>
          <w:ilvl w:val="0"/>
          <w:numId w:val="2"/>
        </w:numPr>
        <w:ind w:left="360" w:hangingChars="150" w:hanging="360"/>
        <w:jc w:val="both"/>
        <w:rPr>
          <w:rFonts w:ascii="Times New Roman" w:hAnsi="Times New Roman" w:cs="Times New Roman"/>
          <w:color w:val="000000"/>
        </w:rPr>
      </w:pPr>
      <w:r>
        <w:rPr>
          <w:rFonts w:ascii="Times New Roman" w:hAnsi="Times New Roman" w:cs="Times New Roman"/>
          <w:color w:val="000000"/>
        </w:rPr>
        <w:t xml:space="preserve">Beauchamp, T. L., &amp; Childress, J. F. (2019). Principles of biomedical ethics (8th ed.). Oxford University Press. </w:t>
      </w:r>
      <w:hyperlink r:id="rId7" w:history="1">
        <w:r>
          <w:rPr>
            <w:rStyle w:val="Hyperlink"/>
            <w:rFonts w:ascii="Times New Roman" w:hAnsi="Times New Roman" w:cs="Times New Roman"/>
            <w:color w:val="000000"/>
          </w:rPr>
          <w:t>https://doi.org/10.1093/med/9780190640873.001.0001</w:t>
        </w:r>
      </w:hyperlink>
    </w:p>
    <w:p w14:paraId="3982F4F3" w14:textId="77777777" w:rsidR="00354DFA" w:rsidRDefault="00354DFA" w:rsidP="00354DFA">
      <w:pPr>
        <w:pStyle w:val="FirstParagraph"/>
        <w:numPr>
          <w:ilvl w:val="0"/>
          <w:numId w:val="2"/>
        </w:numPr>
        <w:ind w:left="360" w:hangingChars="150" w:hanging="360"/>
        <w:jc w:val="both"/>
        <w:rPr>
          <w:rFonts w:ascii="Times New Roman" w:hAnsi="Times New Roman" w:cs="Times New Roman"/>
          <w:color w:val="000000"/>
        </w:rPr>
      </w:pPr>
      <w:r>
        <w:rPr>
          <w:rFonts w:ascii="Times New Roman" w:hAnsi="Times New Roman" w:cs="Times New Roman"/>
          <w:color w:val="000000"/>
        </w:rPr>
        <w:t>Budlender, S., Marcus, G., &amp; Spitz, D. (2021). Public interest litigation and dispute resolution in Africa’s public sector. South African Journal on Human Rights.</w:t>
      </w:r>
    </w:p>
    <w:p w14:paraId="6FFBF2E7" w14:textId="77777777" w:rsidR="00354DFA" w:rsidRDefault="00354DFA" w:rsidP="00354DFA">
      <w:pPr>
        <w:pStyle w:val="FirstParagraph"/>
        <w:numPr>
          <w:ilvl w:val="0"/>
          <w:numId w:val="2"/>
        </w:numPr>
        <w:ind w:left="360" w:hangingChars="150" w:hanging="360"/>
        <w:jc w:val="both"/>
        <w:rPr>
          <w:rFonts w:ascii="Times New Roman" w:hAnsi="Times New Roman" w:cs="Times New Roman"/>
          <w:color w:val="000000"/>
        </w:rPr>
      </w:pPr>
      <w:r>
        <w:rPr>
          <w:rFonts w:ascii="Times New Roman" w:hAnsi="Times New Roman" w:cs="Times New Roman"/>
          <w:color w:val="000000"/>
        </w:rPr>
        <w:t xml:space="preserve">Cinelli, M., Quattrociocchi, W., Galeazzi, A., Valensise, C. M., Brugnoli, E., Schmidt, A. L., ... &amp; Scala, A. (2020). The COVID-19 social media infodemic. Scientific Reports, 10(1), 16598. </w:t>
      </w:r>
      <w:hyperlink r:id="rId8" w:history="1">
        <w:r>
          <w:rPr>
            <w:rStyle w:val="Hyperlink"/>
            <w:rFonts w:ascii="Times New Roman" w:hAnsi="Times New Roman" w:cs="Times New Roman"/>
            <w:color w:val="000000"/>
          </w:rPr>
          <w:t>https://doi.org/10.1038/s41598-020-73510-5</w:t>
        </w:r>
      </w:hyperlink>
    </w:p>
    <w:p w14:paraId="2FA285F3" w14:textId="77777777" w:rsidR="00354DFA" w:rsidRDefault="00354DFA" w:rsidP="00354DFA">
      <w:pPr>
        <w:pStyle w:val="FirstParagraph"/>
        <w:numPr>
          <w:ilvl w:val="0"/>
          <w:numId w:val="2"/>
        </w:numPr>
        <w:ind w:left="360" w:hangingChars="150" w:hanging="360"/>
        <w:jc w:val="both"/>
        <w:rPr>
          <w:rFonts w:ascii="Times New Roman" w:hAnsi="Times New Roman" w:cs="Times New Roman"/>
          <w:color w:val="000000"/>
        </w:rPr>
      </w:pPr>
      <w:r>
        <w:rPr>
          <w:rFonts w:ascii="Times New Roman" w:hAnsi="Times New Roman" w:cs="Times New Roman"/>
          <w:color w:val="000000"/>
        </w:rPr>
        <w:t>Cressey, D. R. (1953). Other people’s money: A study in the social psychology of embezzlement. Free Press.</w:t>
      </w:r>
    </w:p>
    <w:p w14:paraId="08F982D6" w14:textId="77777777" w:rsidR="00354DFA" w:rsidRDefault="00354DFA" w:rsidP="00354DFA">
      <w:pPr>
        <w:pStyle w:val="FirstParagraph"/>
        <w:numPr>
          <w:ilvl w:val="0"/>
          <w:numId w:val="2"/>
        </w:numPr>
        <w:ind w:left="360" w:hangingChars="150" w:hanging="360"/>
        <w:jc w:val="both"/>
        <w:rPr>
          <w:rFonts w:ascii="Times New Roman" w:hAnsi="Times New Roman" w:cs="Times New Roman"/>
          <w:color w:val="000000"/>
        </w:rPr>
      </w:pPr>
      <w:r>
        <w:rPr>
          <w:rFonts w:ascii="Times New Roman" w:hAnsi="Times New Roman" w:cs="Times New Roman"/>
          <w:color w:val="000000"/>
        </w:rPr>
        <w:t>Creswell, J. W. (2013). Qualitative inquiry and research design: Choosing among five approaches (3rd ed.). SAGE.</w:t>
      </w:r>
    </w:p>
    <w:p w14:paraId="671D1120" w14:textId="77777777" w:rsidR="00354DFA" w:rsidRDefault="00354DFA" w:rsidP="00354DFA">
      <w:pPr>
        <w:pStyle w:val="FirstParagraph"/>
        <w:numPr>
          <w:ilvl w:val="0"/>
          <w:numId w:val="2"/>
        </w:numPr>
        <w:ind w:left="360" w:hangingChars="150" w:hanging="360"/>
        <w:jc w:val="both"/>
        <w:rPr>
          <w:rFonts w:ascii="Times New Roman" w:hAnsi="Times New Roman" w:cs="Times New Roman"/>
          <w:color w:val="000000"/>
        </w:rPr>
      </w:pPr>
      <w:r>
        <w:rPr>
          <w:rFonts w:ascii="Times New Roman" w:hAnsi="Times New Roman" w:cs="Times New Roman"/>
          <w:color w:val="000000"/>
        </w:rPr>
        <w:lastRenderedPageBreak/>
        <w:t xml:space="preserve">European Commission. (2018). Tackling online disinformation: A European approach. European Commission. </w:t>
      </w:r>
      <w:hyperlink r:id="rId9" w:history="1">
        <w:r>
          <w:rPr>
            <w:rStyle w:val="Hyperlink"/>
            <w:rFonts w:ascii="Times New Roman" w:hAnsi="Times New Roman" w:cs="Times New Roman"/>
            <w:color w:val="000000"/>
          </w:rPr>
          <w:t>https://eur-lex.europa.eu/legal-content/EN/TXT/?uri=CELEX%3A52018DC0236</w:t>
        </w:r>
      </w:hyperlink>
    </w:p>
    <w:p w14:paraId="6126DA1B" w14:textId="77777777" w:rsidR="00354DFA" w:rsidRDefault="00354DFA" w:rsidP="00354DFA">
      <w:pPr>
        <w:pStyle w:val="FirstParagraph"/>
        <w:numPr>
          <w:ilvl w:val="0"/>
          <w:numId w:val="2"/>
        </w:numPr>
        <w:ind w:left="360" w:hangingChars="150" w:hanging="360"/>
        <w:jc w:val="both"/>
        <w:rPr>
          <w:rFonts w:ascii="Times New Roman" w:hAnsi="Times New Roman" w:cs="Times New Roman"/>
          <w:color w:val="000000"/>
        </w:rPr>
      </w:pPr>
      <w:r>
        <w:rPr>
          <w:rFonts w:ascii="Times New Roman" w:hAnsi="Times New Roman" w:cs="Times New Roman"/>
          <w:color w:val="000000"/>
        </w:rPr>
        <w:t xml:space="preserve">Farkas, J., &amp; Schou, J. (2019). Post-truth, fake news and democracy: Mapping the politics of falsehood. Routledge. </w:t>
      </w:r>
      <w:hyperlink r:id="rId10" w:history="1">
        <w:r>
          <w:rPr>
            <w:rStyle w:val="Hyperlink"/>
            <w:rFonts w:ascii="Times New Roman" w:hAnsi="Times New Roman" w:cs="Times New Roman"/>
            <w:color w:val="000000"/>
          </w:rPr>
          <w:t>https://doi.org/10.4324/9780429467260</w:t>
        </w:r>
      </w:hyperlink>
    </w:p>
    <w:p w14:paraId="2A8A23B6" w14:textId="77777777" w:rsidR="00354DFA" w:rsidRDefault="00354DFA" w:rsidP="00354DFA">
      <w:pPr>
        <w:pStyle w:val="FirstParagraph"/>
        <w:numPr>
          <w:ilvl w:val="0"/>
          <w:numId w:val="2"/>
        </w:numPr>
        <w:ind w:left="360" w:hangingChars="150" w:hanging="360"/>
        <w:jc w:val="both"/>
        <w:rPr>
          <w:rFonts w:ascii="Times New Roman" w:hAnsi="Times New Roman" w:cs="Times New Roman"/>
          <w:color w:val="000000"/>
        </w:rPr>
      </w:pPr>
      <w:r>
        <w:rPr>
          <w:rFonts w:ascii="Times New Roman" w:hAnsi="Times New Roman" w:cs="Times New Roman"/>
          <w:color w:val="000000"/>
        </w:rPr>
        <w:t xml:space="preserve">Friedrich, B., &amp; Friedrich, L. (2024). Accounting ethics: Managing mis- and disinformation through professional skepticism. ProDio Audio Learning. </w:t>
      </w:r>
      <w:hyperlink r:id="rId11" w:history="1">
        <w:r>
          <w:rPr>
            <w:rStyle w:val="Hyperlink"/>
            <w:rFonts w:ascii="Times New Roman" w:hAnsi="Times New Roman" w:cs="Times New Roman"/>
            <w:color w:val="000000"/>
          </w:rPr>
          <w:t>https://www.prodiolearning.com/</w:t>
        </w:r>
      </w:hyperlink>
    </w:p>
    <w:p w14:paraId="1088D829" w14:textId="77777777" w:rsidR="00354DFA" w:rsidRDefault="00354DFA" w:rsidP="00354DFA">
      <w:pPr>
        <w:pStyle w:val="FirstParagraph"/>
        <w:numPr>
          <w:ilvl w:val="0"/>
          <w:numId w:val="2"/>
        </w:numPr>
        <w:ind w:left="360" w:hangingChars="150" w:hanging="360"/>
        <w:jc w:val="both"/>
        <w:rPr>
          <w:rFonts w:ascii="Times New Roman" w:hAnsi="Times New Roman" w:cs="Times New Roman"/>
          <w:color w:val="000000"/>
        </w:rPr>
      </w:pPr>
      <w:r>
        <w:rPr>
          <w:rFonts w:ascii="Times New Roman" w:hAnsi="Times New Roman" w:cs="Times New Roman"/>
          <w:color w:val="000000"/>
        </w:rPr>
        <w:t>Gandja, S. V., Estay, C., &amp; Tchankam, J.-P. (2015). Alternative finance for micro-enterprises: A foundation for sustainable development or just a mirage? Journal of Small Business and Enterprise Development, 22(4), 700–718.</w:t>
      </w:r>
    </w:p>
    <w:p w14:paraId="6CD9449B" w14:textId="77777777" w:rsidR="00354DFA" w:rsidRDefault="00354DFA" w:rsidP="00354DFA">
      <w:pPr>
        <w:pStyle w:val="FirstParagraph"/>
        <w:numPr>
          <w:ilvl w:val="0"/>
          <w:numId w:val="2"/>
        </w:numPr>
        <w:ind w:left="360" w:hangingChars="150" w:hanging="360"/>
        <w:jc w:val="both"/>
        <w:rPr>
          <w:rFonts w:ascii="Times New Roman" w:hAnsi="Times New Roman" w:cs="Times New Roman"/>
          <w:color w:val="000000"/>
        </w:rPr>
      </w:pPr>
      <w:r>
        <w:rPr>
          <w:rFonts w:ascii="Times New Roman" w:hAnsi="Times New Roman" w:cs="Times New Roman"/>
          <w:color w:val="000000"/>
        </w:rPr>
        <w:t xml:space="preserve">Healy, P. M., &amp; Palepu, K. G. (2003). The fall of Enron. Journal of Economic Perspectives, 17(2), 3–26. </w:t>
      </w:r>
      <w:hyperlink r:id="rId12" w:history="1">
        <w:r>
          <w:rPr>
            <w:rStyle w:val="Hyperlink"/>
            <w:rFonts w:ascii="Times New Roman" w:hAnsi="Times New Roman" w:cs="Times New Roman"/>
            <w:color w:val="000000"/>
          </w:rPr>
          <w:t>https://doi.org/10.1257/089533003765888403</w:t>
        </w:r>
      </w:hyperlink>
    </w:p>
    <w:p w14:paraId="6629D27C" w14:textId="77777777" w:rsidR="00354DFA" w:rsidRDefault="00354DFA" w:rsidP="00354DFA">
      <w:pPr>
        <w:pStyle w:val="FirstParagraph"/>
        <w:numPr>
          <w:ilvl w:val="0"/>
          <w:numId w:val="2"/>
        </w:numPr>
        <w:ind w:left="360" w:hangingChars="150" w:hanging="360"/>
        <w:jc w:val="both"/>
        <w:rPr>
          <w:rFonts w:ascii="Times New Roman" w:hAnsi="Times New Roman" w:cs="Times New Roman"/>
          <w:color w:val="000000"/>
        </w:rPr>
      </w:pPr>
      <w:r>
        <w:rPr>
          <w:rFonts w:ascii="Times New Roman" w:hAnsi="Times New Roman" w:cs="Times New Roman"/>
          <w:color w:val="000000"/>
        </w:rPr>
        <w:t>Hutchinson, M., &amp; Jackson, D. (2015). The construction and legitimation of workplace bullying in the public sector: Insight into power dynamics and organisational failures in health and social care. Nursing Inquiry, 22(1), 13–26.</w:t>
      </w:r>
    </w:p>
    <w:p w14:paraId="6D7CD9B4" w14:textId="77777777" w:rsidR="00354DFA" w:rsidRDefault="00354DFA" w:rsidP="00354DFA">
      <w:pPr>
        <w:pStyle w:val="FirstParagraph"/>
        <w:numPr>
          <w:ilvl w:val="0"/>
          <w:numId w:val="2"/>
        </w:numPr>
        <w:ind w:left="360" w:hangingChars="150" w:hanging="360"/>
        <w:jc w:val="both"/>
        <w:rPr>
          <w:rFonts w:ascii="Times New Roman" w:hAnsi="Times New Roman" w:cs="Times New Roman"/>
          <w:color w:val="000000"/>
        </w:rPr>
      </w:pPr>
      <w:r>
        <w:rPr>
          <w:rFonts w:ascii="Times New Roman" w:hAnsi="Times New Roman" w:cs="Times New Roman"/>
          <w:color w:val="000000"/>
        </w:rPr>
        <w:t>IAASB. (2015). Handbook of international quality control, auditing, review, other assurance, and related services pronouncements. International Federation of Accountants.</w:t>
      </w:r>
      <w:hyperlink r:id="rId13" w:history="1">
        <w:r>
          <w:rPr>
            <w:rStyle w:val="Hyperlink"/>
            <w:rFonts w:ascii="Times New Roman" w:hAnsi="Times New Roman" w:cs="Times New Roman"/>
            <w:color w:val="000000"/>
          </w:rPr>
          <w:t>https://www.ifac.org/publications-resources/2015-handbook-international-quality-control</w:t>
        </w:r>
      </w:hyperlink>
    </w:p>
    <w:p w14:paraId="69B8B57D" w14:textId="77777777" w:rsidR="00354DFA" w:rsidRDefault="00354DFA" w:rsidP="00354DFA">
      <w:pPr>
        <w:pStyle w:val="FirstParagraph"/>
        <w:numPr>
          <w:ilvl w:val="0"/>
          <w:numId w:val="2"/>
        </w:numPr>
        <w:ind w:left="360" w:hangingChars="150" w:hanging="360"/>
        <w:jc w:val="both"/>
        <w:rPr>
          <w:rFonts w:ascii="Times New Roman" w:hAnsi="Times New Roman" w:cs="Times New Roman"/>
          <w:color w:val="000000"/>
        </w:rPr>
      </w:pPr>
      <w:r>
        <w:rPr>
          <w:rFonts w:ascii="Times New Roman" w:hAnsi="Times New Roman" w:cs="Times New Roman"/>
          <w:color w:val="000000"/>
        </w:rPr>
        <w:t xml:space="preserve">Interpol. (2021). Cybercrime in Africa: Threats and trends. International Criminal Police Organization. </w:t>
      </w:r>
      <w:hyperlink r:id="rId14" w:history="1">
        <w:r>
          <w:rPr>
            <w:rStyle w:val="Hyperlink"/>
            <w:rFonts w:ascii="Times New Roman" w:hAnsi="Times New Roman" w:cs="Times New Roman"/>
            <w:color w:val="000000"/>
          </w:rPr>
          <w:t>https://www.interpol.int/en/Crimes/Cybercrime/Cybercrime-in-Africa</w:t>
        </w:r>
      </w:hyperlink>
    </w:p>
    <w:p w14:paraId="6E177A36" w14:textId="77777777" w:rsidR="00354DFA" w:rsidRDefault="00354DFA" w:rsidP="00354DFA">
      <w:pPr>
        <w:pStyle w:val="FirstParagraph"/>
        <w:numPr>
          <w:ilvl w:val="0"/>
          <w:numId w:val="2"/>
        </w:numPr>
        <w:ind w:left="360" w:hangingChars="150" w:hanging="360"/>
        <w:jc w:val="both"/>
        <w:rPr>
          <w:rFonts w:ascii="Times New Roman" w:hAnsi="Times New Roman" w:cs="Times New Roman"/>
          <w:color w:val="000000"/>
        </w:rPr>
      </w:pPr>
      <w:r>
        <w:rPr>
          <w:rFonts w:ascii="Times New Roman" w:hAnsi="Times New Roman" w:cs="Times New Roman"/>
          <w:color w:val="000000"/>
        </w:rPr>
        <w:t xml:space="preserve">Kahneman, D. (2011). Thinking, fast and slow. Farrar, Straus and Giroux. </w:t>
      </w:r>
      <w:hyperlink r:id="rId15" w:history="1">
        <w:r>
          <w:rPr>
            <w:rStyle w:val="Hyperlink"/>
            <w:rFonts w:ascii="Times New Roman" w:hAnsi="Times New Roman" w:cs="Times New Roman"/>
            <w:color w:val="000000"/>
          </w:rPr>
          <w:t>https://doi.org/10.1037/e400002014-001</w:t>
        </w:r>
      </w:hyperlink>
    </w:p>
    <w:p w14:paraId="15B868D9" w14:textId="77777777" w:rsidR="00354DFA" w:rsidRDefault="00354DFA" w:rsidP="00354DFA">
      <w:pPr>
        <w:pStyle w:val="FirstParagraph"/>
        <w:numPr>
          <w:ilvl w:val="0"/>
          <w:numId w:val="2"/>
        </w:numPr>
        <w:ind w:left="360" w:hangingChars="150" w:hanging="360"/>
        <w:jc w:val="both"/>
        <w:rPr>
          <w:rFonts w:ascii="Times New Roman" w:hAnsi="Times New Roman" w:cs="Times New Roman"/>
          <w:color w:val="000000"/>
        </w:rPr>
      </w:pPr>
      <w:r>
        <w:rPr>
          <w:rFonts w:ascii="Times New Roman" w:hAnsi="Times New Roman" w:cs="Times New Roman"/>
          <w:color w:val="000000"/>
        </w:rPr>
        <w:t xml:space="preserve">Kenton, W. (2020). Financial misrepresentation. Investopedia. </w:t>
      </w:r>
      <w:hyperlink r:id="rId16" w:history="1">
        <w:r>
          <w:rPr>
            <w:rStyle w:val="Hyperlink"/>
            <w:rFonts w:ascii="Times New Roman" w:hAnsi="Times New Roman" w:cs="Times New Roman"/>
            <w:color w:val="000000"/>
          </w:rPr>
          <w:t>https://www.investopedia.com/terms/f/financial-misrepresentation.asp</w:t>
        </w:r>
      </w:hyperlink>
    </w:p>
    <w:p w14:paraId="5E9B10CA" w14:textId="77777777" w:rsidR="00354DFA" w:rsidRDefault="00354DFA" w:rsidP="00354DFA">
      <w:pPr>
        <w:pStyle w:val="FirstParagraph"/>
        <w:numPr>
          <w:ilvl w:val="0"/>
          <w:numId w:val="2"/>
        </w:numPr>
        <w:ind w:left="360" w:hangingChars="150" w:hanging="360"/>
        <w:jc w:val="both"/>
        <w:rPr>
          <w:rFonts w:ascii="Times New Roman" w:hAnsi="Times New Roman" w:cs="Times New Roman"/>
          <w:color w:val="000000"/>
        </w:rPr>
      </w:pPr>
      <w:r>
        <w:rPr>
          <w:rFonts w:ascii="Times New Roman" w:hAnsi="Times New Roman" w:cs="Times New Roman"/>
          <w:color w:val="000000"/>
        </w:rPr>
        <w:t>Knechel, W. R., Krishnan, G. V., Pevzner, M., Shefchik, L., &amp; Velury, U. (2013). Audit quality: Insights from the academic literature. Auditing: A Journal of Practice &amp; Theory, 32(S1), 385–421.</w:t>
      </w:r>
    </w:p>
    <w:p w14:paraId="7DE00BEA" w14:textId="77777777" w:rsidR="00354DFA" w:rsidRDefault="00354DFA" w:rsidP="00354DFA">
      <w:pPr>
        <w:pStyle w:val="FirstParagraph"/>
        <w:numPr>
          <w:ilvl w:val="0"/>
          <w:numId w:val="2"/>
        </w:numPr>
        <w:ind w:left="360" w:hangingChars="150" w:hanging="360"/>
        <w:jc w:val="both"/>
        <w:rPr>
          <w:rFonts w:ascii="Times New Roman" w:hAnsi="Times New Roman" w:cs="Times New Roman"/>
          <w:color w:val="000000"/>
        </w:rPr>
      </w:pPr>
      <w:r>
        <w:rPr>
          <w:rFonts w:ascii="Times New Roman" w:hAnsi="Times New Roman" w:cs="Times New Roman"/>
          <w:color w:val="000000"/>
        </w:rPr>
        <w:t>Lazer, D. M. J., Baum, M. A., Benkler, Y., Berinsky, A. J., Greenhill, K. M., Menczer, F., ... &amp; Zittrain, J. L. (2018). The science of fake news. Science, 359(6380), 1094–1096. https://doi.org/10.1126/science.aao2998</w:t>
      </w:r>
    </w:p>
    <w:p w14:paraId="17361DDA" w14:textId="77777777" w:rsidR="00354DFA" w:rsidRDefault="00354DFA" w:rsidP="00354DFA">
      <w:pPr>
        <w:pStyle w:val="FirstParagraph"/>
        <w:numPr>
          <w:ilvl w:val="0"/>
          <w:numId w:val="2"/>
        </w:numPr>
        <w:ind w:left="360" w:hangingChars="150" w:hanging="360"/>
        <w:jc w:val="both"/>
        <w:rPr>
          <w:rFonts w:ascii="Times New Roman" w:hAnsi="Times New Roman" w:cs="Times New Roman"/>
          <w:color w:val="000000"/>
        </w:rPr>
      </w:pPr>
      <w:r>
        <w:rPr>
          <w:rFonts w:ascii="Times New Roman" w:hAnsi="Times New Roman" w:cs="Times New Roman"/>
          <w:color w:val="000000"/>
        </w:rPr>
        <w:t xml:space="preserve">Lewandowsky, S., Ecker, U. K. H., &amp; Cook, J. (2017). Beyond misinformation: Understanding and coping with the post-truth era. Journal of Applied Research in Memory and Cognition, 6(4), 353–369. </w:t>
      </w:r>
      <w:hyperlink r:id="rId17" w:history="1">
        <w:r>
          <w:rPr>
            <w:rStyle w:val="Hyperlink"/>
            <w:rFonts w:ascii="Times New Roman" w:hAnsi="Times New Roman" w:cs="Times New Roman"/>
            <w:color w:val="000000"/>
          </w:rPr>
          <w:t>https://doi.org/10.1016/j.jarmac.2017.07.008</w:t>
        </w:r>
      </w:hyperlink>
    </w:p>
    <w:p w14:paraId="1223E1D4" w14:textId="77777777" w:rsidR="00354DFA" w:rsidRDefault="00354DFA" w:rsidP="00354DFA">
      <w:pPr>
        <w:pStyle w:val="FirstParagraph"/>
        <w:numPr>
          <w:ilvl w:val="0"/>
          <w:numId w:val="2"/>
        </w:numPr>
        <w:ind w:left="360" w:hangingChars="150" w:hanging="360"/>
        <w:jc w:val="both"/>
        <w:rPr>
          <w:rFonts w:ascii="Times New Roman" w:hAnsi="Times New Roman" w:cs="Times New Roman"/>
          <w:color w:val="000000"/>
        </w:rPr>
      </w:pPr>
      <w:r>
        <w:rPr>
          <w:rFonts w:ascii="Times New Roman" w:hAnsi="Times New Roman" w:cs="Times New Roman"/>
          <w:color w:val="000000"/>
        </w:rPr>
        <w:t xml:space="preserve">MacIntyre, A. (2007). After virtue: A study in moral theory (3rd ed.). University of Notre Dame Press. </w:t>
      </w:r>
      <w:hyperlink r:id="rId18" w:history="1">
        <w:r>
          <w:rPr>
            <w:rStyle w:val="Hyperlink"/>
            <w:rFonts w:ascii="Times New Roman" w:hAnsi="Times New Roman" w:cs="Times New Roman"/>
            <w:color w:val="000000"/>
          </w:rPr>
          <w:t>https://doi.org/10.7208/chicago/9780226556988.001.0001</w:t>
        </w:r>
      </w:hyperlink>
    </w:p>
    <w:p w14:paraId="059B4D3F" w14:textId="77777777" w:rsidR="00354DFA" w:rsidRDefault="00354DFA" w:rsidP="00354DFA">
      <w:pPr>
        <w:pStyle w:val="FirstParagraph"/>
        <w:numPr>
          <w:ilvl w:val="0"/>
          <w:numId w:val="2"/>
        </w:numPr>
        <w:ind w:left="360" w:hangingChars="150" w:hanging="360"/>
        <w:jc w:val="both"/>
        <w:rPr>
          <w:rFonts w:ascii="Times New Roman" w:hAnsi="Times New Roman" w:cs="Times New Roman"/>
          <w:color w:val="000000"/>
        </w:rPr>
      </w:pPr>
      <w:r>
        <w:rPr>
          <w:rFonts w:ascii="Times New Roman" w:hAnsi="Times New Roman" w:cs="Times New Roman"/>
          <w:color w:val="000000"/>
        </w:rPr>
        <w:t>Matlala, L. S., &amp; Uwizeyimana, D. E. (2020). Factors influencing the implementation of the auditor general’s recommendations in South African municipalities. African Evaluation Journal, 8(1), a464.</w:t>
      </w:r>
    </w:p>
    <w:p w14:paraId="31EF2B73" w14:textId="77777777" w:rsidR="00354DFA" w:rsidRDefault="00354DFA" w:rsidP="00354DFA">
      <w:pPr>
        <w:pStyle w:val="FirstParagraph"/>
        <w:numPr>
          <w:ilvl w:val="0"/>
          <w:numId w:val="2"/>
        </w:numPr>
        <w:ind w:left="360" w:hangingChars="150" w:hanging="360"/>
        <w:jc w:val="both"/>
        <w:rPr>
          <w:rFonts w:ascii="Times New Roman" w:hAnsi="Times New Roman" w:cs="Times New Roman"/>
          <w:color w:val="000000"/>
        </w:rPr>
      </w:pPr>
      <w:r>
        <w:rPr>
          <w:rFonts w:ascii="Times New Roman" w:hAnsi="Times New Roman" w:cs="Times New Roman"/>
          <w:color w:val="000000"/>
        </w:rPr>
        <w:lastRenderedPageBreak/>
        <w:t>Near, J. P., &amp; Miceli, M. P. (2016). After the wrongdoing: What managers should know about whistle-blowing. Business Horizons, 59(1), 105–114.</w:t>
      </w:r>
    </w:p>
    <w:p w14:paraId="3F62B225" w14:textId="77777777" w:rsidR="00354DFA" w:rsidRDefault="00354DFA" w:rsidP="00354DFA">
      <w:pPr>
        <w:pStyle w:val="FirstParagraph"/>
        <w:numPr>
          <w:ilvl w:val="0"/>
          <w:numId w:val="2"/>
        </w:numPr>
        <w:ind w:left="360" w:hangingChars="150" w:hanging="360"/>
        <w:jc w:val="both"/>
        <w:rPr>
          <w:rFonts w:ascii="Times New Roman" w:hAnsi="Times New Roman" w:cs="Times New Roman"/>
          <w:color w:val="000000"/>
        </w:rPr>
      </w:pPr>
      <w:r>
        <w:rPr>
          <w:rFonts w:ascii="Times New Roman" w:hAnsi="Times New Roman" w:cs="Times New Roman"/>
          <w:color w:val="000000"/>
        </w:rPr>
        <w:t>Nelson, M. W. (2009). A model and literature review of professional skepticism in auditing. Auditing: A Journal of Practice &amp; Theory, 28(2), 1–34.</w:t>
      </w:r>
    </w:p>
    <w:p w14:paraId="48590756" w14:textId="77777777" w:rsidR="00354DFA" w:rsidRDefault="00354DFA" w:rsidP="00354DFA">
      <w:pPr>
        <w:pStyle w:val="FirstParagraph"/>
        <w:numPr>
          <w:ilvl w:val="0"/>
          <w:numId w:val="2"/>
        </w:numPr>
        <w:ind w:left="360" w:hangingChars="150" w:hanging="360"/>
        <w:jc w:val="both"/>
        <w:rPr>
          <w:rFonts w:ascii="Times New Roman" w:hAnsi="Times New Roman" w:cs="Times New Roman"/>
          <w:color w:val="000000"/>
        </w:rPr>
      </w:pPr>
      <w:r>
        <w:rPr>
          <w:rFonts w:ascii="Times New Roman" w:hAnsi="Times New Roman" w:cs="Times New Roman"/>
          <w:color w:val="000000"/>
        </w:rPr>
        <w:t xml:space="preserve">Ngwa, W., Ngwa, G., &amp; Tih, P. (2021). Combating vaccine misinformation in Cameroon. African Journal of Health Communication, 4(2), 55–67. </w:t>
      </w:r>
      <w:hyperlink r:id="rId19" w:history="1">
        <w:r>
          <w:rPr>
            <w:rStyle w:val="Hyperlink"/>
            <w:rFonts w:ascii="Times New Roman" w:hAnsi="Times New Roman" w:cs="Times New Roman"/>
            <w:color w:val="000000"/>
          </w:rPr>
          <w:t>https://ajhc.journals.org/article/view/2021-vaccine-misinformation</w:t>
        </w:r>
      </w:hyperlink>
    </w:p>
    <w:p w14:paraId="1A7B5C8A" w14:textId="77777777" w:rsidR="00354DFA" w:rsidRDefault="00354DFA" w:rsidP="00354DFA">
      <w:pPr>
        <w:pStyle w:val="FirstParagraph"/>
        <w:numPr>
          <w:ilvl w:val="0"/>
          <w:numId w:val="2"/>
        </w:numPr>
        <w:ind w:left="360" w:hangingChars="150" w:hanging="360"/>
        <w:jc w:val="both"/>
        <w:rPr>
          <w:rFonts w:ascii="Times New Roman" w:hAnsi="Times New Roman" w:cs="Times New Roman"/>
          <w:color w:val="000000"/>
        </w:rPr>
      </w:pPr>
      <w:r>
        <w:rPr>
          <w:rFonts w:ascii="Times New Roman" w:hAnsi="Times New Roman" w:cs="Times New Roman"/>
          <w:color w:val="000000"/>
        </w:rPr>
        <w:t xml:space="preserve">Nkengasong, J. N., &amp; Mankoula, W. (2020). Looming threat of COVID-19 infection in Africa: Act collectively, and fast. The Lancet, 395(10227), 841–842. </w:t>
      </w:r>
      <w:hyperlink r:id="rId20" w:history="1">
        <w:r>
          <w:rPr>
            <w:rStyle w:val="Hyperlink"/>
            <w:rFonts w:ascii="Times New Roman" w:hAnsi="Times New Roman" w:cs="Times New Roman"/>
            <w:color w:val="000000"/>
          </w:rPr>
          <w:t>https://doi.org/10.1016/S0140-6736(20)30464-5</w:t>
        </w:r>
      </w:hyperlink>
    </w:p>
    <w:p w14:paraId="0999DC00" w14:textId="77777777" w:rsidR="00354DFA" w:rsidRDefault="00354DFA" w:rsidP="00354DFA">
      <w:pPr>
        <w:pStyle w:val="FirstParagraph"/>
        <w:numPr>
          <w:ilvl w:val="0"/>
          <w:numId w:val="2"/>
        </w:numPr>
        <w:ind w:left="360" w:hangingChars="150" w:hanging="360"/>
        <w:jc w:val="both"/>
        <w:rPr>
          <w:rFonts w:ascii="Times New Roman" w:hAnsi="Times New Roman" w:cs="Times New Roman"/>
          <w:color w:val="000000"/>
        </w:rPr>
      </w:pPr>
      <w:r>
        <w:rPr>
          <w:rFonts w:ascii="Times New Roman" w:hAnsi="Times New Roman" w:cs="Times New Roman"/>
          <w:color w:val="000000"/>
        </w:rPr>
        <w:t xml:space="preserve">OECD. (2018). New approaches to economic challenges: Trust and public policy. </w:t>
      </w:r>
      <w:r>
        <w:rPr>
          <w:rFonts w:ascii="Times New Roman" w:hAnsi="Times New Roman" w:cs="Times New Roman"/>
          <w:color w:val="000000"/>
          <w:lang w:val="en-US"/>
        </w:rPr>
        <w:t>Organization</w:t>
      </w:r>
      <w:r>
        <w:rPr>
          <w:rFonts w:ascii="Times New Roman" w:hAnsi="Times New Roman" w:cs="Times New Roman"/>
          <w:color w:val="000000"/>
        </w:rPr>
        <w:t xml:space="preserve"> for Economic Co-operation and Development. </w:t>
      </w:r>
      <w:hyperlink r:id="rId21" w:history="1">
        <w:r>
          <w:rPr>
            <w:rStyle w:val="Hyperlink"/>
            <w:rFonts w:ascii="Times New Roman" w:hAnsi="Times New Roman" w:cs="Times New Roman"/>
            <w:color w:val="000000"/>
          </w:rPr>
          <w:t>https://doi.org/10.1787/9789264303039-en</w:t>
        </w:r>
      </w:hyperlink>
    </w:p>
    <w:p w14:paraId="6E999283" w14:textId="77777777" w:rsidR="00354DFA" w:rsidRDefault="00354DFA" w:rsidP="00354DFA">
      <w:pPr>
        <w:pStyle w:val="FirstParagraph"/>
        <w:numPr>
          <w:ilvl w:val="0"/>
          <w:numId w:val="2"/>
        </w:numPr>
        <w:ind w:left="360" w:hangingChars="150" w:hanging="360"/>
        <w:jc w:val="both"/>
        <w:rPr>
          <w:rFonts w:ascii="Times New Roman" w:hAnsi="Times New Roman" w:cs="Times New Roman"/>
          <w:color w:val="000000"/>
        </w:rPr>
      </w:pPr>
      <w:r>
        <w:rPr>
          <w:rFonts w:ascii="Times New Roman" w:hAnsi="Times New Roman" w:cs="Times New Roman"/>
          <w:color w:val="000000"/>
        </w:rPr>
        <w:t>Payne, E. A., &amp; Ramsay, R. J. (2005). Fraud risk assessments and auditors’ professional skepticism. Managerial Auditing Journal, 20(3), 321–330.</w:t>
      </w:r>
    </w:p>
    <w:p w14:paraId="1496935E" w14:textId="77777777" w:rsidR="00354DFA" w:rsidRDefault="00354DFA" w:rsidP="00354DFA">
      <w:pPr>
        <w:pStyle w:val="FirstParagraph"/>
        <w:numPr>
          <w:ilvl w:val="0"/>
          <w:numId w:val="2"/>
        </w:numPr>
        <w:ind w:left="360" w:hangingChars="150" w:hanging="360"/>
        <w:jc w:val="both"/>
        <w:rPr>
          <w:rFonts w:ascii="Times New Roman" w:hAnsi="Times New Roman" w:cs="Times New Roman"/>
          <w:color w:val="000000"/>
        </w:rPr>
      </w:pPr>
      <w:r>
        <w:rPr>
          <w:rFonts w:ascii="Times New Roman" w:hAnsi="Times New Roman" w:cs="Times New Roman"/>
          <w:color w:val="000000"/>
        </w:rPr>
        <w:t xml:space="preserve">Pennycook, G., &amp; Rand, D. G. (2019). Fighting misinformation on social media using crowdsourced judgments of news source quality. PNAS, 116(7), 2521–2526. </w:t>
      </w:r>
      <w:hyperlink r:id="rId22" w:history="1">
        <w:r>
          <w:rPr>
            <w:rStyle w:val="Hyperlink"/>
            <w:rFonts w:ascii="Times New Roman" w:hAnsi="Times New Roman" w:cs="Times New Roman"/>
            <w:color w:val="000000"/>
          </w:rPr>
          <w:t>https://doi.org/10.1073/pnas.1806781116</w:t>
        </w:r>
      </w:hyperlink>
    </w:p>
    <w:p w14:paraId="6FA046A7" w14:textId="77777777" w:rsidR="00354DFA" w:rsidRDefault="00354DFA" w:rsidP="00354DFA">
      <w:pPr>
        <w:pStyle w:val="FirstParagraph"/>
        <w:numPr>
          <w:ilvl w:val="0"/>
          <w:numId w:val="2"/>
        </w:numPr>
        <w:ind w:left="360" w:hangingChars="150" w:hanging="360"/>
        <w:jc w:val="both"/>
        <w:rPr>
          <w:rFonts w:ascii="Times New Roman" w:hAnsi="Times New Roman" w:cs="Times New Roman"/>
          <w:color w:val="000000"/>
        </w:rPr>
      </w:pPr>
      <w:r>
        <w:rPr>
          <w:rFonts w:ascii="Times New Roman" w:hAnsi="Times New Roman" w:cs="Times New Roman"/>
          <w:color w:val="000000"/>
        </w:rPr>
        <w:t>Shannon, C. E. (1948). A mathematical theory of communication. Bell System Technical</w:t>
      </w:r>
      <w:r>
        <w:rPr>
          <w:rFonts w:ascii="Times New Roman" w:hAnsi="Times New Roman" w:cs="Times New Roman"/>
          <w:color w:val="000000"/>
          <w:lang w:val="en-US"/>
        </w:rPr>
        <w:t xml:space="preserve"> </w:t>
      </w:r>
      <w:r>
        <w:rPr>
          <w:rFonts w:ascii="Times New Roman" w:hAnsi="Times New Roman" w:cs="Times New Roman"/>
          <w:color w:val="000000"/>
        </w:rPr>
        <w:t xml:space="preserve">Journal, 27(3), 379–423. </w:t>
      </w:r>
      <w:hyperlink r:id="rId23" w:history="1">
        <w:r>
          <w:rPr>
            <w:rStyle w:val="Hyperlink"/>
            <w:rFonts w:ascii="Times New Roman" w:hAnsi="Times New Roman" w:cs="Times New Roman"/>
            <w:color w:val="000000"/>
          </w:rPr>
          <w:t>https://doi.org/10.1002/j.1538-7305.1948.tb01338.x</w:t>
        </w:r>
      </w:hyperlink>
    </w:p>
    <w:p w14:paraId="72C355C6" w14:textId="77777777" w:rsidR="00354DFA" w:rsidRDefault="00354DFA" w:rsidP="00354DFA">
      <w:pPr>
        <w:pStyle w:val="FirstParagraph"/>
        <w:numPr>
          <w:ilvl w:val="0"/>
          <w:numId w:val="2"/>
        </w:numPr>
        <w:ind w:left="360" w:hangingChars="150" w:hanging="360"/>
        <w:jc w:val="both"/>
        <w:rPr>
          <w:rFonts w:ascii="Times New Roman" w:hAnsi="Times New Roman" w:cs="Times New Roman"/>
          <w:color w:val="000000"/>
        </w:rPr>
      </w:pPr>
      <w:r>
        <w:rPr>
          <w:rFonts w:ascii="Times New Roman" w:hAnsi="Times New Roman" w:cs="Times New Roman"/>
          <w:color w:val="000000"/>
        </w:rPr>
        <w:t xml:space="preserve">Tandoc, E. C., Lim, Z. W., &amp; Ling, R. (2018). Defining ‘fake news’: A typology of scholarly definitions. Digital Journalism, 6(2), 137–153. </w:t>
      </w:r>
      <w:hyperlink r:id="rId24" w:history="1">
        <w:r>
          <w:rPr>
            <w:rStyle w:val="Hyperlink"/>
            <w:rFonts w:ascii="Times New Roman" w:hAnsi="Times New Roman" w:cs="Times New Roman"/>
            <w:color w:val="000000"/>
          </w:rPr>
          <w:t>https://doi.org/10.1080/21670811.2017.1360143</w:t>
        </w:r>
      </w:hyperlink>
    </w:p>
    <w:p w14:paraId="4ABE765A" w14:textId="77777777" w:rsidR="00354DFA" w:rsidRDefault="00354DFA" w:rsidP="00354DFA">
      <w:pPr>
        <w:pStyle w:val="FirstParagraph"/>
        <w:numPr>
          <w:ilvl w:val="0"/>
          <w:numId w:val="2"/>
        </w:numPr>
        <w:ind w:left="360" w:hangingChars="150" w:hanging="360"/>
        <w:jc w:val="both"/>
        <w:rPr>
          <w:rFonts w:ascii="Times New Roman" w:hAnsi="Times New Roman" w:cs="Times New Roman"/>
          <w:color w:val="000000"/>
        </w:rPr>
      </w:pPr>
      <w:r>
        <w:rPr>
          <w:rFonts w:ascii="Times New Roman" w:hAnsi="Times New Roman" w:cs="Times New Roman"/>
          <w:color w:val="000000"/>
        </w:rPr>
        <w:t>Tourish, D. (2019). Management Studies in Crisis: Fraud, Deception and Meaningless Research. Cambridge University Press.</w:t>
      </w:r>
    </w:p>
    <w:p w14:paraId="07CF4A6B" w14:textId="77777777" w:rsidR="00354DFA" w:rsidRDefault="00354DFA" w:rsidP="00354DFA">
      <w:pPr>
        <w:pStyle w:val="FirstParagraph"/>
        <w:numPr>
          <w:ilvl w:val="0"/>
          <w:numId w:val="2"/>
        </w:numPr>
        <w:ind w:left="360" w:hangingChars="150" w:hanging="360"/>
        <w:jc w:val="both"/>
        <w:rPr>
          <w:rFonts w:ascii="Times New Roman" w:hAnsi="Times New Roman" w:cs="Times New Roman"/>
          <w:color w:val="000000"/>
        </w:rPr>
      </w:pPr>
      <w:r>
        <w:rPr>
          <w:rFonts w:ascii="Times New Roman" w:hAnsi="Times New Roman" w:cs="Times New Roman"/>
          <w:color w:val="000000"/>
        </w:rPr>
        <w:t xml:space="preserve">UN. (2019). Sustainable development goals report 2019. United Nations. </w:t>
      </w:r>
      <w:hyperlink r:id="rId25" w:history="1">
        <w:r>
          <w:rPr>
            <w:rStyle w:val="Hyperlink"/>
            <w:rFonts w:ascii="Times New Roman" w:hAnsi="Times New Roman" w:cs="Times New Roman"/>
            <w:color w:val="000000"/>
          </w:rPr>
          <w:t>https://unstats.un.org/sdgs/report/2019</w:t>
        </w:r>
      </w:hyperlink>
    </w:p>
    <w:p w14:paraId="366697AE" w14:textId="77777777" w:rsidR="00354DFA" w:rsidRDefault="00354DFA" w:rsidP="00354DFA">
      <w:pPr>
        <w:pStyle w:val="FirstParagraph"/>
        <w:numPr>
          <w:ilvl w:val="0"/>
          <w:numId w:val="2"/>
        </w:numPr>
        <w:ind w:left="360" w:hangingChars="150" w:hanging="360"/>
        <w:jc w:val="both"/>
        <w:rPr>
          <w:rFonts w:ascii="Times New Roman" w:hAnsi="Times New Roman" w:cs="Times New Roman"/>
          <w:color w:val="000000"/>
        </w:rPr>
      </w:pPr>
      <w:r>
        <w:rPr>
          <w:rFonts w:ascii="Times New Roman" w:hAnsi="Times New Roman" w:cs="Times New Roman"/>
          <w:color w:val="000000"/>
        </w:rPr>
        <w:t xml:space="preserve">UNESCO. (2021). Disinformation and freedom of expression. UNESCO. </w:t>
      </w:r>
      <w:hyperlink r:id="rId26" w:history="1">
        <w:r>
          <w:rPr>
            <w:rStyle w:val="Hyperlink"/>
            <w:rFonts w:ascii="Times New Roman" w:hAnsi="Times New Roman" w:cs="Times New Roman"/>
            <w:color w:val="000000"/>
          </w:rPr>
          <w:t>https://unesdoc.unesco.org/ark:/48223/pf0000377223</w:t>
        </w:r>
      </w:hyperlink>
    </w:p>
    <w:p w14:paraId="18D5B984" w14:textId="77777777" w:rsidR="00354DFA" w:rsidRDefault="00354DFA" w:rsidP="00354DFA">
      <w:pPr>
        <w:pStyle w:val="FirstParagraph"/>
        <w:numPr>
          <w:ilvl w:val="0"/>
          <w:numId w:val="2"/>
        </w:numPr>
        <w:ind w:left="360" w:hangingChars="150" w:hanging="360"/>
        <w:jc w:val="both"/>
        <w:rPr>
          <w:rFonts w:ascii="Times New Roman" w:hAnsi="Times New Roman" w:cs="Times New Roman"/>
          <w:color w:val="000000"/>
        </w:rPr>
      </w:pPr>
      <w:r>
        <w:rPr>
          <w:rFonts w:ascii="Times New Roman" w:hAnsi="Times New Roman" w:cs="Times New Roman"/>
          <w:color w:val="000000"/>
        </w:rPr>
        <w:t xml:space="preserve">Vosoughi, S., Roy, D., &amp; Aral, S. (2018). The spread of true and false news online. Science, 359(6380), 1146–1151. </w:t>
      </w:r>
      <w:hyperlink r:id="rId27" w:history="1">
        <w:r>
          <w:rPr>
            <w:rStyle w:val="Hyperlink"/>
            <w:rFonts w:ascii="Times New Roman" w:hAnsi="Times New Roman" w:cs="Times New Roman"/>
            <w:color w:val="000000"/>
          </w:rPr>
          <w:t>https://doi.org/10.1126/science.aap9559</w:t>
        </w:r>
      </w:hyperlink>
    </w:p>
    <w:p w14:paraId="5A3AC57C" w14:textId="77777777" w:rsidR="00354DFA" w:rsidRDefault="00354DFA" w:rsidP="00354DFA">
      <w:pPr>
        <w:pStyle w:val="FirstParagraph"/>
        <w:numPr>
          <w:ilvl w:val="0"/>
          <w:numId w:val="2"/>
        </w:numPr>
        <w:ind w:left="360" w:hangingChars="150" w:hanging="360"/>
        <w:jc w:val="both"/>
        <w:rPr>
          <w:rFonts w:ascii="Times New Roman" w:hAnsi="Times New Roman" w:cs="Times New Roman"/>
          <w:color w:val="000000"/>
        </w:rPr>
      </w:pPr>
      <w:r>
        <w:rPr>
          <w:rFonts w:ascii="Times New Roman" w:hAnsi="Times New Roman" w:cs="Times New Roman"/>
          <w:color w:val="000000"/>
        </w:rPr>
        <w:t xml:space="preserve">Wardle, C., &amp; Derakhshan, H. (2017). Information disorder: Toward an interdisciplinary framework. Council of Europe. </w:t>
      </w:r>
      <w:hyperlink r:id="rId28" w:history="1">
        <w:r>
          <w:rPr>
            <w:rStyle w:val="Hyperlink"/>
            <w:rFonts w:ascii="Times New Roman" w:hAnsi="Times New Roman" w:cs="Times New Roman"/>
            <w:color w:val="000000"/>
          </w:rPr>
          <w:t>https://doi.org/10.2139/ssrn.3109272</w:t>
        </w:r>
      </w:hyperlink>
    </w:p>
    <w:p w14:paraId="1BB6F94B" w14:textId="77777777" w:rsidR="00354DFA" w:rsidRDefault="00354DFA" w:rsidP="00354DFA">
      <w:pPr>
        <w:pStyle w:val="FirstParagraph"/>
        <w:numPr>
          <w:ilvl w:val="0"/>
          <w:numId w:val="2"/>
        </w:numPr>
        <w:ind w:left="360" w:hangingChars="150" w:hanging="360"/>
        <w:jc w:val="both"/>
        <w:rPr>
          <w:rFonts w:ascii="Times New Roman" w:hAnsi="Times New Roman" w:cs="Times New Roman"/>
          <w:color w:val="000000"/>
        </w:rPr>
      </w:pPr>
      <w:r>
        <w:rPr>
          <w:rFonts w:ascii="Times New Roman" w:hAnsi="Times New Roman" w:cs="Times New Roman"/>
          <w:color w:val="000000"/>
        </w:rPr>
        <w:t xml:space="preserve">WHO. (2022). Infodemic management: the health information challenge. World Health Organization. </w:t>
      </w:r>
      <w:hyperlink r:id="rId29" w:history="1">
        <w:r>
          <w:rPr>
            <w:rStyle w:val="Hyperlink"/>
            <w:rFonts w:ascii="Times New Roman" w:hAnsi="Times New Roman" w:cs="Times New Roman"/>
            <w:color w:val="000000"/>
          </w:rPr>
          <w:t>https://www.who.int/publications/i/item/9789240059171</w:t>
        </w:r>
      </w:hyperlink>
    </w:p>
    <w:p w14:paraId="55868484" w14:textId="77777777" w:rsidR="00354DFA" w:rsidRDefault="00354DFA" w:rsidP="00354DFA">
      <w:pPr>
        <w:pStyle w:val="FirstParagraph"/>
        <w:numPr>
          <w:ilvl w:val="0"/>
          <w:numId w:val="2"/>
        </w:numPr>
        <w:ind w:left="360" w:hangingChars="150" w:hanging="360"/>
        <w:rPr>
          <w:rFonts w:ascii="Times New Roman" w:hAnsi="Times New Roman" w:cs="Times New Roman"/>
          <w:color w:val="000000"/>
        </w:rPr>
      </w:pPr>
      <w:r>
        <w:rPr>
          <w:rFonts w:ascii="Times New Roman" w:hAnsi="Times New Roman" w:cs="Times New Roman"/>
          <w:color w:val="000000"/>
        </w:rPr>
        <w:t>Wolfe, D. T., &amp; Hermanson, D. R. (2004). The fraud diamond: Considering the four elements of fraud. CPA Journal, 74(12), 38</w:t>
      </w:r>
      <w:r>
        <w:rPr>
          <w:rFonts w:ascii="Times New Roman" w:hAnsi="Times New Roman" w:cs="Times New Roman"/>
          <w:color w:val="000000"/>
          <w:lang w:val="en-US"/>
        </w:rPr>
        <w:t>.</w:t>
      </w:r>
      <w:hyperlink r:id="rId30" w:history="1">
        <w:r>
          <w:rPr>
            <w:rStyle w:val="Hyperlink"/>
            <w:rFonts w:ascii="Times New Roman" w:hAnsi="Times New Roman" w:cs="Times New Roman"/>
            <w:color w:val="000000"/>
          </w:rPr>
          <w:t>https://www.cpajournal.com/article/fraud-diamond</w:t>
        </w:r>
      </w:hyperlink>
    </w:p>
    <w:p w14:paraId="2496A6BA" w14:textId="77777777" w:rsidR="00354DFA" w:rsidRDefault="00354DFA" w:rsidP="00354DFA">
      <w:pPr>
        <w:pStyle w:val="FirstParagraph"/>
        <w:numPr>
          <w:ilvl w:val="0"/>
          <w:numId w:val="2"/>
        </w:numPr>
        <w:ind w:left="360" w:hangingChars="150" w:hanging="360"/>
        <w:jc w:val="both"/>
        <w:rPr>
          <w:rFonts w:ascii="Times New Roman" w:hAnsi="Times New Roman" w:cs="Times New Roman"/>
          <w:color w:val="000000"/>
        </w:rPr>
      </w:pPr>
      <w:r>
        <w:rPr>
          <w:rFonts w:ascii="Times New Roman" w:hAnsi="Times New Roman" w:cs="Times New Roman"/>
          <w:color w:val="000000"/>
        </w:rPr>
        <w:lastRenderedPageBreak/>
        <w:t>Zhang, Y., &amp; Ghorbani, A. A. (2020). An overview of online fake news: Characterization, detection, and discussion. Information Processing &amp; Management, 57(2), 102025. https://doi.org/10.1016/j.ipm.2019.03.004</w:t>
      </w:r>
    </w:p>
    <w:bookmarkEnd w:id="0"/>
    <w:p w14:paraId="42870131" w14:textId="77777777" w:rsidR="00354DFA" w:rsidRDefault="00354DFA" w:rsidP="00354DFA">
      <w:pPr>
        <w:rPr>
          <w:rFonts w:ascii="Times New Roman" w:hAnsi="Times New Roman" w:cs="Times New Roman"/>
          <w:color w:val="000000"/>
        </w:rPr>
      </w:pPr>
    </w:p>
    <w:p w14:paraId="123A24F2" w14:textId="77777777" w:rsidR="008268A1" w:rsidRDefault="008268A1"/>
    <w:sectPr w:rsidR="008268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SimSun"/>
    <w:charset w:val="86"/>
    <w:family w:val="swiss"/>
    <w:pitch w:val="default"/>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Display">
    <w:altName w:val="Courier New"/>
    <w:charset w:val="00"/>
    <w:family w:val="swiss"/>
    <w:pitch w:val="default"/>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1"/>
    <w:multiLevelType w:val="multilevel"/>
    <w:tmpl w:val="0000A991"/>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5A54C120"/>
    <w:multiLevelType w:val="singleLevel"/>
    <w:tmpl w:val="5A54C120"/>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830"/>
    <w:rsid w:val="00354DFA"/>
    <w:rsid w:val="008268A1"/>
    <w:rsid w:val="00954E4A"/>
    <w:rsid w:val="00A75830"/>
    <w:rsid w:val="00B87F0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11C74D-DB75-4E51-A87A-AE7F7B61E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4DFA"/>
    <w:pPr>
      <w:spacing w:after="200" w:line="240" w:lineRule="auto"/>
    </w:pPr>
    <w:rPr>
      <w:rFonts w:ascii="Aptos" w:eastAsia="Aptos" w:hAnsi="Aptos" w:cs="Vrinda"/>
      <w:sz w:val="24"/>
      <w:szCs w:val="24"/>
      <w:lang w:val="en"/>
    </w:rPr>
  </w:style>
  <w:style w:type="paragraph" w:styleId="Heading1">
    <w:name w:val="heading 1"/>
    <w:basedOn w:val="Normal"/>
    <w:next w:val="Normal"/>
    <w:link w:val="Heading1Char"/>
    <w:uiPriority w:val="9"/>
    <w:qFormat/>
    <w:rsid w:val="00954E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qFormat/>
    <w:rsid w:val="00354DFA"/>
    <w:pPr>
      <w:keepNext/>
      <w:keepLines/>
      <w:spacing w:before="160" w:after="80"/>
      <w:outlineLvl w:val="1"/>
    </w:pPr>
    <w:rPr>
      <w:rFonts w:ascii="Aptos Display" w:eastAsia="DengXian Light" w:hAnsi="Aptos Display"/>
      <w:color w:val="0F4761"/>
      <w:sz w:val="32"/>
      <w:szCs w:val="32"/>
    </w:rPr>
  </w:style>
  <w:style w:type="paragraph" w:styleId="Heading3">
    <w:name w:val="heading 3"/>
    <w:basedOn w:val="Normal"/>
    <w:next w:val="BodyText"/>
    <w:link w:val="Heading3Char"/>
    <w:uiPriority w:val="9"/>
    <w:qFormat/>
    <w:rsid w:val="00354DFA"/>
    <w:pPr>
      <w:keepNext/>
      <w:keepLines/>
      <w:spacing w:before="160" w:after="80"/>
      <w:outlineLvl w:val="2"/>
    </w:pPr>
    <w:rPr>
      <w:rFonts w:eastAsia="DengXian Light"/>
      <w:color w:val="0F476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354DFA"/>
    <w:rPr>
      <w:rFonts w:ascii="Aptos Display" w:eastAsia="DengXian Light" w:hAnsi="Aptos Display" w:cs="Vrinda"/>
      <w:color w:val="0F4761"/>
      <w:sz w:val="32"/>
      <w:szCs w:val="32"/>
      <w:lang w:val="en"/>
    </w:rPr>
  </w:style>
  <w:style w:type="character" w:customStyle="1" w:styleId="Heading3Char">
    <w:name w:val="Heading 3 Char"/>
    <w:basedOn w:val="DefaultParagraphFont"/>
    <w:link w:val="Heading3"/>
    <w:uiPriority w:val="9"/>
    <w:qFormat/>
    <w:rsid w:val="00354DFA"/>
    <w:rPr>
      <w:rFonts w:ascii="Aptos" w:eastAsia="DengXian Light" w:hAnsi="Aptos" w:cs="Vrinda"/>
      <w:color w:val="0F4761"/>
      <w:sz w:val="28"/>
      <w:szCs w:val="28"/>
      <w:lang w:val="en"/>
    </w:rPr>
  </w:style>
  <w:style w:type="paragraph" w:styleId="BodyText">
    <w:name w:val="Body Text"/>
    <w:basedOn w:val="Normal"/>
    <w:link w:val="BodyTextChar"/>
    <w:qFormat/>
    <w:rsid w:val="00354DFA"/>
    <w:pPr>
      <w:spacing w:before="180" w:after="180"/>
    </w:pPr>
  </w:style>
  <w:style w:type="character" w:customStyle="1" w:styleId="BodyTextChar">
    <w:name w:val="Body Text Char"/>
    <w:basedOn w:val="DefaultParagraphFont"/>
    <w:link w:val="BodyText"/>
    <w:rsid w:val="00354DFA"/>
    <w:rPr>
      <w:rFonts w:ascii="Aptos" w:eastAsia="Aptos" w:hAnsi="Aptos" w:cs="Vrinda"/>
      <w:sz w:val="24"/>
      <w:szCs w:val="24"/>
      <w:lang w:val="en"/>
    </w:rPr>
  </w:style>
  <w:style w:type="character" w:styleId="Hyperlink">
    <w:name w:val="Hyperlink"/>
    <w:basedOn w:val="BodyTextChar"/>
    <w:qFormat/>
    <w:rsid w:val="00354DFA"/>
    <w:rPr>
      <w:rFonts w:ascii="Aptos" w:eastAsia="Aptos" w:hAnsi="Aptos" w:cs="Vrinda"/>
      <w:color w:val="156082"/>
      <w:sz w:val="24"/>
      <w:szCs w:val="24"/>
      <w:lang w:val="en"/>
    </w:rPr>
  </w:style>
  <w:style w:type="paragraph" w:styleId="NormalWeb">
    <w:name w:val="Normal (Web)"/>
    <w:qFormat/>
    <w:rsid w:val="00354DFA"/>
    <w:pPr>
      <w:spacing w:before="100" w:beforeAutospacing="1" w:after="100" w:afterAutospacing="1" w:line="240" w:lineRule="auto"/>
    </w:pPr>
    <w:rPr>
      <w:rFonts w:ascii="Times New Roman" w:eastAsia="SimSun" w:hAnsi="Times New Roman" w:cs="Times New Roman"/>
      <w:sz w:val="24"/>
      <w:szCs w:val="24"/>
      <w:lang w:val="en-US" w:eastAsia="zh-CN"/>
    </w:rPr>
  </w:style>
  <w:style w:type="character" w:styleId="Strong">
    <w:name w:val="Strong"/>
    <w:basedOn w:val="DefaultParagraphFont"/>
    <w:qFormat/>
    <w:rsid w:val="00354DFA"/>
    <w:rPr>
      <w:b/>
      <w:bCs/>
    </w:rPr>
  </w:style>
  <w:style w:type="paragraph" w:customStyle="1" w:styleId="FirstParagraph">
    <w:name w:val="First Paragraph"/>
    <w:basedOn w:val="BodyText"/>
    <w:next w:val="BodyText"/>
    <w:qFormat/>
    <w:rsid w:val="00354DFA"/>
  </w:style>
  <w:style w:type="paragraph" w:customStyle="1" w:styleId="Compact">
    <w:name w:val="Compact"/>
    <w:basedOn w:val="BodyText"/>
    <w:qFormat/>
    <w:rsid w:val="00354DFA"/>
    <w:pPr>
      <w:spacing w:before="36" w:after="36"/>
    </w:pPr>
  </w:style>
  <w:style w:type="character" w:customStyle="1" w:styleId="Heading1Char">
    <w:name w:val="Heading 1 Char"/>
    <w:basedOn w:val="DefaultParagraphFont"/>
    <w:link w:val="Heading1"/>
    <w:uiPriority w:val="9"/>
    <w:rsid w:val="00954E4A"/>
    <w:rPr>
      <w:rFonts w:asciiTheme="majorHAnsi" w:eastAsiaTheme="majorEastAsia" w:hAnsiTheme="majorHAnsi" w:cstheme="majorBidi"/>
      <w:color w:val="2F5496" w:themeColor="accent1" w:themeShade="BF"/>
      <w:sz w:val="32"/>
      <w:szCs w:val="3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1598-020-73510-5" TargetMode="External"/><Relationship Id="rId13" Type="http://schemas.openxmlformats.org/officeDocument/2006/relationships/hyperlink" Target="https://www.ifac.org/publications-resources/2015-handbook-international-quality-control" TargetMode="External"/><Relationship Id="rId18" Type="http://schemas.openxmlformats.org/officeDocument/2006/relationships/hyperlink" Target="https://doi.org/10.7208/chicago/9780226556988.001.0001" TargetMode="External"/><Relationship Id="rId26" Type="http://schemas.openxmlformats.org/officeDocument/2006/relationships/hyperlink" Target="https://unesdoc.unesco.org/ark:/48223/pf0000377223" TargetMode="External"/><Relationship Id="rId3" Type="http://schemas.openxmlformats.org/officeDocument/2006/relationships/settings" Target="settings.xml"/><Relationship Id="rId21" Type="http://schemas.openxmlformats.org/officeDocument/2006/relationships/hyperlink" Target="https://doi.org/10.1787/9789264303039-en" TargetMode="External"/><Relationship Id="rId7" Type="http://schemas.openxmlformats.org/officeDocument/2006/relationships/hyperlink" Target="https://doi.org/10.1093/med/9780190640873.001.0001" TargetMode="External"/><Relationship Id="rId12" Type="http://schemas.openxmlformats.org/officeDocument/2006/relationships/hyperlink" Target="https://doi.org/10.1257/089533003765888403" TargetMode="External"/><Relationship Id="rId17" Type="http://schemas.openxmlformats.org/officeDocument/2006/relationships/hyperlink" Target="https://doi.org/10.1016/j.jarmac.2017.07.008" TargetMode="External"/><Relationship Id="rId25" Type="http://schemas.openxmlformats.org/officeDocument/2006/relationships/hyperlink" Target="https://unstats.un.org/sdgs/report/2019" TargetMode="External"/><Relationship Id="rId2" Type="http://schemas.openxmlformats.org/officeDocument/2006/relationships/styles" Target="styles.xml"/><Relationship Id="rId16" Type="http://schemas.openxmlformats.org/officeDocument/2006/relationships/hyperlink" Target="https://www.investopedia.com/terms/f/financial-misrepresentation.asp" TargetMode="External"/><Relationship Id="rId20" Type="http://schemas.openxmlformats.org/officeDocument/2006/relationships/hyperlink" Target="https://doi.org/10.1016/S0140-6736(20)30464-5" TargetMode="External"/><Relationship Id="rId29" Type="http://schemas.openxmlformats.org/officeDocument/2006/relationships/hyperlink" Target="https://www.who.int/publications/i/item/9789240059171" TargetMode="External"/><Relationship Id="rId1" Type="http://schemas.openxmlformats.org/officeDocument/2006/relationships/numbering" Target="numbering.xml"/><Relationship Id="rId6" Type="http://schemas.openxmlformats.org/officeDocument/2006/relationships/hyperlink" Target="https://doi.org/10.1257/jep.31.2.211" TargetMode="External"/><Relationship Id="rId11" Type="http://schemas.openxmlformats.org/officeDocument/2006/relationships/hyperlink" Target="https://www.prodiolearning.com/" TargetMode="External"/><Relationship Id="rId24" Type="http://schemas.openxmlformats.org/officeDocument/2006/relationships/hyperlink" Target="https://doi.org/10.1080/21670811.2017.1360143" TargetMode="External"/><Relationship Id="rId32" Type="http://schemas.openxmlformats.org/officeDocument/2006/relationships/theme" Target="theme/theme1.xml"/><Relationship Id="rId5" Type="http://schemas.openxmlformats.org/officeDocument/2006/relationships/hyperlink" Target="https://www.aicpa.org/research/standards/codeofconduct.html" TargetMode="External"/><Relationship Id="rId15" Type="http://schemas.openxmlformats.org/officeDocument/2006/relationships/hyperlink" Target="https://doi.org/10.1037/e400002014-001" TargetMode="External"/><Relationship Id="rId23" Type="http://schemas.openxmlformats.org/officeDocument/2006/relationships/hyperlink" Target="https://doi.org/10.1002/j.1538-7305.1948.tb01338.x" TargetMode="External"/><Relationship Id="rId28" Type="http://schemas.openxmlformats.org/officeDocument/2006/relationships/hyperlink" Target="https://doi.org/10.2139/ssrn.3109272" TargetMode="External"/><Relationship Id="rId10" Type="http://schemas.openxmlformats.org/officeDocument/2006/relationships/hyperlink" Target="https://doi.org/10.4324/9780429467260" TargetMode="External"/><Relationship Id="rId19" Type="http://schemas.openxmlformats.org/officeDocument/2006/relationships/hyperlink" Target="https://ajhc.journals.org/article/view/2021-vaccine-misinformation"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ur-lex.europa.eu/legal-content/EN/TXT/?uri=CELEX%3A52018DC0236" TargetMode="External"/><Relationship Id="rId14" Type="http://schemas.openxmlformats.org/officeDocument/2006/relationships/hyperlink" Target="https://www.interpol.int/en/Crimes/Cybercrime/Cybercrime-in-Africa" TargetMode="External"/><Relationship Id="rId22" Type="http://schemas.openxmlformats.org/officeDocument/2006/relationships/hyperlink" Target="https://doi.org/10.1073/pnas.1806781116" TargetMode="External"/><Relationship Id="rId27" Type="http://schemas.openxmlformats.org/officeDocument/2006/relationships/hyperlink" Target="https://doi.org/10.1126/science.aap9559" TargetMode="External"/><Relationship Id="rId30" Type="http://schemas.openxmlformats.org/officeDocument/2006/relationships/hyperlink" Target="https://www.cpajournal.com/article/fraud-diamo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6306</Words>
  <Characters>35945</Characters>
  <Application>Microsoft Office Word</Application>
  <DocSecurity>0</DocSecurity>
  <Lines>299</Lines>
  <Paragraphs>84</Paragraphs>
  <ScaleCrop>false</ScaleCrop>
  <Company/>
  <LinksUpToDate>false</LinksUpToDate>
  <CharactersWithSpaces>42167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1186</dc:creator>
  <cp:keywords/>
  <dc:description/>
  <cp:lastModifiedBy>SDI 1186</cp:lastModifiedBy>
  <cp:revision>3</cp:revision>
  <dcterms:created xsi:type="dcterms:W3CDTF">2025-11-18T08:54:00Z</dcterms:created>
  <dcterms:modified xsi:type="dcterms:W3CDTF">2025-11-18T08:57:00Z</dcterms:modified>
</cp:coreProperties>
</file>