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DF8C3" w14:textId="0BCAE055" w:rsidR="00E30056" w:rsidRPr="00BD7B9E" w:rsidRDefault="00E30056" w:rsidP="00E30056">
      <w:pPr>
        <w:tabs>
          <w:tab w:val="left" w:pos="1766"/>
        </w:tabs>
        <w:jc w:val="center"/>
        <w:rPr>
          <w:rFonts w:ascii="Arial" w:hAnsi="Arial" w:cs="Arial"/>
          <w:noProof/>
        </w:rPr>
      </w:pPr>
      <w:r w:rsidRPr="007111D4">
        <w:rPr>
          <w:rFonts w:ascii="Arial" w:hAnsi="Arial" w:cs="Arial"/>
          <w:noProof/>
          <w:highlight w:val="yellow"/>
        </w:rPr>
        <w:t>Original Research Article</w:t>
      </w:r>
    </w:p>
    <w:p w14:paraId="267E7421" w14:textId="77777777" w:rsidR="00E30056" w:rsidRDefault="00E30056" w:rsidP="004700B0">
      <w:pPr>
        <w:pStyle w:val="Author"/>
        <w:spacing w:line="240" w:lineRule="auto"/>
        <w:rPr>
          <w:rFonts w:ascii="Arial" w:hAnsi="Arial" w:cs="Arial"/>
          <w:bCs/>
          <w:iCs/>
          <w:kern w:val="28"/>
          <w:sz w:val="36"/>
          <w:szCs w:val="36"/>
        </w:rPr>
      </w:pPr>
    </w:p>
    <w:p w14:paraId="663FB60C" w14:textId="64E427E4" w:rsidR="00A258C3" w:rsidRPr="009A716D" w:rsidRDefault="000E186E" w:rsidP="004700B0">
      <w:pPr>
        <w:pStyle w:val="Author"/>
        <w:spacing w:line="240" w:lineRule="auto"/>
        <w:rPr>
          <w:rFonts w:ascii="Arial" w:hAnsi="Arial" w:cs="Arial"/>
          <w:bCs/>
          <w:iCs/>
          <w:kern w:val="28"/>
          <w:sz w:val="36"/>
          <w:szCs w:val="36"/>
        </w:rPr>
      </w:pPr>
      <w:r w:rsidRPr="0033774D">
        <w:rPr>
          <w:rFonts w:ascii="Arial" w:hAnsi="Arial" w:cs="Arial"/>
          <w:bCs/>
          <w:iCs/>
          <w:kern w:val="28"/>
          <w:sz w:val="36"/>
          <w:szCs w:val="36"/>
          <w:highlight w:val="yellow"/>
        </w:rPr>
        <w:t xml:space="preserve">Effect of </w:t>
      </w:r>
      <w:r w:rsidR="000E3128" w:rsidRPr="0033774D">
        <w:rPr>
          <w:rFonts w:ascii="Arial" w:hAnsi="Arial" w:cs="Arial"/>
          <w:bCs/>
          <w:iCs/>
          <w:kern w:val="28"/>
          <w:sz w:val="36"/>
          <w:szCs w:val="36"/>
          <w:highlight w:val="yellow"/>
        </w:rPr>
        <w:t>NPK and Urea Briquette Fertilizers</w:t>
      </w:r>
      <w:r w:rsidRPr="0033774D">
        <w:rPr>
          <w:rFonts w:ascii="Arial" w:hAnsi="Arial" w:cs="Arial"/>
          <w:bCs/>
          <w:iCs/>
          <w:kern w:val="28"/>
          <w:sz w:val="36"/>
          <w:szCs w:val="36"/>
          <w:highlight w:val="yellow"/>
        </w:rPr>
        <w:t xml:space="preserve"> on Growth and Yield of </w:t>
      </w:r>
      <w:r w:rsidR="0033774D">
        <w:rPr>
          <w:rFonts w:ascii="Arial" w:hAnsi="Arial" w:cs="Arial"/>
          <w:bCs/>
          <w:iCs/>
          <w:kern w:val="28"/>
          <w:sz w:val="36"/>
          <w:szCs w:val="36"/>
          <w:highlight w:val="yellow"/>
        </w:rPr>
        <w:t xml:space="preserve">Maize </w:t>
      </w:r>
      <w:r w:rsidRPr="0033774D">
        <w:rPr>
          <w:rFonts w:ascii="Arial" w:hAnsi="Arial" w:cs="Arial"/>
          <w:bCs/>
          <w:iCs/>
          <w:kern w:val="28"/>
          <w:sz w:val="36"/>
          <w:szCs w:val="36"/>
          <w:highlight w:val="yellow"/>
        </w:rPr>
        <w:t>(</w:t>
      </w:r>
      <w:r w:rsidRPr="0033774D">
        <w:rPr>
          <w:rFonts w:ascii="Arial" w:hAnsi="Arial" w:cs="Arial"/>
          <w:bCs/>
          <w:i/>
          <w:kern w:val="28"/>
          <w:sz w:val="36"/>
          <w:szCs w:val="36"/>
          <w:highlight w:val="yellow"/>
        </w:rPr>
        <w:t>Zea mays</w:t>
      </w:r>
      <w:r w:rsidRPr="0033774D">
        <w:rPr>
          <w:rFonts w:ascii="Arial" w:hAnsi="Arial" w:cs="Arial"/>
          <w:bCs/>
          <w:iCs/>
          <w:kern w:val="28"/>
          <w:sz w:val="36"/>
          <w:szCs w:val="36"/>
          <w:highlight w:val="yellow"/>
        </w:rPr>
        <w:t xml:space="preserve"> L.)</w:t>
      </w:r>
    </w:p>
    <w:p w14:paraId="2F8AE6FE" w14:textId="4BB28060" w:rsidR="00492941" w:rsidRPr="009A716D" w:rsidRDefault="00492941" w:rsidP="00441B6F">
      <w:pPr>
        <w:pStyle w:val="Author"/>
        <w:spacing w:line="240" w:lineRule="auto"/>
        <w:jc w:val="both"/>
        <w:rPr>
          <w:rFonts w:ascii="Arial" w:hAnsi="Arial" w:cs="Arial"/>
          <w:sz w:val="36"/>
        </w:rPr>
      </w:pPr>
    </w:p>
    <w:p w14:paraId="003A99CD" w14:textId="77777777" w:rsidR="00CA0F13" w:rsidRDefault="00CA0F13" w:rsidP="00B75C65">
      <w:pPr>
        <w:pStyle w:val="Copyright"/>
        <w:spacing w:after="0" w:line="240" w:lineRule="auto"/>
        <w:jc w:val="both"/>
        <w:rPr>
          <w:rFonts w:ascii="Arial" w:hAnsi="Arial" w:cs="Arial"/>
        </w:rPr>
      </w:pPr>
    </w:p>
    <w:p w14:paraId="6C011EBB" w14:textId="217DC467" w:rsidR="00B75C65" w:rsidRDefault="00B75C65" w:rsidP="00B75C65">
      <w:pPr>
        <w:pStyle w:val="Copyright"/>
        <w:spacing w:after="0" w:line="240" w:lineRule="auto"/>
        <w:jc w:val="both"/>
        <w:rPr>
          <w:rFonts w:ascii="Arial" w:hAnsi="Arial" w:cs="Arial"/>
        </w:rPr>
      </w:pPr>
      <w:bookmarkStart w:id="0" w:name="_GoBack"/>
      <w:bookmarkEnd w:id="0"/>
    </w:p>
    <w:p w14:paraId="11BE6E39" w14:textId="77777777" w:rsidR="00B75C65" w:rsidRDefault="00B75C65" w:rsidP="00B75C65">
      <w:pPr>
        <w:pStyle w:val="Copyright"/>
        <w:spacing w:after="0" w:line="240" w:lineRule="auto"/>
        <w:jc w:val="both"/>
        <w:rPr>
          <w:rFonts w:ascii="Arial" w:hAnsi="Arial" w:cs="Arial"/>
        </w:rPr>
      </w:pPr>
    </w:p>
    <w:p w14:paraId="513865EC" w14:textId="0204EB2A" w:rsidR="00B01FCD" w:rsidRPr="0098154C" w:rsidRDefault="00B01FCD" w:rsidP="00B75C65">
      <w:pPr>
        <w:pStyle w:val="Copyright"/>
        <w:spacing w:after="0" w:line="240" w:lineRule="auto"/>
        <w:jc w:val="both"/>
        <w:rPr>
          <w:rFonts w:ascii="Arial" w:hAnsi="Arial" w:cs="Arial"/>
          <w:b/>
          <w:bCs/>
          <w:sz w:val="22"/>
          <w:szCs w:val="28"/>
        </w:rPr>
      </w:pPr>
      <w:r w:rsidRPr="0098154C">
        <w:rPr>
          <w:rFonts w:ascii="Arial" w:hAnsi="Arial" w:cs="Arial"/>
          <w:b/>
          <w:bCs/>
          <w:sz w:val="22"/>
          <w:szCs w:val="28"/>
        </w:rPr>
        <w:t>ABSTRACT</w:t>
      </w:r>
    </w:p>
    <w:p w14:paraId="7BAAFF6C" w14:textId="67507BAD"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0"/>
      </w:tblGrid>
      <w:tr w:rsidR="00296529" w:rsidRPr="009A716D" w14:paraId="6E869F5E" w14:textId="77777777" w:rsidTr="001E44FE">
        <w:tc>
          <w:tcPr>
            <w:tcW w:w="9576" w:type="dxa"/>
            <w:shd w:val="clear" w:color="auto" w:fill="F2F2F2"/>
          </w:tcPr>
          <w:p w14:paraId="02436502" w14:textId="5A215CC7" w:rsidR="00505F06" w:rsidRPr="003E2A6F" w:rsidRDefault="000E3128" w:rsidP="0098154C">
            <w:pPr>
              <w:jc w:val="both"/>
              <w:rPr>
                <w:rFonts w:ascii="Arial" w:hAnsi="Arial" w:cs="Arial"/>
              </w:rPr>
            </w:pPr>
            <w:r w:rsidRPr="000E3128">
              <w:t>A multi-locational field trial was conducted at Amantin and Nsapor from April to August 2022 to evaluate the effect of NPK fertilizers, in granule and briquette forms, on growth</w:t>
            </w:r>
            <w:r w:rsidR="001949A1">
              <w:t xml:space="preserve"> </w:t>
            </w:r>
            <w:r w:rsidR="001949A1" w:rsidRPr="001949A1">
              <w:rPr>
                <w:highlight w:val="yellow"/>
              </w:rPr>
              <w:t>and</w:t>
            </w:r>
            <w:r w:rsidR="001949A1">
              <w:t xml:space="preserve"> </w:t>
            </w:r>
            <w:r w:rsidRPr="000E3128">
              <w:t xml:space="preserve">yield of maize. The experimental design used was a Randomized Complete Block Design with 7 treatments and replicated four times. The treatments were: - </w:t>
            </w:r>
            <w:r w:rsidR="003E2A6F" w:rsidRPr="00FA776C">
              <w:rPr>
                <w:rFonts w:ascii="Arial" w:hAnsi="Arial" w:cs="Arial"/>
              </w:rPr>
              <w:t xml:space="preserve">(i) No fertilizer (Control), (ii) Granule NPK &amp; Urea (120-40-40) 200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FA776C">
              <w:rPr>
                <w:rFonts w:ascii="Arial" w:hAnsi="Arial" w:cs="Arial"/>
              </w:rPr>
              <w:t xml:space="preserve">, (iii) Briquette NPK &amp; Urea (121-58.7-59) 230.4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7C4D89">
              <w:rPr>
                <w:rFonts w:ascii="Arial" w:hAnsi="Arial" w:cs="Arial"/>
                <w:vertAlign w:val="superscript"/>
              </w:rPr>
              <w:t xml:space="preserve"> </w:t>
            </w:r>
            <w:r w:rsidR="003E2A6F" w:rsidRPr="00FA776C">
              <w:rPr>
                <w:rFonts w:ascii="Arial" w:hAnsi="Arial" w:cs="Arial"/>
              </w:rPr>
              <w:t xml:space="preserve">, (iv) Briquette NPK &amp; Urea (114-44-44) 172.8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FA776C">
              <w:rPr>
                <w:rFonts w:ascii="Arial" w:hAnsi="Arial" w:cs="Arial"/>
              </w:rPr>
              <w:t xml:space="preserve">, (v) Briquette NPK &amp; Urea (91-59-59) 230.4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FA776C">
              <w:rPr>
                <w:rFonts w:ascii="Arial" w:hAnsi="Arial" w:cs="Arial"/>
              </w:rPr>
              <w:t xml:space="preserve">, (vi) Briquette NPK &amp; Urea (76-29-29)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FA776C">
              <w:rPr>
                <w:rFonts w:ascii="Arial" w:hAnsi="Arial" w:cs="Arial"/>
              </w:rPr>
              <w:t xml:space="preserve">, and (vii) Briquette NPK &amp; Urea (31-29-29) 115.2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FA776C">
              <w:rPr>
                <w:rFonts w:ascii="Arial" w:hAnsi="Arial" w:cs="Arial"/>
              </w:rPr>
              <w:t>.</w:t>
            </w:r>
            <w:r w:rsidR="003E2A6F">
              <w:rPr>
                <w:rFonts w:ascii="Arial" w:hAnsi="Arial" w:cs="Arial"/>
              </w:rPr>
              <w:t xml:space="preserve"> </w:t>
            </w:r>
            <w:r w:rsidRPr="000E3128">
              <w:t xml:space="preserve">The results showed that at Amantin and Nsapor, the application of Briquette NPK &amp; Urea (121–58.7–59) at 230.4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0E3128">
              <w:t xml:space="preserve">and (76–29–29) at 115.2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Pr="000E3128">
              <w:t>, respectively, produced the highest soil OC, available P, and TN relative to the control. Ca, Mg, and K also increased slightly under these treatments with moderately acidic (5.5–6.2) soil pH across all treatments. The treatments had no significant (P&gt;0.05) effect on the number of days to 50% tasseling and silking across both locations.</w:t>
            </w:r>
            <w:r w:rsidR="00D023CF">
              <w:t xml:space="preserve"> </w:t>
            </w:r>
            <w:r w:rsidRPr="000E3128">
              <w:t xml:space="preserve">Across locations, the application of Briquette NPK &amp; Urea (121–58.7–59) at 230.4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0E3128">
              <w:t xml:space="preserve">produced the tallest plants and the widest stem diameter than the control at 5 and 7 WAP. Plants that received Briquette NPK &amp; Urea (121–58.7–59) 230.4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0E3128">
              <w:t xml:space="preserve">and Briquette NPK &amp; Urea (76-29-29) 115.2 </w:t>
            </w:r>
            <w:r w:rsidR="00D023CF" w:rsidRPr="007C4D89">
              <w:rPr>
                <w:rFonts w:ascii="Arial" w:hAnsi="Arial" w:cs="Arial"/>
                <w:highlight w:val="yellow"/>
              </w:rPr>
              <w:t>kg ha</w:t>
            </w:r>
            <w:r w:rsidR="00D023CF" w:rsidRPr="007C4D89">
              <w:rPr>
                <w:rFonts w:ascii="Arial" w:hAnsi="Arial" w:cs="Arial"/>
                <w:highlight w:val="yellow"/>
                <w:vertAlign w:val="superscript"/>
              </w:rPr>
              <w:t>-1</w:t>
            </w:r>
            <w:r w:rsidR="00D023CF" w:rsidRPr="007C4D89">
              <w:rPr>
                <w:rFonts w:ascii="Arial" w:hAnsi="Arial" w:cs="Arial"/>
                <w:vertAlign w:val="superscript"/>
              </w:rPr>
              <w:t xml:space="preserve"> </w:t>
            </w:r>
            <w:r w:rsidRPr="000E3128">
              <w:t xml:space="preserve">at  Amantin and Nsapor, respectively recorded significantly </w:t>
            </w:r>
            <w:r w:rsidRPr="001949A1">
              <w:rPr>
                <w:highlight w:val="yellow"/>
              </w:rPr>
              <w:t xml:space="preserve">higher cob weight per plot, </w:t>
            </w:r>
            <w:r w:rsidR="001949A1" w:rsidRPr="001949A1">
              <w:rPr>
                <w:highlight w:val="yellow"/>
              </w:rPr>
              <w:t xml:space="preserve">longer </w:t>
            </w:r>
            <w:r w:rsidRPr="001949A1">
              <w:rPr>
                <w:highlight w:val="yellow"/>
              </w:rPr>
              <w:t>cob length</w:t>
            </w:r>
            <w:r w:rsidR="001949A1" w:rsidRPr="001949A1">
              <w:rPr>
                <w:highlight w:val="yellow"/>
              </w:rPr>
              <w:t xml:space="preserve">, </w:t>
            </w:r>
            <w:r w:rsidR="00D17BA1" w:rsidRPr="001949A1">
              <w:rPr>
                <w:highlight w:val="yellow"/>
              </w:rPr>
              <w:t xml:space="preserve">wider cob </w:t>
            </w:r>
            <w:r w:rsidRPr="001949A1">
              <w:rPr>
                <w:highlight w:val="yellow"/>
              </w:rPr>
              <w:t xml:space="preserve">diameter, and </w:t>
            </w:r>
            <w:r w:rsidR="001949A1" w:rsidRPr="001949A1">
              <w:rPr>
                <w:highlight w:val="yellow"/>
              </w:rPr>
              <w:t>heavier</w:t>
            </w:r>
            <w:r w:rsidR="001949A1">
              <w:t xml:space="preserve"> </w:t>
            </w:r>
            <w:r w:rsidRPr="000E3128">
              <w:t>100-seed weight as compared to the control.</w:t>
            </w:r>
            <w:r w:rsidR="00456780">
              <w:t xml:space="preserve"> </w:t>
            </w:r>
            <w:r w:rsidR="00456780" w:rsidRPr="00C00659">
              <w:rPr>
                <w:highlight w:val="yellow"/>
              </w:rPr>
              <w:t xml:space="preserve">Maize plants that received Briquette NPK and Urea (121–58.7–59) at 230.4 </w:t>
            </w:r>
            <w:r w:rsidR="00D023CF" w:rsidRPr="007C4D89">
              <w:rPr>
                <w:rFonts w:ascii="Arial" w:hAnsi="Arial" w:cs="Arial"/>
                <w:highlight w:val="yellow"/>
              </w:rPr>
              <w:t>kg ha</w:t>
            </w:r>
            <w:r w:rsidR="00D023CF" w:rsidRPr="007C4D89">
              <w:rPr>
                <w:rFonts w:ascii="Arial" w:hAnsi="Arial" w:cs="Arial"/>
                <w:highlight w:val="yellow"/>
                <w:vertAlign w:val="superscript"/>
              </w:rPr>
              <w:t>-1</w:t>
            </w:r>
            <w:r w:rsidR="00D023CF" w:rsidRPr="007C4D89">
              <w:rPr>
                <w:rFonts w:ascii="Arial" w:hAnsi="Arial" w:cs="Arial"/>
                <w:vertAlign w:val="superscript"/>
              </w:rPr>
              <w:t xml:space="preserve"> </w:t>
            </w:r>
            <w:r w:rsidR="00456780" w:rsidRPr="00C00659">
              <w:rPr>
                <w:highlight w:val="yellow"/>
              </w:rPr>
              <w:t xml:space="preserve">in Amantin and Briquette NPK and Urea (76–29–29) at 115.2 </w:t>
            </w:r>
            <w:r w:rsidR="00D023CF" w:rsidRPr="007C4D89">
              <w:rPr>
                <w:rFonts w:ascii="Arial" w:hAnsi="Arial" w:cs="Arial"/>
                <w:highlight w:val="yellow"/>
              </w:rPr>
              <w:t>kg ha</w:t>
            </w:r>
            <w:r w:rsidR="00D023CF" w:rsidRPr="007C4D89">
              <w:rPr>
                <w:rFonts w:ascii="Arial" w:hAnsi="Arial" w:cs="Arial"/>
                <w:highlight w:val="yellow"/>
                <w:vertAlign w:val="superscript"/>
              </w:rPr>
              <w:t>-1</w:t>
            </w:r>
            <w:r w:rsidR="00D023CF">
              <w:rPr>
                <w:rFonts w:ascii="Arial" w:hAnsi="Arial" w:cs="Arial"/>
                <w:highlight w:val="yellow"/>
                <w:vertAlign w:val="superscript"/>
              </w:rPr>
              <w:t xml:space="preserve"> </w:t>
            </w:r>
            <w:r w:rsidR="00456780" w:rsidRPr="00C00659">
              <w:rPr>
                <w:highlight w:val="yellow"/>
              </w:rPr>
              <w:t xml:space="preserve">in Nsapor produced significantly (P&lt;0.05) higher grain yields than the other fertilizer rates and the control. It is recommended that for improved soil chemical properties, effective plant growth, and higher grain yield, </w:t>
            </w:r>
            <w:r w:rsidR="00323979">
              <w:rPr>
                <w:highlight w:val="yellow"/>
              </w:rPr>
              <w:t xml:space="preserve">maize </w:t>
            </w:r>
            <w:r w:rsidR="00456780" w:rsidRPr="00C00659">
              <w:rPr>
                <w:highlight w:val="yellow"/>
              </w:rPr>
              <w:t xml:space="preserve">farmers should apply Briquette NPK &amp; Urea (121–58.7–59) at 230.4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00456780" w:rsidRPr="00C00659">
              <w:rPr>
                <w:highlight w:val="yellow"/>
              </w:rPr>
              <w:t>and</w:t>
            </w:r>
            <w:r w:rsidR="007407D1">
              <w:rPr>
                <w:highlight w:val="yellow"/>
              </w:rPr>
              <w:t>/or</w:t>
            </w:r>
            <w:r w:rsidR="00456780" w:rsidRPr="00C00659">
              <w:rPr>
                <w:highlight w:val="yellow"/>
              </w:rPr>
              <w:t xml:space="preserve"> Briquette NPK and Urea (76–29–29) at 115.2 </w:t>
            </w:r>
            <w:r w:rsidR="00D023CF" w:rsidRPr="007C4D89">
              <w:rPr>
                <w:rFonts w:ascii="Arial" w:hAnsi="Arial" w:cs="Arial"/>
                <w:highlight w:val="yellow"/>
              </w:rPr>
              <w:t>kg ha</w:t>
            </w:r>
            <w:r w:rsidR="00D023CF" w:rsidRPr="007C4D89">
              <w:rPr>
                <w:rFonts w:ascii="Arial" w:hAnsi="Arial" w:cs="Arial"/>
                <w:highlight w:val="yellow"/>
                <w:vertAlign w:val="superscript"/>
              </w:rPr>
              <w:t>-1</w:t>
            </w:r>
            <w:r w:rsidR="00456780" w:rsidRPr="00C00659">
              <w:rPr>
                <w:highlight w:val="yellow"/>
              </w:rPr>
              <w:t>.</w:t>
            </w:r>
          </w:p>
        </w:tc>
      </w:tr>
    </w:tbl>
    <w:p w14:paraId="42BEB7CD" w14:textId="4A2CD860"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0E3128" w:rsidRPr="000E3128">
        <w:rPr>
          <w:rFonts w:ascii="Arial" w:hAnsi="Arial" w:cs="Arial"/>
          <w:i/>
        </w:rPr>
        <w:t xml:space="preserve">NPK briquette, Urea briquette, soil fertility, grain yield, cob length, cob diameter </w:t>
      </w:r>
    </w:p>
    <w:p w14:paraId="6BF1A1F7" w14:textId="77777777" w:rsidR="00505F06" w:rsidRPr="009A716D" w:rsidRDefault="00505F06" w:rsidP="00441B6F">
      <w:pPr>
        <w:pStyle w:val="Body"/>
        <w:spacing w:after="0"/>
        <w:rPr>
          <w:rFonts w:ascii="Arial" w:hAnsi="Arial" w:cs="Arial"/>
          <w:i/>
        </w:rPr>
      </w:pPr>
    </w:p>
    <w:p w14:paraId="61CFB31E" w14:textId="77777777" w:rsidR="00AC6E2D" w:rsidRDefault="00AC6E2D" w:rsidP="00441B6F">
      <w:pPr>
        <w:pStyle w:val="AbstHead"/>
        <w:spacing w:after="0"/>
        <w:jc w:val="both"/>
        <w:rPr>
          <w:rFonts w:ascii="Arial" w:hAnsi="Arial" w:cs="Arial"/>
        </w:rPr>
      </w:pPr>
    </w:p>
    <w:p w14:paraId="2FDF6DFA" w14:textId="3D28D066"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109BADA3" w14:textId="5DC04623" w:rsidR="000E3128" w:rsidRPr="00D17BA1" w:rsidRDefault="000E3128" w:rsidP="00FA776C">
      <w:pPr>
        <w:spacing w:before="240"/>
        <w:jc w:val="both"/>
        <w:rPr>
          <w:rFonts w:ascii="Arial" w:hAnsi="Arial" w:cs="Arial"/>
        </w:rPr>
      </w:pPr>
      <w:r w:rsidRPr="000E3128">
        <w:rPr>
          <w:rFonts w:ascii="Arial" w:hAnsi="Arial" w:cs="Arial"/>
        </w:rPr>
        <w:t>Maize (</w:t>
      </w:r>
      <w:r w:rsidRPr="000E3128">
        <w:rPr>
          <w:rStyle w:val="Emphasis"/>
          <w:rFonts w:ascii="Arial" w:hAnsi="Arial" w:cs="Arial"/>
        </w:rPr>
        <w:t>Zea mays</w:t>
      </w:r>
      <w:r w:rsidRPr="000E3128">
        <w:rPr>
          <w:rFonts w:ascii="Arial" w:hAnsi="Arial" w:cs="Arial"/>
        </w:rPr>
        <w:t xml:space="preserve"> L.), a member of the Poaceae family, is one of the most important cereal crops worldwide due to its high yield potential, wide adaptability, and multiple uses. It ranks third after wheat and rice in global cereal production, emphasizing its role as a major source of food, feed, and industrial raw material (Erenstein </w:t>
      </w:r>
      <w:r w:rsidRPr="000E3128">
        <w:rPr>
          <w:rFonts w:ascii="Arial" w:hAnsi="Arial" w:cs="Arial"/>
          <w:i/>
          <w:iCs/>
        </w:rPr>
        <w:t>et al.,</w:t>
      </w:r>
      <w:r w:rsidRPr="000E3128">
        <w:rPr>
          <w:rFonts w:ascii="Arial" w:hAnsi="Arial" w:cs="Arial"/>
        </w:rPr>
        <w:t xml:space="preserve"> 2022). Often referred to as the “Queen of Cereals,” </w:t>
      </w:r>
      <w:r w:rsidRPr="00D17BA1">
        <w:rPr>
          <w:rFonts w:ascii="Arial" w:hAnsi="Arial" w:cs="Arial"/>
          <w:highlight w:val="yellow"/>
        </w:rPr>
        <w:t>maize exhibits rapid growth and thrives across diverse climatic conditions, allowing its cultivation</w:t>
      </w:r>
      <w:r w:rsidRPr="000E3128">
        <w:rPr>
          <w:rFonts w:ascii="Arial" w:hAnsi="Arial" w:cs="Arial"/>
        </w:rPr>
        <w:t xml:space="preserve"> as early, late, or biennial crops. It serves as a staple food in many developing countries and as a primary feed ingredient for poultry and livestock, particularly in developed economies (Murdia </w:t>
      </w:r>
      <w:r w:rsidRPr="000E3128">
        <w:rPr>
          <w:rFonts w:ascii="Arial" w:hAnsi="Arial" w:cs="Arial"/>
          <w:i/>
          <w:iCs/>
        </w:rPr>
        <w:t xml:space="preserve">et al., </w:t>
      </w:r>
      <w:r w:rsidRPr="000E3128">
        <w:rPr>
          <w:rFonts w:ascii="Arial" w:hAnsi="Arial" w:cs="Arial"/>
        </w:rPr>
        <w:t xml:space="preserve">2016). Nutritionally, maize grain contains approximately 72% starch, 10% protein, 4.8% oil, 8.5% fibre, 3% sugar, and 1.7% ash, while the embryo is rich in fats, minerals, and proteins essential for both human and animal health (Galani </w:t>
      </w:r>
      <w:r w:rsidRPr="000E3128">
        <w:rPr>
          <w:rFonts w:ascii="Arial" w:hAnsi="Arial" w:cs="Arial"/>
          <w:i/>
          <w:iCs/>
        </w:rPr>
        <w:t>et al.,</w:t>
      </w:r>
      <w:r w:rsidRPr="000E3128">
        <w:rPr>
          <w:rFonts w:ascii="Arial" w:hAnsi="Arial" w:cs="Arial"/>
        </w:rPr>
        <w:t xml:space="preserve"> 2022).</w:t>
      </w:r>
      <w:r w:rsidR="00FA776C">
        <w:rPr>
          <w:rFonts w:ascii="Arial" w:hAnsi="Arial" w:cs="Arial"/>
          <w:sz w:val="22"/>
          <w:szCs w:val="22"/>
          <w:shd w:val="clear" w:color="auto" w:fill="FFFFFF"/>
        </w:rPr>
        <w:t xml:space="preserve"> </w:t>
      </w:r>
      <w:r w:rsidRPr="000E3128">
        <w:rPr>
          <w:rFonts w:ascii="Arial" w:hAnsi="Arial" w:cs="Arial"/>
          <w:shd w:val="clear" w:color="auto" w:fill="FFFFFF"/>
        </w:rPr>
        <w:t xml:space="preserve">In Ghana, maize is the most widely cultivated cereal, contributing significantly to household food and nutritional security. It </w:t>
      </w:r>
      <w:r w:rsidRPr="000E3128">
        <w:rPr>
          <w:rFonts w:ascii="Arial" w:hAnsi="Arial" w:cs="Arial"/>
          <w:shd w:val="clear" w:color="auto" w:fill="FFFFFF"/>
        </w:rPr>
        <w:lastRenderedPageBreak/>
        <w:t xml:space="preserve">accounts for about 50–60% of total cereal production and serves as a key ingredient in various local dishes and industrial products such as starch, cooking oil, and ethanol. Beyond its food value, maize also contributes to the global biofuel industry, thereby linking food production with renewable energy (Gellings &amp; Parmenter, 2016). However, sustaining maize productivity remains a challenge due to soil fertility decline, erratic rainfall, and recurrent droughts issues common across sub-Saharan Africa (SSA). Maize is a heavy feeder crop with high nutrient requirements, particularly nitrogen (N), phosphorus (P), and potassium (K), which are essential for vegetative growth, root development, and grain filling. On average, each tonne of maize harvested removes about 15–18 kg N, 2.5–3.0 kg P, and 3.0–4.0 kg K from the soil, indicating the need for efficient nutrient replenishment strategies (Shehu </w:t>
      </w:r>
      <w:r w:rsidRPr="000E3128">
        <w:rPr>
          <w:rFonts w:ascii="Arial" w:hAnsi="Arial" w:cs="Arial"/>
          <w:i/>
          <w:iCs/>
          <w:shd w:val="clear" w:color="auto" w:fill="FFFFFF"/>
        </w:rPr>
        <w:t>et al.,</w:t>
      </w:r>
      <w:r w:rsidRPr="000E3128">
        <w:rPr>
          <w:rFonts w:ascii="Arial" w:hAnsi="Arial" w:cs="Arial"/>
          <w:shd w:val="clear" w:color="auto" w:fill="FFFFFF"/>
        </w:rPr>
        <w:t xml:space="preserve"> 2019). </w:t>
      </w:r>
    </w:p>
    <w:p w14:paraId="200A94DB" w14:textId="77777777" w:rsidR="00FA776C" w:rsidRPr="000E3128" w:rsidRDefault="00FA776C" w:rsidP="000E3128">
      <w:pPr>
        <w:jc w:val="both"/>
        <w:rPr>
          <w:rFonts w:ascii="Arial" w:hAnsi="Arial" w:cs="Arial"/>
          <w:shd w:val="clear" w:color="auto" w:fill="FFFFFF"/>
        </w:rPr>
      </w:pPr>
    </w:p>
    <w:p w14:paraId="3F610A40" w14:textId="3B0C1E8C" w:rsidR="000E3128" w:rsidRDefault="000E3128" w:rsidP="000E3128">
      <w:pPr>
        <w:jc w:val="both"/>
        <w:rPr>
          <w:rFonts w:ascii="Arial" w:hAnsi="Arial" w:cs="Arial"/>
          <w:shd w:val="clear" w:color="auto" w:fill="FFFFFF"/>
        </w:rPr>
      </w:pPr>
      <w:r w:rsidRPr="000E3128">
        <w:rPr>
          <w:rFonts w:ascii="Arial" w:hAnsi="Arial" w:cs="Arial"/>
        </w:rPr>
        <w:t xml:space="preserve">Despite its importance, maize productivity in SSA remains low, largely due to declining soil fertility and inefficient fertilizer use. In response to these challenges, several initiatives, including the Drought-Resistant Maize for Africa (DRMA) programme, have been implemented to improve productivity through the development of drought-tolerant and nutrient-efficient cultivars. Between 2007 and 2013, the DRMA released over 160 maize varieties with improved tolerance to drought and nutrient stress (Makate </w:t>
      </w:r>
      <w:r w:rsidRPr="000E3128">
        <w:rPr>
          <w:rFonts w:ascii="Arial" w:hAnsi="Arial" w:cs="Arial"/>
          <w:i/>
          <w:iCs/>
        </w:rPr>
        <w:t>et al.,</w:t>
      </w:r>
      <w:r w:rsidRPr="000E3128">
        <w:rPr>
          <w:rFonts w:ascii="Arial" w:hAnsi="Arial" w:cs="Arial"/>
        </w:rPr>
        <w:t xml:space="preserve"> 2017). However, the productivity of these improved cultivars still depends on adequate soil nutrient supply and proper fertilizer management. With the global population projected to exceed 9 billion by 2050, ensuring sustainable increases in food production remains a priority (Ghosh </w:t>
      </w:r>
      <w:r w:rsidRPr="000E3128">
        <w:rPr>
          <w:rFonts w:ascii="Arial" w:hAnsi="Arial" w:cs="Arial"/>
          <w:i/>
          <w:iCs/>
        </w:rPr>
        <w:t>et al.,</w:t>
      </w:r>
      <w:r w:rsidRPr="000E3128">
        <w:rPr>
          <w:rFonts w:ascii="Arial" w:hAnsi="Arial" w:cs="Arial"/>
        </w:rPr>
        <w:t xml:space="preserve"> 2024). In Ghana, this challenge is intensified by continuous cultivation, nutrient mining, and poor soil management practices, which have led to significant fertility depletion. Once fertile lands that previously yielded 2–4 </w:t>
      </w:r>
      <w:r w:rsidR="00405BE3">
        <w:rPr>
          <w:rFonts w:ascii="Arial" w:hAnsi="Arial" w:cs="Arial"/>
          <w:highlight w:val="yellow"/>
        </w:rPr>
        <w:t>t</w:t>
      </w:r>
      <w:r w:rsidR="00405BE3" w:rsidRPr="007C4D89">
        <w:rPr>
          <w:rFonts w:ascii="Arial" w:hAnsi="Arial" w:cs="Arial"/>
          <w:highlight w:val="yellow"/>
        </w:rPr>
        <w:t xml:space="preserve"> ha</w:t>
      </w:r>
      <w:r w:rsidR="00405BE3" w:rsidRPr="007C4D89">
        <w:rPr>
          <w:rFonts w:ascii="Arial" w:hAnsi="Arial" w:cs="Arial"/>
          <w:highlight w:val="yellow"/>
          <w:vertAlign w:val="superscript"/>
        </w:rPr>
        <w:t>-1</w:t>
      </w:r>
      <w:r w:rsidR="00405BE3" w:rsidRPr="007C4D89">
        <w:rPr>
          <w:rFonts w:ascii="Arial" w:hAnsi="Arial" w:cs="Arial"/>
          <w:vertAlign w:val="superscript"/>
        </w:rPr>
        <w:t xml:space="preserve"> </w:t>
      </w:r>
      <w:r w:rsidRPr="000E3128">
        <w:rPr>
          <w:rFonts w:ascii="Arial" w:hAnsi="Arial" w:cs="Arial"/>
        </w:rPr>
        <w:t xml:space="preserve">of maize now produce less than 1 </w:t>
      </w:r>
      <w:r w:rsidR="00405BE3">
        <w:rPr>
          <w:rFonts w:ascii="Arial" w:hAnsi="Arial" w:cs="Arial"/>
          <w:highlight w:val="yellow"/>
        </w:rPr>
        <w:t>t</w:t>
      </w:r>
      <w:r w:rsidR="00405BE3" w:rsidRPr="007C4D89">
        <w:rPr>
          <w:rFonts w:ascii="Arial" w:hAnsi="Arial" w:cs="Arial"/>
          <w:highlight w:val="yellow"/>
        </w:rPr>
        <w:t xml:space="preserve"> ha</w:t>
      </w:r>
      <w:r w:rsidR="00405BE3" w:rsidRPr="007C4D89">
        <w:rPr>
          <w:rFonts w:ascii="Arial" w:hAnsi="Arial" w:cs="Arial"/>
          <w:highlight w:val="yellow"/>
          <w:vertAlign w:val="superscript"/>
        </w:rPr>
        <w:t>-1</w:t>
      </w:r>
      <w:r w:rsidR="00405BE3" w:rsidRPr="007C4D89">
        <w:rPr>
          <w:rFonts w:ascii="Arial" w:hAnsi="Arial" w:cs="Arial"/>
          <w:vertAlign w:val="superscript"/>
        </w:rPr>
        <w:t xml:space="preserve"> </w:t>
      </w:r>
      <w:r w:rsidRPr="000E3128">
        <w:rPr>
          <w:rFonts w:ascii="Arial" w:hAnsi="Arial" w:cs="Arial"/>
        </w:rPr>
        <w:t xml:space="preserve">(Bationo </w:t>
      </w:r>
      <w:r w:rsidRPr="000E3128">
        <w:rPr>
          <w:rFonts w:ascii="Arial" w:hAnsi="Arial" w:cs="Arial"/>
          <w:i/>
          <w:iCs/>
        </w:rPr>
        <w:t>et al.,</w:t>
      </w:r>
      <w:r w:rsidRPr="000E3128">
        <w:rPr>
          <w:rFonts w:ascii="Arial" w:hAnsi="Arial" w:cs="Arial"/>
        </w:rPr>
        <w:t xml:space="preserve"> 2018).</w:t>
      </w:r>
      <w:r w:rsidRPr="000E3128">
        <w:rPr>
          <w:rFonts w:ascii="Arial" w:hAnsi="Arial" w:cs="Arial"/>
          <w:sz w:val="22"/>
          <w:szCs w:val="22"/>
          <w:shd w:val="clear" w:color="auto" w:fill="FFFFFF"/>
        </w:rPr>
        <w:t xml:space="preserve"> </w:t>
      </w:r>
      <w:r w:rsidRPr="000E3128">
        <w:rPr>
          <w:rFonts w:ascii="Arial" w:hAnsi="Arial" w:cs="Arial"/>
          <w:shd w:val="clear" w:color="auto" w:fill="FFFFFF"/>
        </w:rPr>
        <w:t xml:space="preserve">Furthermore, Ghana’s agricultural sector has experienced a decline in its contribution to the national economy, dropping from 31.8% of GDP in 2009 to 19.9% in 2014, with the growth rate decreasing from 7.2% to 5.2% over the same period (Badiane &amp; McMillan, 2015). This decline highlights the urgent need to revive soil fertility and enhance crop productivity to ensure food security and economic stability. Fertilizer application remains a key strategy for improving soil fertility, and inorganic fertilizers, particularly NPK, have proven to be effective and reliable sources of essential nutrients (Johnston &amp; Poulton, 2018). However, fertilizer use efficiency among smallholder farmers is often low due to poor application techniques and limited access to improved fertilizer technologies (Goswami </w:t>
      </w:r>
      <w:r w:rsidRPr="000E3128">
        <w:rPr>
          <w:rFonts w:ascii="Arial" w:hAnsi="Arial" w:cs="Arial"/>
          <w:i/>
          <w:iCs/>
          <w:shd w:val="clear" w:color="auto" w:fill="FFFFFF"/>
        </w:rPr>
        <w:t>et al.,</w:t>
      </w:r>
      <w:r w:rsidRPr="000E3128">
        <w:rPr>
          <w:rFonts w:ascii="Arial" w:hAnsi="Arial" w:cs="Arial"/>
          <w:shd w:val="clear" w:color="auto" w:fill="FFFFFF"/>
        </w:rPr>
        <w:t xml:space="preserve"> 2019).</w:t>
      </w:r>
    </w:p>
    <w:p w14:paraId="421F7F8E" w14:textId="77777777" w:rsidR="00FA776C" w:rsidRPr="000E3128" w:rsidRDefault="00FA776C" w:rsidP="000E3128">
      <w:pPr>
        <w:jc w:val="both"/>
        <w:rPr>
          <w:rFonts w:ascii="Arial" w:hAnsi="Arial" w:cs="Arial"/>
          <w:sz w:val="22"/>
          <w:szCs w:val="22"/>
          <w:shd w:val="clear" w:color="auto" w:fill="FFFFFF"/>
        </w:rPr>
      </w:pPr>
    </w:p>
    <w:p w14:paraId="08D31065" w14:textId="1BC7EAC2" w:rsidR="000E3128" w:rsidRPr="000E3128" w:rsidRDefault="000E3128" w:rsidP="000E3128">
      <w:pPr>
        <w:jc w:val="both"/>
        <w:rPr>
          <w:rFonts w:ascii="Arial" w:hAnsi="Arial" w:cs="Arial"/>
        </w:rPr>
      </w:pPr>
      <w:r w:rsidRPr="000E3128">
        <w:rPr>
          <w:rFonts w:ascii="Arial" w:hAnsi="Arial" w:cs="Arial"/>
        </w:rPr>
        <w:t xml:space="preserve">Traditional granular fertilizers such as urea and ammonium sulfate are prone to high nitrogen losses through leaching, volatilization, and runoff, resulting in low nutrient use efficiency and environmental pollution (Anjum </w:t>
      </w:r>
      <w:r w:rsidRPr="000E3128">
        <w:rPr>
          <w:rFonts w:ascii="Arial" w:hAnsi="Arial" w:cs="Arial"/>
          <w:i/>
          <w:iCs/>
        </w:rPr>
        <w:t>et al.,</w:t>
      </w:r>
      <w:r w:rsidRPr="000E3128">
        <w:rPr>
          <w:rFonts w:ascii="Arial" w:hAnsi="Arial" w:cs="Arial"/>
        </w:rPr>
        <w:t xml:space="preserve"> 2018). To address these limitations, the International Fertilizer Development Centre (IFDC) introduced briquette fertilizer technology, which compresses conventional granular fertilizers into larger, slow-release forms weighing approximately 2–4 g per pellet (IFDC, 2017). Briquette fertilizers reduce nutrient losses, enhance nitrogen use efficiency, and provide a more consistent nutrient supply throughout crop growth. Studies by Agyin-Birikorang </w:t>
      </w:r>
      <w:r w:rsidRPr="000E3128">
        <w:rPr>
          <w:rFonts w:ascii="Arial" w:hAnsi="Arial" w:cs="Arial"/>
          <w:i/>
          <w:iCs/>
        </w:rPr>
        <w:t>et al.</w:t>
      </w:r>
      <w:r w:rsidRPr="000E3128">
        <w:rPr>
          <w:rFonts w:ascii="Arial" w:hAnsi="Arial" w:cs="Arial"/>
        </w:rPr>
        <w:t xml:space="preserve"> (2018) and Adu-Gyamfi </w:t>
      </w:r>
      <w:r w:rsidRPr="000E3128">
        <w:rPr>
          <w:rFonts w:ascii="Arial" w:hAnsi="Arial" w:cs="Arial"/>
          <w:i/>
          <w:iCs/>
        </w:rPr>
        <w:t>et al.</w:t>
      </w:r>
      <w:r w:rsidRPr="000E3128">
        <w:rPr>
          <w:rFonts w:ascii="Arial" w:hAnsi="Arial" w:cs="Arial"/>
        </w:rPr>
        <w:t xml:space="preserve"> (2019) reported that NPK briquette application increased maize yield by 16–30% compared to conventional split applications of granular fertilizers. </w:t>
      </w:r>
      <w:r w:rsidRPr="000E3128">
        <w:rPr>
          <w:rFonts w:ascii="Arial" w:hAnsi="Arial" w:cs="Arial"/>
          <w:shd w:val="clear" w:color="auto" w:fill="FFFFFF"/>
        </w:rPr>
        <w:t>Given the growing food demand, widespread soil fertility depletion, and the need for efficient fertilizer use in maize production, briquette fertilizer technology presents a promising alternative to conventional methods. Therefore, this study aimed to evaluate the effects of different rates of NPK and urea briquette fertilizers on the growth and yield performance of maize.</w:t>
      </w:r>
    </w:p>
    <w:p w14:paraId="37DFBA30" w14:textId="77777777" w:rsidR="000E3128" w:rsidRDefault="000E3128" w:rsidP="00992CA0">
      <w:pPr>
        <w:jc w:val="both"/>
        <w:rPr>
          <w:rFonts w:ascii="Arial" w:hAnsi="Arial" w:cs="Arial"/>
        </w:rPr>
      </w:pPr>
    </w:p>
    <w:p w14:paraId="4EDE6E52" w14:textId="703E5A7D" w:rsidR="007F7B32" w:rsidRPr="009A716D" w:rsidRDefault="00902823" w:rsidP="00441B6F">
      <w:pPr>
        <w:pStyle w:val="AbstHead"/>
        <w:spacing w:after="0"/>
        <w:jc w:val="both"/>
        <w:rPr>
          <w:rFonts w:ascii="Arial" w:hAnsi="Arial" w:cs="Arial"/>
        </w:rPr>
      </w:pPr>
      <w:r w:rsidRPr="009A716D">
        <w:rPr>
          <w:rFonts w:ascii="Arial" w:hAnsi="Arial" w:cs="Arial"/>
        </w:rPr>
        <w:t>2. material</w:t>
      </w:r>
      <w:r w:rsidR="00C00659" w:rsidRPr="00C00659">
        <w:rPr>
          <w:rFonts w:ascii="Arial" w:hAnsi="Arial" w:cs="Arial"/>
          <w:highlight w:val="yellow"/>
        </w:rPr>
        <w:t>S</w:t>
      </w:r>
      <w:r w:rsidRPr="009A716D">
        <w:rPr>
          <w:rFonts w:ascii="Arial" w:hAnsi="Arial" w:cs="Arial"/>
        </w:rPr>
        <w:t xml:space="preserve">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61980597" w14:textId="45DB6AB3" w:rsidR="00EA2166" w:rsidRDefault="00AA74E0" w:rsidP="00EA2166">
      <w:pPr>
        <w:pStyle w:val="Body"/>
        <w:rPr>
          <w:rFonts w:ascii="Arial" w:hAnsi="Arial" w:cs="Arial"/>
          <w:b/>
          <w:sz w:val="22"/>
        </w:rPr>
      </w:pPr>
      <w:r w:rsidRPr="009A716D">
        <w:rPr>
          <w:rFonts w:ascii="Arial" w:hAnsi="Arial" w:cs="Arial"/>
          <w:b/>
          <w:caps/>
          <w:sz w:val="22"/>
        </w:rPr>
        <w:t>2.1</w:t>
      </w:r>
      <w:r w:rsidR="00C30A0F" w:rsidRPr="009A716D">
        <w:rPr>
          <w:rFonts w:ascii="Arial" w:hAnsi="Arial" w:cs="Arial"/>
          <w:b/>
          <w:sz w:val="22"/>
        </w:rPr>
        <w:t xml:space="preserve"> </w:t>
      </w:r>
      <w:r w:rsidR="00FA776C">
        <w:rPr>
          <w:rFonts w:ascii="Arial" w:hAnsi="Arial" w:cs="Arial"/>
          <w:b/>
          <w:sz w:val="22"/>
        </w:rPr>
        <w:t>Study Area</w:t>
      </w:r>
    </w:p>
    <w:p w14:paraId="45CB5A96" w14:textId="09B9CA2F" w:rsidR="00FA776C" w:rsidRDefault="00FA776C" w:rsidP="00FA776C">
      <w:pPr>
        <w:pStyle w:val="Body"/>
        <w:rPr>
          <w:rFonts w:ascii="Arial" w:hAnsi="Arial" w:cs="Arial"/>
        </w:rPr>
      </w:pPr>
      <w:r w:rsidRPr="00FA776C">
        <w:rPr>
          <w:rFonts w:ascii="Arial" w:hAnsi="Arial" w:cs="Arial"/>
        </w:rPr>
        <w:t xml:space="preserve">A multi-locational field experiment was conducted concurrently at Amantin and Nsapor with a week interval in planting between the two locations during the major rainy season of 2022 (April to August). The Atebubu-Amantin Municipality, located in Ghana’s Bono East Region, lies within the </w:t>
      </w:r>
      <w:r w:rsidRPr="00FA776C">
        <w:rPr>
          <w:rFonts w:ascii="Arial" w:hAnsi="Arial" w:cs="Arial"/>
        </w:rPr>
        <w:lastRenderedPageBreak/>
        <w:t>transitional ecological zone and ranges from 30–600 m above sea level. It is bordered by Pru, Sene West, and Nkoranza North Districts within Bono East, and Ejura-Sekyedumase, Sekyere East, and Sekyere West Districts in the Ashanti Region. Geologically, the soils consist of rocks from the Voltaian formation (MoFA, 2023). The area’s soils are predominantly fine silty loam to sandy loam with good drainage. Annual rainfall ranges from 1,400–1,800 mm, occurring in two rainy seasons, May or June, and September or October. Temperatures fluctuate between 24 °C and 30 °C, with an annual average of about 26.5–27.2 °C.</w:t>
      </w:r>
      <w:r w:rsidR="00B56E15">
        <w:rPr>
          <w:rFonts w:ascii="Arial" w:hAnsi="Arial" w:cs="Arial"/>
        </w:rPr>
        <w:t xml:space="preserve"> </w:t>
      </w:r>
      <w:r w:rsidRPr="00FA776C">
        <w:rPr>
          <w:rFonts w:ascii="Arial" w:hAnsi="Arial" w:cs="Arial"/>
        </w:rPr>
        <w:t>Nsapor is a town in the Berekum Municipality, located in the Bono Region of Ghana. Nsapor-Berekum is located in the Guinea savannah zone, characterized by a mix of trees and grasses. The area is generally flat with an elevation ranging from 200 to 300 meters above sea level. The town is surrounded by other towns and villages in the Berekum Municipality, including Ahenbronoso, Deduako, and Wiawso. The climate of Nsapor-Berekum is a tropical savannah climate, with distinct wet and dry seasons. The rainy season lasts from May to October, with the heaviest rainfall from June to September, with an average of 1,200 to 1,500 mm of rainfall (MoFA, 2023). Temperatures in Nsapor-Berekum are generally high throughout the year, with mean temperatures found between 25°C and 30°C. The soils are generally sandy and loamy, with low nutrient content.</w:t>
      </w:r>
    </w:p>
    <w:p w14:paraId="2E7BB4B6" w14:textId="66BE8882"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2.2 </w:t>
      </w:r>
      <w:r w:rsidR="00FA776C">
        <w:rPr>
          <w:rFonts w:ascii="Arial" w:hAnsi="Arial" w:cs="Arial"/>
          <w:b/>
          <w:bCs/>
          <w:sz w:val="22"/>
          <w:szCs w:val="22"/>
        </w:rPr>
        <w:t>Field Procedure, Soil Sampling and Analysis</w:t>
      </w:r>
    </w:p>
    <w:p w14:paraId="76E207F0" w14:textId="77777777" w:rsidR="00B56E15" w:rsidRDefault="00FA776C" w:rsidP="00B56E15">
      <w:pPr>
        <w:spacing w:after="240"/>
        <w:jc w:val="both"/>
        <w:rPr>
          <w:rFonts w:ascii="Arial" w:hAnsi="Arial" w:cs="Arial"/>
        </w:rPr>
      </w:pPr>
      <w:r w:rsidRPr="00FA776C">
        <w:rPr>
          <w:rFonts w:ascii="Arial" w:hAnsi="Arial" w:cs="Arial"/>
        </w:rPr>
        <w:t>The total field area measured 41 m × 26 m (1066 m²). Land preparation began with clearing weeds and removing stumps, followed by ploughing, lining, and pegging at both experimental sites, Amantin and Nsapor. The experimental field was divided into four blocks, each subdivided into seven plots, resulting in a total of 28 plots. Each plot measured 5 m × 5 m (25 m²). An alley of 2 m and 0.5 m was left between blocks and plots, respectively.</w:t>
      </w:r>
      <w:r w:rsidR="00B56E15">
        <w:rPr>
          <w:rFonts w:ascii="Arial" w:hAnsi="Arial" w:cs="Arial"/>
        </w:rPr>
        <w:t xml:space="preserve"> </w:t>
      </w:r>
    </w:p>
    <w:p w14:paraId="4005A2F7" w14:textId="7E4BB542" w:rsidR="00FA776C" w:rsidRPr="00FA776C" w:rsidRDefault="00FA776C" w:rsidP="00C00659">
      <w:pPr>
        <w:spacing w:after="240"/>
        <w:jc w:val="both"/>
        <w:rPr>
          <w:rFonts w:ascii="Arial" w:hAnsi="Arial" w:cs="Arial"/>
        </w:rPr>
      </w:pPr>
      <w:r w:rsidRPr="00FA776C">
        <w:rPr>
          <w:rFonts w:ascii="Arial" w:hAnsi="Arial" w:cs="Arial"/>
        </w:rPr>
        <w:t>Before planting and after harvesting, soil samples were collected randomly from the field and on each plot after harvesting at a depth of about 0-20 cm using a core sampler at both experimental sites, Amantin and Nsapor. The collected soil samples were dried and bulked into composite samples before fertilizer application. The soil samples were air-dried and sieved through a 2.00 mm mesh for both physical and chemical analysis. The analyzed soil parameters included pH (1:1 H</w:t>
      </w:r>
      <w:r w:rsidRPr="00FA776C">
        <w:rPr>
          <w:rFonts w:ascii="Cambria Math" w:hAnsi="Cambria Math" w:cs="Cambria Math"/>
        </w:rPr>
        <w:t>₂</w:t>
      </w:r>
      <w:r w:rsidRPr="00FA776C">
        <w:rPr>
          <w:rFonts w:ascii="Arial" w:hAnsi="Arial" w:cs="Arial"/>
        </w:rPr>
        <w:t xml:space="preserve">O), organic matter (%), organic carbon (%), total nitrogen (%), available phosphorus (P) and potassium (K) (ppm), exchangeable cations (Ca, Mg, K, Na) (me/100 g), exchangeable acidity (Al and H) (me/100 g), and particle size distribution. All analyses were carried out at the </w:t>
      </w:r>
      <w:r w:rsidR="00185F84" w:rsidRPr="001D13BD">
        <w:rPr>
          <w:rFonts w:ascii="Arial" w:hAnsi="Arial" w:cs="Arial"/>
          <w:highlight w:val="yellow"/>
        </w:rPr>
        <w:t>S</w:t>
      </w:r>
      <w:r w:rsidRPr="001D13BD">
        <w:rPr>
          <w:rFonts w:ascii="Arial" w:hAnsi="Arial" w:cs="Arial"/>
          <w:highlight w:val="yellow"/>
        </w:rPr>
        <w:t xml:space="preserve">oil </w:t>
      </w:r>
      <w:r w:rsidR="00185F84" w:rsidRPr="001D13BD">
        <w:rPr>
          <w:rFonts w:ascii="Arial" w:hAnsi="Arial" w:cs="Arial"/>
          <w:highlight w:val="yellow"/>
        </w:rPr>
        <w:t>S</w:t>
      </w:r>
      <w:r w:rsidRPr="001D13BD">
        <w:rPr>
          <w:rFonts w:ascii="Arial" w:hAnsi="Arial" w:cs="Arial"/>
          <w:highlight w:val="yellow"/>
        </w:rPr>
        <w:t xml:space="preserve">cience </w:t>
      </w:r>
      <w:r w:rsidR="00185F84" w:rsidRPr="001D13BD">
        <w:rPr>
          <w:rFonts w:ascii="Arial" w:hAnsi="Arial" w:cs="Arial"/>
          <w:highlight w:val="yellow"/>
        </w:rPr>
        <w:t>L</w:t>
      </w:r>
      <w:r w:rsidRPr="001D13BD">
        <w:rPr>
          <w:rFonts w:ascii="Arial" w:hAnsi="Arial" w:cs="Arial"/>
          <w:highlight w:val="yellow"/>
        </w:rPr>
        <w:t>aboratory of CSIR–Soil Research Institute</w:t>
      </w:r>
      <w:r w:rsidR="00185F84" w:rsidRPr="001D13BD">
        <w:rPr>
          <w:rFonts w:ascii="Arial" w:hAnsi="Arial" w:cs="Arial"/>
          <w:highlight w:val="yellow"/>
        </w:rPr>
        <w:t xml:space="preserve">- Kwadaso in </w:t>
      </w:r>
      <w:r w:rsidRPr="001D13BD">
        <w:rPr>
          <w:rFonts w:ascii="Arial" w:hAnsi="Arial" w:cs="Arial"/>
          <w:highlight w:val="yellow"/>
        </w:rPr>
        <w:t>Kumasi,</w:t>
      </w:r>
      <w:r w:rsidRPr="00FA776C">
        <w:rPr>
          <w:rFonts w:ascii="Arial" w:hAnsi="Arial" w:cs="Arial"/>
        </w:rPr>
        <w:t xml:space="preserve"> Ghana. Soil texture was determined using the hydrometer method, while soil pH </w:t>
      </w:r>
      <w:r w:rsidRPr="001D13BD">
        <w:rPr>
          <w:rFonts w:ascii="Arial" w:hAnsi="Arial" w:cs="Arial"/>
          <w:highlight w:val="yellow"/>
        </w:rPr>
        <w:t>in</w:t>
      </w:r>
      <w:r w:rsidR="001D13BD">
        <w:rPr>
          <w:rFonts w:ascii="Arial" w:hAnsi="Arial" w:cs="Arial"/>
        </w:rPr>
        <w:t xml:space="preserve"> </w:t>
      </w:r>
      <w:r w:rsidRPr="00FA776C">
        <w:rPr>
          <w:rFonts w:ascii="Arial" w:hAnsi="Arial" w:cs="Arial"/>
        </w:rPr>
        <w:t>water</w:t>
      </w:r>
      <w:r w:rsidR="001D13BD">
        <w:rPr>
          <w:rFonts w:ascii="Arial" w:hAnsi="Arial" w:cs="Arial"/>
        </w:rPr>
        <w:t xml:space="preserve"> </w:t>
      </w:r>
      <w:r w:rsidR="001D13BD" w:rsidRPr="001D13BD">
        <w:rPr>
          <w:rFonts w:ascii="Arial" w:hAnsi="Arial" w:cs="Arial"/>
          <w:highlight w:val="yellow"/>
        </w:rPr>
        <w:t>was measured</w:t>
      </w:r>
      <w:r w:rsidRPr="00FA776C">
        <w:rPr>
          <w:rFonts w:ascii="Arial" w:hAnsi="Arial" w:cs="Arial"/>
        </w:rPr>
        <w:t xml:space="preserve"> with a Veb Pracitron glass electrode pH meter (Dresden, Germany). Organic matter content was analyzed using the wet combustion method </w:t>
      </w:r>
      <w:r w:rsidRPr="00FA776C">
        <w:rPr>
          <w:rFonts w:ascii="Arial" w:hAnsi="Arial" w:cs="Arial"/>
        </w:rPr>
        <w:fldChar w:fldCharType="begin" w:fldLock="1"/>
      </w:r>
      <w:r w:rsidRPr="00FA776C">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(Walkey &amp; Black, 1934)</w:t>
      </w:r>
      <w:r w:rsidRPr="00FA776C">
        <w:rPr>
          <w:rFonts w:ascii="Arial" w:hAnsi="Arial" w:cs="Arial"/>
        </w:rPr>
        <w:fldChar w:fldCharType="end"/>
      </w:r>
      <w:r w:rsidRPr="00FA776C">
        <w:rPr>
          <w:rFonts w:ascii="Arial" w:hAnsi="Arial" w:cs="Arial"/>
        </w:rPr>
        <w:t xml:space="preserve">, and total nitrogen was determined by the micro-Kjeldahl technique </w:t>
      </w:r>
      <w:r w:rsidRPr="00FA776C">
        <w:rPr>
          <w:rFonts w:ascii="Arial" w:hAnsi="Arial" w:cs="Arial"/>
        </w:rPr>
        <w:fldChar w:fldCharType="begin" w:fldLock="1"/>
      </w:r>
      <w:r w:rsidRPr="00FA776C">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(AOAC, 1975)</w:t>
      </w:r>
      <w:r w:rsidRPr="00FA776C">
        <w:rPr>
          <w:rFonts w:ascii="Arial" w:hAnsi="Arial" w:cs="Arial"/>
        </w:rPr>
        <w:fldChar w:fldCharType="end"/>
      </w:r>
      <w:r w:rsidRPr="00FA776C">
        <w:rPr>
          <w:rFonts w:ascii="Arial" w:hAnsi="Arial" w:cs="Arial"/>
        </w:rPr>
        <w:t xml:space="preserve">. Available phosphorus was extracted using the Bray P-1 method and analyzed colorimetrically following </w:t>
      </w:r>
      <w:r w:rsidRPr="00FA776C">
        <w:rPr>
          <w:rFonts w:ascii="Arial" w:hAnsi="Arial" w:cs="Arial"/>
        </w:rPr>
        <w:fldChar w:fldCharType="begin" w:fldLock="1"/>
      </w:r>
      <w:r w:rsidRPr="00FA776C">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1945)","manualFormatting":"Bray &amp; Kutz (1945)","plainTextFormattedCitation":"(Bray &amp; Kutz, 1945)","previouslyFormattedCitation":"(Bray &amp; Kutz, 1945)"},"properties":{"noteIndex":0},"schema":"https://github.com/citation-style-language/schema/raw/master/csl-citation.json"}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Bray &amp; Kutz (1945)</w:t>
      </w:r>
      <w:r w:rsidRPr="00FA776C">
        <w:rPr>
          <w:rFonts w:ascii="Arial" w:hAnsi="Arial" w:cs="Arial"/>
        </w:rPr>
        <w:fldChar w:fldCharType="end"/>
      </w:r>
      <w:r w:rsidRPr="00FA776C">
        <w:rPr>
          <w:rFonts w:ascii="Arial" w:hAnsi="Arial" w:cs="Arial"/>
        </w:rPr>
        <w:t xml:space="preserve">. Potassium concentration was quantified through flame emission photometry </w:t>
      </w:r>
      <w:r w:rsidRPr="00FA776C">
        <w:rPr>
          <w:rFonts w:ascii="Arial" w:hAnsi="Arial" w:cs="Arial"/>
        </w:rPr>
        <w:fldChar w:fldCharType="begin" w:fldLock="1"/>
      </w:r>
      <w:r w:rsidRPr="00FA776C">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1979)","plainTextFormattedCitation":"(IITA, 1979)","previouslyFormattedCitation":"(IITA, 1979)"},"properties":{"noteIndex":0},"schema":"https://github.com/citation-style-language/schema/raw/master/csl-citation.json"}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(IITA, 1979)</w:t>
      </w:r>
      <w:r w:rsidRPr="00FA776C">
        <w:rPr>
          <w:rFonts w:ascii="Arial" w:hAnsi="Arial" w:cs="Arial"/>
        </w:rPr>
        <w:fldChar w:fldCharType="end"/>
      </w:r>
      <w:r w:rsidRPr="00FA776C">
        <w:rPr>
          <w:rFonts w:ascii="Arial" w:hAnsi="Arial" w:cs="Arial"/>
        </w:rPr>
        <w:t xml:space="preserve">. Exchangeable cations (Ca, Mg, K, and Na) were extracted with 0.1 N ammonium acetate (pH 7.0) and determined by EDTA titration according to </w:t>
      </w:r>
      <w:r w:rsidRPr="00FA776C">
        <w:rPr>
          <w:rFonts w:ascii="Arial" w:hAnsi="Arial" w:cs="Arial"/>
        </w:rPr>
        <w:fldChar w:fldCharType="begin" w:fldLock="1"/>
      </w:r>
      <w:r w:rsidRPr="00FA776C">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IITA (1979)</w:t>
      </w:r>
      <w:r w:rsidRPr="00FA776C">
        <w:rPr>
          <w:rFonts w:ascii="Arial" w:hAnsi="Arial" w:cs="Arial"/>
        </w:rPr>
        <w:fldChar w:fldCharType="end"/>
      </w:r>
      <w:r w:rsidRPr="00FA776C">
        <w:rPr>
          <w:rFonts w:ascii="Arial" w:hAnsi="Arial" w:cs="Arial"/>
        </w:rPr>
        <w:t xml:space="preserve"> procedures.</w:t>
      </w:r>
      <w:r w:rsidR="00C00659">
        <w:rPr>
          <w:rFonts w:ascii="Arial" w:hAnsi="Arial" w:cs="Arial"/>
        </w:rPr>
        <w:t xml:space="preserve"> </w:t>
      </w:r>
      <w:r w:rsidRPr="00C00659">
        <w:rPr>
          <w:rFonts w:ascii="Arial" w:hAnsi="Arial" w:cs="Arial"/>
          <w:highlight w:val="yellow"/>
        </w:rPr>
        <w:t>Exchangeable</w:t>
      </w:r>
      <w:r w:rsidRPr="00FA776C">
        <w:rPr>
          <w:rFonts w:ascii="Arial" w:hAnsi="Arial" w:cs="Arial"/>
        </w:rPr>
        <w:t xml:space="preserve"> aluminium was extracted using a 1 M KCl solution (soil-to-solution ratio 1:5), filtered, and titrated with 0.01 M NaOH using phenolphthalein as an indicator. The volume of NaOH used was used to determine the Al³</w:t>
      </w:r>
      <w:r w:rsidRPr="00FA776C">
        <w:rPr>
          <w:rFonts w:ascii="Cambria Math" w:hAnsi="Cambria Math" w:cs="Cambria Math"/>
        </w:rPr>
        <w:t>⁺</w:t>
      </w:r>
      <w:r w:rsidRPr="00FA776C">
        <w:rPr>
          <w:rFonts w:ascii="Arial" w:hAnsi="Arial" w:cs="Arial"/>
        </w:rPr>
        <w:t xml:space="preserve"> concentration following standard </w:t>
      </w:r>
      <w:r w:rsidRPr="00FA776C">
        <w:rPr>
          <w:rFonts w:ascii="Arial" w:hAnsi="Arial" w:cs="Arial"/>
        </w:rPr>
        <w:fldChar w:fldCharType="begin" w:fldLock="1"/>
      </w:r>
      <w:r w:rsidRPr="00FA776C">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IITA (1979)</w:t>
      </w:r>
      <w:r w:rsidRPr="00FA776C">
        <w:rPr>
          <w:rFonts w:ascii="Arial" w:hAnsi="Arial" w:cs="Arial"/>
        </w:rPr>
        <w:fldChar w:fldCharType="end"/>
      </w:r>
      <w:r w:rsidRPr="00FA776C">
        <w:rPr>
          <w:rFonts w:ascii="Arial" w:hAnsi="Arial" w:cs="Arial"/>
        </w:rPr>
        <w:t xml:space="preserve"> protocols.</w:t>
      </w:r>
    </w:p>
    <w:p w14:paraId="0849EEE2" w14:textId="73E90B21"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2.3 </w:t>
      </w:r>
      <w:r w:rsidR="00FA776C">
        <w:rPr>
          <w:rFonts w:ascii="Arial" w:hAnsi="Arial" w:cs="Arial"/>
          <w:b/>
          <w:bCs/>
          <w:sz w:val="22"/>
          <w:szCs w:val="22"/>
        </w:rPr>
        <w:t>Experiment Design and Treatment</w:t>
      </w:r>
    </w:p>
    <w:p w14:paraId="506C1094" w14:textId="053AE7D6" w:rsidR="00FA776C" w:rsidRDefault="00FA776C" w:rsidP="00EC0073">
      <w:pPr>
        <w:jc w:val="both"/>
        <w:rPr>
          <w:rFonts w:ascii="Arial" w:hAnsi="Arial" w:cs="Arial"/>
        </w:rPr>
      </w:pPr>
      <w:bookmarkStart w:id="1" w:name="_Hlk154708628"/>
      <w:bookmarkStart w:id="2" w:name="_Hlk197980458"/>
      <w:r w:rsidRPr="00FA776C">
        <w:rPr>
          <w:rFonts w:ascii="Arial" w:hAnsi="Arial" w:cs="Arial"/>
        </w:rPr>
        <w:t xml:space="preserve">The experimental design used across both locations was a Randomized Complete Block Design (RCBD) with seven treatments and four replications. The seven (7) treatments were: - (i) No fertilizer (Control), (ii) Granule NPK &amp; Urea (120-40-40) 200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7C4D89">
        <w:rPr>
          <w:rFonts w:ascii="Arial" w:hAnsi="Arial" w:cs="Arial"/>
          <w:vertAlign w:val="superscript"/>
        </w:rPr>
        <w:t xml:space="preserve"> </w:t>
      </w:r>
      <w:r w:rsidRPr="00FA776C">
        <w:rPr>
          <w:rFonts w:ascii="Arial" w:hAnsi="Arial" w:cs="Arial"/>
        </w:rPr>
        <w:t xml:space="preserve">, (iii) Briquette NPK &amp; Urea (121-58.7-59) 230.4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7C4D89">
        <w:rPr>
          <w:rFonts w:ascii="Arial" w:hAnsi="Arial" w:cs="Arial"/>
          <w:vertAlign w:val="superscript"/>
        </w:rPr>
        <w:t xml:space="preserve"> </w:t>
      </w:r>
      <w:r w:rsidRPr="00FA776C">
        <w:rPr>
          <w:rFonts w:ascii="Arial" w:hAnsi="Arial" w:cs="Arial"/>
        </w:rPr>
        <w:t xml:space="preserve">, (iv) Briquette NPK &amp; Urea (114-44-44) 172.8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7C4D89">
        <w:rPr>
          <w:rFonts w:ascii="Arial" w:hAnsi="Arial" w:cs="Arial"/>
          <w:vertAlign w:val="superscript"/>
        </w:rPr>
        <w:t xml:space="preserve"> </w:t>
      </w:r>
      <w:r w:rsidRPr="00FA776C">
        <w:rPr>
          <w:rFonts w:ascii="Arial" w:hAnsi="Arial" w:cs="Arial"/>
        </w:rPr>
        <w:t xml:space="preserve">, (v) Briquette </w:t>
      </w:r>
      <w:r w:rsidRPr="00FA776C">
        <w:rPr>
          <w:rFonts w:ascii="Arial" w:hAnsi="Arial" w:cs="Arial"/>
        </w:rPr>
        <w:lastRenderedPageBreak/>
        <w:t xml:space="preserve">NPK &amp; Urea (91-59-59) 230.4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7C4D89">
        <w:rPr>
          <w:rFonts w:ascii="Arial" w:hAnsi="Arial" w:cs="Arial"/>
          <w:vertAlign w:val="superscript"/>
        </w:rPr>
        <w:t xml:space="preserve"> </w:t>
      </w:r>
      <w:r w:rsidRPr="00FA776C">
        <w:rPr>
          <w:rFonts w:ascii="Arial" w:hAnsi="Arial" w:cs="Arial"/>
        </w:rPr>
        <w:t xml:space="preserve">, (vi) Briquette NPK &amp; Urea (76-29-29)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7C4D89">
        <w:rPr>
          <w:rFonts w:ascii="Arial" w:hAnsi="Arial" w:cs="Arial"/>
          <w:vertAlign w:val="superscript"/>
        </w:rPr>
        <w:t xml:space="preserve"> </w:t>
      </w:r>
      <w:r w:rsidRPr="00FA776C">
        <w:rPr>
          <w:rFonts w:ascii="Arial" w:hAnsi="Arial" w:cs="Arial"/>
        </w:rPr>
        <w:t xml:space="preserve">, and (vii) Briquette NPK &amp; Urea (31-29-29) 115.2 </w:t>
      </w:r>
      <w:r w:rsidR="003E2A6F" w:rsidRPr="007C4D89">
        <w:rPr>
          <w:rFonts w:ascii="Arial" w:hAnsi="Arial" w:cs="Arial"/>
          <w:highlight w:val="yellow"/>
        </w:rPr>
        <w:t>kg ha</w:t>
      </w:r>
      <w:r w:rsidR="003E2A6F" w:rsidRPr="007C4D89">
        <w:rPr>
          <w:rFonts w:ascii="Arial" w:hAnsi="Arial" w:cs="Arial"/>
          <w:highlight w:val="yellow"/>
          <w:vertAlign w:val="superscript"/>
        </w:rPr>
        <w:t>-1</w:t>
      </w:r>
      <w:r w:rsidR="003E2A6F" w:rsidRPr="007C4D89">
        <w:rPr>
          <w:rFonts w:ascii="Arial" w:hAnsi="Arial" w:cs="Arial"/>
          <w:vertAlign w:val="superscript"/>
        </w:rPr>
        <w:t xml:space="preserve"> </w:t>
      </w:r>
      <w:r w:rsidRPr="00FA776C">
        <w:rPr>
          <w:rFonts w:ascii="Arial" w:hAnsi="Arial" w:cs="Arial"/>
        </w:rPr>
        <w:t>.</w:t>
      </w:r>
    </w:p>
    <w:p w14:paraId="6F37FF82" w14:textId="77777777" w:rsidR="001D13BD" w:rsidRDefault="001D13BD" w:rsidP="00EC0073">
      <w:pPr>
        <w:jc w:val="both"/>
        <w:rPr>
          <w:rFonts w:ascii="Arial" w:hAnsi="Arial" w:cs="Arial"/>
        </w:rPr>
      </w:pPr>
    </w:p>
    <w:bookmarkEnd w:id="1"/>
    <w:bookmarkEnd w:id="2"/>
    <w:p w14:paraId="27748B09" w14:textId="7B52F67D" w:rsidR="00EC0073" w:rsidRPr="00EC0073" w:rsidRDefault="00EC0073" w:rsidP="00EC0073">
      <w:pPr>
        <w:pStyle w:val="Body"/>
        <w:tabs>
          <w:tab w:val="left" w:pos="720"/>
          <w:tab w:val="left" w:pos="1440"/>
          <w:tab w:val="left" w:pos="2160"/>
          <w:tab w:val="left" w:pos="2880"/>
          <w:tab w:val="left" w:pos="3600"/>
          <w:tab w:val="left" w:pos="4320"/>
          <w:tab w:val="left" w:pos="5040"/>
          <w:tab w:val="right" w:pos="8550"/>
        </w:tabs>
        <w:rPr>
          <w:rFonts w:ascii="Arial" w:hAnsi="Arial" w:cs="Arial"/>
          <w:b/>
          <w:bCs/>
        </w:rPr>
      </w:pPr>
      <w:r w:rsidRPr="00EC0073">
        <w:rPr>
          <w:rFonts w:ascii="Arial" w:hAnsi="Arial" w:cs="Arial"/>
          <w:b/>
          <w:bCs/>
          <w:sz w:val="22"/>
          <w:szCs w:val="22"/>
        </w:rPr>
        <w:t xml:space="preserve">2.4 </w:t>
      </w:r>
      <w:r w:rsidR="00FA776C">
        <w:rPr>
          <w:rFonts w:ascii="Arial" w:hAnsi="Arial" w:cs="Arial"/>
          <w:b/>
          <w:bCs/>
          <w:sz w:val="22"/>
          <w:szCs w:val="22"/>
        </w:rPr>
        <w:t>Planting Materials and Planting</w:t>
      </w:r>
    </w:p>
    <w:p w14:paraId="0172FD5F" w14:textId="24D73419" w:rsidR="00FA776C" w:rsidRDefault="001D13BD" w:rsidP="00EC0073">
      <w:pPr>
        <w:pStyle w:val="Body"/>
        <w:rPr>
          <w:rFonts w:ascii="Arial" w:hAnsi="Arial" w:cs="Arial"/>
        </w:rPr>
      </w:pPr>
      <w:r w:rsidRPr="001D13BD">
        <w:rPr>
          <w:rFonts w:ascii="Arial" w:hAnsi="Arial" w:cs="Arial"/>
          <w:highlight w:val="yellow"/>
        </w:rPr>
        <w:t xml:space="preserve">The maize variety used for the study was </w:t>
      </w:r>
      <w:r w:rsidRPr="001D13BD">
        <w:rPr>
          <w:rFonts w:ascii="Arial" w:hAnsi="Arial" w:cs="Arial"/>
          <w:i/>
          <w:iCs/>
          <w:highlight w:val="yellow"/>
        </w:rPr>
        <w:t>Sanzal sima</w:t>
      </w:r>
      <w:r>
        <w:rPr>
          <w:rFonts w:ascii="Arial" w:hAnsi="Arial" w:cs="Arial"/>
          <w:i/>
          <w:iCs/>
        </w:rPr>
        <w:t xml:space="preserve"> </w:t>
      </w:r>
      <w:r w:rsidRPr="001D13BD">
        <w:rPr>
          <w:rFonts w:ascii="Arial" w:hAnsi="Arial" w:cs="Arial"/>
          <w:highlight w:val="yellow"/>
        </w:rPr>
        <w:t>and it</w:t>
      </w:r>
      <w:r>
        <w:rPr>
          <w:rFonts w:ascii="Arial" w:hAnsi="Arial" w:cs="Arial"/>
          <w:i/>
          <w:iCs/>
        </w:rPr>
        <w:t xml:space="preserve"> </w:t>
      </w:r>
      <w:r w:rsidR="00FA776C" w:rsidRPr="00FA776C">
        <w:rPr>
          <w:rFonts w:ascii="Arial" w:hAnsi="Arial" w:cs="Arial"/>
        </w:rPr>
        <w:t xml:space="preserve">was obtained from the International Fertilizer Development Centre (IFDC). IFDC is a science-based public international organisation based in the USA, working to alleviate global hunger by introducing improved agricultural practices and fertilizer technologies to farmers and linking farmers to markets. The </w:t>
      </w:r>
      <w:r w:rsidR="00FA776C" w:rsidRPr="00C00659">
        <w:rPr>
          <w:rFonts w:ascii="Arial" w:hAnsi="Arial" w:cs="Arial"/>
          <w:i/>
          <w:iCs/>
          <w:highlight w:val="yellow"/>
        </w:rPr>
        <w:t>Sanzal sima</w:t>
      </w:r>
      <w:r w:rsidR="00FA776C" w:rsidRPr="00C00659">
        <w:rPr>
          <w:rFonts w:ascii="Arial" w:hAnsi="Arial" w:cs="Arial"/>
          <w:highlight w:val="yellow"/>
        </w:rPr>
        <w:t xml:space="preserve"> </w:t>
      </w:r>
      <w:r w:rsidR="00FA776C" w:rsidRPr="00FA776C">
        <w:rPr>
          <w:rFonts w:ascii="Arial" w:hAnsi="Arial" w:cs="Arial"/>
        </w:rPr>
        <w:t>maize variety is white in colour. The Sanzal sima maize variety was selected owing to tolerance to maize diseases and medium maturing characteristics (maturing within 110 days) post-planting, and its adaptation to local growing conditions. Three seeds were sown per hole on 13th April, 2022, and 20th April 2022 at Amantin and Nsapor, respectively. The planting distance was 75 cm x 40 cm. The number of rows was 6, and the number of hills per row was 12. Vacant stands were supplied with new seeds one week after sowing. Thinning out to two (2) seedlings per hole was also done one week after sowing.</w:t>
      </w:r>
    </w:p>
    <w:p w14:paraId="431A02CB" w14:textId="79A45E1E"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2.5 </w:t>
      </w:r>
      <w:r w:rsidR="00B56E15">
        <w:rPr>
          <w:rFonts w:ascii="Arial" w:hAnsi="Arial" w:cs="Arial"/>
          <w:b/>
          <w:bCs/>
          <w:sz w:val="22"/>
          <w:szCs w:val="22"/>
        </w:rPr>
        <w:t>Management Practices</w:t>
      </w:r>
    </w:p>
    <w:p w14:paraId="5C91F858" w14:textId="616810D6" w:rsidR="00B56E15" w:rsidRDefault="00B56E15" w:rsidP="00EC0073">
      <w:pPr>
        <w:pStyle w:val="Body"/>
        <w:rPr>
          <w:rFonts w:ascii="Arial" w:hAnsi="Arial" w:cs="Arial"/>
          <w:iCs/>
        </w:rPr>
      </w:pPr>
      <w:r w:rsidRPr="00B56E15">
        <w:rPr>
          <w:rFonts w:ascii="Arial" w:hAnsi="Arial" w:cs="Arial"/>
          <w:iCs/>
        </w:rPr>
        <w:t>Different rates of inorganic fertilizer were applied 3 weeks after planting (WAP) through deep placement. Two NPK and Urea briquette fertilizers were deep placed 5 to 10 cm deep by using the side placement method and according to treatment. The NPK granules were top-dressed 3 weeks after planting. The fertilizer granules were spread around the base of the maize plant. Weeds were controlled for both experiments at 3 weeks after planting (WAP) using a hoe and cutlass before the close of the canopy to reduce the competition with crops. Subsequent  weed control was done by hoeing and hand pulling. The incidence of pests and diseases was periodically monitored during routine visits to the experimental sites, Amantin and Nsapor, to check for pests like the fall armyworm (</w:t>
      </w:r>
      <w:r w:rsidRPr="001D13BD">
        <w:rPr>
          <w:rFonts w:ascii="Arial" w:hAnsi="Arial" w:cs="Arial"/>
          <w:i/>
          <w:highlight w:val="yellow"/>
        </w:rPr>
        <w:t>Spodoptera frugiperda</w:t>
      </w:r>
      <w:r w:rsidRPr="00B56E15">
        <w:rPr>
          <w:rFonts w:ascii="Arial" w:hAnsi="Arial" w:cs="Arial"/>
          <w:iCs/>
        </w:rPr>
        <w:t>). The incidence of fall armyworm was controlled by spraying with Cydim Super (</w:t>
      </w:r>
      <w:r w:rsidRPr="003E2A6F">
        <w:rPr>
          <w:rFonts w:ascii="Arial" w:hAnsi="Arial" w:cs="Arial"/>
          <w:iCs/>
        </w:rPr>
        <w:t>Cypermethrin+Dimethoate</w:t>
      </w:r>
      <w:r w:rsidRPr="00B56E15">
        <w:rPr>
          <w:rFonts w:ascii="Arial" w:hAnsi="Arial" w:cs="Arial"/>
          <w:iCs/>
        </w:rPr>
        <w:t>) at the recommended rate of 40 ml per 15-liter Knapsack sprayer tank equivalent to 16 L of insecticide mixed with 6,000 L of water per hectare. The fall armyworm control was done at 4 WAP at both locations.</w:t>
      </w:r>
    </w:p>
    <w:p w14:paraId="079B93F6" w14:textId="20A5A8EA"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2.6 </w:t>
      </w:r>
      <w:r w:rsidR="00B56E15">
        <w:rPr>
          <w:rFonts w:ascii="Arial" w:hAnsi="Arial" w:cs="Arial"/>
          <w:b/>
          <w:bCs/>
          <w:sz w:val="22"/>
          <w:szCs w:val="22"/>
        </w:rPr>
        <w:t>Data Collected</w:t>
      </w:r>
      <w:r w:rsidRPr="00EC0073">
        <w:rPr>
          <w:rFonts w:ascii="Arial" w:hAnsi="Arial" w:cs="Arial"/>
          <w:b/>
          <w:bCs/>
          <w:sz w:val="22"/>
          <w:szCs w:val="22"/>
        </w:rPr>
        <w:t xml:space="preserve"> </w:t>
      </w:r>
    </w:p>
    <w:p w14:paraId="48968E6A" w14:textId="23227362" w:rsidR="00B56E15" w:rsidRPr="00B56E15" w:rsidRDefault="00B56E15" w:rsidP="00B56E15">
      <w:pPr>
        <w:jc w:val="both"/>
        <w:rPr>
          <w:rFonts w:ascii="Arial" w:hAnsi="Arial" w:cs="Arial"/>
        </w:rPr>
      </w:pPr>
      <w:r w:rsidRPr="00B56E15">
        <w:rPr>
          <w:rFonts w:ascii="Arial" w:hAnsi="Arial" w:cs="Arial"/>
        </w:rPr>
        <w:t>Data were collected on phenology, vegetative growth, and yield and yield components of maize. The number of days to 50% tasseling and silking was determined by counting the number of days from sowing to when half of the plants within the four harvestable central rows had tasseled or silked. Five plants per plot were randomly selected and tagged from the four harvestable central rows for data collection at both experimental locations (Atebubu and Nsapor</w:t>
      </w:r>
      <w:r w:rsidRPr="00C00659">
        <w:rPr>
          <w:rFonts w:ascii="Arial" w:hAnsi="Arial" w:cs="Arial"/>
          <w:highlight w:val="yellow"/>
        </w:rPr>
        <w:t>). Plant height was</w:t>
      </w:r>
      <w:r w:rsidRPr="00B56E15">
        <w:rPr>
          <w:rFonts w:ascii="Arial" w:hAnsi="Arial" w:cs="Arial"/>
        </w:rPr>
        <w:t xml:space="preserve"> measured using a meter rule from the soil surface to the tip of the apical leaf at five and seven WAP, and the mean plant height was estimated and recorded for each treatment. The stem diameter of the five randomly selected and tagged plants from the four harvestable central rows of each plot was measured using a digital vernier caliper at about 5 cm above the soil surface. The mean diameter was estimated and recorded in cm. </w:t>
      </w:r>
    </w:p>
    <w:p w14:paraId="52E24635" w14:textId="42963789" w:rsidR="00B56E15" w:rsidRPr="00B56E15" w:rsidRDefault="00B56E15" w:rsidP="00B56E15">
      <w:pPr>
        <w:jc w:val="both"/>
        <w:rPr>
          <w:rFonts w:ascii="Arial" w:hAnsi="Arial" w:cs="Arial"/>
        </w:rPr>
      </w:pPr>
      <w:r w:rsidRPr="00B56E15">
        <w:rPr>
          <w:rFonts w:ascii="Arial" w:hAnsi="Arial" w:cs="Arial"/>
        </w:rPr>
        <w:t>Yield and yield components parameters measured included cob weight per plot, cob length, cob diameter, 100-seed weight, and grain yield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Pr="00B56E15">
        <w:rPr>
          <w:rFonts w:ascii="Arial" w:hAnsi="Arial" w:cs="Arial"/>
        </w:rPr>
        <w:t xml:space="preserve">). All cobs from the four harvestable central rows of each plot at both experimental locations (Atebubu and Nsapor) were weighed using a </w:t>
      </w:r>
      <w:r w:rsidR="001D13BD">
        <w:rPr>
          <w:rFonts w:ascii="Arial" w:hAnsi="Arial" w:cs="Arial"/>
          <w:highlight w:val="yellow"/>
        </w:rPr>
        <w:t>s</w:t>
      </w:r>
      <w:r w:rsidRPr="001D13BD">
        <w:rPr>
          <w:rFonts w:ascii="Arial" w:hAnsi="Arial" w:cs="Arial"/>
          <w:highlight w:val="yellow"/>
        </w:rPr>
        <w:t>alte</w:t>
      </w:r>
      <w:r w:rsidR="001D13BD" w:rsidRPr="001D13BD">
        <w:rPr>
          <w:rFonts w:ascii="Arial" w:hAnsi="Arial" w:cs="Arial"/>
          <w:highlight w:val="yellow"/>
        </w:rPr>
        <w:t>r</w:t>
      </w:r>
      <w:r w:rsidRPr="00B56E15">
        <w:rPr>
          <w:rFonts w:ascii="Arial" w:hAnsi="Arial" w:cs="Arial"/>
        </w:rPr>
        <w:t xml:space="preserve"> suspended weigher with model number 235, and the mean weight was recorded in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Pr="00B56E15">
        <w:rPr>
          <w:rFonts w:ascii="Arial" w:hAnsi="Arial" w:cs="Arial"/>
        </w:rPr>
        <w:t xml:space="preserve">. Five cobs were randomly selected from the four harvestable central rows of each plot, and the length was determined from the base of the cob to the tip with a meter rule, whereas the diameter was measured at the widest part using a digital vernier caliper. The mean length and diameter were estimated and recorded in cm. Hundred seeds were randomly sampled from the four </w:t>
      </w:r>
      <w:r w:rsidRPr="00B56E15">
        <w:rPr>
          <w:rFonts w:ascii="Arial" w:hAnsi="Arial" w:cs="Arial"/>
        </w:rPr>
        <w:lastRenderedPageBreak/>
        <w:t xml:space="preserve">harvestable central rows of each plot after shelling, weighed using an electronic weighing scale, and used to compute the mean. The grain yield within the four harvestable central rows of each plot was calculated and computed in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B56E15">
        <w:rPr>
          <w:rFonts w:ascii="Arial" w:hAnsi="Arial" w:cs="Arial"/>
        </w:rPr>
        <w:t xml:space="preserve">by using the formula described by Amanullah </w:t>
      </w:r>
      <w:r w:rsidRPr="00B56E15">
        <w:rPr>
          <w:rFonts w:ascii="Arial" w:hAnsi="Arial" w:cs="Arial"/>
          <w:i/>
          <w:iCs/>
        </w:rPr>
        <w:t>et al</w:t>
      </w:r>
      <w:r w:rsidRPr="00B56E15">
        <w:rPr>
          <w:rFonts w:ascii="Arial" w:hAnsi="Arial" w:cs="Arial"/>
        </w:rPr>
        <w:t xml:space="preserve">. (2019). </w:t>
      </w:r>
    </w:p>
    <w:p w14:paraId="4DAC46F4" w14:textId="25706F8E" w:rsidR="00B56E15" w:rsidRPr="00B56E15" w:rsidRDefault="00B56E15" w:rsidP="00B56E15">
      <w:pPr>
        <w:jc w:val="both"/>
        <w:rPr>
          <w:rFonts w:ascii="Arial" w:hAnsi="Arial" w:cs="Arial"/>
        </w:rPr>
      </w:pPr>
      <w:r w:rsidRPr="00B56E15">
        <w:rPr>
          <w:rFonts w:ascii="Arial" w:hAnsi="Arial" w:cs="Arial"/>
          <w:szCs w:val="22"/>
        </w:rPr>
        <w:t>Grain yield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B56E15">
        <w:rPr>
          <w:rFonts w:ascii="Arial" w:hAnsi="Arial" w:cs="Arial"/>
          <w:szCs w:val="22"/>
        </w:rPr>
        <w:t xml:space="preserve">) </w:t>
      </w:r>
      <m:oMath>
        <m:r>
          <m:rPr>
            <m:sty m:val="p"/>
          </m:rPr>
          <w:rPr>
            <w:rFonts w:ascii="Cambria Math" w:hAnsi="Cambria Math" w:cs="Arial"/>
            <w:szCs w:val="22"/>
          </w:rPr>
          <m:t xml:space="preserve">= </m:t>
        </m:r>
        <m:f>
          <m:fPr>
            <m:ctrlPr>
              <w:rPr>
                <w:rFonts w:ascii="Cambria Math" w:hAnsi="Cambria Math" w:cs="Arial"/>
                <w:szCs w:val="22"/>
              </w:rPr>
            </m:ctrlPr>
          </m:fPr>
          <m:num>
            <m:r>
              <w:rPr>
                <w:rFonts w:ascii="Cambria Math" w:hAnsi="Cambria Math" w:cs="Arial"/>
                <w:szCs w:val="22"/>
              </w:rPr>
              <m:t>Yield (kg)</m:t>
            </m:r>
          </m:num>
          <m:den>
            <m:r>
              <w:rPr>
                <w:rFonts w:ascii="Cambria Math" w:hAnsi="Cambria Math" w:cs="Arial"/>
                <w:szCs w:val="22"/>
              </w:rPr>
              <m:t>Harvestable</m:t>
            </m:r>
            <m:r>
              <m:rPr>
                <m:sty m:val="p"/>
              </m:rPr>
              <w:rPr>
                <w:rFonts w:ascii="Cambria Math" w:hAnsi="Cambria Math" w:cs="Arial"/>
                <w:szCs w:val="22"/>
              </w:rPr>
              <m:t xml:space="preserve"> </m:t>
            </m:r>
            <m:r>
              <w:rPr>
                <w:rFonts w:ascii="Cambria Math" w:hAnsi="Cambria Math" w:cs="Arial"/>
                <w:szCs w:val="22"/>
              </w:rPr>
              <m:t>area</m:t>
            </m:r>
            <m:r>
              <m:rPr>
                <m:sty m:val="p"/>
              </m:rPr>
              <w:rPr>
                <w:rFonts w:ascii="Cambria Math" w:hAnsi="Cambria Math" w:cs="Arial"/>
                <w:szCs w:val="22"/>
              </w:rPr>
              <m:t xml:space="preserve"> (</m:t>
            </m:r>
            <m:sSup>
              <m:sSupPr>
                <m:ctrlPr>
                  <w:rPr>
                    <w:rFonts w:ascii="Cambria Math" w:hAnsi="Cambria Math" w:cs="Arial"/>
                    <w:szCs w:val="22"/>
                  </w:rPr>
                </m:ctrlPr>
              </m:sSupPr>
              <m:e>
                <m:r>
                  <w:rPr>
                    <w:rFonts w:ascii="Cambria Math" w:hAnsi="Cambria Math" w:cs="Arial"/>
                    <w:szCs w:val="22"/>
                  </w:rPr>
                  <m:t>m</m:t>
                </m:r>
              </m:e>
              <m:sup>
                <m:r>
                  <m:rPr>
                    <m:sty m:val="p"/>
                  </m:rPr>
                  <w:rPr>
                    <w:rFonts w:ascii="Cambria Math" w:hAnsi="Cambria Math" w:cs="Arial"/>
                    <w:szCs w:val="22"/>
                  </w:rPr>
                  <m:t>2</m:t>
                </m:r>
              </m:sup>
            </m:sSup>
            <m:r>
              <m:rPr>
                <m:sty m:val="p"/>
              </m:rPr>
              <w:rPr>
                <w:rFonts w:ascii="Cambria Math" w:hAnsi="Cambria Math" w:cs="Arial"/>
                <w:szCs w:val="22"/>
              </w:rPr>
              <m:t>)</m:t>
            </m:r>
          </m:den>
        </m:f>
      </m:oMath>
      <w:r w:rsidRPr="00B56E15">
        <w:rPr>
          <w:rFonts w:ascii="Arial" w:hAnsi="Arial" w:cs="Arial"/>
          <w:szCs w:val="22"/>
        </w:rPr>
        <w:t xml:space="preserve"> x 1000 m</w:t>
      </w:r>
      <w:r w:rsidRPr="00B56E15">
        <w:rPr>
          <w:rFonts w:ascii="Arial" w:hAnsi="Arial" w:cs="Arial"/>
          <w:szCs w:val="22"/>
          <w:vertAlign w:val="superscript"/>
        </w:rPr>
        <w:t xml:space="preserve">2                    </w:t>
      </w:r>
      <w:r w:rsidRPr="00B56E15">
        <w:rPr>
          <w:rFonts w:ascii="Arial" w:hAnsi="Arial" w:cs="Arial"/>
          <w:szCs w:val="22"/>
        </w:rPr>
        <w:t xml:space="preserve">                                                      </w:t>
      </w:r>
      <w:r w:rsidRPr="00B56E15">
        <w:rPr>
          <w:rFonts w:ascii="Arial" w:eastAsiaTheme="minorEastAsia" w:hAnsi="Arial" w:cs="Arial"/>
        </w:rPr>
        <w:t>(1)</w:t>
      </w:r>
    </w:p>
    <w:p w14:paraId="28636EC9" w14:textId="77777777" w:rsidR="00EC0073" w:rsidRDefault="00EC0073" w:rsidP="00EC0073">
      <w:pPr>
        <w:rPr>
          <w:iCs/>
          <w:sz w:val="18"/>
          <w:szCs w:val="18"/>
        </w:rPr>
      </w:pPr>
    </w:p>
    <w:p w14:paraId="3136A09E" w14:textId="77777777" w:rsidR="00B56E15" w:rsidRPr="00056670" w:rsidRDefault="00B56E15" w:rsidP="00EC0073">
      <w:pPr>
        <w:rPr>
          <w:iCs/>
          <w:sz w:val="18"/>
          <w:szCs w:val="18"/>
        </w:rPr>
      </w:pPr>
    </w:p>
    <w:p w14:paraId="099DCE58" w14:textId="3A6BAC37" w:rsidR="00EC0073" w:rsidRPr="00EC0073" w:rsidRDefault="00EC0073" w:rsidP="00EC0073">
      <w:pPr>
        <w:pStyle w:val="Body"/>
        <w:rPr>
          <w:rFonts w:ascii="Arial" w:hAnsi="Arial" w:cs="Arial"/>
          <w:b/>
          <w:bCs/>
        </w:rPr>
      </w:pPr>
      <w:r w:rsidRPr="00EC0073">
        <w:rPr>
          <w:rFonts w:ascii="Arial" w:hAnsi="Arial" w:cs="Arial"/>
          <w:b/>
          <w:bCs/>
          <w:sz w:val="22"/>
          <w:szCs w:val="22"/>
        </w:rPr>
        <w:t>2.</w:t>
      </w:r>
      <w:r w:rsidR="00B56E15">
        <w:rPr>
          <w:rFonts w:ascii="Arial" w:hAnsi="Arial" w:cs="Arial"/>
          <w:b/>
          <w:bCs/>
          <w:sz w:val="22"/>
          <w:szCs w:val="22"/>
        </w:rPr>
        <w:t>7</w:t>
      </w:r>
      <w:r w:rsidRPr="00EC0073">
        <w:rPr>
          <w:rFonts w:ascii="Arial" w:hAnsi="Arial" w:cs="Arial"/>
          <w:b/>
          <w:bCs/>
          <w:sz w:val="22"/>
          <w:szCs w:val="22"/>
        </w:rPr>
        <w:t xml:space="preserve"> Statistical Analysis</w:t>
      </w:r>
      <w:r w:rsidRPr="00EC0073">
        <w:rPr>
          <w:rFonts w:ascii="Arial" w:hAnsi="Arial" w:cs="Arial"/>
          <w:b/>
          <w:bCs/>
        </w:rPr>
        <w:tab/>
      </w:r>
    </w:p>
    <w:p w14:paraId="27BD850A" w14:textId="6BBE0669" w:rsidR="00B56E15" w:rsidRDefault="00B56E15" w:rsidP="00512848">
      <w:pPr>
        <w:jc w:val="both"/>
        <w:rPr>
          <w:rFonts w:ascii="Arial" w:hAnsi="Arial" w:cs="Arial"/>
        </w:rPr>
      </w:pPr>
      <w:r w:rsidRPr="00B56E15">
        <w:rPr>
          <w:rFonts w:ascii="Arial" w:hAnsi="Arial" w:cs="Arial"/>
        </w:rPr>
        <w:t>The data collected were analyzed using the Analysis of Variance (ANOVA) with GenStat Release Version 18.1 Statistical Package. Treatment means were separated and compared using Tukey’s Honestly Significant Difference (HSD) at 5% level of probability.</w:t>
      </w:r>
    </w:p>
    <w:p w14:paraId="68BC656E" w14:textId="77777777" w:rsidR="00AC6E2D" w:rsidRDefault="00AC6E2D" w:rsidP="00512848">
      <w:pPr>
        <w:jc w:val="both"/>
        <w:rPr>
          <w:rFonts w:ascii="Arial" w:hAnsi="Arial" w:cs="Arial"/>
        </w:rPr>
      </w:pPr>
    </w:p>
    <w:p w14:paraId="2FC12EEF" w14:textId="77777777" w:rsidR="00512848" w:rsidRDefault="00512848" w:rsidP="00512848">
      <w:pPr>
        <w:pStyle w:val="Head1"/>
        <w:spacing w:after="0"/>
        <w:jc w:val="both"/>
        <w:rPr>
          <w:rFonts w:ascii="Arial" w:hAnsi="Arial" w:cs="Arial"/>
        </w:rPr>
      </w:pPr>
      <w:r w:rsidRPr="009A716D">
        <w:rPr>
          <w:rFonts w:ascii="Arial" w:hAnsi="Arial" w:cs="Arial"/>
        </w:rPr>
        <w:t>3. results</w:t>
      </w:r>
    </w:p>
    <w:p w14:paraId="213248F3" w14:textId="302BEC9C" w:rsidR="00512848" w:rsidRPr="00771709" w:rsidRDefault="00512848" w:rsidP="00512848">
      <w:pPr>
        <w:pStyle w:val="BodyText"/>
        <w:spacing w:before="233" w:line="259" w:lineRule="auto"/>
        <w:ind w:right="281"/>
        <w:rPr>
          <w:rFonts w:ascii="Arial" w:hAnsi="Arial" w:cs="Arial"/>
          <w:b/>
          <w:bCs/>
          <w:sz w:val="18"/>
          <w:szCs w:val="18"/>
        </w:rPr>
      </w:pPr>
      <w:r w:rsidRPr="00771709">
        <w:rPr>
          <w:rFonts w:ascii="Arial" w:hAnsi="Arial" w:cs="Arial"/>
          <w:b/>
          <w:bCs/>
          <w:sz w:val="22"/>
          <w:szCs w:val="22"/>
        </w:rPr>
        <w:t xml:space="preserve">3.1 </w:t>
      </w:r>
      <w:r w:rsidR="005E522A" w:rsidRPr="005E522A">
        <w:rPr>
          <w:rFonts w:ascii="Arial" w:hAnsi="Arial" w:cs="Arial"/>
          <w:b/>
          <w:bCs/>
          <w:sz w:val="22"/>
          <w:szCs w:val="22"/>
        </w:rPr>
        <w:t>Weather Conditions at Amantin and Nsapor</w:t>
      </w:r>
      <w:r w:rsidRPr="00771709">
        <w:rPr>
          <w:rFonts w:ascii="Arial" w:hAnsi="Arial" w:cs="Arial"/>
          <w:b/>
          <w:bCs/>
          <w:sz w:val="22"/>
          <w:szCs w:val="22"/>
        </w:rPr>
        <w:t xml:space="preserve"> </w:t>
      </w:r>
    </w:p>
    <w:p w14:paraId="5B87F611" w14:textId="2CC2A4BC" w:rsidR="005E522A" w:rsidRDefault="005E522A" w:rsidP="005E522A">
      <w:pPr>
        <w:jc w:val="both"/>
        <w:rPr>
          <w:rFonts w:ascii="Arial" w:hAnsi="Arial" w:cs="Arial"/>
        </w:rPr>
      </w:pPr>
      <w:r w:rsidRPr="005E522A">
        <w:rPr>
          <w:rFonts w:ascii="Arial" w:hAnsi="Arial" w:cs="Arial"/>
        </w:rPr>
        <w:t xml:space="preserve">The </w:t>
      </w:r>
      <w:r>
        <w:rPr>
          <w:rFonts w:ascii="Arial" w:hAnsi="Arial" w:cs="Arial"/>
        </w:rPr>
        <w:t xml:space="preserve">weather </w:t>
      </w:r>
      <w:r w:rsidRPr="005E522A">
        <w:rPr>
          <w:rFonts w:ascii="Arial" w:hAnsi="Arial" w:cs="Arial"/>
        </w:rPr>
        <w:t>data at Amantin during the experimental period experienced a total rainfall of 909 mm during the period from April to August 2022. Rainfall peaked in May (273 mm)  while July recorded the lowest value (114 mm) Table 1). Maximum temperatures ranged from 30.1°C in June to 34.2°C in April, whereas minimum temperatures varied between 21.3°C in June and 29.5°C in August. Relative humidity at 15:00 hr remained fairly low, ranging from 21.1% in July to 23.8% in April, whereas relative humidity at 18:00 hr ranged from 58.0% in April to 65.4% in June. Wind speed values were moderate, varying between 3.6 m/s in August and 4.7 m/s in July.</w:t>
      </w:r>
    </w:p>
    <w:p w14:paraId="5892CE67" w14:textId="77777777" w:rsidR="005E522A" w:rsidRPr="005E522A" w:rsidRDefault="005E522A" w:rsidP="005E522A">
      <w:pPr>
        <w:jc w:val="both"/>
        <w:rPr>
          <w:rFonts w:ascii="Arial" w:hAnsi="Arial" w:cs="Arial"/>
        </w:rPr>
      </w:pPr>
    </w:p>
    <w:p w14:paraId="58A35372" w14:textId="779FF7E3" w:rsidR="005E522A" w:rsidRDefault="005E522A" w:rsidP="005E522A">
      <w:pPr>
        <w:jc w:val="both"/>
        <w:rPr>
          <w:rFonts w:ascii="Arial" w:hAnsi="Arial" w:cs="Arial"/>
        </w:rPr>
      </w:pPr>
      <w:r w:rsidRPr="005E522A">
        <w:rPr>
          <w:rFonts w:ascii="Arial" w:hAnsi="Arial" w:cs="Arial"/>
        </w:rPr>
        <w:t xml:space="preserve">Table 2 shows the </w:t>
      </w:r>
      <w:r>
        <w:rPr>
          <w:rFonts w:ascii="Arial" w:hAnsi="Arial" w:cs="Arial"/>
        </w:rPr>
        <w:t>weather</w:t>
      </w:r>
      <w:r w:rsidRPr="005E522A">
        <w:rPr>
          <w:rFonts w:ascii="Arial" w:hAnsi="Arial" w:cs="Arial"/>
        </w:rPr>
        <w:t xml:space="preserve"> data at Nsapor during the experimental period. The area received a total rainfall of 980 mm during the study period from April to August 2022, with the peak in May (277 mm), while the lowest value was observed in July (116 mm). Maximum temperatures ranged from 30.5°C in July to 34.5°C in April, while minimum temperatures varied between 21.6°C in June and 24.8°C in August. Relative humidity at 15:00 hr was generally low, fluctuating slightly between 22.3% and 23.5% whereas relative humidity at 18:00 hr ranged from 72.3% in April to 77.8% in August. Wind speed remained moderate throughout the period, ranging from 4.1 m/s in July to 4.5 </w:t>
      </w:r>
      <w:r w:rsidRPr="00C00659">
        <w:rPr>
          <w:rFonts w:ascii="Arial" w:hAnsi="Arial" w:cs="Arial"/>
          <w:highlight w:val="yellow"/>
        </w:rPr>
        <w:t>m/s in August.</w:t>
      </w:r>
    </w:p>
    <w:p w14:paraId="47984C9F" w14:textId="77777777" w:rsidR="005E522A" w:rsidRDefault="005E522A" w:rsidP="005E522A">
      <w:pPr>
        <w:jc w:val="both"/>
        <w:rPr>
          <w:rFonts w:ascii="Arial" w:hAnsi="Arial" w:cs="Arial"/>
        </w:rPr>
      </w:pPr>
    </w:p>
    <w:p w14:paraId="4D7AC550" w14:textId="4B757921" w:rsidR="00641B7C" w:rsidRPr="00641B7C" w:rsidRDefault="00641B7C" w:rsidP="00641B7C">
      <w:pPr>
        <w:pStyle w:val="Body"/>
        <w:spacing w:after="0" w:line="276" w:lineRule="auto"/>
        <w:rPr>
          <w:rFonts w:ascii="Arial" w:hAnsi="Arial" w:cs="Arial"/>
          <w:b/>
          <w:bCs/>
        </w:rPr>
      </w:pPr>
      <w:r w:rsidRPr="00641B7C">
        <w:rPr>
          <w:rFonts w:ascii="Arial" w:hAnsi="Arial" w:cs="Arial"/>
          <w:b/>
          <w:bCs/>
        </w:rPr>
        <w:t xml:space="preserve">Table 1. </w:t>
      </w:r>
      <w:r w:rsidR="005E522A">
        <w:rPr>
          <w:rFonts w:ascii="Arial" w:hAnsi="Arial" w:cs="Arial"/>
          <w:b/>
          <w:bCs/>
        </w:rPr>
        <w:t>Weather</w:t>
      </w:r>
      <w:r w:rsidRPr="00641B7C">
        <w:rPr>
          <w:rFonts w:ascii="Arial" w:hAnsi="Arial" w:cs="Arial"/>
          <w:b/>
          <w:bCs/>
        </w:rPr>
        <w:t xml:space="preserve"> data a</w:t>
      </w:r>
      <w:r w:rsidR="005E522A" w:rsidRPr="005E522A">
        <w:rPr>
          <w:rFonts w:ascii="Arial" w:hAnsi="Arial" w:cs="Arial"/>
          <w:b/>
          <w:bCs/>
        </w:rPr>
        <w:t xml:space="preserve">t Amantin during the experimental period </w:t>
      </w:r>
    </w:p>
    <w:tbl>
      <w:tblPr>
        <w:tblStyle w:val="TableGrid1"/>
        <w:tblW w:w="5000" w:type="pct"/>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005"/>
        <w:gridCol w:w="980"/>
        <w:gridCol w:w="1023"/>
        <w:gridCol w:w="1329"/>
        <w:gridCol w:w="1621"/>
        <w:gridCol w:w="1300"/>
      </w:tblGrid>
      <w:tr w:rsidR="005E522A" w:rsidRPr="005E522A" w14:paraId="08A0E221" w14:textId="77777777" w:rsidTr="001A4B15">
        <w:trPr>
          <w:trHeight w:val="245"/>
        </w:trPr>
        <w:tc>
          <w:tcPr>
            <w:tcW w:w="756" w:type="pct"/>
            <w:tcBorders>
              <w:top w:val="single" w:sz="4" w:space="0" w:color="auto"/>
              <w:bottom w:val="single" w:sz="4" w:space="0" w:color="auto"/>
            </w:tcBorders>
            <w:vAlign w:val="center"/>
          </w:tcPr>
          <w:p w14:paraId="13EF81CB" w14:textId="77777777" w:rsidR="005E522A" w:rsidRPr="005E522A" w:rsidRDefault="005E522A" w:rsidP="001A4B15">
            <w:pPr>
              <w:contextualSpacing/>
              <w:rPr>
                <w:rFonts w:ascii="Arial" w:eastAsia="Times New Roman" w:hAnsi="Arial" w:cs="Arial"/>
                <w:lang w:eastAsia="en-GB" w:bidi="en-US"/>
              </w:rPr>
            </w:pPr>
            <w:r w:rsidRPr="005E522A">
              <w:rPr>
                <w:rFonts w:ascii="Arial" w:eastAsia="Times New Roman" w:hAnsi="Arial" w:cs="Arial"/>
                <w:lang w:eastAsia="en-GB" w:bidi="en-US"/>
              </w:rPr>
              <w:t>Months</w:t>
            </w:r>
          </w:p>
        </w:tc>
        <w:tc>
          <w:tcPr>
            <w:tcW w:w="588" w:type="pct"/>
            <w:tcBorders>
              <w:top w:val="single" w:sz="4" w:space="0" w:color="auto"/>
              <w:bottom w:val="single" w:sz="4" w:space="0" w:color="auto"/>
            </w:tcBorders>
            <w:vAlign w:val="center"/>
          </w:tcPr>
          <w:p w14:paraId="66530FC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Rainfall (mm)</w:t>
            </w:r>
          </w:p>
        </w:tc>
        <w:tc>
          <w:tcPr>
            <w:tcW w:w="573" w:type="pct"/>
            <w:tcBorders>
              <w:top w:val="single" w:sz="4" w:space="0" w:color="auto"/>
              <w:bottom w:val="single" w:sz="4" w:space="0" w:color="auto"/>
            </w:tcBorders>
            <w:vAlign w:val="center"/>
          </w:tcPr>
          <w:p w14:paraId="1B9126A1"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(Max)°C</w:t>
            </w:r>
          </w:p>
        </w:tc>
        <w:tc>
          <w:tcPr>
            <w:tcW w:w="598" w:type="pct"/>
            <w:tcBorders>
              <w:top w:val="single" w:sz="4" w:space="0" w:color="auto"/>
              <w:bottom w:val="single" w:sz="4" w:space="0" w:color="auto"/>
            </w:tcBorders>
            <w:vAlign w:val="center"/>
          </w:tcPr>
          <w:p w14:paraId="2A83A01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(Min)°C</w:t>
            </w:r>
          </w:p>
        </w:tc>
        <w:tc>
          <w:tcPr>
            <w:tcW w:w="1725" w:type="pct"/>
            <w:gridSpan w:val="2"/>
            <w:tcBorders>
              <w:top w:val="single" w:sz="4" w:space="0" w:color="auto"/>
              <w:bottom w:val="single" w:sz="4" w:space="0" w:color="auto"/>
            </w:tcBorders>
          </w:tcPr>
          <w:p w14:paraId="16A175A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Relative Humidity</w:t>
            </w:r>
          </w:p>
          <w:p w14:paraId="4B2ABB8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 18.00hr     (%) 15.00hr</w:t>
            </w:r>
          </w:p>
        </w:tc>
        <w:tc>
          <w:tcPr>
            <w:tcW w:w="760" w:type="pct"/>
            <w:tcBorders>
              <w:top w:val="single" w:sz="4" w:space="0" w:color="auto"/>
              <w:bottom w:val="single" w:sz="4" w:space="0" w:color="auto"/>
            </w:tcBorders>
            <w:vAlign w:val="center"/>
          </w:tcPr>
          <w:p w14:paraId="4169885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Wind speed (m/s)</w:t>
            </w:r>
          </w:p>
        </w:tc>
      </w:tr>
      <w:tr w:rsidR="005E522A" w:rsidRPr="005E522A" w14:paraId="04E5928F" w14:textId="77777777" w:rsidTr="001A4B15">
        <w:trPr>
          <w:trHeight w:val="116"/>
        </w:trPr>
        <w:tc>
          <w:tcPr>
            <w:tcW w:w="756" w:type="pct"/>
            <w:tcBorders>
              <w:top w:val="single" w:sz="4" w:space="0" w:color="auto"/>
            </w:tcBorders>
            <w:vAlign w:val="center"/>
            <w:hideMark/>
          </w:tcPr>
          <w:p w14:paraId="1F0FC204"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April, 2022</w:t>
            </w:r>
          </w:p>
        </w:tc>
        <w:tc>
          <w:tcPr>
            <w:tcW w:w="588" w:type="pct"/>
            <w:tcBorders>
              <w:top w:val="single" w:sz="4" w:space="0" w:color="auto"/>
            </w:tcBorders>
            <w:vAlign w:val="center"/>
            <w:hideMark/>
          </w:tcPr>
          <w:p w14:paraId="3A92C58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170</w:t>
            </w:r>
          </w:p>
        </w:tc>
        <w:tc>
          <w:tcPr>
            <w:tcW w:w="573" w:type="pct"/>
            <w:tcBorders>
              <w:top w:val="single" w:sz="4" w:space="0" w:color="auto"/>
            </w:tcBorders>
            <w:vAlign w:val="center"/>
            <w:hideMark/>
          </w:tcPr>
          <w:p w14:paraId="2BAFCC9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34.2</w:t>
            </w:r>
          </w:p>
        </w:tc>
        <w:tc>
          <w:tcPr>
            <w:tcW w:w="598" w:type="pct"/>
            <w:tcBorders>
              <w:top w:val="single" w:sz="4" w:space="0" w:color="auto"/>
            </w:tcBorders>
            <w:vAlign w:val="center"/>
          </w:tcPr>
          <w:p w14:paraId="124897D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22.7</w:t>
            </w:r>
          </w:p>
        </w:tc>
        <w:tc>
          <w:tcPr>
            <w:tcW w:w="777" w:type="pct"/>
            <w:tcBorders>
              <w:top w:val="single" w:sz="4" w:space="0" w:color="auto"/>
            </w:tcBorders>
          </w:tcPr>
          <w:p w14:paraId="05F51A6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58.0</w:t>
            </w:r>
          </w:p>
        </w:tc>
        <w:tc>
          <w:tcPr>
            <w:tcW w:w="948" w:type="pct"/>
            <w:tcBorders>
              <w:top w:val="single" w:sz="4" w:space="0" w:color="auto"/>
            </w:tcBorders>
          </w:tcPr>
          <w:p w14:paraId="27027CF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23.8</w:t>
            </w:r>
          </w:p>
        </w:tc>
        <w:tc>
          <w:tcPr>
            <w:tcW w:w="760" w:type="pct"/>
            <w:tcBorders>
              <w:top w:val="single" w:sz="4" w:space="0" w:color="auto"/>
            </w:tcBorders>
            <w:vAlign w:val="center"/>
          </w:tcPr>
          <w:p w14:paraId="2581F01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4.6</w:t>
            </w:r>
          </w:p>
        </w:tc>
      </w:tr>
      <w:tr w:rsidR="005E522A" w:rsidRPr="005E522A" w14:paraId="313DC0F5" w14:textId="77777777" w:rsidTr="001A4B15">
        <w:trPr>
          <w:trHeight w:val="305"/>
        </w:trPr>
        <w:tc>
          <w:tcPr>
            <w:tcW w:w="756" w:type="pct"/>
            <w:vAlign w:val="center"/>
            <w:hideMark/>
          </w:tcPr>
          <w:p w14:paraId="76341B63"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May</w:t>
            </w:r>
          </w:p>
        </w:tc>
        <w:tc>
          <w:tcPr>
            <w:tcW w:w="588" w:type="pct"/>
            <w:vAlign w:val="center"/>
            <w:hideMark/>
          </w:tcPr>
          <w:p w14:paraId="480BA1F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273</w:t>
            </w:r>
          </w:p>
        </w:tc>
        <w:tc>
          <w:tcPr>
            <w:tcW w:w="573" w:type="pct"/>
            <w:vAlign w:val="center"/>
            <w:hideMark/>
          </w:tcPr>
          <w:p w14:paraId="015099DC"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32.0</w:t>
            </w:r>
          </w:p>
        </w:tc>
        <w:tc>
          <w:tcPr>
            <w:tcW w:w="598" w:type="pct"/>
            <w:vAlign w:val="center"/>
          </w:tcPr>
          <w:p w14:paraId="0C2B315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21.9</w:t>
            </w:r>
          </w:p>
        </w:tc>
        <w:tc>
          <w:tcPr>
            <w:tcW w:w="777" w:type="pct"/>
          </w:tcPr>
          <w:p w14:paraId="701094B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60.3</w:t>
            </w:r>
          </w:p>
        </w:tc>
        <w:tc>
          <w:tcPr>
            <w:tcW w:w="948" w:type="pct"/>
          </w:tcPr>
          <w:p w14:paraId="4726527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22.8</w:t>
            </w:r>
          </w:p>
        </w:tc>
        <w:tc>
          <w:tcPr>
            <w:tcW w:w="760" w:type="pct"/>
            <w:vAlign w:val="center"/>
          </w:tcPr>
          <w:p w14:paraId="2435710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4.5</w:t>
            </w:r>
          </w:p>
        </w:tc>
      </w:tr>
      <w:tr w:rsidR="005E522A" w:rsidRPr="005E522A" w14:paraId="1A35671F" w14:textId="77777777" w:rsidTr="001A4B15">
        <w:trPr>
          <w:trHeight w:val="296"/>
        </w:trPr>
        <w:tc>
          <w:tcPr>
            <w:tcW w:w="756" w:type="pct"/>
            <w:vAlign w:val="center"/>
            <w:hideMark/>
          </w:tcPr>
          <w:p w14:paraId="29203F50"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June</w:t>
            </w:r>
          </w:p>
        </w:tc>
        <w:tc>
          <w:tcPr>
            <w:tcW w:w="588" w:type="pct"/>
            <w:vAlign w:val="center"/>
            <w:hideMark/>
          </w:tcPr>
          <w:p w14:paraId="55299E6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210</w:t>
            </w:r>
          </w:p>
        </w:tc>
        <w:tc>
          <w:tcPr>
            <w:tcW w:w="573" w:type="pct"/>
            <w:vAlign w:val="center"/>
            <w:hideMark/>
          </w:tcPr>
          <w:p w14:paraId="38AEB40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30.1</w:t>
            </w:r>
          </w:p>
        </w:tc>
        <w:tc>
          <w:tcPr>
            <w:tcW w:w="598" w:type="pct"/>
            <w:vAlign w:val="center"/>
          </w:tcPr>
          <w:p w14:paraId="213E406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21.3</w:t>
            </w:r>
          </w:p>
        </w:tc>
        <w:tc>
          <w:tcPr>
            <w:tcW w:w="777" w:type="pct"/>
          </w:tcPr>
          <w:p w14:paraId="6C385AB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65.4</w:t>
            </w:r>
          </w:p>
        </w:tc>
        <w:tc>
          <w:tcPr>
            <w:tcW w:w="948" w:type="pct"/>
          </w:tcPr>
          <w:p w14:paraId="48FC44D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21.7</w:t>
            </w:r>
          </w:p>
        </w:tc>
        <w:tc>
          <w:tcPr>
            <w:tcW w:w="760" w:type="pct"/>
            <w:vAlign w:val="center"/>
          </w:tcPr>
          <w:p w14:paraId="10EAC93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4.1</w:t>
            </w:r>
          </w:p>
        </w:tc>
      </w:tr>
      <w:tr w:rsidR="005E522A" w:rsidRPr="005E522A" w14:paraId="4407A8E8" w14:textId="77777777" w:rsidTr="001A4B15">
        <w:trPr>
          <w:trHeight w:val="197"/>
        </w:trPr>
        <w:tc>
          <w:tcPr>
            <w:tcW w:w="756" w:type="pct"/>
            <w:vAlign w:val="center"/>
            <w:hideMark/>
          </w:tcPr>
          <w:p w14:paraId="0DC1CF94"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July</w:t>
            </w:r>
          </w:p>
        </w:tc>
        <w:tc>
          <w:tcPr>
            <w:tcW w:w="588" w:type="pct"/>
            <w:vAlign w:val="center"/>
            <w:hideMark/>
          </w:tcPr>
          <w:p w14:paraId="5F4526E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114</w:t>
            </w:r>
          </w:p>
        </w:tc>
        <w:tc>
          <w:tcPr>
            <w:tcW w:w="573" w:type="pct"/>
            <w:vAlign w:val="center"/>
            <w:hideMark/>
          </w:tcPr>
          <w:p w14:paraId="7AF21FFD"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31.5</w:t>
            </w:r>
          </w:p>
        </w:tc>
        <w:tc>
          <w:tcPr>
            <w:tcW w:w="598" w:type="pct"/>
            <w:vAlign w:val="center"/>
          </w:tcPr>
          <w:p w14:paraId="35C2365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28.9</w:t>
            </w:r>
          </w:p>
        </w:tc>
        <w:tc>
          <w:tcPr>
            <w:tcW w:w="777" w:type="pct"/>
          </w:tcPr>
          <w:p w14:paraId="76AB137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64.0</w:t>
            </w:r>
          </w:p>
        </w:tc>
        <w:tc>
          <w:tcPr>
            <w:tcW w:w="948" w:type="pct"/>
          </w:tcPr>
          <w:p w14:paraId="1C1601F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21.1</w:t>
            </w:r>
          </w:p>
        </w:tc>
        <w:tc>
          <w:tcPr>
            <w:tcW w:w="760" w:type="pct"/>
            <w:vAlign w:val="center"/>
          </w:tcPr>
          <w:p w14:paraId="1355220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4.7</w:t>
            </w:r>
          </w:p>
        </w:tc>
      </w:tr>
      <w:tr w:rsidR="005E522A" w:rsidRPr="005E522A" w14:paraId="61245199" w14:textId="77777777" w:rsidTr="001A4B15">
        <w:trPr>
          <w:trHeight w:val="79"/>
        </w:trPr>
        <w:tc>
          <w:tcPr>
            <w:tcW w:w="756" w:type="pct"/>
            <w:tcBorders>
              <w:bottom w:val="nil"/>
            </w:tcBorders>
            <w:vAlign w:val="center"/>
            <w:hideMark/>
          </w:tcPr>
          <w:p w14:paraId="74E7ACDC"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August</w:t>
            </w:r>
          </w:p>
        </w:tc>
        <w:tc>
          <w:tcPr>
            <w:tcW w:w="588" w:type="pct"/>
            <w:tcBorders>
              <w:bottom w:val="nil"/>
            </w:tcBorders>
            <w:vAlign w:val="center"/>
            <w:hideMark/>
          </w:tcPr>
          <w:p w14:paraId="76DF794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142</w:t>
            </w:r>
          </w:p>
        </w:tc>
        <w:tc>
          <w:tcPr>
            <w:tcW w:w="573" w:type="pct"/>
            <w:tcBorders>
              <w:bottom w:val="nil"/>
            </w:tcBorders>
            <w:vAlign w:val="center"/>
            <w:hideMark/>
          </w:tcPr>
          <w:p w14:paraId="763D185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33.5</w:t>
            </w:r>
          </w:p>
        </w:tc>
        <w:tc>
          <w:tcPr>
            <w:tcW w:w="598" w:type="pct"/>
            <w:tcBorders>
              <w:bottom w:val="nil"/>
            </w:tcBorders>
            <w:vAlign w:val="center"/>
          </w:tcPr>
          <w:p w14:paraId="20DCE48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29.5</w:t>
            </w:r>
          </w:p>
        </w:tc>
        <w:tc>
          <w:tcPr>
            <w:tcW w:w="777" w:type="pct"/>
            <w:tcBorders>
              <w:bottom w:val="nil"/>
            </w:tcBorders>
          </w:tcPr>
          <w:p w14:paraId="5537FE2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63.7</w:t>
            </w:r>
          </w:p>
        </w:tc>
        <w:tc>
          <w:tcPr>
            <w:tcW w:w="948" w:type="pct"/>
            <w:tcBorders>
              <w:bottom w:val="nil"/>
            </w:tcBorders>
          </w:tcPr>
          <w:p w14:paraId="601E530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21.5</w:t>
            </w:r>
          </w:p>
        </w:tc>
        <w:tc>
          <w:tcPr>
            <w:tcW w:w="760" w:type="pct"/>
            <w:tcBorders>
              <w:bottom w:val="nil"/>
            </w:tcBorders>
            <w:vAlign w:val="center"/>
          </w:tcPr>
          <w:p w14:paraId="0664B945"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3.6</w:t>
            </w:r>
          </w:p>
        </w:tc>
      </w:tr>
      <w:tr w:rsidR="005E522A" w:rsidRPr="005E522A" w14:paraId="78F4944D" w14:textId="77777777" w:rsidTr="001A4B15">
        <w:trPr>
          <w:trHeight w:val="79"/>
        </w:trPr>
        <w:tc>
          <w:tcPr>
            <w:tcW w:w="756" w:type="pct"/>
            <w:tcBorders>
              <w:top w:val="nil"/>
              <w:bottom w:val="single" w:sz="4" w:space="0" w:color="auto"/>
            </w:tcBorders>
            <w:vAlign w:val="center"/>
            <w:hideMark/>
          </w:tcPr>
          <w:p w14:paraId="495B4A00" w14:textId="77777777" w:rsidR="005E522A" w:rsidRPr="005E522A" w:rsidRDefault="005E522A" w:rsidP="001A4B15">
            <w:pPr>
              <w:contextualSpacing/>
              <w:jc w:val="both"/>
              <w:rPr>
                <w:rFonts w:ascii="Arial" w:eastAsia="Times New Roman" w:hAnsi="Arial" w:cs="Arial"/>
                <w:b/>
                <w:bCs/>
                <w:lang w:eastAsia="en-GB" w:bidi="en-US"/>
              </w:rPr>
            </w:pPr>
            <w:r w:rsidRPr="005E522A">
              <w:rPr>
                <w:rFonts w:ascii="Arial" w:eastAsia="Times New Roman" w:hAnsi="Arial" w:cs="Arial"/>
                <w:b/>
                <w:bCs/>
                <w:lang w:eastAsia="en-GB" w:bidi="en-US"/>
              </w:rPr>
              <w:t>Total</w:t>
            </w:r>
          </w:p>
        </w:tc>
        <w:tc>
          <w:tcPr>
            <w:tcW w:w="588" w:type="pct"/>
            <w:tcBorders>
              <w:top w:val="nil"/>
              <w:bottom w:val="single" w:sz="4" w:space="0" w:color="auto"/>
            </w:tcBorders>
            <w:vAlign w:val="center"/>
            <w:hideMark/>
          </w:tcPr>
          <w:p w14:paraId="4E32BFA9" w14:textId="77777777" w:rsidR="005E522A" w:rsidRPr="005E522A" w:rsidRDefault="005E522A" w:rsidP="001A4B15">
            <w:pPr>
              <w:contextualSpacing/>
              <w:jc w:val="center"/>
              <w:rPr>
                <w:rFonts w:ascii="Arial" w:eastAsia="Times New Roman" w:hAnsi="Arial" w:cs="Arial"/>
                <w:b/>
                <w:bCs/>
                <w:lang w:eastAsia="en-GB" w:bidi="en-US"/>
              </w:rPr>
            </w:pPr>
            <w:r w:rsidRPr="005E522A">
              <w:rPr>
                <w:rFonts w:ascii="Arial" w:eastAsia="Times New Roman" w:hAnsi="Arial" w:cs="Arial"/>
                <w:b/>
                <w:bCs/>
                <w:lang w:eastAsia="en-GB" w:bidi="en-US"/>
              </w:rPr>
              <w:t>909</w:t>
            </w:r>
          </w:p>
        </w:tc>
        <w:tc>
          <w:tcPr>
            <w:tcW w:w="573" w:type="pct"/>
            <w:tcBorders>
              <w:top w:val="nil"/>
              <w:bottom w:val="single" w:sz="4" w:space="0" w:color="auto"/>
            </w:tcBorders>
            <w:vAlign w:val="center"/>
            <w:hideMark/>
          </w:tcPr>
          <w:p w14:paraId="0BEF922F" w14:textId="77777777" w:rsidR="005E522A" w:rsidRPr="005E522A" w:rsidRDefault="005E522A" w:rsidP="001A4B15">
            <w:pPr>
              <w:contextualSpacing/>
              <w:jc w:val="center"/>
              <w:rPr>
                <w:rFonts w:ascii="Arial" w:eastAsia="Times New Roman" w:hAnsi="Arial" w:cs="Arial"/>
                <w:lang w:eastAsia="en-GB" w:bidi="en-US"/>
              </w:rPr>
            </w:pPr>
          </w:p>
        </w:tc>
        <w:tc>
          <w:tcPr>
            <w:tcW w:w="598" w:type="pct"/>
            <w:tcBorders>
              <w:top w:val="nil"/>
              <w:bottom w:val="single" w:sz="4" w:space="0" w:color="auto"/>
            </w:tcBorders>
            <w:vAlign w:val="center"/>
          </w:tcPr>
          <w:p w14:paraId="00C7DC1C" w14:textId="77777777" w:rsidR="005E522A" w:rsidRPr="005E522A" w:rsidRDefault="005E522A" w:rsidP="001A4B15">
            <w:pPr>
              <w:contextualSpacing/>
              <w:jc w:val="center"/>
              <w:rPr>
                <w:rFonts w:ascii="Arial" w:eastAsia="Times New Roman" w:hAnsi="Arial" w:cs="Arial"/>
                <w:lang w:eastAsia="en-GB" w:bidi="en-US"/>
              </w:rPr>
            </w:pPr>
          </w:p>
        </w:tc>
        <w:tc>
          <w:tcPr>
            <w:tcW w:w="777" w:type="pct"/>
            <w:tcBorders>
              <w:top w:val="nil"/>
              <w:bottom w:val="single" w:sz="4" w:space="0" w:color="auto"/>
            </w:tcBorders>
          </w:tcPr>
          <w:p w14:paraId="0E53D925" w14:textId="77777777" w:rsidR="005E522A" w:rsidRPr="005E522A" w:rsidRDefault="005E522A" w:rsidP="001A4B15">
            <w:pPr>
              <w:contextualSpacing/>
              <w:jc w:val="center"/>
              <w:rPr>
                <w:rFonts w:ascii="Arial" w:eastAsia="Times New Roman" w:hAnsi="Arial" w:cs="Arial"/>
                <w:lang w:eastAsia="en-GB" w:bidi="en-US"/>
              </w:rPr>
            </w:pPr>
          </w:p>
        </w:tc>
        <w:tc>
          <w:tcPr>
            <w:tcW w:w="948" w:type="pct"/>
            <w:tcBorders>
              <w:top w:val="nil"/>
              <w:bottom w:val="single" w:sz="4" w:space="0" w:color="auto"/>
            </w:tcBorders>
          </w:tcPr>
          <w:p w14:paraId="41BE120C" w14:textId="77777777" w:rsidR="005E522A" w:rsidRPr="005E522A" w:rsidRDefault="005E522A" w:rsidP="001A4B15">
            <w:pPr>
              <w:contextualSpacing/>
              <w:jc w:val="center"/>
              <w:rPr>
                <w:rFonts w:ascii="Arial" w:eastAsia="Times New Roman" w:hAnsi="Arial" w:cs="Arial"/>
                <w:lang w:eastAsia="en-GB" w:bidi="en-US"/>
              </w:rPr>
            </w:pPr>
          </w:p>
        </w:tc>
        <w:tc>
          <w:tcPr>
            <w:tcW w:w="760" w:type="pct"/>
            <w:tcBorders>
              <w:top w:val="nil"/>
              <w:bottom w:val="single" w:sz="4" w:space="0" w:color="auto"/>
            </w:tcBorders>
            <w:vAlign w:val="center"/>
          </w:tcPr>
          <w:p w14:paraId="33C71EC7" w14:textId="77777777" w:rsidR="005E522A" w:rsidRPr="005E522A" w:rsidRDefault="005E522A" w:rsidP="001A4B15">
            <w:pPr>
              <w:contextualSpacing/>
              <w:jc w:val="center"/>
              <w:rPr>
                <w:rFonts w:ascii="Arial" w:eastAsia="Times New Roman" w:hAnsi="Arial" w:cs="Arial"/>
                <w:lang w:eastAsia="en-GB" w:bidi="en-US"/>
              </w:rPr>
            </w:pPr>
          </w:p>
        </w:tc>
      </w:tr>
      <w:tr w:rsidR="005E522A" w:rsidRPr="005E522A" w14:paraId="0D16627A" w14:textId="77777777" w:rsidTr="001A4B15">
        <w:trPr>
          <w:trHeight w:val="79"/>
        </w:trPr>
        <w:tc>
          <w:tcPr>
            <w:tcW w:w="5000" w:type="pct"/>
            <w:gridSpan w:val="7"/>
            <w:tcBorders>
              <w:top w:val="single" w:sz="4" w:space="0" w:color="auto"/>
            </w:tcBorders>
          </w:tcPr>
          <w:p w14:paraId="59EA5046" w14:textId="77777777" w:rsidR="005E522A" w:rsidRPr="005E522A" w:rsidRDefault="005E522A" w:rsidP="001A4B15">
            <w:pPr>
              <w:contextualSpacing/>
              <w:jc w:val="center"/>
              <w:rPr>
                <w:rFonts w:ascii="Arial" w:hAnsi="Arial" w:cs="Arial"/>
                <w:b/>
                <w:bCs/>
                <w:i/>
                <w:iCs/>
                <w:lang w:val="en-GB" w:eastAsia="en-GB"/>
              </w:rPr>
            </w:pPr>
            <w:r w:rsidRPr="005E522A">
              <w:rPr>
                <w:rFonts w:ascii="Arial" w:hAnsi="Arial" w:cs="Arial"/>
                <w:b/>
                <w:bCs/>
                <w:i/>
                <w:iCs/>
                <w:lang w:val="en-GB" w:eastAsia="en-GB"/>
              </w:rPr>
              <w:t>Source: Ghana Meteorological Services, 2022</w:t>
            </w:r>
          </w:p>
        </w:tc>
      </w:tr>
    </w:tbl>
    <w:p w14:paraId="2DDBA3DF" w14:textId="77777777" w:rsidR="00641B7C" w:rsidRDefault="00641B7C" w:rsidP="00641B7C">
      <w:pPr>
        <w:rPr>
          <w:rFonts w:ascii="Arial" w:hAnsi="Arial" w:cs="Arial"/>
        </w:rPr>
      </w:pPr>
    </w:p>
    <w:p w14:paraId="68CCC697" w14:textId="1D9CF4ED" w:rsidR="005E522A" w:rsidRPr="005E522A" w:rsidRDefault="005E522A" w:rsidP="005E522A">
      <w:pPr>
        <w:rPr>
          <w:rFonts w:ascii="Arial" w:hAnsi="Arial" w:cs="Arial"/>
          <w:b/>
          <w:bCs/>
        </w:rPr>
      </w:pPr>
      <w:r w:rsidRPr="005E522A">
        <w:rPr>
          <w:rFonts w:ascii="Arial" w:hAnsi="Arial" w:cs="Arial"/>
          <w:b/>
          <w:bCs/>
        </w:rPr>
        <w:t>Table 2</w:t>
      </w:r>
      <w:r w:rsidR="00944265">
        <w:rPr>
          <w:rFonts w:ascii="Arial" w:hAnsi="Arial" w:cs="Arial"/>
          <w:b/>
          <w:bCs/>
        </w:rPr>
        <w:t>.</w:t>
      </w:r>
      <w:r w:rsidRPr="005E522A">
        <w:rPr>
          <w:rFonts w:ascii="Arial" w:hAnsi="Arial" w:cs="Arial"/>
          <w:b/>
          <w:bCs/>
        </w:rPr>
        <w:t xml:space="preserve"> Weather data at Nsapor during the experimental period</w:t>
      </w:r>
    </w:p>
    <w:tbl>
      <w:tblPr>
        <w:tblStyle w:val="TableGrid1"/>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005"/>
        <w:gridCol w:w="980"/>
        <w:gridCol w:w="1023"/>
        <w:gridCol w:w="1329"/>
        <w:gridCol w:w="1621"/>
        <w:gridCol w:w="1300"/>
      </w:tblGrid>
      <w:tr w:rsidR="005E522A" w:rsidRPr="005E522A" w14:paraId="13810546" w14:textId="77777777" w:rsidTr="001A4B15">
        <w:trPr>
          <w:trHeight w:val="245"/>
        </w:trPr>
        <w:tc>
          <w:tcPr>
            <w:tcW w:w="756" w:type="pct"/>
            <w:tcBorders>
              <w:top w:val="single" w:sz="4" w:space="0" w:color="auto"/>
              <w:bottom w:val="single" w:sz="4" w:space="0" w:color="auto"/>
            </w:tcBorders>
            <w:vAlign w:val="center"/>
          </w:tcPr>
          <w:p w14:paraId="12EB9056" w14:textId="77777777" w:rsidR="005E522A" w:rsidRPr="005E522A" w:rsidRDefault="005E522A" w:rsidP="001A4B15">
            <w:pPr>
              <w:contextualSpacing/>
              <w:rPr>
                <w:rFonts w:ascii="Arial" w:eastAsia="Times New Roman" w:hAnsi="Arial" w:cs="Arial"/>
                <w:lang w:eastAsia="en-GB" w:bidi="en-US"/>
              </w:rPr>
            </w:pPr>
            <w:r w:rsidRPr="005E522A">
              <w:rPr>
                <w:rFonts w:ascii="Arial" w:eastAsia="Times New Roman" w:hAnsi="Arial" w:cs="Arial"/>
                <w:lang w:eastAsia="en-GB" w:bidi="en-US"/>
              </w:rPr>
              <w:t>Months</w:t>
            </w:r>
          </w:p>
        </w:tc>
        <w:tc>
          <w:tcPr>
            <w:tcW w:w="588" w:type="pct"/>
            <w:tcBorders>
              <w:top w:val="single" w:sz="4" w:space="0" w:color="auto"/>
              <w:bottom w:val="single" w:sz="4" w:space="0" w:color="auto"/>
            </w:tcBorders>
            <w:vAlign w:val="center"/>
          </w:tcPr>
          <w:p w14:paraId="720CE1E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Rainfall (mm)</w:t>
            </w:r>
          </w:p>
        </w:tc>
        <w:tc>
          <w:tcPr>
            <w:tcW w:w="573" w:type="pct"/>
            <w:tcBorders>
              <w:top w:val="single" w:sz="4" w:space="0" w:color="auto"/>
              <w:bottom w:val="single" w:sz="4" w:space="0" w:color="auto"/>
            </w:tcBorders>
            <w:vAlign w:val="center"/>
          </w:tcPr>
          <w:p w14:paraId="7343FAC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(Max)°C</w:t>
            </w:r>
          </w:p>
        </w:tc>
        <w:tc>
          <w:tcPr>
            <w:tcW w:w="598" w:type="pct"/>
            <w:tcBorders>
              <w:top w:val="single" w:sz="4" w:space="0" w:color="auto"/>
              <w:bottom w:val="single" w:sz="4" w:space="0" w:color="auto"/>
            </w:tcBorders>
            <w:vAlign w:val="center"/>
          </w:tcPr>
          <w:p w14:paraId="11F9127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(Min)°C</w:t>
            </w:r>
          </w:p>
        </w:tc>
        <w:tc>
          <w:tcPr>
            <w:tcW w:w="1725" w:type="pct"/>
            <w:gridSpan w:val="2"/>
            <w:tcBorders>
              <w:top w:val="single" w:sz="4" w:space="0" w:color="auto"/>
              <w:bottom w:val="single" w:sz="4" w:space="0" w:color="auto"/>
            </w:tcBorders>
          </w:tcPr>
          <w:p w14:paraId="1B47300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Relative Humidity</w:t>
            </w:r>
          </w:p>
          <w:p w14:paraId="150A8EF5"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 18.00hr     (%) 15.00hr</w:t>
            </w:r>
          </w:p>
        </w:tc>
        <w:tc>
          <w:tcPr>
            <w:tcW w:w="760" w:type="pct"/>
            <w:tcBorders>
              <w:top w:val="single" w:sz="4" w:space="0" w:color="auto"/>
              <w:bottom w:val="single" w:sz="4" w:space="0" w:color="auto"/>
            </w:tcBorders>
            <w:vAlign w:val="center"/>
          </w:tcPr>
          <w:p w14:paraId="511AFDA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Wind speed (m/s)</w:t>
            </w:r>
          </w:p>
        </w:tc>
      </w:tr>
      <w:tr w:rsidR="005E522A" w:rsidRPr="005E522A" w14:paraId="427F3EAB" w14:textId="77777777" w:rsidTr="001A4B15">
        <w:trPr>
          <w:trHeight w:val="116"/>
        </w:trPr>
        <w:tc>
          <w:tcPr>
            <w:tcW w:w="756" w:type="pct"/>
            <w:tcBorders>
              <w:top w:val="single" w:sz="4" w:space="0" w:color="auto"/>
            </w:tcBorders>
            <w:vAlign w:val="center"/>
            <w:hideMark/>
          </w:tcPr>
          <w:p w14:paraId="57B4049A"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April, 2022</w:t>
            </w:r>
          </w:p>
        </w:tc>
        <w:tc>
          <w:tcPr>
            <w:tcW w:w="588" w:type="pct"/>
            <w:tcBorders>
              <w:top w:val="single" w:sz="4" w:space="0" w:color="auto"/>
            </w:tcBorders>
            <w:vAlign w:val="center"/>
            <w:hideMark/>
          </w:tcPr>
          <w:p w14:paraId="30216E4C"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230</w:t>
            </w:r>
          </w:p>
        </w:tc>
        <w:tc>
          <w:tcPr>
            <w:tcW w:w="573" w:type="pct"/>
            <w:tcBorders>
              <w:top w:val="single" w:sz="4" w:space="0" w:color="auto"/>
            </w:tcBorders>
            <w:vAlign w:val="center"/>
            <w:hideMark/>
          </w:tcPr>
          <w:p w14:paraId="0D91381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34.5</w:t>
            </w:r>
          </w:p>
        </w:tc>
        <w:tc>
          <w:tcPr>
            <w:tcW w:w="598" w:type="pct"/>
            <w:tcBorders>
              <w:top w:val="single" w:sz="4" w:space="0" w:color="auto"/>
            </w:tcBorders>
            <w:vAlign w:val="center"/>
          </w:tcPr>
          <w:p w14:paraId="1721CC6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22.3</w:t>
            </w:r>
          </w:p>
        </w:tc>
        <w:tc>
          <w:tcPr>
            <w:tcW w:w="777" w:type="pct"/>
            <w:tcBorders>
              <w:top w:val="single" w:sz="4" w:space="0" w:color="auto"/>
            </w:tcBorders>
          </w:tcPr>
          <w:p w14:paraId="06AC7E6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72.3</w:t>
            </w:r>
          </w:p>
        </w:tc>
        <w:tc>
          <w:tcPr>
            <w:tcW w:w="948" w:type="pct"/>
            <w:tcBorders>
              <w:top w:val="single" w:sz="4" w:space="0" w:color="auto"/>
            </w:tcBorders>
          </w:tcPr>
          <w:p w14:paraId="2279816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23.5</w:t>
            </w:r>
          </w:p>
        </w:tc>
        <w:tc>
          <w:tcPr>
            <w:tcW w:w="760" w:type="pct"/>
            <w:tcBorders>
              <w:top w:val="single" w:sz="4" w:space="0" w:color="auto"/>
            </w:tcBorders>
            <w:vAlign w:val="center"/>
          </w:tcPr>
          <w:p w14:paraId="2A66BD7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4.3</w:t>
            </w:r>
          </w:p>
        </w:tc>
      </w:tr>
      <w:tr w:rsidR="005E522A" w:rsidRPr="005E522A" w14:paraId="3BAE15BF" w14:textId="77777777" w:rsidTr="001A4B15">
        <w:trPr>
          <w:trHeight w:val="305"/>
        </w:trPr>
        <w:tc>
          <w:tcPr>
            <w:tcW w:w="756" w:type="pct"/>
            <w:vAlign w:val="center"/>
            <w:hideMark/>
          </w:tcPr>
          <w:p w14:paraId="2694080E"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May</w:t>
            </w:r>
          </w:p>
        </w:tc>
        <w:tc>
          <w:tcPr>
            <w:tcW w:w="588" w:type="pct"/>
            <w:vAlign w:val="center"/>
            <w:hideMark/>
          </w:tcPr>
          <w:p w14:paraId="1805C41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277</w:t>
            </w:r>
          </w:p>
        </w:tc>
        <w:tc>
          <w:tcPr>
            <w:tcW w:w="573" w:type="pct"/>
            <w:vAlign w:val="center"/>
            <w:hideMark/>
          </w:tcPr>
          <w:p w14:paraId="303FCF3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32.3</w:t>
            </w:r>
          </w:p>
        </w:tc>
        <w:tc>
          <w:tcPr>
            <w:tcW w:w="598" w:type="pct"/>
            <w:vAlign w:val="center"/>
          </w:tcPr>
          <w:p w14:paraId="1AFD414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21.7</w:t>
            </w:r>
          </w:p>
        </w:tc>
        <w:tc>
          <w:tcPr>
            <w:tcW w:w="777" w:type="pct"/>
          </w:tcPr>
          <w:p w14:paraId="00BF1C6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74.5</w:t>
            </w:r>
          </w:p>
        </w:tc>
        <w:tc>
          <w:tcPr>
            <w:tcW w:w="948" w:type="pct"/>
          </w:tcPr>
          <w:p w14:paraId="3EB0CDA5"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22.3</w:t>
            </w:r>
          </w:p>
        </w:tc>
        <w:tc>
          <w:tcPr>
            <w:tcW w:w="760" w:type="pct"/>
            <w:vAlign w:val="center"/>
          </w:tcPr>
          <w:p w14:paraId="1FCDF7F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4.2</w:t>
            </w:r>
          </w:p>
        </w:tc>
      </w:tr>
      <w:tr w:rsidR="005E522A" w:rsidRPr="005E522A" w14:paraId="2D1A5066" w14:textId="77777777" w:rsidTr="001A4B15">
        <w:trPr>
          <w:trHeight w:val="296"/>
        </w:trPr>
        <w:tc>
          <w:tcPr>
            <w:tcW w:w="756" w:type="pct"/>
            <w:vAlign w:val="center"/>
            <w:hideMark/>
          </w:tcPr>
          <w:p w14:paraId="20850C84"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June</w:t>
            </w:r>
          </w:p>
        </w:tc>
        <w:tc>
          <w:tcPr>
            <w:tcW w:w="588" w:type="pct"/>
            <w:vAlign w:val="center"/>
            <w:hideMark/>
          </w:tcPr>
          <w:p w14:paraId="2B3DEC6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218</w:t>
            </w:r>
          </w:p>
        </w:tc>
        <w:tc>
          <w:tcPr>
            <w:tcW w:w="573" w:type="pct"/>
            <w:vAlign w:val="center"/>
            <w:hideMark/>
          </w:tcPr>
          <w:p w14:paraId="01A3446D"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31.9</w:t>
            </w:r>
          </w:p>
        </w:tc>
        <w:tc>
          <w:tcPr>
            <w:tcW w:w="598" w:type="pct"/>
            <w:vAlign w:val="center"/>
          </w:tcPr>
          <w:p w14:paraId="6F84B9A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21.6</w:t>
            </w:r>
          </w:p>
        </w:tc>
        <w:tc>
          <w:tcPr>
            <w:tcW w:w="777" w:type="pct"/>
          </w:tcPr>
          <w:p w14:paraId="51D2198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76.0</w:t>
            </w:r>
          </w:p>
        </w:tc>
        <w:tc>
          <w:tcPr>
            <w:tcW w:w="948" w:type="pct"/>
          </w:tcPr>
          <w:p w14:paraId="042A0C5D"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22.7</w:t>
            </w:r>
          </w:p>
        </w:tc>
        <w:tc>
          <w:tcPr>
            <w:tcW w:w="760" w:type="pct"/>
            <w:vAlign w:val="center"/>
          </w:tcPr>
          <w:p w14:paraId="5C2907B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4.4</w:t>
            </w:r>
          </w:p>
        </w:tc>
      </w:tr>
      <w:tr w:rsidR="005E522A" w:rsidRPr="005E522A" w14:paraId="2ED9021D" w14:textId="77777777" w:rsidTr="001A4B15">
        <w:trPr>
          <w:trHeight w:val="197"/>
        </w:trPr>
        <w:tc>
          <w:tcPr>
            <w:tcW w:w="756" w:type="pct"/>
            <w:vAlign w:val="center"/>
            <w:hideMark/>
          </w:tcPr>
          <w:p w14:paraId="658B2D1F"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lastRenderedPageBreak/>
              <w:t>July</w:t>
            </w:r>
          </w:p>
        </w:tc>
        <w:tc>
          <w:tcPr>
            <w:tcW w:w="588" w:type="pct"/>
            <w:vAlign w:val="center"/>
            <w:hideMark/>
          </w:tcPr>
          <w:p w14:paraId="274EF6D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116</w:t>
            </w:r>
          </w:p>
        </w:tc>
        <w:tc>
          <w:tcPr>
            <w:tcW w:w="573" w:type="pct"/>
            <w:vAlign w:val="center"/>
            <w:hideMark/>
          </w:tcPr>
          <w:p w14:paraId="1B5FBA1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30.5</w:t>
            </w:r>
          </w:p>
        </w:tc>
        <w:tc>
          <w:tcPr>
            <w:tcW w:w="598" w:type="pct"/>
            <w:vAlign w:val="center"/>
          </w:tcPr>
          <w:p w14:paraId="4273027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22.4</w:t>
            </w:r>
          </w:p>
        </w:tc>
        <w:tc>
          <w:tcPr>
            <w:tcW w:w="777" w:type="pct"/>
          </w:tcPr>
          <w:p w14:paraId="5132373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78.1</w:t>
            </w:r>
          </w:p>
        </w:tc>
        <w:tc>
          <w:tcPr>
            <w:tcW w:w="948" w:type="pct"/>
          </w:tcPr>
          <w:p w14:paraId="0E7E1F3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22.5</w:t>
            </w:r>
          </w:p>
        </w:tc>
        <w:tc>
          <w:tcPr>
            <w:tcW w:w="760" w:type="pct"/>
            <w:vAlign w:val="center"/>
          </w:tcPr>
          <w:p w14:paraId="178044B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4.1</w:t>
            </w:r>
          </w:p>
        </w:tc>
      </w:tr>
      <w:tr w:rsidR="005E522A" w:rsidRPr="005E522A" w14:paraId="53B248FF" w14:textId="77777777" w:rsidTr="001A4B15">
        <w:trPr>
          <w:trHeight w:val="79"/>
        </w:trPr>
        <w:tc>
          <w:tcPr>
            <w:tcW w:w="756" w:type="pct"/>
            <w:tcBorders>
              <w:bottom w:val="nil"/>
            </w:tcBorders>
            <w:vAlign w:val="center"/>
            <w:hideMark/>
          </w:tcPr>
          <w:p w14:paraId="5632E003"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August</w:t>
            </w:r>
          </w:p>
        </w:tc>
        <w:tc>
          <w:tcPr>
            <w:tcW w:w="588" w:type="pct"/>
            <w:tcBorders>
              <w:bottom w:val="nil"/>
            </w:tcBorders>
            <w:vAlign w:val="center"/>
            <w:hideMark/>
          </w:tcPr>
          <w:p w14:paraId="78C8A5E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139</w:t>
            </w:r>
          </w:p>
        </w:tc>
        <w:tc>
          <w:tcPr>
            <w:tcW w:w="573" w:type="pct"/>
            <w:tcBorders>
              <w:bottom w:val="nil"/>
            </w:tcBorders>
            <w:vAlign w:val="center"/>
            <w:hideMark/>
          </w:tcPr>
          <w:p w14:paraId="4490C44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30.8</w:t>
            </w:r>
          </w:p>
        </w:tc>
        <w:tc>
          <w:tcPr>
            <w:tcW w:w="598" w:type="pct"/>
            <w:tcBorders>
              <w:bottom w:val="nil"/>
            </w:tcBorders>
            <w:vAlign w:val="center"/>
          </w:tcPr>
          <w:p w14:paraId="00C7280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24.8</w:t>
            </w:r>
          </w:p>
        </w:tc>
        <w:tc>
          <w:tcPr>
            <w:tcW w:w="777" w:type="pct"/>
            <w:tcBorders>
              <w:bottom w:val="nil"/>
            </w:tcBorders>
          </w:tcPr>
          <w:p w14:paraId="7357193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77.8</w:t>
            </w:r>
          </w:p>
        </w:tc>
        <w:tc>
          <w:tcPr>
            <w:tcW w:w="948" w:type="pct"/>
            <w:tcBorders>
              <w:bottom w:val="nil"/>
            </w:tcBorders>
          </w:tcPr>
          <w:p w14:paraId="6F6E2A51"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22.9</w:t>
            </w:r>
          </w:p>
        </w:tc>
        <w:tc>
          <w:tcPr>
            <w:tcW w:w="760" w:type="pct"/>
            <w:tcBorders>
              <w:bottom w:val="nil"/>
            </w:tcBorders>
            <w:vAlign w:val="center"/>
          </w:tcPr>
          <w:p w14:paraId="705A4FB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4.5</w:t>
            </w:r>
          </w:p>
        </w:tc>
      </w:tr>
      <w:tr w:rsidR="005E522A" w:rsidRPr="005E522A" w14:paraId="33C86A01" w14:textId="77777777" w:rsidTr="001A4B15">
        <w:trPr>
          <w:trHeight w:val="79"/>
        </w:trPr>
        <w:tc>
          <w:tcPr>
            <w:tcW w:w="756" w:type="pct"/>
            <w:tcBorders>
              <w:top w:val="nil"/>
              <w:bottom w:val="single" w:sz="4" w:space="0" w:color="auto"/>
            </w:tcBorders>
            <w:vAlign w:val="center"/>
            <w:hideMark/>
          </w:tcPr>
          <w:p w14:paraId="79A74D27" w14:textId="77777777" w:rsidR="005E522A" w:rsidRPr="005E522A" w:rsidRDefault="005E522A" w:rsidP="001A4B15">
            <w:pPr>
              <w:contextualSpacing/>
              <w:jc w:val="both"/>
              <w:rPr>
                <w:rFonts w:ascii="Arial" w:eastAsia="Times New Roman" w:hAnsi="Arial" w:cs="Arial"/>
                <w:b/>
                <w:bCs/>
                <w:lang w:eastAsia="en-GB" w:bidi="en-US"/>
              </w:rPr>
            </w:pPr>
            <w:r w:rsidRPr="005E522A">
              <w:rPr>
                <w:rFonts w:ascii="Arial" w:eastAsia="Times New Roman" w:hAnsi="Arial" w:cs="Arial"/>
                <w:b/>
                <w:bCs/>
                <w:lang w:eastAsia="en-GB" w:bidi="en-US"/>
              </w:rPr>
              <w:t>Total</w:t>
            </w:r>
          </w:p>
        </w:tc>
        <w:tc>
          <w:tcPr>
            <w:tcW w:w="588" w:type="pct"/>
            <w:tcBorders>
              <w:top w:val="nil"/>
              <w:bottom w:val="single" w:sz="4" w:space="0" w:color="auto"/>
            </w:tcBorders>
            <w:vAlign w:val="center"/>
            <w:hideMark/>
          </w:tcPr>
          <w:p w14:paraId="2247CE4D" w14:textId="77777777" w:rsidR="005E522A" w:rsidRPr="005E522A" w:rsidRDefault="005E522A" w:rsidP="001A4B15">
            <w:pPr>
              <w:contextualSpacing/>
              <w:jc w:val="center"/>
              <w:rPr>
                <w:rFonts w:ascii="Arial" w:eastAsia="Times New Roman" w:hAnsi="Arial" w:cs="Arial"/>
                <w:b/>
                <w:bCs/>
                <w:lang w:eastAsia="en-GB" w:bidi="en-US"/>
              </w:rPr>
            </w:pPr>
            <w:r w:rsidRPr="005E522A">
              <w:rPr>
                <w:rFonts w:ascii="Arial" w:eastAsia="Times New Roman" w:hAnsi="Arial" w:cs="Arial"/>
                <w:b/>
                <w:bCs/>
                <w:lang w:eastAsia="en-GB" w:bidi="en-US"/>
              </w:rPr>
              <w:t>980</w:t>
            </w:r>
          </w:p>
        </w:tc>
        <w:tc>
          <w:tcPr>
            <w:tcW w:w="573" w:type="pct"/>
            <w:tcBorders>
              <w:top w:val="nil"/>
              <w:bottom w:val="single" w:sz="4" w:space="0" w:color="auto"/>
            </w:tcBorders>
            <w:vAlign w:val="center"/>
            <w:hideMark/>
          </w:tcPr>
          <w:p w14:paraId="37C220A3" w14:textId="77777777" w:rsidR="005E522A" w:rsidRPr="005E522A" w:rsidRDefault="005E522A" w:rsidP="001A4B15">
            <w:pPr>
              <w:contextualSpacing/>
              <w:jc w:val="center"/>
              <w:rPr>
                <w:rFonts w:ascii="Arial" w:eastAsia="Times New Roman" w:hAnsi="Arial" w:cs="Arial"/>
                <w:lang w:eastAsia="en-GB" w:bidi="en-US"/>
              </w:rPr>
            </w:pPr>
          </w:p>
        </w:tc>
        <w:tc>
          <w:tcPr>
            <w:tcW w:w="598" w:type="pct"/>
            <w:tcBorders>
              <w:top w:val="nil"/>
              <w:bottom w:val="single" w:sz="4" w:space="0" w:color="auto"/>
            </w:tcBorders>
            <w:vAlign w:val="center"/>
          </w:tcPr>
          <w:p w14:paraId="2D6ADDB0" w14:textId="77777777" w:rsidR="005E522A" w:rsidRPr="005E522A" w:rsidRDefault="005E522A" w:rsidP="001A4B15">
            <w:pPr>
              <w:contextualSpacing/>
              <w:jc w:val="center"/>
              <w:rPr>
                <w:rFonts w:ascii="Arial" w:eastAsia="Times New Roman" w:hAnsi="Arial" w:cs="Arial"/>
                <w:lang w:eastAsia="en-GB" w:bidi="en-US"/>
              </w:rPr>
            </w:pPr>
          </w:p>
        </w:tc>
        <w:tc>
          <w:tcPr>
            <w:tcW w:w="777" w:type="pct"/>
            <w:tcBorders>
              <w:top w:val="nil"/>
              <w:bottom w:val="single" w:sz="4" w:space="0" w:color="auto"/>
            </w:tcBorders>
          </w:tcPr>
          <w:p w14:paraId="77C785EC" w14:textId="77777777" w:rsidR="005E522A" w:rsidRPr="005E522A" w:rsidRDefault="005E522A" w:rsidP="001A4B15">
            <w:pPr>
              <w:contextualSpacing/>
              <w:jc w:val="center"/>
              <w:rPr>
                <w:rFonts w:ascii="Arial" w:eastAsia="Times New Roman" w:hAnsi="Arial" w:cs="Arial"/>
                <w:lang w:eastAsia="en-GB" w:bidi="en-US"/>
              </w:rPr>
            </w:pPr>
          </w:p>
        </w:tc>
        <w:tc>
          <w:tcPr>
            <w:tcW w:w="948" w:type="pct"/>
            <w:tcBorders>
              <w:top w:val="nil"/>
              <w:bottom w:val="single" w:sz="4" w:space="0" w:color="auto"/>
            </w:tcBorders>
          </w:tcPr>
          <w:p w14:paraId="3C699889" w14:textId="77777777" w:rsidR="005E522A" w:rsidRPr="005E522A" w:rsidRDefault="005E522A" w:rsidP="001A4B15">
            <w:pPr>
              <w:contextualSpacing/>
              <w:jc w:val="center"/>
              <w:rPr>
                <w:rFonts w:ascii="Arial" w:eastAsia="Times New Roman" w:hAnsi="Arial" w:cs="Arial"/>
                <w:lang w:eastAsia="en-GB" w:bidi="en-US"/>
              </w:rPr>
            </w:pPr>
          </w:p>
        </w:tc>
        <w:tc>
          <w:tcPr>
            <w:tcW w:w="760" w:type="pct"/>
            <w:tcBorders>
              <w:top w:val="nil"/>
              <w:bottom w:val="single" w:sz="4" w:space="0" w:color="auto"/>
            </w:tcBorders>
            <w:vAlign w:val="center"/>
          </w:tcPr>
          <w:p w14:paraId="3A0D8587" w14:textId="77777777" w:rsidR="005E522A" w:rsidRPr="005E522A" w:rsidRDefault="005E522A" w:rsidP="001A4B15">
            <w:pPr>
              <w:contextualSpacing/>
              <w:jc w:val="center"/>
              <w:rPr>
                <w:rFonts w:ascii="Arial" w:eastAsia="Times New Roman" w:hAnsi="Arial" w:cs="Arial"/>
                <w:lang w:eastAsia="en-GB" w:bidi="en-US"/>
              </w:rPr>
            </w:pPr>
          </w:p>
        </w:tc>
      </w:tr>
      <w:tr w:rsidR="005E522A" w:rsidRPr="005E522A" w14:paraId="1023254F" w14:textId="77777777" w:rsidTr="001A4B15">
        <w:trPr>
          <w:trHeight w:val="79"/>
        </w:trPr>
        <w:tc>
          <w:tcPr>
            <w:tcW w:w="5000" w:type="pct"/>
            <w:gridSpan w:val="7"/>
            <w:tcBorders>
              <w:top w:val="single" w:sz="4" w:space="0" w:color="auto"/>
              <w:bottom w:val="nil"/>
            </w:tcBorders>
          </w:tcPr>
          <w:p w14:paraId="2A9779AA" w14:textId="77777777" w:rsidR="005E522A" w:rsidRPr="005E522A" w:rsidRDefault="005E522A" w:rsidP="001A4B15">
            <w:pPr>
              <w:contextualSpacing/>
              <w:jc w:val="center"/>
              <w:rPr>
                <w:rFonts w:ascii="Arial" w:hAnsi="Arial" w:cs="Arial"/>
                <w:b/>
                <w:bCs/>
                <w:i/>
                <w:iCs/>
                <w:lang w:val="en-GB" w:eastAsia="en-GB"/>
              </w:rPr>
            </w:pPr>
            <w:r w:rsidRPr="005E522A">
              <w:rPr>
                <w:rFonts w:ascii="Arial" w:hAnsi="Arial" w:cs="Arial"/>
                <w:b/>
                <w:bCs/>
                <w:i/>
                <w:iCs/>
                <w:lang w:val="en-GB" w:eastAsia="en-GB"/>
              </w:rPr>
              <w:t>Source: Ghana Meteorological Services, 2022</w:t>
            </w:r>
          </w:p>
        </w:tc>
      </w:tr>
    </w:tbl>
    <w:p w14:paraId="32481ED9" w14:textId="77777777" w:rsidR="008454B3" w:rsidRDefault="008454B3" w:rsidP="00641B7C">
      <w:pPr>
        <w:pStyle w:val="BodyText"/>
        <w:spacing w:before="233" w:line="259" w:lineRule="auto"/>
        <w:ind w:right="281"/>
        <w:rPr>
          <w:rFonts w:ascii="Arial" w:hAnsi="Arial" w:cs="Arial"/>
          <w:b/>
          <w:bCs/>
          <w:sz w:val="22"/>
          <w:szCs w:val="22"/>
        </w:rPr>
      </w:pPr>
    </w:p>
    <w:p w14:paraId="07FC6BC8" w14:textId="72834DAF"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t xml:space="preserve">3.2 </w:t>
      </w:r>
      <w:r w:rsidR="005E522A" w:rsidRPr="005E522A">
        <w:rPr>
          <w:rFonts w:ascii="Arial" w:hAnsi="Arial" w:cs="Arial"/>
          <w:b/>
          <w:bCs/>
          <w:sz w:val="22"/>
          <w:szCs w:val="22"/>
        </w:rPr>
        <w:t xml:space="preserve">Background </w:t>
      </w:r>
      <w:r w:rsidR="005E522A">
        <w:rPr>
          <w:rFonts w:ascii="Arial" w:hAnsi="Arial" w:cs="Arial"/>
          <w:b/>
          <w:bCs/>
          <w:sz w:val="22"/>
          <w:szCs w:val="22"/>
        </w:rPr>
        <w:t>S</w:t>
      </w:r>
      <w:r w:rsidR="005E522A" w:rsidRPr="005E522A">
        <w:rPr>
          <w:rFonts w:ascii="Arial" w:hAnsi="Arial" w:cs="Arial"/>
          <w:b/>
          <w:bCs/>
          <w:sz w:val="22"/>
          <w:szCs w:val="22"/>
        </w:rPr>
        <w:t xml:space="preserve">oil </w:t>
      </w:r>
      <w:r w:rsidR="005E522A">
        <w:rPr>
          <w:rFonts w:ascii="Arial" w:hAnsi="Arial" w:cs="Arial"/>
          <w:b/>
          <w:bCs/>
          <w:sz w:val="22"/>
          <w:szCs w:val="22"/>
        </w:rPr>
        <w:t>C</w:t>
      </w:r>
      <w:r w:rsidR="005E522A" w:rsidRPr="005E522A">
        <w:rPr>
          <w:rFonts w:ascii="Arial" w:hAnsi="Arial" w:cs="Arial"/>
          <w:b/>
          <w:bCs/>
          <w:sz w:val="22"/>
          <w:szCs w:val="22"/>
        </w:rPr>
        <w:t xml:space="preserve">hemical and </w:t>
      </w:r>
      <w:r w:rsidR="005E522A">
        <w:rPr>
          <w:rFonts w:ascii="Arial" w:hAnsi="Arial" w:cs="Arial"/>
          <w:b/>
          <w:bCs/>
          <w:sz w:val="22"/>
          <w:szCs w:val="22"/>
        </w:rPr>
        <w:t>P</w:t>
      </w:r>
      <w:r w:rsidR="005E522A" w:rsidRPr="005E522A">
        <w:rPr>
          <w:rFonts w:ascii="Arial" w:hAnsi="Arial" w:cs="Arial"/>
          <w:b/>
          <w:bCs/>
          <w:sz w:val="22"/>
          <w:szCs w:val="22"/>
        </w:rPr>
        <w:t xml:space="preserve">hysical </w:t>
      </w:r>
      <w:r w:rsidR="005E522A">
        <w:rPr>
          <w:rFonts w:ascii="Arial" w:hAnsi="Arial" w:cs="Arial"/>
          <w:b/>
          <w:bCs/>
          <w:sz w:val="22"/>
          <w:szCs w:val="22"/>
        </w:rPr>
        <w:t>P</w:t>
      </w:r>
      <w:r w:rsidR="005E522A" w:rsidRPr="005E522A">
        <w:rPr>
          <w:rFonts w:ascii="Arial" w:hAnsi="Arial" w:cs="Arial"/>
          <w:b/>
          <w:bCs/>
          <w:sz w:val="22"/>
          <w:szCs w:val="22"/>
        </w:rPr>
        <w:t xml:space="preserve">roperties at Amantin and Nsapor </w:t>
      </w:r>
    </w:p>
    <w:p w14:paraId="0B8C6B7D" w14:textId="77777777" w:rsidR="005E522A" w:rsidRDefault="005E522A" w:rsidP="005E522A">
      <w:pPr>
        <w:jc w:val="both"/>
        <w:rPr>
          <w:rFonts w:ascii="Arial" w:hAnsi="Arial" w:cs="Arial"/>
        </w:rPr>
      </w:pPr>
      <w:r w:rsidRPr="005E522A">
        <w:rPr>
          <w:rFonts w:ascii="Arial" w:hAnsi="Arial" w:cs="Arial"/>
        </w:rPr>
        <w:t xml:space="preserve">The initial soil analysis was interpreted using the guide to the interpretation of soil analytical data in Ghana (SRI, 2007). The soil analysis revealed that the pH of Amantin (6.5) was slightly acidic, while Nsapor (5.5) was acidic. Organic carbon content at both sites (0.87%) was rated low, and total nitrogen levels (0.07% and 0.06%) were also low. Organic matter content was moderate at both Amantin (1.8%) and Nsapor (1.6%). Calcium levels were moderate at Amantin but low at Nsapor, whereas magnesium content was moderate at both locations. Exchangeable potassium was moderate at Amantin and low at Nsapor (Table 3). Boron and available phosphorus were low across both sites. Micronutrient analysis indicated high concentrations of manganese, iron, and copper at both sites, while zinc was low at Amantin and moderate at Nsapor. The cation exchange capacity (CEC) was low at both sites, indicating limited nutrient-holding capacity. The C/N ratio was normal (15) for both sites. Bulk density, porosity, and particle density were within normal ranges. Infiltration rate was moderate at Amantin and high at Nsapor. The soil at Amantin was classified as clayey loam, with 27.3 % sand, 34.4% silt, and 38.3% clay, while Nsapor soil was </w:t>
      </w:r>
      <w:r w:rsidRPr="00C00659">
        <w:rPr>
          <w:rFonts w:ascii="Arial" w:hAnsi="Arial" w:cs="Arial"/>
          <w:highlight w:val="yellow"/>
        </w:rPr>
        <w:t>sandy loam with 48.4% sand, 43.6% silt, and 7.6% clay (Table 3).</w:t>
      </w:r>
    </w:p>
    <w:p w14:paraId="5B1A5FB9" w14:textId="77777777" w:rsidR="00C00659" w:rsidRDefault="00C00659" w:rsidP="006631B2">
      <w:pPr>
        <w:pStyle w:val="Body"/>
        <w:spacing w:after="0" w:line="360" w:lineRule="auto"/>
        <w:rPr>
          <w:rFonts w:ascii="Arial" w:hAnsi="Arial" w:cs="Arial"/>
          <w:b/>
          <w:bCs/>
        </w:rPr>
      </w:pPr>
    </w:p>
    <w:p w14:paraId="4C4F0679" w14:textId="7BB147BF" w:rsidR="00641B7C" w:rsidRPr="00641B7C" w:rsidRDefault="00641B7C" w:rsidP="006631B2">
      <w:pPr>
        <w:pStyle w:val="Body"/>
        <w:spacing w:after="0" w:line="360" w:lineRule="auto"/>
        <w:rPr>
          <w:rFonts w:ascii="Arial" w:hAnsi="Arial" w:cs="Arial"/>
        </w:rPr>
      </w:pPr>
      <w:r w:rsidRPr="00641B7C">
        <w:rPr>
          <w:rFonts w:ascii="Arial" w:hAnsi="Arial" w:cs="Arial"/>
          <w:b/>
          <w:bCs/>
        </w:rPr>
        <w:t xml:space="preserve">Table </w:t>
      </w:r>
      <w:r w:rsidR="00E23299">
        <w:rPr>
          <w:rFonts w:ascii="Arial" w:hAnsi="Arial" w:cs="Arial"/>
          <w:b/>
          <w:bCs/>
        </w:rPr>
        <w:t>3</w:t>
      </w:r>
      <w:r w:rsidR="00944265">
        <w:rPr>
          <w:rFonts w:ascii="Arial" w:hAnsi="Arial" w:cs="Arial"/>
          <w:b/>
          <w:bCs/>
        </w:rPr>
        <w:t xml:space="preserve">. </w:t>
      </w:r>
      <w:r w:rsidR="00E23299" w:rsidRPr="00E23299">
        <w:rPr>
          <w:rFonts w:ascii="Arial" w:hAnsi="Arial" w:cs="Arial"/>
          <w:b/>
          <w:bCs/>
        </w:rPr>
        <w:t xml:space="preserve">Background </w:t>
      </w:r>
      <w:r w:rsidR="00E23299">
        <w:rPr>
          <w:rFonts w:ascii="Arial" w:hAnsi="Arial" w:cs="Arial"/>
          <w:b/>
          <w:bCs/>
        </w:rPr>
        <w:t>s</w:t>
      </w:r>
      <w:r w:rsidR="00E23299" w:rsidRPr="00E23299">
        <w:rPr>
          <w:rFonts w:ascii="Arial" w:hAnsi="Arial" w:cs="Arial"/>
          <w:b/>
          <w:bCs/>
        </w:rPr>
        <w:t xml:space="preserve">oil </w:t>
      </w:r>
      <w:r w:rsidR="00E23299">
        <w:rPr>
          <w:rFonts w:ascii="Arial" w:hAnsi="Arial" w:cs="Arial"/>
          <w:b/>
          <w:bCs/>
        </w:rPr>
        <w:t>c</w:t>
      </w:r>
      <w:r w:rsidR="00E23299" w:rsidRPr="00E23299">
        <w:rPr>
          <w:rFonts w:ascii="Arial" w:hAnsi="Arial" w:cs="Arial"/>
          <w:b/>
          <w:bCs/>
        </w:rPr>
        <w:t xml:space="preserve">hemical and physical properties at Amantin and Nsapor </w:t>
      </w:r>
    </w:p>
    <w:tbl>
      <w:tblPr>
        <w:tblStyle w:val="TableGrid2"/>
        <w:tblW w:w="765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34"/>
        <w:gridCol w:w="1563"/>
        <w:gridCol w:w="1559"/>
      </w:tblGrid>
      <w:tr w:rsidR="005E522A" w:rsidRPr="005E522A" w14:paraId="02070D37" w14:textId="77777777" w:rsidTr="001A4B15">
        <w:trPr>
          <w:trHeight w:val="367"/>
        </w:trPr>
        <w:tc>
          <w:tcPr>
            <w:tcW w:w="2694" w:type="dxa"/>
            <w:tcBorders>
              <w:bottom w:val="nil"/>
            </w:tcBorders>
            <w:hideMark/>
          </w:tcPr>
          <w:p w14:paraId="20ECA8C9"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Parameter</w:t>
            </w:r>
          </w:p>
        </w:tc>
        <w:tc>
          <w:tcPr>
            <w:tcW w:w="1834" w:type="dxa"/>
            <w:tcBorders>
              <w:bottom w:val="nil"/>
            </w:tcBorders>
            <w:hideMark/>
          </w:tcPr>
          <w:p w14:paraId="3213F4CC" w14:textId="77777777" w:rsidR="005E522A" w:rsidRPr="005E522A" w:rsidRDefault="005E522A" w:rsidP="005E522A">
            <w:pPr>
              <w:contextualSpacing/>
              <w:rPr>
                <w:rFonts w:ascii="Arial" w:hAnsi="Arial" w:cs="Arial"/>
                <w:b/>
                <w:bCs/>
                <w:lang w:val="en-GB"/>
              </w:rPr>
            </w:pPr>
            <w:r w:rsidRPr="005E522A">
              <w:rPr>
                <w:rFonts w:ascii="Arial" w:hAnsi="Arial" w:cs="Arial"/>
                <w:b/>
                <w:bCs/>
                <w:lang w:val="en-GB"/>
              </w:rPr>
              <w:t>Unit</w:t>
            </w:r>
          </w:p>
        </w:tc>
        <w:tc>
          <w:tcPr>
            <w:tcW w:w="3122" w:type="dxa"/>
            <w:gridSpan w:val="2"/>
            <w:tcBorders>
              <w:bottom w:val="nil"/>
            </w:tcBorders>
            <w:hideMark/>
          </w:tcPr>
          <w:p w14:paraId="42A2FE6A"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 xml:space="preserve">           Location</w:t>
            </w:r>
          </w:p>
        </w:tc>
      </w:tr>
      <w:tr w:rsidR="005E522A" w:rsidRPr="005E522A" w14:paraId="556D5F44" w14:textId="77777777" w:rsidTr="001A4B15">
        <w:trPr>
          <w:trHeight w:val="143"/>
        </w:trPr>
        <w:tc>
          <w:tcPr>
            <w:tcW w:w="2694" w:type="dxa"/>
            <w:tcBorders>
              <w:top w:val="nil"/>
              <w:bottom w:val="single" w:sz="4" w:space="0" w:color="auto"/>
            </w:tcBorders>
          </w:tcPr>
          <w:p w14:paraId="6392AF40" w14:textId="77777777" w:rsidR="005E522A" w:rsidRPr="005E522A" w:rsidRDefault="005E522A" w:rsidP="005E522A">
            <w:pPr>
              <w:contextualSpacing/>
              <w:jc w:val="both"/>
              <w:rPr>
                <w:rFonts w:ascii="Arial" w:hAnsi="Arial" w:cs="Arial"/>
                <w:b/>
                <w:bCs/>
                <w:lang w:val="en-GB"/>
              </w:rPr>
            </w:pPr>
          </w:p>
        </w:tc>
        <w:tc>
          <w:tcPr>
            <w:tcW w:w="1834" w:type="dxa"/>
            <w:tcBorders>
              <w:top w:val="nil"/>
              <w:bottom w:val="single" w:sz="4" w:space="0" w:color="auto"/>
            </w:tcBorders>
          </w:tcPr>
          <w:p w14:paraId="0D5A13E8" w14:textId="77777777" w:rsidR="005E522A" w:rsidRPr="005E522A" w:rsidRDefault="005E522A" w:rsidP="005E522A">
            <w:pPr>
              <w:contextualSpacing/>
              <w:rPr>
                <w:rFonts w:ascii="Arial" w:hAnsi="Arial" w:cs="Arial"/>
                <w:b/>
                <w:bCs/>
                <w:lang w:val="en-GB"/>
              </w:rPr>
            </w:pPr>
          </w:p>
        </w:tc>
        <w:tc>
          <w:tcPr>
            <w:tcW w:w="1563" w:type="dxa"/>
            <w:tcBorders>
              <w:top w:val="nil"/>
              <w:bottom w:val="single" w:sz="4" w:space="0" w:color="auto"/>
            </w:tcBorders>
            <w:hideMark/>
          </w:tcPr>
          <w:p w14:paraId="53BA53BE"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Amantin</w:t>
            </w:r>
          </w:p>
        </w:tc>
        <w:tc>
          <w:tcPr>
            <w:tcW w:w="1559" w:type="dxa"/>
            <w:tcBorders>
              <w:top w:val="nil"/>
              <w:bottom w:val="single" w:sz="4" w:space="0" w:color="auto"/>
            </w:tcBorders>
            <w:hideMark/>
          </w:tcPr>
          <w:p w14:paraId="2E2B7D29"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Nsapor</w:t>
            </w:r>
          </w:p>
        </w:tc>
      </w:tr>
      <w:tr w:rsidR="005E522A" w:rsidRPr="005E522A" w14:paraId="147785A0" w14:textId="77777777" w:rsidTr="005E522A">
        <w:trPr>
          <w:trHeight w:val="58"/>
        </w:trPr>
        <w:tc>
          <w:tcPr>
            <w:tcW w:w="2694" w:type="dxa"/>
            <w:tcBorders>
              <w:top w:val="single" w:sz="4" w:space="0" w:color="auto"/>
            </w:tcBorders>
            <w:hideMark/>
          </w:tcPr>
          <w:p w14:paraId="5FEC9795" w14:textId="77777777" w:rsidR="005E522A" w:rsidRPr="005E522A" w:rsidRDefault="005E522A" w:rsidP="005E522A">
            <w:pPr>
              <w:contextualSpacing/>
              <w:jc w:val="both"/>
              <w:rPr>
                <w:rFonts w:ascii="Arial" w:hAnsi="Arial" w:cs="Arial"/>
                <w:lang w:val="en-GB"/>
              </w:rPr>
            </w:pPr>
            <w:bookmarkStart w:id="3" w:name="_Hlk141354726"/>
            <w:r w:rsidRPr="005E522A">
              <w:rPr>
                <w:rFonts w:ascii="Arial" w:hAnsi="Arial" w:cs="Arial"/>
                <w:lang w:val="en-GB"/>
              </w:rPr>
              <w:t>pH</w:t>
            </w:r>
          </w:p>
        </w:tc>
        <w:tc>
          <w:tcPr>
            <w:tcW w:w="1834" w:type="dxa"/>
            <w:tcBorders>
              <w:top w:val="single" w:sz="4" w:space="0" w:color="auto"/>
            </w:tcBorders>
            <w:hideMark/>
          </w:tcPr>
          <w:p w14:paraId="12800DD7" w14:textId="77777777" w:rsidR="005E522A" w:rsidRPr="005E522A" w:rsidRDefault="005E522A" w:rsidP="005E522A">
            <w:pPr>
              <w:contextualSpacing/>
              <w:rPr>
                <w:rFonts w:ascii="Arial" w:hAnsi="Arial" w:cs="Arial"/>
                <w:lang w:val="en-GB"/>
              </w:rPr>
            </w:pPr>
            <w:r w:rsidRPr="005E522A">
              <w:rPr>
                <w:rFonts w:ascii="Arial" w:hAnsi="Arial" w:cs="Arial"/>
                <w:lang w:val="en-GB"/>
              </w:rPr>
              <w:t>1:2.5H</w:t>
            </w:r>
            <w:r w:rsidRPr="005E522A">
              <w:rPr>
                <w:rFonts w:ascii="Arial" w:hAnsi="Arial" w:cs="Arial"/>
                <w:vertAlign w:val="subscript"/>
                <w:lang w:val="en-GB"/>
              </w:rPr>
              <w:t>2</w:t>
            </w:r>
            <w:r w:rsidRPr="005E522A">
              <w:rPr>
                <w:rFonts w:ascii="Arial" w:hAnsi="Arial" w:cs="Arial"/>
                <w:lang w:val="en-GB"/>
              </w:rPr>
              <w:t>O</w:t>
            </w:r>
          </w:p>
        </w:tc>
        <w:tc>
          <w:tcPr>
            <w:tcW w:w="1563" w:type="dxa"/>
            <w:tcBorders>
              <w:top w:val="single" w:sz="4" w:space="0" w:color="auto"/>
            </w:tcBorders>
            <w:hideMark/>
          </w:tcPr>
          <w:p w14:paraId="559FBB5C"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6.5</w:t>
            </w:r>
          </w:p>
        </w:tc>
        <w:tc>
          <w:tcPr>
            <w:tcW w:w="1559" w:type="dxa"/>
            <w:tcBorders>
              <w:top w:val="single" w:sz="4" w:space="0" w:color="auto"/>
            </w:tcBorders>
            <w:hideMark/>
          </w:tcPr>
          <w:p w14:paraId="6BE3927C"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5.5</w:t>
            </w:r>
          </w:p>
        </w:tc>
      </w:tr>
      <w:tr w:rsidR="005E522A" w:rsidRPr="005E522A" w14:paraId="7493B890" w14:textId="77777777" w:rsidTr="001A4B15">
        <w:trPr>
          <w:trHeight w:val="281"/>
        </w:trPr>
        <w:tc>
          <w:tcPr>
            <w:tcW w:w="2694" w:type="dxa"/>
            <w:hideMark/>
          </w:tcPr>
          <w:p w14:paraId="484E183A"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Organic C</w:t>
            </w:r>
          </w:p>
        </w:tc>
        <w:tc>
          <w:tcPr>
            <w:tcW w:w="1834" w:type="dxa"/>
            <w:hideMark/>
          </w:tcPr>
          <w:p w14:paraId="77043F62" w14:textId="77777777" w:rsidR="005E522A" w:rsidRPr="005E522A" w:rsidRDefault="005E522A" w:rsidP="005E522A">
            <w:pPr>
              <w:contextualSpacing/>
              <w:rPr>
                <w:rFonts w:ascii="Arial" w:hAnsi="Arial" w:cs="Arial"/>
                <w:lang w:val="en-GB"/>
              </w:rPr>
            </w:pPr>
            <w:r w:rsidRPr="005E522A">
              <w:rPr>
                <w:rFonts w:ascii="Arial" w:hAnsi="Arial" w:cs="Arial"/>
                <w:lang w:val="en-GB"/>
              </w:rPr>
              <w:t>%</w:t>
            </w:r>
          </w:p>
        </w:tc>
        <w:tc>
          <w:tcPr>
            <w:tcW w:w="1563" w:type="dxa"/>
            <w:hideMark/>
          </w:tcPr>
          <w:p w14:paraId="79009C64"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0.87</w:t>
            </w:r>
          </w:p>
        </w:tc>
        <w:tc>
          <w:tcPr>
            <w:tcW w:w="1559" w:type="dxa"/>
            <w:hideMark/>
          </w:tcPr>
          <w:p w14:paraId="277CAA0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0.87</w:t>
            </w:r>
          </w:p>
        </w:tc>
      </w:tr>
      <w:tr w:rsidR="005E522A" w:rsidRPr="005E522A" w14:paraId="2B39A3AC" w14:textId="77777777" w:rsidTr="005E522A">
        <w:trPr>
          <w:trHeight w:val="68"/>
        </w:trPr>
        <w:tc>
          <w:tcPr>
            <w:tcW w:w="2694" w:type="dxa"/>
            <w:hideMark/>
          </w:tcPr>
          <w:p w14:paraId="621C6D56"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Total N</w:t>
            </w:r>
          </w:p>
        </w:tc>
        <w:tc>
          <w:tcPr>
            <w:tcW w:w="1834" w:type="dxa"/>
            <w:hideMark/>
          </w:tcPr>
          <w:p w14:paraId="779B7459" w14:textId="77777777" w:rsidR="005E522A" w:rsidRPr="005E522A" w:rsidRDefault="005E522A" w:rsidP="005E522A">
            <w:pPr>
              <w:contextualSpacing/>
              <w:rPr>
                <w:rFonts w:ascii="Arial" w:hAnsi="Arial" w:cs="Arial"/>
                <w:lang w:val="en-GB"/>
              </w:rPr>
            </w:pPr>
            <w:r w:rsidRPr="005E522A">
              <w:rPr>
                <w:rFonts w:ascii="Arial" w:hAnsi="Arial" w:cs="Arial"/>
                <w:lang w:val="en-GB"/>
              </w:rPr>
              <w:t>%</w:t>
            </w:r>
          </w:p>
        </w:tc>
        <w:tc>
          <w:tcPr>
            <w:tcW w:w="1563" w:type="dxa"/>
            <w:hideMark/>
          </w:tcPr>
          <w:p w14:paraId="21CB810E"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0.07</w:t>
            </w:r>
          </w:p>
        </w:tc>
        <w:tc>
          <w:tcPr>
            <w:tcW w:w="1559" w:type="dxa"/>
            <w:hideMark/>
          </w:tcPr>
          <w:p w14:paraId="1722C05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0.06</w:t>
            </w:r>
          </w:p>
        </w:tc>
      </w:tr>
      <w:tr w:rsidR="005E522A" w:rsidRPr="005E522A" w14:paraId="186EC644" w14:textId="77777777" w:rsidTr="001A4B15">
        <w:trPr>
          <w:trHeight w:val="267"/>
        </w:trPr>
        <w:tc>
          <w:tcPr>
            <w:tcW w:w="2694" w:type="dxa"/>
            <w:hideMark/>
          </w:tcPr>
          <w:p w14:paraId="5D48BDB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OM</w:t>
            </w:r>
          </w:p>
        </w:tc>
        <w:tc>
          <w:tcPr>
            <w:tcW w:w="1834" w:type="dxa"/>
            <w:hideMark/>
          </w:tcPr>
          <w:p w14:paraId="4AA2490E" w14:textId="77777777" w:rsidR="005E522A" w:rsidRPr="005E522A" w:rsidRDefault="005E522A" w:rsidP="005E522A">
            <w:pPr>
              <w:contextualSpacing/>
              <w:rPr>
                <w:rFonts w:ascii="Arial" w:hAnsi="Arial" w:cs="Arial"/>
                <w:lang w:val="en-GB"/>
              </w:rPr>
            </w:pPr>
            <w:r w:rsidRPr="005E522A">
              <w:rPr>
                <w:rFonts w:ascii="Arial" w:hAnsi="Arial" w:cs="Arial"/>
                <w:lang w:val="en-GB"/>
              </w:rPr>
              <w:t>%</w:t>
            </w:r>
          </w:p>
        </w:tc>
        <w:tc>
          <w:tcPr>
            <w:tcW w:w="1563" w:type="dxa"/>
            <w:hideMark/>
          </w:tcPr>
          <w:p w14:paraId="4ED96D6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1.8</w:t>
            </w:r>
          </w:p>
        </w:tc>
        <w:tc>
          <w:tcPr>
            <w:tcW w:w="1559" w:type="dxa"/>
            <w:hideMark/>
          </w:tcPr>
          <w:p w14:paraId="064822E1"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1.6</w:t>
            </w:r>
          </w:p>
        </w:tc>
      </w:tr>
      <w:tr w:rsidR="005E522A" w:rsidRPr="005E522A" w14:paraId="3AFCFF81" w14:textId="77777777" w:rsidTr="005E522A">
        <w:trPr>
          <w:trHeight w:val="68"/>
        </w:trPr>
        <w:tc>
          <w:tcPr>
            <w:tcW w:w="2694" w:type="dxa"/>
            <w:hideMark/>
          </w:tcPr>
          <w:p w14:paraId="6CB8DED7"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Ca</w:t>
            </w:r>
            <w:r w:rsidRPr="005E522A">
              <w:rPr>
                <w:rFonts w:ascii="Arial" w:hAnsi="Arial" w:cs="Arial"/>
                <w:vertAlign w:val="superscript"/>
                <w:lang w:val="en-GB"/>
              </w:rPr>
              <w:t>2+</w:t>
            </w:r>
          </w:p>
        </w:tc>
        <w:tc>
          <w:tcPr>
            <w:tcW w:w="1834" w:type="dxa"/>
            <w:hideMark/>
          </w:tcPr>
          <w:p w14:paraId="0B49CA88"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8EB7097"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800</w:t>
            </w:r>
          </w:p>
        </w:tc>
        <w:tc>
          <w:tcPr>
            <w:tcW w:w="1559" w:type="dxa"/>
            <w:hideMark/>
          </w:tcPr>
          <w:p w14:paraId="6B4B18A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349</w:t>
            </w:r>
          </w:p>
        </w:tc>
      </w:tr>
      <w:tr w:rsidR="005E522A" w:rsidRPr="005E522A" w14:paraId="676CC5C5" w14:textId="77777777" w:rsidTr="005E522A">
        <w:trPr>
          <w:trHeight w:val="68"/>
        </w:trPr>
        <w:tc>
          <w:tcPr>
            <w:tcW w:w="2694" w:type="dxa"/>
            <w:hideMark/>
          </w:tcPr>
          <w:p w14:paraId="16E2CD0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Mg</w:t>
            </w:r>
            <w:r w:rsidRPr="005E522A">
              <w:rPr>
                <w:rFonts w:ascii="Arial" w:hAnsi="Arial" w:cs="Arial"/>
                <w:vertAlign w:val="superscript"/>
                <w:lang w:val="en-GB"/>
              </w:rPr>
              <w:t>2+</w:t>
            </w:r>
          </w:p>
        </w:tc>
        <w:tc>
          <w:tcPr>
            <w:tcW w:w="1834" w:type="dxa"/>
            <w:hideMark/>
          </w:tcPr>
          <w:p w14:paraId="15E18015"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06FB71FC"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123</w:t>
            </w:r>
          </w:p>
        </w:tc>
        <w:tc>
          <w:tcPr>
            <w:tcW w:w="1559" w:type="dxa"/>
            <w:hideMark/>
          </w:tcPr>
          <w:p w14:paraId="7750878B"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68</w:t>
            </w:r>
          </w:p>
        </w:tc>
      </w:tr>
      <w:tr w:rsidR="005E522A" w:rsidRPr="005E522A" w14:paraId="3C82EB76" w14:textId="77777777" w:rsidTr="005E522A">
        <w:trPr>
          <w:trHeight w:val="68"/>
        </w:trPr>
        <w:tc>
          <w:tcPr>
            <w:tcW w:w="2694" w:type="dxa"/>
            <w:hideMark/>
          </w:tcPr>
          <w:p w14:paraId="52EC1485"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Ex. K</w:t>
            </w:r>
            <w:r w:rsidRPr="005E522A">
              <w:rPr>
                <w:rFonts w:ascii="Arial" w:hAnsi="Arial" w:cs="Arial"/>
                <w:vertAlign w:val="superscript"/>
                <w:lang w:val="en-GB"/>
              </w:rPr>
              <w:t>+</w:t>
            </w:r>
          </w:p>
        </w:tc>
        <w:tc>
          <w:tcPr>
            <w:tcW w:w="1834" w:type="dxa"/>
            <w:hideMark/>
          </w:tcPr>
          <w:p w14:paraId="45DC191E"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7BC75D5"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50</w:t>
            </w:r>
          </w:p>
        </w:tc>
        <w:tc>
          <w:tcPr>
            <w:tcW w:w="1559" w:type="dxa"/>
            <w:hideMark/>
          </w:tcPr>
          <w:p w14:paraId="04012F5E"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&lt;40</w:t>
            </w:r>
          </w:p>
        </w:tc>
      </w:tr>
      <w:tr w:rsidR="005E522A" w:rsidRPr="005E522A" w14:paraId="10653459" w14:textId="77777777" w:rsidTr="005E522A">
        <w:trPr>
          <w:trHeight w:val="68"/>
        </w:trPr>
        <w:tc>
          <w:tcPr>
            <w:tcW w:w="2694" w:type="dxa"/>
            <w:hideMark/>
          </w:tcPr>
          <w:p w14:paraId="058FDE3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Boron</w:t>
            </w:r>
          </w:p>
        </w:tc>
        <w:tc>
          <w:tcPr>
            <w:tcW w:w="1834" w:type="dxa"/>
            <w:hideMark/>
          </w:tcPr>
          <w:p w14:paraId="7B4BCCD9"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5FE92E0"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&lt;0.5</w:t>
            </w:r>
          </w:p>
        </w:tc>
        <w:tc>
          <w:tcPr>
            <w:tcW w:w="1559" w:type="dxa"/>
            <w:hideMark/>
          </w:tcPr>
          <w:p w14:paraId="32556089"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&lt;0.5</w:t>
            </w:r>
          </w:p>
        </w:tc>
      </w:tr>
      <w:tr w:rsidR="005E522A" w:rsidRPr="005E522A" w14:paraId="0C9BFFFD" w14:textId="77777777" w:rsidTr="001A4B15">
        <w:trPr>
          <w:trHeight w:val="297"/>
        </w:trPr>
        <w:tc>
          <w:tcPr>
            <w:tcW w:w="2694" w:type="dxa"/>
            <w:hideMark/>
          </w:tcPr>
          <w:p w14:paraId="1596063D"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Available P</w:t>
            </w:r>
          </w:p>
        </w:tc>
        <w:tc>
          <w:tcPr>
            <w:tcW w:w="1834" w:type="dxa"/>
            <w:hideMark/>
          </w:tcPr>
          <w:p w14:paraId="377A05B6"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5F39EFC1"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0-10</w:t>
            </w:r>
          </w:p>
        </w:tc>
        <w:tc>
          <w:tcPr>
            <w:tcW w:w="1559" w:type="dxa"/>
            <w:hideMark/>
          </w:tcPr>
          <w:p w14:paraId="4CAFBAB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0-10</w:t>
            </w:r>
          </w:p>
        </w:tc>
      </w:tr>
      <w:tr w:rsidR="005E522A" w:rsidRPr="005E522A" w14:paraId="1191BDBD" w14:textId="77777777" w:rsidTr="001A4B15">
        <w:trPr>
          <w:trHeight w:val="273"/>
        </w:trPr>
        <w:tc>
          <w:tcPr>
            <w:tcW w:w="2694" w:type="dxa"/>
            <w:hideMark/>
          </w:tcPr>
          <w:p w14:paraId="57B85524"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Manganese</w:t>
            </w:r>
          </w:p>
        </w:tc>
        <w:tc>
          <w:tcPr>
            <w:tcW w:w="1834" w:type="dxa"/>
            <w:hideMark/>
          </w:tcPr>
          <w:p w14:paraId="55A723D0"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0815C55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130</w:t>
            </w:r>
          </w:p>
        </w:tc>
        <w:tc>
          <w:tcPr>
            <w:tcW w:w="1559" w:type="dxa"/>
            <w:hideMark/>
          </w:tcPr>
          <w:p w14:paraId="463F9DB3"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118</w:t>
            </w:r>
          </w:p>
        </w:tc>
      </w:tr>
      <w:tr w:rsidR="005E522A" w:rsidRPr="005E522A" w14:paraId="4FA8AC93" w14:textId="77777777" w:rsidTr="001A4B15">
        <w:trPr>
          <w:trHeight w:val="257"/>
        </w:trPr>
        <w:tc>
          <w:tcPr>
            <w:tcW w:w="2694" w:type="dxa"/>
            <w:hideMark/>
          </w:tcPr>
          <w:p w14:paraId="1F28A9BE"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Zinc</w:t>
            </w:r>
          </w:p>
        </w:tc>
        <w:tc>
          <w:tcPr>
            <w:tcW w:w="1834" w:type="dxa"/>
            <w:hideMark/>
          </w:tcPr>
          <w:p w14:paraId="7604ACB2"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C621E3A"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&lt;1</w:t>
            </w:r>
          </w:p>
        </w:tc>
        <w:tc>
          <w:tcPr>
            <w:tcW w:w="1559" w:type="dxa"/>
            <w:hideMark/>
          </w:tcPr>
          <w:p w14:paraId="4B2E70C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1.1</w:t>
            </w:r>
          </w:p>
        </w:tc>
      </w:tr>
      <w:tr w:rsidR="005E522A" w:rsidRPr="005E522A" w14:paraId="1DFCDEB1" w14:textId="77777777" w:rsidTr="00E23299">
        <w:trPr>
          <w:trHeight w:val="68"/>
        </w:trPr>
        <w:tc>
          <w:tcPr>
            <w:tcW w:w="2694" w:type="dxa"/>
            <w:hideMark/>
          </w:tcPr>
          <w:p w14:paraId="14F16509"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 xml:space="preserve">CEC </w:t>
            </w:r>
          </w:p>
        </w:tc>
        <w:tc>
          <w:tcPr>
            <w:tcW w:w="1834" w:type="dxa"/>
            <w:hideMark/>
          </w:tcPr>
          <w:p w14:paraId="0BBDD7C0" w14:textId="77777777" w:rsidR="005E522A" w:rsidRPr="005E522A" w:rsidRDefault="005E522A" w:rsidP="005E522A">
            <w:pPr>
              <w:contextualSpacing/>
              <w:rPr>
                <w:rFonts w:ascii="Arial" w:hAnsi="Arial" w:cs="Arial"/>
                <w:lang w:val="en-GB"/>
              </w:rPr>
            </w:pPr>
            <w:r w:rsidRPr="005E522A">
              <w:rPr>
                <w:rFonts w:ascii="Arial" w:hAnsi="Arial" w:cs="Arial"/>
                <w:lang w:val="en-GB"/>
              </w:rPr>
              <w:t>Meq/100g</w:t>
            </w:r>
          </w:p>
        </w:tc>
        <w:tc>
          <w:tcPr>
            <w:tcW w:w="1563" w:type="dxa"/>
            <w:hideMark/>
          </w:tcPr>
          <w:p w14:paraId="0D0A8D30"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6.3</w:t>
            </w:r>
          </w:p>
        </w:tc>
        <w:tc>
          <w:tcPr>
            <w:tcW w:w="1559" w:type="dxa"/>
            <w:hideMark/>
          </w:tcPr>
          <w:p w14:paraId="68D712E6"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3.9</w:t>
            </w:r>
          </w:p>
        </w:tc>
      </w:tr>
      <w:tr w:rsidR="005E522A" w:rsidRPr="005E522A" w14:paraId="06CABD65" w14:textId="77777777" w:rsidTr="00E23299">
        <w:trPr>
          <w:trHeight w:val="68"/>
        </w:trPr>
        <w:tc>
          <w:tcPr>
            <w:tcW w:w="2694" w:type="dxa"/>
            <w:hideMark/>
          </w:tcPr>
          <w:p w14:paraId="08F7FDAD"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Iron</w:t>
            </w:r>
          </w:p>
        </w:tc>
        <w:tc>
          <w:tcPr>
            <w:tcW w:w="1834" w:type="dxa"/>
            <w:hideMark/>
          </w:tcPr>
          <w:p w14:paraId="2CCB935E"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18E1357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140</w:t>
            </w:r>
          </w:p>
        </w:tc>
        <w:tc>
          <w:tcPr>
            <w:tcW w:w="1559" w:type="dxa"/>
            <w:hideMark/>
          </w:tcPr>
          <w:p w14:paraId="12CE1365"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106</w:t>
            </w:r>
          </w:p>
        </w:tc>
      </w:tr>
      <w:tr w:rsidR="005E522A" w:rsidRPr="005E522A" w14:paraId="0BE7B1E9" w14:textId="77777777" w:rsidTr="00E23299">
        <w:trPr>
          <w:trHeight w:val="68"/>
        </w:trPr>
        <w:tc>
          <w:tcPr>
            <w:tcW w:w="2694" w:type="dxa"/>
            <w:hideMark/>
          </w:tcPr>
          <w:p w14:paraId="2AD08BE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Copper</w:t>
            </w:r>
          </w:p>
        </w:tc>
        <w:tc>
          <w:tcPr>
            <w:tcW w:w="1834" w:type="dxa"/>
            <w:hideMark/>
          </w:tcPr>
          <w:p w14:paraId="1D94104F"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p w14:paraId="5442760C" w14:textId="77777777" w:rsidR="005E522A" w:rsidRPr="005E522A" w:rsidRDefault="005E522A" w:rsidP="005E522A">
            <w:pPr>
              <w:contextualSpacing/>
              <w:rPr>
                <w:rFonts w:ascii="Arial" w:hAnsi="Arial" w:cs="Arial"/>
                <w:lang w:val="en-GB"/>
              </w:rPr>
            </w:pPr>
          </w:p>
        </w:tc>
        <w:tc>
          <w:tcPr>
            <w:tcW w:w="1563" w:type="dxa"/>
            <w:hideMark/>
          </w:tcPr>
          <w:p w14:paraId="14B791EA"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2</w:t>
            </w:r>
          </w:p>
        </w:tc>
        <w:tc>
          <w:tcPr>
            <w:tcW w:w="1559" w:type="dxa"/>
            <w:hideMark/>
          </w:tcPr>
          <w:p w14:paraId="6165728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1.8</w:t>
            </w:r>
          </w:p>
        </w:tc>
      </w:tr>
      <w:tr w:rsidR="005E522A" w:rsidRPr="005E522A" w14:paraId="1B7E5F85" w14:textId="77777777" w:rsidTr="00E23299">
        <w:trPr>
          <w:trHeight w:val="68"/>
        </w:trPr>
        <w:tc>
          <w:tcPr>
            <w:tcW w:w="2694" w:type="dxa"/>
          </w:tcPr>
          <w:p w14:paraId="52A0FDB4"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C/N ratio</w:t>
            </w:r>
          </w:p>
        </w:tc>
        <w:tc>
          <w:tcPr>
            <w:tcW w:w="1834" w:type="dxa"/>
          </w:tcPr>
          <w:p w14:paraId="0531B5DD" w14:textId="77777777" w:rsidR="005E522A" w:rsidRPr="005E522A" w:rsidRDefault="005E522A" w:rsidP="005E522A">
            <w:pPr>
              <w:contextualSpacing/>
              <w:rPr>
                <w:rFonts w:ascii="Arial" w:hAnsi="Arial" w:cs="Arial"/>
                <w:lang w:val="en-GB"/>
              </w:rPr>
            </w:pPr>
            <w:r w:rsidRPr="005E522A">
              <w:rPr>
                <w:rFonts w:ascii="Arial" w:hAnsi="Arial" w:cs="Arial"/>
                <w:lang w:val="en-GB"/>
              </w:rPr>
              <w:t>N/A</w:t>
            </w:r>
          </w:p>
        </w:tc>
        <w:tc>
          <w:tcPr>
            <w:tcW w:w="1563" w:type="dxa"/>
          </w:tcPr>
          <w:p w14:paraId="5F1AA019"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15</w:t>
            </w:r>
          </w:p>
        </w:tc>
        <w:tc>
          <w:tcPr>
            <w:tcW w:w="1559" w:type="dxa"/>
          </w:tcPr>
          <w:p w14:paraId="1B7CBD7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15</w:t>
            </w:r>
          </w:p>
        </w:tc>
      </w:tr>
      <w:bookmarkEnd w:id="3"/>
      <w:tr w:rsidR="005E522A" w:rsidRPr="005E522A" w14:paraId="27CEA0B7" w14:textId="77777777" w:rsidTr="001A4B15">
        <w:trPr>
          <w:trHeight w:val="243"/>
        </w:trPr>
        <w:tc>
          <w:tcPr>
            <w:tcW w:w="2694" w:type="dxa"/>
            <w:hideMark/>
          </w:tcPr>
          <w:p w14:paraId="5A233580" w14:textId="77777777" w:rsidR="005E522A" w:rsidRPr="005E522A" w:rsidRDefault="005E522A" w:rsidP="005E522A">
            <w:pPr>
              <w:contextualSpacing/>
              <w:jc w:val="both"/>
              <w:rPr>
                <w:rFonts w:ascii="Arial" w:hAnsi="Arial" w:cs="Arial"/>
                <w:lang w:val="en-GB"/>
              </w:rPr>
            </w:pPr>
            <w:r w:rsidRPr="005E522A">
              <w:rPr>
                <w:rFonts w:ascii="Arial" w:hAnsi="Arial" w:cs="Arial"/>
              </w:rPr>
              <w:t>Bulk density</w:t>
            </w:r>
          </w:p>
        </w:tc>
        <w:tc>
          <w:tcPr>
            <w:tcW w:w="1834" w:type="dxa"/>
            <w:hideMark/>
          </w:tcPr>
          <w:p w14:paraId="13C85495" w14:textId="77777777" w:rsidR="005E522A" w:rsidRPr="005E522A" w:rsidRDefault="005E522A" w:rsidP="005E522A">
            <w:pPr>
              <w:contextualSpacing/>
              <w:rPr>
                <w:rFonts w:ascii="Arial" w:hAnsi="Arial" w:cs="Arial"/>
                <w:lang w:val="en-GB"/>
              </w:rPr>
            </w:pPr>
            <w:r w:rsidRPr="005E522A">
              <w:rPr>
                <w:rFonts w:ascii="Arial" w:hAnsi="Arial" w:cs="Arial"/>
              </w:rPr>
              <w:t>g/cm</w:t>
            </w:r>
            <w:r w:rsidRPr="005E522A">
              <w:rPr>
                <w:rFonts w:ascii="Arial" w:hAnsi="Arial" w:cs="Arial"/>
                <w:vertAlign w:val="superscript"/>
              </w:rPr>
              <w:t>3</w:t>
            </w:r>
          </w:p>
        </w:tc>
        <w:tc>
          <w:tcPr>
            <w:tcW w:w="1563" w:type="dxa"/>
            <w:hideMark/>
          </w:tcPr>
          <w:p w14:paraId="07618CE2" w14:textId="77777777" w:rsidR="005E522A" w:rsidRPr="005E522A" w:rsidRDefault="005E522A" w:rsidP="005E522A">
            <w:pPr>
              <w:contextualSpacing/>
              <w:jc w:val="both"/>
              <w:rPr>
                <w:rFonts w:ascii="Arial" w:hAnsi="Arial" w:cs="Arial"/>
                <w:lang w:val="en-GB"/>
              </w:rPr>
            </w:pPr>
            <w:r w:rsidRPr="005E522A">
              <w:rPr>
                <w:rFonts w:ascii="Arial" w:hAnsi="Arial" w:cs="Arial"/>
              </w:rPr>
              <w:t>1.34</w:t>
            </w:r>
          </w:p>
        </w:tc>
        <w:tc>
          <w:tcPr>
            <w:tcW w:w="1559" w:type="dxa"/>
            <w:hideMark/>
          </w:tcPr>
          <w:p w14:paraId="446668C8" w14:textId="77777777" w:rsidR="005E522A" w:rsidRPr="005E522A" w:rsidRDefault="005E522A" w:rsidP="005E522A">
            <w:pPr>
              <w:contextualSpacing/>
              <w:jc w:val="both"/>
              <w:rPr>
                <w:rFonts w:ascii="Arial" w:hAnsi="Arial" w:cs="Arial"/>
                <w:lang w:val="en-GB"/>
              </w:rPr>
            </w:pPr>
            <w:r w:rsidRPr="005E522A">
              <w:rPr>
                <w:rFonts w:ascii="Arial" w:hAnsi="Arial" w:cs="Arial"/>
              </w:rPr>
              <w:t>1.31</w:t>
            </w:r>
          </w:p>
        </w:tc>
      </w:tr>
      <w:tr w:rsidR="005E522A" w:rsidRPr="005E522A" w14:paraId="2B8FF1D1" w14:textId="77777777" w:rsidTr="00E23299">
        <w:trPr>
          <w:trHeight w:val="68"/>
        </w:trPr>
        <w:tc>
          <w:tcPr>
            <w:tcW w:w="2694" w:type="dxa"/>
          </w:tcPr>
          <w:p w14:paraId="3CF86113" w14:textId="77777777" w:rsidR="005E522A" w:rsidRPr="005E522A" w:rsidRDefault="005E522A" w:rsidP="005E522A">
            <w:pPr>
              <w:contextualSpacing/>
              <w:jc w:val="both"/>
              <w:rPr>
                <w:rFonts w:ascii="Arial" w:hAnsi="Arial" w:cs="Arial"/>
              </w:rPr>
            </w:pPr>
            <w:r w:rsidRPr="005E522A">
              <w:rPr>
                <w:rFonts w:ascii="Arial" w:hAnsi="Arial" w:cs="Arial"/>
              </w:rPr>
              <w:t>Porosity</w:t>
            </w:r>
          </w:p>
        </w:tc>
        <w:tc>
          <w:tcPr>
            <w:tcW w:w="1834" w:type="dxa"/>
          </w:tcPr>
          <w:p w14:paraId="1FB0F284"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625478E9" w14:textId="77777777" w:rsidR="005E522A" w:rsidRPr="005E522A" w:rsidRDefault="005E522A" w:rsidP="005E522A">
            <w:pPr>
              <w:contextualSpacing/>
              <w:jc w:val="both"/>
              <w:rPr>
                <w:rFonts w:ascii="Arial" w:hAnsi="Arial" w:cs="Arial"/>
              </w:rPr>
            </w:pPr>
            <w:r w:rsidRPr="005E522A">
              <w:rPr>
                <w:rFonts w:ascii="Arial" w:hAnsi="Arial" w:cs="Arial"/>
              </w:rPr>
              <w:t>45.3</w:t>
            </w:r>
          </w:p>
        </w:tc>
        <w:tc>
          <w:tcPr>
            <w:tcW w:w="1559" w:type="dxa"/>
          </w:tcPr>
          <w:p w14:paraId="5DAF5D02" w14:textId="77777777" w:rsidR="005E522A" w:rsidRPr="005E522A" w:rsidRDefault="005E522A" w:rsidP="005E522A">
            <w:pPr>
              <w:contextualSpacing/>
              <w:jc w:val="both"/>
              <w:rPr>
                <w:rFonts w:ascii="Arial" w:hAnsi="Arial" w:cs="Arial"/>
              </w:rPr>
            </w:pPr>
            <w:r w:rsidRPr="005E522A">
              <w:rPr>
                <w:rFonts w:ascii="Arial" w:hAnsi="Arial" w:cs="Arial"/>
              </w:rPr>
              <w:t>46.4</w:t>
            </w:r>
          </w:p>
        </w:tc>
      </w:tr>
      <w:tr w:rsidR="005E522A" w:rsidRPr="005E522A" w14:paraId="07151171" w14:textId="77777777" w:rsidTr="001A4B15">
        <w:trPr>
          <w:trHeight w:val="243"/>
        </w:trPr>
        <w:tc>
          <w:tcPr>
            <w:tcW w:w="2694" w:type="dxa"/>
          </w:tcPr>
          <w:p w14:paraId="4C3C9B78" w14:textId="77777777" w:rsidR="005E522A" w:rsidRPr="005E522A" w:rsidRDefault="005E522A" w:rsidP="005E522A">
            <w:pPr>
              <w:contextualSpacing/>
              <w:jc w:val="both"/>
              <w:rPr>
                <w:rFonts w:ascii="Arial" w:hAnsi="Arial" w:cs="Arial"/>
              </w:rPr>
            </w:pPr>
            <w:r w:rsidRPr="005E522A">
              <w:rPr>
                <w:rFonts w:ascii="Arial" w:hAnsi="Arial" w:cs="Arial"/>
              </w:rPr>
              <w:t>Particle density</w:t>
            </w:r>
          </w:p>
        </w:tc>
        <w:tc>
          <w:tcPr>
            <w:tcW w:w="1834" w:type="dxa"/>
          </w:tcPr>
          <w:p w14:paraId="4C251B71" w14:textId="77777777" w:rsidR="005E522A" w:rsidRPr="005E522A" w:rsidRDefault="005E522A" w:rsidP="005E522A">
            <w:pPr>
              <w:contextualSpacing/>
              <w:rPr>
                <w:rFonts w:ascii="Arial" w:hAnsi="Arial" w:cs="Arial"/>
              </w:rPr>
            </w:pPr>
            <w:r w:rsidRPr="005E522A">
              <w:rPr>
                <w:rFonts w:ascii="Arial" w:hAnsi="Arial" w:cs="Arial"/>
              </w:rPr>
              <w:t>g/cm</w:t>
            </w:r>
            <w:r w:rsidRPr="005E522A">
              <w:rPr>
                <w:rFonts w:ascii="Arial" w:hAnsi="Arial" w:cs="Arial"/>
                <w:vertAlign w:val="superscript"/>
              </w:rPr>
              <w:t>3</w:t>
            </w:r>
          </w:p>
        </w:tc>
        <w:tc>
          <w:tcPr>
            <w:tcW w:w="1563" w:type="dxa"/>
          </w:tcPr>
          <w:p w14:paraId="469A9784" w14:textId="77777777" w:rsidR="005E522A" w:rsidRPr="005E522A" w:rsidRDefault="005E522A" w:rsidP="005E522A">
            <w:pPr>
              <w:contextualSpacing/>
              <w:jc w:val="both"/>
              <w:rPr>
                <w:rFonts w:ascii="Arial" w:hAnsi="Arial" w:cs="Arial"/>
              </w:rPr>
            </w:pPr>
            <w:r w:rsidRPr="005E522A">
              <w:rPr>
                <w:rFonts w:ascii="Arial" w:hAnsi="Arial" w:cs="Arial"/>
              </w:rPr>
              <w:t>2.62</w:t>
            </w:r>
          </w:p>
        </w:tc>
        <w:tc>
          <w:tcPr>
            <w:tcW w:w="1559" w:type="dxa"/>
          </w:tcPr>
          <w:p w14:paraId="33B37826" w14:textId="77777777" w:rsidR="005E522A" w:rsidRPr="005E522A" w:rsidRDefault="005E522A" w:rsidP="005E522A">
            <w:pPr>
              <w:contextualSpacing/>
              <w:jc w:val="both"/>
              <w:rPr>
                <w:rFonts w:ascii="Arial" w:hAnsi="Arial" w:cs="Arial"/>
              </w:rPr>
            </w:pPr>
            <w:r w:rsidRPr="005E522A">
              <w:rPr>
                <w:rFonts w:ascii="Arial" w:hAnsi="Arial" w:cs="Arial"/>
              </w:rPr>
              <w:t>2.65</w:t>
            </w:r>
          </w:p>
        </w:tc>
      </w:tr>
      <w:tr w:rsidR="005E522A" w:rsidRPr="005E522A" w14:paraId="582F9E7E" w14:textId="77777777" w:rsidTr="001A4B15">
        <w:trPr>
          <w:trHeight w:val="243"/>
        </w:trPr>
        <w:tc>
          <w:tcPr>
            <w:tcW w:w="2694" w:type="dxa"/>
          </w:tcPr>
          <w:p w14:paraId="4E4AC20A" w14:textId="77777777" w:rsidR="005E522A" w:rsidRPr="005E522A" w:rsidRDefault="005E522A" w:rsidP="005E522A">
            <w:pPr>
              <w:contextualSpacing/>
              <w:jc w:val="both"/>
              <w:rPr>
                <w:rFonts w:ascii="Arial" w:hAnsi="Arial" w:cs="Arial"/>
              </w:rPr>
            </w:pPr>
            <w:r w:rsidRPr="005E522A">
              <w:rPr>
                <w:rFonts w:ascii="Arial" w:hAnsi="Arial" w:cs="Arial"/>
              </w:rPr>
              <w:t>Infiltration</w:t>
            </w:r>
          </w:p>
        </w:tc>
        <w:tc>
          <w:tcPr>
            <w:tcW w:w="1834" w:type="dxa"/>
          </w:tcPr>
          <w:p w14:paraId="2502D6FF" w14:textId="77777777" w:rsidR="005E522A" w:rsidRPr="005E522A" w:rsidRDefault="005E522A" w:rsidP="005E522A">
            <w:pPr>
              <w:contextualSpacing/>
              <w:rPr>
                <w:rFonts w:ascii="Arial" w:hAnsi="Arial" w:cs="Arial"/>
              </w:rPr>
            </w:pPr>
            <w:r w:rsidRPr="005E522A">
              <w:rPr>
                <w:rFonts w:ascii="Arial" w:hAnsi="Arial" w:cs="Arial"/>
              </w:rPr>
              <w:t>mm/h</w:t>
            </w:r>
          </w:p>
        </w:tc>
        <w:tc>
          <w:tcPr>
            <w:tcW w:w="1563" w:type="dxa"/>
          </w:tcPr>
          <w:p w14:paraId="78FEB48C" w14:textId="77777777" w:rsidR="005E522A" w:rsidRPr="005E522A" w:rsidRDefault="005E522A" w:rsidP="005E522A">
            <w:pPr>
              <w:contextualSpacing/>
              <w:jc w:val="both"/>
              <w:rPr>
                <w:rFonts w:ascii="Arial" w:hAnsi="Arial" w:cs="Arial"/>
              </w:rPr>
            </w:pPr>
            <w:r w:rsidRPr="005E522A">
              <w:rPr>
                <w:rFonts w:ascii="Arial" w:hAnsi="Arial" w:cs="Arial"/>
              </w:rPr>
              <w:t>15.5</w:t>
            </w:r>
          </w:p>
        </w:tc>
        <w:tc>
          <w:tcPr>
            <w:tcW w:w="1559" w:type="dxa"/>
          </w:tcPr>
          <w:p w14:paraId="5E615CBD" w14:textId="77777777" w:rsidR="005E522A" w:rsidRPr="005E522A" w:rsidRDefault="005E522A" w:rsidP="005E522A">
            <w:pPr>
              <w:contextualSpacing/>
              <w:jc w:val="both"/>
              <w:rPr>
                <w:rFonts w:ascii="Arial" w:hAnsi="Arial" w:cs="Arial"/>
              </w:rPr>
            </w:pPr>
            <w:r w:rsidRPr="005E522A">
              <w:rPr>
                <w:rFonts w:ascii="Arial" w:hAnsi="Arial" w:cs="Arial"/>
              </w:rPr>
              <w:t>40.7</w:t>
            </w:r>
          </w:p>
        </w:tc>
      </w:tr>
      <w:tr w:rsidR="005E522A" w:rsidRPr="005E522A" w14:paraId="3C5F0C18" w14:textId="77777777" w:rsidTr="001A4B15">
        <w:trPr>
          <w:trHeight w:val="243"/>
        </w:trPr>
        <w:tc>
          <w:tcPr>
            <w:tcW w:w="2694" w:type="dxa"/>
          </w:tcPr>
          <w:p w14:paraId="35E02DD4" w14:textId="77777777" w:rsidR="005E522A" w:rsidRPr="005E522A" w:rsidRDefault="005E522A" w:rsidP="005E522A">
            <w:pPr>
              <w:contextualSpacing/>
              <w:jc w:val="both"/>
              <w:rPr>
                <w:rFonts w:ascii="Arial" w:hAnsi="Arial" w:cs="Arial"/>
              </w:rPr>
            </w:pPr>
            <w:r w:rsidRPr="005E522A">
              <w:rPr>
                <w:rFonts w:ascii="Arial" w:hAnsi="Arial" w:cs="Arial"/>
              </w:rPr>
              <w:t>Sand</w:t>
            </w:r>
          </w:p>
        </w:tc>
        <w:tc>
          <w:tcPr>
            <w:tcW w:w="1834" w:type="dxa"/>
          </w:tcPr>
          <w:p w14:paraId="744AE0A0"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77984652" w14:textId="77777777" w:rsidR="005E522A" w:rsidRPr="005E522A" w:rsidRDefault="005E522A" w:rsidP="005E522A">
            <w:pPr>
              <w:contextualSpacing/>
              <w:jc w:val="both"/>
              <w:rPr>
                <w:rFonts w:ascii="Arial" w:hAnsi="Arial" w:cs="Arial"/>
              </w:rPr>
            </w:pPr>
            <w:r w:rsidRPr="005E522A">
              <w:rPr>
                <w:rFonts w:ascii="Arial" w:hAnsi="Arial" w:cs="Arial"/>
              </w:rPr>
              <w:t>27.3</w:t>
            </w:r>
          </w:p>
        </w:tc>
        <w:tc>
          <w:tcPr>
            <w:tcW w:w="1559" w:type="dxa"/>
          </w:tcPr>
          <w:p w14:paraId="27CE9CB8" w14:textId="77777777" w:rsidR="005E522A" w:rsidRPr="005E522A" w:rsidRDefault="005E522A" w:rsidP="005E522A">
            <w:pPr>
              <w:contextualSpacing/>
              <w:jc w:val="both"/>
              <w:rPr>
                <w:rFonts w:ascii="Arial" w:hAnsi="Arial" w:cs="Arial"/>
              </w:rPr>
            </w:pPr>
            <w:r w:rsidRPr="005E522A">
              <w:rPr>
                <w:rFonts w:ascii="Arial" w:hAnsi="Arial" w:cs="Arial"/>
              </w:rPr>
              <w:t>48.8</w:t>
            </w:r>
          </w:p>
        </w:tc>
      </w:tr>
      <w:tr w:rsidR="005E522A" w:rsidRPr="005E522A" w14:paraId="4A5C6ABC" w14:textId="77777777" w:rsidTr="001A4B15">
        <w:trPr>
          <w:trHeight w:val="243"/>
        </w:trPr>
        <w:tc>
          <w:tcPr>
            <w:tcW w:w="2694" w:type="dxa"/>
          </w:tcPr>
          <w:p w14:paraId="255FD8FA" w14:textId="77777777" w:rsidR="005E522A" w:rsidRPr="005E522A" w:rsidRDefault="005E522A" w:rsidP="005E522A">
            <w:pPr>
              <w:contextualSpacing/>
              <w:jc w:val="both"/>
              <w:rPr>
                <w:rFonts w:ascii="Arial" w:hAnsi="Arial" w:cs="Arial"/>
              </w:rPr>
            </w:pPr>
            <w:r w:rsidRPr="005E522A">
              <w:rPr>
                <w:rFonts w:ascii="Arial" w:hAnsi="Arial" w:cs="Arial"/>
              </w:rPr>
              <w:t>Silt</w:t>
            </w:r>
          </w:p>
        </w:tc>
        <w:tc>
          <w:tcPr>
            <w:tcW w:w="1834" w:type="dxa"/>
          </w:tcPr>
          <w:p w14:paraId="6913A3A5"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3179CCF4" w14:textId="77777777" w:rsidR="005E522A" w:rsidRPr="005E522A" w:rsidRDefault="005E522A" w:rsidP="005E522A">
            <w:pPr>
              <w:contextualSpacing/>
              <w:jc w:val="both"/>
              <w:rPr>
                <w:rFonts w:ascii="Arial" w:hAnsi="Arial" w:cs="Arial"/>
              </w:rPr>
            </w:pPr>
            <w:r w:rsidRPr="005E522A">
              <w:rPr>
                <w:rFonts w:ascii="Arial" w:hAnsi="Arial" w:cs="Arial"/>
              </w:rPr>
              <w:t>34.4</w:t>
            </w:r>
          </w:p>
        </w:tc>
        <w:tc>
          <w:tcPr>
            <w:tcW w:w="1559" w:type="dxa"/>
          </w:tcPr>
          <w:p w14:paraId="28B88894" w14:textId="77777777" w:rsidR="005E522A" w:rsidRPr="005E522A" w:rsidRDefault="005E522A" w:rsidP="005E522A">
            <w:pPr>
              <w:contextualSpacing/>
              <w:jc w:val="both"/>
              <w:rPr>
                <w:rFonts w:ascii="Arial" w:hAnsi="Arial" w:cs="Arial"/>
              </w:rPr>
            </w:pPr>
            <w:r w:rsidRPr="005E522A">
              <w:rPr>
                <w:rFonts w:ascii="Arial" w:hAnsi="Arial" w:cs="Arial"/>
              </w:rPr>
              <w:t>43.6</w:t>
            </w:r>
          </w:p>
        </w:tc>
      </w:tr>
      <w:tr w:rsidR="005E522A" w:rsidRPr="005E522A" w14:paraId="6B481EBB" w14:textId="77777777" w:rsidTr="001A4B15">
        <w:trPr>
          <w:trHeight w:val="243"/>
        </w:trPr>
        <w:tc>
          <w:tcPr>
            <w:tcW w:w="2694" w:type="dxa"/>
          </w:tcPr>
          <w:p w14:paraId="56778763" w14:textId="77777777" w:rsidR="005E522A" w:rsidRPr="005E522A" w:rsidRDefault="005E522A" w:rsidP="005E522A">
            <w:pPr>
              <w:contextualSpacing/>
              <w:jc w:val="both"/>
              <w:rPr>
                <w:rFonts w:ascii="Arial" w:hAnsi="Arial" w:cs="Arial"/>
              </w:rPr>
            </w:pPr>
            <w:r w:rsidRPr="005E522A">
              <w:rPr>
                <w:rFonts w:ascii="Arial" w:hAnsi="Arial" w:cs="Arial"/>
              </w:rPr>
              <w:t>Clay</w:t>
            </w:r>
          </w:p>
        </w:tc>
        <w:tc>
          <w:tcPr>
            <w:tcW w:w="1834" w:type="dxa"/>
          </w:tcPr>
          <w:p w14:paraId="4291B9AE"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6B8D2472" w14:textId="77777777" w:rsidR="005E522A" w:rsidRPr="005E522A" w:rsidRDefault="005E522A" w:rsidP="005E522A">
            <w:pPr>
              <w:contextualSpacing/>
              <w:jc w:val="both"/>
              <w:rPr>
                <w:rFonts w:ascii="Arial" w:hAnsi="Arial" w:cs="Arial"/>
              </w:rPr>
            </w:pPr>
            <w:r w:rsidRPr="005E522A">
              <w:rPr>
                <w:rFonts w:ascii="Arial" w:hAnsi="Arial" w:cs="Arial"/>
              </w:rPr>
              <w:t>38.3</w:t>
            </w:r>
          </w:p>
        </w:tc>
        <w:tc>
          <w:tcPr>
            <w:tcW w:w="1559" w:type="dxa"/>
          </w:tcPr>
          <w:p w14:paraId="20BC1A42" w14:textId="77777777" w:rsidR="005E522A" w:rsidRPr="005E522A" w:rsidRDefault="005E522A" w:rsidP="005E522A">
            <w:pPr>
              <w:contextualSpacing/>
              <w:jc w:val="both"/>
              <w:rPr>
                <w:rFonts w:ascii="Arial" w:hAnsi="Arial" w:cs="Arial"/>
              </w:rPr>
            </w:pPr>
            <w:r w:rsidRPr="005E522A">
              <w:rPr>
                <w:rFonts w:ascii="Arial" w:hAnsi="Arial" w:cs="Arial"/>
              </w:rPr>
              <w:t>7.6</w:t>
            </w:r>
          </w:p>
        </w:tc>
      </w:tr>
      <w:tr w:rsidR="005E522A" w:rsidRPr="005E522A" w14:paraId="4EE0BF3B" w14:textId="77777777" w:rsidTr="001A4B15">
        <w:trPr>
          <w:trHeight w:val="243"/>
        </w:trPr>
        <w:tc>
          <w:tcPr>
            <w:tcW w:w="2694" w:type="dxa"/>
          </w:tcPr>
          <w:p w14:paraId="48CFD415" w14:textId="77777777" w:rsidR="005E522A" w:rsidRPr="005E522A" w:rsidRDefault="005E522A" w:rsidP="005E522A">
            <w:pPr>
              <w:contextualSpacing/>
              <w:jc w:val="both"/>
              <w:rPr>
                <w:rFonts w:ascii="Arial" w:hAnsi="Arial" w:cs="Arial"/>
              </w:rPr>
            </w:pPr>
            <w:r w:rsidRPr="005E522A">
              <w:rPr>
                <w:rFonts w:ascii="Arial" w:hAnsi="Arial" w:cs="Arial"/>
              </w:rPr>
              <w:t>Texture classification</w:t>
            </w:r>
          </w:p>
        </w:tc>
        <w:tc>
          <w:tcPr>
            <w:tcW w:w="1834" w:type="dxa"/>
          </w:tcPr>
          <w:p w14:paraId="6808160C" w14:textId="77777777" w:rsidR="005E522A" w:rsidRPr="005E522A" w:rsidRDefault="005E522A" w:rsidP="005E522A">
            <w:pPr>
              <w:contextualSpacing/>
              <w:rPr>
                <w:rFonts w:ascii="Arial" w:hAnsi="Arial" w:cs="Arial"/>
              </w:rPr>
            </w:pPr>
          </w:p>
        </w:tc>
        <w:tc>
          <w:tcPr>
            <w:tcW w:w="1563" w:type="dxa"/>
          </w:tcPr>
          <w:p w14:paraId="1942C432" w14:textId="77777777" w:rsidR="005E522A" w:rsidRPr="005E522A" w:rsidRDefault="005E522A" w:rsidP="005E522A">
            <w:pPr>
              <w:contextualSpacing/>
              <w:jc w:val="both"/>
              <w:rPr>
                <w:rFonts w:ascii="Arial" w:hAnsi="Arial" w:cs="Arial"/>
              </w:rPr>
            </w:pPr>
            <w:r w:rsidRPr="005E522A">
              <w:rPr>
                <w:rFonts w:ascii="Arial" w:hAnsi="Arial" w:cs="Arial"/>
              </w:rPr>
              <w:t>Clayey loam</w:t>
            </w:r>
          </w:p>
        </w:tc>
        <w:tc>
          <w:tcPr>
            <w:tcW w:w="1559" w:type="dxa"/>
          </w:tcPr>
          <w:p w14:paraId="316D72FA" w14:textId="77777777" w:rsidR="005E522A" w:rsidRPr="005E522A" w:rsidRDefault="005E522A" w:rsidP="005E522A">
            <w:pPr>
              <w:contextualSpacing/>
              <w:jc w:val="both"/>
              <w:rPr>
                <w:rFonts w:ascii="Arial" w:hAnsi="Arial" w:cs="Arial"/>
              </w:rPr>
            </w:pPr>
            <w:r w:rsidRPr="005E522A">
              <w:rPr>
                <w:rFonts w:ascii="Arial" w:hAnsi="Arial" w:cs="Arial"/>
              </w:rPr>
              <w:t>Sandy loam</w:t>
            </w:r>
          </w:p>
        </w:tc>
      </w:tr>
    </w:tbl>
    <w:p w14:paraId="0D2ECF2C" w14:textId="53728674"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lastRenderedPageBreak/>
        <w:t xml:space="preserve">3.3 </w:t>
      </w:r>
      <w:r w:rsidR="00E23299" w:rsidRPr="00E23299">
        <w:rPr>
          <w:rFonts w:ascii="Arial" w:hAnsi="Arial" w:cs="Arial"/>
          <w:b/>
          <w:bCs/>
          <w:sz w:val="22"/>
          <w:szCs w:val="22"/>
        </w:rPr>
        <w:t>Final Soil Chemical Properties after Harvesting of Maize</w:t>
      </w:r>
    </w:p>
    <w:p w14:paraId="2AB9986E" w14:textId="77777777" w:rsidR="005D17A4" w:rsidRPr="005D17A4" w:rsidRDefault="005D17A4" w:rsidP="005D17A4">
      <w:pPr>
        <w:jc w:val="both"/>
        <w:rPr>
          <w:rStyle w:val="SubtleEmphasis"/>
          <w:rFonts w:ascii="Arial" w:hAnsi="Arial" w:cs="Arial"/>
          <w:i w:val="0"/>
          <w:iCs w:val="0"/>
          <w:color w:val="auto"/>
        </w:rPr>
      </w:pPr>
      <w:r w:rsidRPr="005D17A4">
        <w:rPr>
          <w:rStyle w:val="SubtleEmphasis"/>
          <w:rFonts w:ascii="Arial" w:hAnsi="Arial" w:cs="Arial"/>
          <w:i w:val="0"/>
          <w:iCs w:val="0"/>
          <w:color w:val="auto"/>
        </w:rPr>
        <w:t xml:space="preserve">The post-harvest soil analysis at Amantin, interpreted using the Ghana Soil Analytical Guideline </w:t>
      </w:r>
      <w:bookmarkStart w:id="4" w:name="_Hlk213236198"/>
      <w:r w:rsidRPr="005D17A4">
        <w:rPr>
          <w:rStyle w:val="SubtleEmphasis"/>
          <w:rFonts w:ascii="Arial" w:hAnsi="Arial" w:cs="Arial"/>
          <w:i w:val="0"/>
          <w:iCs w:val="0"/>
          <w:color w:val="auto"/>
        </w:rPr>
        <w:fldChar w:fldCharType="begin" w:fldLock="1"/>
      </w:r>
      <w:r w:rsidRPr="005D17A4">
        <w:rPr>
          <w:rStyle w:val="SubtleEmphasis"/>
          <w:rFonts w:ascii="Arial" w:hAnsi="Arial" w:cs="Arial"/>
          <w:i w:val="0"/>
          <w:iCs w:val="0"/>
          <w:color w:val="auto"/>
        </w:rPr>
        <w:instrText>ADDIN CSL_CITATION {"citationItems":[{"id":"ITEM-1","itemData":{"author":[{"dropping-particle":"","family":"SRI","given":"","non-dropping-particle":"","parse-names":false,"suffix":""}],"id":"ITEM-1","issued":{"date-parts":[["2007"]]},"title":"CSIR-Soil Research Institute: Guide to interpretation of soil analytical data in Ghana","type":"article-journal"},"uris":["http://www.mendeley.com/documents/?uuid=b6aa91bf-90fe-4a45-991f-97d770920298"]}],"mendeley":{"formattedCitation":"(SRI, 2007)","plainTextFormattedCitation":"(SRI, 2007)"},"properties":{"noteIndex":0},"schema":"https://github.com/citation-style-language/schema/raw/master/csl-citation.json"}</w:instrText>
      </w:r>
      <w:r w:rsidRPr="005D17A4">
        <w:rPr>
          <w:rStyle w:val="SubtleEmphasis"/>
          <w:rFonts w:ascii="Arial" w:hAnsi="Arial" w:cs="Arial"/>
          <w:i w:val="0"/>
          <w:iCs w:val="0"/>
          <w:color w:val="auto"/>
        </w:rPr>
        <w:fldChar w:fldCharType="separate"/>
      </w:r>
      <w:r w:rsidRPr="005D17A4">
        <w:rPr>
          <w:rStyle w:val="SubtleEmphasis"/>
          <w:rFonts w:ascii="Arial" w:hAnsi="Arial" w:cs="Arial"/>
          <w:i w:val="0"/>
          <w:iCs w:val="0"/>
          <w:noProof/>
          <w:color w:val="auto"/>
        </w:rPr>
        <w:t>(SRI, 2007)</w:t>
      </w:r>
      <w:r w:rsidRPr="005D17A4">
        <w:rPr>
          <w:rStyle w:val="SubtleEmphasis"/>
          <w:rFonts w:ascii="Arial" w:hAnsi="Arial" w:cs="Arial"/>
          <w:i w:val="0"/>
          <w:iCs w:val="0"/>
          <w:color w:val="auto"/>
        </w:rPr>
        <w:fldChar w:fldCharType="end"/>
      </w:r>
      <w:r w:rsidRPr="005D17A4">
        <w:rPr>
          <w:rStyle w:val="SubtleEmphasis"/>
          <w:rFonts w:ascii="Arial" w:hAnsi="Arial" w:cs="Arial"/>
          <w:i w:val="0"/>
          <w:iCs w:val="0"/>
          <w:color w:val="auto"/>
        </w:rPr>
        <w:t xml:space="preserve">, </w:t>
      </w:r>
      <w:bookmarkEnd w:id="4"/>
      <w:r w:rsidRPr="005D17A4">
        <w:rPr>
          <w:rStyle w:val="SubtleEmphasis"/>
          <w:rFonts w:ascii="Arial" w:hAnsi="Arial" w:cs="Arial"/>
          <w:i w:val="0"/>
          <w:iCs w:val="0"/>
          <w:color w:val="auto"/>
        </w:rPr>
        <w:t xml:space="preserve">revealed slight variations among the fertilizer treatments. Soil pH ranged from 6.3 to 6.5 across all treatments, indicating a slightly acidic condition (Table 4). Organic carbon content varied between 0.82% and 0.88%, rated as low, with the highest value observed under the briquette NPK and urea (91–59–59) treatment and the lowest under the granule NPK and urea (120–40–40) treatment. Total nitrogen ranged from 0.06% to 0.08%, also rated as low, with the briquette NPK and urea (121–58.7–59) treatment recording the highest value. Organic matter content ranged from 1.6% to 1.8%, classified as moderate, with the granule NPK and urea (120–40–40) treatment showing the highest value. Calcium levels ranged between 788 ppm and 801 ppm, magnesium and potassium were constant across treatments at 130 ppm and 50 ppm, respectively, all rated as moderate. Available phosphorus ranged from 10 ppm in the control to 15 ppm in most briquette fertilizer treatments, with the briquette NPK and urea (121–58.7–59) and (91–59–59) treatments showing the highest P availability (Table 4). The cation exchange capacity (6.3 meq/100g) remained low across all treatments. Micronutrients such as boron (0.5–2.0 ppm), manganese (110–130 ppm), zinc (1.0–2.0 ppm), iron (140 ppm), and copper (2.0 ppm) showed </w:t>
      </w:r>
      <w:r w:rsidRPr="00C00659">
        <w:rPr>
          <w:rStyle w:val="SubtleEmphasis"/>
          <w:rFonts w:ascii="Arial" w:hAnsi="Arial" w:cs="Arial"/>
          <w:i w:val="0"/>
          <w:iCs w:val="0"/>
          <w:color w:val="auto"/>
          <w:highlight w:val="yellow"/>
        </w:rPr>
        <w:t>minor variations.</w:t>
      </w:r>
      <w:r w:rsidRPr="005D17A4">
        <w:rPr>
          <w:rStyle w:val="SubtleEmphasis"/>
          <w:rFonts w:ascii="Arial" w:hAnsi="Arial" w:cs="Arial"/>
          <w:i w:val="0"/>
          <w:iCs w:val="0"/>
          <w:color w:val="auto"/>
        </w:rPr>
        <w:t xml:space="preserve"> </w:t>
      </w:r>
    </w:p>
    <w:p w14:paraId="2F1FF7CC" w14:textId="76C51ECB" w:rsidR="005D17A4" w:rsidRPr="005D17A4" w:rsidRDefault="005D17A4" w:rsidP="00641B7C">
      <w:pPr>
        <w:pStyle w:val="Body"/>
        <w:spacing w:before="240"/>
        <w:rPr>
          <w:rFonts w:ascii="Arial" w:hAnsi="Arial" w:cs="Arial"/>
          <w:sz w:val="16"/>
          <w:szCs w:val="16"/>
        </w:rPr>
      </w:pPr>
      <w:r w:rsidRPr="005D17A4">
        <w:rPr>
          <w:rFonts w:ascii="Arial" w:hAnsi="Arial" w:cs="Arial"/>
        </w:rPr>
        <w:t>At Nsapor, the soil pH remained constant at 5.5 across all treatments, indicating an acidic condition. Organic carbon content ranged from 0.81% to 0.88%, rated as low, with the lowest values observed in the briquette NPK and urea (114–44–44) and (31–29–29) treatments, and the highest in the briquette NPK and urea (91–59–59) and (121–58.7–59) treatments. Total nitrogen ranged between 0.05% and 0.08%, also classified as low, while organic matter content varied from 1.3% to 1.6%, rated as moderate (Table 5). Calcium levels ranged between 288 ppm and 400 ppm, falling within the low category, whereas magnesium (65–71 ppm) and potassium (39.5–48.0 ppm) were also rated low. Available phosphorus ranged from 10 ppm to 11 ppm, which was considered moderate. The cation exchange capacity (3.2–4.1 meq/100g) remained low across treatments. Micronutrients such as boron (0.5 ppm), manganese (117–118 ppm), zinc (1.0–2.1 ppm), iron (104–110 ppm), copper (1.8 ppm), and the C/N ratio (14–17) showed minor variations (Table 5)</w:t>
      </w:r>
    </w:p>
    <w:p w14:paraId="4C83FE83" w14:textId="77777777" w:rsidR="005D17A4" w:rsidRDefault="005D17A4" w:rsidP="00641B7C">
      <w:pPr>
        <w:pStyle w:val="Body"/>
        <w:spacing w:before="240"/>
        <w:rPr>
          <w:rFonts w:ascii="Arial" w:hAnsi="Arial" w:cs="Arial"/>
        </w:rPr>
      </w:pPr>
    </w:p>
    <w:p w14:paraId="599375E7" w14:textId="77777777" w:rsidR="00641B7C" w:rsidRDefault="00641B7C" w:rsidP="00641B7C">
      <w:pPr>
        <w:pStyle w:val="Body"/>
        <w:spacing w:before="240"/>
        <w:rPr>
          <w:rFonts w:ascii="Arial" w:hAnsi="Arial" w:cs="Arial"/>
        </w:rPr>
        <w:sectPr w:rsidR="00641B7C" w:rsidSect="00641B7C">
          <w:headerReference w:type="even" r:id="rId8"/>
          <w:headerReference w:type="default" r:id="rId9"/>
          <w:footerReference w:type="default" r:id="rId10"/>
          <w:headerReference w:type="first" r:id="rId11"/>
          <w:pgSz w:w="11910" w:h="16840"/>
          <w:pgMar w:top="2820" w:right="1680" w:bottom="1720" w:left="1680" w:header="2414" w:footer="1524" w:gutter="0"/>
          <w:cols w:space="720"/>
        </w:sectPr>
      </w:pPr>
    </w:p>
    <w:p w14:paraId="6744FF24" w14:textId="1DD7276F" w:rsidR="005D17A4" w:rsidRPr="005D17A4" w:rsidRDefault="005D17A4" w:rsidP="005D17A4">
      <w:pPr>
        <w:widowControl w:val="0"/>
        <w:autoSpaceDE w:val="0"/>
        <w:autoSpaceDN w:val="0"/>
        <w:spacing w:line="360" w:lineRule="auto"/>
        <w:contextualSpacing/>
        <w:jc w:val="both"/>
        <w:rPr>
          <w:rFonts w:ascii="Arial" w:hAnsi="Arial" w:cs="Arial"/>
          <w:b/>
          <w:bCs/>
          <w:kern w:val="2"/>
          <w:lang w:bidi="en-US"/>
          <w14:ligatures w14:val="standardContextual"/>
        </w:rPr>
      </w:pPr>
      <w:r w:rsidRPr="00C00659">
        <w:rPr>
          <w:rFonts w:ascii="Arial" w:eastAsia="Calibri" w:hAnsi="Arial" w:cs="Arial"/>
          <w:b/>
          <w:bCs/>
          <w:highlight w:val="yellow"/>
        </w:rPr>
        <w:lastRenderedPageBreak/>
        <w:t>Table 4</w:t>
      </w:r>
      <w:r w:rsidR="00944265" w:rsidRPr="00C00659">
        <w:rPr>
          <w:rFonts w:ascii="Arial" w:eastAsia="Calibri" w:hAnsi="Arial" w:cs="Arial"/>
          <w:b/>
          <w:bCs/>
          <w:highlight w:val="yellow"/>
        </w:rPr>
        <w:t xml:space="preserve">. </w:t>
      </w:r>
      <w:r w:rsidRPr="00C00659">
        <w:rPr>
          <w:rFonts w:ascii="Arial" w:eastAsia="Calibri" w:hAnsi="Arial" w:cs="Arial"/>
          <w:b/>
          <w:bCs/>
          <w:highlight w:val="yellow"/>
        </w:rPr>
        <w:t>Final soil chemical properties at Amantin after harvesting of maize</w:t>
      </w:r>
    </w:p>
    <w:tbl>
      <w:tblPr>
        <w:tblStyle w:val="TableGrid3"/>
        <w:tblW w:w="14317"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1843"/>
        <w:gridCol w:w="1984"/>
        <w:gridCol w:w="1843"/>
        <w:gridCol w:w="1843"/>
        <w:gridCol w:w="1842"/>
        <w:gridCol w:w="1843"/>
      </w:tblGrid>
      <w:tr w:rsidR="005D17A4" w:rsidRPr="005D17A4" w14:paraId="72DF4F0D" w14:textId="77777777" w:rsidTr="005D17A4">
        <w:trPr>
          <w:trHeight w:val="296"/>
        </w:trPr>
        <w:tc>
          <w:tcPr>
            <w:tcW w:w="1985" w:type="dxa"/>
            <w:vMerge w:val="restart"/>
            <w:tcBorders>
              <w:top w:val="single" w:sz="4" w:space="0" w:color="auto"/>
              <w:bottom w:val="nil"/>
            </w:tcBorders>
          </w:tcPr>
          <w:p w14:paraId="5CFCF971" w14:textId="77777777" w:rsidR="005D17A4" w:rsidRPr="005D17A4" w:rsidRDefault="005D17A4" w:rsidP="001A4B15">
            <w:pPr>
              <w:contextualSpacing/>
              <w:rPr>
                <w:rFonts w:ascii="Arial" w:hAnsi="Arial" w:cs="Arial"/>
                <w:b/>
                <w:bCs/>
              </w:rPr>
            </w:pPr>
            <w:bookmarkStart w:id="5" w:name="_Hlk158784749"/>
            <w:r w:rsidRPr="005D17A4">
              <w:rPr>
                <w:rFonts w:ascii="Arial" w:hAnsi="Arial" w:cs="Arial"/>
                <w:b/>
                <w:bCs/>
              </w:rPr>
              <w:t>Parameters</w:t>
            </w:r>
          </w:p>
        </w:tc>
        <w:tc>
          <w:tcPr>
            <w:tcW w:w="12332" w:type="dxa"/>
            <w:gridSpan w:val="7"/>
            <w:tcBorders>
              <w:top w:val="single" w:sz="4" w:space="0" w:color="auto"/>
              <w:bottom w:val="single" w:sz="4" w:space="0" w:color="auto"/>
            </w:tcBorders>
          </w:tcPr>
          <w:p w14:paraId="6FFA5D6F" w14:textId="77777777" w:rsidR="005D17A4" w:rsidRPr="005D17A4" w:rsidRDefault="005D17A4" w:rsidP="001A4B15">
            <w:pPr>
              <w:contextualSpacing/>
              <w:rPr>
                <w:rFonts w:ascii="Arial" w:hAnsi="Arial" w:cs="Arial"/>
                <w:b/>
                <w:bCs/>
              </w:rPr>
            </w:pPr>
            <w:r w:rsidRPr="005D17A4">
              <w:rPr>
                <w:rFonts w:ascii="Arial" w:hAnsi="Arial" w:cs="Arial"/>
                <w:b/>
                <w:bCs/>
              </w:rPr>
              <w:t xml:space="preserve">                                                                        Treatments</w:t>
            </w:r>
          </w:p>
        </w:tc>
      </w:tr>
      <w:tr w:rsidR="005D17A4" w:rsidRPr="005D17A4" w14:paraId="645BABC2" w14:textId="77777777" w:rsidTr="005D17A4">
        <w:trPr>
          <w:trHeight w:val="128"/>
        </w:trPr>
        <w:tc>
          <w:tcPr>
            <w:tcW w:w="1985" w:type="dxa"/>
            <w:vMerge/>
            <w:tcBorders>
              <w:top w:val="nil"/>
              <w:bottom w:val="single" w:sz="4" w:space="0" w:color="auto"/>
            </w:tcBorders>
          </w:tcPr>
          <w:p w14:paraId="7BE89CEE" w14:textId="77777777" w:rsidR="005D17A4" w:rsidRPr="005D17A4" w:rsidRDefault="005D17A4" w:rsidP="001A4B15">
            <w:pPr>
              <w:contextualSpacing/>
              <w:rPr>
                <w:rFonts w:ascii="Arial" w:hAnsi="Arial" w:cs="Arial"/>
                <w:b/>
                <w:bCs/>
              </w:rPr>
            </w:pPr>
            <w:bookmarkStart w:id="6" w:name="_Hlk171261659"/>
          </w:p>
        </w:tc>
        <w:tc>
          <w:tcPr>
            <w:tcW w:w="1134" w:type="dxa"/>
            <w:tcBorders>
              <w:top w:val="single" w:sz="4" w:space="0" w:color="auto"/>
              <w:bottom w:val="single" w:sz="4" w:space="0" w:color="auto"/>
            </w:tcBorders>
          </w:tcPr>
          <w:p w14:paraId="25D9565E" w14:textId="77777777" w:rsidR="005D17A4" w:rsidRPr="005D17A4" w:rsidRDefault="005D17A4" w:rsidP="001A4B15">
            <w:pPr>
              <w:contextualSpacing/>
              <w:jc w:val="center"/>
              <w:rPr>
                <w:rFonts w:ascii="Arial" w:hAnsi="Arial" w:cs="Arial"/>
                <w:b/>
                <w:bCs/>
              </w:rPr>
            </w:pPr>
            <w:r w:rsidRPr="005D17A4">
              <w:rPr>
                <w:rFonts w:ascii="Arial" w:hAnsi="Arial" w:cs="Arial"/>
                <w:b/>
                <w:bCs/>
              </w:rPr>
              <w:t>Control</w:t>
            </w:r>
          </w:p>
        </w:tc>
        <w:tc>
          <w:tcPr>
            <w:tcW w:w="1843" w:type="dxa"/>
            <w:tcBorders>
              <w:top w:val="single" w:sz="4" w:space="0" w:color="auto"/>
              <w:bottom w:val="single" w:sz="4" w:space="0" w:color="auto"/>
            </w:tcBorders>
          </w:tcPr>
          <w:p w14:paraId="1DD30A06" w14:textId="376591A8" w:rsidR="005D17A4" w:rsidRPr="005D17A4" w:rsidRDefault="005D17A4" w:rsidP="001A4B15">
            <w:pPr>
              <w:contextualSpacing/>
              <w:jc w:val="center"/>
              <w:rPr>
                <w:rFonts w:ascii="Arial" w:hAnsi="Arial" w:cs="Arial"/>
                <w:b/>
                <w:bCs/>
              </w:rPr>
            </w:pPr>
            <w:r w:rsidRPr="005D17A4">
              <w:rPr>
                <w:rFonts w:ascii="Arial" w:hAnsi="Arial" w:cs="Arial"/>
                <w:b/>
                <w:bCs/>
              </w:rPr>
              <w:t>Granule NPK &amp; Urea (120-40-40) 200</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984" w:type="dxa"/>
            <w:tcBorders>
              <w:top w:val="single" w:sz="4" w:space="0" w:color="auto"/>
              <w:bottom w:val="single" w:sz="4" w:space="0" w:color="auto"/>
            </w:tcBorders>
          </w:tcPr>
          <w:p w14:paraId="443452A9" w14:textId="14ADD3DB" w:rsidR="005D17A4" w:rsidRPr="005D17A4" w:rsidRDefault="005D17A4" w:rsidP="001A4B15">
            <w:pPr>
              <w:contextualSpacing/>
              <w:jc w:val="center"/>
              <w:rPr>
                <w:rFonts w:ascii="Arial" w:hAnsi="Arial" w:cs="Arial"/>
                <w:b/>
                <w:bCs/>
              </w:rPr>
            </w:pPr>
            <w:r w:rsidRPr="005D17A4">
              <w:rPr>
                <w:rFonts w:ascii="Arial" w:hAnsi="Arial" w:cs="Arial"/>
                <w:b/>
                <w:bCs/>
              </w:rPr>
              <w:t>Briquette NPK &amp; Urea (121-58.7-59) 230.4</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3" w:type="dxa"/>
            <w:tcBorders>
              <w:top w:val="single" w:sz="4" w:space="0" w:color="auto"/>
              <w:bottom w:val="single" w:sz="4" w:space="0" w:color="auto"/>
            </w:tcBorders>
          </w:tcPr>
          <w:p w14:paraId="2653E600" w14:textId="5C22892D" w:rsidR="005D17A4" w:rsidRPr="005D17A4" w:rsidRDefault="005D17A4" w:rsidP="001A4B15">
            <w:pPr>
              <w:contextualSpacing/>
              <w:jc w:val="center"/>
              <w:rPr>
                <w:rFonts w:ascii="Arial" w:hAnsi="Arial" w:cs="Arial"/>
                <w:b/>
                <w:bCs/>
              </w:rPr>
            </w:pPr>
            <w:r w:rsidRPr="005D17A4">
              <w:rPr>
                <w:rFonts w:ascii="Arial" w:hAnsi="Arial" w:cs="Arial"/>
                <w:b/>
                <w:bCs/>
              </w:rPr>
              <w:t>Briquette NPK&amp; Urea (114-44-44) 172.8</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3" w:type="dxa"/>
            <w:tcBorders>
              <w:top w:val="single" w:sz="4" w:space="0" w:color="auto"/>
              <w:bottom w:val="single" w:sz="4" w:space="0" w:color="auto"/>
            </w:tcBorders>
          </w:tcPr>
          <w:p w14:paraId="7BAB6836" w14:textId="2BAF9589" w:rsidR="005D17A4" w:rsidRPr="005D17A4" w:rsidRDefault="005D17A4" w:rsidP="001A4B15">
            <w:pPr>
              <w:contextualSpacing/>
              <w:jc w:val="center"/>
              <w:rPr>
                <w:rFonts w:ascii="Arial" w:hAnsi="Arial" w:cs="Arial"/>
                <w:b/>
                <w:bCs/>
              </w:rPr>
            </w:pPr>
            <w:r w:rsidRPr="005D17A4">
              <w:rPr>
                <w:rFonts w:ascii="Arial" w:hAnsi="Arial" w:cs="Arial"/>
                <w:b/>
                <w:bCs/>
              </w:rPr>
              <w:t>Briquette NPK&amp; Urea (91-59-59) 230.4</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2" w:type="dxa"/>
            <w:tcBorders>
              <w:top w:val="single" w:sz="4" w:space="0" w:color="auto"/>
              <w:bottom w:val="single" w:sz="4" w:space="0" w:color="auto"/>
            </w:tcBorders>
          </w:tcPr>
          <w:p w14:paraId="79C9D421" w14:textId="516624DC" w:rsidR="005D17A4" w:rsidRPr="005D17A4" w:rsidRDefault="005D17A4" w:rsidP="001A4B15">
            <w:pPr>
              <w:contextualSpacing/>
              <w:jc w:val="center"/>
              <w:rPr>
                <w:rFonts w:ascii="Arial" w:hAnsi="Arial" w:cs="Arial"/>
                <w:b/>
                <w:bCs/>
              </w:rPr>
            </w:pPr>
            <w:r w:rsidRPr="005D17A4">
              <w:rPr>
                <w:rFonts w:ascii="Arial" w:hAnsi="Arial" w:cs="Arial"/>
                <w:b/>
                <w:bCs/>
              </w:rPr>
              <w:t>Briquette NPK&amp; Urea (76-29-29) 115.2</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3" w:type="dxa"/>
            <w:tcBorders>
              <w:top w:val="single" w:sz="4" w:space="0" w:color="auto"/>
              <w:bottom w:val="single" w:sz="4" w:space="0" w:color="auto"/>
            </w:tcBorders>
          </w:tcPr>
          <w:p w14:paraId="4EDBE136" w14:textId="2E92406B" w:rsidR="005D17A4" w:rsidRPr="005D17A4" w:rsidRDefault="005D17A4" w:rsidP="001A4B15">
            <w:pPr>
              <w:contextualSpacing/>
              <w:jc w:val="center"/>
              <w:rPr>
                <w:rFonts w:ascii="Arial" w:hAnsi="Arial" w:cs="Arial"/>
                <w:b/>
                <w:bCs/>
              </w:rPr>
            </w:pPr>
            <w:r w:rsidRPr="005D17A4">
              <w:rPr>
                <w:rFonts w:ascii="Arial" w:hAnsi="Arial" w:cs="Arial"/>
                <w:b/>
                <w:bCs/>
              </w:rPr>
              <w:t>Briquette NPK&amp; Urea (31-29-29) 115.2</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r>
      <w:bookmarkEnd w:id="6"/>
      <w:tr w:rsidR="005D17A4" w:rsidRPr="005D17A4" w14:paraId="77563AB0" w14:textId="77777777" w:rsidTr="005D17A4">
        <w:tc>
          <w:tcPr>
            <w:tcW w:w="1985" w:type="dxa"/>
            <w:tcBorders>
              <w:top w:val="single" w:sz="4" w:space="0" w:color="auto"/>
            </w:tcBorders>
          </w:tcPr>
          <w:p w14:paraId="2BD914D5" w14:textId="77777777" w:rsidR="005D17A4" w:rsidRPr="005D17A4" w:rsidRDefault="005D17A4" w:rsidP="001A4B15">
            <w:pPr>
              <w:contextualSpacing/>
              <w:rPr>
                <w:rFonts w:ascii="Arial" w:hAnsi="Arial" w:cs="Arial"/>
              </w:rPr>
            </w:pPr>
            <w:r w:rsidRPr="005D17A4">
              <w:rPr>
                <w:rFonts w:ascii="Arial" w:hAnsi="Arial" w:cs="Arial"/>
              </w:rPr>
              <w:t>pH (1:2.5 H</w:t>
            </w:r>
            <w:r w:rsidRPr="005D17A4">
              <w:rPr>
                <w:rFonts w:ascii="Arial" w:hAnsi="Arial" w:cs="Arial"/>
                <w:vertAlign w:val="subscript"/>
              </w:rPr>
              <w:t>2</w:t>
            </w:r>
            <w:r w:rsidRPr="005D17A4">
              <w:rPr>
                <w:rFonts w:ascii="Arial" w:hAnsi="Arial" w:cs="Arial"/>
              </w:rPr>
              <w:t>O)</w:t>
            </w:r>
          </w:p>
        </w:tc>
        <w:tc>
          <w:tcPr>
            <w:tcW w:w="1134" w:type="dxa"/>
            <w:tcBorders>
              <w:top w:val="single" w:sz="4" w:space="0" w:color="auto"/>
            </w:tcBorders>
          </w:tcPr>
          <w:p w14:paraId="420103AC" w14:textId="77777777" w:rsidR="005D17A4" w:rsidRPr="005D17A4" w:rsidRDefault="005D17A4" w:rsidP="001A4B15">
            <w:pPr>
              <w:contextualSpacing/>
              <w:jc w:val="center"/>
              <w:rPr>
                <w:rFonts w:ascii="Arial" w:hAnsi="Arial" w:cs="Arial"/>
              </w:rPr>
            </w:pPr>
            <w:r w:rsidRPr="005D17A4">
              <w:rPr>
                <w:rFonts w:ascii="Arial" w:hAnsi="Arial" w:cs="Arial"/>
              </w:rPr>
              <w:t>6.30</w:t>
            </w:r>
          </w:p>
        </w:tc>
        <w:tc>
          <w:tcPr>
            <w:tcW w:w="1843" w:type="dxa"/>
            <w:tcBorders>
              <w:top w:val="single" w:sz="4" w:space="0" w:color="auto"/>
            </w:tcBorders>
          </w:tcPr>
          <w:p w14:paraId="3BF6C496" w14:textId="77777777" w:rsidR="005D17A4" w:rsidRPr="005D17A4" w:rsidRDefault="005D17A4" w:rsidP="001A4B15">
            <w:pPr>
              <w:contextualSpacing/>
              <w:jc w:val="center"/>
              <w:rPr>
                <w:rFonts w:ascii="Arial" w:hAnsi="Arial" w:cs="Arial"/>
              </w:rPr>
            </w:pPr>
            <w:r w:rsidRPr="005D17A4">
              <w:rPr>
                <w:rFonts w:ascii="Arial" w:hAnsi="Arial" w:cs="Arial"/>
              </w:rPr>
              <w:t>6.4</w:t>
            </w:r>
          </w:p>
        </w:tc>
        <w:tc>
          <w:tcPr>
            <w:tcW w:w="1984" w:type="dxa"/>
            <w:tcBorders>
              <w:top w:val="single" w:sz="4" w:space="0" w:color="auto"/>
            </w:tcBorders>
          </w:tcPr>
          <w:p w14:paraId="04E085F0" w14:textId="77777777" w:rsidR="005D17A4" w:rsidRPr="005D17A4" w:rsidRDefault="005D17A4" w:rsidP="001A4B15">
            <w:pPr>
              <w:contextualSpacing/>
              <w:jc w:val="center"/>
              <w:rPr>
                <w:rFonts w:ascii="Arial" w:hAnsi="Arial" w:cs="Arial"/>
              </w:rPr>
            </w:pPr>
            <w:r w:rsidRPr="005D17A4">
              <w:rPr>
                <w:rFonts w:ascii="Arial" w:hAnsi="Arial" w:cs="Arial"/>
              </w:rPr>
              <w:t>6.5</w:t>
            </w:r>
          </w:p>
        </w:tc>
        <w:tc>
          <w:tcPr>
            <w:tcW w:w="1843" w:type="dxa"/>
            <w:tcBorders>
              <w:top w:val="single" w:sz="4" w:space="0" w:color="auto"/>
            </w:tcBorders>
          </w:tcPr>
          <w:p w14:paraId="347EFAB1" w14:textId="77777777" w:rsidR="005D17A4" w:rsidRPr="005D17A4" w:rsidRDefault="005D17A4" w:rsidP="001A4B15">
            <w:pPr>
              <w:contextualSpacing/>
              <w:jc w:val="center"/>
              <w:rPr>
                <w:rFonts w:ascii="Arial" w:hAnsi="Arial" w:cs="Arial"/>
              </w:rPr>
            </w:pPr>
            <w:r w:rsidRPr="005D17A4">
              <w:rPr>
                <w:rFonts w:ascii="Arial" w:hAnsi="Arial" w:cs="Arial"/>
              </w:rPr>
              <w:t>6.5</w:t>
            </w:r>
          </w:p>
        </w:tc>
        <w:tc>
          <w:tcPr>
            <w:tcW w:w="1843" w:type="dxa"/>
            <w:tcBorders>
              <w:top w:val="single" w:sz="4" w:space="0" w:color="auto"/>
            </w:tcBorders>
          </w:tcPr>
          <w:p w14:paraId="06641C1D" w14:textId="77777777" w:rsidR="005D17A4" w:rsidRPr="005D17A4" w:rsidRDefault="005D17A4" w:rsidP="001A4B15">
            <w:pPr>
              <w:contextualSpacing/>
              <w:jc w:val="center"/>
              <w:rPr>
                <w:rFonts w:ascii="Arial" w:hAnsi="Arial" w:cs="Arial"/>
              </w:rPr>
            </w:pPr>
            <w:r w:rsidRPr="005D17A4">
              <w:rPr>
                <w:rFonts w:ascii="Arial" w:hAnsi="Arial" w:cs="Arial"/>
              </w:rPr>
              <w:t>6.5</w:t>
            </w:r>
          </w:p>
        </w:tc>
        <w:tc>
          <w:tcPr>
            <w:tcW w:w="1842" w:type="dxa"/>
            <w:tcBorders>
              <w:top w:val="single" w:sz="4" w:space="0" w:color="auto"/>
            </w:tcBorders>
          </w:tcPr>
          <w:p w14:paraId="499746C6" w14:textId="77777777" w:rsidR="005D17A4" w:rsidRPr="005D17A4" w:rsidRDefault="005D17A4" w:rsidP="009F247F">
            <w:pPr>
              <w:contextualSpacing/>
              <w:jc w:val="center"/>
              <w:rPr>
                <w:rFonts w:ascii="Arial" w:hAnsi="Arial" w:cs="Arial"/>
              </w:rPr>
            </w:pPr>
            <w:r w:rsidRPr="005D17A4">
              <w:rPr>
                <w:rFonts w:ascii="Arial" w:hAnsi="Arial" w:cs="Arial"/>
              </w:rPr>
              <w:t>6.5</w:t>
            </w:r>
          </w:p>
        </w:tc>
        <w:tc>
          <w:tcPr>
            <w:tcW w:w="1843" w:type="dxa"/>
            <w:tcBorders>
              <w:top w:val="single" w:sz="4" w:space="0" w:color="auto"/>
            </w:tcBorders>
          </w:tcPr>
          <w:p w14:paraId="4B82E349" w14:textId="77777777" w:rsidR="005D17A4" w:rsidRPr="005D17A4" w:rsidRDefault="005D17A4" w:rsidP="009F247F">
            <w:pPr>
              <w:contextualSpacing/>
              <w:jc w:val="center"/>
              <w:rPr>
                <w:rFonts w:ascii="Arial" w:hAnsi="Arial" w:cs="Arial"/>
              </w:rPr>
            </w:pPr>
            <w:r w:rsidRPr="005D17A4">
              <w:rPr>
                <w:rFonts w:ascii="Arial" w:hAnsi="Arial" w:cs="Arial"/>
              </w:rPr>
              <w:t>6.5</w:t>
            </w:r>
          </w:p>
        </w:tc>
      </w:tr>
      <w:tr w:rsidR="005D17A4" w:rsidRPr="005D17A4" w14:paraId="4DA47535" w14:textId="77777777" w:rsidTr="005D17A4">
        <w:tc>
          <w:tcPr>
            <w:tcW w:w="1985" w:type="dxa"/>
          </w:tcPr>
          <w:p w14:paraId="4216639B" w14:textId="77777777" w:rsidR="005D17A4" w:rsidRPr="005D17A4" w:rsidRDefault="005D17A4" w:rsidP="001A4B15">
            <w:pPr>
              <w:contextualSpacing/>
              <w:rPr>
                <w:rFonts w:ascii="Arial" w:hAnsi="Arial" w:cs="Arial"/>
              </w:rPr>
            </w:pPr>
            <w:r w:rsidRPr="005D17A4">
              <w:rPr>
                <w:rFonts w:ascii="Arial" w:hAnsi="Arial" w:cs="Arial"/>
              </w:rPr>
              <w:t>Organic C (%)</w:t>
            </w:r>
          </w:p>
        </w:tc>
        <w:tc>
          <w:tcPr>
            <w:tcW w:w="1134" w:type="dxa"/>
          </w:tcPr>
          <w:p w14:paraId="6FF7F9E9" w14:textId="77777777" w:rsidR="005D17A4" w:rsidRPr="005D17A4" w:rsidRDefault="005D17A4" w:rsidP="001A4B15">
            <w:pPr>
              <w:contextualSpacing/>
              <w:jc w:val="center"/>
              <w:rPr>
                <w:rFonts w:ascii="Arial" w:hAnsi="Arial" w:cs="Arial"/>
              </w:rPr>
            </w:pPr>
            <w:r w:rsidRPr="005D17A4">
              <w:rPr>
                <w:rFonts w:ascii="Arial" w:hAnsi="Arial" w:cs="Arial"/>
              </w:rPr>
              <w:t>0.87</w:t>
            </w:r>
          </w:p>
        </w:tc>
        <w:tc>
          <w:tcPr>
            <w:tcW w:w="1843" w:type="dxa"/>
          </w:tcPr>
          <w:p w14:paraId="173B6039" w14:textId="77777777" w:rsidR="005D17A4" w:rsidRPr="005D17A4" w:rsidRDefault="005D17A4" w:rsidP="001A4B15">
            <w:pPr>
              <w:contextualSpacing/>
              <w:jc w:val="center"/>
              <w:rPr>
                <w:rFonts w:ascii="Arial" w:hAnsi="Arial" w:cs="Arial"/>
              </w:rPr>
            </w:pPr>
            <w:r w:rsidRPr="005D17A4">
              <w:rPr>
                <w:rFonts w:ascii="Arial" w:hAnsi="Arial" w:cs="Arial"/>
              </w:rPr>
              <w:t>0.82</w:t>
            </w:r>
          </w:p>
        </w:tc>
        <w:tc>
          <w:tcPr>
            <w:tcW w:w="1984" w:type="dxa"/>
          </w:tcPr>
          <w:p w14:paraId="5BE738DB" w14:textId="77777777" w:rsidR="005D17A4" w:rsidRPr="005D17A4" w:rsidRDefault="005D17A4" w:rsidP="001A4B15">
            <w:pPr>
              <w:contextualSpacing/>
              <w:jc w:val="center"/>
              <w:rPr>
                <w:rFonts w:ascii="Arial" w:hAnsi="Arial" w:cs="Arial"/>
              </w:rPr>
            </w:pPr>
            <w:r w:rsidRPr="005D17A4">
              <w:rPr>
                <w:rFonts w:ascii="Arial" w:hAnsi="Arial" w:cs="Arial"/>
              </w:rPr>
              <w:t>0.87</w:t>
            </w:r>
          </w:p>
        </w:tc>
        <w:tc>
          <w:tcPr>
            <w:tcW w:w="1843" w:type="dxa"/>
          </w:tcPr>
          <w:p w14:paraId="507D14B5" w14:textId="77777777" w:rsidR="005D17A4" w:rsidRPr="005D17A4" w:rsidRDefault="005D17A4" w:rsidP="001A4B15">
            <w:pPr>
              <w:contextualSpacing/>
              <w:jc w:val="center"/>
              <w:rPr>
                <w:rFonts w:ascii="Arial" w:hAnsi="Arial" w:cs="Arial"/>
              </w:rPr>
            </w:pPr>
            <w:r w:rsidRPr="005D17A4">
              <w:rPr>
                <w:rFonts w:ascii="Arial" w:hAnsi="Arial" w:cs="Arial"/>
              </w:rPr>
              <w:t>0.87</w:t>
            </w:r>
          </w:p>
        </w:tc>
        <w:tc>
          <w:tcPr>
            <w:tcW w:w="1843" w:type="dxa"/>
          </w:tcPr>
          <w:p w14:paraId="699033DA" w14:textId="77777777" w:rsidR="005D17A4" w:rsidRPr="005D17A4" w:rsidRDefault="005D17A4" w:rsidP="001A4B15">
            <w:pPr>
              <w:contextualSpacing/>
              <w:jc w:val="center"/>
              <w:rPr>
                <w:rFonts w:ascii="Arial" w:hAnsi="Arial" w:cs="Arial"/>
              </w:rPr>
            </w:pPr>
            <w:r w:rsidRPr="005D17A4">
              <w:rPr>
                <w:rFonts w:ascii="Arial" w:hAnsi="Arial" w:cs="Arial"/>
              </w:rPr>
              <w:t>0.88</w:t>
            </w:r>
          </w:p>
        </w:tc>
        <w:tc>
          <w:tcPr>
            <w:tcW w:w="1842" w:type="dxa"/>
          </w:tcPr>
          <w:p w14:paraId="5C2212B4" w14:textId="77777777" w:rsidR="005D17A4" w:rsidRPr="005D17A4" w:rsidRDefault="005D17A4" w:rsidP="009F247F">
            <w:pPr>
              <w:contextualSpacing/>
              <w:jc w:val="center"/>
              <w:rPr>
                <w:rFonts w:ascii="Arial" w:hAnsi="Arial" w:cs="Arial"/>
              </w:rPr>
            </w:pPr>
            <w:r w:rsidRPr="005D17A4">
              <w:rPr>
                <w:rFonts w:ascii="Arial" w:hAnsi="Arial" w:cs="Arial"/>
              </w:rPr>
              <w:t>0.87</w:t>
            </w:r>
          </w:p>
        </w:tc>
        <w:tc>
          <w:tcPr>
            <w:tcW w:w="1843" w:type="dxa"/>
          </w:tcPr>
          <w:p w14:paraId="22345B6F" w14:textId="77777777" w:rsidR="005D17A4" w:rsidRPr="005D17A4" w:rsidRDefault="005D17A4" w:rsidP="009F247F">
            <w:pPr>
              <w:contextualSpacing/>
              <w:jc w:val="center"/>
              <w:rPr>
                <w:rFonts w:ascii="Arial" w:hAnsi="Arial" w:cs="Arial"/>
              </w:rPr>
            </w:pPr>
            <w:r w:rsidRPr="005D17A4">
              <w:rPr>
                <w:rFonts w:ascii="Arial" w:hAnsi="Arial" w:cs="Arial"/>
              </w:rPr>
              <w:t>0.85</w:t>
            </w:r>
          </w:p>
        </w:tc>
      </w:tr>
      <w:tr w:rsidR="005D17A4" w:rsidRPr="005D17A4" w14:paraId="73D430E3" w14:textId="77777777" w:rsidTr="005D17A4">
        <w:tc>
          <w:tcPr>
            <w:tcW w:w="1985" w:type="dxa"/>
          </w:tcPr>
          <w:p w14:paraId="393161D3" w14:textId="77777777" w:rsidR="005D17A4" w:rsidRPr="005D17A4" w:rsidRDefault="005D17A4" w:rsidP="001A4B15">
            <w:pPr>
              <w:contextualSpacing/>
              <w:rPr>
                <w:rFonts w:ascii="Arial" w:hAnsi="Arial" w:cs="Arial"/>
              </w:rPr>
            </w:pPr>
            <w:r w:rsidRPr="005D17A4">
              <w:rPr>
                <w:rFonts w:ascii="Arial" w:hAnsi="Arial" w:cs="Arial"/>
              </w:rPr>
              <w:t>Total N (%)</w:t>
            </w:r>
          </w:p>
        </w:tc>
        <w:tc>
          <w:tcPr>
            <w:tcW w:w="1134" w:type="dxa"/>
          </w:tcPr>
          <w:p w14:paraId="3682A0E3"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843" w:type="dxa"/>
          </w:tcPr>
          <w:p w14:paraId="4C62F802"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984" w:type="dxa"/>
          </w:tcPr>
          <w:p w14:paraId="0BD152E0" w14:textId="77777777" w:rsidR="005D17A4" w:rsidRPr="005D17A4" w:rsidRDefault="005D17A4" w:rsidP="001A4B15">
            <w:pPr>
              <w:contextualSpacing/>
              <w:jc w:val="center"/>
              <w:rPr>
                <w:rFonts w:ascii="Arial" w:hAnsi="Arial" w:cs="Arial"/>
              </w:rPr>
            </w:pPr>
            <w:r w:rsidRPr="005D17A4">
              <w:rPr>
                <w:rFonts w:ascii="Arial" w:hAnsi="Arial" w:cs="Arial"/>
              </w:rPr>
              <w:t>0.08</w:t>
            </w:r>
          </w:p>
        </w:tc>
        <w:tc>
          <w:tcPr>
            <w:tcW w:w="1843" w:type="dxa"/>
          </w:tcPr>
          <w:p w14:paraId="78650F4C"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843" w:type="dxa"/>
          </w:tcPr>
          <w:p w14:paraId="5808D217"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842" w:type="dxa"/>
          </w:tcPr>
          <w:p w14:paraId="6570A361" w14:textId="77777777" w:rsidR="005D17A4" w:rsidRPr="005D17A4" w:rsidRDefault="005D17A4" w:rsidP="009F247F">
            <w:pPr>
              <w:contextualSpacing/>
              <w:jc w:val="center"/>
              <w:rPr>
                <w:rFonts w:ascii="Arial" w:hAnsi="Arial" w:cs="Arial"/>
              </w:rPr>
            </w:pPr>
            <w:r w:rsidRPr="005D17A4">
              <w:rPr>
                <w:rFonts w:ascii="Arial" w:hAnsi="Arial" w:cs="Arial"/>
              </w:rPr>
              <w:t>0.06</w:t>
            </w:r>
          </w:p>
        </w:tc>
        <w:tc>
          <w:tcPr>
            <w:tcW w:w="1843" w:type="dxa"/>
          </w:tcPr>
          <w:p w14:paraId="2D38B713" w14:textId="77777777" w:rsidR="005D17A4" w:rsidRPr="005D17A4" w:rsidRDefault="005D17A4" w:rsidP="009F247F">
            <w:pPr>
              <w:contextualSpacing/>
              <w:jc w:val="center"/>
              <w:rPr>
                <w:rFonts w:ascii="Arial" w:hAnsi="Arial" w:cs="Arial"/>
              </w:rPr>
            </w:pPr>
            <w:r w:rsidRPr="005D17A4">
              <w:rPr>
                <w:rFonts w:ascii="Arial" w:hAnsi="Arial" w:cs="Arial"/>
              </w:rPr>
              <w:t>0.07</w:t>
            </w:r>
          </w:p>
        </w:tc>
      </w:tr>
      <w:tr w:rsidR="005D17A4" w:rsidRPr="005D17A4" w14:paraId="5F7D0817" w14:textId="77777777" w:rsidTr="005D17A4">
        <w:tc>
          <w:tcPr>
            <w:tcW w:w="1985" w:type="dxa"/>
          </w:tcPr>
          <w:p w14:paraId="2E645E44" w14:textId="77777777" w:rsidR="005D17A4" w:rsidRPr="005D17A4" w:rsidRDefault="005D17A4" w:rsidP="001A4B15">
            <w:pPr>
              <w:contextualSpacing/>
              <w:rPr>
                <w:rFonts w:ascii="Arial" w:hAnsi="Arial" w:cs="Arial"/>
              </w:rPr>
            </w:pPr>
            <w:r w:rsidRPr="005D17A4">
              <w:rPr>
                <w:rFonts w:ascii="Arial" w:hAnsi="Arial" w:cs="Arial"/>
              </w:rPr>
              <w:t>OM (%)</w:t>
            </w:r>
          </w:p>
        </w:tc>
        <w:tc>
          <w:tcPr>
            <w:tcW w:w="1134" w:type="dxa"/>
          </w:tcPr>
          <w:p w14:paraId="5B811C76" w14:textId="77777777" w:rsidR="005D17A4" w:rsidRPr="005D17A4" w:rsidRDefault="005D17A4" w:rsidP="001A4B15">
            <w:pPr>
              <w:contextualSpacing/>
              <w:jc w:val="center"/>
              <w:rPr>
                <w:rFonts w:ascii="Arial" w:hAnsi="Arial" w:cs="Arial"/>
              </w:rPr>
            </w:pPr>
            <w:r w:rsidRPr="005D17A4">
              <w:rPr>
                <w:rFonts w:ascii="Arial" w:hAnsi="Arial" w:cs="Arial"/>
              </w:rPr>
              <w:t>1.80</w:t>
            </w:r>
          </w:p>
        </w:tc>
        <w:tc>
          <w:tcPr>
            <w:tcW w:w="1843" w:type="dxa"/>
          </w:tcPr>
          <w:p w14:paraId="032DB8D5" w14:textId="77777777" w:rsidR="005D17A4" w:rsidRPr="005D17A4" w:rsidRDefault="005D17A4" w:rsidP="001A4B15">
            <w:pPr>
              <w:contextualSpacing/>
              <w:jc w:val="center"/>
              <w:rPr>
                <w:rFonts w:ascii="Arial" w:hAnsi="Arial" w:cs="Arial"/>
              </w:rPr>
            </w:pPr>
            <w:r w:rsidRPr="005D17A4">
              <w:rPr>
                <w:rFonts w:ascii="Arial" w:hAnsi="Arial" w:cs="Arial"/>
              </w:rPr>
              <w:t>1.8</w:t>
            </w:r>
          </w:p>
        </w:tc>
        <w:tc>
          <w:tcPr>
            <w:tcW w:w="1984" w:type="dxa"/>
          </w:tcPr>
          <w:p w14:paraId="0C186E51" w14:textId="77777777" w:rsidR="005D17A4" w:rsidRPr="005D17A4" w:rsidRDefault="005D17A4" w:rsidP="001A4B15">
            <w:pPr>
              <w:contextualSpacing/>
              <w:jc w:val="center"/>
              <w:rPr>
                <w:rFonts w:ascii="Arial" w:hAnsi="Arial" w:cs="Arial"/>
              </w:rPr>
            </w:pPr>
            <w:r w:rsidRPr="005D17A4">
              <w:rPr>
                <w:rFonts w:ascii="Arial" w:hAnsi="Arial" w:cs="Arial"/>
              </w:rPr>
              <w:t>1.8</w:t>
            </w:r>
          </w:p>
        </w:tc>
        <w:tc>
          <w:tcPr>
            <w:tcW w:w="1843" w:type="dxa"/>
          </w:tcPr>
          <w:p w14:paraId="204CCFFA" w14:textId="77777777" w:rsidR="005D17A4" w:rsidRPr="005D17A4" w:rsidRDefault="005D17A4" w:rsidP="001A4B15">
            <w:pPr>
              <w:contextualSpacing/>
              <w:jc w:val="center"/>
              <w:rPr>
                <w:rFonts w:ascii="Arial" w:hAnsi="Arial" w:cs="Arial"/>
              </w:rPr>
            </w:pPr>
            <w:r w:rsidRPr="005D17A4">
              <w:rPr>
                <w:rFonts w:ascii="Arial" w:hAnsi="Arial" w:cs="Arial"/>
              </w:rPr>
              <w:t>1.7</w:t>
            </w:r>
          </w:p>
        </w:tc>
        <w:tc>
          <w:tcPr>
            <w:tcW w:w="1843" w:type="dxa"/>
          </w:tcPr>
          <w:p w14:paraId="3DD37D48" w14:textId="77777777" w:rsidR="005D17A4" w:rsidRPr="005D17A4" w:rsidRDefault="005D17A4" w:rsidP="001A4B15">
            <w:pPr>
              <w:contextualSpacing/>
              <w:jc w:val="center"/>
              <w:rPr>
                <w:rFonts w:ascii="Arial" w:hAnsi="Arial" w:cs="Arial"/>
              </w:rPr>
            </w:pPr>
            <w:r w:rsidRPr="005D17A4">
              <w:rPr>
                <w:rFonts w:ascii="Arial" w:hAnsi="Arial" w:cs="Arial"/>
              </w:rPr>
              <w:t>1.8</w:t>
            </w:r>
          </w:p>
        </w:tc>
        <w:tc>
          <w:tcPr>
            <w:tcW w:w="1842" w:type="dxa"/>
          </w:tcPr>
          <w:p w14:paraId="757A0B15" w14:textId="77777777" w:rsidR="005D17A4" w:rsidRPr="005D17A4" w:rsidRDefault="005D17A4" w:rsidP="009F247F">
            <w:pPr>
              <w:contextualSpacing/>
              <w:jc w:val="center"/>
              <w:rPr>
                <w:rFonts w:ascii="Arial" w:hAnsi="Arial" w:cs="Arial"/>
              </w:rPr>
            </w:pPr>
            <w:r w:rsidRPr="005D17A4">
              <w:rPr>
                <w:rFonts w:ascii="Arial" w:hAnsi="Arial" w:cs="Arial"/>
              </w:rPr>
              <w:t>1.6</w:t>
            </w:r>
          </w:p>
        </w:tc>
        <w:tc>
          <w:tcPr>
            <w:tcW w:w="1843" w:type="dxa"/>
          </w:tcPr>
          <w:p w14:paraId="66081791" w14:textId="77777777" w:rsidR="005D17A4" w:rsidRPr="005D17A4" w:rsidRDefault="005D17A4" w:rsidP="009F247F">
            <w:pPr>
              <w:contextualSpacing/>
              <w:jc w:val="center"/>
              <w:rPr>
                <w:rFonts w:ascii="Arial" w:hAnsi="Arial" w:cs="Arial"/>
              </w:rPr>
            </w:pPr>
            <w:r w:rsidRPr="005D17A4">
              <w:rPr>
                <w:rFonts w:ascii="Arial" w:hAnsi="Arial" w:cs="Arial"/>
              </w:rPr>
              <w:t>1.7</w:t>
            </w:r>
          </w:p>
        </w:tc>
      </w:tr>
      <w:tr w:rsidR="005D17A4" w:rsidRPr="005D17A4" w14:paraId="3F9FA410" w14:textId="77777777" w:rsidTr="005D17A4">
        <w:tc>
          <w:tcPr>
            <w:tcW w:w="1985" w:type="dxa"/>
          </w:tcPr>
          <w:p w14:paraId="5AAC4234" w14:textId="77777777" w:rsidR="005D17A4" w:rsidRPr="005D17A4" w:rsidRDefault="005D17A4" w:rsidP="001A4B15">
            <w:pPr>
              <w:contextualSpacing/>
              <w:rPr>
                <w:rFonts w:ascii="Arial" w:hAnsi="Arial" w:cs="Arial"/>
              </w:rPr>
            </w:pPr>
            <w:r w:rsidRPr="005D17A4">
              <w:rPr>
                <w:rFonts w:ascii="Arial" w:hAnsi="Arial" w:cs="Arial"/>
              </w:rPr>
              <w:t xml:space="preserve">Ca </w:t>
            </w:r>
            <w:r w:rsidRPr="005D17A4">
              <w:rPr>
                <w:rFonts w:ascii="Arial" w:hAnsi="Arial" w:cs="Arial"/>
                <w:vertAlign w:val="superscript"/>
              </w:rPr>
              <w:t>2+</w:t>
            </w:r>
            <w:r w:rsidRPr="005D17A4">
              <w:rPr>
                <w:rFonts w:ascii="Arial" w:hAnsi="Arial" w:cs="Arial"/>
              </w:rPr>
              <w:t xml:space="preserve"> (ppm)</w:t>
            </w:r>
          </w:p>
        </w:tc>
        <w:tc>
          <w:tcPr>
            <w:tcW w:w="1134" w:type="dxa"/>
          </w:tcPr>
          <w:p w14:paraId="1D74BBA8" w14:textId="77777777" w:rsidR="005D17A4" w:rsidRPr="005D17A4" w:rsidRDefault="005D17A4" w:rsidP="001A4B15">
            <w:pPr>
              <w:contextualSpacing/>
              <w:jc w:val="center"/>
              <w:rPr>
                <w:rFonts w:ascii="Arial" w:hAnsi="Arial" w:cs="Arial"/>
              </w:rPr>
            </w:pPr>
            <w:r w:rsidRPr="005D17A4">
              <w:rPr>
                <w:rFonts w:ascii="Arial" w:hAnsi="Arial" w:cs="Arial"/>
              </w:rPr>
              <w:t>800</w:t>
            </w:r>
          </w:p>
        </w:tc>
        <w:tc>
          <w:tcPr>
            <w:tcW w:w="1843" w:type="dxa"/>
          </w:tcPr>
          <w:p w14:paraId="224FCBB0" w14:textId="77777777" w:rsidR="005D17A4" w:rsidRPr="005D17A4" w:rsidRDefault="005D17A4" w:rsidP="001A4B15">
            <w:pPr>
              <w:contextualSpacing/>
              <w:jc w:val="center"/>
              <w:rPr>
                <w:rFonts w:ascii="Arial" w:hAnsi="Arial" w:cs="Arial"/>
              </w:rPr>
            </w:pPr>
            <w:r w:rsidRPr="005D17A4">
              <w:rPr>
                <w:rFonts w:ascii="Arial" w:hAnsi="Arial" w:cs="Arial"/>
              </w:rPr>
              <w:t>800</w:t>
            </w:r>
          </w:p>
        </w:tc>
        <w:tc>
          <w:tcPr>
            <w:tcW w:w="1984" w:type="dxa"/>
          </w:tcPr>
          <w:p w14:paraId="6A45E67E" w14:textId="77777777" w:rsidR="005D17A4" w:rsidRPr="005D17A4" w:rsidRDefault="005D17A4" w:rsidP="001A4B15">
            <w:pPr>
              <w:contextualSpacing/>
              <w:jc w:val="center"/>
              <w:rPr>
                <w:rFonts w:ascii="Arial" w:hAnsi="Arial" w:cs="Arial"/>
              </w:rPr>
            </w:pPr>
            <w:r w:rsidRPr="005D17A4">
              <w:rPr>
                <w:rFonts w:ascii="Arial" w:hAnsi="Arial" w:cs="Arial"/>
              </w:rPr>
              <w:t>800</w:t>
            </w:r>
          </w:p>
        </w:tc>
        <w:tc>
          <w:tcPr>
            <w:tcW w:w="1843" w:type="dxa"/>
          </w:tcPr>
          <w:p w14:paraId="16A85B86" w14:textId="77777777" w:rsidR="005D17A4" w:rsidRPr="005D17A4" w:rsidRDefault="005D17A4" w:rsidP="001A4B15">
            <w:pPr>
              <w:contextualSpacing/>
              <w:jc w:val="center"/>
              <w:rPr>
                <w:rFonts w:ascii="Arial" w:hAnsi="Arial" w:cs="Arial"/>
              </w:rPr>
            </w:pPr>
            <w:r w:rsidRPr="005D17A4">
              <w:rPr>
                <w:rFonts w:ascii="Arial" w:hAnsi="Arial" w:cs="Arial"/>
              </w:rPr>
              <w:t>788</w:t>
            </w:r>
          </w:p>
        </w:tc>
        <w:tc>
          <w:tcPr>
            <w:tcW w:w="1843" w:type="dxa"/>
          </w:tcPr>
          <w:p w14:paraId="53CBDECC" w14:textId="77777777" w:rsidR="005D17A4" w:rsidRPr="005D17A4" w:rsidRDefault="005D17A4" w:rsidP="001A4B15">
            <w:pPr>
              <w:contextualSpacing/>
              <w:jc w:val="center"/>
              <w:rPr>
                <w:rFonts w:ascii="Arial" w:hAnsi="Arial" w:cs="Arial"/>
              </w:rPr>
            </w:pPr>
            <w:r w:rsidRPr="005D17A4">
              <w:rPr>
                <w:rFonts w:ascii="Arial" w:hAnsi="Arial" w:cs="Arial"/>
              </w:rPr>
              <w:t>798</w:t>
            </w:r>
          </w:p>
        </w:tc>
        <w:tc>
          <w:tcPr>
            <w:tcW w:w="1842" w:type="dxa"/>
          </w:tcPr>
          <w:p w14:paraId="4F2F1E03" w14:textId="77777777" w:rsidR="005D17A4" w:rsidRPr="005D17A4" w:rsidRDefault="005D17A4" w:rsidP="009F247F">
            <w:pPr>
              <w:contextualSpacing/>
              <w:jc w:val="center"/>
              <w:rPr>
                <w:rFonts w:ascii="Arial" w:hAnsi="Arial" w:cs="Arial"/>
              </w:rPr>
            </w:pPr>
            <w:r w:rsidRPr="005D17A4">
              <w:rPr>
                <w:rFonts w:ascii="Arial" w:hAnsi="Arial" w:cs="Arial"/>
              </w:rPr>
              <w:t>801</w:t>
            </w:r>
          </w:p>
        </w:tc>
        <w:tc>
          <w:tcPr>
            <w:tcW w:w="1843" w:type="dxa"/>
          </w:tcPr>
          <w:p w14:paraId="5D9F3420" w14:textId="77777777" w:rsidR="005D17A4" w:rsidRPr="005D17A4" w:rsidRDefault="005D17A4" w:rsidP="009F247F">
            <w:pPr>
              <w:contextualSpacing/>
              <w:jc w:val="center"/>
              <w:rPr>
                <w:rFonts w:ascii="Arial" w:hAnsi="Arial" w:cs="Arial"/>
              </w:rPr>
            </w:pPr>
            <w:r w:rsidRPr="005D17A4">
              <w:rPr>
                <w:rFonts w:ascii="Arial" w:hAnsi="Arial" w:cs="Arial"/>
              </w:rPr>
              <w:t>800</w:t>
            </w:r>
          </w:p>
        </w:tc>
      </w:tr>
      <w:tr w:rsidR="005D17A4" w:rsidRPr="005D17A4" w14:paraId="32CF886C" w14:textId="77777777" w:rsidTr="005D17A4">
        <w:tc>
          <w:tcPr>
            <w:tcW w:w="1985" w:type="dxa"/>
          </w:tcPr>
          <w:p w14:paraId="6A65DDFD" w14:textId="77777777" w:rsidR="005D17A4" w:rsidRPr="005D17A4" w:rsidRDefault="005D17A4" w:rsidP="001A4B15">
            <w:pPr>
              <w:contextualSpacing/>
              <w:rPr>
                <w:rFonts w:ascii="Arial" w:hAnsi="Arial" w:cs="Arial"/>
              </w:rPr>
            </w:pPr>
            <w:r w:rsidRPr="005D17A4">
              <w:rPr>
                <w:rFonts w:ascii="Arial" w:hAnsi="Arial" w:cs="Arial"/>
              </w:rPr>
              <w:t xml:space="preserve">Mg </w:t>
            </w:r>
            <w:r w:rsidRPr="005D17A4">
              <w:rPr>
                <w:rFonts w:ascii="Arial" w:hAnsi="Arial" w:cs="Arial"/>
                <w:vertAlign w:val="superscript"/>
              </w:rPr>
              <w:t xml:space="preserve">2+ </w:t>
            </w:r>
            <w:r w:rsidRPr="005D17A4">
              <w:rPr>
                <w:rFonts w:ascii="Arial" w:hAnsi="Arial" w:cs="Arial"/>
              </w:rPr>
              <w:t>(ppm)</w:t>
            </w:r>
          </w:p>
        </w:tc>
        <w:tc>
          <w:tcPr>
            <w:tcW w:w="1134" w:type="dxa"/>
          </w:tcPr>
          <w:p w14:paraId="61022D7E" w14:textId="77777777" w:rsidR="005D17A4" w:rsidRPr="005D17A4" w:rsidRDefault="005D17A4" w:rsidP="001A4B15">
            <w:pPr>
              <w:contextualSpacing/>
              <w:jc w:val="center"/>
              <w:rPr>
                <w:rFonts w:ascii="Arial" w:hAnsi="Arial" w:cs="Arial"/>
              </w:rPr>
            </w:pPr>
            <w:r w:rsidRPr="005D17A4">
              <w:rPr>
                <w:rFonts w:ascii="Arial" w:hAnsi="Arial" w:cs="Arial"/>
              </w:rPr>
              <w:t>130.0</w:t>
            </w:r>
          </w:p>
        </w:tc>
        <w:tc>
          <w:tcPr>
            <w:tcW w:w="1843" w:type="dxa"/>
          </w:tcPr>
          <w:p w14:paraId="2B981AE8"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984" w:type="dxa"/>
          </w:tcPr>
          <w:p w14:paraId="054D11D9"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843" w:type="dxa"/>
          </w:tcPr>
          <w:p w14:paraId="78B263F5"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843" w:type="dxa"/>
          </w:tcPr>
          <w:p w14:paraId="6EB19BB2"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842" w:type="dxa"/>
          </w:tcPr>
          <w:p w14:paraId="2EAEF8DF" w14:textId="77777777" w:rsidR="005D17A4" w:rsidRPr="005D17A4" w:rsidRDefault="005D17A4" w:rsidP="009F247F">
            <w:pPr>
              <w:contextualSpacing/>
              <w:jc w:val="center"/>
              <w:rPr>
                <w:rFonts w:ascii="Arial" w:hAnsi="Arial" w:cs="Arial"/>
              </w:rPr>
            </w:pPr>
            <w:r w:rsidRPr="005D17A4">
              <w:rPr>
                <w:rFonts w:ascii="Arial" w:hAnsi="Arial" w:cs="Arial"/>
              </w:rPr>
              <w:t>130</w:t>
            </w:r>
          </w:p>
        </w:tc>
        <w:tc>
          <w:tcPr>
            <w:tcW w:w="1843" w:type="dxa"/>
          </w:tcPr>
          <w:p w14:paraId="098E4A92" w14:textId="77777777" w:rsidR="005D17A4" w:rsidRPr="005D17A4" w:rsidRDefault="005D17A4" w:rsidP="009F247F">
            <w:pPr>
              <w:contextualSpacing/>
              <w:jc w:val="center"/>
              <w:rPr>
                <w:rFonts w:ascii="Arial" w:hAnsi="Arial" w:cs="Arial"/>
              </w:rPr>
            </w:pPr>
            <w:r w:rsidRPr="005D17A4">
              <w:rPr>
                <w:rFonts w:ascii="Arial" w:hAnsi="Arial" w:cs="Arial"/>
              </w:rPr>
              <w:t>130</w:t>
            </w:r>
          </w:p>
        </w:tc>
      </w:tr>
      <w:tr w:rsidR="005D17A4" w:rsidRPr="005D17A4" w14:paraId="04A978C2" w14:textId="77777777" w:rsidTr="005D17A4">
        <w:tc>
          <w:tcPr>
            <w:tcW w:w="1985" w:type="dxa"/>
            <w:vAlign w:val="center"/>
          </w:tcPr>
          <w:p w14:paraId="5EB178B7" w14:textId="77777777" w:rsidR="005D17A4" w:rsidRPr="005D17A4" w:rsidRDefault="005D17A4" w:rsidP="001A4B15">
            <w:pPr>
              <w:contextualSpacing/>
              <w:rPr>
                <w:rFonts w:ascii="Arial" w:hAnsi="Arial" w:cs="Arial"/>
              </w:rPr>
            </w:pPr>
            <w:r w:rsidRPr="005D17A4">
              <w:rPr>
                <w:rFonts w:ascii="Arial" w:hAnsi="Arial" w:cs="Arial"/>
              </w:rPr>
              <w:t xml:space="preserve">K </w:t>
            </w:r>
            <w:r w:rsidRPr="005D17A4">
              <w:rPr>
                <w:rFonts w:ascii="Arial" w:hAnsi="Arial" w:cs="Arial"/>
                <w:vertAlign w:val="superscript"/>
              </w:rPr>
              <w:t xml:space="preserve">+ </w:t>
            </w:r>
            <w:r w:rsidRPr="005D17A4">
              <w:rPr>
                <w:rFonts w:ascii="Arial" w:hAnsi="Arial" w:cs="Arial"/>
              </w:rPr>
              <w:t>(ppm)</w:t>
            </w:r>
          </w:p>
        </w:tc>
        <w:tc>
          <w:tcPr>
            <w:tcW w:w="1134" w:type="dxa"/>
          </w:tcPr>
          <w:p w14:paraId="5970EA62"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3" w:type="dxa"/>
          </w:tcPr>
          <w:p w14:paraId="5BDC8CA3"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984" w:type="dxa"/>
          </w:tcPr>
          <w:p w14:paraId="370C3DA7"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3" w:type="dxa"/>
          </w:tcPr>
          <w:p w14:paraId="6BA613D8"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3" w:type="dxa"/>
          </w:tcPr>
          <w:p w14:paraId="5D54400D"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2" w:type="dxa"/>
          </w:tcPr>
          <w:p w14:paraId="042A12DC" w14:textId="77777777" w:rsidR="005D17A4" w:rsidRPr="005D17A4" w:rsidRDefault="005D17A4" w:rsidP="009F247F">
            <w:pPr>
              <w:contextualSpacing/>
              <w:jc w:val="center"/>
              <w:rPr>
                <w:rFonts w:ascii="Arial" w:hAnsi="Arial" w:cs="Arial"/>
              </w:rPr>
            </w:pPr>
            <w:r w:rsidRPr="005D17A4">
              <w:rPr>
                <w:rFonts w:ascii="Arial" w:hAnsi="Arial" w:cs="Arial"/>
              </w:rPr>
              <w:t>50.0</w:t>
            </w:r>
          </w:p>
        </w:tc>
        <w:tc>
          <w:tcPr>
            <w:tcW w:w="1843" w:type="dxa"/>
          </w:tcPr>
          <w:p w14:paraId="5D22371F" w14:textId="77777777" w:rsidR="005D17A4" w:rsidRPr="005D17A4" w:rsidRDefault="005D17A4" w:rsidP="009F247F">
            <w:pPr>
              <w:contextualSpacing/>
              <w:jc w:val="center"/>
              <w:rPr>
                <w:rFonts w:ascii="Arial" w:hAnsi="Arial" w:cs="Arial"/>
              </w:rPr>
            </w:pPr>
            <w:r w:rsidRPr="005D17A4">
              <w:rPr>
                <w:rFonts w:ascii="Arial" w:hAnsi="Arial" w:cs="Arial"/>
              </w:rPr>
              <w:t>50.0</w:t>
            </w:r>
          </w:p>
        </w:tc>
      </w:tr>
      <w:tr w:rsidR="005D17A4" w:rsidRPr="005D17A4" w14:paraId="76A3DD3E" w14:textId="77777777" w:rsidTr="005D17A4">
        <w:tc>
          <w:tcPr>
            <w:tcW w:w="1985" w:type="dxa"/>
          </w:tcPr>
          <w:p w14:paraId="748A4B71" w14:textId="77777777" w:rsidR="005D17A4" w:rsidRPr="005D17A4" w:rsidRDefault="005D17A4" w:rsidP="001A4B15">
            <w:pPr>
              <w:contextualSpacing/>
              <w:rPr>
                <w:rFonts w:ascii="Arial" w:hAnsi="Arial" w:cs="Arial"/>
              </w:rPr>
            </w:pPr>
            <w:r w:rsidRPr="005D17A4">
              <w:rPr>
                <w:rFonts w:ascii="Arial" w:hAnsi="Arial" w:cs="Arial"/>
              </w:rPr>
              <w:t>Boron (ppm)</w:t>
            </w:r>
          </w:p>
        </w:tc>
        <w:tc>
          <w:tcPr>
            <w:tcW w:w="1134" w:type="dxa"/>
          </w:tcPr>
          <w:p w14:paraId="787D2B41" w14:textId="77777777" w:rsidR="005D17A4" w:rsidRPr="005D17A4" w:rsidRDefault="005D17A4" w:rsidP="001A4B15">
            <w:pPr>
              <w:contextualSpacing/>
              <w:jc w:val="center"/>
              <w:rPr>
                <w:rFonts w:ascii="Arial" w:hAnsi="Arial" w:cs="Arial"/>
              </w:rPr>
            </w:pPr>
            <w:r w:rsidRPr="005D17A4">
              <w:rPr>
                <w:rFonts w:ascii="Arial" w:hAnsi="Arial" w:cs="Arial"/>
              </w:rPr>
              <w:t>0.50</w:t>
            </w:r>
          </w:p>
        </w:tc>
        <w:tc>
          <w:tcPr>
            <w:tcW w:w="1843" w:type="dxa"/>
          </w:tcPr>
          <w:p w14:paraId="74F14A88" w14:textId="77777777" w:rsidR="005D17A4" w:rsidRPr="005D17A4" w:rsidRDefault="005D17A4" w:rsidP="001A4B15">
            <w:pPr>
              <w:contextualSpacing/>
              <w:jc w:val="center"/>
              <w:rPr>
                <w:rFonts w:ascii="Arial" w:hAnsi="Arial" w:cs="Arial"/>
              </w:rPr>
            </w:pPr>
            <w:r w:rsidRPr="005D17A4">
              <w:rPr>
                <w:rFonts w:ascii="Arial" w:hAnsi="Arial" w:cs="Arial"/>
              </w:rPr>
              <w:t>0.52</w:t>
            </w:r>
          </w:p>
        </w:tc>
        <w:tc>
          <w:tcPr>
            <w:tcW w:w="1984" w:type="dxa"/>
          </w:tcPr>
          <w:p w14:paraId="67C52F3A"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12B1AC99"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45372BF8"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2" w:type="dxa"/>
          </w:tcPr>
          <w:p w14:paraId="709EA062" w14:textId="77777777" w:rsidR="005D17A4" w:rsidRPr="005D17A4" w:rsidRDefault="005D17A4" w:rsidP="009F247F">
            <w:pPr>
              <w:contextualSpacing/>
              <w:jc w:val="center"/>
              <w:rPr>
                <w:rFonts w:ascii="Arial" w:hAnsi="Arial" w:cs="Arial"/>
              </w:rPr>
            </w:pPr>
            <w:r w:rsidRPr="005D17A4">
              <w:rPr>
                <w:rFonts w:ascii="Arial" w:hAnsi="Arial" w:cs="Arial"/>
              </w:rPr>
              <w:t>2.0</w:t>
            </w:r>
          </w:p>
        </w:tc>
        <w:tc>
          <w:tcPr>
            <w:tcW w:w="1843" w:type="dxa"/>
          </w:tcPr>
          <w:p w14:paraId="107BC0E5" w14:textId="77777777" w:rsidR="005D17A4" w:rsidRPr="005D17A4" w:rsidRDefault="005D17A4" w:rsidP="009F247F">
            <w:pPr>
              <w:contextualSpacing/>
              <w:jc w:val="center"/>
              <w:rPr>
                <w:rFonts w:ascii="Arial" w:hAnsi="Arial" w:cs="Arial"/>
              </w:rPr>
            </w:pPr>
            <w:r w:rsidRPr="005D17A4">
              <w:rPr>
                <w:rFonts w:ascii="Arial" w:hAnsi="Arial" w:cs="Arial"/>
              </w:rPr>
              <w:t>2.0</w:t>
            </w:r>
          </w:p>
        </w:tc>
      </w:tr>
      <w:tr w:rsidR="005D17A4" w:rsidRPr="005D17A4" w14:paraId="6DD22851" w14:textId="77777777" w:rsidTr="005D17A4">
        <w:tc>
          <w:tcPr>
            <w:tcW w:w="1985" w:type="dxa"/>
          </w:tcPr>
          <w:p w14:paraId="076B7B61" w14:textId="77777777" w:rsidR="005D17A4" w:rsidRPr="005D17A4" w:rsidRDefault="005D17A4" w:rsidP="001A4B15">
            <w:pPr>
              <w:contextualSpacing/>
              <w:rPr>
                <w:rFonts w:ascii="Arial" w:hAnsi="Arial" w:cs="Arial"/>
              </w:rPr>
            </w:pPr>
            <w:r w:rsidRPr="005D17A4">
              <w:rPr>
                <w:rFonts w:ascii="Arial" w:hAnsi="Arial" w:cs="Arial"/>
              </w:rPr>
              <w:t>Available P (ppm)</w:t>
            </w:r>
          </w:p>
        </w:tc>
        <w:tc>
          <w:tcPr>
            <w:tcW w:w="1134" w:type="dxa"/>
          </w:tcPr>
          <w:p w14:paraId="4168E26C" w14:textId="77777777" w:rsidR="005D17A4" w:rsidRPr="005D17A4" w:rsidRDefault="005D17A4" w:rsidP="001A4B15">
            <w:pPr>
              <w:contextualSpacing/>
              <w:jc w:val="center"/>
              <w:rPr>
                <w:rFonts w:ascii="Arial" w:hAnsi="Arial" w:cs="Arial"/>
              </w:rPr>
            </w:pPr>
            <w:r w:rsidRPr="005D17A4">
              <w:rPr>
                <w:rFonts w:ascii="Arial" w:hAnsi="Arial" w:cs="Arial"/>
              </w:rPr>
              <w:t>10</w:t>
            </w:r>
          </w:p>
        </w:tc>
        <w:tc>
          <w:tcPr>
            <w:tcW w:w="1843" w:type="dxa"/>
          </w:tcPr>
          <w:p w14:paraId="6FC32D30" w14:textId="77777777" w:rsidR="005D17A4" w:rsidRPr="005D17A4" w:rsidRDefault="005D17A4" w:rsidP="001A4B15">
            <w:pPr>
              <w:contextualSpacing/>
              <w:jc w:val="center"/>
              <w:rPr>
                <w:rFonts w:ascii="Arial" w:hAnsi="Arial" w:cs="Arial"/>
              </w:rPr>
            </w:pPr>
            <w:r w:rsidRPr="005D17A4">
              <w:rPr>
                <w:rFonts w:ascii="Arial" w:hAnsi="Arial" w:cs="Arial"/>
              </w:rPr>
              <w:t>11</w:t>
            </w:r>
          </w:p>
        </w:tc>
        <w:tc>
          <w:tcPr>
            <w:tcW w:w="1984" w:type="dxa"/>
          </w:tcPr>
          <w:p w14:paraId="2DA9701E"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583EF51B"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024DEE38"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2" w:type="dxa"/>
          </w:tcPr>
          <w:p w14:paraId="02B892EB" w14:textId="77777777" w:rsidR="005D17A4" w:rsidRPr="005D17A4" w:rsidRDefault="005D17A4" w:rsidP="009F247F">
            <w:pPr>
              <w:contextualSpacing/>
              <w:jc w:val="center"/>
              <w:rPr>
                <w:rFonts w:ascii="Arial" w:hAnsi="Arial" w:cs="Arial"/>
              </w:rPr>
            </w:pPr>
            <w:r w:rsidRPr="005D17A4">
              <w:rPr>
                <w:rFonts w:ascii="Arial" w:hAnsi="Arial" w:cs="Arial"/>
              </w:rPr>
              <w:t>15</w:t>
            </w:r>
          </w:p>
        </w:tc>
        <w:tc>
          <w:tcPr>
            <w:tcW w:w="1843" w:type="dxa"/>
          </w:tcPr>
          <w:p w14:paraId="7DE8FA2A" w14:textId="77777777" w:rsidR="005D17A4" w:rsidRPr="005D17A4" w:rsidRDefault="005D17A4" w:rsidP="009F247F">
            <w:pPr>
              <w:contextualSpacing/>
              <w:jc w:val="center"/>
              <w:rPr>
                <w:rFonts w:ascii="Arial" w:hAnsi="Arial" w:cs="Arial"/>
              </w:rPr>
            </w:pPr>
            <w:r w:rsidRPr="005D17A4">
              <w:rPr>
                <w:rFonts w:ascii="Arial" w:hAnsi="Arial" w:cs="Arial"/>
              </w:rPr>
              <w:t>15</w:t>
            </w:r>
          </w:p>
        </w:tc>
      </w:tr>
      <w:tr w:rsidR="005D17A4" w:rsidRPr="005D17A4" w14:paraId="7C8652C4" w14:textId="77777777" w:rsidTr="005D17A4">
        <w:tc>
          <w:tcPr>
            <w:tcW w:w="1985" w:type="dxa"/>
          </w:tcPr>
          <w:p w14:paraId="3261A8EF" w14:textId="77777777" w:rsidR="005D17A4" w:rsidRPr="005D17A4" w:rsidRDefault="005D17A4" w:rsidP="001A4B15">
            <w:pPr>
              <w:contextualSpacing/>
              <w:rPr>
                <w:rFonts w:ascii="Arial" w:hAnsi="Arial" w:cs="Arial"/>
              </w:rPr>
            </w:pPr>
            <w:r w:rsidRPr="005D17A4">
              <w:rPr>
                <w:rFonts w:ascii="Arial" w:hAnsi="Arial" w:cs="Arial"/>
              </w:rPr>
              <w:t>Manganese (ppm)</w:t>
            </w:r>
          </w:p>
        </w:tc>
        <w:tc>
          <w:tcPr>
            <w:tcW w:w="1134" w:type="dxa"/>
          </w:tcPr>
          <w:p w14:paraId="679A95E4" w14:textId="77777777" w:rsidR="005D17A4" w:rsidRPr="005D17A4" w:rsidRDefault="005D17A4" w:rsidP="001A4B15">
            <w:pPr>
              <w:contextualSpacing/>
              <w:jc w:val="center"/>
              <w:rPr>
                <w:rFonts w:ascii="Arial" w:hAnsi="Arial" w:cs="Arial"/>
              </w:rPr>
            </w:pPr>
            <w:r w:rsidRPr="005D17A4">
              <w:rPr>
                <w:rFonts w:ascii="Arial" w:hAnsi="Arial" w:cs="Arial"/>
              </w:rPr>
              <w:t>110</w:t>
            </w:r>
          </w:p>
        </w:tc>
        <w:tc>
          <w:tcPr>
            <w:tcW w:w="1843" w:type="dxa"/>
          </w:tcPr>
          <w:p w14:paraId="30752718" w14:textId="77777777" w:rsidR="005D17A4" w:rsidRPr="005D17A4" w:rsidRDefault="005D17A4" w:rsidP="001A4B15">
            <w:pPr>
              <w:contextualSpacing/>
              <w:jc w:val="center"/>
              <w:rPr>
                <w:rFonts w:ascii="Arial" w:hAnsi="Arial" w:cs="Arial"/>
              </w:rPr>
            </w:pPr>
            <w:r w:rsidRPr="005D17A4">
              <w:rPr>
                <w:rFonts w:ascii="Arial" w:hAnsi="Arial" w:cs="Arial"/>
              </w:rPr>
              <w:t>120</w:t>
            </w:r>
          </w:p>
        </w:tc>
        <w:tc>
          <w:tcPr>
            <w:tcW w:w="1984" w:type="dxa"/>
          </w:tcPr>
          <w:p w14:paraId="19698057" w14:textId="77777777" w:rsidR="005D17A4" w:rsidRPr="005D17A4" w:rsidRDefault="005D17A4" w:rsidP="001A4B15">
            <w:pPr>
              <w:contextualSpacing/>
              <w:jc w:val="center"/>
              <w:rPr>
                <w:rFonts w:ascii="Arial" w:hAnsi="Arial" w:cs="Arial"/>
              </w:rPr>
            </w:pPr>
            <w:r w:rsidRPr="005D17A4">
              <w:rPr>
                <w:rFonts w:ascii="Arial" w:hAnsi="Arial" w:cs="Arial"/>
              </w:rPr>
              <w:t>125</w:t>
            </w:r>
          </w:p>
        </w:tc>
        <w:tc>
          <w:tcPr>
            <w:tcW w:w="1843" w:type="dxa"/>
          </w:tcPr>
          <w:p w14:paraId="7F6D3B0E" w14:textId="77777777" w:rsidR="005D17A4" w:rsidRPr="005D17A4" w:rsidRDefault="005D17A4" w:rsidP="001A4B15">
            <w:pPr>
              <w:contextualSpacing/>
              <w:jc w:val="center"/>
              <w:rPr>
                <w:rFonts w:ascii="Arial" w:hAnsi="Arial" w:cs="Arial"/>
              </w:rPr>
            </w:pPr>
            <w:r w:rsidRPr="005D17A4">
              <w:rPr>
                <w:rFonts w:ascii="Arial" w:hAnsi="Arial" w:cs="Arial"/>
              </w:rPr>
              <w:t>110</w:t>
            </w:r>
          </w:p>
        </w:tc>
        <w:tc>
          <w:tcPr>
            <w:tcW w:w="1843" w:type="dxa"/>
          </w:tcPr>
          <w:p w14:paraId="1C7F83CC" w14:textId="77777777" w:rsidR="005D17A4" w:rsidRPr="005D17A4" w:rsidRDefault="005D17A4" w:rsidP="001A4B15">
            <w:pPr>
              <w:contextualSpacing/>
              <w:jc w:val="center"/>
              <w:rPr>
                <w:rFonts w:ascii="Arial" w:hAnsi="Arial" w:cs="Arial"/>
              </w:rPr>
            </w:pPr>
            <w:r w:rsidRPr="005D17A4">
              <w:rPr>
                <w:rFonts w:ascii="Arial" w:hAnsi="Arial" w:cs="Arial"/>
              </w:rPr>
              <w:t>120</w:t>
            </w:r>
          </w:p>
        </w:tc>
        <w:tc>
          <w:tcPr>
            <w:tcW w:w="1842" w:type="dxa"/>
          </w:tcPr>
          <w:p w14:paraId="62EFD863" w14:textId="259B5C6C" w:rsidR="005D17A4" w:rsidRPr="005D17A4" w:rsidRDefault="005D17A4" w:rsidP="009F247F">
            <w:pPr>
              <w:contextualSpacing/>
              <w:jc w:val="center"/>
              <w:rPr>
                <w:rFonts w:ascii="Arial" w:hAnsi="Arial" w:cs="Arial"/>
              </w:rPr>
            </w:pPr>
            <w:r w:rsidRPr="009F247F">
              <w:rPr>
                <w:rFonts w:ascii="Arial" w:hAnsi="Arial" w:cs="Arial"/>
                <w:highlight w:val="yellow"/>
              </w:rPr>
              <w:t>120</w:t>
            </w:r>
          </w:p>
        </w:tc>
        <w:tc>
          <w:tcPr>
            <w:tcW w:w="1843" w:type="dxa"/>
          </w:tcPr>
          <w:p w14:paraId="264D3F68" w14:textId="77777777" w:rsidR="005D17A4" w:rsidRPr="005D17A4" w:rsidRDefault="005D17A4" w:rsidP="009F247F">
            <w:pPr>
              <w:contextualSpacing/>
              <w:jc w:val="center"/>
              <w:rPr>
                <w:rFonts w:ascii="Arial" w:hAnsi="Arial" w:cs="Arial"/>
              </w:rPr>
            </w:pPr>
            <w:r w:rsidRPr="005D17A4">
              <w:rPr>
                <w:rFonts w:ascii="Arial" w:hAnsi="Arial" w:cs="Arial"/>
              </w:rPr>
              <w:t>130</w:t>
            </w:r>
          </w:p>
        </w:tc>
      </w:tr>
      <w:tr w:rsidR="005D17A4" w:rsidRPr="005D17A4" w14:paraId="6F8FAD43" w14:textId="77777777" w:rsidTr="005D17A4">
        <w:tc>
          <w:tcPr>
            <w:tcW w:w="1985" w:type="dxa"/>
          </w:tcPr>
          <w:p w14:paraId="48222F2D" w14:textId="77777777" w:rsidR="005D17A4" w:rsidRPr="005D17A4" w:rsidRDefault="005D17A4" w:rsidP="001A4B15">
            <w:pPr>
              <w:contextualSpacing/>
              <w:rPr>
                <w:rFonts w:ascii="Arial" w:hAnsi="Arial" w:cs="Arial"/>
              </w:rPr>
            </w:pPr>
            <w:r w:rsidRPr="005D17A4">
              <w:rPr>
                <w:rFonts w:ascii="Arial" w:hAnsi="Arial" w:cs="Arial"/>
              </w:rPr>
              <w:t>Zinc (ppm)</w:t>
            </w:r>
          </w:p>
        </w:tc>
        <w:tc>
          <w:tcPr>
            <w:tcW w:w="1134" w:type="dxa"/>
          </w:tcPr>
          <w:p w14:paraId="6278A27E" w14:textId="77777777" w:rsidR="005D17A4" w:rsidRPr="005D17A4" w:rsidRDefault="005D17A4" w:rsidP="001A4B15">
            <w:pPr>
              <w:contextualSpacing/>
              <w:jc w:val="center"/>
              <w:rPr>
                <w:rFonts w:ascii="Arial" w:hAnsi="Arial" w:cs="Arial"/>
              </w:rPr>
            </w:pPr>
            <w:r w:rsidRPr="005D17A4">
              <w:rPr>
                <w:rFonts w:ascii="Arial" w:hAnsi="Arial" w:cs="Arial"/>
              </w:rPr>
              <w:t>1.0</w:t>
            </w:r>
          </w:p>
        </w:tc>
        <w:tc>
          <w:tcPr>
            <w:tcW w:w="1843" w:type="dxa"/>
          </w:tcPr>
          <w:p w14:paraId="48FEB11C" w14:textId="77777777" w:rsidR="005D17A4" w:rsidRPr="005D17A4" w:rsidRDefault="005D17A4" w:rsidP="001A4B15">
            <w:pPr>
              <w:contextualSpacing/>
              <w:jc w:val="center"/>
              <w:rPr>
                <w:rFonts w:ascii="Arial" w:hAnsi="Arial" w:cs="Arial"/>
              </w:rPr>
            </w:pPr>
            <w:r w:rsidRPr="005D17A4">
              <w:rPr>
                <w:rFonts w:ascii="Arial" w:hAnsi="Arial" w:cs="Arial"/>
              </w:rPr>
              <w:t>1.0</w:t>
            </w:r>
          </w:p>
        </w:tc>
        <w:tc>
          <w:tcPr>
            <w:tcW w:w="1984" w:type="dxa"/>
          </w:tcPr>
          <w:p w14:paraId="6DDD6A3E"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6241BC04"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0ED6CA16"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2" w:type="dxa"/>
          </w:tcPr>
          <w:p w14:paraId="61135F4B" w14:textId="77777777" w:rsidR="005D17A4" w:rsidRPr="005D17A4" w:rsidRDefault="005D17A4" w:rsidP="009F247F">
            <w:pPr>
              <w:contextualSpacing/>
              <w:jc w:val="center"/>
              <w:rPr>
                <w:rFonts w:ascii="Arial" w:hAnsi="Arial" w:cs="Arial"/>
              </w:rPr>
            </w:pPr>
            <w:r w:rsidRPr="005D17A4">
              <w:rPr>
                <w:rFonts w:ascii="Arial" w:hAnsi="Arial" w:cs="Arial"/>
              </w:rPr>
              <w:t>1.0</w:t>
            </w:r>
          </w:p>
        </w:tc>
        <w:tc>
          <w:tcPr>
            <w:tcW w:w="1843" w:type="dxa"/>
          </w:tcPr>
          <w:p w14:paraId="3F3BAE04" w14:textId="77777777" w:rsidR="005D17A4" w:rsidRPr="005D17A4" w:rsidRDefault="005D17A4" w:rsidP="009F247F">
            <w:pPr>
              <w:contextualSpacing/>
              <w:jc w:val="center"/>
              <w:rPr>
                <w:rFonts w:ascii="Arial" w:hAnsi="Arial" w:cs="Arial"/>
              </w:rPr>
            </w:pPr>
            <w:r w:rsidRPr="005D17A4">
              <w:rPr>
                <w:rFonts w:ascii="Arial" w:hAnsi="Arial" w:cs="Arial"/>
              </w:rPr>
              <w:t>1.0</w:t>
            </w:r>
          </w:p>
        </w:tc>
      </w:tr>
      <w:tr w:rsidR="005D17A4" w:rsidRPr="005D17A4" w14:paraId="2528F750" w14:textId="77777777" w:rsidTr="005D17A4">
        <w:tc>
          <w:tcPr>
            <w:tcW w:w="1985" w:type="dxa"/>
          </w:tcPr>
          <w:p w14:paraId="75F6CD10" w14:textId="77777777" w:rsidR="005D17A4" w:rsidRPr="005D17A4" w:rsidRDefault="005D17A4" w:rsidP="001A4B15">
            <w:pPr>
              <w:contextualSpacing/>
              <w:rPr>
                <w:rFonts w:ascii="Arial" w:hAnsi="Arial" w:cs="Arial"/>
              </w:rPr>
            </w:pPr>
            <w:r w:rsidRPr="005D17A4">
              <w:rPr>
                <w:rFonts w:ascii="Arial" w:hAnsi="Arial" w:cs="Arial"/>
              </w:rPr>
              <w:t>CEC me/100g</w:t>
            </w:r>
          </w:p>
        </w:tc>
        <w:tc>
          <w:tcPr>
            <w:tcW w:w="1134" w:type="dxa"/>
          </w:tcPr>
          <w:p w14:paraId="1825C40B"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3" w:type="dxa"/>
          </w:tcPr>
          <w:p w14:paraId="7BDE9CC1"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984" w:type="dxa"/>
          </w:tcPr>
          <w:p w14:paraId="26309240"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3" w:type="dxa"/>
          </w:tcPr>
          <w:p w14:paraId="306757B9"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3" w:type="dxa"/>
          </w:tcPr>
          <w:p w14:paraId="079D3013"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2" w:type="dxa"/>
          </w:tcPr>
          <w:p w14:paraId="3449F08A" w14:textId="77777777" w:rsidR="005D17A4" w:rsidRPr="005D17A4" w:rsidRDefault="005D17A4" w:rsidP="009F247F">
            <w:pPr>
              <w:contextualSpacing/>
              <w:jc w:val="center"/>
              <w:rPr>
                <w:rFonts w:ascii="Arial" w:hAnsi="Arial" w:cs="Arial"/>
              </w:rPr>
            </w:pPr>
            <w:r w:rsidRPr="005D17A4">
              <w:rPr>
                <w:rFonts w:ascii="Arial" w:hAnsi="Arial" w:cs="Arial"/>
              </w:rPr>
              <w:t>6.3</w:t>
            </w:r>
          </w:p>
        </w:tc>
        <w:tc>
          <w:tcPr>
            <w:tcW w:w="1843" w:type="dxa"/>
          </w:tcPr>
          <w:p w14:paraId="139DBB59" w14:textId="77777777" w:rsidR="005D17A4" w:rsidRPr="005D17A4" w:rsidRDefault="005D17A4" w:rsidP="009F247F">
            <w:pPr>
              <w:contextualSpacing/>
              <w:jc w:val="center"/>
              <w:rPr>
                <w:rFonts w:ascii="Arial" w:hAnsi="Arial" w:cs="Arial"/>
              </w:rPr>
            </w:pPr>
            <w:r w:rsidRPr="005D17A4">
              <w:rPr>
                <w:rFonts w:ascii="Arial" w:hAnsi="Arial" w:cs="Arial"/>
              </w:rPr>
              <w:t>6.3</w:t>
            </w:r>
          </w:p>
        </w:tc>
      </w:tr>
      <w:tr w:rsidR="005D17A4" w:rsidRPr="005D17A4" w14:paraId="3CD3C03E" w14:textId="77777777" w:rsidTr="005D17A4">
        <w:tc>
          <w:tcPr>
            <w:tcW w:w="1985" w:type="dxa"/>
          </w:tcPr>
          <w:p w14:paraId="2FA47175" w14:textId="77777777" w:rsidR="005D17A4" w:rsidRPr="005D17A4" w:rsidRDefault="005D17A4" w:rsidP="001A4B15">
            <w:pPr>
              <w:tabs>
                <w:tab w:val="left" w:pos="1035"/>
              </w:tabs>
              <w:contextualSpacing/>
              <w:rPr>
                <w:rFonts w:ascii="Arial" w:hAnsi="Arial" w:cs="Arial"/>
              </w:rPr>
            </w:pPr>
            <w:r w:rsidRPr="005D17A4">
              <w:rPr>
                <w:rFonts w:ascii="Arial" w:hAnsi="Arial" w:cs="Arial"/>
              </w:rPr>
              <w:t>Iron (ppm)</w:t>
            </w:r>
          </w:p>
        </w:tc>
        <w:tc>
          <w:tcPr>
            <w:tcW w:w="1134" w:type="dxa"/>
          </w:tcPr>
          <w:p w14:paraId="52A17496"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3" w:type="dxa"/>
          </w:tcPr>
          <w:p w14:paraId="17028B97"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984" w:type="dxa"/>
          </w:tcPr>
          <w:p w14:paraId="57B1E550"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3" w:type="dxa"/>
          </w:tcPr>
          <w:p w14:paraId="5EB71683"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3" w:type="dxa"/>
          </w:tcPr>
          <w:p w14:paraId="30E7815F"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2" w:type="dxa"/>
          </w:tcPr>
          <w:p w14:paraId="3C5AF4ED" w14:textId="77777777" w:rsidR="005D17A4" w:rsidRPr="005D17A4" w:rsidRDefault="005D17A4" w:rsidP="009F247F">
            <w:pPr>
              <w:contextualSpacing/>
              <w:jc w:val="center"/>
              <w:rPr>
                <w:rFonts w:ascii="Arial" w:hAnsi="Arial" w:cs="Arial"/>
              </w:rPr>
            </w:pPr>
            <w:r w:rsidRPr="005D17A4">
              <w:rPr>
                <w:rFonts w:ascii="Arial" w:hAnsi="Arial" w:cs="Arial"/>
              </w:rPr>
              <w:t>140</w:t>
            </w:r>
          </w:p>
        </w:tc>
        <w:tc>
          <w:tcPr>
            <w:tcW w:w="1843" w:type="dxa"/>
          </w:tcPr>
          <w:p w14:paraId="0872F2A8" w14:textId="77777777" w:rsidR="005D17A4" w:rsidRPr="005D17A4" w:rsidRDefault="005D17A4" w:rsidP="009F247F">
            <w:pPr>
              <w:contextualSpacing/>
              <w:jc w:val="center"/>
              <w:rPr>
                <w:rFonts w:ascii="Arial" w:hAnsi="Arial" w:cs="Arial"/>
              </w:rPr>
            </w:pPr>
            <w:r w:rsidRPr="005D17A4">
              <w:rPr>
                <w:rFonts w:ascii="Arial" w:hAnsi="Arial" w:cs="Arial"/>
              </w:rPr>
              <w:t>140</w:t>
            </w:r>
          </w:p>
        </w:tc>
      </w:tr>
      <w:tr w:rsidR="005D17A4" w:rsidRPr="005D17A4" w14:paraId="783AF905" w14:textId="77777777" w:rsidTr="005D17A4">
        <w:tc>
          <w:tcPr>
            <w:tcW w:w="1985" w:type="dxa"/>
          </w:tcPr>
          <w:p w14:paraId="2282E09E" w14:textId="77777777" w:rsidR="005D17A4" w:rsidRPr="005D17A4" w:rsidRDefault="005D17A4" w:rsidP="001A4B15">
            <w:pPr>
              <w:tabs>
                <w:tab w:val="left" w:pos="1035"/>
              </w:tabs>
              <w:contextualSpacing/>
              <w:rPr>
                <w:rFonts w:ascii="Arial" w:hAnsi="Arial" w:cs="Arial"/>
              </w:rPr>
            </w:pPr>
            <w:r w:rsidRPr="005D17A4">
              <w:rPr>
                <w:rFonts w:ascii="Arial" w:hAnsi="Arial" w:cs="Arial"/>
              </w:rPr>
              <w:t>Cu (ppm)</w:t>
            </w:r>
          </w:p>
        </w:tc>
        <w:tc>
          <w:tcPr>
            <w:tcW w:w="1134" w:type="dxa"/>
          </w:tcPr>
          <w:p w14:paraId="11EFDBED"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39D4D45C"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984" w:type="dxa"/>
          </w:tcPr>
          <w:p w14:paraId="34E3AF47"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1DC8192D"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207A99C8"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2" w:type="dxa"/>
          </w:tcPr>
          <w:p w14:paraId="1A6A5D9B" w14:textId="77777777" w:rsidR="005D17A4" w:rsidRPr="005D17A4" w:rsidRDefault="005D17A4" w:rsidP="009F247F">
            <w:pPr>
              <w:contextualSpacing/>
              <w:jc w:val="center"/>
              <w:rPr>
                <w:rFonts w:ascii="Arial" w:hAnsi="Arial" w:cs="Arial"/>
              </w:rPr>
            </w:pPr>
            <w:r w:rsidRPr="005D17A4">
              <w:rPr>
                <w:rFonts w:ascii="Arial" w:hAnsi="Arial" w:cs="Arial"/>
              </w:rPr>
              <w:t>2.0</w:t>
            </w:r>
          </w:p>
        </w:tc>
        <w:tc>
          <w:tcPr>
            <w:tcW w:w="1843" w:type="dxa"/>
          </w:tcPr>
          <w:p w14:paraId="7D95D5E0" w14:textId="77777777" w:rsidR="005D17A4" w:rsidRPr="005D17A4" w:rsidRDefault="005D17A4" w:rsidP="009F247F">
            <w:pPr>
              <w:contextualSpacing/>
              <w:jc w:val="center"/>
              <w:rPr>
                <w:rFonts w:ascii="Arial" w:hAnsi="Arial" w:cs="Arial"/>
              </w:rPr>
            </w:pPr>
            <w:r w:rsidRPr="005D17A4">
              <w:rPr>
                <w:rFonts w:ascii="Arial" w:hAnsi="Arial" w:cs="Arial"/>
              </w:rPr>
              <w:t>2.0</w:t>
            </w:r>
          </w:p>
        </w:tc>
      </w:tr>
      <w:tr w:rsidR="005D17A4" w:rsidRPr="005D17A4" w14:paraId="218DEA8D" w14:textId="77777777" w:rsidTr="005D17A4">
        <w:tc>
          <w:tcPr>
            <w:tcW w:w="1985" w:type="dxa"/>
          </w:tcPr>
          <w:p w14:paraId="09701E65" w14:textId="77777777" w:rsidR="005D17A4" w:rsidRPr="005D17A4" w:rsidRDefault="005D17A4" w:rsidP="001A4B15">
            <w:pPr>
              <w:tabs>
                <w:tab w:val="left" w:pos="1035"/>
              </w:tabs>
              <w:contextualSpacing/>
              <w:rPr>
                <w:rFonts w:ascii="Arial" w:hAnsi="Arial" w:cs="Arial"/>
              </w:rPr>
            </w:pPr>
            <w:r w:rsidRPr="005D17A4">
              <w:rPr>
                <w:rFonts w:ascii="Arial" w:hAnsi="Arial" w:cs="Arial"/>
              </w:rPr>
              <w:t>C/N</w:t>
            </w:r>
          </w:p>
        </w:tc>
        <w:tc>
          <w:tcPr>
            <w:tcW w:w="1134" w:type="dxa"/>
          </w:tcPr>
          <w:p w14:paraId="2D4AB99F"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26BFD3B1"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984" w:type="dxa"/>
          </w:tcPr>
          <w:p w14:paraId="2828F95B"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46F2D98C"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6D90A041"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2" w:type="dxa"/>
          </w:tcPr>
          <w:p w14:paraId="6060D9FE" w14:textId="77777777" w:rsidR="005D17A4" w:rsidRPr="005D17A4" w:rsidRDefault="005D17A4" w:rsidP="009F247F">
            <w:pPr>
              <w:contextualSpacing/>
              <w:jc w:val="center"/>
              <w:rPr>
                <w:rFonts w:ascii="Arial" w:hAnsi="Arial" w:cs="Arial"/>
              </w:rPr>
            </w:pPr>
            <w:r w:rsidRPr="005D17A4">
              <w:rPr>
                <w:rFonts w:ascii="Arial" w:hAnsi="Arial" w:cs="Arial"/>
              </w:rPr>
              <w:t>15</w:t>
            </w:r>
          </w:p>
        </w:tc>
        <w:tc>
          <w:tcPr>
            <w:tcW w:w="1843" w:type="dxa"/>
          </w:tcPr>
          <w:p w14:paraId="7E97D331" w14:textId="77777777" w:rsidR="005D17A4" w:rsidRPr="005D17A4" w:rsidRDefault="005D17A4" w:rsidP="009F247F">
            <w:pPr>
              <w:contextualSpacing/>
              <w:jc w:val="center"/>
              <w:rPr>
                <w:rFonts w:ascii="Arial" w:hAnsi="Arial" w:cs="Arial"/>
              </w:rPr>
            </w:pPr>
            <w:r w:rsidRPr="005D17A4">
              <w:rPr>
                <w:rFonts w:ascii="Arial" w:hAnsi="Arial" w:cs="Arial"/>
              </w:rPr>
              <w:t>15</w:t>
            </w:r>
          </w:p>
        </w:tc>
      </w:tr>
      <w:bookmarkEnd w:id="5"/>
    </w:tbl>
    <w:p w14:paraId="394A956D" w14:textId="77777777" w:rsidR="00641B7C" w:rsidRDefault="00641B7C" w:rsidP="00641B7C">
      <w:pPr>
        <w:ind w:firstLine="720"/>
        <w:rPr>
          <w:sz w:val="18"/>
          <w:szCs w:val="18"/>
        </w:rPr>
      </w:pPr>
    </w:p>
    <w:p w14:paraId="7D533D07" w14:textId="77777777" w:rsidR="00641B7C" w:rsidRDefault="00641B7C" w:rsidP="00641B7C">
      <w:pPr>
        <w:ind w:firstLine="720"/>
        <w:rPr>
          <w:sz w:val="18"/>
          <w:szCs w:val="18"/>
        </w:rPr>
      </w:pPr>
    </w:p>
    <w:p w14:paraId="7D592BDA" w14:textId="77777777" w:rsidR="00641B7C" w:rsidRDefault="00641B7C" w:rsidP="00641B7C">
      <w:pPr>
        <w:ind w:firstLine="720"/>
        <w:rPr>
          <w:sz w:val="18"/>
          <w:szCs w:val="18"/>
        </w:rPr>
      </w:pPr>
    </w:p>
    <w:p w14:paraId="60F44334" w14:textId="77777777" w:rsidR="00641B7C" w:rsidRDefault="00641B7C" w:rsidP="00641B7C">
      <w:pPr>
        <w:ind w:firstLine="720"/>
        <w:rPr>
          <w:sz w:val="18"/>
          <w:szCs w:val="18"/>
        </w:rPr>
      </w:pPr>
    </w:p>
    <w:p w14:paraId="15C30938" w14:textId="77777777" w:rsidR="00641B7C" w:rsidRDefault="00641B7C" w:rsidP="00641B7C">
      <w:pPr>
        <w:ind w:firstLine="720"/>
        <w:rPr>
          <w:sz w:val="18"/>
          <w:szCs w:val="18"/>
        </w:rPr>
      </w:pPr>
    </w:p>
    <w:p w14:paraId="76456F53" w14:textId="77777777" w:rsidR="00641B7C" w:rsidRDefault="00641B7C" w:rsidP="00641B7C">
      <w:pPr>
        <w:ind w:firstLine="720"/>
        <w:rPr>
          <w:sz w:val="18"/>
          <w:szCs w:val="18"/>
        </w:rPr>
      </w:pPr>
    </w:p>
    <w:p w14:paraId="60CCB604" w14:textId="77777777" w:rsidR="00641B7C" w:rsidRDefault="00641B7C" w:rsidP="00641B7C">
      <w:pPr>
        <w:spacing w:after="160" w:line="259" w:lineRule="auto"/>
        <w:rPr>
          <w:rFonts w:ascii="Times New Roman" w:eastAsia="Calibri" w:hAnsi="Times New Roman"/>
          <w:b/>
          <w:bCs/>
          <w:sz w:val="24"/>
          <w:szCs w:val="24"/>
        </w:rPr>
      </w:pPr>
      <w:bookmarkStart w:id="7" w:name="_Toc161755956"/>
    </w:p>
    <w:p w14:paraId="286FA2D4" w14:textId="77777777" w:rsidR="00641B7C" w:rsidRDefault="00641B7C" w:rsidP="00641B7C">
      <w:pPr>
        <w:spacing w:after="160" w:line="259" w:lineRule="auto"/>
        <w:rPr>
          <w:rFonts w:ascii="Times New Roman" w:eastAsia="Calibri" w:hAnsi="Times New Roman"/>
          <w:b/>
          <w:bCs/>
          <w:sz w:val="24"/>
          <w:szCs w:val="24"/>
        </w:rPr>
      </w:pPr>
    </w:p>
    <w:p w14:paraId="5DC65DA7" w14:textId="77777777" w:rsidR="00641B7C" w:rsidRDefault="00641B7C" w:rsidP="00641B7C">
      <w:pPr>
        <w:spacing w:after="160" w:line="259" w:lineRule="auto"/>
        <w:rPr>
          <w:rFonts w:ascii="Times New Roman" w:eastAsia="Calibri" w:hAnsi="Times New Roman"/>
          <w:b/>
          <w:bCs/>
          <w:sz w:val="24"/>
          <w:szCs w:val="24"/>
        </w:rPr>
      </w:pPr>
    </w:p>
    <w:p w14:paraId="2C854433" w14:textId="62107E07" w:rsidR="005D17A4" w:rsidRPr="005D17A4" w:rsidRDefault="005D17A4" w:rsidP="005D17A4">
      <w:pPr>
        <w:widowControl w:val="0"/>
        <w:autoSpaceDE w:val="0"/>
        <w:autoSpaceDN w:val="0"/>
        <w:spacing w:line="360" w:lineRule="auto"/>
        <w:contextualSpacing/>
        <w:jc w:val="both"/>
        <w:rPr>
          <w:rFonts w:ascii="Arial" w:hAnsi="Arial" w:cs="Arial"/>
          <w:b/>
          <w:bCs/>
          <w:kern w:val="2"/>
          <w:lang w:bidi="en-US"/>
          <w14:ligatures w14:val="standardContextual"/>
        </w:rPr>
      </w:pPr>
      <w:r w:rsidRPr="00C00659">
        <w:rPr>
          <w:rFonts w:ascii="Arial" w:eastAsia="Calibri" w:hAnsi="Arial" w:cs="Arial"/>
          <w:b/>
          <w:bCs/>
          <w:highlight w:val="yellow"/>
        </w:rPr>
        <w:lastRenderedPageBreak/>
        <w:t>Table 5</w:t>
      </w:r>
      <w:r w:rsidR="00944265" w:rsidRPr="00C00659">
        <w:rPr>
          <w:rFonts w:ascii="Arial" w:eastAsia="Calibri" w:hAnsi="Arial" w:cs="Arial"/>
          <w:b/>
          <w:bCs/>
          <w:highlight w:val="yellow"/>
        </w:rPr>
        <w:t xml:space="preserve">. </w:t>
      </w:r>
      <w:r w:rsidRPr="00C00659">
        <w:rPr>
          <w:rFonts w:ascii="Arial" w:eastAsia="Calibri" w:hAnsi="Arial" w:cs="Arial"/>
          <w:b/>
          <w:bCs/>
          <w:highlight w:val="yellow"/>
        </w:rPr>
        <w:t>Final soil chemical properties at Nsapor after harvesting of maize</w:t>
      </w:r>
    </w:p>
    <w:tbl>
      <w:tblPr>
        <w:tblStyle w:val="TableGrid3"/>
        <w:tblW w:w="14317"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1843"/>
        <w:gridCol w:w="1984"/>
        <w:gridCol w:w="1843"/>
        <w:gridCol w:w="1843"/>
        <w:gridCol w:w="1842"/>
        <w:gridCol w:w="1843"/>
      </w:tblGrid>
      <w:tr w:rsidR="005D17A4" w:rsidRPr="005D17A4" w14:paraId="2DB80343" w14:textId="77777777" w:rsidTr="001A4B15">
        <w:trPr>
          <w:trHeight w:val="296"/>
        </w:trPr>
        <w:tc>
          <w:tcPr>
            <w:tcW w:w="1985" w:type="dxa"/>
            <w:vMerge w:val="restart"/>
            <w:tcBorders>
              <w:top w:val="single" w:sz="4" w:space="0" w:color="auto"/>
              <w:bottom w:val="nil"/>
            </w:tcBorders>
          </w:tcPr>
          <w:bookmarkEnd w:id="7"/>
          <w:p w14:paraId="3BC2D54A" w14:textId="77777777" w:rsidR="005D17A4" w:rsidRPr="005D17A4" w:rsidRDefault="005D17A4" w:rsidP="001A4B15">
            <w:pPr>
              <w:contextualSpacing/>
              <w:rPr>
                <w:rFonts w:ascii="Arial" w:hAnsi="Arial" w:cs="Arial"/>
                <w:b/>
                <w:bCs/>
              </w:rPr>
            </w:pPr>
            <w:r w:rsidRPr="005D17A4">
              <w:rPr>
                <w:rFonts w:ascii="Arial" w:hAnsi="Arial" w:cs="Arial"/>
                <w:b/>
                <w:bCs/>
              </w:rPr>
              <w:t>Parameters</w:t>
            </w:r>
          </w:p>
        </w:tc>
        <w:tc>
          <w:tcPr>
            <w:tcW w:w="12332" w:type="dxa"/>
            <w:gridSpan w:val="7"/>
            <w:tcBorders>
              <w:top w:val="single" w:sz="4" w:space="0" w:color="auto"/>
              <w:bottom w:val="single" w:sz="4" w:space="0" w:color="auto"/>
            </w:tcBorders>
          </w:tcPr>
          <w:p w14:paraId="3C7D4B21" w14:textId="77777777" w:rsidR="005D17A4" w:rsidRPr="005D17A4" w:rsidRDefault="005D17A4" w:rsidP="001A4B15">
            <w:pPr>
              <w:contextualSpacing/>
              <w:rPr>
                <w:rFonts w:ascii="Arial" w:hAnsi="Arial" w:cs="Arial"/>
                <w:b/>
                <w:bCs/>
              </w:rPr>
            </w:pPr>
            <w:r w:rsidRPr="005D17A4">
              <w:rPr>
                <w:rFonts w:ascii="Arial" w:hAnsi="Arial" w:cs="Arial"/>
                <w:b/>
                <w:bCs/>
              </w:rPr>
              <w:t xml:space="preserve">                                                                        Treatments</w:t>
            </w:r>
          </w:p>
        </w:tc>
      </w:tr>
      <w:tr w:rsidR="005D17A4" w:rsidRPr="005D17A4" w14:paraId="6BCDD22C" w14:textId="77777777" w:rsidTr="001A4B15">
        <w:trPr>
          <w:trHeight w:val="128"/>
        </w:trPr>
        <w:tc>
          <w:tcPr>
            <w:tcW w:w="1985" w:type="dxa"/>
            <w:vMerge/>
            <w:tcBorders>
              <w:top w:val="nil"/>
              <w:bottom w:val="single" w:sz="4" w:space="0" w:color="auto"/>
            </w:tcBorders>
          </w:tcPr>
          <w:p w14:paraId="0761E5C1" w14:textId="77777777" w:rsidR="005D17A4" w:rsidRPr="005D17A4" w:rsidRDefault="005D17A4" w:rsidP="001A4B15">
            <w:pPr>
              <w:contextualSpacing/>
              <w:rPr>
                <w:rFonts w:ascii="Arial" w:hAnsi="Arial" w:cs="Arial"/>
                <w:b/>
                <w:bCs/>
              </w:rPr>
            </w:pPr>
          </w:p>
        </w:tc>
        <w:tc>
          <w:tcPr>
            <w:tcW w:w="1134" w:type="dxa"/>
            <w:tcBorders>
              <w:top w:val="single" w:sz="4" w:space="0" w:color="auto"/>
              <w:bottom w:val="single" w:sz="4" w:space="0" w:color="auto"/>
            </w:tcBorders>
          </w:tcPr>
          <w:p w14:paraId="51B7CA5F" w14:textId="77777777" w:rsidR="005D17A4" w:rsidRPr="005D17A4" w:rsidRDefault="005D17A4" w:rsidP="001A4B15">
            <w:pPr>
              <w:contextualSpacing/>
              <w:jc w:val="center"/>
              <w:rPr>
                <w:rFonts w:ascii="Arial" w:hAnsi="Arial" w:cs="Arial"/>
                <w:b/>
                <w:bCs/>
              </w:rPr>
            </w:pPr>
            <w:r w:rsidRPr="005D17A4">
              <w:rPr>
                <w:rFonts w:ascii="Arial" w:hAnsi="Arial" w:cs="Arial"/>
                <w:b/>
                <w:bCs/>
              </w:rPr>
              <w:t>Control</w:t>
            </w:r>
          </w:p>
        </w:tc>
        <w:tc>
          <w:tcPr>
            <w:tcW w:w="1843" w:type="dxa"/>
            <w:tcBorders>
              <w:top w:val="single" w:sz="4" w:space="0" w:color="auto"/>
              <w:bottom w:val="single" w:sz="4" w:space="0" w:color="auto"/>
            </w:tcBorders>
          </w:tcPr>
          <w:p w14:paraId="12DB6D44" w14:textId="5DE42A6B" w:rsidR="005D17A4" w:rsidRPr="005D17A4" w:rsidRDefault="005D17A4" w:rsidP="001A4B15">
            <w:pPr>
              <w:contextualSpacing/>
              <w:jc w:val="center"/>
              <w:rPr>
                <w:rFonts w:ascii="Arial" w:hAnsi="Arial" w:cs="Arial"/>
                <w:b/>
                <w:bCs/>
              </w:rPr>
            </w:pPr>
            <w:r w:rsidRPr="005D17A4">
              <w:rPr>
                <w:rFonts w:ascii="Arial" w:hAnsi="Arial" w:cs="Arial"/>
                <w:b/>
                <w:bCs/>
              </w:rPr>
              <w:t>Granule NPK &amp; Urea (120-40-40) 200</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984" w:type="dxa"/>
            <w:tcBorders>
              <w:top w:val="single" w:sz="4" w:space="0" w:color="auto"/>
              <w:bottom w:val="single" w:sz="4" w:space="0" w:color="auto"/>
            </w:tcBorders>
          </w:tcPr>
          <w:p w14:paraId="06FB7983" w14:textId="72F79C4A" w:rsidR="005D17A4" w:rsidRPr="005D17A4" w:rsidRDefault="005D17A4" w:rsidP="001A4B15">
            <w:pPr>
              <w:contextualSpacing/>
              <w:jc w:val="center"/>
              <w:rPr>
                <w:rFonts w:ascii="Arial" w:hAnsi="Arial" w:cs="Arial"/>
                <w:b/>
                <w:bCs/>
              </w:rPr>
            </w:pPr>
            <w:r w:rsidRPr="005D17A4">
              <w:rPr>
                <w:rFonts w:ascii="Arial" w:hAnsi="Arial" w:cs="Arial"/>
                <w:b/>
                <w:bCs/>
              </w:rPr>
              <w:t>Briquette NPK &amp; Urea (121-58.7-59) 230.4</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3" w:type="dxa"/>
            <w:tcBorders>
              <w:top w:val="single" w:sz="4" w:space="0" w:color="auto"/>
              <w:bottom w:val="single" w:sz="4" w:space="0" w:color="auto"/>
            </w:tcBorders>
          </w:tcPr>
          <w:p w14:paraId="787145B7" w14:textId="43474DEC" w:rsidR="005D17A4" w:rsidRPr="005D17A4" w:rsidRDefault="005D17A4" w:rsidP="001A4B15">
            <w:pPr>
              <w:contextualSpacing/>
              <w:jc w:val="center"/>
              <w:rPr>
                <w:rFonts w:ascii="Arial" w:hAnsi="Arial" w:cs="Arial"/>
                <w:b/>
                <w:bCs/>
              </w:rPr>
            </w:pPr>
            <w:r w:rsidRPr="005D17A4">
              <w:rPr>
                <w:rFonts w:ascii="Arial" w:hAnsi="Arial" w:cs="Arial"/>
                <w:b/>
                <w:bCs/>
              </w:rPr>
              <w:t>Briquette NPK&amp; Urea (114-44-44) 172.8</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3" w:type="dxa"/>
            <w:tcBorders>
              <w:top w:val="single" w:sz="4" w:space="0" w:color="auto"/>
              <w:bottom w:val="single" w:sz="4" w:space="0" w:color="auto"/>
            </w:tcBorders>
          </w:tcPr>
          <w:p w14:paraId="2C8C875A" w14:textId="313C3D66" w:rsidR="005D17A4" w:rsidRPr="005D17A4" w:rsidRDefault="005D17A4" w:rsidP="001A4B15">
            <w:pPr>
              <w:contextualSpacing/>
              <w:jc w:val="center"/>
              <w:rPr>
                <w:rFonts w:ascii="Arial" w:hAnsi="Arial" w:cs="Arial"/>
                <w:b/>
                <w:bCs/>
              </w:rPr>
            </w:pPr>
            <w:r w:rsidRPr="005D17A4">
              <w:rPr>
                <w:rFonts w:ascii="Arial" w:hAnsi="Arial" w:cs="Arial"/>
                <w:b/>
                <w:bCs/>
              </w:rPr>
              <w:t>Briquette NPK&amp; Urea (91-59-59) 230.4</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2" w:type="dxa"/>
            <w:tcBorders>
              <w:top w:val="single" w:sz="4" w:space="0" w:color="auto"/>
              <w:bottom w:val="single" w:sz="4" w:space="0" w:color="auto"/>
            </w:tcBorders>
          </w:tcPr>
          <w:p w14:paraId="26314391" w14:textId="0C6EBB23" w:rsidR="005D17A4" w:rsidRPr="005D17A4" w:rsidRDefault="005D17A4" w:rsidP="001A4B15">
            <w:pPr>
              <w:contextualSpacing/>
              <w:jc w:val="center"/>
              <w:rPr>
                <w:rFonts w:ascii="Arial" w:hAnsi="Arial" w:cs="Arial"/>
                <w:b/>
                <w:bCs/>
              </w:rPr>
            </w:pPr>
            <w:r w:rsidRPr="005D17A4">
              <w:rPr>
                <w:rFonts w:ascii="Arial" w:hAnsi="Arial" w:cs="Arial"/>
                <w:b/>
                <w:bCs/>
              </w:rPr>
              <w:t>Briquette NPK&amp; Urea (76-29-29) 115.2</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c>
          <w:tcPr>
            <w:tcW w:w="1843" w:type="dxa"/>
            <w:tcBorders>
              <w:top w:val="single" w:sz="4" w:space="0" w:color="auto"/>
              <w:bottom w:val="single" w:sz="4" w:space="0" w:color="auto"/>
            </w:tcBorders>
          </w:tcPr>
          <w:p w14:paraId="4AF9CA2C" w14:textId="5CCB8EC5" w:rsidR="005D17A4" w:rsidRPr="005D17A4" w:rsidRDefault="005D17A4" w:rsidP="001A4B15">
            <w:pPr>
              <w:contextualSpacing/>
              <w:jc w:val="center"/>
              <w:rPr>
                <w:rFonts w:ascii="Arial" w:hAnsi="Arial" w:cs="Arial"/>
                <w:b/>
                <w:bCs/>
              </w:rPr>
            </w:pPr>
            <w:r w:rsidRPr="005D17A4">
              <w:rPr>
                <w:rFonts w:ascii="Arial" w:hAnsi="Arial" w:cs="Arial"/>
                <w:b/>
                <w:bCs/>
              </w:rPr>
              <w:t>Briquette NPK&amp; Urea (31-29-29) 115.2</w:t>
            </w:r>
            <w:r w:rsidR="009F247F">
              <w:rPr>
                <w:rFonts w:ascii="Arial" w:hAnsi="Arial" w:cs="Arial"/>
                <w:b/>
                <w:bCs/>
              </w:rPr>
              <w:t xml:space="preserve"> </w:t>
            </w:r>
            <w:r w:rsidR="009F247F" w:rsidRPr="00440655">
              <w:rPr>
                <w:rFonts w:ascii="Arial" w:hAnsi="Arial" w:cs="Arial"/>
                <w:b/>
                <w:bCs/>
                <w:highlight w:val="yellow"/>
              </w:rPr>
              <w:t>kg ha</w:t>
            </w:r>
            <w:r w:rsidR="009F247F" w:rsidRPr="00440655">
              <w:rPr>
                <w:rFonts w:ascii="Arial" w:hAnsi="Arial" w:cs="Arial"/>
                <w:b/>
                <w:bCs/>
                <w:highlight w:val="yellow"/>
                <w:vertAlign w:val="superscript"/>
              </w:rPr>
              <w:t>-1</w:t>
            </w:r>
          </w:p>
        </w:tc>
      </w:tr>
      <w:tr w:rsidR="005D17A4" w:rsidRPr="005D17A4" w14:paraId="6C724F9C" w14:textId="77777777" w:rsidTr="001A4B15">
        <w:tc>
          <w:tcPr>
            <w:tcW w:w="1985" w:type="dxa"/>
            <w:tcBorders>
              <w:top w:val="single" w:sz="4" w:space="0" w:color="auto"/>
            </w:tcBorders>
          </w:tcPr>
          <w:p w14:paraId="5204DA2B" w14:textId="77777777" w:rsidR="005D17A4" w:rsidRPr="005D17A4" w:rsidRDefault="005D17A4" w:rsidP="005D17A4">
            <w:pPr>
              <w:contextualSpacing/>
              <w:rPr>
                <w:rFonts w:ascii="Arial" w:hAnsi="Arial" w:cs="Arial"/>
              </w:rPr>
            </w:pPr>
            <w:r w:rsidRPr="005D17A4">
              <w:rPr>
                <w:rFonts w:ascii="Arial" w:hAnsi="Arial" w:cs="Arial"/>
              </w:rPr>
              <w:t>pH (1:2.5 H</w:t>
            </w:r>
            <w:r w:rsidRPr="005D17A4">
              <w:rPr>
                <w:rFonts w:ascii="Arial" w:hAnsi="Arial" w:cs="Arial"/>
                <w:vertAlign w:val="subscript"/>
              </w:rPr>
              <w:t>2</w:t>
            </w:r>
            <w:r w:rsidRPr="005D17A4">
              <w:rPr>
                <w:rFonts w:ascii="Arial" w:hAnsi="Arial" w:cs="Arial"/>
              </w:rPr>
              <w:t>O)</w:t>
            </w:r>
          </w:p>
        </w:tc>
        <w:tc>
          <w:tcPr>
            <w:tcW w:w="1134" w:type="dxa"/>
            <w:tcBorders>
              <w:top w:val="single" w:sz="4" w:space="0" w:color="auto"/>
            </w:tcBorders>
          </w:tcPr>
          <w:p w14:paraId="1F328AF3" w14:textId="6CACD5AF"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71095242" w14:textId="3D8E7B9B" w:rsidR="005D17A4" w:rsidRPr="005D17A4" w:rsidRDefault="005D17A4" w:rsidP="005D17A4">
            <w:pPr>
              <w:contextualSpacing/>
              <w:jc w:val="center"/>
              <w:rPr>
                <w:rFonts w:ascii="Arial" w:hAnsi="Arial" w:cs="Arial"/>
              </w:rPr>
            </w:pPr>
            <w:r w:rsidRPr="005D17A4">
              <w:rPr>
                <w:rFonts w:ascii="Arial" w:hAnsi="Arial" w:cs="Arial"/>
              </w:rPr>
              <w:t>5.5</w:t>
            </w:r>
          </w:p>
        </w:tc>
        <w:tc>
          <w:tcPr>
            <w:tcW w:w="1984" w:type="dxa"/>
            <w:tcBorders>
              <w:top w:val="single" w:sz="4" w:space="0" w:color="auto"/>
            </w:tcBorders>
          </w:tcPr>
          <w:p w14:paraId="0DA5A0D8" w14:textId="1E28CBD7"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2618437B" w14:textId="1E20CB7A"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0BE18454" w14:textId="6B2ACF06" w:rsidR="005D17A4" w:rsidRPr="005D17A4" w:rsidRDefault="005D17A4" w:rsidP="005D17A4">
            <w:pPr>
              <w:contextualSpacing/>
              <w:jc w:val="center"/>
              <w:rPr>
                <w:rFonts w:ascii="Arial" w:hAnsi="Arial" w:cs="Arial"/>
              </w:rPr>
            </w:pPr>
            <w:r w:rsidRPr="005D17A4">
              <w:rPr>
                <w:rFonts w:ascii="Arial" w:hAnsi="Arial" w:cs="Arial"/>
              </w:rPr>
              <w:t>5.5</w:t>
            </w:r>
          </w:p>
        </w:tc>
        <w:tc>
          <w:tcPr>
            <w:tcW w:w="1842" w:type="dxa"/>
            <w:tcBorders>
              <w:top w:val="single" w:sz="4" w:space="0" w:color="auto"/>
            </w:tcBorders>
          </w:tcPr>
          <w:p w14:paraId="659E384B" w14:textId="645512DD"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01E294C7" w14:textId="2EC18187" w:rsidR="005D17A4" w:rsidRPr="005D17A4" w:rsidRDefault="005D17A4" w:rsidP="005D17A4">
            <w:pPr>
              <w:contextualSpacing/>
              <w:jc w:val="center"/>
              <w:rPr>
                <w:rFonts w:ascii="Arial" w:hAnsi="Arial" w:cs="Arial"/>
              </w:rPr>
            </w:pPr>
            <w:r w:rsidRPr="005D17A4">
              <w:rPr>
                <w:rFonts w:ascii="Arial" w:hAnsi="Arial" w:cs="Arial"/>
              </w:rPr>
              <w:t>5.5</w:t>
            </w:r>
          </w:p>
        </w:tc>
      </w:tr>
      <w:tr w:rsidR="005D17A4" w:rsidRPr="005D17A4" w14:paraId="10DC4B5E" w14:textId="77777777" w:rsidTr="001A4B15">
        <w:tc>
          <w:tcPr>
            <w:tcW w:w="1985" w:type="dxa"/>
          </w:tcPr>
          <w:p w14:paraId="78651226" w14:textId="77777777" w:rsidR="005D17A4" w:rsidRPr="005D17A4" w:rsidRDefault="005D17A4" w:rsidP="005D17A4">
            <w:pPr>
              <w:contextualSpacing/>
              <w:rPr>
                <w:rFonts w:ascii="Arial" w:hAnsi="Arial" w:cs="Arial"/>
              </w:rPr>
            </w:pPr>
            <w:r w:rsidRPr="005D17A4">
              <w:rPr>
                <w:rFonts w:ascii="Arial" w:hAnsi="Arial" w:cs="Arial"/>
              </w:rPr>
              <w:t>Organic C (%)</w:t>
            </w:r>
          </w:p>
        </w:tc>
        <w:tc>
          <w:tcPr>
            <w:tcW w:w="1134" w:type="dxa"/>
          </w:tcPr>
          <w:p w14:paraId="58764419" w14:textId="5092D855" w:rsidR="005D17A4" w:rsidRPr="005D17A4" w:rsidRDefault="005D17A4" w:rsidP="005D17A4">
            <w:pPr>
              <w:contextualSpacing/>
              <w:jc w:val="center"/>
              <w:rPr>
                <w:rFonts w:ascii="Arial" w:hAnsi="Arial" w:cs="Arial"/>
              </w:rPr>
            </w:pPr>
            <w:r w:rsidRPr="005D17A4">
              <w:rPr>
                <w:rFonts w:ascii="Arial" w:hAnsi="Arial" w:cs="Arial"/>
              </w:rPr>
              <w:t>0.87</w:t>
            </w:r>
          </w:p>
        </w:tc>
        <w:tc>
          <w:tcPr>
            <w:tcW w:w="1843" w:type="dxa"/>
          </w:tcPr>
          <w:p w14:paraId="4C1F5C81" w14:textId="2C8208E0" w:rsidR="005D17A4" w:rsidRPr="005D17A4" w:rsidRDefault="005D17A4" w:rsidP="005D17A4">
            <w:pPr>
              <w:contextualSpacing/>
              <w:jc w:val="center"/>
              <w:rPr>
                <w:rFonts w:ascii="Arial" w:hAnsi="Arial" w:cs="Arial"/>
              </w:rPr>
            </w:pPr>
            <w:r w:rsidRPr="005D17A4">
              <w:rPr>
                <w:rFonts w:ascii="Arial" w:hAnsi="Arial" w:cs="Arial"/>
              </w:rPr>
              <w:t>0.82</w:t>
            </w:r>
          </w:p>
        </w:tc>
        <w:tc>
          <w:tcPr>
            <w:tcW w:w="1984" w:type="dxa"/>
          </w:tcPr>
          <w:p w14:paraId="6A2CB081" w14:textId="139B449B" w:rsidR="005D17A4" w:rsidRPr="005D17A4" w:rsidRDefault="005D17A4" w:rsidP="005D17A4">
            <w:pPr>
              <w:contextualSpacing/>
              <w:jc w:val="center"/>
              <w:rPr>
                <w:rFonts w:ascii="Arial" w:hAnsi="Arial" w:cs="Arial"/>
              </w:rPr>
            </w:pPr>
            <w:r w:rsidRPr="005D17A4">
              <w:rPr>
                <w:rFonts w:ascii="Arial" w:hAnsi="Arial" w:cs="Arial"/>
              </w:rPr>
              <w:t>0.88</w:t>
            </w:r>
          </w:p>
        </w:tc>
        <w:tc>
          <w:tcPr>
            <w:tcW w:w="1843" w:type="dxa"/>
          </w:tcPr>
          <w:p w14:paraId="4F7C376E" w14:textId="46A3AFDF" w:rsidR="005D17A4" w:rsidRPr="005D17A4" w:rsidRDefault="005D17A4" w:rsidP="005D17A4">
            <w:pPr>
              <w:contextualSpacing/>
              <w:jc w:val="center"/>
              <w:rPr>
                <w:rFonts w:ascii="Arial" w:hAnsi="Arial" w:cs="Arial"/>
              </w:rPr>
            </w:pPr>
            <w:r w:rsidRPr="005D17A4">
              <w:rPr>
                <w:rFonts w:ascii="Arial" w:hAnsi="Arial" w:cs="Arial"/>
              </w:rPr>
              <w:t>0.81</w:t>
            </w:r>
          </w:p>
        </w:tc>
        <w:tc>
          <w:tcPr>
            <w:tcW w:w="1843" w:type="dxa"/>
          </w:tcPr>
          <w:p w14:paraId="6B674662" w14:textId="109ED562" w:rsidR="005D17A4" w:rsidRPr="005D17A4" w:rsidRDefault="005D17A4" w:rsidP="005D17A4">
            <w:pPr>
              <w:contextualSpacing/>
              <w:jc w:val="center"/>
              <w:rPr>
                <w:rFonts w:ascii="Arial" w:hAnsi="Arial" w:cs="Arial"/>
              </w:rPr>
            </w:pPr>
            <w:r w:rsidRPr="005D17A4">
              <w:rPr>
                <w:rFonts w:ascii="Arial" w:hAnsi="Arial" w:cs="Arial"/>
              </w:rPr>
              <w:t>0.88</w:t>
            </w:r>
          </w:p>
        </w:tc>
        <w:tc>
          <w:tcPr>
            <w:tcW w:w="1842" w:type="dxa"/>
          </w:tcPr>
          <w:p w14:paraId="74040C1E" w14:textId="386CBC23" w:rsidR="005D17A4" w:rsidRPr="005D17A4" w:rsidRDefault="005D17A4" w:rsidP="005D17A4">
            <w:pPr>
              <w:contextualSpacing/>
              <w:jc w:val="center"/>
              <w:rPr>
                <w:rFonts w:ascii="Arial" w:hAnsi="Arial" w:cs="Arial"/>
              </w:rPr>
            </w:pPr>
            <w:r w:rsidRPr="005D17A4">
              <w:rPr>
                <w:rFonts w:ascii="Arial" w:hAnsi="Arial" w:cs="Arial"/>
              </w:rPr>
              <w:t>0.87</w:t>
            </w:r>
          </w:p>
        </w:tc>
        <w:tc>
          <w:tcPr>
            <w:tcW w:w="1843" w:type="dxa"/>
          </w:tcPr>
          <w:p w14:paraId="5A51D81A" w14:textId="3E7A52A5" w:rsidR="005D17A4" w:rsidRPr="005D17A4" w:rsidRDefault="005D17A4" w:rsidP="005D17A4">
            <w:pPr>
              <w:contextualSpacing/>
              <w:jc w:val="center"/>
              <w:rPr>
                <w:rFonts w:ascii="Arial" w:hAnsi="Arial" w:cs="Arial"/>
              </w:rPr>
            </w:pPr>
            <w:r w:rsidRPr="005D17A4">
              <w:rPr>
                <w:rFonts w:ascii="Arial" w:hAnsi="Arial" w:cs="Arial"/>
              </w:rPr>
              <w:t>0.81</w:t>
            </w:r>
          </w:p>
        </w:tc>
      </w:tr>
      <w:tr w:rsidR="005D17A4" w:rsidRPr="005D17A4" w14:paraId="478A8945" w14:textId="77777777" w:rsidTr="001A4B15">
        <w:tc>
          <w:tcPr>
            <w:tcW w:w="1985" w:type="dxa"/>
          </w:tcPr>
          <w:p w14:paraId="6E441A88" w14:textId="77777777" w:rsidR="005D17A4" w:rsidRPr="005D17A4" w:rsidRDefault="005D17A4" w:rsidP="005D17A4">
            <w:pPr>
              <w:contextualSpacing/>
              <w:rPr>
                <w:rFonts w:ascii="Arial" w:hAnsi="Arial" w:cs="Arial"/>
              </w:rPr>
            </w:pPr>
            <w:r w:rsidRPr="005D17A4">
              <w:rPr>
                <w:rFonts w:ascii="Arial" w:hAnsi="Arial" w:cs="Arial"/>
              </w:rPr>
              <w:t>Total N (%)</w:t>
            </w:r>
          </w:p>
        </w:tc>
        <w:tc>
          <w:tcPr>
            <w:tcW w:w="1134" w:type="dxa"/>
          </w:tcPr>
          <w:p w14:paraId="45BAB4E3" w14:textId="75C16C2A" w:rsidR="005D17A4" w:rsidRPr="005D17A4" w:rsidRDefault="005D17A4" w:rsidP="005D17A4">
            <w:pPr>
              <w:contextualSpacing/>
              <w:jc w:val="center"/>
              <w:rPr>
                <w:rFonts w:ascii="Arial" w:hAnsi="Arial" w:cs="Arial"/>
              </w:rPr>
            </w:pPr>
            <w:r w:rsidRPr="005D17A4">
              <w:rPr>
                <w:rFonts w:ascii="Arial" w:hAnsi="Arial" w:cs="Arial"/>
              </w:rPr>
              <w:t>0.06</w:t>
            </w:r>
          </w:p>
        </w:tc>
        <w:tc>
          <w:tcPr>
            <w:tcW w:w="1843" w:type="dxa"/>
          </w:tcPr>
          <w:p w14:paraId="26BA4E72" w14:textId="185F7A80" w:rsidR="005D17A4" w:rsidRPr="005D17A4" w:rsidRDefault="005D17A4" w:rsidP="005D17A4">
            <w:pPr>
              <w:contextualSpacing/>
              <w:jc w:val="center"/>
              <w:rPr>
                <w:rFonts w:ascii="Arial" w:hAnsi="Arial" w:cs="Arial"/>
              </w:rPr>
            </w:pPr>
            <w:r w:rsidRPr="005D17A4">
              <w:rPr>
                <w:rFonts w:ascii="Arial" w:hAnsi="Arial" w:cs="Arial"/>
              </w:rPr>
              <w:t>0.08</w:t>
            </w:r>
          </w:p>
        </w:tc>
        <w:tc>
          <w:tcPr>
            <w:tcW w:w="1984" w:type="dxa"/>
          </w:tcPr>
          <w:p w14:paraId="5460270E" w14:textId="21EB4210" w:rsidR="005D17A4" w:rsidRPr="005D17A4" w:rsidRDefault="005D17A4" w:rsidP="005D17A4">
            <w:pPr>
              <w:contextualSpacing/>
              <w:jc w:val="center"/>
              <w:rPr>
                <w:rFonts w:ascii="Arial" w:hAnsi="Arial" w:cs="Arial"/>
              </w:rPr>
            </w:pPr>
            <w:r w:rsidRPr="005D17A4">
              <w:rPr>
                <w:rFonts w:ascii="Arial" w:hAnsi="Arial" w:cs="Arial"/>
              </w:rPr>
              <w:t>0.07</w:t>
            </w:r>
          </w:p>
        </w:tc>
        <w:tc>
          <w:tcPr>
            <w:tcW w:w="1843" w:type="dxa"/>
          </w:tcPr>
          <w:p w14:paraId="07C73468" w14:textId="5952372D" w:rsidR="005D17A4" w:rsidRPr="005D17A4" w:rsidRDefault="005D17A4" w:rsidP="005D17A4">
            <w:pPr>
              <w:contextualSpacing/>
              <w:jc w:val="center"/>
              <w:rPr>
                <w:rFonts w:ascii="Arial" w:hAnsi="Arial" w:cs="Arial"/>
              </w:rPr>
            </w:pPr>
            <w:r w:rsidRPr="005D17A4">
              <w:rPr>
                <w:rFonts w:ascii="Arial" w:hAnsi="Arial" w:cs="Arial"/>
              </w:rPr>
              <w:t>0.05</w:t>
            </w:r>
          </w:p>
        </w:tc>
        <w:tc>
          <w:tcPr>
            <w:tcW w:w="1843" w:type="dxa"/>
          </w:tcPr>
          <w:p w14:paraId="003237FA" w14:textId="421BB19C" w:rsidR="005D17A4" w:rsidRPr="005D17A4" w:rsidRDefault="005D17A4" w:rsidP="005D17A4">
            <w:pPr>
              <w:contextualSpacing/>
              <w:jc w:val="center"/>
              <w:rPr>
                <w:rFonts w:ascii="Arial" w:hAnsi="Arial" w:cs="Arial"/>
              </w:rPr>
            </w:pPr>
            <w:r w:rsidRPr="005D17A4">
              <w:rPr>
                <w:rFonts w:ascii="Arial" w:hAnsi="Arial" w:cs="Arial"/>
              </w:rPr>
              <w:t>0.06</w:t>
            </w:r>
          </w:p>
        </w:tc>
        <w:tc>
          <w:tcPr>
            <w:tcW w:w="1842" w:type="dxa"/>
          </w:tcPr>
          <w:p w14:paraId="219A1C28" w14:textId="3B79759B" w:rsidR="005D17A4" w:rsidRPr="005D17A4" w:rsidRDefault="005D17A4" w:rsidP="005D17A4">
            <w:pPr>
              <w:contextualSpacing/>
              <w:jc w:val="center"/>
              <w:rPr>
                <w:rFonts w:ascii="Arial" w:hAnsi="Arial" w:cs="Arial"/>
              </w:rPr>
            </w:pPr>
            <w:r w:rsidRPr="005D17A4">
              <w:rPr>
                <w:rFonts w:ascii="Arial" w:hAnsi="Arial" w:cs="Arial"/>
              </w:rPr>
              <w:t>0.07</w:t>
            </w:r>
          </w:p>
        </w:tc>
        <w:tc>
          <w:tcPr>
            <w:tcW w:w="1843" w:type="dxa"/>
          </w:tcPr>
          <w:p w14:paraId="3036F610" w14:textId="3DA17D2C" w:rsidR="005D17A4" w:rsidRPr="005D17A4" w:rsidRDefault="005D17A4" w:rsidP="005D17A4">
            <w:pPr>
              <w:contextualSpacing/>
              <w:jc w:val="center"/>
              <w:rPr>
                <w:rFonts w:ascii="Arial" w:hAnsi="Arial" w:cs="Arial"/>
              </w:rPr>
            </w:pPr>
            <w:r w:rsidRPr="005D17A4">
              <w:rPr>
                <w:rFonts w:ascii="Arial" w:hAnsi="Arial" w:cs="Arial"/>
              </w:rPr>
              <w:t>0.07</w:t>
            </w:r>
          </w:p>
        </w:tc>
      </w:tr>
      <w:tr w:rsidR="005D17A4" w:rsidRPr="005D17A4" w14:paraId="09EA960F" w14:textId="77777777" w:rsidTr="001A4B15">
        <w:tc>
          <w:tcPr>
            <w:tcW w:w="1985" w:type="dxa"/>
          </w:tcPr>
          <w:p w14:paraId="28C10485" w14:textId="77777777" w:rsidR="005D17A4" w:rsidRPr="005D17A4" w:rsidRDefault="005D17A4" w:rsidP="005D17A4">
            <w:pPr>
              <w:contextualSpacing/>
              <w:rPr>
                <w:rFonts w:ascii="Arial" w:hAnsi="Arial" w:cs="Arial"/>
              </w:rPr>
            </w:pPr>
            <w:r w:rsidRPr="005D17A4">
              <w:rPr>
                <w:rFonts w:ascii="Arial" w:hAnsi="Arial" w:cs="Arial"/>
              </w:rPr>
              <w:t>OM (%)</w:t>
            </w:r>
          </w:p>
        </w:tc>
        <w:tc>
          <w:tcPr>
            <w:tcW w:w="1134" w:type="dxa"/>
          </w:tcPr>
          <w:p w14:paraId="0FD71DBD" w14:textId="774BCDDC" w:rsidR="005D17A4" w:rsidRPr="005D17A4" w:rsidRDefault="005D17A4" w:rsidP="005D17A4">
            <w:pPr>
              <w:contextualSpacing/>
              <w:jc w:val="center"/>
              <w:rPr>
                <w:rFonts w:ascii="Arial" w:hAnsi="Arial" w:cs="Arial"/>
              </w:rPr>
            </w:pPr>
            <w:r w:rsidRPr="005D17A4">
              <w:rPr>
                <w:rFonts w:ascii="Arial" w:hAnsi="Arial" w:cs="Arial"/>
              </w:rPr>
              <w:t>1.5</w:t>
            </w:r>
          </w:p>
        </w:tc>
        <w:tc>
          <w:tcPr>
            <w:tcW w:w="1843" w:type="dxa"/>
          </w:tcPr>
          <w:p w14:paraId="4A9C90B6" w14:textId="322558B3" w:rsidR="005D17A4" w:rsidRPr="005D17A4" w:rsidRDefault="005D17A4" w:rsidP="005D17A4">
            <w:pPr>
              <w:contextualSpacing/>
              <w:jc w:val="center"/>
              <w:rPr>
                <w:rFonts w:ascii="Arial" w:hAnsi="Arial" w:cs="Arial"/>
              </w:rPr>
            </w:pPr>
            <w:r w:rsidRPr="005D17A4">
              <w:rPr>
                <w:rFonts w:ascii="Arial" w:hAnsi="Arial" w:cs="Arial"/>
              </w:rPr>
              <w:t>1.4</w:t>
            </w:r>
          </w:p>
        </w:tc>
        <w:tc>
          <w:tcPr>
            <w:tcW w:w="1984" w:type="dxa"/>
          </w:tcPr>
          <w:p w14:paraId="736860AB" w14:textId="5DC89488" w:rsidR="005D17A4" w:rsidRPr="005D17A4" w:rsidRDefault="005D17A4" w:rsidP="005D17A4">
            <w:pPr>
              <w:contextualSpacing/>
              <w:jc w:val="center"/>
              <w:rPr>
                <w:rFonts w:ascii="Arial" w:hAnsi="Arial" w:cs="Arial"/>
              </w:rPr>
            </w:pPr>
            <w:r w:rsidRPr="005D17A4">
              <w:rPr>
                <w:rFonts w:ascii="Arial" w:hAnsi="Arial" w:cs="Arial"/>
              </w:rPr>
              <w:t>1.5</w:t>
            </w:r>
          </w:p>
        </w:tc>
        <w:tc>
          <w:tcPr>
            <w:tcW w:w="1843" w:type="dxa"/>
          </w:tcPr>
          <w:p w14:paraId="06517610" w14:textId="72F70683" w:rsidR="005D17A4" w:rsidRPr="005D17A4" w:rsidRDefault="005D17A4" w:rsidP="005D17A4">
            <w:pPr>
              <w:contextualSpacing/>
              <w:jc w:val="center"/>
              <w:rPr>
                <w:rFonts w:ascii="Arial" w:hAnsi="Arial" w:cs="Arial"/>
              </w:rPr>
            </w:pPr>
            <w:r w:rsidRPr="005D17A4">
              <w:rPr>
                <w:rFonts w:ascii="Arial" w:hAnsi="Arial" w:cs="Arial"/>
              </w:rPr>
              <w:t>1.3</w:t>
            </w:r>
          </w:p>
        </w:tc>
        <w:tc>
          <w:tcPr>
            <w:tcW w:w="1843" w:type="dxa"/>
          </w:tcPr>
          <w:p w14:paraId="7E2AF3B0" w14:textId="09C1B905" w:rsidR="005D17A4" w:rsidRPr="005D17A4" w:rsidRDefault="005D17A4" w:rsidP="005D17A4">
            <w:pPr>
              <w:contextualSpacing/>
              <w:jc w:val="center"/>
              <w:rPr>
                <w:rFonts w:ascii="Arial" w:hAnsi="Arial" w:cs="Arial"/>
              </w:rPr>
            </w:pPr>
            <w:r w:rsidRPr="005D17A4">
              <w:rPr>
                <w:rFonts w:ascii="Arial" w:hAnsi="Arial" w:cs="Arial"/>
              </w:rPr>
              <w:t>1.4</w:t>
            </w:r>
          </w:p>
        </w:tc>
        <w:tc>
          <w:tcPr>
            <w:tcW w:w="1842" w:type="dxa"/>
          </w:tcPr>
          <w:p w14:paraId="50D3A9C3" w14:textId="67E397CE" w:rsidR="005D17A4" w:rsidRPr="005D17A4" w:rsidRDefault="005D17A4" w:rsidP="005D17A4">
            <w:pPr>
              <w:contextualSpacing/>
              <w:jc w:val="center"/>
              <w:rPr>
                <w:rFonts w:ascii="Arial" w:hAnsi="Arial" w:cs="Arial"/>
              </w:rPr>
            </w:pPr>
            <w:r w:rsidRPr="005D17A4">
              <w:rPr>
                <w:rFonts w:ascii="Arial" w:hAnsi="Arial" w:cs="Arial"/>
              </w:rPr>
              <w:t>1.6</w:t>
            </w:r>
          </w:p>
        </w:tc>
        <w:tc>
          <w:tcPr>
            <w:tcW w:w="1843" w:type="dxa"/>
          </w:tcPr>
          <w:p w14:paraId="63247D5F" w14:textId="2143B35F" w:rsidR="005D17A4" w:rsidRPr="005D17A4" w:rsidRDefault="005D17A4" w:rsidP="005D17A4">
            <w:pPr>
              <w:contextualSpacing/>
              <w:jc w:val="center"/>
              <w:rPr>
                <w:rFonts w:ascii="Arial" w:hAnsi="Arial" w:cs="Arial"/>
              </w:rPr>
            </w:pPr>
            <w:r w:rsidRPr="005D17A4">
              <w:rPr>
                <w:rFonts w:ascii="Arial" w:hAnsi="Arial" w:cs="Arial"/>
              </w:rPr>
              <w:t>1.5</w:t>
            </w:r>
          </w:p>
        </w:tc>
      </w:tr>
      <w:tr w:rsidR="005D17A4" w:rsidRPr="005D17A4" w14:paraId="3C0D47F3" w14:textId="77777777" w:rsidTr="001A4B15">
        <w:tc>
          <w:tcPr>
            <w:tcW w:w="1985" w:type="dxa"/>
          </w:tcPr>
          <w:p w14:paraId="078B6A2F" w14:textId="77777777" w:rsidR="005D17A4" w:rsidRPr="005D17A4" w:rsidRDefault="005D17A4" w:rsidP="005D17A4">
            <w:pPr>
              <w:contextualSpacing/>
              <w:rPr>
                <w:rFonts w:ascii="Arial" w:hAnsi="Arial" w:cs="Arial"/>
              </w:rPr>
            </w:pPr>
            <w:r w:rsidRPr="005D17A4">
              <w:rPr>
                <w:rFonts w:ascii="Arial" w:hAnsi="Arial" w:cs="Arial"/>
              </w:rPr>
              <w:t xml:space="preserve">Ca </w:t>
            </w:r>
            <w:r w:rsidRPr="005D17A4">
              <w:rPr>
                <w:rFonts w:ascii="Arial" w:hAnsi="Arial" w:cs="Arial"/>
                <w:vertAlign w:val="superscript"/>
              </w:rPr>
              <w:t>2+</w:t>
            </w:r>
            <w:r w:rsidRPr="005D17A4">
              <w:rPr>
                <w:rFonts w:ascii="Arial" w:hAnsi="Arial" w:cs="Arial"/>
              </w:rPr>
              <w:t xml:space="preserve"> (ppm)</w:t>
            </w:r>
          </w:p>
        </w:tc>
        <w:tc>
          <w:tcPr>
            <w:tcW w:w="1134" w:type="dxa"/>
          </w:tcPr>
          <w:p w14:paraId="0A75516A" w14:textId="3D450ED1" w:rsidR="005D17A4" w:rsidRPr="005D17A4" w:rsidRDefault="005D17A4" w:rsidP="005D17A4">
            <w:pPr>
              <w:contextualSpacing/>
              <w:jc w:val="center"/>
              <w:rPr>
                <w:rFonts w:ascii="Arial" w:hAnsi="Arial" w:cs="Arial"/>
              </w:rPr>
            </w:pPr>
            <w:r w:rsidRPr="005D17A4">
              <w:rPr>
                <w:rFonts w:ascii="Arial" w:hAnsi="Arial" w:cs="Arial"/>
              </w:rPr>
              <w:t>349</w:t>
            </w:r>
          </w:p>
        </w:tc>
        <w:tc>
          <w:tcPr>
            <w:tcW w:w="1843" w:type="dxa"/>
          </w:tcPr>
          <w:p w14:paraId="51C0F5CC" w14:textId="1D563075" w:rsidR="005D17A4" w:rsidRPr="005D17A4" w:rsidRDefault="005D17A4" w:rsidP="005D17A4">
            <w:pPr>
              <w:contextualSpacing/>
              <w:jc w:val="center"/>
              <w:rPr>
                <w:rFonts w:ascii="Arial" w:hAnsi="Arial" w:cs="Arial"/>
              </w:rPr>
            </w:pPr>
            <w:r w:rsidRPr="005D17A4">
              <w:rPr>
                <w:rFonts w:ascii="Arial" w:hAnsi="Arial" w:cs="Arial"/>
              </w:rPr>
              <w:t>400</w:t>
            </w:r>
          </w:p>
        </w:tc>
        <w:tc>
          <w:tcPr>
            <w:tcW w:w="1984" w:type="dxa"/>
          </w:tcPr>
          <w:p w14:paraId="72A265FA" w14:textId="0E8DCBC1" w:rsidR="005D17A4" w:rsidRPr="005D17A4" w:rsidRDefault="005D17A4" w:rsidP="005D17A4">
            <w:pPr>
              <w:contextualSpacing/>
              <w:jc w:val="center"/>
              <w:rPr>
                <w:rFonts w:ascii="Arial" w:hAnsi="Arial" w:cs="Arial"/>
              </w:rPr>
            </w:pPr>
            <w:r w:rsidRPr="005D17A4">
              <w:rPr>
                <w:rFonts w:ascii="Arial" w:hAnsi="Arial" w:cs="Arial"/>
              </w:rPr>
              <w:t>288</w:t>
            </w:r>
          </w:p>
        </w:tc>
        <w:tc>
          <w:tcPr>
            <w:tcW w:w="1843" w:type="dxa"/>
          </w:tcPr>
          <w:p w14:paraId="5B2F23FA" w14:textId="70CE5705" w:rsidR="005D17A4" w:rsidRPr="005D17A4" w:rsidRDefault="005D17A4" w:rsidP="005D17A4">
            <w:pPr>
              <w:contextualSpacing/>
              <w:jc w:val="center"/>
              <w:rPr>
                <w:rFonts w:ascii="Arial" w:hAnsi="Arial" w:cs="Arial"/>
              </w:rPr>
            </w:pPr>
            <w:r w:rsidRPr="005D17A4">
              <w:rPr>
                <w:rFonts w:ascii="Arial" w:hAnsi="Arial" w:cs="Arial"/>
              </w:rPr>
              <w:t>338</w:t>
            </w:r>
          </w:p>
        </w:tc>
        <w:tc>
          <w:tcPr>
            <w:tcW w:w="1843" w:type="dxa"/>
          </w:tcPr>
          <w:p w14:paraId="3A8406E9" w14:textId="36ED4597" w:rsidR="005D17A4" w:rsidRPr="005D17A4" w:rsidRDefault="005D17A4" w:rsidP="005D17A4">
            <w:pPr>
              <w:contextualSpacing/>
              <w:jc w:val="center"/>
              <w:rPr>
                <w:rFonts w:ascii="Arial" w:hAnsi="Arial" w:cs="Arial"/>
              </w:rPr>
            </w:pPr>
            <w:r w:rsidRPr="005D17A4">
              <w:rPr>
                <w:rFonts w:ascii="Arial" w:hAnsi="Arial" w:cs="Arial"/>
              </w:rPr>
              <w:t>339</w:t>
            </w:r>
          </w:p>
        </w:tc>
        <w:tc>
          <w:tcPr>
            <w:tcW w:w="1842" w:type="dxa"/>
          </w:tcPr>
          <w:p w14:paraId="7609F15B" w14:textId="4793858D" w:rsidR="005D17A4" w:rsidRPr="005D17A4" w:rsidRDefault="005D17A4" w:rsidP="005D17A4">
            <w:pPr>
              <w:contextualSpacing/>
              <w:jc w:val="center"/>
              <w:rPr>
                <w:rFonts w:ascii="Arial" w:hAnsi="Arial" w:cs="Arial"/>
              </w:rPr>
            </w:pPr>
            <w:r w:rsidRPr="005D17A4">
              <w:rPr>
                <w:rFonts w:ascii="Arial" w:hAnsi="Arial" w:cs="Arial"/>
              </w:rPr>
              <w:t>321</w:t>
            </w:r>
          </w:p>
        </w:tc>
        <w:tc>
          <w:tcPr>
            <w:tcW w:w="1843" w:type="dxa"/>
          </w:tcPr>
          <w:p w14:paraId="767D32A8" w14:textId="017747F2" w:rsidR="005D17A4" w:rsidRPr="005D17A4" w:rsidRDefault="005D17A4" w:rsidP="005D17A4">
            <w:pPr>
              <w:contextualSpacing/>
              <w:jc w:val="center"/>
              <w:rPr>
                <w:rFonts w:ascii="Arial" w:hAnsi="Arial" w:cs="Arial"/>
              </w:rPr>
            </w:pPr>
            <w:r w:rsidRPr="005D17A4">
              <w:rPr>
                <w:rFonts w:ascii="Arial" w:hAnsi="Arial" w:cs="Arial"/>
              </w:rPr>
              <w:t>330</w:t>
            </w:r>
          </w:p>
        </w:tc>
      </w:tr>
      <w:tr w:rsidR="005D17A4" w:rsidRPr="005D17A4" w14:paraId="7A3781C9" w14:textId="77777777" w:rsidTr="001A4B15">
        <w:tc>
          <w:tcPr>
            <w:tcW w:w="1985" w:type="dxa"/>
          </w:tcPr>
          <w:p w14:paraId="648E04ED" w14:textId="77777777" w:rsidR="005D17A4" w:rsidRPr="005D17A4" w:rsidRDefault="005D17A4" w:rsidP="005D17A4">
            <w:pPr>
              <w:contextualSpacing/>
              <w:rPr>
                <w:rFonts w:ascii="Arial" w:hAnsi="Arial" w:cs="Arial"/>
              </w:rPr>
            </w:pPr>
            <w:r w:rsidRPr="005D17A4">
              <w:rPr>
                <w:rFonts w:ascii="Arial" w:hAnsi="Arial" w:cs="Arial"/>
              </w:rPr>
              <w:t xml:space="preserve">Mg </w:t>
            </w:r>
            <w:r w:rsidRPr="005D17A4">
              <w:rPr>
                <w:rFonts w:ascii="Arial" w:hAnsi="Arial" w:cs="Arial"/>
                <w:vertAlign w:val="superscript"/>
              </w:rPr>
              <w:t xml:space="preserve">2+ </w:t>
            </w:r>
            <w:r w:rsidRPr="005D17A4">
              <w:rPr>
                <w:rFonts w:ascii="Arial" w:hAnsi="Arial" w:cs="Arial"/>
              </w:rPr>
              <w:t>(ppm)</w:t>
            </w:r>
          </w:p>
        </w:tc>
        <w:tc>
          <w:tcPr>
            <w:tcW w:w="1134" w:type="dxa"/>
          </w:tcPr>
          <w:p w14:paraId="375FD529" w14:textId="580FBA99" w:rsidR="005D17A4" w:rsidRPr="005D17A4" w:rsidRDefault="005D17A4" w:rsidP="005D17A4">
            <w:pPr>
              <w:contextualSpacing/>
              <w:jc w:val="center"/>
              <w:rPr>
                <w:rFonts w:ascii="Arial" w:hAnsi="Arial" w:cs="Arial"/>
              </w:rPr>
            </w:pPr>
            <w:r w:rsidRPr="005D17A4">
              <w:rPr>
                <w:rFonts w:ascii="Arial" w:hAnsi="Arial" w:cs="Arial"/>
              </w:rPr>
              <w:t>68</w:t>
            </w:r>
          </w:p>
        </w:tc>
        <w:tc>
          <w:tcPr>
            <w:tcW w:w="1843" w:type="dxa"/>
          </w:tcPr>
          <w:p w14:paraId="7281504C" w14:textId="6E765573" w:rsidR="005D17A4" w:rsidRPr="005D17A4" w:rsidRDefault="005D17A4" w:rsidP="005D17A4">
            <w:pPr>
              <w:contextualSpacing/>
              <w:jc w:val="center"/>
              <w:rPr>
                <w:rFonts w:ascii="Arial" w:hAnsi="Arial" w:cs="Arial"/>
              </w:rPr>
            </w:pPr>
            <w:r w:rsidRPr="005D17A4">
              <w:rPr>
                <w:rFonts w:ascii="Arial" w:hAnsi="Arial" w:cs="Arial"/>
              </w:rPr>
              <w:t>69</w:t>
            </w:r>
          </w:p>
        </w:tc>
        <w:tc>
          <w:tcPr>
            <w:tcW w:w="1984" w:type="dxa"/>
          </w:tcPr>
          <w:p w14:paraId="65F25B9C" w14:textId="4CB90839" w:rsidR="005D17A4" w:rsidRPr="005D17A4" w:rsidRDefault="005D17A4" w:rsidP="005D17A4">
            <w:pPr>
              <w:contextualSpacing/>
              <w:jc w:val="center"/>
              <w:rPr>
                <w:rFonts w:ascii="Arial" w:hAnsi="Arial" w:cs="Arial"/>
              </w:rPr>
            </w:pPr>
            <w:r w:rsidRPr="005D17A4">
              <w:rPr>
                <w:rFonts w:ascii="Arial" w:hAnsi="Arial" w:cs="Arial"/>
              </w:rPr>
              <w:t>71</w:t>
            </w:r>
          </w:p>
        </w:tc>
        <w:tc>
          <w:tcPr>
            <w:tcW w:w="1843" w:type="dxa"/>
          </w:tcPr>
          <w:p w14:paraId="1DB14E02" w14:textId="717D5ED3" w:rsidR="005D17A4" w:rsidRPr="005D17A4" w:rsidRDefault="005D17A4" w:rsidP="005D17A4">
            <w:pPr>
              <w:contextualSpacing/>
              <w:jc w:val="center"/>
              <w:rPr>
                <w:rFonts w:ascii="Arial" w:hAnsi="Arial" w:cs="Arial"/>
              </w:rPr>
            </w:pPr>
            <w:r w:rsidRPr="005D17A4">
              <w:rPr>
                <w:rFonts w:ascii="Arial" w:hAnsi="Arial" w:cs="Arial"/>
              </w:rPr>
              <w:t>65</w:t>
            </w:r>
          </w:p>
        </w:tc>
        <w:tc>
          <w:tcPr>
            <w:tcW w:w="1843" w:type="dxa"/>
          </w:tcPr>
          <w:p w14:paraId="360A7081" w14:textId="71ABC8F9" w:rsidR="005D17A4" w:rsidRPr="005D17A4" w:rsidRDefault="005D17A4" w:rsidP="005D17A4">
            <w:pPr>
              <w:contextualSpacing/>
              <w:jc w:val="center"/>
              <w:rPr>
                <w:rFonts w:ascii="Arial" w:hAnsi="Arial" w:cs="Arial"/>
              </w:rPr>
            </w:pPr>
            <w:r w:rsidRPr="005D17A4">
              <w:rPr>
                <w:rFonts w:ascii="Arial" w:hAnsi="Arial" w:cs="Arial"/>
              </w:rPr>
              <w:t>66</w:t>
            </w:r>
          </w:p>
        </w:tc>
        <w:tc>
          <w:tcPr>
            <w:tcW w:w="1842" w:type="dxa"/>
          </w:tcPr>
          <w:p w14:paraId="498ACD2B" w14:textId="6649F044" w:rsidR="005D17A4" w:rsidRPr="005D17A4" w:rsidRDefault="005D17A4" w:rsidP="005D17A4">
            <w:pPr>
              <w:contextualSpacing/>
              <w:jc w:val="center"/>
              <w:rPr>
                <w:rFonts w:ascii="Arial" w:hAnsi="Arial" w:cs="Arial"/>
              </w:rPr>
            </w:pPr>
            <w:r w:rsidRPr="005D17A4">
              <w:rPr>
                <w:rFonts w:ascii="Arial" w:hAnsi="Arial" w:cs="Arial"/>
              </w:rPr>
              <w:t>65</w:t>
            </w:r>
          </w:p>
        </w:tc>
        <w:tc>
          <w:tcPr>
            <w:tcW w:w="1843" w:type="dxa"/>
          </w:tcPr>
          <w:p w14:paraId="6CEDCF53" w14:textId="3D934BA0" w:rsidR="005D17A4" w:rsidRPr="005D17A4" w:rsidRDefault="005D17A4" w:rsidP="005D17A4">
            <w:pPr>
              <w:contextualSpacing/>
              <w:jc w:val="center"/>
              <w:rPr>
                <w:rFonts w:ascii="Arial" w:hAnsi="Arial" w:cs="Arial"/>
              </w:rPr>
            </w:pPr>
            <w:r w:rsidRPr="005D17A4">
              <w:rPr>
                <w:rFonts w:ascii="Arial" w:hAnsi="Arial" w:cs="Arial"/>
              </w:rPr>
              <w:t>69</w:t>
            </w:r>
          </w:p>
        </w:tc>
      </w:tr>
      <w:tr w:rsidR="005D17A4" w:rsidRPr="005D17A4" w14:paraId="5336DDD8" w14:textId="77777777" w:rsidTr="001A4B15">
        <w:tc>
          <w:tcPr>
            <w:tcW w:w="1985" w:type="dxa"/>
            <w:vAlign w:val="center"/>
          </w:tcPr>
          <w:p w14:paraId="3E7AE5BE" w14:textId="77777777" w:rsidR="005D17A4" w:rsidRPr="005D17A4" w:rsidRDefault="005D17A4" w:rsidP="005D17A4">
            <w:pPr>
              <w:contextualSpacing/>
              <w:rPr>
                <w:rFonts w:ascii="Arial" w:hAnsi="Arial" w:cs="Arial"/>
              </w:rPr>
            </w:pPr>
            <w:r w:rsidRPr="005D17A4">
              <w:rPr>
                <w:rFonts w:ascii="Arial" w:hAnsi="Arial" w:cs="Arial"/>
              </w:rPr>
              <w:t xml:space="preserve">K </w:t>
            </w:r>
            <w:r w:rsidRPr="005D17A4">
              <w:rPr>
                <w:rFonts w:ascii="Arial" w:hAnsi="Arial" w:cs="Arial"/>
                <w:vertAlign w:val="superscript"/>
              </w:rPr>
              <w:t xml:space="preserve">+ </w:t>
            </w:r>
            <w:r w:rsidRPr="005D17A4">
              <w:rPr>
                <w:rFonts w:ascii="Arial" w:hAnsi="Arial" w:cs="Arial"/>
              </w:rPr>
              <w:t>(ppm)</w:t>
            </w:r>
          </w:p>
        </w:tc>
        <w:tc>
          <w:tcPr>
            <w:tcW w:w="1134" w:type="dxa"/>
          </w:tcPr>
          <w:p w14:paraId="0BCC8F41" w14:textId="56C91AAE" w:rsidR="005D17A4" w:rsidRPr="005D17A4" w:rsidRDefault="005D17A4" w:rsidP="005D17A4">
            <w:pPr>
              <w:contextualSpacing/>
              <w:jc w:val="center"/>
              <w:rPr>
                <w:rFonts w:ascii="Arial" w:hAnsi="Arial" w:cs="Arial"/>
              </w:rPr>
            </w:pPr>
            <w:r w:rsidRPr="005D17A4">
              <w:rPr>
                <w:rFonts w:ascii="Arial" w:hAnsi="Arial" w:cs="Arial"/>
              </w:rPr>
              <w:t>40.0</w:t>
            </w:r>
          </w:p>
        </w:tc>
        <w:tc>
          <w:tcPr>
            <w:tcW w:w="1843" w:type="dxa"/>
          </w:tcPr>
          <w:p w14:paraId="41A0734D" w14:textId="7C117214" w:rsidR="005D17A4" w:rsidRPr="005D17A4" w:rsidRDefault="005D17A4" w:rsidP="005D17A4">
            <w:pPr>
              <w:contextualSpacing/>
              <w:jc w:val="center"/>
              <w:rPr>
                <w:rFonts w:ascii="Arial" w:hAnsi="Arial" w:cs="Arial"/>
              </w:rPr>
            </w:pPr>
            <w:r w:rsidRPr="005D17A4">
              <w:rPr>
                <w:rFonts w:ascii="Arial" w:hAnsi="Arial" w:cs="Arial"/>
              </w:rPr>
              <w:t>41.5</w:t>
            </w:r>
          </w:p>
        </w:tc>
        <w:tc>
          <w:tcPr>
            <w:tcW w:w="1984" w:type="dxa"/>
          </w:tcPr>
          <w:p w14:paraId="43741DC6" w14:textId="4452668C" w:rsidR="005D17A4" w:rsidRPr="005D17A4" w:rsidRDefault="005D17A4" w:rsidP="005D17A4">
            <w:pPr>
              <w:contextualSpacing/>
              <w:jc w:val="center"/>
              <w:rPr>
                <w:rFonts w:ascii="Arial" w:hAnsi="Arial" w:cs="Arial"/>
              </w:rPr>
            </w:pPr>
            <w:r w:rsidRPr="005D17A4">
              <w:rPr>
                <w:rFonts w:ascii="Arial" w:hAnsi="Arial" w:cs="Arial"/>
              </w:rPr>
              <w:t>40.0</w:t>
            </w:r>
          </w:p>
        </w:tc>
        <w:tc>
          <w:tcPr>
            <w:tcW w:w="1843" w:type="dxa"/>
          </w:tcPr>
          <w:p w14:paraId="58A715BC" w14:textId="2834D750" w:rsidR="005D17A4" w:rsidRPr="005D17A4" w:rsidRDefault="005D17A4" w:rsidP="005D17A4">
            <w:pPr>
              <w:contextualSpacing/>
              <w:jc w:val="center"/>
              <w:rPr>
                <w:rFonts w:ascii="Arial" w:hAnsi="Arial" w:cs="Arial"/>
              </w:rPr>
            </w:pPr>
            <w:r w:rsidRPr="005D17A4">
              <w:rPr>
                <w:rFonts w:ascii="Arial" w:hAnsi="Arial" w:cs="Arial"/>
              </w:rPr>
              <w:t>39.5</w:t>
            </w:r>
          </w:p>
        </w:tc>
        <w:tc>
          <w:tcPr>
            <w:tcW w:w="1843" w:type="dxa"/>
          </w:tcPr>
          <w:p w14:paraId="1CF9C137" w14:textId="0E34D25C" w:rsidR="005D17A4" w:rsidRPr="005D17A4" w:rsidRDefault="005D17A4" w:rsidP="005D17A4">
            <w:pPr>
              <w:contextualSpacing/>
              <w:jc w:val="center"/>
              <w:rPr>
                <w:rFonts w:ascii="Arial" w:hAnsi="Arial" w:cs="Arial"/>
              </w:rPr>
            </w:pPr>
            <w:r w:rsidRPr="005D17A4">
              <w:rPr>
                <w:rFonts w:ascii="Arial" w:hAnsi="Arial" w:cs="Arial"/>
              </w:rPr>
              <w:t>40.0</w:t>
            </w:r>
          </w:p>
        </w:tc>
        <w:tc>
          <w:tcPr>
            <w:tcW w:w="1842" w:type="dxa"/>
          </w:tcPr>
          <w:p w14:paraId="34760E62" w14:textId="1B76D30A" w:rsidR="005D17A4" w:rsidRPr="005D17A4" w:rsidRDefault="005D17A4" w:rsidP="005D17A4">
            <w:pPr>
              <w:contextualSpacing/>
              <w:jc w:val="center"/>
              <w:rPr>
                <w:rFonts w:ascii="Arial" w:hAnsi="Arial" w:cs="Arial"/>
              </w:rPr>
            </w:pPr>
            <w:r w:rsidRPr="005D17A4">
              <w:rPr>
                <w:rFonts w:ascii="Arial" w:hAnsi="Arial" w:cs="Arial"/>
              </w:rPr>
              <w:t>48.0</w:t>
            </w:r>
          </w:p>
        </w:tc>
        <w:tc>
          <w:tcPr>
            <w:tcW w:w="1843" w:type="dxa"/>
          </w:tcPr>
          <w:p w14:paraId="3012904E" w14:textId="388AE247" w:rsidR="005D17A4" w:rsidRPr="005D17A4" w:rsidRDefault="005D17A4" w:rsidP="005D17A4">
            <w:pPr>
              <w:contextualSpacing/>
              <w:jc w:val="center"/>
              <w:rPr>
                <w:rFonts w:ascii="Arial" w:hAnsi="Arial" w:cs="Arial"/>
              </w:rPr>
            </w:pPr>
            <w:r w:rsidRPr="005D17A4">
              <w:rPr>
                <w:rFonts w:ascii="Arial" w:hAnsi="Arial" w:cs="Arial"/>
              </w:rPr>
              <w:t>41.0</w:t>
            </w:r>
          </w:p>
        </w:tc>
      </w:tr>
      <w:tr w:rsidR="005D17A4" w:rsidRPr="005D17A4" w14:paraId="0A5B1B91" w14:textId="77777777" w:rsidTr="001A4B15">
        <w:tc>
          <w:tcPr>
            <w:tcW w:w="1985" w:type="dxa"/>
          </w:tcPr>
          <w:p w14:paraId="7AE99BAE" w14:textId="77777777" w:rsidR="005D17A4" w:rsidRPr="005D17A4" w:rsidRDefault="005D17A4" w:rsidP="005D17A4">
            <w:pPr>
              <w:contextualSpacing/>
              <w:rPr>
                <w:rFonts w:ascii="Arial" w:hAnsi="Arial" w:cs="Arial"/>
              </w:rPr>
            </w:pPr>
            <w:r w:rsidRPr="005D17A4">
              <w:rPr>
                <w:rFonts w:ascii="Arial" w:hAnsi="Arial" w:cs="Arial"/>
              </w:rPr>
              <w:t>Boron (ppm)</w:t>
            </w:r>
          </w:p>
        </w:tc>
        <w:tc>
          <w:tcPr>
            <w:tcW w:w="1134" w:type="dxa"/>
          </w:tcPr>
          <w:p w14:paraId="6F0657D9" w14:textId="431787BF" w:rsidR="005D17A4" w:rsidRPr="005D17A4" w:rsidRDefault="005D17A4" w:rsidP="005D17A4">
            <w:pPr>
              <w:contextualSpacing/>
              <w:jc w:val="center"/>
              <w:rPr>
                <w:rFonts w:ascii="Arial" w:hAnsi="Arial" w:cs="Arial"/>
              </w:rPr>
            </w:pPr>
            <w:r w:rsidRPr="005D17A4">
              <w:rPr>
                <w:rFonts w:ascii="Arial" w:hAnsi="Arial" w:cs="Arial"/>
              </w:rPr>
              <w:t>0.5</w:t>
            </w:r>
          </w:p>
        </w:tc>
        <w:tc>
          <w:tcPr>
            <w:tcW w:w="1843" w:type="dxa"/>
          </w:tcPr>
          <w:p w14:paraId="61650090" w14:textId="78BF8EF0" w:rsidR="005D17A4" w:rsidRPr="005D17A4" w:rsidRDefault="005D17A4" w:rsidP="005D17A4">
            <w:pPr>
              <w:contextualSpacing/>
              <w:jc w:val="center"/>
              <w:rPr>
                <w:rFonts w:ascii="Arial" w:hAnsi="Arial" w:cs="Arial"/>
              </w:rPr>
            </w:pPr>
            <w:r w:rsidRPr="005D17A4">
              <w:rPr>
                <w:rFonts w:ascii="Arial" w:hAnsi="Arial" w:cs="Arial"/>
              </w:rPr>
              <w:t>0.5</w:t>
            </w:r>
          </w:p>
        </w:tc>
        <w:tc>
          <w:tcPr>
            <w:tcW w:w="1984" w:type="dxa"/>
          </w:tcPr>
          <w:p w14:paraId="7AD38154" w14:textId="67DB843F" w:rsidR="005D17A4" w:rsidRPr="005D17A4" w:rsidRDefault="005D17A4" w:rsidP="005D17A4">
            <w:pPr>
              <w:contextualSpacing/>
              <w:jc w:val="center"/>
              <w:rPr>
                <w:rFonts w:ascii="Arial" w:hAnsi="Arial" w:cs="Arial"/>
              </w:rPr>
            </w:pPr>
            <w:r w:rsidRPr="005D17A4">
              <w:rPr>
                <w:rFonts w:ascii="Arial" w:hAnsi="Arial" w:cs="Arial"/>
              </w:rPr>
              <w:t>0.5</w:t>
            </w:r>
          </w:p>
        </w:tc>
        <w:tc>
          <w:tcPr>
            <w:tcW w:w="1843" w:type="dxa"/>
          </w:tcPr>
          <w:p w14:paraId="1F157EBC" w14:textId="6B6D56DA" w:rsidR="005D17A4" w:rsidRPr="005D17A4" w:rsidRDefault="005D17A4" w:rsidP="005D17A4">
            <w:pPr>
              <w:contextualSpacing/>
              <w:jc w:val="center"/>
              <w:rPr>
                <w:rFonts w:ascii="Arial" w:hAnsi="Arial" w:cs="Arial"/>
              </w:rPr>
            </w:pPr>
            <w:r w:rsidRPr="005D17A4">
              <w:rPr>
                <w:rFonts w:ascii="Arial" w:hAnsi="Arial" w:cs="Arial"/>
              </w:rPr>
              <w:t>0.50</w:t>
            </w:r>
          </w:p>
        </w:tc>
        <w:tc>
          <w:tcPr>
            <w:tcW w:w="1843" w:type="dxa"/>
          </w:tcPr>
          <w:p w14:paraId="16ABB8A8" w14:textId="5CA9CD99" w:rsidR="005D17A4" w:rsidRPr="005D17A4" w:rsidRDefault="005D17A4" w:rsidP="005D17A4">
            <w:pPr>
              <w:contextualSpacing/>
              <w:jc w:val="center"/>
              <w:rPr>
                <w:rFonts w:ascii="Arial" w:hAnsi="Arial" w:cs="Arial"/>
              </w:rPr>
            </w:pPr>
            <w:r w:rsidRPr="005D17A4">
              <w:rPr>
                <w:rFonts w:ascii="Arial" w:hAnsi="Arial" w:cs="Arial"/>
              </w:rPr>
              <w:t>0.5</w:t>
            </w:r>
          </w:p>
        </w:tc>
        <w:tc>
          <w:tcPr>
            <w:tcW w:w="1842" w:type="dxa"/>
          </w:tcPr>
          <w:p w14:paraId="54D7CE03" w14:textId="79414FB4" w:rsidR="005D17A4" w:rsidRPr="005D17A4" w:rsidRDefault="005D17A4" w:rsidP="005D17A4">
            <w:pPr>
              <w:contextualSpacing/>
              <w:jc w:val="center"/>
              <w:rPr>
                <w:rFonts w:ascii="Arial" w:hAnsi="Arial" w:cs="Arial"/>
              </w:rPr>
            </w:pPr>
            <w:r w:rsidRPr="005D17A4">
              <w:rPr>
                <w:rFonts w:ascii="Arial" w:hAnsi="Arial" w:cs="Arial"/>
              </w:rPr>
              <w:t>0.5</w:t>
            </w:r>
          </w:p>
        </w:tc>
        <w:tc>
          <w:tcPr>
            <w:tcW w:w="1843" w:type="dxa"/>
          </w:tcPr>
          <w:p w14:paraId="76071FC7" w14:textId="599BA686" w:rsidR="005D17A4" w:rsidRPr="005D17A4" w:rsidRDefault="005D17A4" w:rsidP="005D17A4">
            <w:pPr>
              <w:contextualSpacing/>
              <w:jc w:val="center"/>
              <w:rPr>
                <w:rFonts w:ascii="Arial" w:hAnsi="Arial" w:cs="Arial"/>
              </w:rPr>
            </w:pPr>
            <w:r w:rsidRPr="005D17A4">
              <w:rPr>
                <w:rFonts w:ascii="Arial" w:hAnsi="Arial" w:cs="Arial"/>
              </w:rPr>
              <w:t>0.5</w:t>
            </w:r>
          </w:p>
        </w:tc>
      </w:tr>
      <w:tr w:rsidR="005D17A4" w:rsidRPr="005D17A4" w14:paraId="7C9BF9B2" w14:textId="77777777" w:rsidTr="001A4B15">
        <w:tc>
          <w:tcPr>
            <w:tcW w:w="1985" w:type="dxa"/>
          </w:tcPr>
          <w:p w14:paraId="643D5055" w14:textId="77777777" w:rsidR="005D17A4" w:rsidRPr="005D17A4" w:rsidRDefault="005D17A4" w:rsidP="005D17A4">
            <w:pPr>
              <w:contextualSpacing/>
              <w:rPr>
                <w:rFonts w:ascii="Arial" w:hAnsi="Arial" w:cs="Arial"/>
              </w:rPr>
            </w:pPr>
            <w:r w:rsidRPr="005D17A4">
              <w:rPr>
                <w:rFonts w:ascii="Arial" w:hAnsi="Arial" w:cs="Arial"/>
              </w:rPr>
              <w:t>Available P (ppm)</w:t>
            </w:r>
          </w:p>
        </w:tc>
        <w:tc>
          <w:tcPr>
            <w:tcW w:w="1134" w:type="dxa"/>
          </w:tcPr>
          <w:p w14:paraId="1F3FB1BC" w14:textId="43503F84"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69923F81" w14:textId="78A186D0" w:rsidR="005D17A4" w:rsidRPr="005D17A4" w:rsidRDefault="005D17A4" w:rsidP="005D17A4">
            <w:pPr>
              <w:contextualSpacing/>
              <w:jc w:val="center"/>
              <w:rPr>
                <w:rFonts w:ascii="Arial" w:hAnsi="Arial" w:cs="Arial"/>
              </w:rPr>
            </w:pPr>
            <w:r w:rsidRPr="005D17A4">
              <w:rPr>
                <w:rFonts w:ascii="Arial" w:hAnsi="Arial" w:cs="Arial"/>
              </w:rPr>
              <w:t>11</w:t>
            </w:r>
          </w:p>
        </w:tc>
        <w:tc>
          <w:tcPr>
            <w:tcW w:w="1984" w:type="dxa"/>
          </w:tcPr>
          <w:p w14:paraId="2A9B1946" w14:textId="67BDCDED"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1B254B01" w14:textId="7791DA61" w:rsidR="005D17A4" w:rsidRPr="005D17A4" w:rsidRDefault="005D17A4" w:rsidP="005D17A4">
            <w:pPr>
              <w:contextualSpacing/>
              <w:jc w:val="center"/>
              <w:rPr>
                <w:rFonts w:ascii="Arial" w:hAnsi="Arial" w:cs="Arial"/>
              </w:rPr>
            </w:pPr>
            <w:r w:rsidRPr="005D17A4">
              <w:rPr>
                <w:rFonts w:ascii="Arial" w:hAnsi="Arial" w:cs="Arial"/>
              </w:rPr>
              <w:t>11</w:t>
            </w:r>
          </w:p>
        </w:tc>
        <w:tc>
          <w:tcPr>
            <w:tcW w:w="1843" w:type="dxa"/>
          </w:tcPr>
          <w:p w14:paraId="00BB1E2A" w14:textId="3173C0E9" w:rsidR="005D17A4" w:rsidRPr="005D17A4" w:rsidRDefault="005D17A4" w:rsidP="005D17A4">
            <w:pPr>
              <w:contextualSpacing/>
              <w:jc w:val="center"/>
              <w:rPr>
                <w:rFonts w:ascii="Arial" w:hAnsi="Arial" w:cs="Arial"/>
              </w:rPr>
            </w:pPr>
            <w:r w:rsidRPr="005D17A4">
              <w:rPr>
                <w:rFonts w:ascii="Arial" w:hAnsi="Arial" w:cs="Arial"/>
              </w:rPr>
              <w:t>10</w:t>
            </w:r>
          </w:p>
        </w:tc>
        <w:tc>
          <w:tcPr>
            <w:tcW w:w="1842" w:type="dxa"/>
          </w:tcPr>
          <w:p w14:paraId="2580D899" w14:textId="40BC8648"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5B0226EB" w14:textId="1B78579E" w:rsidR="005D17A4" w:rsidRPr="005D17A4" w:rsidRDefault="005D17A4" w:rsidP="005D17A4">
            <w:pPr>
              <w:contextualSpacing/>
              <w:jc w:val="center"/>
              <w:rPr>
                <w:rFonts w:ascii="Arial" w:hAnsi="Arial" w:cs="Arial"/>
              </w:rPr>
            </w:pPr>
            <w:r w:rsidRPr="005D17A4">
              <w:rPr>
                <w:rFonts w:ascii="Arial" w:hAnsi="Arial" w:cs="Arial"/>
              </w:rPr>
              <w:t>10</w:t>
            </w:r>
          </w:p>
        </w:tc>
      </w:tr>
      <w:tr w:rsidR="005D17A4" w:rsidRPr="005D17A4" w14:paraId="7EE508D8" w14:textId="77777777" w:rsidTr="001A4B15">
        <w:tc>
          <w:tcPr>
            <w:tcW w:w="1985" w:type="dxa"/>
          </w:tcPr>
          <w:p w14:paraId="06C70E9D" w14:textId="77777777" w:rsidR="005D17A4" w:rsidRPr="005D17A4" w:rsidRDefault="005D17A4" w:rsidP="005D17A4">
            <w:pPr>
              <w:contextualSpacing/>
              <w:rPr>
                <w:rFonts w:ascii="Arial" w:hAnsi="Arial" w:cs="Arial"/>
              </w:rPr>
            </w:pPr>
            <w:r w:rsidRPr="005D17A4">
              <w:rPr>
                <w:rFonts w:ascii="Arial" w:hAnsi="Arial" w:cs="Arial"/>
              </w:rPr>
              <w:t>Manganese (ppm)</w:t>
            </w:r>
          </w:p>
        </w:tc>
        <w:tc>
          <w:tcPr>
            <w:tcW w:w="1134" w:type="dxa"/>
          </w:tcPr>
          <w:p w14:paraId="1D8854B6" w14:textId="72C60B9B" w:rsidR="005D17A4" w:rsidRPr="005D17A4" w:rsidRDefault="005D17A4" w:rsidP="005D17A4">
            <w:pPr>
              <w:contextualSpacing/>
              <w:jc w:val="center"/>
              <w:rPr>
                <w:rFonts w:ascii="Arial" w:hAnsi="Arial" w:cs="Arial"/>
              </w:rPr>
            </w:pPr>
            <w:r w:rsidRPr="005D17A4">
              <w:rPr>
                <w:rFonts w:ascii="Arial" w:hAnsi="Arial" w:cs="Arial"/>
              </w:rPr>
              <w:t>118</w:t>
            </w:r>
          </w:p>
        </w:tc>
        <w:tc>
          <w:tcPr>
            <w:tcW w:w="1843" w:type="dxa"/>
          </w:tcPr>
          <w:p w14:paraId="12267C06" w14:textId="32B836E4" w:rsidR="005D17A4" w:rsidRPr="005D17A4" w:rsidRDefault="005D17A4" w:rsidP="005D17A4">
            <w:pPr>
              <w:contextualSpacing/>
              <w:jc w:val="center"/>
              <w:rPr>
                <w:rFonts w:ascii="Arial" w:hAnsi="Arial" w:cs="Arial"/>
              </w:rPr>
            </w:pPr>
            <w:r w:rsidRPr="005D17A4">
              <w:rPr>
                <w:rFonts w:ascii="Arial" w:hAnsi="Arial" w:cs="Arial"/>
              </w:rPr>
              <w:t>118</w:t>
            </w:r>
          </w:p>
        </w:tc>
        <w:tc>
          <w:tcPr>
            <w:tcW w:w="1984" w:type="dxa"/>
          </w:tcPr>
          <w:p w14:paraId="6970A49B" w14:textId="601E8CC9" w:rsidR="005D17A4" w:rsidRPr="005D17A4" w:rsidRDefault="005D17A4" w:rsidP="005D17A4">
            <w:pPr>
              <w:contextualSpacing/>
              <w:jc w:val="center"/>
              <w:rPr>
                <w:rFonts w:ascii="Arial" w:hAnsi="Arial" w:cs="Arial"/>
              </w:rPr>
            </w:pPr>
            <w:r w:rsidRPr="005D17A4">
              <w:rPr>
                <w:rFonts w:ascii="Arial" w:hAnsi="Arial" w:cs="Arial"/>
              </w:rPr>
              <w:t>117</w:t>
            </w:r>
          </w:p>
        </w:tc>
        <w:tc>
          <w:tcPr>
            <w:tcW w:w="1843" w:type="dxa"/>
          </w:tcPr>
          <w:p w14:paraId="2167B184" w14:textId="0F0BF18F" w:rsidR="005D17A4" w:rsidRPr="005D17A4" w:rsidRDefault="005D17A4" w:rsidP="005D17A4">
            <w:pPr>
              <w:contextualSpacing/>
              <w:jc w:val="center"/>
              <w:rPr>
                <w:rFonts w:ascii="Arial" w:hAnsi="Arial" w:cs="Arial"/>
              </w:rPr>
            </w:pPr>
            <w:r w:rsidRPr="005D17A4">
              <w:rPr>
                <w:rFonts w:ascii="Arial" w:hAnsi="Arial" w:cs="Arial"/>
              </w:rPr>
              <w:t>118</w:t>
            </w:r>
          </w:p>
        </w:tc>
        <w:tc>
          <w:tcPr>
            <w:tcW w:w="1843" w:type="dxa"/>
          </w:tcPr>
          <w:p w14:paraId="2211DB50" w14:textId="583EBC10" w:rsidR="005D17A4" w:rsidRPr="005D17A4" w:rsidRDefault="005D17A4" w:rsidP="005D17A4">
            <w:pPr>
              <w:contextualSpacing/>
              <w:jc w:val="center"/>
              <w:rPr>
                <w:rFonts w:ascii="Arial" w:hAnsi="Arial" w:cs="Arial"/>
              </w:rPr>
            </w:pPr>
            <w:r w:rsidRPr="005D17A4">
              <w:rPr>
                <w:rFonts w:ascii="Arial" w:hAnsi="Arial" w:cs="Arial"/>
              </w:rPr>
              <w:t>117</w:t>
            </w:r>
          </w:p>
        </w:tc>
        <w:tc>
          <w:tcPr>
            <w:tcW w:w="1842" w:type="dxa"/>
          </w:tcPr>
          <w:p w14:paraId="2217550B" w14:textId="01336FC7" w:rsidR="005D17A4" w:rsidRPr="005D17A4" w:rsidRDefault="005D17A4" w:rsidP="005D17A4">
            <w:pPr>
              <w:contextualSpacing/>
              <w:rPr>
                <w:rFonts w:ascii="Arial" w:hAnsi="Arial" w:cs="Arial"/>
              </w:rPr>
            </w:pPr>
            <w:r w:rsidRPr="005D17A4">
              <w:rPr>
                <w:rFonts w:ascii="Arial" w:hAnsi="Arial" w:cs="Arial"/>
              </w:rPr>
              <w:t xml:space="preserve">           117</w:t>
            </w:r>
          </w:p>
        </w:tc>
        <w:tc>
          <w:tcPr>
            <w:tcW w:w="1843" w:type="dxa"/>
          </w:tcPr>
          <w:p w14:paraId="74265DAF" w14:textId="1034418F" w:rsidR="005D17A4" w:rsidRPr="005D17A4" w:rsidRDefault="005D17A4" w:rsidP="005D17A4">
            <w:pPr>
              <w:contextualSpacing/>
              <w:jc w:val="center"/>
              <w:rPr>
                <w:rFonts w:ascii="Arial" w:hAnsi="Arial" w:cs="Arial"/>
              </w:rPr>
            </w:pPr>
            <w:r w:rsidRPr="005D17A4">
              <w:rPr>
                <w:rFonts w:ascii="Arial" w:hAnsi="Arial" w:cs="Arial"/>
              </w:rPr>
              <w:t>118</w:t>
            </w:r>
          </w:p>
        </w:tc>
      </w:tr>
      <w:tr w:rsidR="005D17A4" w:rsidRPr="005D17A4" w14:paraId="43FF3746" w14:textId="77777777" w:rsidTr="001A4B15">
        <w:tc>
          <w:tcPr>
            <w:tcW w:w="1985" w:type="dxa"/>
          </w:tcPr>
          <w:p w14:paraId="3391337E" w14:textId="77777777" w:rsidR="005D17A4" w:rsidRPr="005D17A4" w:rsidRDefault="005D17A4" w:rsidP="005D17A4">
            <w:pPr>
              <w:contextualSpacing/>
              <w:rPr>
                <w:rFonts w:ascii="Arial" w:hAnsi="Arial" w:cs="Arial"/>
              </w:rPr>
            </w:pPr>
            <w:r w:rsidRPr="005D17A4">
              <w:rPr>
                <w:rFonts w:ascii="Arial" w:hAnsi="Arial" w:cs="Arial"/>
              </w:rPr>
              <w:t>Zinc (ppm)</w:t>
            </w:r>
          </w:p>
        </w:tc>
        <w:tc>
          <w:tcPr>
            <w:tcW w:w="1134" w:type="dxa"/>
          </w:tcPr>
          <w:p w14:paraId="64712756" w14:textId="3FC3D0B5" w:rsidR="005D17A4" w:rsidRPr="005D17A4" w:rsidRDefault="005D17A4" w:rsidP="005D17A4">
            <w:pPr>
              <w:contextualSpacing/>
              <w:jc w:val="center"/>
              <w:rPr>
                <w:rFonts w:ascii="Arial" w:hAnsi="Arial" w:cs="Arial"/>
              </w:rPr>
            </w:pPr>
            <w:r w:rsidRPr="005D17A4">
              <w:rPr>
                <w:rFonts w:ascii="Arial" w:hAnsi="Arial" w:cs="Arial"/>
              </w:rPr>
              <w:t>1.1</w:t>
            </w:r>
          </w:p>
        </w:tc>
        <w:tc>
          <w:tcPr>
            <w:tcW w:w="1843" w:type="dxa"/>
          </w:tcPr>
          <w:p w14:paraId="63FF01C8" w14:textId="562A8DB7" w:rsidR="005D17A4" w:rsidRPr="005D17A4" w:rsidRDefault="005D17A4" w:rsidP="005D17A4">
            <w:pPr>
              <w:contextualSpacing/>
              <w:jc w:val="center"/>
              <w:rPr>
                <w:rFonts w:ascii="Arial" w:hAnsi="Arial" w:cs="Arial"/>
              </w:rPr>
            </w:pPr>
            <w:r w:rsidRPr="005D17A4">
              <w:rPr>
                <w:rFonts w:ascii="Arial" w:hAnsi="Arial" w:cs="Arial"/>
              </w:rPr>
              <w:t>1.0</w:t>
            </w:r>
          </w:p>
        </w:tc>
        <w:tc>
          <w:tcPr>
            <w:tcW w:w="1984" w:type="dxa"/>
          </w:tcPr>
          <w:p w14:paraId="48F432F1" w14:textId="398B76C7" w:rsidR="005D17A4" w:rsidRPr="005D17A4" w:rsidRDefault="005D17A4" w:rsidP="005D17A4">
            <w:pPr>
              <w:contextualSpacing/>
              <w:jc w:val="center"/>
              <w:rPr>
                <w:rFonts w:ascii="Arial" w:hAnsi="Arial" w:cs="Arial"/>
              </w:rPr>
            </w:pPr>
            <w:r w:rsidRPr="005D17A4">
              <w:rPr>
                <w:rFonts w:ascii="Arial" w:hAnsi="Arial" w:cs="Arial"/>
              </w:rPr>
              <w:t>2.1</w:t>
            </w:r>
          </w:p>
        </w:tc>
        <w:tc>
          <w:tcPr>
            <w:tcW w:w="1843" w:type="dxa"/>
          </w:tcPr>
          <w:p w14:paraId="5B5326DC" w14:textId="36588D34" w:rsidR="005D17A4" w:rsidRPr="005D17A4" w:rsidRDefault="005D17A4" w:rsidP="005D17A4">
            <w:pPr>
              <w:contextualSpacing/>
              <w:jc w:val="center"/>
              <w:rPr>
                <w:rFonts w:ascii="Arial" w:hAnsi="Arial" w:cs="Arial"/>
              </w:rPr>
            </w:pPr>
            <w:r w:rsidRPr="005D17A4">
              <w:rPr>
                <w:rFonts w:ascii="Arial" w:hAnsi="Arial" w:cs="Arial"/>
              </w:rPr>
              <w:t>2.0</w:t>
            </w:r>
          </w:p>
        </w:tc>
        <w:tc>
          <w:tcPr>
            <w:tcW w:w="1843" w:type="dxa"/>
          </w:tcPr>
          <w:p w14:paraId="2006A190" w14:textId="7E2DE6B8" w:rsidR="005D17A4" w:rsidRPr="005D17A4" w:rsidRDefault="005D17A4" w:rsidP="005D17A4">
            <w:pPr>
              <w:contextualSpacing/>
              <w:jc w:val="center"/>
              <w:rPr>
                <w:rFonts w:ascii="Arial" w:hAnsi="Arial" w:cs="Arial"/>
              </w:rPr>
            </w:pPr>
            <w:r w:rsidRPr="005D17A4">
              <w:rPr>
                <w:rFonts w:ascii="Arial" w:hAnsi="Arial" w:cs="Arial"/>
              </w:rPr>
              <w:t>1.0</w:t>
            </w:r>
          </w:p>
        </w:tc>
        <w:tc>
          <w:tcPr>
            <w:tcW w:w="1842" w:type="dxa"/>
          </w:tcPr>
          <w:p w14:paraId="3970CA69" w14:textId="41F91116"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3711E15B" w14:textId="0B1156BB" w:rsidR="005D17A4" w:rsidRPr="005D17A4" w:rsidRDefault="005D17A4" w:rsidP="005D17A4">
            <w:pPr>
              <w:contextualSpacing/>
              <w:jc w:val="center"/>
              <w:rPr>
                <w:rFonts w:ascii="Arial" w:hAnsi="Arial" w:cs="Arial"/>
              </w:rPr>
            </w:pPr>
            <w:r w:rsidRPr="005D17A4">
              <w:rPr>
                <w:rFonts w:ascii="Arial" w:hAnsi="Arial" w:cs="Arial"/>
              </w:rPr>
              <w:t>1.0</w:t>
            </w:r>
          </w:p>
        </w:tc>
      </w:tr>
      <w:tr w:rsidR="005D17A4" w:rsidRPr="005D17A4" w14:paraId="24733558" w14:textId="77777777" w:rsidTr="001A4B15">
        <w:tc>
          <w:tcPr>
            <w:tcW w:w="1985" w:type="dxa"/>
          </w:tcPr>
          <w:p w14:paraId="30F862C1" w14:textId="77777777" w:rsidR="005D17A4" w:rsidRPr="005D17A4" w:rsidRDefault="005D17A4" w:rsidP="005D17A4">
            <w:pPr>
              <w:contextualSpacing/>
              <w:rPr>
                <w:rFonts w:ascii="Arial" w:hAnsi="Arial" w:cs="Arial"/>
              </w:rPr>
            </w:pPr>
            <w:r w:rsidRPr="005D17A4">
              <w:rPr>
                <w:rFonts w:ascii="Arial" w:hAnsi="Arial" w:cs="Arial"/>
              </w:rPr>
              <w:t>CEC me/100g</w:t>
            </w:r>
          </w:p>
        </w:tc>
        <w:tc>
          <w:tcPr>
            <w:tcW w:w="1134" w:type="dxa"/>
          </w:tcPr>
          <w:p w14:paraId="43F15649" w14:textId="33390054" w:rsidR="005D17A4" w:rsidRPr="005D17A4" w:rsidRDefault="005D17A4" w:rsidP="005D17A4">
            <w:pPr>
              <w:contextualSpacing/>
              <w:jc w:val="center"/>
              <w:rPr>
                <w:rFonts w:ascii="Arial" w:hAnsi="Arial" w:cs="Arial"/>
              </w:rPr>
            </w:pPr>
            <w:r w:rsidRPr="005D17A4">
              <w:rPr>
                <w:rFonts w:ascii="Arial" w:hAnsi="Arial" w:cs="Arial"/>
              </w:rPr>
              <w:t>3.9</w:t>
            </w:r>
          </w:p>
        </w:tc>
        <w:tc>
          <w:tcPr>
            <w:tcW w:w="1843" w:type="dxa"/>
          </w:tcPr>
          <w:p w14:paraId="1C8815FF" w14:textId="2CCE596E" w:rsidR="005D17A4" w:rsidRPr="005D17A4" w:rsidRDefault="005D17A4" w:rsidP="005D17A4">
            <w:pPr>
              <w:contextualSpacing/>
              <w:jc w:val="center"/>
              <w:rPr>
                <w:rFonts w:ascii="Arial" w:hAnsi="Arial" w:cs="Arial"/>
              </w:rPr>
            </w:pPr>
            <w:r w:rsidRPr="005D17A4">
              <w:rPr>
                <w:rFonts w:ascii="Arial" w:hAnsi="Arial" w:cs="Arial"/>
              </w:rPr>
              <w:t>3.3</w:t>
            </w:r>
          </w:p>
        </w:tc>
        <w:tc>
          <w:tcPr>
            <w:tcW w:w="1984" w:type="dxa"/>
          </w:tcPr>
          <w:p w14:paraId="2BC0AB8F" w14:textId="03498C4F" w:rsidR="005D17A4" w:rsidRPr="005D17A4" w:rsidRDefault="005D17A4" w:rsidP="005D17A4">
            <w:pPr>
              <w:contextualSpacing/>
              <w:jc w:val="center"/>
              <w:rPr>
                <w:rFonts w:ascii="Arial" w:hAnsi="Arial" w:cs="Arial"/>
              </w:rPr>
            </w:pPr>
            <w:r w:rsidRPr="005D17A4">
              <w:rPr>
                <w:rFonts w:ascii="Arial" w:hAnsi="Arial" w:cs="Arial"/>
              </w:rPr>
              <w:t>4.1</w:t>
            </w:r>
          </w:p>
        </w:tc>
        <w:tc>
          <w:tcPr>
            <w:tcW w:w="1843" w:type="dxa"/>
          </w:tcPr>
          <w:p w14:paraId="19825136" w14:textId="379860C8" w:rsidR="005D17A4" w:rsidRPr="005D17A4" w:rsidRDefault="005D17A4" w:rsidP="005D17A4">
            <w:pPr>
              <w:contextualSpacing/>
              <w:jc w:val="center"/>
              <w:rPr>
                <w:rFonts w:ascii="Arial" w:hAnsi="Arial" w:cs="Arial"/>
              </w:rPr>
            </w:pPr>
            <w:r w:rsidRPr="005D17A4">
              <w:rPr>
                <w:rFonts w:ascii="Arial" w:hAnsi="Arial" w:cs="Arial"/>
              </w:rPr>
              <w:t>3.4</w:t>
            </w:r>
          </w:p>
        </w:tc>
        <w:tc>
          <w:tcPr>
            <w:tcW w:w="1843" w:type="dxa"/>
          </w:tcPr>
          <w:p w14:paraId="37724A4D" w14:textId="6BC5A755" w:rsidR="005D17A4" w:rsidRPr="005D17A4" w:rsidRDefault="005D17A4" w:rsidP="005D17A4">
            <w:pPr>
              <w:contextualSpacing/>
              <w:jc w:val="center"/>
              <w:rPr>
                <w:rFonts w:ascii="Arial" w:hAnsi="Arial" w:cs="Arial"/>
              </w:rPr>
            </w:pPr>
            <w:r w:rsidRPr="005D17A4">
              <w:rPr>
                <w:rFonts w:ascii="Arial" w:hAnsi="Arial" w:cs="Arial"/>
              </w:rPr>
              <w:t>3.2</w:t>
            </w:r>
          </w:p>
        </w:tc>
        <w:tc>
          <w:tcPr>
            <w:tcW w:w="1842" w:type="dxa"/>
          </w:tcPr>
          <w:p w14:paraId="369942F7" w14:textId="18B14E15" w:rsidR="005D17A4" w:rsidRPr="005D17A4" w:rsidRDefault="005D17A4" w:rsidP="005D17A4">
            <w:pPr>
              <w:contextualSpacing/>
              <w:jc w:val="center"/>
              <w:rPr>
                <w:rFonts w:ascii="Arial" w:hAnsi="Arial" w:cs="Arial"/>
              </w:rPr>
            </w:pPr>
            <w:r w:rsidRPr="005D17A4">
              <w:rPr>
                <w:rFonts w:ascii="Arial" w:hAnsi="Arial" w:cs="Arial"/>
              </w:rPr>
              <w:t>3.2</w:t>
            </w:r>
          </w:p>
        </w:tc>
        <w:tc>
          <w:tcPr>
            <w:tcW w:w="1843" w:type="dxa"/>
          </w:tcPr>
          <w:p w14:paraId="30AAD326" w14:textId="650D4C2D" w:rsidR="005D17A4" w:rsidRPr="005D17A4" w:rsidRDefault="005D17A4" w:rsidP="005D17A4">
            <w:pPr>
              <w:contextualSpacing/>
              <w:jc w:val="center"/>
              <w:rPr>
                <w:rFonts w:ascii="Arial" w:hAnsi="Arial" w:cs="Arial"/>
              </w:rPr>
            </w:pPr>
            <w:r w:rsidRPr="005D17A4">
              <w:rPr>
                <w:rFonts w:ascii="Arial" w:hAnsi="Arial" w:cs="Arial"/>
              </w:rPr>
              <w:t>3.3</w:t>
            </w:r>
          </w:p>
        </w:tc>
      </w:tr>
      <w:tr w:rsidR="005D17A4" w:rsidRPr="005D17A4" w14:paraId="4C476862" w14:textId="77777777" w:rsidTr="001A4B15">
        <w:tc>
          <w:tcPr>
            <w:tcW w:w="1985" w:type="dxa"/>
          </w:tcPr>
          <w:p w14:paraId="72D230F4" w14:textId="77777777" w:rsidR="005D17A4" w:rsidRPr="005D17A4" w:rsidRDefault="005D17A4" w:rsidP="005D17A4">
            <w:pPr>
              <w:tabs>
                <w:tab w:val="left" w:pos="1035"/>
              </w:tabs>
              <w:contextualSpacing/>
              <w:rPr>
                <w:rFonts w:ascii="Arial" w:hAnsi="Arial" w:cs="Arial"/>
              </w:rPr>
            </w:pPr>
            <w:r w:rsidRPr="005D17A4">
              <w:rPr>
                <w:rFonts w:ascii="Arial" w:hAnsi="Arial" w:cs="Arial"/>
              </w:rPr>
              <w:t>Iron (ppm)</w:t>
            </w:r>
          </w:p>
        </w:tc>
        <w:tc>
          <w:tcPr>
            <w:tcW w:w="1134" w:type="dxa"/>
          </w:tcPr>
          <w:p w14:paraId="04AD057E" w14:textId="4A303E4D" w:rsidR="005D17A4" w:rsidRPr="005D17A4" w:rsidRDefault="005D17A4" w:rsidP="005D17A4">
            <w:pPr>
              <w:contextualSpacing/>
              <w:jc w:val="center"/>
              <w:rPr>
                <w:rFonts w:ascii="Arial" w:hAnsi="Arial" w:cs="Arial"/>
              </w:rPr>
            </w:pPr>
            <w:r w:rsidRPr="005D17A4">
              <w:rPr>
                <w:rFonts w:ascii="Arial" w:hAnsi="Arial" w:cs="Arial"/>
              </w:rPr>
              <w:t>106</w:t>
            </w:r>
          </w:p>
        </w:tc>
        <w:tc>
          <w:tcPr>
            <w:tcW w:w="1843" w:type="dxa"/>
          </w:tcPr>
          <w:p w14:paraId="7CB86832" w14:textId="37D2F5A7" w:rsidR="005D17A4" w:rsidRPr="005D17A4" w:rsidRDefault="005D17A4" w:rsidP="005D17A4">
            <w:pPr>
              <w:contextualSpacing/>
              <w:jc w:val="center"/>
              <w:rPr>
                <w:rFonts w:ascii="Arial" w:hAnsi="Arial" w:cs="Arial"/>
              </w:rPr>
            </w:pPr>
            <w:r w:rsidRPr="005D17A4">
              <w:rPr>
                <w:rFonts w:ascii="Arial" w:hAnsi="Arial" w:cs="Arial"/>
              </w:rPr>
              <w:t>110</w:t>
            </w:r>
          </w:p>
        </w:tc>
        <w:tc>
          <w:tcPr>
            <w:tcW w:w="1984" w:type="dxa"/>
          </w:tcPr>
          <w:p w14:paraId="4982338F" w14:textId="3326CDCD" w:rsidR="005D17A4" w:rsidRPr="005D17A4" w:rsidRDefault="005D17A4" w:rsidP="005D17A4">
            <w:pPr>
              <w:contextualSpacing/>
              <w:jc w:val="center"/>
              <w:rPr>
                <w:rFonts w:ascii="Arial" w:hAnsi="Arial" w:cs="Arial"/>
              </w:rPr>
            </w:pPr>
            <w:r w:rsidRPr="005D17A4">
              <w:rPr>
                <w:rFonts w:ascii="Arial" w:hAnsi="Arial" w:cs="Arial"/>
              </w:rPr>
              <w:t>109</w:t>
            </w:r>
          </w:p>
        </w:tc>
        <w:tc>
          <w:tcPr>
            <w:tcW w:w="1843" w:type="dxa"/>
          </w:tcPr>
          <w:p w14:paraId="2300D648" w14:textId="72B20BE9" w:rsidR="005D17A4" w:rsidRPr="005D17A4" w:rsidRDefault="005D17A4" w:rsidP="005D17A4">
            <w:pPr>
              <w:contextualSpacing/>
              <w:jc w:val="center"/>
              <w:rPr>
                <w:rFonts w:ascii="Arial" w:hAnsi="Arial" w:cs="Arial"/>
              </w:rPr>
            </w:pPr>
            <w:r w:rsidRPr="005D17A4">
              <w:rPr>
                <w:rFonts w:ascii="Arial" w:hAnsi="Arial" w:cs="Arial"/>
              </w:rPr>
              <w:t>106</w:t>
            </w:r>
          </w:p>
        </w:tc>
        <w:tc>
          <w:tcPr>
            <w:tcW w:w="1843" w:type="dxa"/>
          </w:tcPr>
          <w:p w14:paraId="7229601F" w14:textId="337FCCB3" w:rsidR="005D17A4" w:rsidRPr="005D17A4" w:rsidRDefault="005D17A4" w:rsidP="005D17A4">
            <w:pPr>
              <w:contextualSpacing/>
              <w:jc w:val="center"/>
              <w:rPr>
                <w:rFonts w:ascii="Arial" w:hAnsi="Arial" w:cs="Arial"/>
              </w:rPr>
            </w:pPr>
            <w:r w:rsidRPr="005D17A4">
              <w:rPr>
                <w:rFonts w:ascii="Arial" w:hAnsi="Arial" w:cs="Arial"/>
              </w:rPr>
              <w:t>108</w:t>
            </w:r>
          </w:p>
        </w:tc>
        <w:tc>
          <w:tcPr>
            <w:tcW w:w="1842" w:type="dxa"/>
          </w:tcPr>
          <w:p w14:paraId="3859688B" w14:textId="48DCCDF6" w:rsidR="005D17A4" w:rsidRPr="005D17A4" w:rsidRDefault="005D17A4" w:rsidP="005D17A4">
            <w:pPr>
              <w:contextualSpacing/>
              <w:jc w:val="center"/>
              <w:rPr>
                <w:rFonts w:ascii="Arial" w:hAnsi="Arial" w:cs="Arial"/>
              </w:rPr>
            </w:pPr>
            <w:r w:rsidRPr="005D17A4">
              <w:rPr>
                <w:rFonts w:ascii="Arial" w:hAnsi="Arial" w:cs="Arial"/>
              </w:rPr>
              <w:t>104</w:t>
            </w:r>
          </w:p>
        </w:tc>
        <w:tc>
          <w:tcPr>
            <w:tcW w:w="1843" w:type="dxa"/>
          </w:tcPr>
          <w:p w14:paraId="590C69E5" w14:textId="59D63586" w:rsidR="005D17A4" w:rsidRPr="005D17A4" w:rsidRDefault="005D17A4" w:rsidP="005D17A4">
            <w:pPr>
              <w:contextualSpacing/>
              <w:jc w:val="center"/>
              <w:rPr>
                <w:rFonts w:ascii="Arial" w:hAnsi="Arial" w:cs="Arial"/>
              </w:rPr>
            </w:pPr>
            <w:r w:rsidRPr="005D17A4">
              <w:rPr>
                <w:rFonts w:ascii="Arial" w:hAnsi="Arial" w:cs="Arial"/>
              </w:rPr>
              <w:t>105</w:t>
            </w:r>
          </w:p>
        </w:tc>
      </w:tr>
      <w:tr w:rsidR="005D17A4" w:rsidRPr="005D17A4" w14:paraId="08D7BF18" w14:textId="77777777" w:rsidTr="001A4B15">
        <w:tc>
          <w:tcPr>
            <w:tcW w:w="1985" w:type="dxa"/>
          </w:tcPr>
          <w:p w14:paraId="6A7C4A8B" w14:textId="77777777" w:rsidR="005D17A4" w:rsidRPr="005D17A4" w:rsidRDefault="005D17A4" w:rsidP="005D17A4">
            <w:pPr>
              <w:tabs>
                <w:tab w:val="left" w:pos="1035"/>
              </w:tabs>
              <w:contextualSpacing/>
              <w:rPr>
                <w:rFonts w:ascii="Arial" w:hAnsi="Arial" w:cs="Arial"/>
              </w:rPr>
            </w:pPr>
            <w:r w:rsidRPr="005D17A4">
              <w:rPr>
                <w:rFonts w:ascii="Arial" w:hAnsi="Arial" w:cs="Arial"/>
              </w:rPr>
              <w:t>Cu (ppm)</w:t>
            </w:r>
          </w:p>
        </w:tc>
        <w:tc>
          <w:tcPr>
            <w:tcW w:w="1134" w:type="dxa"/>
          </w:tcPr>
          <w:p w14:paraId="3D44B99F" w14:textId="09D049BF" w:rsidR="005D17A4" w:rsidRPr="005D17A4" w:rsidRDefault="005D17A4" w:rsidP="005D17A4">
            <w:pPr>
              <w:contextualSpacing/>
              <w:jc w:val="center"/>
              <w:rPr>
                <w:rFonts w:ascii="Arial" w:hAnsi="Arial" w:cs="Arial"/>
              </w:rPr>
            </w:pPr>
            <w:r w:rsidRPr="005D17A4">
              <w:rPr>
                <w:rFonts w:ascii="Arial" w:hAnsi="Arial" w:cs="Arial"/>
              </w:rPr>
              <w:t>1.8</w:t>
            </w:r>
          </w:p>
        </w:tc>
        <w:tc>
          <w:tcPr>
            <w:tcW w:w="1843" w:type="dxa"/>
          </w:tcPr>
          <w:p w14:paraId="1091DDA9" w14:textId="16A9E5BA" w:rsidR="005D17A4" w:rsidRPr="005D17A4" w:rsidRDefault="005D17A4" w:rsidP="005D17A4">
            <w:pPr>
              <w:contextualSpacing/>
              <w:jc w:val="center"/>
              <w:rPr>
                <w:rFonts w:ascii="Arial" w:hAnsi="Arial" w:cs="Arial"/>
              </w:rPr>
            </w:pPr>
            <w:r w:rsidRPr="005D17A4">
              <w:rPr>
                <w:rFonts w:ascii="Arial" w:hAnsi="Arial" w:cs="Arial"/>
              </w:rPr>
              <w:t>1.8</w:t>
            </w:r>
          </w:p>
        </w:tc>
        <w:tc>
          <w:tcPr>
            <w:tcW w:w="1984" w:type="dxa"/>
          </w:tcPr>
          <w:p w14:paraId="46F14827" w14:textId="0EDED309" w:rsidR="005D17A4" w:rsidRPr="005D17A4" w:rsidRDefault="005D17A4" w:rsidP="005D17A4">
            <w:pPr>
              <w:contextualSpacing/>
              <w:jc w:val="center"/>
              <w:rPr>
                <w:rFonts w:ascii="Arial" w:hAnsi="Arial" w:cs="Arial"/>
              </w:rPr>
            </w:pPr>
            <w:r w:rsidRPr="005D17A4">
              <w:rPr>
                <w:rFonts w:ascii="Arial" w:hAnsi="Arial" w:cs="Arial"/>
              </w:rPr>
              <w:t>1.8</w:t>
            </w:r>
          </w:p>
        </w:tc>
        <w:tc>
          <w:tcPr>
            <w:tcW w:w="1843" w:type="dxa"/>
          </w:tcPr>
          <w:p w14:paraId="3169DD01" w14:textId="1552B82B" w:rsidR="005D17A4" w:rsidRPr="005D17A4" w:rsidRDefault="005D17A4" w:rsidP="005D17A4">
            <w:pPr>
              <w:contextualSpacing/>
              <w:jc w:val="center"/>
              <w:rPr>
                <w:rFonts w:ascii="Arial" w:hAnsi="Arial" w:cs="Arial"/>
              </w:rPr>
            </w:pPr>
            <w:r w:rsidRPr="005D17A4">
              <w:rPr>
                <w:rFonts w:ascii="Arial" w:hAnsi="Arial" w:cs="Arial"/>
              </w:rPr>
              <w:t>1.81</w:t>
            </w:r>
          </w:p>
        </w:tc>
        <w:tc>
          <w:tcPr>
            <w:tcW w:w="1843" w:type="dxa"/>
          </w:tcPr>
          <w:p w14:paraId="45504B3A" w14:textId="2170106E" w:rsidR="005D17A4" w:rsidRPr="005D17A4" w:rsidRDefault="005D17A4" w:rsidP="005D17A4">
            <w:pPr>
              <w:contextualSpacing/>
              <w:jc w:val="center"/>
              <w:rPr>
                <w:rFonts w:ascii="Arial" w:hAnsi="Arial" w:cs="Arial"/>
              </w:rPr>
            </w:pPr>
            <w:r w:rsidRPr="005D17A4">
              <w:rPr>
                <w:rFonts w:ascii="Arial" w:hAnsi="Arial" w:cs="Arial"/>
              </w:rPr>
              <w:t>1.8</w:t>
            </w:r>
          </w:p>
        </w:tc>
        <w:tc>
          <w:tcPr>
            <w:tcW w:w="1842" w:type="dxa"/>
          </w:tcPr>
          <w:p w14:paraId="3462BE12" w14:textId="63331863" w:rsidR="005D17A4" w:rsidRPr="005D17A4" w:rsidRDefault="005D17A4" w:rsidP="005D17A4">
            <w:pPr>
              <w:contextualSpacing/>
              <w:jc w:val="center"/>
              <w:rPr>
                <w:rFonts w:ascii="Arial" w:hAnsi="Arial" w:cs="Arial"/>
              </w:rPr>
            </w:pPr>
            <w:r w:rsidRPr="005D17A4">
              <w:rPr>
                <w:rFonts w:ascii="Arial" w:hAnsi="Arial" w:cs="Arial"/>
              </w:rPr>
              <w:t>1.8</w:t>
            </w:r>
          </w:p>
        </w:tc>
        <w:tc>
          <w:tcPr>
            <w:tcW w:w="1843" w:type="dxa"/>
          </w:tcPr>
          <w:p w14:paraId="4B2295C0" w14:textId="3A3B724B" w:rsidR="005D17A4" w:rsidRPr="005D17A4" w:rsidRDefault="005D17A4" w:rsidP="005D17A4">
            <w:pPr>
              <w:contextualSpacing/>
              <w:jc w:val="center"/>
              <w:rPr>
                <w:rFonts w:ascii="Arial" w:hAnsi="Arial" w:cs="Arial"/>
              </w:rPr>
            </w:pPr>
            <w:r w:rsidRPr="005D17A4">
              <w:rPr>
                <w:rFonts w:ascii="Arial" w:hAnsi="Arial" w:cs="Arial"/>
              </w:rPr>
              <w:t>1.8</w:t>
            </w:r>
          </w:p>
        </w:tc>
      </w:tr>
      <w:tr w:rsidR="005D17A4" w:rsidRPr="005D17A4" w14:paraId="23620CE6" w14:textId="77777777" w:rsidTr="001A4B15">
        <w:tc>
          <w:tcPr>
            <w:tcW w:w="1985" w:type="dxa"/>
          </w:tcPr>
          <w:p w14:paraId="57CAB51D" w14:textId="77777777" w:rsidR="005D17A4" w:rsidRPr="005D17A4" w:rsidRDefault="005D17A4" w:rsidP="005D17A4">
            <w:pPr>
              <w:tabs>
                <w:tab w:val="left" w:pos="1035"/>
              </w:tabs>
              <w:contextualSpacing/>
              <w:rPr>
                <w:rFonts w:ascii="Arial" w:hAnsi="Arial" w:cs="Arial"/>
              </w:rPr>
            </w:pPr>
            <w:r w:rsidRPr="005D17A4">
              <w:rPr>
                <w:rFonts w:ascii="Arial" w:hAnsi="Arial" w:cs="Arial"/>
              </w:rPr>
              <w:t>C/N</w:t>
            </w:r>
          </w:p>
        </w:tc>
        <w:tc>
          <w:tcPr>
            <w:tcW w:w="1134" w:type="dxa"/>
          </w:tcPr>
          <w:p w14:paraId="1692F89F" w14:textId="159C8968" w:rsidR="005D17A4" w:rsidRPr="005D17A4" w:rsidRDefault="005D17A4" w:rsidP="005D17A4">
            <w:pPr>
              <w:contextualSpacing/>
              <w:jc w:val="center"/>
              <w:rPr>
                <w:rFonts w:ascii="Arial" w:hAnsi="Arial" w:cs="Arial"/>
              </w:rPr>
            </w:pPr>
            <w:r w:rsidRPr="005D17A4">
              <w:rPr>
                <w:rFonts w:ascii="Arial" w:hAnsi="Arial" w:cs="Arial"/>
              </w:rPr>
              <w:t>1.5</w:t>
            </w:r>
          </w:p>
        </w:tc>
        <w:tc>
          <w:tcPr>
            <w:tcW w:w="1843" w:type="dxa"/>
          </w:tcPr>
          <w:p w14:paraId="1F58B27F" w14:textId="31500C4F" w:rsidR="005D17A4" w:rsidRPr="005D17A4" w:rsidRDefault="005D17A4" w:rsidP="005D17A4">
            <w:pPr>
              <w:contextualSpacing/>
              <w:jc w:val="center"/>
              <w:rPr>
                <w:rFonts w:ascii="Arial" w:hAnsi="Arial" w:cs="Arial"/>
              </w:rPr>
            </w:pPr>
            <w:r w:rsidRPr="005D17A4">
              <w:rPr>
                <w:rFonts w:ascii="Arial" w:hAnsi="Arial" w:cs="Arial"/>
              </w:rPr>
              <w:t>15</w:t>
            </w:r>
          </w:p>
        </w:tc>
        <w:tc>
          <w:tcPr>
            <w:tcW w:w="1984" w:type="dxa"/>
          </w:tcPr>
          <w:p w14:paraId="28C47799" w14:textId="66F50F02" w:rsidR="005D17A4" w:rsidRPr="005D17A4" w:rsidRDefault="005D17A4" w:rsidP="005D17A4">
            <w:pPr>
              <w:contextualSpacing/>
              <w:jc w:val="center"/>
              <w:rPr>
                <w:rFonts w:ascii="Arial" w:hAnsi="Arial" w:cs="Arial"/>
              </w:rPr>
            </w:pPr>
            <w:r w:rsidRPr="005D17A4">
              <w:rPr>
                <w:rFonts w:ascii="Arial" w:hAnsi="Arial" w:cs="Arial"/>
              </w:rPr>
              <w:t>17</w:t>
            </w:r>
          </w:p>
        </w:tc>
        <w:tc>
          <w:tcPr>
            <w:tcW w:w="1843" w:type="dxa"/>
          </w:tcPr>
          <w:p w14:paraId="142CEAAC" w14:textId="624DB789" w:rsidR="005D17A4" w:rsidRPr="005D17A4" w:rsidRDefault="005D17A4" w:rsidP="005D17A4">
            <w:pPr>
              <w:contextualSpacing/>
              <w:jc w:val="center"/>
              <w:rPr>
                <w:rFonts w:ascii="Arial" w:hAnsi="Arial" w:cs="Arial"/>
              </w:rPr>
            </w:pPr>
            <w:r w:rsidRPr="005D17A4">
              <w:rPr>
                <w:rFonts w:ascii="Arial" w:hAnsi="Arial" w:cs="Arial"/>
              </w:rPr>
              <w:t>17</w:t>
            </w:r>
          </w:p>
        </w:tc>
        <w:tc>
          <w:tcPr>
            <w:tcW w:w="1843" w:type="dxa"/>
          </w:tcPr>
          <w:p w14:paraId="1A3383E8" w14:textId="5A86ED9E" w:rsidR="005D17A4" w:rsidRPr="005D17A4" w:rsidRDefault="005D17A4" w:rsidP="005D17A4">
            <w:pPr>
              <w:contextualSpacing/>
              <w:jc w:val="center"/>
              <w:rPr>
                <w:rFonts w:ascii="Arial" w:hAnsi="Arial" w:cs="Arial"/>
              </w:rPr>
            </w:pPr>
            <w:r w:rsidRPr="005D17A4">
              <w:rPr>
                <w:rFonts w:ascii="Arial" w:hAnsi="Arial" w:cs="Arial"/>
              </w:rPr>
              <w:t>17</w:t>
            </w:r>
          </w:p>
        </w:tc>
        <w:tc>
          <w:tcPr>
            <w:tcW w:w="1842" w:type="dxa"/>
          </w:tcPr>
          <w:p w14:paraId="45581055" w14:textId="0556A0FE" w:rsidR="005D17A4" w:rsidRPr="005D17A4" w:rsidRDefault="005D17A4" w:rsidP="005D17A4">
            <w:pPr>
              <w:contextualSpacing/>
              <w:jc w:val="center"/>
              <w:rPr>
                <w:rFonts w:ascii="Arial" w:hAnsi="Arial" w:cs="Arial"/>
              </w:rPr>
            </w:pPr>
            <w:r w:rsidRPr="005D17A4">
              <w:rPr>
                <w:rFonts w:ascii="Arial" w:hAnsi="Arial" w:cs="Arial"/>
              </w:rPr>
              <w:t>17</w:t>
            </w:r>
          </w:p>
        </w:tc>
        <w:tc>
          <w:tcPr>
            <w:tcW w:w="1843" w:type="dxa"/>
          </w:tcPr>
          <w:p w14:paraId="5E77576E" w14:textId="676AD489" w:rsidR="005D17A4" w:rsidRPr="005D17A4" w:rsidRDefault="005D17A4" w:rsidP="005D17A4">
            <w:pPr>
              <w:contextualSpacing/>
              <w:jc w:val="center"/>
              <w:rPr>
                <w:rFonts w:ascii="Arial" w:hAnsi="Arial" w:cs="Arial"/>
              </w:rPr>
            </w:pPr>
            <w:r w:rsidRPr="005D17A4">
              <w:rPr>
                <w:rFonts w:ascii="Arial" w:hAnsi="Arial" w:cs="Arial"/>
              </w:rPr>
              <w:t>14</w:t>
            </w:r>
          </w:p>
        </w:tc>
      </w:tr>
    </w:tbl>
    <w:p w14:paraId="091F0A5E" w14:textId="77777777" w:rsidR="00641B7C" w:rsidRDefault="00641B7C" w:rsidP="00641B7C">
      <w:pPr>
        <w:pStyle w:val="Body"/>
        <w:spacing w:before="240"/>
        <w:rPr>
          <w:rFonts w:ascii="Arial" w:hAnsi="Arial" w:cs="Arial"/>
        </w:rPr>
        <w:sectPr w:rsidR="00641B7C" w:rsidSect="00641B7C">
          <w:pgSz w:w="16840" w:h="11910" w:orient="landscape"/>
          <w:pgMar w:top="1680" w:right="2820" w:bottom="1680" w:left="1720" w:header="2414" w:footer="1524" w:gutter="0"/>
          <w:cols w:space="720"/>
          <w:docGrid w:linePitch="272"/>
        </w:sectPr>
      </w:pPr>
    </w:p>
    <w:p w14:paraId="4DC2C314" w14:textId="4CBC9160" w:rsidR="009B4244" w:rsidRPr="009B4244" w:rsidRDefault="009B4244" w:rsidP="009B4244">
      <w:pPr>
        <w:jc w:val="both"/>
        <w:rPr>
          <w:rFonts w:ascii="Arial" w:hAnsi="Arial" w:cs="Arial"/>
          <w:b/>
          <w:bCs/>
          <w:sz w:val="22"/>
          <w:szCs w:val="22"/>
        </w:rPr>
      </w:pPr>
      <w:bookmarkStart w:id="8" w:name="_Hlk210969237"/>
      <w:r w:rsidRPr="00FE3B00">
        <w:rPr>
          <w:rFonts w:ascii="Arial" w:hAnsi="Arial" w:cs="Arial"/>
          <w:b/>
          <w:bCs/>
          <w:sz w:val="22"/>
          <w:szCs w:val="22"/>
          <w:highlight w:val="yellow"/>
        </w:rPr>
        <w:lastRenderedPageBreak/>
        <w:t>3.4 Phenology</w:t>
      </w:r>
    </w:p>
    <w:p w14:paraId="43C2A5C4" w14:textId="4FA0160A" w:rsidR="009B4244" w:rsidRPr="009B4244" w:rsidRDefault="009B4244" w:rsidP="009B4244">
      <w:pPr>
        <w:spacing w:before="240"/>
        <w:jc w:val="both"/>
        <w:rPr>
          <w:rFonts w:ascii="Arial" w:hAnsi="Arial" w:cs="Arial"/>
          <w:u w:val="single"/>
        </w:rPr>
      </w:pPr>
      <w:r w:rsidRPr="009B4244">
        <w:rPr>
          <w:rFonts w:ascii="Arial" w:hAnsi="Arial" w:cs="Arial"/>
          <w:u w:val="single"/>
        </w:rPr>
        <w:t xml:space="preserve">3.4.1 </w:t>
      </w:r>
      <w:r w:rsidR="00485EB5">
        <w:rPr>
          <w:rFonts w:ascii="Arial" w:hAnsi="Arial" w:cs="Arial"/>
          <w:u w:val="single"/>
        </w:rPr>
        <w:t>Day to 50% tasseling</w:t>
      </w:r>
      <w:r w:rsidRPr="009B4244">
        <w:rPr>
          <w:rFonts w:ascii="Arial" w:hAnsi="Arial" w:cs="Arial"/>
          <w:u w:val="single"/>
        </w:rPr>
        <w:t xml:space="preserve">  </w:t>
      </w:r>
    </w:p>
    <w:p w14:paraId="59195F36" w14:textId="6341C99B" w:rsidR="00485EB5" w:rsidRDefault="00485EB5" w:rsidP="009B4244">
      <w:pPr>
        <w:spacing w:before="240" w:after="240"/>
        <w:jc w:val="both"/>
        <w:rPr>
          <w:rFonts w:ascii="Arial" w:hAnsi="Arial" w:cs="Arial"/>
        </w:rPr>
      </w:pPr>
      <w:r w:rsidRPr="00485EB5">
        <w:rPr>
          <w:rFonts w:ascii="Arial" w:hAnsi="Arial" w:cs="Arial"/>
        </w:rPr>
        <w:t xml:space="preserve">The different rates of fertilizer had no significant (P&gt;0.05) effect on the number of days to 50% tasseling at Amantin and Nsapor (Table 6). However, plants that received Briquette NPK &amp; Urea (114-44-44) 172.8 </w:t>
      </w:r>
      <w:r w:rsidR="004E4C90" w:rsidRPr="007C4D89">
        <w:rPr>
          <w:rFonts w:ascii="Arial" w:hAnsi="Arial" w:cs="Arial"/>
          <w:highlight w:val="yellow"/>
        </w:rPr>
        <w:t>kg ha</w:t>
      </w:r>
      <w:r w:rsidR="004E4C90" w:rsidRPr="007C4D89">
        <w:rPr>
          <w:rFonts w:ascii="Arial" w:hAnsi="Arial" w:cs="Arial"/>
          <w:highlight w:val="yellow"/>
          <w:vertAlign w:val="superscript"/>
        </w:rPr>
        <w:t>-1</w:t>
      </w:r>
      <w:r w:rsidR="004E4C90" w:rsidRPr="007C4D89">
        <w:rPr>
          <w:rFonts w:ascii="Arial" w:hAnsi="Arial" w:cs="Arial"/>
          <w:vertAlign w:val="superscript"/>
        </w:rPr>
        <w:t xml:space="preserve"> </w:t>
      </w:r>
      <w:r w:rsidRPr="00485EB5">
        <w:rPr>
          <w:rFonts w:ascii="Arial" w:hAnsi="Arial" w:cs="Arial"/>
        </w:rPr>
        <w:t xml:space="preserve">and Briquette NPK &amp; Urea (76-29-29) 115.2 </w:t>
      </w:r>
      <w:r w:rsidR="004E4C90" w:rsidRPr="007C4D89">
        <w:rPr>
          <w:rFonts w:ascii="Arial" w:hAnsi="Arial" w:cs="Arial"/>
          <w:highlight w:val="yellow"/>
        </w:rPr>
        <w:t>kg ha</w:t>
      </w:r>
      <w:r w:rsidR="004E4C90" w:rsidRPr="007C4D89">
        <w:rPr>
          <w:rFonts w:ascii="Arial" w:hAnsi="Arial" w:cs="Arial"/>
          <w:highlight w:val="yellow"/>
          <w:vertAlign w:val="superscript"/>
        </w:rPr>
        <w:t>-1</w:t>
      </w:r>
      <w:r w:rsidR="004E4C90" w:rsidRPr="007C4D89">
        <w:rPr>
          <w:rFonts w:ascii="Arial" w:hAnsi="Arial" w:cs="Arial"/>
          <w:vertAlign w:val="superscript"/>
        </w:rPr>
        <w:t xml:space="preserve"> </w:t>
      </w:r>
      <w:r w:rsidRPr="00485EB5">
        <w:rPr>
          <w:rFonts w:ascii="Arial" w:hAnsi="Arial" w:cs="Arial"/>
        </w:rPr>
        <w:t>recorded the least number of days to 50% tasseling across both locations, whereas plants grown on the unamended plot recorded the highest number of days to 50% tasseling across both locations. Locations as well as treatment x location interactions had no significant effect on the number of days to 50% tasseling.</w:t>
      </w:r>
    </w:p>
    <w:p w14:paraId="27E9CE67" w14:textId="052C3688" w:rsidR="00485EB5" w:rsidRPr="009B4244" w:rsidRDefault="00485EB5" w:rsidP="00485EB5">
      <w:pPr>
        <w:spacing w:before="240"/>
        <w:jc w:val="both"/>
        <w:rPr>
          <w:rFonts w:ascii="Arial" w:hAnsi="Arial" w:cs="Arial"/>
          <w:u w:val="single"/>
        </w:rPr>
      </w:pPr>
      <w:r w:rsidRPr="009B4244">
        <w:rPr>
          <w:rFonts w:ascii="Arial" w:hAnsi="Arial" w:cs="Arial"/>
          <w:u w:val="single"/>
        </w:rPr>
        <w:t xml:space="preserve">3.4.1 </w:t>
      </w:r>
      <w:r>
        <w:rPr>
          <w:rFonts w:ascii="Arial" w:hAnsi="Arial" w:cs="Arial"/>
          <w:u w:val="single"/>
        </w:rPr>
        <w:t>Day to 50% silking</w:t>
      </w:r>
      <w:r w:rsidRPr="009B4244">
        <w:rPr>
          <w:rFonts w:ascii="Arial" w:hAnsi="Arial" w:cs="Arial"/>
          <w:u w:val="single"/>
        </w:rPr>
        <w:t xml:space="preserve">  </w:t>
      </w:r>
    </w:p>
    <w:p w14:paraId="44DB30BE" w14:textId="63E09FDC" w:rsidR="00485EB5" w:rsidRDefault="00485EB5" w:rsidP="009B4244">
      <w:pPr>
        <w:spacing w:before="240" w:after="240"/>
        <w:jc w:val="both"/>
        <w:rPr>
          <w:rFonts w:ascii="Arial" w:hAnsi="Arial" w:cs="Arial"/>
        </w:rPr>
      </w:pPr>
      <w:r w:rsidRPr="00485EB5">
        <w:rPr>
          <w:rFonts w:ascii="Arial" w:hAnsi="Arial" w:cs="Arial"/>
        </w:rPr>
        <w:t>Table 6 showed that there was no significant (P&gt;0.05) difference in days to 50% silking among treatments at both locations. However, across both locations, Briquette NPK &amp; Urea (121-58.</w:t>
      </w:r>
      <w:r w:rsidR="000B6F78" w:rsidRPr="000B6F78">
        <w:rPr>
          <w:rFonts w:ascii="Arial" w:hAnsi="Arial" w:cs="Arial"/>
          <w:highlight w:val="yellow"/>
        </w:rPr>
        <w:t>7-</w:t>
      </w:r>
      <w:r w:rsidRPr="00485EB5">
        <w:rPr>
          <w:rFonts w:ascii="Arial" w:hAnsi="Arial" w:cs="Arial"/>
        </w:rPr>
        <w:t xml:space="preserve">59) 230.4 </w:t>
      </w:r>
      <w:r w:rsidR="004E4C90" w:rsidRPr="007C4D89">
        <w:rPr>
          <w:rFonts w:ascii="Arial" w:hAnsi="Arial" w:cs="Arial"/>
          <w:highlight w:val="yellow"/>
        </w:rPr>
        <w:t>kg ha</w:t>
      </w:r>
      <w:r w:rsidR="004E4C90" w:rsidRPr="007C4D89">
        <w:rPr>
          <w:rFonts w:ascii="Arial" w:hAnsi="Arial" w:cs="Arial"/>
          <w:highlight w:val="yellow"/>
          <w:vertAlign w:val="superscript"/>
        </w:rPr>
        <w:t>-1</w:t>
      </w:r>
      <w:r w:rsidR="004E4C90" w:rsidRPr="007C4D89">
        <w:rPr>
          <w:rFonts w:ascii="Arial" w:hAnsi="Arial" w:cs="Arial"/>
          <w:vertAlign w:val="superscript"/>
        </w:rPr>
        <w:t xml:space="preserve"> </w:t>
      </w:r>
      <w:r w:rsidRPr="00485EB5">
        <w:rPr>
          <w:rFonts w:ascii="Arial" w:hAnsi="Arial" w:cs="Arial"/>
        </w:rPr>
        <w:t xml:space="preserve">recorded the least number of days to 50% silking, whereas Granule NPK &amp; Urea (120-40-40) 200 </w:t>
      </w:r>
      <w:r w:rsidR="004E4C90" w:rsidRPr="007C4D89">
        <w:rPr>
          <w:rFonts w:ascii="Arial" w:hAnsi="Arial" w:cs="Arial"/>
          <w:highlight w:val="yellow"/>
        </w:rPr>
        <w:t>kg ha</w:t>
      </w:r>
      <w:r w:rsidR="004E4C90" w:rsidRPr="007C4D89">
        <w:rPr>
          <w:rFonts w:ascii="Arial" w:hAnsi="Arial" w:cs="Arial"/>
          <w:highlight w:val="yellow"/>
          <w:vertAlign w:val="superscript"/>
        </w:rPr>
        <w:t>-1</w:t>
      </w:r>
      <w:r w:rsidR="004E4C90" w:rsidRPr="007C4D89">
        <w:rPr>
          <w:rFonts w:ascii="Arial" w:hAnsi="Arial" w:cs="Arial"/>
          <w:vertAlign w:val="superscript"/>
        </w:rPr>
        <w:t xml:space="preserve"> </w:t>
      </w:r>
      <w:r w:rsidRPr="00485EB5">
        <w:rPr>
          <w:rFonts w:ascii="Arial" w:hAnsi="Arial" w:cs="Arial"/>
        </w:rPr>
        <w:t xml:space="preserve">and Briquette NPK &amp; Urea (31-29-29) 115.2 </w:t>
      </w:r>
      <w:r w:rsidR="004E4C90" w:rsidRPr="007C4D89">
        <w:rPr>
          <w:rFonts w:ascii="Arial" w:hAnsi="Arial" w:cs="Arial"/>
          <w:highlight w:val="yellow"/>
        </w:rPr>
        <w:t>kg ha</w:t>
      </w:r>
      <w:r w:rsidR="004E4C90" w:rsidRPr="007C4D89">
        <w:rPr>
          <w:rFonts w:ascii="Arial" w:hAnsi="Arial" w:cs="Arial"/>
          <w:highlight w:val="yellow"/>
          <w:vertAlign w:val="superscript"/>
        </w:rPr>
        <w:t>-1</w:t>
      </w:r>
      <w:r w:rsidR="004E4C90" w:rsidRPr="007C4D89">
        <w:rPr>
          <w:rFonts w:ascii="Arial" w:hAnsi="Arial" w:cs="Arial"/>
          <w:vertAlign w:val="superscript"/>
        </w:rPr>
        <w:t xml:space="preserve"> </w:t>
      </w:r>
      <w:r w:rsidRPr="00485EB5">
        <w:rPr>
          <w:rFonts w:ascii="Arial" w:hAnsi="Arial" w:cs="Arial"/>
        </w:rPr>
        <w:t>recorded the highest. Location as well as treatment x location interactions had no significant effect on the number of days to 50% silking.</w:t>
      </w:r>
    </w:p>
    <w:p w14:paraId="69BD87ED" w14:textId="091D0A1E" w:rsidR="00485EB5" w:rsidRPr="00485EB5" w:rsidRDefault="00485EB5" w:rsidP="00485EB5">
      <w:pPr>
        <w:keepNext/>
        <w:spacing w:line="276" w:lineRule="auto"/>
        <w:contextualSpacing/>
        <w:jc w:val="both"/>
        <w:rPr>
          <w:rFonts w:ascii="Arial" w:eastAsia="Calibri" w:hAnsi="Arial" w:cs="Arial"/>
          <w:b/>
          <w:iCs/>
        </w:rPr>
      </w:pPr>
      <w:bookmarkStart w:id="9" w:name="_Toc152762939"/>
      <w:bookmarkStart w:id="10" w:name="_Hlk195898843"/>
      <w:r w:rsidRPr="00485EB5">
        <w:rPr>
          <w:rFonts w:ascii="Arial" w:eastAsia="Calibri" w:hAnsi="Arial" w:cs="Arial"/>
          <w:b/>
          <w:iCs/>
        </w:rPr>
        <w:t>Table 6</w:t>
      </w:r>
      <w:r w:rsidR="00944265">
        <w:rPr>
          <w:rFonts w:ascii="Arial" w:eastAsia="Calibri" w:hAnsi="Arial" w:cs="Arial"/>
          <w:b/>
          <w:iCs/>
        </w:rPr>
        <w:t xml:space="preserve">. </w:t>
      </w:r>
      <w:r w:rsidRPr="00485EB5">
        <w:rPr>
          <w:rFonts w:ascii="Arial" w:eastAsia="Calibri" w:hAnsi="Arial" w:cs="Arial"/>
          <w:b/>
          <w:iCs/>
        </w:rPr>
        <w:t>Effect of NPK granules and briquettes fertilizer on</w:t>
      </w:r>
      <w:r>
        <w:rPr>
          <w:rFonts w:ascii="Arial" w:eastAsia="Calibri" w:hAnsi="Arial" w:cs="Arial"/>
          <w:b/>
          <w:iCs/>
        </w:rPr>
        <w:t xml:space="preserve"> </w:t>
      </w:r>
      <w:r w:rsidRPr="00485EB5">
        <w:rPr>
          <w:rFonts w:ascii="Arial" w:eastAsia="Calibri" w:hAnsi="Arial" w:cs="Arial"/>
          <w:b/>
          <w:iCs/>
        </w:rPr>
        <w:t>number of days 50% tasseling and silking at Amantin and Nsapor</w:t>
      </w:r>
      <w:bookmarkEnd w:id="9"/>
    </w:p>
    <w:tbl>
      <w:tblPr>
        <w:tblStyle w:val="TableGrid3"/>
        <w:tblW w:w="88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992"/>
        <w:gridCol w:w="1003"/>
        <w:gridCol w:w="1085"/>
        <w:gridCol w:w="1075"/>
      </w:tblGrid>
      <w:tr w:rsidR="00485EB5" w:rsidRPr="00485EB5" w14:paraId="55C49887" w14:textId="77777777" w:rsidTr="000B6F78">
        <w:trPr>
          <w:trHeight w:val="637"/>
        </w:trPr>
        <w:tc>
          <w:tcPr>
            <w:tcW w:w="4678" w:type="dxa"/>
            <w:tcBorders>
              <w:top w:val="single" w:sz="4" w:space="0" w:color="auto"/>
              <w:left w:val="nil"/>
              <w:bottom w:val="nil"/>
              <w:right w:val="nil"/>
            </w:tcBorders>
            <w:hideMark/>
          </w:tcPr>
          <w:bookmarkEnd w:id="10"/>
          <w:p w14:paraId="271474DA" w14:textId="77777777" w:rsidR="00485EB5" w:rsidRPr="00485EB5" w:rsidRDefault="00485EB5" w:rsidP="001A4B15">
            <w:pPr>
              <w:contextualSpacing/>
              <w:rPr>
                <w:rFonts w:ascii="Arial" w:hAnsi="Arial" w:cs="Arial"/>
              </w:rPr>
            </w:pPr>
            <w:r w:rsidRPr="00485EB5">
              <w:rPr>
                <w:rFonts w:ascii="Arial" w:hAnsi="Arial" w:cs="Arial"/>
              </w:rPr>
              <w:t>Treatment</w:t>
            </w:r>
          </w:p>
        </w:tc>
        <w:tc>
          <w:tcPr>
            <w:tcW w:w="1995" w:type="dxa"/>
            <w:gridSpan w:val="2"/>
            <w:tcBorders>
              <w:top w:val="single" w:sz="4" w:space="0" w:color="auto"/>
              <w:left w:val="nil"/>
              <w:bottom w:val="nil"/>
              <w:right w:val="nil"/>
            </w:tcBorders>
            <w:hideMark/>
          </w:tcPr>
          <w:p w14:paraId="56D39C4C" w14:textId="77777777" w:rsidR="00485EB5" w:rsidRPr="00485EB5" w:rsidRDefault="00485EB5" w:rsidP="001A4B15">
            <w:pPr>
              <w:contextualSpacing/>
              <w:jc w:val="center"/>
              <w:rPr>
                <w:rFonts w:ascii="Arial" w:hAnsi="Arial" w:cs="Arial"/>
              </w:rPr>
            </w:pPr>
            <w:r w:rsidRPr="00485EB5">
              <w:rPr>
                <w:rFonts w:ascii="Arial" w:hAnsi="Arial" w:cs="Arial"/>
              </w:rPr>
              <w:t>Days to 50% tasseling</w:t>
            </w:r>
          </w:p>
        </w:tc>
        <w:tc>
          <w:tcPr>
            <w:tcW w:w="2160" w:type="dxa"/>
            <w:gridSpan w:val="2"/>
            <w:tcBorders>
              <w:top w:val="single" w:sz="4" w:space="0" w:color="auto"/>
              <w:left w:val="nil"/>
              <w:bottom w:val="nil"/>
              <w:right w:val="nil"/>
            </w:tcBorders>
            <w:hideMark/>
          </w:tcPr>
          <w:p w14:paraId="0F1FE5EE" w14:textId="77777777" w:rsidR="00485EB5" w:rsidRPr="00485EB5" w:rsidRDefault="00485EB5" w:rsidP="001A4B15">
            <w:pPr>
              <w:contextualSpacing/>
              <w:jc w:val="center"/>
              <w:rPr>
                <w:rFonts w:ascii="Arial" w:hAnsi="Arial" w:cs="Arial"/>
              </w:rPr>
            </w:pPr>
            <w:r w:rsidRPr="00485EB5">
              <w:rPr>
                <w:rFonts w:ascii="Arial" w:hAnsi="Arial" w:cs="Arial"/>
              </w:rPr>
              <w:t>Days to 50% silking</w:t>
            </w:r>
          </w:p>
        </w:tc>
      </w:tr>
      <w:tr w:rsidR="00485EB5" w:rsidRPr="00485EB5" w14:paraId="508461A8" w14:textId="77777777" w:rsidTr="000B6F78">
        <w:trPr>
          <w:trHeight w:val="80"/>
        </w:trPr>
        <w:tc>
          <w:tcPr>
            <w:tcW w:w="4678" w:type="dxa"/>
            <w:tcBorders>
              <w:top w:val="nil"/>
              <w:left w:val="nil"/>
              <w:bottom w:val="single" w:sz="4" w:space="0" w:color="auto"/>
              <w:right w:val="nil"/>
            </w:tcBorders>
          </w:tcPr>
          <w:p w14:paraId="721C4E4E" w14:textId="77777777" w:rsidR="00485EB5" w:rsidRPr="00485EB5" w:rsidRDefault="00485EB5" w:rsidP="001A4B15">
            <w:pPr>
              <w:contextualSpacing/>
              <w:rPr>
                <w:rFonts w:ascii="Arial" w:hAnsi="Arial" w:cs="Arial"/>
              </w:rPr>
            </w:pPr>
          </w:p>
        </w:tc>
        <w:tc>
          <w:tcPr>
            <w:tcW w:w="992" w:type="dxa"/>
            <w:tcBorders>
              <w:top w:val="nil"/>
              <w:left w:val="nil"/>
              <w:bottom w:val="single" w:sz="4" w:space="0" w:color="auto"/>
              <w:right w:val="nil"/>
            </w:tcBorders>
            <w:hideMark/>
          </w:tcPr>
          <w:p w14:paraId="42F4E951" w14:textId="77777777" w:rsidR="00485EB5" w:rsidRPr="00485EB5" w:rsidRDefault="00485EB5" w:rsidP="001A4B15">
            <w:pPr>
              <w:contextualSpacing/>
              <w:rPr>
                <w:rFonts w:ascii="Arial" w:hAnsi="Arial" w:cs="Arial"/>
              </w:rPr>
            </w:pPr>
            <w:r w:rsidRPr="00485EB5">
              <w:rPr>
                <w:rFonts w:ascii="Arial" w:hAnsi="Arial" w:cs="Arial"/>
              </w:rPr>
              <w:t>Amantin</w:t>
            </w:r>
          </w:p>
        </w:tc>
        <w:tc>
          <w:tcPr>
            <w:tcW w:w="1003" w:type="dxa"/>
            <w:tcBorders>
              <w:top w:val="nil"/>
              <w:left w:val="nil"/>
              <w:bottom w:val="single" w:sz="4" w:space="0" w:color="auto"/>
              <w:right w:val="nil"/>
            </w:tcBorders>
            <w:hideMark/>
          </w:tcPr>
          <w:p w14:paraId="48A7A051" w14:textId="77777777" w:rsidR="00485EB5" w:rsidRPr="00485EB5" w:rsidRDefault="00485EB5" w:rsidP="001A4B15">
            <w:pPr>
              <w:contextualSpacing/>
              <w:rPr>
                <w:rFonts w:ascii="Arial" w:hAnsi="Arial" w:cs="Arial"/>
              </w:rPr>
            </w:pPr>
            <w:r w:rsidRPr="00485EB5">
              <w:rPr>
                <w:rFonts w:ascii="Arial" w:hAnsi="Arial" w:cs="Arial"/>
              </w:rPr>
              <w:t>Nsapor</w:t>
            </w:r>
          </w:p>
        </w:tc>
        <w:tc>
          <w:tcPr>
            <w:tcW w:w="1085" w:type="dxa"/>
            <w:tcBorders>
              <w:top w:val="nil"/>
              <w:left w:val="nil"/>
              <w:bottom w:val="single" w:sz="4" w:space="0" w:color="auto"/>
              <w:right w:val="nil"/>
            </w:tcBorders>
            <w:hideMark/>
          </w:tcPr>
          <w:p w14:paraId="61BE1FBC" w14:textId="77777777" w:rsidR="00485EB5" w:rsidRPr="00485EB5" w:rsidRDefault="00485EB5" w:rsidP="001A4B15">
            <w:pPr>
              <w:contextualSpacing/>
              <w:rPr>
                <w:rFonts w:ascii="Arial" w:hAnsi="Arial" w:cs="Arial"/>
              </w:rPr>
            </w:pPr>
            <w:r w:rsidRPr="00485EB5">
              <w:rPr>
                <w:rFonts w:ascii="Arial" w:hAnsi="Arial" w:cs="Arial"/>
              </w:rPr>
              <w:t>Amantin</w:t>
            </w:r>
          </w:p>
        </w:tc>
        <w:tc>
          <w:tcPr>
            <w:tcW w:w="1075" w:type="dxa"/>
            <w:tcBorders>
              <w:top w:val="nil"/>
              <w:left w:val="nil"/>
              <w:bottom w:val="single" w:sz="4" w:space="0" w:color="auto"/>
              <w:right w:val="nil"/>
            </w:tcBorders>
            <w:hideMark/>
          </w:tcPr>
          <w:p w14:paraId="55D4671B" w14:textId="77777777" w:rsidR="00485EB5" w:rsidRPr="00485EB5" w:rsidRDefault="00485EB5" w:rsidP="001A4B15">
            <w:pPr>
              <w:contextualSpacing/>
              <w:rPr>
                <w:rFonts w:ascii="Arial" w:hAnsi="Arial" w:cs="Arial"/>
              </w:rPr>
            </w:pPr>
            <w:r w:rsidRPr="00485EB5">
              <w:rPr>
                <w:rFonts w:ascii="Arial" w:hAnsi="Arial" w:cs="Arial"/>
              </w:rPr>
              <w:t>Nsapor</w:t>
            </w:r>
          </w:p>
        </w:tc>
      </w:tr>
      <w:tr w:rsidR="00485EB5" w:rsidRPr="000F1EF3" w14:paraId="208F2885" w14:textId="77777777" w:rsidTr="000B6F78">
        <w:trPr>
          <w:trHeight w:val="272"/>
        </w:trPr>
        <w:tc>
          <w:tcPr>
            <w:tcW w:w="4678" w:type="dxa"/>
            <w:tcBorders>
              <w:top w:val="single" w:sz="4" w:space="0" w:color="auto"/>
              <w:left w:val="nil"/>
              <w:bottom w:val="nil"/>
              <w:right w:val="nil"/>
            </w:tcBorders>
            <w:hideMark/>
          </w:tcPr>
          <w:p w14:paraId="01A344A0" w14:textId="77777777" w:rsidR="00485EB5" w:rsidRPr="000F1EF3" w:rsidRDefault="00485EB5" w:rsidP="001A4B15">
            <w:pPr>
              <w:contextualSpacing/>
              <w:rPr>
                <w:rFonts w:ascii="Arial" w:hAnsi="Arial" w:cs="Arial"/>
              </w:rPr>
            </w:pPr>
            <w:r w:rsidRPr="000F1EF3">
              <w:rPr>
                <w:rFonts w:ascii="Arial" w:hAnsi="Arial" w:cs="Arial"/>
              </w:rPr>
              <w:t>Control</w:t>
            </w:r>
          </w:p>
        </w:tc>
        <w:tc>
          <w:tcPr>
            <w:tcW w:w="992" w:type="dxa"/>
            <w:vAlign w:val="bottom"/>
            <w:hideMark/>
          </w:tcPr>
          <w:p w14:paraId="6F8C5263" w14:textId="77777777" w:rsidR="00485EB5" w:rsidRPr="000F1EF3" w:rsidRDefault="00485EB5" w:rsidP="001A4B15">
            <w:pPr>
              <w:contextualSpacing/>
              <w:rPr>
                <w:rFonts w:ascii="Arial" w:hAnsi="Arial" w:cs="Arial"/>
              </w:rPr>
            </w:pPr>
            <w:r w:rsidRPr="000F1EF3">
              <w:rPr>
                <w:rFonts w:ascii="Arial" w:hAnsi="Arial" w:cs="Arial"/>
              </w:rPr>
              <w:t>59.00</w:t>
            </w:r>
          </w:p>
        </w:tc>
        <w:tc>
          <w:tcPr>
            <w:tcW w:w="1003" w:type="dxa"/>
            <w:tcBorders>
              <w:top w:val="nil"/>
              <w:left w:val="nil"/>
              <w:bottom w:val="nil"/>
              <w:right w:val="nil"/>
            </w:tcBorders>
            <w:vAlign w:val="center"/>
          </w:tcPr>
          <w:p w14:paraId="75419CDE" w14:textId="77777777" w:rsidR="00485EB5" w:rsidRPr="000F1EF3" w:rsidRDefault="00485EB5" w:rsidP="001A4B15">
            <w:pPr>
              <w:contextualSpacing/>
              <w:rPr>
                <w:rFonts w:ascii="Arial" w:hAnsi="Arial" w:cs="Arial"/>
              </w:rPr>
            </w:pPr>
            <w:r w:rsidRPr="000F1EF3">
              <w:rPr>
                <w:rFonts w:ascii="Arial" w:hAnsi="Arial" w:cs="Arial"/>
                <w:color w:val="000000"/>
              </w:rPr>
              <w:t>59.00</w:t>
            </w:r>
          </w:p>
        </w:tc>
        <w:tc>
          <w:tcPr>
            <w:tcW w:w="1085" w:type="dxa"/>
            <w:vAlign w:val="bottom"/>
            <w:hideMark/>
          </w:tcPr>
          <w:p w14:paraId="712BF498" w14:textId="77777777" w:rsidR="00485EB5" w:rsidRPr="000F1EF3" w:rsidRDefault="00485EB5" w:rsidP="001A4B15">
            <w:pPr>
              <w:contextualSpacing/>
              <w:rPr>
                <w:rFonts w:ascii="Arial" w:hAnsi="Arial" w:cs="Arial"/>
              </w:rPr>
            </w:pPr>
            <w:r w:rsidRPr="000F1EF3">
              <w:rPr>
                <w:rFonts w:ascii="Arial" w:hAnsi="Arial" w:cs="Arial"/>
              </w:rPr>
              <w:t>63.30</w:t>
            </w:r>
          </w:p>
        </w:tc>
        <w:tc>
          <w:tcPr>
            <w:tcW w:w="1075" w:type="dxa"/>
            <w:tcBorders>
              <w:top w:val="nil"/>
              <w:left w:val="nil"/>
              <w:bottom w:val="nil"/>
              <w:right w:val="nil"/>
            </w:tcBorders>
            <w:vAlign w:val="center"/>
          </w:tcPr>
          <w:p w14:paraId="3E53667A" w14:textId="77777777" w:rsidR="00485EB5" w:rsidRPr="000F1EF3" w:rsidRDefault="00485EB5" w:rsidP="001A4B15">
            <w:pPr>
              <w:contextualSpacing/>
              <w:rPr>
                <w:rFonts w:ascii="Arial" w:hAnsi="Arial" w:cs="Arial"/>
              </w:rPr>
            </w:pPr>
            <w:r w:rsidRPr="000F1EF3">
              <w:rPr>
                <w:rFonts w:ascii="Arial" w:hAnsi="Arial" w:cs="Arial"/>
                <w:color w:val="000000"/>
              </w:rPr>
              <w:t>63.25</w:t>
            </w:r>
          </w:p>
        </w:tc>
      </w:tr>
      <w:tr w:rsidR="00485EB5" w:rsidRPr="000F1EF3" w14:paraId="57F87C7E" w14:textId="77777777" w:rsidTr="000B6F78">
        <w:trPr>
          <w:trHeight w:val="272"/>
        </w:trPr>
        <w:tc>
          <w:tcPr>
            <w:tcW w:w="4678" w:type="dxa"/>
            <w:hideMark/>
          </w:tcPr>
          <w:p w14:paraId="2F1233C2" w14:textId="5CBF35C3" w:rsidR="00485EB5" w:rsidRPr="000F1EF3" w:rsidRDefault="00485EB5" w:rsidP="00786519">
            <w:pPr>
              <w:contextualSpacing/>
              <w:rPr>
                <w:rFonts w:ascii="Arial" w:hAnsi="Arial" w:cs="Arial"/>
              </w:rPr>
            </w:pPr>
            <w:r w:rsidRPr="000F1EF3">
              <w:rPr>
                <w:rFonts w:ascii="Arial" w:hAnsi="Arial" w:cs="Arial"/>
              </w:rPr>
              <w:t xml:space="preserve">Granule NPK &amp; Urea (120-40-40) 200 </w:t>
            </w:r>
            <w:r w:rsidR="00786519" w:rsidRPr="007C4D89">
              <w:rPr>
                <w:rFonts w:ascii="Arial" w:hAnsi="Arial" w:cs="Arial"/>
                <w:highlight w:val="yellow"/>
              </w:rPr>
              <w:t>kg ha</w:t>
            </w:r>
            <w:r w:rsidR="00786519" w:rsidRPr="007C4D89">
              <w:rPr>
                <w:rFonts w:ascii="Arial" w:hAnsi="Arial" w:cs="Arial"/>
                <w:highlight w:val="yellow"/>
                <w:vertAlign w:val="superscript"/>
              </w:rPr>
              <w:t>-1</w:t>
            </w:r>
          </w:p>
        </w:tc>
        <w:tc>
          <w:tcPr>
            <w:tcW w:w="992" w:type="dxa"/>
            <w:vAlign w:val="bottom"/>
            <w:hideMark/>
          </w:tcPr>
          <w:p w14:paraId="68587137" w14:textId="77777777" w:rsidR="00485EB5" w:rsidRPr="000F1EF3" w:rsidRDefault="00485EB5" w:rsidP="001A4B15">
            <w:pPr>
              <w:contextualSpacing/>
              <w:rPr>
                <w:rFonts w:ascii="Arial" w:hAnsi="Arial" w:cs="Arial"/>
              </w:rPr>
            </w:pPr>
            <w:r w:rsidRPr="000F1EF3">
              <w:rPr>
                <w:rFonts w:ascii="Arial" w:hAnsi="Arial" w:cs="Arial"/>
              </w:rPr>
              <w:t>58.80</w:t>
            </w:r>
          </w:p>
        </w:tc>
        <w:tc>
          <w:tcPr>
            <w:tcW w:w="1003" w:type="dxa"/>
            <w:tcBorders>
              <w:top w:val="nil"/>
              <w:left w:val="nil"/>
              <w:bottom w:val="nil"/>
              <w:right w:val="nil"/>
            </w:tcBorders>
            <w:vAlign w:val="center"/>
          </w:tcPr>
          <w:p w14:paraId="23FC3FB9" w14:textId="77777777" w:rsidR="00485EB5" w:rsidRPr="000F1EF3" w:rsidRDefault="00485EB5" w:rsidP="001A4B15">
            <w:pPr>
              <w:contextualSpacing/>
              <w:rPr>
                <w:rFonts w:ascii="Arial" w:hAnsi="Arial" w:cs="Arial"/>
              </w:rPr>
            </w:pPr>
            <w:r w:rsidRPr="000F1EF3">
              <w:rPr>
                <w:rFonts w:ascii="Arial" w:hAnsi="Arial" w:cs="Arial"/>
                <w:color w:val="000000"/>
              </w:rPr>
              <w:t>58.75</w:t>
            </w:r>
          </w:p>
        </w:tc>
        <w:tc>
          <w:tcPr>
            <w:tcW w:w="1085" w:type="dxa"/>
            <w:vAlign w:val="bottom"/>
            <w:hideMark/>
          </w:tcPr>
          <w:p w14:paraId="1F254F89" w14:textId="77777777" w:rsidR="00485EB5" w:rsidRPr="000F1EF3" w:rsidRDefault="00485EB5" w:rsidP="001A4B15">
            <w:pPr>
              <w:contextualSpacing/>
              <w:rPr>
                <w:rFonts w:ascii="Arial" w:hAnsi="Arial" w:cs="Arial"/>
              </w:rPr>
            </w:pPr>
            <w:r w:rsidRPr="000F1EF3">
              <w:rPr>
                <w:rFonts w:ascii="Arial" w:hAnsi="Arial" w:cs="Arial"/>
              </w:rPr>
              <w:t>63.80</w:t>
            </w:r>
          </w:p>
        </w:tc>
        <w:tc>
          <w:tcPr>
            <w:tcW w:w="1075" w:type="dxa"/>
            <w:tcBorders>
              <w:top w:val="nil"/>
              <w:left w:val="nil"/>
              <w:bottom w:val="nil"/>
              <w:right w:val="nil"/>
            </w:tcBorders>
            <w:vAlign w:val="center"/>
          </w:tcPr>
          <w:p w14:paraId="7568FE80" w14:textId="77777777" w:rsidR="00485EB5" w:rsidRPr="000F1EF3" w:rsidRDefault="00485EB5" w:rsidP="001A4B15">
            <w:pPr>
              <w:contextualSpacing/>
              <w:rPr>
                <w:rFonts w:ascii="Arial" w:hAnsi="Arial" w:cs="Arial"/>
              </w:rPr>
            </w:pPr>
            <w:r w:rsidRPr="000F1EF3">
              <w:rPr>
                <w:rFonts w:ascii="Arial" w:hAnsi="Arial" w:cs="Arial"/>
                <w:color w:val="000000"/>
              </w:rPr>
              <w:t>63.75</w:t>
            </w:r>
          </w:p>
        </w:tc>
      </w:tr>
      <w:tr w:rsidR="00485EB5" w:rsidRPr="000F1EF3" w14:paraId="02D9A147" w14:textId="77777777" w:rsidTr="000B6F78">
        <w:trPr>
          <w:trHeight w:val="272"/>
        </w:trPr>
        <w:tc>
          <w:tcPr>
            <w:tcW w:w="4678" w:type="dxa"/>
            <w:hideMark/>
          </w:tcPr>
          <w:p w14:paraId="72CCE1AF" w14:textId="49D65AAE" w:rsidR="00485EB5" w:rsidRPr="000F1EF3" w:rsidRDefault="00485EB5" w:rsidP="00786519">
            <w:pPr>
              <w:contextualSpacing/>
              <w:rPr>
                <w:rFonts w:ascii="Arial" w:hAnsi="Arial" w:cs="Arial"/>
              </w:rPr>
            </w:pPr>
            <w:r w:rsidRPr="000F1EF3">
              <w:rPr>
                <w:rFonts w:ascii="Arial" w:hAnsi="Arial" w:cs="Arial"/>
              </w:rPr>
              <w:t>Briquette NPK &amp; Urea (121-58.</w:t>
            </w:r>
            <w:r w:rsidR="000B6F78" w:rsidRPr="000B6F78">
              <w:rPr>
                <w:rFonts w:ascii="Arial" w:hAnsi="Arial" w:cs="Arial"/>
                <w:highlight w:val="yellow"/>
              </w:rPr>
              <w:t>7-</w:t>
            </w:r>
            <w:r w:rsidRPr="000F1EF3">
              <w:rPr>
                <w:rFonts w:ascii="Arial" w:hAnsi="Arial" w:cs="Arial"/>
              </w:rPr>
              <w:t xml:space="preserve">59) 230.4 </w:t>
            </w:r>
            <w:r w:rsidR="00786519" w:rsidRPr="007C4D89">
              <w:rPr>
                <w:rFonts w:ascii="Arial" w:hAnsi="Arial" w:cs="Arial"/>
                <w:highlight w:val="yellow"/>
              </w:rPr>
              <w:t>kg ha</w:t>
            </w:r>
            <w:r w:rsidR="00786519" w:rsidRPr="007C4D89">
              <w:rPr>
                <w:rFonts w:ascii="Arial" w:hAnsi="Arial" w:cs="Arial"/>
                <w:highlight w:val="yellow"/>
                <w:vertAlign w:val="superscript"/>
              </w:rPr>
              <w:t>-1</w:t>
            </w:r>
          </w:p>
        </w:tc>
        <w:tc>
          <w:tcPr>
            <w:tcW w:w="992" w:type="dxa"/>
            <w:vAlign w:val="bottom"/>
            <w:hideMark/>
          </w:tcPr>
          <w:p w14:paraId="38FAF6B4" w14:textId="77777777" w:rsidR="00485EB5" w:rsidRPr="000F1EF3" w:rsidRDefault="00485EB5" w:rsidP="001A4B15">
            <w:pPr>
              <w:contextualSpacing/>
              <w:rPr>
                <w:rFonts w:ascii="Arial" w:hAnsi="Arial" w:cs="Arial"/>
              </w:rPr>
            </w:pPr>
            <w:r w:rsidRPr="000F1EF3">
              <w:rPr>
                <w:rFonts w:ascii="Arial" w:hAnsi="Arial" w:cs="Arial"/>
              </w:rPr>
              <w:t>58.50</w:t>
            </w:r>
          </w:p>
        </w:tc>
        <w:tc>
          <w:tcPr>
            <w:tcW w:w="1003" w:type="dxa"/>
            <w:tcBorders>
              <w:top w:val="nil"/>
              <w:left w:val="nil"/>
              <w:bottom w:val="nil"/>
              <w:right w:val="nil"/>
            </w:tcBorders>
            <w:vAlign w:val="center"/>
          </w:tcPr>
          <w:p w14:paraId="0ED7223F" w14:textId="77777777" w:rsidR="00485EB5" w:rsidRPr="000F1EF3" w:rsidRDefault="00485EB5" w:rsidP="001A4B15">
            <w:pPr>
              <w:contextualSpacing/>
              <w:rPr>
                <w:rFonts w:ascii="Arial" w:hAnsi="Arial" w:cs="Arial"/>
              </w:rPr>
            </w:pPr>
            <w:r w:rsidRPr="000F1EF3">
              <w:rPr>
                <w:rFonts w:ascii="Arial" w:hAnsi="Arial" w:cs="Arial"/>
                <w:color w:val="000000"/>
              </w:rPr>
              <w:t>58.50</w:t>
            </w:r>
          </w:p>
        </w:tc>
        <w:tc>
          <w:tcPr>
            <w:tcW w:w="1085" w:type="dxa"/>
            <w:vAlign w:val="bottom"/>
            <w:hideMark/>
          </w:tcPr>
          <w:p w14:paraId="6E498FF8" w14:textId="77777777" w:rsidR="00485EB5" w:rsidRPr="000F1EF3" w:rsidRDefault="00485EB5" w:rsidP="001A4B15">
            <w:pPr>
              <w:contextualSpacing/>
              <w:rPr>
                <w:rFonts w:ascii="Arial" w:hAnsi="Arial" w:cs="Arial"/>
              </w:rPr>
            </w:pPr>
            <w:r w:rsidRPr="000F1EF3">
              <w:rPr>
                <w:rFonts w:ascii="Arial" w:hAnsi="Arial" w:cs="Arial"/>
              </w:rPr>
              <w:t>63.30</w:t>
            </w:r>
          </w:p>
        </w:tc>
        <w:tc>
          <w:tcPr>
            <w:tcW w:w="1075" w:type="dxa"/>
            <w:tcBorders>
              <w:top w:val="nil"/>
              <w:left w:val="nil"/>
              <w:bottom w:val="nil"/>
              <w:right w:val="nil"/>
            </w:tcBorders>
            <w:vAlign w:val="center"/>
          </w:tcPr>
          <w:p w14:paraId="17250911" w14:textId="77777777" w:rsidR="00485EB5" w:rsidRPr="000F1EF3" w:rsidRDefault="00485EB5" w:rsidP="001A4B15">
            <w:pPr>
              <w:contextualSpacing/>
              <w:rPr>
                <w:rFonts w:ascii="Arial" w:hAnsi="Arial" w:cs="Arial"/>
              </w:rPr>
            </w:pPr>
            <w:r w:rsidRPr="000F1EF3">
              <w:rPr>
                <w:rFonts w:ascii="Arial" w:hAnsi="Arial" w:cs="Arial"/>
                <w:color w:val="000000"/>
              </w:rPr>
              <w:t>63.25</w:t>
            </w:r>
          </w:p>
        </w:tc>
      </w:tr>
      <w:tr w:rsidR="00485EB5" w:rsidRPr="000F1EF3" w14:paraId="395CFFB3" w14:textId="77777777" w:rsidTr="000B6F78">
        <w:trPr>
          <w:trHeight w:val="272"/>
        </w:trPr>
        <w:tc>
          <w:tcPr>
            <w:tcW w:w="4678" w:type="dxa"/>
            <w:hideMark/>
          </w:tcPr>
          <w:p w14:paraId="720CDAEF" w14:textId="70FCA186" w:rsidR="00485EB5" w:rsidRPr="000F1EF3" w:rsidRDefault="00485EB5" w:rsidP="00786519">
            <w:pPr>
              <w:contextualSpacing/>
              <w:rPr>
                <w:rFonts w:ascii="Arial" w:hAnsi="Arial" w:cs="Arial"/>
              </w:rPr>
            </w:pPr>
            <w:r w:rsidRPr="000F1EF3">
              <w:rPr>
                <w:rFonts w:ascii="Arial" w:hAnsi="Arial" w:cs="Arial"/>
              </w:rPr>
              <w:t xml:space="preserve">Briquette NPK &amp; Urea (114-44-44) 172.8 </w:t>
            </w:r>
            <w:r w:rsidR="00786519" w:rsidRPr="007C4D89">
              <w:rPr>
                <w:rFonts w:ascii="Arial" w:hAnsi="Arial" w:cs="Arial"/>
                <w:highlight w:val="yellow"/>
              </w:rPr>
              <w:t>kg ha</w:t>
            </w:r>
            <w:r w:rsidR="00786519" w:rsidRPr="007C4D89">
              <w:rPr>
                <w:rFonts w:ascii="Arial" w:hAnsi="Arial" w:cs="Arial"/>
                <w:highlight w:val="yellow"/>
                <w:vertAlign w:val="superscript"/>
              </w:rPr>
              <w:t>-1</w:t>
            </w:r>
          </w:p>
        </w:tc>
        <w:tc>
          <w:tcPr>
            <w:tcW w:w="992" w:type="dxa"/>
            <w:vAlign w:val="bottom"/>
            <w:hideMark/>
          </w:tcPr>
          <w:p w14:paraId="7238013A" w14:textId="77777777" w:rsidR="00485EB5" w:rsidRPr="000F1EF3" w:rsidRDefault="00485EB5" w:rsidP="001A4B15">
            <w:pPr>
              <w:contextualSpacing/>
              <w:rPr>
                <w:rFonts w:ascii="Arial" w:hAnsi="Arial" w:cs="Arial"/>
              </w:rPr>
            </w:pPr>
            <w:r w:rsidRPr="000F1EF3">
              <w:rPr>
                <w:rFonts w:ascii="Arial" w:hAnsi="Arial" w:cs="Arial"/>
              </w:rPr>
              <w:t>58.30</w:t>
            </w:r>
          </w:p>
        </w:tc>
        <w:tc>
          <w:tcPr>
            <w:tcW w:w="1003" w:type="dxa"/>
            <w:tcBorders>
              <w:top w:val="nil"/>
              <w:left w:val="nil"/>
              <w:bottom w:val="nil"/>
              <w:right w:val="nil"/>
            </w:tcBorders>
            <w:vAlign w:val="center"/>
          </w:tcPr>
          <w:p w14:paraId="69940F52" w14:textId="77777777" w:rsidR="00485EB5" w:rsidRPr="000F1EF3" w:rsidRDefault="00485EB5" w:rsidP="001A4B15">
            <w:pPr>
              <w:contextualSpacing/>
              <w:rPr>
                <w:rFonts w:ascii="Arial" w:hAnsi="Arial" w:cs="Arial"/>
              </w:rPr>
            </w:pPr>
            <w:r w:rsidRPr="000F1EF3">
              <w:rPr>
                <w:rFonts w:ascii="Arial" w:hAnsi="Arial" w:cs="Arial"/>
                <w:color w:val="000000"/>
              </w:rPr>
              <w:t>58.25</w:t>
            </w:r>
          </w:p>
        </w:tc>
        <w:tc>
          <w:tcPr>
            <w:tcW w:w="1085" w:type="dxa"/>
            <w:vAlign w:val="bottom"/>
            <w:hideMark/>
          </w:tcPr>
          <w:p w14:paraId="701CA35D" w14:textId="77777777" w:rsidR="00485EB5" w:rsidRPr="000F1EF3" w:rsidRDefault="00485EB5" w:rsidP="001A4B15">
            <w:pPr>
              <w:contextualSpacing/>
              <w:rPr>
                <w:rFonts w:ascii="Arial" w:hAnsi="Arial" w:cs="Arial"/>
              </w:rPr>
            </w:pPr>
            <w:r w:rsidRPr="000F1EF3">
              <w:rPr>
                <w:rFonts w:ascii="Arial" w:hAnsi="Arial" w:cs="Arial"/>
              </w:rPr>
              <w:t>63.50</w:t>
            </w:r>
          </w:p>
        </w:tc>
        <w:tc>
          <w:tcPr>
            <w:tcW w:w="1075" w:type="dxa"/>
            <w:tcBorders>
              <w:top w:val="nil"/>
              <w:left w:val="nil"/>
              <w:bottom w:val="nil"/>
              <w:right w:val="nil"/>
            </w:tcBorders>
            <w:vAlign w:val="center"/>
          </w:tcPr>
          <w:p w14:paraId="15B41A2D" w14:textId="77777777" w:rsidR="00485EB5" w:rsidRPr="000F1EF3" w:rsidRDefault="00485EB5" w:rsidP="001A4B15">
            <w:pPr>
              <w:contextualSpacing/>
              <w:rPr>
                <w:rFonts w:ascii="Arial" w:hAnsi="Arial" w:cs="Arial"/>
              </w:rPr>
            </w:pPr>
            <w:r w:rsidRPr="000F1EF3">
              <w:rPr>
                <w:rFonts w:ascii="Arial" w:hAnsi="Arial" w:cs="Arial"/>
                <w:color w:val="000000"/>
              </w:rPr>
              <w:t>63.50</w:t>
            </w:r>
          </w:p>
        </w:tc>
      </w:tr>
      <w:tr w:rsidR="00485EB5" w:rsidRPr="000F1EF3" w14:paraId="19C9D12F" w14:textId="77777777" w:rsidTr="000B6F78">
        <w:trPr>
          <w:trHeight w:val="272"/>
        </w:trPr>
        <w:tc>
          <w:tcPr>
            <w:tcW w:w="4678" w:type="dxa"/>
            <w:hideMark/>
          </w:tcPr>
          <w:p w14:paraId="3FCA3737" w14:textId="26FFD841" w:rsidR="00485EB5" w:rsidRPr="000F1EF3" w:rsidRDefault="00485EB5" w:rsidP="00786519">
            <w:pPr>
              <w:contextualSpacing/>
              <w:rPr>
                <w:rFonts w:ascii="Arial" w:hAnsi="Arial" w:cs="Arial"/>
              </w:rPr>
            </w:pPr>
            <w:r w:rsidRPr="000F1EF3">
              <w:rPr>
                <w:rFonts w:ascii="Arial" w:hAnsi="Arial" w:cs="Arial"/>
              </w:rPr>
              <w:t xml:space="preserve">Briquette NPK &amp; Urea (91-59-59) 230.4 </w:t>
            </w:r>
            <w:r w:rsidR="00786519" w:rsidRPr="007C4D89">
              <w:rPr>
                <w:rFonts w:ascii="Arial" w:hAnsi="Arial" w:cs="Arial"/>
                <w:highlight w:val="yellow"/>
              </w:rPr>
              <w:t>kg ha</w:t>
            </w:r>
            <w:r w:rsidR="00786519" w:rsidRPr="007C4D89">
              <w:rPr>
                <w:rFonts w:ascii="Arial" w:hAnsi="Arial" w:cs="Arial"/>
                <w:highlight w:val="yellow"/>
                <w:vertAlign w:val="superscript"/>
              </w:rPr>
              <w:t>-1</w:t>
            </w:r>
          </w:p>
        </w:tc>
        <w:tc>
          <w:tcPr>
            <w:tcW w:w="992" w:type="dxa"/>
            <w:vAlign w:val="bottom"/>
            <w:hideMark/>
          </w:tcPr>
          <w:p w14:paraId="4BB513DE" w14:textId="77777777" w:rsidR="00485EB5" w:rsidRPr="000F1EF3" w:rsidRDefault="00485EB5" w:rsidP="001A4B15">
            <w:pPr>
              <w:contextualSpacing/>
              <w:rPr>
                <w:rFonts w:ascii="Arial" w:hAnsi="Arial" w:cs="Arial"/>
              </w:rPr>
            </w:pPr>
            <w:r w:rsidRPr="000F1EF3">
              <w:rPr>
                <w:rFonts w:ascii="Arial" w:hAnsi="Arial" w:cs="Arial"/>
              </w:rPr>
              <w:t>58.80</w:t>
            </w:r>
          </w:p>
        </w:tc>
        <w:tc>
          <w:tcPr>
            <w:tcW w:w="1003" w:type="dxa"/>
            <w:tcBorders>
              <w:top w:val="nil"/>
              <w:left w:val="nil"/>
              <w:bottom w:val="nil"/>
              <w:right w:val="nil"/>
            </w:tcBorders>
            <w:vAlign w:val="center"/>
          </w:tcPr>
          <w:p w14:paraId="7CC81226" w14:textId="77777777" w:rsidR="00485EB5" w:rsidRPr="000F1EF3" w:rsidRDefault="00485EB5" w:rsidP="001A4B15">
            <w:pPr>
              <w:contextualSpacing/>
              <w:rPr>
                <w:rFonts w:ascii="Arial" w:hAnsi="Arial" w:cs="Arial"/>
              </w:rPr>
            </w:pPr>
            <w:r w:rsidRPr="000F1EF3">
              <w:rPr>
                <w:rFonts w:ascii="Arial" w:hAnsi="Arial" w:cs="Arial"/>
                <w:color w:val="000000"/>
              </w:rPr>
              <w:t>58.75</w:t>
            </w:r>
          </w:p>
        </w:tc>
        <w:tc>
          <w:tcPr>
            <w:tcW w:w="1085" w:type="dxa"/>
            <w:vAlign w:val="bottom"/>
            <w:hideMark/>
          </w:tcPr>
          <w:p w14:paraId="226D283A" w14:textId="77777777" w:rsidR="00485EB5" w:rsidRPr="000F1EF3" w:rsidRDefault="00485EB5" w:rsidP="001A4B15">
            <w:pPr>
              <w:contextualSpacing/>
              <w:rPr>
                <w:rFonts w:ascii="Arial" w:hAnsi="Arial" w:cs="Arial"/>
              </w:rPr>
            </w:pPr>
            <w:r w:rsidRPr="000F1EF3">
              <w:rPr>
                <w:rFonts w:ascii="Arial" w:hAnsi="Arial" w:cs="Arial"/>
              </w:rPr>
              <w:t>63.50</w:t>
            </w:r>
          </w:p>
        </w:tc>
        <w:tc>
          <w:tcPr>
            <w:tcW w:w="1075" w:type="dxa"/>
            <w:tcBorders>
              <w:top w:val="nil"/>
              <w:left w:val="nil"/>
              <w:bottom w:val="nil"/>
              <w:right w:val="nil"/>
            </w:tcBorders>
            <w:vAlign w:val="center"/>
          </w:tcPr>
          <w:p w14:paraId="50AD0C9D" w14:textId="77777777" w:rsidR="00485EB5" w:rsidRPr="000F1EF3" w:rsidRDefault="00485EB5" w:rsidP="001A4B15">
            <w:pPr>
              <w:contextualSpacing/>
              <w:rPr>
                <w:rFonts w:ascii="Arial" w:hAnsi="Arial" w:cs="Arial"/>
              </w:rPr>
            </w:pPr>
            <w:r w:rsidRPr="000F1EF3">
              <w:rPr>
                <w:rFonts w:ascii="Arial" w:hAnsi="Arial" w:cs="Arial"/>
                <w:color w:val="000000"/>
              </w:rPr>
              <w:t>63.50</w:t>
            </w:r>
          </w:p>
        </w:tc>
      </w:tr>
      <w:tr w:rsidR="00485EB5" w:rsidRPr="000F1EF3" w14:paraId="0553E3FB" w14:textId="77777777" w:rsidTr="000B6F78">
        <w:trPr>
          <w:trHeight w:val="272"/>
        </w:trPr>
        <w:tc>
          <w:tcPr>
            <w:tcW w:w="4678" w:type="dxa"/>
            <w:hideMark/>
          </w:tcPr>
          <w:p w14:paraId="6E6AABFF" w14:textId="5987D3C0" w:rsidR="00485EB5" w:rsidRPr="000F1EF3" w:rsidRDefault="00485EB5" w:rsidP="00786519">
            <w:pPr>
              <w:contextualSpacing/>
              <w:rPr>
                <w:rFonts w:ascii="Arial" w:hAnsi="Arial" w:cs="Arial"/>
              </w:rPr>
            </w:pPr>
            <w:r w:rsidRPr="000F1EF3">
              <w:rPr>
                <w:rFonts w:ascii="Arial" w:hAnsi="Arial" w:cs="Arial"/>
              </w:rPr>
              <w:t xml:space="preserve">Briquette NPK &amp; Urea (76-29-29) 115.2 </w:t>
            </w:r>
            <w:r w:rsidR="00786519" w:rsidRPr="007C4D89">
              <w:rPr>
                <w:rFonts w:ascii="Arial" w:hAnsi="Arial" w:cs="Arial"/>
                <w:highlight w:val="yellow"/>
              </w:rPr>
              <w:t>kg ha</w:t>
            </w:r>
            <w:r w:rsidR="00786519" w:rsidRPr="007C4D89">
              <w:rPr>
                <w:rFonts w:ascii="Arial" w:hAnsi="Arial" w:cs="Arial"/>
                <w:highlight w:val="yellow"/>
                <w:vertAlign w:val="superscript"/>
              </w:rPr>
              <w:t>-1</w:t>
            </w:r>
          </w:p>
        </w:tc>
        <w:tc>
          <w:tcPr>
            <w:tcW w:w="992" w:type="dxa"/>
            <w:vAlign w:val="bottom"/>
            <w:hideMark/>
          </w:tcPr>
          <w:p w14:paraId="0D55511F" w14:textId="77777777" w:rsidR="00485EB5" w:rsidRPr="000F1EF3" w:rsidRDefault="00485EB5" w:rsidP="001A4B15">
            <w:pPr>
              <w:contextualSpacing/>
              <w:rPr>
                <w:rFonts w:ascii="Arial" w:hAnsi="Arial" w:cs="Arial"/>
              </w:rPr>
            </w:pPr>
            <w:r w:rsidRPr="000F1EF3">
              <w:rPr>
                <w:rFonts w:ascii="Arial" w:hAnsi="Arial" w:cs="Arial"/>
              </w:rPr>
              <w:t>58.30</w:t>
            </w:r>
          </w:p>
        </w:tc>
        <w:tc>
          <w:tcPr>
            <w:tcW w:w="1003" w:type="dxa"/>
            <w:tcBorders>
              <w:top w:val="nil"/>
              <w:left w:val="nil"/>
              <w:bottom w:val="nil"/>
              <w:right w:val="nil"/>
            </w:tcBorders>
            <w:vAlign w:val="center"/>
          </w:tcPr>
          <w:p w14:paraId="1D15D2ED" w14:textId="77777777" w:rsidR="00485EB5" w:rsidRPr="000F1EF3" w:rsidRDefault="00485EB5" w:rsidP="001A4B15">
            <w:pPr>
              <w:contextualSpacing/>
              <w:rPr>
                <w:rFonts w:ascii="Arial" w:hAnsi="Arial" w:cs="Arial"/>
              </w:rPr>
            </w:pPr>
            <w:r w:rsidRPr="000F1EF3">
              <w:rPr>
                <w:rFonts w:ascii="Arial" w:hAnsi="Arial" w:cs="Arial"/>
                <w:color w:val="000000"/>
              </w:rPr>
              <w:t>58.25</w:t>
            </w:r>
          </w:p>
        </w:tc>
        <w:tc>
          <w:tcPr>
            <w:tcW w:w="1085" w:type="dxa"/>
            <w:vAlign w:val="bottom"/>
            <w:hideMark/>
          </w:tcPr>
          <w:p w14:paraId="69499E92" w14:textId="77777777" w:rsidR="00485EB5" w:rsidRPr="000F1EF3" w:rsidRDefault="00485EB5" w:rsidP="001A4B15">
            <w:pPr>
              <w:contextualSpacing/>
              <w:rPr>
                <w:rFonts w:ascii="Arial" w:hAnsi="Arial" w:cs="Arial"/>
              </w:rPr>
            </w:pPr>
            <w:r w:rsidRPr="000F1EF3">
              <w:rPr>
                <w:rFonts w:ascii="Arial" w:hAnsi="Arial" w:cs="Arial"/>
              </w:rPr>
              <w:t>63.50</w:t>
            </w:r>
          </w:p>
        </w:tc>
        <w:tc>
          <w:tcPr>
            <w:tcW w:w="1075" w:type="dxa"/>
            <w:tcBorders>
              <w:top w:val="nil"/>
              <w:left w:val="nil"/>
              <w:bottom w:val="nil"/>
              <w:right w:val="nil"/>
            </w:tcBorders>
            <w:vAlign w:val="center"/>
          </w:tcPr>
          <w:p w14:paraId="48552406" w14:textId="77777777" w:rsidR="00485EB5" w:rsidRPr="000F1EF3" w:rsidRDefault="00485EB5" w:rsidP="001A4B15">
            <w:pPr>
              <w:contextualSpacing/>
              <w:rPr>
                <w:rFonts w:ascii="Arial" w:hAnsi="Arial" w:cs="Arial"/>
              </w:rPr>
            </w:pPr>
            <w:r w:rsidRPr="000F1EF3">
              <w:rPr>
                <w:rFonts w:ascii="Arial" w:hAnsi="Arial" w:cs="Arial"/>
                <w:color w:val="000000"/>
              </w:rPr>
              <w:t>63.50</w:t>
            </w:r>
          </w:p>
        </w:tc>
      </w:tr>
      <w:tr w:rsidR="00485EB5" w:rsidRPr="000F1EF3" w14:paraId="4D02B7EE" w14:textId="77777777" w:rsidTr="000B6F78">
        <w:trPr>
          <w:trHeight w:val="272"/>
        </w:trPr>
        <w:tc>
          <w:tcPr>
            <w:tcW w:w="4678" w:type="dxa"/>
            <w:tcBorders>
              <w:top w:val="nil"/>
              <w:left w:val="nil"/>
              <w:right w:val="nil"/>
            </w:tcBorders>
            <w:hideMark/>
          </w:tcPr>
          <w:p w14:paraId="7E5DD9F0" w14:textId="34FD0406" w:rsidR="00485EB5" w:rsidRPr="000F1EF3" w:rsidRDefault="00485EB5" w:rsidP="001A4B15">
            <w:pPr>
              <w:contextualSpacing/>
              <w:rPr>
                <w:rFonts w:ascii="Arial" w:hAnsi="Arial" w:cs="Arial"/>
              </w:rPr>
            </w:pPr>
            <w:r w:rsidRPr="000F1EF3">
              <w:rPr>
                <w:rFonts w:ascii="Arial" w:hAnsi="Arial" w:cs="Arial"/>
              </w:rPr>
              <w:t xml:space="preserve">Briquette NPK &amp; Urea (31-29-29) 115.2 </w:t>
            </w:r>
            <w:r w:rsidR="00786519" w:rsidRPr="007C4D89">
              <w:rPr>
                <w:rFonts w:ascii="Arial" w:hAnsi="Arial" w:cs="Arial"/>
                <w:highlight w:val="yellow"/>
              </w:rPr>
              <w:t>kg ha</w:t>
            </w:r>
            <w:r w:rsidR="00786519" w:rsidRPr="007C4D89">
              <w:rPr>
                <w:rFonts w:ascii="Arial" w:hAnsi="Arial" w:cs="Arial"/>
                <w:highlight w:val="yellow"/>
                <w:vertAlign w:val="superscript"/>
              </w:rPr>
              <w:t>-1</w:t>
            </w:r>
            <w:r w:rsidR="00786519" w:rsidRPr="007C4D89">
              <w:rPr>
                <w:rFonts w:ascii="Arial" w:hAnsi="Arial" w:cs="Arial"/>
                <w:vertAlign w:val="superscript"/>
              </w:rPr>
              <w:t xml:space="preserve"> </w:t>
            </w:r>
            <w:r w:rsidR="000F1EF3" w:rsidRPr="000F1EF3">
              <w:rPr>
                <w:rFonts w:ascii="Arial" w:hAnsi="Arial" w:cs="Arial"/>
                <w:vertAlign w:val="superscript"/>
              </w:rPr>
              <w:t>1</w:t>
            </w:r>
          </w:p>
        </w:tc>
        <w:tc>
          <w:tcPr>
            <w:tcW w:w="992" w:type="dxa"/>
            <w:vAlign w:val="bottom"/>
            <w:hideMark/>
          </w:tcPr>
          <w:p w14:paraId="717ED082" w14:textId="77777777" w:rsidR="00485EB5" w:rsidRPr="000F1EF3" w:rsidRDefault="00485EB5" w:rsidP="001A4B15">
            <w:pPr>
              <w:contextualSpacing/>
              <w:rPr>
                <w:rFonts w:ascii="Arial" w:hAnsi="Arial" w:cs="Arial"/>
              </w:rPr>
            </w:pPr>
            <w:r w:rsidRPr="000F1EF3">
              <w:rPr>
                <w:rFonts w:ascii="Arial" w:hAnsi="Arial" w:cs="Arial"/>
              </w:rPr>
              <w:t>59.00</w:t>
            </w:r>
          </w:p>
        </w:tc>
        <w:tc>
          <w:tcPr>
            <w:tcW w:w="1003" w:type="dxa"/>
            <w:tcBorders>
              <w:top w:val="nil"/>
              <w:left w:val="nil"/>
              <w:right w:val="nil"/>
            </w:tcBorders>
            <w:vAlign w:val="center"/>
          </w:tcPr>
          <w:p w14:paraId="2912030A" w14:textId="77777777" w:rsidR="00485EB5" w:rsidRPr="000F1EF3" w:rsidRDefault="00485EB5" w:rsidP="001A4B15">
            <w:pPr>
              <w:contextualSpacing/>
              <w:rPr>
                <w:rFonts w:ascii="Arial" w:hAnsi="Arial" w:cs="Arial"/>
              </w:rPr>
            </w:pPr>
            <w:r w:rsidRPr="000F1EF3">
              <w:rPr>
                <w:rFonts w:ascii="Arial" w:hAnsi="Arial" w:cs="Arial"/>
                <w:color w:val="000000"/>
              </w:rPr>
              <w:t>59.00</w:t>
            </w:r>
          </w:p>
        </w:tc>
        <w:tc>
          <w:tcPr>
            <w:tcW w:w="1085" w:type="dxa"/>
            <w:vAlign w:val="bottom"/>
            <w:hideMark/>
          </w:tcPr>
          <w:p w14:paraId="330B5B31" w14:textId="77777777" w:rsidR="00485EB5" w:rsidRPr="000F1EF3" w:rsidRDefault="00485EB5" w:rsidP="001A4B15">
            <w:pPr>
              <w:contextualSpacing/>
              <w:rPr>
                <w:rFonts w:ascii="Arial" w:hAnsi="Arial" w:cs="Arial"/>
              </w:rPr>
            </w:pPr>
            <w:r w:rsidRPr="000F1EF3">
              <w:rPr>
                <w:rFonts w:ascii="Arial" w:hAnsi="Arial" w:cs="Arial"/>
              </w:rPr>
              <w:t>63.80</w:t>
            </w:r>
          </w:p>
        </w:tc>
        <w:tc>
          <w:tcPr>
            <w:tcW w:w="1075" w:type="dxa"/>
            <w:tcBorders>
              <w:top w:val="nil"/>
              <w:left w:val="nil"/>
              <w:right w:val="nil"/>
            </w:tcBorders>
            <w:vAlign w:val="center"/>
          </w:tcPr>
          <w:p w14:paraId="55B6485B" w14:textId="77777777" w:rsidR="00485EB5" w:rsidRPr="000F1EF3" w:rsidRDefault="00485EB5" w:rsidP="001A4B15">
            <w:pPr>
              <w:contextualSpacing/>
              <w:rPr>
                <w:rFonts w:ascii="Arial" w:hAnsi="Arial" w:cs="Arial"/>
              </w:rPr>
            </w:pPr>
            <w:r w:rsidRPr="000F1EF3">
              <w:rPr>
                <w:rFonts w:ascii="Arial" w:hAnsi="Arial" w:cs="Arial"/>
                <w:color w:val="000000"/>
              </w:rPr>
              <w:t>63.75</w:t>
            </w:r>
          </w:p>
        </w:tc>
      </w:tr>
      <w:tr w:rsidR="00485EB5" w:rsidRPr="000F1EF3" w14:paraId="6C70FA24" w14:textId="77777777" w:rsidTr="000B6F78">
        <w:trPr>
          <w:trHeight w:val="272"/>
        </w:trPr>
        <w:tc>
          <w:tcPr>
            <w:tcW w:w="4678" w:type="dxa"/>
            <w:tcBorders>
              <w:left w:val="nil"/>
              <w:bottom w:val="single" w:sz="4" w:space="0" w:color="auto"/>
              <w:right w:val="nil"/>
            </w:tcBorders>
          </w:tcPr>
          <w:p w14:paraId="7C56FC60" w14:textId="77777777" w:rsidR="00485EB5" w:rsidRPr="000F1EF3" w:rsidRDefault="00485EB5" w:rsidP="001A4B15">
            <w:pPr>
              <w:contextualSpacing/>
              <w:rPr>
                <w:rFonts w:ascii="Arial" w:hAnsi="Arial" w:cs="Arial"/>
                <w:b/>
                <w:bCs/>
              </w:rPr>
            </w:pPr>
            <w:r w:rsidRPr="000F1EF3">
              <w:rPr>
                <w:rFonts w:ascii="Arial" w:hAnsi="Arial" w:cs="Arial"/>
                <w:b/>
                <w:bCs/>
              </w:rPr>
              <w:t>Mean</w:t>
            </w:r>
          </w:p>
        </w:tc>
        <w:tc>
          <w:tcPr>
            <w:tcW w:w="992" w:type="dxa"/>
            <w:tcBorders>
              <w:left w:val="nil"/>
              <w:bottom w:val="single" w:sz="4" w:space="0" w:color="auto"/>
              <w:right w:val="nil"/>
            </w:tcBorders>
          </w:tcPr>
          <w:p w14:paraId="301CE3B1" w14:textId="77777777" w:rsidR="00485EB5" w:rsidRPr="000F1EF3" w:rsidRDefault="00485EB5" w:rsidP="001A4B15">
            <w:pPr>
              <w:contextualSpacing/>
              <w:rPr>
                <w:rFonts w:ascii="Arial" w:hAnsi="Arial" w:cs="Arial"/>
                <w:b/>
                <w:bCs/>
                <w:color w:val="000000"/>
              </w:rPr>
            </w:pPr>
            <w:r w:rsidRPr="000F1EF3">
              <w:rPr>
                <w:rFonts w:ascii="Arial" w:hAnsi="Arial" w:cs="Arial"/>
                <w:b/>
                <w:bCs/>
                <w:color w:val="000000"/>
              </w:rPr>
              <w:t>58.67</w:t>
            </w:r>
          </w:p>
        </w:tc>
        <w:tc>
          <w:tcPr>
            <w:tcW w:w="1003" w:type="dxa"/>
            <w:tcBorders>
              <w:left w:val="nil"/>
              <w:bottom w:val="single" w:sz="4" w:space="0" w:color="auto"/>
              <w:right w:val="nil"/>
            </w:tcBorders>
          </w:tcPr>
          <w:p w14:paraId="5F57B7AB" w14:textId="77777777" w:rsidR="00485EB5" w:rsidRPr="000F1EF3" w:rsidRDefault="00485EB5" w:rsidP="001A4B15">
            <w:pPr>
              <w:contextualSpacing/>
              <w:rPr>
                <w:rFonts w:ascii="Arial" w:hAnsi="Arial" w:cs="Arial"/>
                <w:b/>
                <w:bCs/>
              </w:rPr>
            </w:pPr>
            <w:r w:rsidRPr="000F1EF3">
              <w:rPr>
                <w:rFonts w:ascii="Arial" w:hAnsi="Arial" w:cs="Arial"/>
                <w:b/>
                <w:bCs/>
              </w:rPr>
              <w:t>58.64</w:t>
            </w:r>
          </w:p>
        </w:tc>
        <w:tc>
          <w:tcPr>
            <w:tcW w:w="1085" w:type="dxa"/>
            <w:tcBorders>
              <w:left w:val="nil"/>
              <w:bottom w:val="single" w:sz="4" w:space="0" w:color="auto"/>
              <w:right w:val="nil"/>
            </w:tcBorders>
          </w:tcPr>
          <w:p w14:paraId="432E0811" w14:textId="77777777" w:rsidR="00485EB5" w:rsidRPr="000F1EF3" w:rsidRDefault="00485EB5" w:rsidP="001A4B15">
            <w:pPr>
              <w:contextualSpacing/>
              <w:rPr>
                <w:rFonts w:ascii="Arial" w:hAnsi="Arial" w:cs="Arial"/>
                <w:b/>
                <w:bCs/>
              </w:rPr>
            </w:pPr>
            <w:r w:rsidRPr="000F1EF3">
              <w:rPr>
                <w:rFonts w:ascii="Arial" w:hAnsi="Arial" w:cs="Arial"/>
                <w:b/>
                <w:bCs/>
              </w:rPr>
              <w:t>63.53</w:t>
            </w:r>
          </w:p>
        </w:tc>
        <w:tc>
          <w:tcPr>
            <w:tcW w:w="1075" w:type="dxa"/>
            <w:tcBorders>
              <w:left w:val="nil"/>
              <w:bottom w:val="single" w:sz="4" w:space="0" w:color="auto"/>
              <w:right w:val="nil"/>
            </w:tcBorders>
          </w:tcPr>
          <w:p w14:paraId="57F8520F" w14:textId="77777777" w:rsidR="00485EB5" w:rsidRPr="000F1EF3" w:rsidRDefault="00485EB5" w:rsidP="001A4B15">
            <w:pPr>
              <w:contextualSpacing/>
              <w:rPr>
                <w:rFonts w:ascii="Arial" w:hAnsi="Arial" w:cs="Arial"/>
                <w:b/>
                <w:bCs/>
              </w:rPr>
            </w:pPr>
            <w:r w:rsidRPr="000F1EF3">
              <w:rPr>
                <w:rFonts w:ascii="Arial" w:hAnsi="Arial" w:cs="Arial"/>
                <w:b/>
                <w:bCs/>
              </w:rPr>
              <w:t>63.5</w:t>
            </w:r>
          </w:p>
        </w:tc>
      </w:tr>
      <w:tr w:rsidR="00485EB5" w:rsidRPr="00485EB5" w14:paraId="335120F4" w14:textId="77777777" w:rsidTr="000B6F78">
        <w:trPr>
          <w:trHeight w:val="272"/>
        </w:trPr>
        <w:tc>
          <w:tcPr>
            <w:tcW w:w="4678" w:type="dxa"/>
            <w:tcBorders>
              <w:top w:val="single" w:sz="4" w:space="0" w:color="auto"/>
              <w:left w:val="nil"/>
              <w:right w:val="nil"/>
            </w:tcBorders>
            <w:hideMark/>
          </w:tcPr>
          <w:p w14:paraId="4539181C" w14:textId="77777777" w:rsidR="00485EB5" w:rsidRPr="00485EB5" w:rsidRDefault="00485EB5" w:rsidP="001A4B15">
            <w:pPr>
              <w:contextualSpacing/>
              <w:rPr>
                <w:rFonts w:ascii="Arial" w:hAnsi="Arial" w:cs="Arial"/>
                <w:b/>
              </w:rPr>
            </w:pPr>
            <w:r w:rsidRPr="00485EB5">
              <w:rPr>
                <w:rFonts w:ascii="Arial" w:hAnsi="Arial" w:cs="Arial"/>
                <w:b/>
              </w:rPr>
              <w:t>HSD (P ≤ 0.05)</w:t>
            </w:r>
          </w:p>
        </w:tc>
        <w:tc>
          <w:tcPr>
            <w:tcW w:w="992" w:type="dxa"/>
            <w:tcBorders>
              <w:top w:val="single" w:sz="4" w:space="0" w:color="auto"/>
              <w:left w:val="nil"/>
              <w:right w:val="nil"/>
            </w:tcBorders>
            <w:hideMark/>
          </w:tcPr>
          <w:p w14:paraId="3A5ECCB4" w14:textId="77777777" w:rsidR="00485EB5" w:rsidRPr="00485EB5" w:rsidRDefault="00485EB5" w:rsidP="001A4B15">
            <w:pPr>
              <w:contextualSpacing/>
              <w:rPr>
                <w:rFonts w:ascii="Arial" w:hAnsi="Arial" w:cs="Arial"/>
                <w:b/>
              </w:rPr>
            </w:pPr>
            <w:r w:rsidRPr="00485EB5">
              <w:rPr>
                <w:rFonts w:ascii="Arial" w:hAnsi="Arial" w:cs="Arial"/>
                <w:b/>
              </w:rPr>
              <w:t>1.52</w:t>
            </w:r>
            <w:r w:rsidRPr="00485EB5">
              <w:rPr>
                <w:rFonts w:ascii="Arial" w:hAnsi="Arial" w:cs="Arial"/>
                <w:b/>
                <w:vertAlign w:val="superscript"/>
              </w:rPr>
              <w:t>NS</w:t>
            </w:r>
          </w:p>
        </w:tc>
        <w:tc>
          <w:tcPr>
            <w:tcW w:w="1003" w:type="dxa"/>
            <w:tcBorders>
              <w:top w:val="single" w:sz="4" w:space="0" w:color="auto"/>
              <w:left w:val="nil"/>
              <w:right w:val="nil"/>
            </w:tcBorders>
          </w:tcPr>
          <w:p w14:paraId="61DFE9C2" w14:textId="77777777" w:rsidR="00485EB5" w:rsidRPr="00485EB5" w:rsidRDefault="00485EB5" w:rsidP="001A4B15">
            <w:pPr>
              <w:contextualSpacing/>
              <w:rPr>
                <w:rFonts w:ascii="Arial" w:hAnsi="Arial" w:cs="Arial"/>
                <w:b/>
              </w:rPr>
            </w:pPr>
            <w:r w:rsidRPr="00485EB5">
              <w:rPr>
                <w:rFonts w:ascii="Arial" w:hAnsi="Arial" w:cs="Arial"/>
                <w:b/>
              </w:rPr>
              <w:t>0.96</w:t>
            </w:r>
            <w:r w:rsidRPr="00485EB5">
              <w:rPr>
                <w:rFonts w:ascii="Arial" w:hAnsi="Arial" w:cs="Arial"/>
                <w:b/>
                <w:vertAlign w:val="superscript"/>
              </w:rPr>
              <w:t>NS</w:t>
            </w:r>
          </w:p>
        </w:tc>
        <w:tc>
          <w:tcPr>
            <w:tcW w:w="1085" w:type="dxa"/>
            <w:tcBorders>
              <w:top w:val="single" w:sz="4" w:space="0" w:color="auto"/>
              <w:left w:val="nil"/>
              <w:right w:val="nil"/>
            </w:tcBorders>
            <w:hideMark/>
          </w:tcPr>
          <w:p w14:paraId="6617A58B" w14:textId="77777777" w:rsidR="00485EB5" w:rsidRPr="00485EB5" w:rsidRDefault="00485EB5" w:rsidP="001A4B15">
            <w:pPr>
              <w:contextualSpacing/>
              <w:rPr>
                <w:rFonts w:ascii="Arial" w:hAnsi="Arial" w:cs="Arial"/>
                <w:b/>
              </w:rPr>
            </w:pPr>
            <w:r w:rsidRPr="00485EB5">
              <w:rPr>
                <w:rFonts w:ascii="Arial" w:hAnsi="Arial" w:cs="Arial"/>
                <w:b/>
              </w:rPr>
              <w:t>1.87</w:t>
            </w:r>
            <w:r w:rsidRPr="00485EB5">
              <w:rPr>
                <w:rFonts w:ascii="Arial" w:hAnsi="Arial" w:cs="Arial"/>
                <w:b/>
                <w:vertAlign w:val="superscript"/>
              </w:rPr>
              <w:t>NS</w:t>
            </w:r>
          </w:p>
        </w:tc>
        <w:tc>
          <w:tcPr>
            <w:tcW w:w="1075" w:type="dxa"/>
            <w:tcBorders>
              <w:top w:val="single" w:sz="4" w:space="0" w:color="auto"/>
              <w:left w:val="nil"/>
              <w:right w:val="nil"/>
            </w:tcBorders>
          </w:tcPr>
          <w:p w14:paraId="3436BF2E" w14:textId="77777777" w:rsidR="00485EB5" w:rsidRPr="00485EB5" w:rsidRDefault="00485EB5" w:rsidP="001A4B15">
            <w:pPr>
              <w:contextualSpacing/>
              <w:rPr>
                <w:rFonts w:ascii="Arial" w:hAnsi="Arial" w:cs="Arial"/>
                <w:b/>
              </w:rPr>
            </w:pPr>
            <w:r w:rsidRPr="00485EB5">
              <w:rPr>
                <w:rFonts w:ascii="Arial" w:hAnsi="Arial" w:cs="Arial"/>
                <w:b/>
              </w:rPr>
              <w:t>1.19</w:t>
            </w:r>
            <w:r w:rsidRPr="00485EB5">
              <w:rPr>
                <w:rFonts w:ascii="Arial" w:hAnsi="Arial" w:cs="Arial"/>
                <w:b/>
                <w:vertAlign w:val="superscript"/>
              </w:rPr>
              <w:t>NS</w:t>
            </w:r>
          </w:p>
        </w:tc>
      </w:tr>
      <w:tr w:rsidR="00485EB5" w:rsidRPr="00485EB5" w14:paraId="0B9CDDC8" w14:textId="77777777" w:rsidTr="000B6F78">
        <w:trPr>
          <w:trHeight w:val="272"/>
        </w:trPr>
        <w:tc>
          <w:tcPr>
            <w:tcW w:w="4678" w:type="dxa"/>
            <w:tcBorders>
              <w:top w:val="nil"/>
              <w:left w:val="nil"/>
              <w:right w:val="nil"/>
            </w:tcBorders>
            <w:hideMark/>
          </w:tcPr>
          <w:p w14:paraId="4A69F0EE" w14:textId="77777777" w:rsidR="00485EB5" w:rsidRPr="00485EB5" w:rsidRDefault="00485EB5" w:rsidP="001A4B15">
            <w:pPr>
              <w:contextualSpacing/>
              <w:rPr>
                <w:rFonts w:ascii="Arial" w:hAnsi="Arial" w:cs="Arial"/>
                <w:b/>
              </w:rPr>
            </w:pPr>
            <w:r w:rsidRPr="00485EB5">
              <w:rPr>
                <w:rFonts w:ascii="Arial" w:hAnsi="Arial" w:cs="Arial"/>
                <w:b/>
              </w:rPr>
              <w:t>CV (%)</w:t>
            </w:r>
          </w:p>
        </w:tc>
        <w:tc>
          <w:tcPr>
            <w:tcW w:w="992" w:type="dxa"/>
            <w:tcBorders>
              <w:top w:val="nil"/>
              <w:left w:val="nil"/>
              <w:right w:val="nil"/>
            </w:tcBorders>
            <w:hideMark/>
          </w:tcPr>
          <w:p w14:paraId="5D4CAE74" w14:textId="77777777" w:rsidR="00485EB5" w:rsidRPr="00485EB5" w:rsidRDefault="00485EB5" w:rsidP="001A4B15">
            <w:pPr>
              <w:contextualSpacing/>
              <w:rPr>
                <w:rFonts w:ascii="Arial" w:hAnsi="Arial" w:cs="Arial"/>
                <w:b/>
              </w:rPr>
            </w:pPr>
            <w:r w:rsidRPr="00485EB5">
              <w:rPr>
                <w:rFonts w:ascii="Arial" w:hAnsi="Arial" w:cs="Arial"/>
                <w:b/>
                <w:color w:val="000000"/>
              </w:rPr>
              <w:t>1.11</w:t>
            </w:r>
          </w:p>
        </w:tc>
        <w:tc>
          <w:tcPr>
            <w:tcW w:w="1003" w:type="dxa"/>
            <w:tcBorders>
              <w:top w:val="nil"/>
              <w:left w:val="nil"/>
              <w:right w:val="nil"/>
            </w:tcBorders>
          </w:tcPr>
          <w:p w14:paraId="61CD89BB" w14:textId="77777777" w:rsidR="00485EB5" w:rsidRPr="00485EB5" w:rsidRDefault="00485EB5" w:rsidP="001A4B15">
            <w:pPr>
              <w:contextualSpacing/>
              <w:rPr>
                <w:rFonts w:ascii="Arial" w:hAnsi="Arial" w:cs="Arial"/>
                <w:b/>
              </w:rPr>
            </w:pPr>
            <w:r w:rsidRPr="00485EB5">
              <w:rPr>
                <w:rFonts w:ascii="Arial" w:hAnsi="Arial" w:cs="Arial"/>
                <w:b/>
              </w:rPr>
              <w:t>1.12</w:t>
            </w:r>
          </w:p>
        </w:tc>
        <w:tc>
          <w:tcPr>
            <w:tcW w:w="1085" w:type="dxa"/>
            <w:tcBorders>
              <w:top w:val="nil"/>
              <w:left w:val="nil"/>
              <w:right w:val="nil"/>
            </w:tcBorders>
            <w:hideMark/>
          </w:tcPr>
          <w:p w14:paraId="2529B2DC" w14:textId="77777777" w:rsidR="00485EB5" w:rsidRPr="00485EB5" w:rsidRDefault="00485EB5" w:rsidP="001A4B15">
            <w:pPr>
              <w:contextualSpacing/>
              <w:rPr>
                <w:rFonts w:ascii="Arial" w:hAnsi="Arial" w:cs="Arial"/>
                <w:b/>
              </w:rPr>
            </w:pPr>
            <w:r w:rsidRPr="00485EB5">
              <w:rPr>
                <w:rFonts w:ascii="Arial" w:hAnsi="Arial" w:cs="Arial"/>
                <w:b/>
              </w:rPr>
              <w:t>1.26</w:t>
            </w:r>
          </w:p>
        </w:tc>
        <w:tc>
          <w:tcPr>
            <w:tcW w:w="1075" w:type="dxa"/>
            <w:tcBorders>
              <w:top w:val="nil"/>
              <w:left w:val="nil"/>
              <w:right w:val="nil"/>
            </w:tcBorders>
          </w:tcPr>
          <w:p w14:paraId="4BBF794A" w14:textId="77777777" w:rsidR="00485EB5" w:rsidRPr="00485EB5" w:rsidRDefault="00485EB5" w:rsidP="001A4B15">
            <w:pPr>
              <w:contextualSpacing/>
              <w:rPr>
                <w:rFonts w:ascii="Arial" w:hAnsi="Arial" w:cs="Arial"/>
                <w:b/>
              </w:rPr>
            </w:pPr>
            <w:r w:rsidRPr="00485EB5">
              <w:rPr>
                <w:rFonts w:ascii="Arial" w:hAnsi="Arial" w:cs="Arial"/>
                <w:b/>
              </w:rPr>
              <w:t>1.25</w:t>
            </w:r>
          </w:p>
        </w:tc>
      </w:tr>
      <w:tr w:rsidR="00485EB5" w:rsidRPr="00485EB5" w14:paraId="68E01C9E" w14:textId="77777777" w:rsidTr="000B6F78">
        <w:trPr>
          <w:trHeight w:val="256"/>
        </w:trPr>
        <w:tc>
          <w:tcPr>
            <w:tcW w:w="4678" w:type="dxa"/>
            <w:tcBorders>
              <w:top w:val="single" w:sz="4" w:space="0" w:color="auto"/>
              <w:left w:val="nil"/>
              <w:bottom w:val="nil"/>
              <w:right w:val="nil"/>
            </w:tcBorders>
          </w:tcPr>
          <w:p w14:paraId="1BF50997" w14:textId="77777777" w:rsidR="00485EB5" w:rsidRPr="00485EB5" w:rsidRDefault="00485EB5" w:rsidP="001A4B15">
            <w:pPr>
              <w:contextualSpacing/>
              <w:rPr>
                <w:rFonts w:ascii="Arial" w:hAnsi="Arial" w:cs="Arial"/>
              </w:rPr>
            </w:pPr>
            <w:r w:rsidRPr="00485EB5">
              <w:rPr>
                <w:rFonts w:ascii="Arial" w:hAnsi="Arial" w:cs="Arial"/>
              </w:rPr>
              <w:tab/>
            </w:r>
            <w:r w:rsidRPr="00485EB5">
              <w:rPr>
                <w:rFonts w:ascii="Arial" w:hAnsi="Arial" w:cs="Arial"/>
              </w:rPr>
              <w:tab/>
            </w:r>
            <w:r w:rsidRPr="00485EB5">
              <w:rPr>
                <w:rFonts w:ascii="Arial" w:hAnsi="Arial" w:cs="Arial"/>
              </w:rPr>
              <w:tab/>
              <w:t>Location</w:t>
            </w:r>
          </w:p>
        </w:tc>
        <w:tc>
          <w:tcPr>
            <w:tcW w:w="1995" w:type="dxa"/>
            <w:gridSpan w:val="2"/>
            <w:tcBorders>
              <w:top w:val="single" w:sz="4" w:space="0" w:color="auto"/>
              <w:left w:val="nil"/>
              <w:bottom w:val="nil"/>
              <w:right w:val="nil"/>
            </w:tcBorders>
          </w:tcPr>
          <w:p w14:paraId="227DA7B8" w14:textId="77777777" w:rsidR="00485EB5" w:rsidRPr="00485EB5" w:rsidRDefault="00485EB5" w:rsidP="001A4B15">
            <w:pPr>
              <w:contextualSpacing/>
              <w:rPr>
                <w:rFonts w:ascii="Arial" w:hAnsi="Arial" w:cs="Arial"/>
              </w:rPr>
            </w:pPr>
            <w:r w:rsidRPr="00485EB5">
              <w:rPr>
                <w:rFonts w:ascii="Arial" w:hAnsi="Arial" w:cs="Arial"/>
              </w:rPr>
              <w:t xml:space="preserve">         0.73</w:t>
            </w:r>
            <w:r w:rsidRPr="00485EB5">
              <w:rPr>
                <w:rFonts w:ascii="Arial" w:hAnsi="Arial" w:cs="Arial"/>
                <w:vertAlign w:val="superscript"/>
              </w:rPr>
              <w:t>NS</w:t>
            </w:r>
          </w:p>
        </w:tc>
        <w:tc>
          <w:tcPr>
            <w:tcW w:w="2160" w:type="dxa"/>
            <w:gridSpan w:val="2"/>
            <w:tcBorders>
              <w:top w:val="single" w:sz="4" w:space="0" w:color="auto"/>
              <w:left w:val="nil"/>
              <w:bottom w:val="nil"/>
              <w:right w:val="nil"/>
            </w:tcBorders>
          </w:tcPr>
          <w:p w14:paraId="49980AB8" w14:textId="77777777" w:rsidR="00485EB5" w:rsidRPr="00485EB5" w:rsidRDefault="00485EB5" w:rsidP="001A4B15">
            <w:pPr>
              <w:contextualSpacing/>
              <w:rPr>
                <w:rFonts w:ascii="Arial" w:hAnsi="Arial" w:cs="Arial"/>
              </w:rPr>
            </w:pPr>
            <w:r w:rsidRPr="00485EB5">
              <w:rPr>
                <w:rFonts w:ascii="Arial" w:hAnsi="Arial" w:cs="Arial"/>
              </w:rPr>
              <w:t xml:space="preserve">         0.72</w:t>
            </w:r>
            <w:r w:rsidRPr="00485EB5">
              <w:rPr>
                <w:rFonts w:ascii="Arial" w:hAnsi="Arial" w:cs="Arial"/>
                <w:vertAlign w:val="superscript"/>
              </w:rPr>
              <w:t>NS</w:t>
            </w:r>
          </w:p>
        </w:tc>
      </w:tr>
      <w:tr w:rsidR="00485EB5" w:rsidRPr="00485EB5" w14:paraId="4B680F13" w14:textId="77777777" w:rsidTr="000B6F78">
        <w:trPr>
          <w:trHeight w:val="272"/>
        </w:trPr>
        <w:tc>
          <w:tcPr>
            <w:tcW w:w="4678" w:type="dxa"/>
            <w:tcBorders>
              <w:top w:val="nil"/>
              <w:left w:val="nil"/>
              <w:right w:val="nil"/>
            </w:tcBorders>
          </w:tcPr>
          <w:p w14:paraId="78B6C930" w14:textId="77777777" w:rsidR="00485EB5" w:rsidRPr="00485EB5" w:rsidRDefault="00485EB5" w:rsidP="001A4B15">
            <w:pPr>
              <w:contextualSpacing/>
              <w:rPr>
                <w:rFonts w:ascii="Arial" w:hAnsi="Arial" w:cs="Arial"/>
              </w:rPr>
            </w:pPr>
            <w:r w:rsidRPr="00485EB5">
              <w:rPr>
                <w:rFonts w:ascii="Arial" w:hAnsi="Arial" w:cs="Arial"/>
              </w:rPr>
              <w:tab/>
            </w:r>
            <w:r w:rsidRPr="00485EB5">
              <w:rPr>
                <w:rFonts w:ascii="Arial" w:hAnsi="Arial" w:cs="Arial"/>
              </w:rPr>
              <w:tab/>
            </w:r>
            <w:r w:rsidRPr="00485EB5">
              <w:rPr>
                <w:rFonts w:ascii="Arial" w:hAnsi="Arial" w:cs="Arial"/>
              </w:rPr>
              <w:tab/>
              <w:t>Treatment x Location</w:t>
            </w:r>
          </w:p>
        </w:tc>
        <w:tc>
          <w:tcPr>
            <w:tcW w:w="1995" w:type="dxa"/>
            <w:gridSpan w:val="2"/>
            <w:tcBorders>
              <w:top w:val="nil"/>
              <w:left w:val="nil"/>
              <w:right w:val="nil"/>
            </w:tcBorders>
          </w:tcPr>
          <w:p w14:paraId="175136F1" w14:textId="77777777" w:rsidR="00485EB5" w:rsidRPr="00485EB5" w:rsidRDefault="00485EB5" w:rsidP="001A4B15">
            <w:pPr>
              <w:contextualSpacing/>
              <w:rPr>
                <w:rFonts w:ascii="Arial" w:hAnsi="Arial" w:cs="Arial"/>
              </w:rPr>
            </w:pPr>
            <w:r w:rsidRPr="00485EB5">
              <w:rPr>
                <w:rFonts w:ascii="Arial" w:hAnsi="Arial" w:cs="Arial"/>
              </w:rPr>
              <w:t xml:space="preserve">         1.93</w:t>
            </w:r>
            <w:r w:rsidRPr="00485EB5">
              <w:rPr>
                <w:rFonts w:ascii="Arial" w:hAnsi="Arial" w:cs="Arial"/>
                <w:vertAlign w:val="superscript"/>
              </w:rPr>
              <w:t>NS</w:t>
            </w:r>
          </w:p>
        </w:tc>
        <w:tc>
          <w:tcPr>
            <w:tcW w:w="2160" w:type="dxa"/>
            <w:gridSpan w:val="2"/>
            <w:tcBorders>
              <w:top w:val="nil"/>
              <w:left w:val="nil"/>
              <w:right w:val="nil"/>
            </w:tcBorders>
          </w:tcPr>
          <w:p w14:paraId="21B582CF" w14:textId="77777777" w:rsidR="00485EB5" w:rsidRPr="00485EB5" w:rsidRDefault="00485EB5" w:rsidP="001A4B15">
            <w:pPr>
              <w:contextualSpacing/>
              <w:rPr>
                <w:rFonts w:ascii="Arial" w:hAnsi="Arial" w:cs="Arial"/>
              </w:rPr>
            </w:pPr>
            <w:r w:rsidRPr="00485EB5">
              <w:rPr>
                <w:rFonts w:ascii="Arial" w:hAnsi="Arial" w:cs="Arial"/>
              </w:rPr>
              <w:t xml:space="preserve">         1.89</w:t>
            </w:r>
            <w:r w:rsidRPr="00485EB5">
              <w:rPr>
                <w:rFonts w:ascii="Arial" w:hAnsi="Arial" w:cs="Arial"/>
                <w:vertAlign w:val="superscript"/>
              </w:rPr>
              <w:t>NS</w:t>
            </w:r>
          </w:p>
        </w:tc>
      </w:tr>
    </w:tbl>
    <w:p w14:paraId="3E97F30A" w14:textId="77777777" w:rsidR="009B4244" w:rsidRPr="009B4244" w:rsidRDefault="009B4244" w:rsidP="00485EB5">
      <w:pPr>
        <w:pStyle w:val="Body"/>
        <w:spacing w:after="0" w:line="360" w:lineRule="auto"/>
        <w:jc w:val="left"/>
        <w:rPr>
          <w:rFonts w:ascii="Arial" w:hAnsi="Arial" w:cs="Arial"/>
          <w:b/>
          <w:bCs/>
        </w:rPr>
      </w:pPr>
    </w:p>
    <w:p w14:paraId="52F2F13C" w14:textId="77777777" w:rsidR="00485EB5" w:rsidRDefault="00485EB5" w:rsidP="009B4244">
      <w:pPr>
        <w:spacing w:before="240" w:after="240"/>
        <w:jc w:val="both"/>
        <w:rPr>
          <w:rFonts w:ascii="Arial" w:hAnsi="Arial" w:cs="Arial"/>
          <w:u w:val="single"/>
        </w:rPr>
      </w:pPr>
    </w:p>
    <w:p w14:paraId="7C76A9B4" w14:textId="77777777" w:rsidR="00485EB5" w:rsidRDefault="00485EB5" w:rsidP="009B4244">
      <w:pPr>
        <w:spacing w:before="240" w:after="240"/>
        <w:jc w:val="both"/>
        <w:rPr>
          <w:rFonts w:ascii="Arial" w:hAnsi="Arial" w:cs="Arial"/>
          <w:u w:val="single"/>
        </w:rPr>
      </w:pPr>
    </w:p>
    <w:p w14:paraId="4EE2C92E" w14:textId="77777777" w:rsidR="00485EB5" w:rsidRDefault="00485EB5" w:rsidP="009B4244">
      <w:pPr>
        <w:spacing w:before="240" w:after="240"/>
        <w:jc w:val="both"/>
        <w:rPr>
          <w:rFonts w:ascii="Arial" w:hAnsi="Arial" w:cs="Arial"/>
          <w:u w:val="single"/>
        </w:rPr>
      </w:pPr>
    </w:p>
    <w:p w14:paraId="35A34223" w14:textId="77777777" w:rsidR="00485EB5" w:rsidRDefault="00485EB5" w:rsidP="009B4244">
      <w:pPr>
        <w:spacing w:before="240" w:after="240"/>
        <w:jc w:val="both"/>
        <w:rPr>
          <w:rFonts w:ascii="Arial" w:hAnsi="Arial" w:cs="Arial"/>
          <w:u w:val="single"/>
        </w:rPr>
      </w:pPr>
    </w:p>
    <w:p w14:paraId="0092C144" w14:textId="77777777" w:rsidR="00485EB5" w:rsidRDefault="00485EB5" w:rsidP="009B4244">
      <w:pPr>
        <w:spacing w:before="240" w:after="240"/>
        <w:jc w:val="both"/>
        <w:rPr>
          <w:rFonts w:ascii="Arial" w:hAnsi="Arial" w:cs="Arial"/>
          <w:u w:val="single"/>
        </w:rPr>
      </w:pPr>
    </w:p>
    <w:p w14:paraId="24F3618B" w14:textId="4885056F" w:rsidR="009B4244" w:rsidRPr="00EF0246" w:rsidRDefault="009B4244" w:rsidP="009B4244">
      <w:pPr>
        <w:jc w:val="both"/>
        <w:rPr>
          <w:rFonts w:ascii="Arial" w:hAnsi="Arial" w:cs="Arial"/>
          <w:b/>
          <w:bCs/>
          <w:sz w:val="22"/>
          <w:szCs w:val="22"/>
        </w:rPr>
      </w:pPr>
      <w:r w:rsidRPr="00EF0246">
        <w:rPr>
          <w:rFonts w:ascii="Arial" w:hAnsi="Arial" w:cs="Arial"/>
          <w:b/>
          <w:bCs/>
          <w:sz w:val="22"/>
          <w:szCs w:val="22"/>
        </w:rPr>
        <w:lastRenderedPageBreak/>
        <w:t>3.5 Vegetative Growth</w:t>
      </w:r>
    </w:p>
    <w:p w14:paraId="27F1C86C" w14:textId="77777777" w:rsidR="009B4244" w:rsidRDefault="009B4244" w:rsidP="009B4244">
      <w:pPr>
        <w:jc w:val="both"/>
        <w:rPr>
          <w:rFonts w:ascii="Arial" w:hAnsi="Arial" w:cs="Arial"/>
          <w:vertAlign w:val="superscript"/>
        </w:rPr>
      </w:pPr>
    </w:p>
    <w:p w14:paraId="01A2902F" w14:textId="77777777" w:rsidR="009B4244" w:rsidRPr="00EF0246" w:rsidRDefault="009B4244" w:rsidP="009B4244">
      <w:pPr>
        <w:spacing w:after="240"/>
        <w:jc w:val="both"/>
        <w:rPr>
          <w:rFonts w:ascii="Arial" w:hAnsi="Arial" w:cs="Arial"/>
          <w:u w:val="single"/>
        </w:rPr>
      </w:pPr>
      <w:r w:rsidRPr="00EF0246">
        <w:rPr>
          <w:rFonts w:ascii="Arial" w:hAnsi="Arial" w:cs="Arial"/>
          <w:u w:val="single"/>
        </w:rPr>
        <w:t>3.5.1 Plant height</w:t>
      </w:r>
    </w:p>
    <w:p w14:paraId="64F1420A" w14:textId="42DF5EF9" w:rsidR="007566AB" w:rsidRDefault="007566AB" w:rsidP="009B4244">
      <w:pPr>
        <w:spacing w:after="240"/>
        <w:jc w:val="both"/>
        <w:rPr>
          <w:rFonts w:ascii="Arial" w:hAnsi="Arial" w:cs="Arial"/>
        </w:rPr>
      </w:pPr>
      <w:r w:rsidRPr="007566AB">
        <w:rPr>
          <w:rFonts w:ascii="Arial" w:hAnsi="Arial" w:cs="Arial"/>
        </w:rPr>
        <w:t>The results of maize plant height as influenced by NPK granules and Briquettes fertilizer at Amantin and Nsapor are shown in Table 7. There were significant (P&lt;0.05) differences between the different fertilizer rates at 5 and 7 WAP across both locations. At 5 WAP, in Amantin and Nsapor plants that received Briquette NPK &amp; Urea (121-58.7-59) 230.4</w:t>
      </w:r>
      <w:r w:rsidR="00372D0C">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r w:rsidR="00372D0C" w:rsidRPr="007C4D89">
        <w:rPr>
          <w:rFonts w:ascii="Arial" w:hAnsi="Arial" w:cs="Arial"/>
          <w:vertAlign w:val="superscript"/>
        </w:rPr>
        <w:t xml:space="preserve"> </w:t>
      </w:r>
      <w:r w:rsidRPr="007566AB">
        <w:rPr>
          <w:rFonts w:ascii="Arial" w:hAnsi="Arial" w:cs="Arial"/>
        </w:rPr>
        <w:t>recorded significantly taller plants than plants that received Briquette NPK &amp; Urea (114-44-44) 172.8</w:t>
      </w:r>
      <w:r w:rsidR="00372D0C">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r w:rsidR="00372D0C" w:rsidRPr="007C4D89">
        <w:rPr>
          <w:rFonts w:ascii="Arial" w:hAnsi="Arial" w:cs="Arial"/>
          <w:vertAlign w:val="superscript"/>
        </w:rPr>
        <w:t xml:space="preserve"> </w:t>
      </w:r>
      <w:r w:rsidRPr="007566AB">
        <w:rPr>
          <w:rFonts w:ascii="Arial" w:hAnsi="Arial" w:cs="Arial"/>
        </w:rPr>
        <w:t>and the control plot, respectively. At 7 WAP, in Amantin and Nsapor, Briquette NPK &amp; Urea (91-59-59) 230.4</w:t>
      </w:r>
      <w:r w:rsidR="00372D0C">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r w:rsidR="00372D0C" w:rsidRPr="007C4D89">
        <w:rPr>
          <w:rFonts w:ascii="Arial" w:hAnsi="Arial" w:cs="Arial"/>
          <w:vertAlign w:val="superscript"/>
        </w:rPr>
        <w:t xml:space="preserve"> </w:t>
      </w:r>
      <w:r w:rsidRPr="007566AB">
        <w:rPr>
          <w:rFonts w:ascii="Arial" w:hAnsi="Arial" w:cs="Arial"/>
        </w:rPr>
        <w:t>produced plants that were significantly taller than plants grown on the unamended plots across both locations. At 5 and 7 WAP, significantly taller plants were observed in Nsapor than in Amantin. Treatment x location interactions had a significant effect on plant height at 5 and 7 WAP.</w:t>
      </w:r>
    </w:p>
    <w:p w14:paraId="107DE1F0" w14:textId="6ADE2053" w:rsidR="00944265" w:rsidRPr="00944265" w:rsidRDefault="00944265" w:rsidP="00944265">
      <w:pPr>
        <w:jc w:val="both"/>
        <w:rPr>
          <w:rFonts w:ascii="Arial" w:hAnsi="Arial" w:cs="Arial"/>
          <w:b/>
          <w:bCs/>
        </w:rPr>
      </w:pPr>
      <w:bookmarkStart w:id="11" w:name="_Hlk195898866"/>
      <w:r w:rsidRPr="00944265">
        <w:rPr>
          <w:rFonts w:ascii="Arial" w:hAnsi="Arial" w:cs="Arial"/>
          <w:b/>
          <w:bCs/>
        </w:rPr>
        <w:t>Table 7. Effect of NPK granules and briquettes fertilizer on maize plant height at</w:t>
      </w:r>
      <w:r>
        <w:rPr>
          <w:rFonts w:ascii="Arial" w:hAnsi="Arial" w:cs="Arial"/>
          <w:b/>
          <w:bCs/>
        </w:rPr>
        <w:t xml:space="preserve"> </w:t>
      </w:r>
      <w:r w:rsidRPr="00944265">
        <w:rPr>
          <w:rFonts w:ascii="Arial" w:hAnsi="Arial" w:cs="Arial"/>
          <w:b/>
          <w:bCs/>
        </w:rPr>
        <w:t>Amantin and Nsapor</w:t>
      </w:r>
      <w:bookmarkEnd w:id="11"/>
    </w:p>
    <w:tbl>
      <w:tblPr>
        <w:tblStyle w:val="TableGrid3"/>
        <w:tblW w:w="8897" w:type="dxa"/>
        <w:tblInd w:w="0" w:type="dxa"/>
        <w:tblLayout w:type="fixed"/>
        <w:tblLook w:val="04A0" w:firstRow="1" w:lastRow="0" w:firstColumn="1" w:lastColumn="0" w:noHBand="0" w:noVBand="1"/>
      </w:tblPr>
      <w:tblGrid>
        <w:gridCol w:w="4678"/>
        <w:gridCol w:w="992"/>
        <w:gridCol w:w="993"/>
        <w:gridCol w:w="1100"/>
        <w:gridCol w:w="1134"/>
      </w:tblGrid>
      <w:tr w:rsidR="00944265" w:rsidRPr="00944265" w14:paraId="38F07A6A" w14:textId="77777777" w:rsidTr="001A4B15">
        <w:trPr>
          <w:trHeight w:val="544"/>
        </w:trPr>
        <w:tc>
          <w:tcPr>
            <w:tcW w:w="4678" w:type="dxa"/>
            <w:tcBorders>
              <w:top w:val="single" w:sz="4" w:space="0" w:color="auto"/>
              <w:left w:val="nil"/>
              <w:bottom w:val="nil"/>
              <w:right w:val="nil"/>
            </w:tcBorders>
            <w:hideMark/>
          </w:tcPr>
          <w:p w14:paraId="48517A18" w14:textId="77777777" w:rsidR="00944265" w:rsidRPr="00944265" w:rsidRDefault="00944265" w:rsidP="001A4B15">
            <w:pPr>
              <w:contextualSpacing/>
              <w:rPr>
                <w:rFonts w:ascii="Arial" w:hAnsi="Arial" w:cs="Arial"/>
              </w:rPr>
            </w:pPr>
            <w:r w:rsidRPr="00944265">
              <w:rPr>
                <w:rFonts w:ascii="Arial" w:hAnsi="Arial" w:cs="Arial"/>
              </w:rPr>
              <w:t>Treatment</w:t>
            </w:r>
          </w:p>
        </w:tc>
        <w:tc>
          <w:tcPr>
            <w:tcW w:w="1985" w:type="dxa"/>
            <w:gridSpan w:val="2"/>
            <w:tcBorders>
              <w:top w:val="single" w:sz="4" w:space="0" w:color="auto"/>
              <w:left w:val="nil"/>
              <w:bottom w:val="nil"/>
              <w:right w:val="nil"/>
            </w:tcBorders>
            <w:hideMark/>
          </w:tcPr>
          <w:p w14:paraId="78C5D69D" w14:textId="77777777" w:rsidR="00944265" w:rsidRPr="00944265" w:rsidRDefault="00944265" w:rsidP="001A4B15">
            <w:pPr>
              <w:contextualSpacing/>
              <w:jc w:val="center"/>
              <w:rPr>
                <w:rFonts w:ascii="Arial" w:hAnsi="Arial" w:cs="Arial"/>
              </w:rPr>
            </w:pPr>
            <w:r w:rsidRPr="00944265">
              <w:rPr>
                <w:rFonts w:ascii="Arial" w:hAnsi="Arial" w:cs="Arial"/>
              </w:rPr>
              <w:t>Plant height (cm)</w:t>
            </w:r>
          </w:p>
          <w:p w14:paraId="58C73474" w14:textId="77777777" w:rsidR="00944265" w:rsidRPr="00944265" w:rsidRDefault="00944265" w:rsidP="001A4B15">
            <w:pPr>
              <w:contextualSpacing/>
              <w:jc w:val="center"/>
              <w:rPr>
                <w:rFonts w:ascii="Arial" w:hAnsi="Arial" w:cs="Arial"/>
              </w:rPr>
            </w:pPr>
            <w:r w:rsidRPr="00944265">
              <w:rPr>
                <w:rFonts w:ascii="Arial" w:hAnsi="Arial" w:cs="Arial"/>
              </w:rPr>
              <w:t>5 WAP</w:t>
            </w:r>
          </w:p>
        </w:tc>
        <w:tc>
          <w:tcPr>
            <w:tcW w:w="2234" w:type="dxa"/>
            <w:gridSpan w:val="2"/>
            <w:tcBorders>
              <w:top w:val="single" w:sz="4" w:space="0" w:color="auto"/>
              <w:left w:val="nil"/>
              <w:bottom w:val="nil"/>
              <w:right w:val="nil"/>
            </w:tcBorders>
            <w:hideMark/>
          </w:tcPr>
          <w:p w14:paraId="6D3423E0" w14:textId="77777777" w:rsidR="00944265" w:rsidRPr="00944265" w:rsidRDefault="00944265" w:rsidP="001A4B15">
            <w:pPr>
              <w:contextualSpacing/>
              <w:jc w:val="center"/>
              <w:rPr>
                <w:rFonts w:ascii="Arial" w:hAnsi="Arial" w:cs="Arial"/>
              </w:rPr>
            </w:pPr>
            <w:r w:rsidRPr="00944265">
              <w:rPr>
                <w:rFonts w:ascii="Arial" w:hAnsi="Arial" w:cs="Arial"/>
              </w:rPr>
              <w:t>Plant height (cm)</w:t>
            </w:r>
          </w:p>
          <w:p w14:paraId="04512B22" w14:textId="77777777" w:rsidR="00944265" w:rsidRPr="00944265" w:rsidRDefault="00944265" w:rsidP="001A4B15">
            <w:pPr>
              <w:contextualSpacing/>
              <w:jc w:val="center"/>
              <w:rPr>
                <w:rFonts w:ascii="Arial" w:hAnsi="Arial" w:cs="Arial"/>
              </w:rPr>
            </w:pPr>
            <w:r w:rsidRPr="00944265">
              <w:rPr>
                <w:rFonts w:ascii="Arial" w:hAnsi="Arial" w:cs="Arial"/>
              </w:rPr>
              <w:t>7 WAP</w:t>
            </w:r>
          </w:p>
        </w:tc>
      </w:tr>
      <w:tr w:rsidR="00944265" w:rsidRPr="00944265" w14:paraId="74AF7109" w14:textId="77777777" w:rsidTr="001A4B15">
        <w:trPr>
          <w:trHeight w:val="80"/>
        </w:trPr>
        <w:tc>
          <w:tcPr>
            <w:tcW w:w="4678" w:type="dxa"/>
            <w:tcBorders>
              <w:top w:val="nil"/>
              <w:left w:val="nil"/>
              <w:bottom w:val="single" w:sz="4" w:space="0" w:color="auto"/>
              <w:right w:val="nil"/>
            </w:tcBorders>
          </w:tcPr>
          <w:p w14:paraId="7C94FDC9" w14:textId="77777777" w:rsidR="00944265" w:rsidRPr="00944265" w:rsidRDefault="00944265" w:rsidP="001A4B15">
            <w:pPr>
              <w:contextualSpacing/>
              <w:rPr>
                <w:rFonts w:ascii="Arial" w:hAnsi="Arial" w:cs="Arial"/>
              </w:rPr>
            </w:pPr>
          </w:p>
        </w:tc>
        <w:tc>
          <w:tcPr>
            <w:tcW w:w="992" w:type="dxa"/>
            <w:tcBorders>
              <w:top w:val="nil"/>
              <w:left w:val="nil"/>
              <w:bottom w:val="single" w:sz="4" w:space="0" w:color="auto"/>
              <w:right w:val="nil"/>
            </w:tcBorders>
            <w:hideMark/>
          </w:tcPr>
          <w:p w14:paraId="7AD8FA95" w14:textId="77777777" w:rsidR="00944265" w:rsidRPr="00944265" w:rsidRDefault="00944265" w:rsidP="001A4B15">
            <w:pPr>
              <w:contextualSpacing/>
              <w:jc w:val="center"/>
              <w:rPr>
                <w:rFonts w:ascii="Arial" w:hAnsi="Arial" w:cs="Arial"/>
              </w:rPr>
            </w:pPr>
            <w:r w:rsidRPr="00944265">
              <w:rPr>
                <w:rFonts w:ascii="Arial" w:hAnsi="Arial" w:cs="Arial"/>
              </w:rPr>
              <w:t>Amantin</w:t>
            </w:r>
          </w:p>
        </w:tc>
        <w:tc>
          <w:tcPr>
            <w:tcW w:w="993" w:type="dxa"/>
            <w:tcBorders>
              <w:top w:val="nil"/>
              <w:left w:val="nil"/>
              <w:bottom w:val="single" w:sz="4" w:space="0" w:color="auto"/>
              <w:right w:val="nil"/>
            </w:tcBorders>
            <w:hideMark/>
          </w:tcPr>
          <w:p w14:paraId="71121BFD" w14:textId="77777777" w:rsidR="00944265" w:rsidRPr="00944265" w:rsidRDefault="00944265" w:rsidP="001A4B15">
            <w:pPr>
              <w:contextualSpacing/>
              <w:jc w:val="center"/>
              <w:rPr>
                <w:rFonts w:ascii="Arial" w:hAnsi="Arial" w:cs="Arial"/>
              </w:rPr>
            </w:pPr>
            <w:r w:rsidRPr="00944265">
              <w:rPr>
                <w:rFonts w:ascii="Arial" w:hAnsi="Arial" w:cs="Arial"/>
              </w:rPr>
              <w:t>Nsapor</w:t>
            </w:r>
          </w:p>
        </w:tc>
        <w:tc>
          <w:tcPr>
            <w:tcW w:w="1100" w:type="dxa"/>
            <w:tcBorders>
              <w:top w:val="nil"/>
              <w:left w:val="nil"/>
              <w:bottom w:val="single" w:sz="4" w:space="0" w:color="auto"/>
              <w:right w:val="nil"/>
            </w:tcBorders>
            <w:hideMark/>
          </w:tcPr>
          <w:p w14:paraId="5EC8AE79" w14:textId="77777777" w:rsidR="00944265" w:rsidRPr="00944265" w:rsidRDefault="00944265" w:rsidP="001A4B15">
            <w:pPr>
              <w:contextualSpacing/>
              <w:jc w:val="center"/>
              <w:rPr>
                <w:rFonts w:ascii="Arial" w:hAnsi="Arial" w:cs="Arial"/>
              </w:rPr>
            </w:pPr>
            <w:r w:rsidRPr="00944265">
              <w:rPr>
                <w:rFonts w:ascii="Arial" w:hAnsi="Arial" w:cs="Arial"/>
              </w:rPr>
              <w:t>Amantin</w:t>
            </w:r>
          </w:p>
        </w:tc>
        <w:tc>
          <w:tcPr>
            <w:tcW w:w="1134" w:type="dxa"/>
            <w:tcBorders>
              <w:top w:val="nil"/>
              <w:left w:val="nil"/>
              <w:bottom w:val="single" w:sz="4" w:space="0" w:color="auto"/>
              <w:right w:val="nil"/>
            </w:tcBorders>
            <w:hideMark/>
          </w:tcPr>
          <w:p w14:paraId="53DA31A5" w14:textId="77777777" w:rsidR="00944265" w:rsidRPr="00944265" w:rsidRDefault="00944265" w:rsidP="001A4B15">
            <w:pPr>
              <w:contextualSpacing/>
              <w:rPr>
                <w:rFonts w:ascii="Arial" w:hAnsi="Arial" w:cs="Arial"/>
              </w:rPr>
            </w:pPr>
            <w:r w:rsidRPr="00944265">
              <w:rPr>
                <w:rFonts w:ascii="Arial" w:hAnsi="Arial" w:cs="Arial"/>
              </w:rPr>
              <w:t xml:space="preserve"> Nsapor</w:t>
            </w:r>
          </w:p>
        </w:tc>
      </w:tr>
      <w:tr w:rsidR="00944265" w:rsidRPr="000F1EF3" w14:paraId="12B5B4AB" w14:textId="77777777" w:rsidTr="001A4B15">
        <w:trPr>
          <w:trHeight w:val="239"/>
        </w:trPr>
        <w:tc>
          <w:tcPr>
            <w:tcW w:w="4678" w:type="dxa"/>
            <w:tcBorders>
              <w:top w:val="single" w:sz="4" w:space="0" w:color="auto"/>
              <w:left w:val="nil"/>
              <w:bottom w:val="nil"/>
              <w:right w:val="nil"/>
            </w:tcBorders>
            <w:hideMark/>
          </w:tcPr>
          <w:p w14:paraId="09906E45" w14:textId="77777777" w:rsidR="00944265" w:rsidRPr="000F1EF3" w:rsidRDefault="00944265" w:rsidP="001A4B15">
            <w:pPr>
              <w:contextualSpacing/>
              <w:rPr>
                <w:rFonts w:ascii="Arial" w:hAnsi="Arial" w:cs="Arial"/>
              </w:rPr>
            </w:pPr>
            <w:r w:rsidRPr="000F1EF3">
              <w:rPr>
                <w:rFonts w:ascii="Arial" w:hAnsi="Arial" w:cs="Arial"/>
              </w:rPr>
              <w:t>Control</w:t>
            </w:r>
          </w:p>
        </w:tc>
        <w:tc>
          <w:tcPr>
            <w:tcW w:w="992" w:type="dxa"/>
            <w:tcBorders>
              <w:top w:val="single" w:sz="4" w:space="0" w:color="auto"/>
              <w:left w:val="nil"/>
              <w:bottom w:val="nil"/>
              <w:right w:val="nil"/>
            </w:tcBorders>
            <w:vAlign w:val="bottom"/>
            <w:hideMark/>
          </w:tcPr>
          <w:p w14:paraId="04E2F442" w14:textId="77777777" w:rsidR="00944265" w:rsidRPr="000F1EF3" w:rsidRDefault="00944265" w:rsidP="001A4B15">
            <w:pPr>
              <w:contextualSpacing/>
              <w:rPr>
                <w:rFonts w:ascii="Arial" w:hAnsi="Arial" w:cs="Arial"/>
              </w:rPr>
            </w:pPr>
            <w:r w:rsidRPr="000F1EF3">
              <w:rPr>
                <w:rFonts w:ascii="Arial" w:hAnsi="Arial" w:cs="Arial"/>
              </w:rPr>
              <w:t>46.50ab</w:t>
            </w:r>
          </w:p>
        </w:tc>
        <w:tc>
          <w:tcPr>
            <w:tcW w:w="993" w:type="dxa"/>
            <w:tcBorders>
              <w:top w:val="single" w:sz="4" w:space="0" w:color="auto"/>
              <w:left w:val="nil"/>
              <w:bottom w:val="nil"/>
              <w:right w:val="nil"/>
            </w:tcBorders>
            <w:vAlign w:val="center"/>
          </w:tcPr>
          <w:p w14:paraId="11C13B61" w14:textId="77777777" w:rsidR="00944265" w:rsidRPr="000F1EF3" w:rsidRDefault="00944265" w:rsidP="001A4B15">
            <w:pPr>
              <w:contextualSpacing/>
              <w:rPr>
                <w:rFonts w:ascii="Arial" w:hAnsi="Arial" w:cs="Arial"/>
              </w:rPr>
            </w:pPr>
            <w:r w:rsidRPr="000F1EF3">
              <w:rPr>
                <w:rFonts w:ascii="Arial" w:hAnsi="Arial" w:cs="Arial"/>
                <w:color w:val="000000"/>
              </w:rPr>
              <w:t>54.70b</w:t>
            </w:r>
          </w:p>
        </w:tc>
        <w:tc>
          <w:tcPr>
            <w:tcW w:w="1100" w:type="dxa"/>
            <w:tcBorders>
              <w:top w:val="single" w:sz="4" w:space="0" w:color="auto"/>
              <w:left w:val="nil"/>
              <w:bottom w:val="nil"/>
              <w:right w:val="nil"/>
            </w:tcBorders>
            <w:vAlign w:val="bottom"/>
            <w:hideMark/>
          </w:tcPr>
          <w:p w14:paraId="3D0FC2F1" w14:textId="77777777" w:rsidR="00944265" w:rsidRPr="000F1EF3" w:rsidRDefault="00944265" w:rsidP="001A4B15">
            <w:pPr>
              <w:contextualSpacing/>
              <w:rPr>
                <w:rFonts w:ascii="Arial" w:hAnsi="Arial" w:cs="Arial"/>
              </w:rPr>
            </w:pPr>
            <w:r w:rsidRPr="000F1EF3">
              <w:rPr>
                <w:rFonts w:ascii="Arial" w:hAnsi="Arial" w:cs="Arial"/>
              </w:rPr>
              <w:t>133.60c</w:t>
            </w:r>
          </w:p>
        </w:tc>
        <w:tc>
          <w:tcPr>
            <w:tcW w:w="1134" w:type="dxa"/>
            <w:tcBorders>
              <w:top w:val="single" w:sz="4" w:space="0" w:color="auto"/>
              <w:left w:val="nil"/>
              <w:bottom w:val="nil"/>
              <w:right w:val="nil"/>
            </w:tcBorders>
            <w:vAlign w:val="center"/>
          </w:tcPr>
          <w:p w14:paraId="20B67510" w14:textId="77777777" w:rsidR="00944265" w:rsidRPr="000F1EF3" w:rsidRDefault="00944265" w:rsidP="001A4B15">
            <w:pPr>
              <w:contextualSpacing/>
              <w:rPr>
                <w:rFonts w:ascii="Arial" w:hAnsi="Arial" w:cs="Arial"/>
              </w:rPr>
            </w:pPr>
            <w:r w:rsidRPr="000F1EF3">
              <w:rPr>
                <w:rFonts w:ascii="Arial" w:hAnsi="Arial" w:cs="Arial"/>
                <w:color w:val="000000"/>
              </w:rPr>
              <w:t>170.08b</w:t>
            </w:r>
          </w:p>
        </w:tc>
      </w:tr>
      <w:tr w:rsidR="00944265" w:rsidRPr="000F1EF3" w14:paraId="69E56FFD" w14:textId="77777777" w:rsidTr="001A4B15">
        <w:trPr>
          <w:trHeight w:val="197"/>
        </w:trPr>
        <w:tc>
          <w:tcPr>
            <w:tcW w:w="4678" w:type="dxa"/>
            <w:tcBorders>
              <w:top w:val="nil"/>
              <w:left w:val="nil"/>
              <w:bottom w:val="nil"/>
              <w:right w:val="nil"/>
            </w:tcBorders>
            <w:hideMark/>
          </w:tcPr>
          <w:p w14:paraId="5FE0AD08" w14:textId="0F49B61B" w:rsidR="00944265" w:rsidRPr="000F1EF3" w:rsidRDefault="00944265" w:rsidP="00372D0C">
            <w:pPr>
              <w:contextualSpacing/>
              <w:rPr>
                <w:rFonts w:ascii="Arial" w:hAnsi="Arial" w:cs="Arial"/>
              </w:rPr>
            </w:pPr>
            <w:r w:rsidRPr="000F1EF3">
              <w:rPr>
                <w:rFonts w:ascii="Arial" w:hAnsi="Arial" w:cs="Arial"/>
              </w:rPr>
              <w:t xml:space="preserve">Granule NPK &amp; Urea (120-40-40) 200 </w:t>
            </w:r>
            <w:r w:rsidR="00372D0C" w:rsidRPr="007C4D89">
              <w:rPr>
                <w:rFonts w:ascii="Arial" w:hAnsi="Arial" w:cs="Arial"/>
                <w:highlight w:val="yellow"/>
              </w:rPr>
              <w:t>kg ha</w:t>
            </w:r>
            <w:r w:rsidR="00372D0C" w:rsidRPr="007C4D89">
              <w:rPr>
                <w:rFonts w:ascii="Arial" w:hAnsi="Arial" w:cs="Arial"/>
                <w:highlight w:val="yellow"/>
                <w:vertAlign w:val="superscript"/>
              </w:rPr>
              <w:t>-1</w:t>
            </w:r>
          </w:p>
        </w:tc>
        <w:tc>
          <w:tcPr>
            <w:tcW w:w="992" w:type="dxa"/>
            <w:tcBorders>
              <w:top w:val="nil"/>
              <w:left w:val="nil"/>
              <w:bottom w:val="nil"/>
              <w:right w:val="nil"/>
            </w:tcBorders>
            <w:vAlign w:val="bottom"/>
            <w:hideMark/>
          </w:tcPr>
          <w:p w14:paraId="495AEC7D" w14:textId="77777777" w:rsidR="00944265" w:rsidRPr="000F1EF3" w:rsidRDefault="00944265" w:rsidP="001A4B15">
            <w:pPr>
              <w:contextualSpacing/>
              <w:rPr>
                <w:rFonts w:ascii="Arial" w:hAnsi="Arial" w:cs="Arial"/>
              </w:rPr>
            </w:pPr>
            <w:r w:rsidRPr="000F1EF3">
              <w:rPr>
                <w:rFonts w:ascii="Arial" w:hAnsi="Arial" w:cs="Arial"/>
              </w:rPr>
              <w:t>54.90ab</w:t>
            </w:r>
          </w:p>
        </w:tc>
        <w:tc>
          <w:tcPr>
            <w:tcW w:w="993" w:type="dxa"/>
            <w:tcBorders>
              <w:top w:val="nil"/>
              <w:left w:val="nil"/>
              <w:bottom w:val="nil"/>
              <w:right w:val="nil"/>
            </w:tcBorders>
            <w:vAlign w:val="center"/>
          </w:tcPr>
          <w:p w14:paraId="402F566B" w14:textId="77777777" w:rsidR="00944265" w:rsidRPr="000F1EF3" w:rsidRDefault="00944265" w:rsidP="001A4B15">
            <w:pPr>
              <w:contextualSpacing/>
              <w:rPr>
                <w:rFonts w:ascii="Arial" w:hAnsi="Arial" w:cs="Arial"/>
              </w:rPr>
            </w:pPr>
            <w:r w:rsidRPr="000F1EF3">
              <w:rPr>
                <w:rFonts w:ascii="Arial" w:hAnsi="Arial" w:cs="Arial"/>
                <w:color w:val="000000"/>
              </w:rPr>
              <w:t>65.65ab</w:t>
            </w:r>
          </w:p>
        </w:tc>
        <w:tc>
          <w:tcPr>
            <w:tcW w:w="1100" w:type="dxa"/>
            <w:tcBorders>
              <w:top w:val="nil"/>
              <w:left w:val="nil"/>
              <w:bottom w:val="nil"/>
              <w:right w:val="nil"/>
            </w:tcBorders>
            <w:vAlign w:val="bottom"/>
            <w:hideMark/>
          </w:tcPr>
          <w:p w14:paraId="73132CFF" w14:textId="77777777" w:rsidR="00944265" w:rsidRPr="000F1EF3" w:rsidRDefault="00944265" w:rsidP="001A4B15">
            <w:pPr>
              <w:contextualSpacing/>
              <w:rPr>
                <w:rFonts w:ascii="Arial" w:hAnsi="Arial" w:cs="Arial"/>
              </w:rPr>
            </w:pPr>
            <w:r w:rsidRPr="000F1EF3">
              <w:rPr>
                <w:rFonts w:ascii="Arial" w:hAnsi="Arial" w:cs="Arial"/>
              </w:rPr>
              <w:t>173.10a</w:t>
            </w:r>
          </w:p>
        </w:tc>
        <w:tc>
          <w:tcPr>
            <w:tcW w:w="1134" w:type="dxa"/>
            <w:tcBorders>
              <w:top w:val="nil"/>
              <w:left w:val="nil"/>
              <w:bottom w:val="nil"/>
              <w:right w:val="nil"/>
            </w:tcBorders>
            <w:vAlign w:val="center"/>
          </w:tcPr>
          <w:p w14:paraId="41B22294" w14:textId="77777777" w:rsidR="00944265" w:rsidRPr="000F1EF3" w:rsidRDefault="00944265" w:rsidP="001A4B15">
            <w:pPr>
              <w:contextualSpacing/>
              <w:rPr>
                <w:rFonts w:ascii="Arial" w:hAnsi="Arial" w:cs="Arial"/>
              </w:rPr>
            </w:pPr>
            <w:r w:rsidRPr="000F1EF3">
              <w:rPr>
                <w:rFonts w:ascii="Arial" w:hAnsi="Arial" w:cs="Arial"/>
                <w:color w:val="000000"/>
              </w:rPr>
              <w:t>189.85ab</w:t>
            </w:r>
          </w:p>
        </w:tc>
      </w:tr>
      <w:tr w:rsidR="00944265" w:rsidRPr="000F1EF3" w14:paraId="6B9E9E09" w14:textId="77777777" w:rsidTr="001A4B15">
        <w:trPr>
          <w:trHeight w:val="243"/>
        </w:trPr>
        <w:tc>
          <w:tcPr>
            <w:tcW w:w="4678" w:type="dxa"/>
            <w:tcBorders>
              <w:top w:val="nil"/>
              <w:left w:val="nil"/>
              <w:bottom w:val="nil"/>
              <w:right w:val="nil"/>
            </w:tcBorders>
            <w:hideMark/>
          </w:tcPr>
          <w:p w14:paraId="22063027" w14:textId="65291B39" w:rsidR="00944265" w:rsidRPr="000F1EF3" w:rsidRDefault="00944265" w:rsidP="00372D0C">
            <w:pPr>
              <w:contextualSpacing/>
              <w:rPr>
                <w:rFonts w:ascii="Arial" w:hAnsi="Arial" w:cs="Arial"/>
              </w:rPr>
            </w:pPr>
            <w:r w:rsidRPr="000F1EF3">
              <w:rPr>
                <w:rFonts w:ascii="Arial" w:hAnsi="Arial" w:cs="Arial"/>
              </w:rPr>
              <w:t>Briquette NPK &amp; Urea (121-58.7-59) 230.4</w:t>
            </w:r>
            <w:r w:rsidR="000F1EF3" w:rsidRPr="000F1EF3">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p>
        </w:tc>
        <w:tc>
          <w:tcPr>
            <w:tcW w:w="992" w:type="dxa"/>
            <w:tcBorders>
              <w:top w:val="nil"/>
              <w:left w:val="nil"/>
              <w:bottom w:val="nil"/>
              <w:right w:val="nil"/>
            </w:tcBorders>
            <w:vAlign w:val="bottom"/>
            <w:hideMark/>
          </w:tcPr>
          <w:p w14:paraId="62720994" w14:textId="77777777" w:rsidR="00944265" w:rsidRPr="000F1EF3" w:rsidRDefault="00944265" w:rsidP="001A4B15">
            <w:pPr>
              <w:contextualSpacing/>
              <w:rPr>
                <w:rFonts w:ascii="Arial" w:hAnsi="Arial" w:cs="Arial"/>
              </w:rPr>
            </w:pPr>
            <w:r w:rsidRPr="000F1EF3">
              <w:rPr>
                <w:rFonts w:ascii="Arial" w:hAnsi="Arial" w:cs="Arial"/>
              </w:rPr>
              <w:t>58.70a</w:t>
            </w:r>
          </w:p>
        </w:tc>
        <w:tc>
          <w:tcPr>
            <w:tcW w:w="993" w:type="dxa"/>
            <w:tcBorders>
              <w:top w:val="nil"/>
              <w:left w:val="nil"/>
              <w:bottom w:val="nil"/>
              <w:right w:val="nil"/>
            </w:tcBorders>
            <w:vAlign w:val="center"/>
          </w:tcPr>
          <w:p w14:paraId="4BE6628F" w14:textId="77777777" w:rsidR="00944265" w:rsidRPr="000F1EF3" w:rsidRDefault="00944265" w:rsidP="001A4B15">
            <w:pPr>
              <w:contextualSpacing/>
              <w:rPr>
                <w:rFonts w:ascii="Arial" w:hAnsi="Arial" w:cs="Arial"/>
              </w:rPr>
            </w:pPr>
            <w:r w:rsidRPr="000F1EF3">
              <w:rPr>
                <w:rFonts w:ascii="Arial" w:hAnsi="Arial" w:cs="Arial"/>
                <w:color w:val="000000"/>
              </w:rPr>
              <w:t>73.60a</w:t>
            </w:r>
          </w:p>
        </w:tc>
        <w:tc>
          <w:tcPr>
            <w:tcW w:w="1100" w:type="dxa"/>
            <w:tcBorders>
              <w:top w:val="nil"/>
              <w:left w:val="nil"/>
              <w:bottom w:val="nil"/>
              <w:right w:val="nil"/>
            </w:tcBorders>
            <w:vAlign w:val="bottom"/>
            <w:hideMark/>
          </w:tcPr>
          <w:p w14:paraId="605FE216" w14:textId="77777777" w:rsidR="00944265" w:rsidRPr="000F1EF3" w:rsidRDefault="00944265" w:rsidP="001A4B15">
            <w:pPr>
              <w:contextualSpacing/>
              <w:rPr>
                <w:rFonts w:ascii="Arial" w:hAnsi="Arial" w:cs="Arial"/>
              </w:rPr>
            </w:pPr>
            <w:r w:rsidRPr="000F1EF3">
              <w:rPr>
                <w:rFonts w:ascii="Arial" w:hAnsi="Arial" w:cs="Arial"/>
              </w:rPr>
              <w:t>172.90a</w:t>
            </w:r>
          </w:p>
        </w:tc>
        <w:tc>
          <w:tcPr>
            <w:tcW w:w="1134" w:type="dxa"/>
            <w:tcBorders>
              <w:top w:val="nil"/>
              <w:left w:val="nil"/>
              <w:bottom w:val="nil"/>
              <w:right w:val="nil"/>
            </w:tcBorders>
            <w:vAlign w:val="center"/>
          </w:tcPr>
          <w:p w14:paraId="59715389" w14:textId="77777777" w:rsidR="00944265" w:rsidRPr="000F1EF3" w:rsidRDefault="00944265" w:rsidP="001A4B15">
            <w:pPr>
              <w:contextualSpacing/>
              <w:rPr>
                <w:rFonts w:ascii="Arial" w:hAnsi="Arial" w:cs="Arial"/>
              </w:rPr>
            </w:pPr>
            <w:r w:rsidRPr="000F1EF3">
              <w:rPr>
                <w:rFonts w:ascii="Arial" w:hAnsi="Arial" w:cs="Arial"/>
                <w:color w:val="000000"/>
              </w:rPr>
              <w:t>193.50a</w:t>
            </w:r>
          </w:p>
        </w:tc>
      </w:tr>
      <w:tr w:rsidR="00944265" w:rsidRPr="000F1EF3" w14:paraId="4787CBA8" w14:textId="77777777" w:rsidTr="001A4B15">
        <w:trPr>
          <w:trHeight w:val="131"/>
        </w:trPr>
        <w:tc>
          <w:tcPr>
            <w:tcW w:w="4678" w:type="dxa"/>
            <w:tcBorders>
              <w:top w:val="nil"/>
              <w:left w:val="nil"/>
              <w:bottom w:val="nil"/>
              <w:right w:val="nil"/>
            </w:tcBorders>
            <w:hideMark/>
          </w:tcPr>
          <w:p w14:paraId="3F21B55B" w14:textId="5B397509" w:rsidR="00944265" w:rsidRPr="000F1EF3" w:rsidRDefault="00944265" w:rsidP="00372D0C">
            <w:pPr>
              <w:contextualSpacing/>
              <w:rPr>
                <w:rFonts w:ascii="Arial" w:hAnsi="Arial" w:cs="Arial"/>
              </w:rPr>
            </w:pPr>
            <w:bookmarkStart w:id="12" w:name="_Hlk168252174"/>
            <w:r w:rsidRPr="000F1EF3">
              <w:rPr>
                <w:rFonts w:ascii="Arial" w:hAnsi="Arial" w:cs="Arial"/>
              </w:rPr>
              <w:t>Briquette NPK &amp; Urea (114-44-44) 172.8</w:t>
            </w:r>
            <w:bookmarkEnd w:id="12"/>
            <w:r w:rsidR="000F1EF3" w:rsidRPr="000F1EF3">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p>
        </w:tc>
        <w:tc>
          <w:tcPr>
            <w:tcW w:w="992" w:type="dxa"/>
            <w:tcBorders>
              <w:top w:val="nil"/>
              <w:left w:val="nil"/>
              <w:bottom w:val="nil"/>
              <w:right w:val="nil"/>
            </w:tcBorders>
            <w:vAlign w:val="bottom"/>
            <w:hideMark/>
          </w:tcPr>
          <w:p w14:paraId="0B374817" w14:textId="77777777" w:rsidR="00944265" w:rsidRPr="000F1EF3" w:rsidRDefault="00944265" w:rsidP="001A4B15">
            <w:pPr>
              <w:contextualSpacing/>
              <w:rPr>
                <w:rFonts w:ascii="Arial" w:hAnsi="Arial" w:cs="Arial"/>
              </w:rPr>
            </w:pPr>
            <w:r w:rsidRPr="000F1EF3">
              <w:rPr>
                <w:rFonts w:ascii="Arial" w:hAnsi="Arial" w:cs="Arial"/>
              </w:rPr>
              <w:t>44.00b</w:t>
            </w:r>
          </w:p>
        </w:tc>
        <w:tc>
          <w:tcPr>
            <w:tcW w:w="993" w:type="dxa"/>
            <w:tcBorders>
              <w:top w:val="nil"/>
              <w:left w:val="nil"/>
              <w:bottom w:val="nil"/>
              <w:right w:val="nil"/>
            </w:tcBorders>
            <w:vAlign w:val="center"/>
          </w:tcPr>
          <w:p w14:paraId="62D560A3" w14:textId="77777777" w:rsidR="00944265" w:rsidRPr="000F1EF3" w:rsidRDefault="00944265" w:rsidP="001A4B15">
            <w:pPr>
              <w:contextualSpacing/>
              <w:rPr>
                <w:rFonts w:ascii="Arial" w:hAnsi="Arial" w:cs="Arial"/>
              </w:rPr>
            </w:pPr>
            <w:r w:rsidRPr="000F1EF3">
              <w:rPr>
                <w:rFonts w:ascii="Arial" w:hAnsi="Arial" w:cs="Arial"/>
                <w:color w:val="000000"/>
              </w:rPr>
              <w:t>65.87ab</w:t>
            </w:r>
          </w:p>
        </w:tc>
        <w:tc>
          <w:tcPr>
            <w:tcW w:w="1100" w:type="dxa"/>
            <w:tcBorders>
              <w:top w:val="nil"/>
              <w:left w:val="nil"/>
              <w:bottom w:val="nil"/>
              <w:right w:val="nil"/>
            </w:tcBorders>
            <w:vAlign w:val="bottom"/>
            <w:hideMark/>
          </w:tcPr>
          <w:p w14:paraId="2EE93597" w14:textId="77777777" w:rsidR="00944265" w:rsidRPr="000F1EF3" w:rsidRDefault="00944265" w:rsidP="001A4B15">
            <w:pPr>
              <w:contextualSpacing/>
              <w:rPr>
                <w:rFonts w:ascii="Arial" w:hAnsi="Arial" w:cs="Arial"/>
              </w:rPr>
            </w:pPr>
            <w:r w:rsidRPr="000F1EF3">
              <w:rPr>
                <w:rFonts w:ascii="Arial" w:hAnsi="Arial" w:cs="Arial"/>
              </w:rPr>
              <w:t>146.60b</w:t>
            </w:r>
          </w:p>
        </w:tc>
        <w:tc>
          <w:tcPr>
            <w:tcW w:w="1134" w:type="dxa"/>
            <w:tcBorders>
              <w:top w:val="nil"/>
              <w:left w:val="nil"/>
              <w:bottom w:val="nil"/>
              <w:right w:val="nil"/>
            </w:tcBorders>
            <w:vAlign w:val="center"/>
          </w:tcPr>
          <w:p w14:paraId="43B9BCAB" w14:textId="77777777" w:rsidR="00944265" w:rsidRPr="000F1EF3" w:rsidRDefault="00944265" w:rsidP="001A4B15">
            <w:pPr>
              <w:contextualSpacing/>
              <w:rPr>
                <w:rFonts w:ascii="Arial" w:hAnsi="Arial" w:cs="Arial"/>
              </w:rPr>
            </w:pPr>
            <w:r w:rsidRPr="000F1EF3">
              <w:rPr>
                <w:rFonts w:ascii="Arial" w:hAnsi="Arial" w:cs="Arial"/>
                <w:color w:val="000000"/>
              </w:rPr>
              <w:t>187.25ab</w:t>
            </w:r>
          </w:p>
        </w:tc>
      </w:tr>
      <w:tr w:rsidR="00944265" w:rsidRPr="000F1EF3" w14:paraId="63E728E0" w14:textId="77777777" w:rsidTr="001A4B15">
        <w:trPr>
          <w:trHeight w:val="68"/>
        </w:trPr>
        <w:tc>
          <w:tcPr>
            <w:tcW w:w="4678" w:type="dxa"/>
            <w:tcBorders>
              <w:top w:val="nil"/>
              <w:left w:val="nil"/>
              <w:bottom w:val="nil"/>
              <w:right w:val="nil"/>
            </w:tcBorders>
            <w:hideMark/>
          </w:tcPr>
          <w:p w14:paraId="3F9CB636" w14:textId="2851D24F" w:rsidR="00944265" w:rsidRPr="000F1EF3" w:rsidRDefault="00944265" w:rsidP="00372D0C">
            <w:pPr>
              <w:contextualSpacing/>
              <w:rPr>
                <w:rFonts w:ascii="Arial" w:hAnsi="Arial" w:cs="Arial"/>
              </w:rPr>
            </w:pPr>
            <w:r w:rsidRPr="000F1EF3">
              <w:rPr>
                <w:rFonts w:ascii="Arial" w:hAnsi="Arial" w:cs="Arial"/>
              </w:rPr>
              <w:t>Briquette NPK &amp; Urea (91-59-59) 230.4</w:t>
            </w:r>
            <w:r w:rsidR="000F1EF3" w:rsidRPr="000F1EF3">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p>
        </w:tc>
        <w:tc>
          <w:tcPr>
            <w:tcW w:w="992" w:type="dxa"/>
            <w:tcBorders>
              <w:top w:val="nil"/>
              <w:left w:val="nil"/>
              <w:bottom w:val="nil"/>
              <w:right w:val="nil"/>
            </w:tcBorders>
            <w:vAlign w:val="bottom"/>
            <w:hideMark/>
          </w:tcPr>
          <w:p w14:paraId="7A0708B6" w14:textId="77777777" w:rsidR="00944265" w:rsidRPr="000F1EF3" w:rsidRDefault="00944265" w:rsidP="001A4B15">
            <w:pPr>
              <w:contextualSpacing/>
              <w:rPr>
                <w:rFonts w:ascii="Arial" w:hAnsi="Arial" w:cs="Arial"/>
              </w:rPr>
            </w:pPr>
            <w:r w:rsidRPr="000F1EF3">
              <w:rPr>
                <w:rFonts w:ascii="Arial" w:hAnsi="Arial" w:cs="Arial"/>
              </w:rPr>
              <w:t>53.50ab</w:t>
            </w:r>
          </w:p>
        </w:tc>
        <w:tc>
          <w:tcPr>
            <w:tcW w:w="993" w:type="dxa"/>
            <w:tcBorders>
              <w:top w:val="nil"/>
              <w:left w:val="nil"/>
              <w:bottom w:val="nil"/>
              <w:right w:val="nil"/>
            </w:tcBorders>
            <w:vAlign w:val="center"/>
          </w:tcPr>
          <w:p w14:paraId="7AE618D0" w14:textId="77777777" w:rsidR="00944265" w:rsidRPr="000F1EF3" w:rsidRDefault="00944265" w:rsidP="001A4B15">
            <w:pPr>
              <w:contextualSpacing/>
              <w:rPr>
                <w:rFonts w:ascii="Arial" w:hAnsi="Arial" w:cs="Arial"/>
              </w:rPr>
            </w:pPr>
            <w:r w:rsidRPr="000F1EF3">
              <w:rPr>
                <w:rFonts w:ascii="Arial" w:hAnsi="Arial" w:cs="Arial"/>
                <w:color w:val="000000"/>
              </w:rPr>
              <w:t>71.15a</w:t>
            </w:r>
          </w:p>
        </w:tc>
        <w:tc>
          <w:tcPr>
            <w:tcW w:w="1100" w:type="dxa"/>
            <w:tcBorders>
              <w:top w:val="nil"/>
              <w:left w:val="nil"/>
              <w:bottom w:val="nil"/>
              <w:right w:val="nil"/>
            </w:tcBorders>
            <w:vAlign w:val="bottom"/>
            <w:hideMark/>
          </w:tcPr>
          <w:p w14:paraId="6852D693" w14:textId="77777777" w:rsidR="00944265" w:rsidRPr="000F1EF3" w:rsidRDefault="00944265" w:rsidP="001A4B15">
            <w:pPr>
              <w:contextualSpacing/>
              <w:rPr>
                <w:rFonts w:ascii="Arial" w:hAnsi="Arial" w:cs="Arial"/>
              </w:rPr>
            </w:pPr>
            <w:r w:rsidRPr="000F1EF3">
              <w:rPr>
                <w:rFonts w:ascii="Arial" w:hAnsi="Arial" w:cs="Arial"/>
              </w:rPr>
              <w:t>174.20a</w:t>
            </w:r>
          </w:p>
        </w:tc>
        <w:tc>
          <w:tcPr>
            <w:tcW w:w="1134" w:type="dxa"/>
            <w:tcBorders>
              <w:top w:val="nil"/>
              <w:left w:val="nil"/>
              <w:bottom w:val="nil"/>
              <w:right w:val="nil"/>
            </w:tcBorders>
            <w:vAlign w:val="center"/>
          </w:tcPr>
          <w:p w14:paraId="4CFEBEB6" w14:textId="77777777" w:rsidR="00944265" w:rsidRPr="000F1EF3" w:rsidRDefault="00944265" w:rsidP="001A4B15">
            <w:pPr>
              <w:contextualSpacing/>
              <w:rPr>
                <w:rFonts w:ascii="Arial" w:hAnsi="Arial" w:cs="Arial"/>
              </w:rPr>
            </w:pPr>
            <w:r w:rsidRPr="000F1EF3">
              <w:rPr>
                <w:rFonts w:ascii="Arial" w:hAnsi="Arial" w:cs="Arial"/>
                <w:color w:val="000000"/>
              </w:rPr>
              <w:t>195.35a</w:t>
            </w:r>
          </w:p>
        </w:tc>
      </w:tr>
      <w:tr w:rsidR="00944265" w:rsidRPr="000F1EF3" w14:paraId="70AF1331" w14:textId="77777777" w:rsidTr="001A4B15">
        <w:trPr>
          <w:trHeight w:val="68"/>
        </w:trPr>
        <w:tc>
          <w:tcPr>
            <w:tcW w:w="4678" w:type="dxa"/>
            <w:tcBorders>
              <w:top w:val="nil"/>
              <w:left w:val="nil"/>
              <w:bottom w:val="nil"/>
              <w:right w:val="nil"/>
            </w:tcBorders>
            <w:hideMark/>
          </w:tcPr>
          <w:p w14:paraId="361814A2" w14:textId="6BB819A3" w:rsidR="00944265" w:rsidRPr="000F1EF3" w:rsidRDefault="00944265" w:rsidP="00372D0C">
            <w:pPr>
              <w:contextualSpacing/>
              <w:rPr>
                <w:rFonts w:ascii="Arial" w:hAnsi="Arial" w:cs="Arial"/>
              </w:rPr>
            </w:pPr>
            <w:r w:rsidRPr="000F1EF3">
              <w:rPr>
                <w:rFonts w:ascii="Arial" w:hAnsi="Arial" w:cs="Arial"/>
              </w:rPr>
              <w:t>Briquette NPK &amp; Urea (76-29-29) 115.2</w:t>
            </w:r>
            <w:r w:rsidR="000F1EF3" w:rsidRPr="000F1EF3">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p>
        </w:tc>
        <w:tc>
          <w:tcPr>
            <w:tcW w:w="992" w:type="dxa"/>
            <w:tcBorders>
              <w:top w:val="nil"/>
              <w:left w:val="nil"/>
              <w:bottom w:val="nil"/>
              <w:right w:val="nil"/>
            </w:tcBorders>
            <w:vAlign w:val="bottom"/>
            <w:hideMark/>
          </w:tcPr>
          <w:p w14:paraId="54DC5CF9" w14:textId="77777777" w:rsidR="00944265" w:rsidRPr="000F1EF3" w:rsidRDefault="00944265" w:rsidP="001A4B15">
            <w:pPr>
              <w:contextualSpacing/>
              <w:rPr>
                <w:rFonts w:ascii="Arial" w:hAnsi="Arial" w:cs="Arial"/>
              </w:rPr>
            </w:pPr>
            <w:r w:rsidRPr="000F1EF3">
              <w:rPr>
                <w:rFonts w:ascii="Arial" w:hAnsi="Arial" w:cs="Arial"/>
              </w:rPr>
              <w:t>51.30ab</w:t>
            </w:r>
          </w:p>
        </w:tc>
        <w:tc>
          <w:tcPr>
            <w:tcW w:w="993" w:type="dxa"/>
            <w:tcBorders>
              <w:top w:val="nil"/>
              <w:left w:val="nil"/>
              <w:bottom w:val="nil"/>
              <w:right w:val="nil"/>
            </w:tcBorders>
            <w:vAlign w:val="center"/>
          </w:tcPr>
          <w:p w14:paraId="24E7994C" w14:textId="77777777" w:rsidR="00944265" w:rsidRPr="000F1EF3" w:rsidRDefault="00944265" w:rsidP="001A4B15">
            <w:pPr>
              <w:contextualSpacing/>
              <w:rPr>
                <w:rFonts w:ascii="Arial" w:hAnsi="Arial" w:cs="Arial"/>
              </w:rPr>
            </w:pPr>
            <w:r w:rsidRPr="000F1EF3">
              <w:rPr>
                <w:rFonts w:ascii="Arial" w:hAnsi="Arial" w:cs="Arial"/>
                <w:color w:val="000000"/>
              </w:rPr>
              <w:t>63.95ab</w:t>
            </w:r>
          </w:p>
        </w:tc>
        <w:tc>
          <w:tcPr>
            <w:tcW w:w="1100" w:type="dxa"/>
            <w:tcBorders>
              <w:top w:val="nil"/>
              <w:left w:val="nil"/>
              <w:bottom w:val="nil"/>
              <w:right w:val="nil"/>
            </w:tcBorders>
            <w:vAlign w:val="bottom"/>
            <w:hideMark/>
          </w:tcPr>
          <w:p w14:paraId="63F0AE1B" w14:textId="77777777" w:rsidR="00944265" w:rsidRPr="000F1EF3" w:rsidRDefault="00944265" w:rsidP="001A4B15">
            <w:pPr>
              <w:contextualSpacing/>
              <w:rPr>
                <w:rFonts w:ascii="Arial" w:hAnsi="Arial" w:cs="Arial"/>
              </w:rPr>
            </w:pPr>
            <w:r w:rsidRPr="000F1EF3">
              <w:rPr>
                <w:rFonts w:ascii="Arial" w:hAnsi="Arial" w:cs="Arial"/>
              </w:rPr>
              <w:t>164.50a</w:t>
            </w:r>
          </w:p>
        </w:tc>
        <w:tc>
          <w:tcPr>
            <w:tcW w:w="1134" w:type="dxa"/>
            <w:tcBorders>
              <w:top w:val="nil"/>
              <w:left w:val="nil"/>
              <w:bottom w:val="nil"/>
              <w:right w:val="nil"/>
            </w:tcBorders>
            <w:vAlign w:val="center"/>
          </w:tcPr>
          <w:p w14:paraId="2354362D" w14:textId="77777777" w:rsidR="00944265" w:rsidRPr="000F1EF3" w:rsidRDefault="00944265" w:rsidP="001A4B15">
            <w:pPr>
              <w:contextualSpacing/>
              <w:rPr>
                <w:rFonts w:ascii="Arial" w:hAnsi="Arial" w:cs="Arial"/>
              </w:rPr>
            </w:pPr>
            <w:r w:rsidRPr="000F1EF3">
              <w:rPr>
                <w:rFonts w:ascii="Arial" w:hAnsi="Arial" w:cs="Arial"/>
                <w:color w:val="000000"/>
              </w:rPr>
              <w:t>186.25ab</w:t>
            </w:r>
          </w:p>
        </w:tc>
      </w:tr>
      <w:tr w:rsidR="00944265" w:rsidRPr="000F1EF3" w14:paraId="6FACA22B" w14:textId="77777777" w:rsidTr="001A4B15">
        <w:trPr>
          <w:trHeight w:val="253"/>
        </w:trPr>
        <w:tc>
          <w:tcPr>
            <w:tcW w:w="4678" w:type="dxa"/>
            <w:tcBorders>
              <w:top w:val="nil"/>
              <w:left w:val="nil"/>
              <w:bottom w:val="nil"/>
              <w:right w:val="nil"/>
            </w:tcBorders>
            <w:hideMark/>
          </w:tcPr>
          <w:p w14:paraId="07803D82" w14:textId="39735476" w:rsidR="00944265" w:rsidRPr="000F1EF3" w:rsidRDefault="00944265" w:rsidP="00372D0C">
            <w:pPr>
              <w:contextualSpacing/>
              <w:rPr>
                <w:rFonts w:ascii="Arial" w:hAnsi="Arial" w:cs="Arial"/>
              </w:rPr>
            </w:pPr>
            <w:r w:rsidRPr="000F1EF3">
              <w:rPr>
                <w:rFonts w:ascii="Arial" w:hAnsi="Arial" w:cs="Arial"/>
              </w:rPr>
              <w:t>Briquette NPK &amp; Urea (31-29-29) 115.2</w:t>
            </w:r>
            <w:r w:rsidR="000F1EF3" w:rsidRPr="000F1EF3">
              <w:rPr>
                <w:rFonts w:ascii="Arial" w:hAnsi="Arial" w:cs="Arial"/>
              </w:rPr>
              <w:t xml:space="preserve"> </w:t>
            </w:r>
            <w:r w:rsidR="00372D0C" w:rsidRPr="007C4D89">
              <w:rPr>
                <w:rFonts w:ascii="Arial" w:hAnsi="Arial" w:cs="Arial"/>
                <w:highlight w:val="yellow"/>
              </w:rPr>
              <w:t>kg ha</w:t>
            </w:r>
            <w:r w:rsidR="00372D0C" w:rsidRPr="007C4D89">
              <w:rPr>
                <w:rFonts w:ascii="Arial" w:hAnsi="Arial" w:cs="Arial"/>
                <w:highlight w:val="yellow"/>
                <w:vertAlign w:val="superscript"/>
              </w:rPr>
              <w:t>-1</w:t>
            </w:r>
          </w:p>
        </w:tc>
        <w:tc>
          <w:tcPr>
            <w:tcW w:w="992" w:type="dxa"/>
            <w:tcBorders>
              <w:top w:val="nil"/>
              <w:left w:val="nil"/>
              <w:bottom w:val="nil"/>
              <w:right w:val="nil"/>
            </w:tcBorders>
            <w:vAlign w:val="bottom"/>
            <w:hideMark/>
          </w:tcPr>
          <w:p w14:paraId="5DC45DB2" w14:textId="77777777" w:rsidR="00944265" w:rsidRPr="000F1EF3" w:rsidRDefault="00944265" w:rsidP="001A4B15">
            <w:pPr>
              <w:contextualSpacing/>
              <w:rPr>
                <w:rFonts w:ascii="Arial" w:hAnsi="Arial" w:cs="Arial"/>
              </w:rPr>
            </w:pPr>
            <w:r w:rsidRPr="000F1EF3">
              <w:rPr>
                <w:rFonts w:ascii="Arial" w:hAnsi="Arial" w:cs="Arial"/>
              </w:rPr>
              <w:t>52.40ab</w:t>
            </w:r>
          </w:p>
        </w:tc>
        <w:tc>
          <w:tcPr>
            <w:tcW w:w="993" w:type="dxa"/>
            <w:tcBorders>
              <w:top w:val="nil"/>
              <w:left w:val="nil"/>
              <w:bottom w:val="nil"/>
              <w:right w:val="nil"/>
            </w:tcBorders>
            <w:vAlign w:val="center"/>
          </w:tcPr>
          <w:p w14:paraId="514B5BB7" w14:textId="77777777" w:rsidR="00944265" w:rsidRPr="000F1EF3" w:rsidRDefault="00944265" w:rsidP="001A4B15">
            <w:pPr>
              <w:contextualSpacing/>
              <w:rPr>
                <w:rFonts w:ascii="Arial" w:hAnsi="Arial" w:cs="Arial"/>
              </w:rPr>
            </w:pPr>
            <w:r w:rsidRPr="000F1EF3">
              <w:rPr>
                <w:rFonts w:ascii="Arial" w:hAnsi="Arial" w:cs="Arial"/>
                <w:color w:val="000000"/>
              </w:rPr>
              <w:t>56.40b</w:t>
            </w:r>
          </w:p>
        </w:tc>
        <w:tc>
          <w:tcPr>
            <w:tcW w:w="1100" w:type="dxa"/>
            <w:tcBorders>
              <w:top w:val="nil"/>
              <w:left w:val="nil"/>
              <w:bottom w:val="nil"/>
              <w:right w:val="nil"/>
            </w:tcBorders>
            <w:vAlign w:val="bottom"/>
            <w:hideMark/>
          </w:tcPr>
          <w:p w14:paraId="530A6474" w14:textId="77777777" w:rsidR="00944265" w:rsidRPr="000F1EF3" w:rsidRDefault="00944265" w:rsidP="001A4B15">
            <w:pPr>
              <w:contextualSpacing/>
              <w:rPr>
                <w:rFonts w:ascii="Arial" w:hAnsi="Arial" w:cs="Arial"/>
              </w:rPr>
            </w:pPr>
            <w:r w:rsidRPr="000F1EF3">
              <w:rPr>
                <w:rFonts w:ascii="Arial" w:hAnsi="Arial" w:cs="Arial"/>
              </w:rPr>
              <w:t>167.60a</w:t>
            </w:r>
          </w:p>
        </w:tc>
        <w:tc>
          <w:tcPr>
            <w:tcW w:w="1134" w:type="dxa"/>
            <w:tcBorders>
              <w:top w:val="nil"/>
              <w:left w:val="nil"/>
              <w:bottom w:val="nil"/>
              <w:right w:val="nil"/>
            </w:tcBorders>
            <w:vAlign w:val="center"/>
          </w:tcPr>
          <w:p w14:paraId="50BCA256" w14:textId="77777777" w:rsidR="00944265" w:rsidRPr="000F1EF3" w:rsidRDefault="00944265" w:rsidP="001A4B15">
            <w:pPr>
              <w:contextualSpacing/>
              <w:rPr>
                <w:rFonts w:ascii="Arial" w:hAnsi="Arial" w:cs="Arial"/>
              </w:rPr>
            </w:pPr>
            <w:r w:rsidRPr="000F1EF3">
              <w:rPr>
                <w:rFonts w:ascii="Arial" w:hAnsi="Arial" w:cs="Arial"/>
                <w:color w:val="000000"/>
              </w:rPr>
              <w:t>174.45ab</w:t>
            </w:r>
          </w:p>
        </w:tc>
      </w:tr>
      <w:tr w:rsidR="00944265" w:rsidRPr="00944265" w14:paraId="3D989EE5" w14:textId="77777777" w:rsidTr="001A4B15">
        <w:trPr>
          <w:trHeight w:val="129"/>
        </w:trPr>
        <w:tc>
          <w:tcPr>
            <w:tcW w:w="4678" w:type="dxa"/>
            <w:tcBorders>
              <w:top w:val="nil"/>
              <w:left w:val="nil"/>
              <w:bottom w:val="single" w:sz="4" w:space="0" w:color="auto"/>
              <w:right w:val="nil"/>
            </w:tcBorders>
          </w:tcPr>
          <w:p w14:paraId="4CD63F29" w14:textId="77777777" w:rsidR="00944265" w:rsidRPr="00944265" w:rsidRDefault="00944265" w:rsidP="001A4B15">
            <w:pPr>
              <w:contextualSpacing/>
              <w:rPr>
                <w:rFonts w:ascii="Arial" w:hAnsi="Arial" w:cs="Arial"/>
                <w:b/>
                <w:bCs/>
              </w:rPr>
            </w:pPr>
            <w:r w:rsidRPr="00944265">
              <w:rPr>
                <w:rFonts w:ascii="Arial" w:hAnsi="Arial" w:cs="Arial"/>
                <w:b/>
                <w:bCs/>
              </w:rPr>
              <w:t>Mean</w:t>
            </w:r>
          </w:p>
        </w:tc>
        <w:tc>
          <w:tcPr>
            <w:tcW w:w="992" w:type="dxa"/>
            <w:tcBorders>
              <w:top w:val="nil"/>
              <w:left w:val="nil"/>
              <w:bottom w:val="single" w:sz="4" w:space="0" w:color="auto"/>
              <w:right w:val="nil"/>
            </w:tcBorders>
          </w:tcPr>
          <w:p w14:paraId="5241E554" w14:textId="77777777" w:rsidR="00944265" w:rsidRPr="00944265" w:rsidRDefault="00944265" w:rsidP="001A4B15">
            <w:pPr>
              <w:contextualSpacing/>
              <w:rPr>
                <w:rFonts w:ascii="Arial" w:hAnsi="Arial" w:cs="Arial"/>
                <w:b/>
                <w:bCs/>
                <w:color w:val="000000"/>
              </w:rPr>
            </w:pPr>
            <w:r w:rsidRPr="00944265">
              <w:rPr>
                <w:rFonts w:ascii="Arial" w:hAnsi="Arial" w:cs="Arial"/>
                <w:b/>
                <w:bCs/>
                <w:color w:val="000000"/>
              </w:rPr>
              <w:t>51.61</w:t>
            </w:r>
          </w:p>
        </w:tc>
        <w:tc>
          <w:tcPr>
            <w:tcW w:w="993" w:type="dxa"/>
            <w:tcBorders>
              <w:top w:val="nil"/>
              <w:left w:val="nil"/>
              <w:bottom w:val="single" w:sz="4" w:space="0" w:color="auto"/>
              <w:right w:val="nil"/>
            </w:tcBorders>
          </w:tcPr>
          <w:p w14:paraId="4507B4C3" w14:textId="77777777" w:rsidR="00944265" w:rsidRPr="00944265" w:rsidRDefault="00944265" w:rsidP="001A4B15">
            <w:pPr>
              <w:contextualSpacing/>
              <w:rPr>
                <w:rFonts w:ascii="Arial" w:hAnsi="Arial" w:cs="Arial"/>
                <w:b/>
                <w:bCs/>
              </w:rPr>
            </w:pPr>
            <w:r w:rsidRPr="00944265">
              <w:rPr>
                <w:rFonts w:ascii="Arial" w:hAnsi="Arial" w:cs="Arial"/>
                <w:b/>
                <w:bCs/>
              </w:rPr>
              <w:t>64.47</w:t>
            </w:r>
          </w:p>
        </w:tc>
        <w:tc>
          <w:tcPr>
            <w:tcW w:w="1100" w:type="dxa"/>
            <w:tcBorders>
              <w:top w:val="nil"/>
              <w:left w:val="nil"/>
              <w:bottom w:val="single" w:sz="4" w:space="0" w:color="auto"/>
              <w:right w:val="nil"/>
            </w:tcBorders>
          </w:tcPr>
          <w:p w14:paraId="53AE703C" w14:textId="77777777" w:rsidR="00944265" w:rsidRPr="00944265" w:rsidRDefault="00944265" w:rsidP="001A4B15">
            <w:pPr>
              <w:contextualSpacing/>
              <w:rPr>
                <w:rFonts w:ascii="Arial" w:hAnsi="Arial" w:cs="Arial"/>
                <w:b/>
                <w:bCs/>
              </w:rPr>
            </w:pPr>
            <w:r w:rsidRPr="00944265">
              <w:rPr>
                <w:rFonts w:ascii="Arial" w:hAnsi="Arial" w:cs="Arial"/>
                <w:b/>
                <w:bCs/>
              </w:rPr>
              <w:t>161.79</w:t>
            </w:r>
          </w:p>
        </w:tc>
        <w:tc>
          <w:tcPr>
            <w:tcW w:w="1134" w:type="dxa"/>
            <w:tcBorders>
              <w:top w:val="nil"/>
              <w:left w:val="nil"/>
              <w:bottom w:val="single" w:sz="4" w:space="0" w:color="auto"/>
              <w:right w:val="nil"/>
            </w:tcBorders>
          </w:tcPr>
          <w:p w14:paraId="66148E01" w14:textId="77777777" w:rsidR="00944265" w:rsidRPr="00944265" w:rsidRDefault="00944265" w:rsidP="001A4B15">
            <w:pPr>
              <w:contextualSpacing/>
              <w:rPr>
                <w:rFonts w:ascii="Arial" w:hAnsi="Arial" w:cs="Arial"/>
                <w:b/>
                <w:bCs/>
              </w:rPr>
            </w:pPr>
            <w:r w:rsidRPr="00944265">
              <w:rPr>
                <w:rFonts w:ascii="Arial" w:hAnsi="Arial" w:cs="Arial"/>
                <w:b/>
                <w:bCs/>
              </w:rPr>
              <w:t>185.25</w:t>
            </w:r>
          </w:p>
        </w:tc>
      </w:tr>
      <w:tr w:rsidR="00944265" w:rsidRPr="00944265" w14:paraId="6831E51C" w14:textId="77777777" w:rsidTr="001A4B15">
        <w:trPr>
          <w:trHeight w:val="205"/>
        </w:trPr>
        <w:tc>
          <w:tcPr>
            <w:tcW w:w="4678" w:type="dxa"/>
            <w:tcBorders>
              <w:top w:val="single" w:sz="4" w:space="0" w:color="auto"/>
              <w:left w:val="nil"/>
              <w:bottom w:val="nil"/>
              <w:right w:val="nil"/>
            </w:tcBorders>
            <w:hideMark/>
          </w:tcPr>
          <w:p w14:paraId="23148B90" w14:textId="77777777" w:rsidR="00944265" w:rsidRPr="00944265" w:rsidRDefault="00944265" w:rsidP="001A4B15">
            <w:pPr>
              <w:contextualSpacing/>
              <w:rPr>
                <w:rFonts w:ascii="Arial" w:hAnsi="Arial" w:cs="Arial"/>
                <w:b/>
                <w:bCs/>
              </w:rPr>
            </w:pPr>
            <w:r w:rsidRPr="00944265">
              <w:rPr>
                <w:rFonts w:ascii="Arial" w:hAnsi="Arial" w:cs="Arial"/>
                <w:b/>
                <w:bCs/>
              </w:rPr>
              <w:t>HSD (P ≤ 0.05)</w:t>
            </w:r>
          </w:p>
        </w:tc>
        <w:tc>
          <w:tcPr>
            <w:tcW w:w="992" w:type="dxa"/>
            <w:tcBorders>
              <w:top w:val="single" w:sz="4" w:space="0" w:color="auto"/>
              <w:left w:val="nil"/>
              <w:bottom w:val="nil"/>
              <w:right w:val="nil"/>
            </w:tcBorders>
            <w:hideMark/>
          </w:tcPr>
          <w:p w14:paraId="663ADB04" w14:textId="77777777" w:rsidR="00944265" w:rsidRPr="00944265" w:rsidRDefault="00944265" w:rsidP="001A4B15">
            <w:pPr>
              <w:contextualSpacing/>
              <w:rPr>
                <w:rFonts w:ascii="Arial" w:hAnsi="Arial" w:cs="Arial"/>
                <w:b/>
                <w:bCs/>
              </w:rPr>
            </w:pPr>
            <w:r w:rsidRPr="00944265">
              <w:rPr>
                <w:rFonts w:ascii="Arial" w:hAnsi="Arial" w:cs="Arial"/>
                <w:b/>
                <w:bCs/>
              </w:rPr>
              <w:t>13.09</w:t>
            </w:r>
          </w:p>
        </w:tc>
        <w:tc>
          <w:tcPr>
            <w:tcW w:w="993" w:type="dxa"/>
            <w:tcBorders>
              <w:top w:val="single" w:sz="4" w:space="0" w:color="auto"/>
              <w:left w:val="nil"/>
              <w:bottom w:val="nil"/>
              <w:right w:val="nil"/>
            </w:tcBorders>
            <w:vAlign w:val="bottom"/>
          </w:tcPr>
          <w:p w14:paraId="7AF12222" w14:textId="77777777" w:rsidR="00944265" w:rsidRPr="00944265" w:rsidRDefault="00944265" w:rsidP="001A4B15">
            <w:pPr>
              <w:contextualSpacing/>
              <w:rPr>
                <w:rFonts w:ascii="Arial" w:hAnsi="Arial" w:cs="Arial"/>
                <w:b/>
                <w:bCs/>
              </w:rPr>
            </w:pPr>
            <w:r w:rsidRPr="00944265">
              <w:rPr>
                <w:rFonts w:ascii="Arial" w:hAnsi="Arial" w:cs="Arial"/>
                <w:b/>
                <w:bCs/>
              </w:rPr>
              <w:t>13.71</w:t>
            </w:r>
          </w:p>
        </w:tc>
        <w:tc>
          <w:tcPr>
            <w:tcW w:w="1100" w:type="dxa"/>
            <w:tcBorders>
              <w:top w:val="single" w:sz="4" w:space="0" w:color="auto"/>
              <w:left w:val="nil"/>
              <w:bottom w:val="nil"/>
              <w:right w:val="nil"/>
            </w:tcBorders>
            <w:hideMark/>
          </w:tcPr>
          <w:p w14:paraId="0FB771F5" w14:textId="77777777" w:rsidR="00944265" w:rsidRPr="00944265" w:rsidRDefault="00944265" w:rsidP="001A4B15">
            <w:pPr>
              <w:contextualSpacing/>
              <w:jc w:val="both"/>
              <w:rPr>
                <w:rFonts w:ascii="Arial" w:hAnsi="Arial" w:cs="Arial"/>
                <w:b/>
                <w:bCs/>
              </w:rPr>
            </w:pPr>
            <w:r w:rsidRPr="00944265">
              <w:rPr>
                <w:rFonts w:ascii="Arial" w:hAnsi="Arial" w:cs="Arial"/>
                <w:b/>
                <w:bCs/>
              </w:rPr>
              <w:t>12.78</w:t>
            </w:r>
          </w:p>
        </w:tc>
        <w:tc>
          <w:tcPr>
            <w:tcW w:w="1134" w:type="dxa"/>
            <w:tcBorders>
              <w:top w:val="single" w:sz="4" w:space="0" w:color="auto"/>
              <w:left w:val="nil"/>
              <w:bottom w:val="nil"/>
              <w:right w:val="nil"/>
            </w:tcBorders>
            <w:vAlign w:val="bottom"/>
          </w:tcPr>
          <w:p w14:paraId="0B9B845F" w14:textId="77777777" w:rsidR="00944265" w:rsidRPr="00944265" w:rsidRDefault="00944265" w:rsidP="001A4B15">
            <w:pPr>
              <w:contextualSpacing/>
              <w:jc w:val="both"/>
              <w:rPr>
                <w:rFonts w:ascii="Arial" w:hAnsi="Arial" w:cs="Arial"/>
                <w:b/>
                <w:bCs/>
              </w:rPr>
            </w:pPr>
            <w:r w:rsidRPr="00944265">
              <w:rPr>
                <w:rFonts w:ascii="Arial" w:hAnsi="Arial" w:cs="Arial"/>
                <w:b/>
                <w:bCs/>
              </w:rPr>
              <w:t>23.29</w:t>
            </w:r>
          </w:p>
        </w:tc>
      </w:tr>
      <w:tr w:rsidR="00944265" w:rsidRPr="00944265" w14:paraId="14DE882A" w14:textId="77777777" w:rsidTr="001A4B15">
        <w:trPr>
          <w:trHeight w:val="209"/>
        </w:trPr>
        <w:tc>
          <w:tcPr>
            <w:tcW w:w="4678" w:type="dxa"/>
            <w:tcBorders>
              <w:top w:val="nil"/>
              <w:left w:val="nil"/>
              <w:bottom w:val="nil"/>
              <w:right w:val="nil"/>
            </w:tcBorders>
            <w:hideMark/>
          </w:tcPr>
          <w:p w14:paraId="5D2F50A4" w14:textId="77777777" w:rsidR="00944265" w:rsidRPr="00944265" w:rsidRDefault="00944265" w:rsidP="001A4B15">
            <w:pPr>
              <w:contextualSpacing/>
              <w:rPr>
                <w:rFonts w:ascii="Arial" w:hAnsi="Arial" w:cs="Arial"/>
                <w:b/>
                <w:bCs/>
              </w:rPr>
            </w:pPr>
            <w:r w:rsidRPr="00944265">
              <w:rPr>
                <w:rFonts w:ascii="Arial" w:hAnsi="Arial" w:cs="Arial"/>
                <w:b/>
                <w:bCs/>
              </w:rPr>
              <w:t>CV (%)</w:t>
            </w:r>
          </w:p>
        </w:tc>
        <w:tc>
          <w:tcPr>
            <w:tcW w:w="992" w:type="dxa"/>
            <w:tcBorders>
              <w:top w:val="nil"/>
              <w:left w:val="nil"/>
              <w:bottom w:val="nil"/>
              <w:right w:val="nil"/>
            </w:tcBorders>
            <w:hideMark/>
          </w:tcPr>
          <w:p w14:paraId="7B358BE0" w14:textId="77777777" w:rsidR="00944265" w:rsidRPr="00944265" w:rsidRDefault="00944265" w:rsidP="001A4B15">
            <w:pPr>
              <w:contextualSpacing/>
              <w:rPr>
                <w:rFonts w:ascii="Arial" w:hAnsi="Arial" w:cs="Arial"/>
                <w:b/>
                <w:bCs/>
                <w:color w:val="000000"/>
              </w:rPr>
            </w:pPr>
            <w:r w:rsidRPr="00944265">
              <w:rPr>
                <w:rFonts w:ascii="Arial" w:hAnsi="Arial" w:cs="Arial"/>
                <w:b/>
                <w:bCs/>
                <w:color w:val="000000"/>
              </w:rPr>
              <w:t>17.08</w:t>
            </w:r>
          </w:p>
        </w:tc>
        <w:tc>
          <w:tcPr>
            <w:tcW w:w="993" w:type="dxa"/>
            <w:tcBorders>
              <w:top w:val="nil"/>
              <w:left w:val="nil"/>
              <w:bottom w:val="nil"/>
              <w:right w:val="nil"/>
            </w:tcBorders>
            <w:vAlign w:val="bottom"/>
          </w:tcPr>
          <w:p w14:paraId="50440A95" w14:textId="77777777" w:rsidR="00944265" w:rsidRPr="00944265" w:rsidRDefault="00944265" w:rsidP="001A4B15">
            <w:pPr>
              <w:contextualSpacing/>
              <w:rPr>
                <w:rFonts w:ascii="Arial" w:hAnsi="Arial" w:cs="Arial"/>
                <w:b/>
                <w:bCs/>
              </w:rPr>
            </w:pPr>
            <w:r w:rsidRPr="00944265">
              <w:rPr>
                <w:rFonts w:ascii="Arial" w:hAnsi="Arial" w:cs="Arial"/>
                <w:b/>
                <w:bCs/>
              </w:rPr>
              <w:t>18.65</w:t>
            </w:r>
          </w:p>
        </w:tc>
        <w:tc>
          <w:tcPr>
            <w:tcW w:w="1100" w:type="dxa"/>
            <w:tcBorders>
              <w:top w:val="nil"/>
              <w:left w:val="nil"/>
              <w:bottom w:val="nil"/>
              <w:right w:val="nil"/>
            </w:tcBorders>
            <w:hideMark/>
          </w:tcPr>
          <w:p w14:paraId="5D56D9DB" w14:textId="77777777" w:rsidR="00944265" w:rsidRPr="00944265" w:rsidRDefault="00944265" w:rsidP="001A4B15">
            <w:pPr>
              <w:contextualSpacing/>
              <w:jc w:val="both"/>
              <w:rPr>
                <w:rFonts w:ascii="Arial" w:hAnsi="Arial" w:cs="Arial"/>
                <w:b/>
                <w:bCs/>
              </w:rPr>
            </w:pPr>
            <w:r w:rsidRPr="00944265">
              <w:rPr>
                <w:rFonts w:ascii="Arial" w:hAnsi="Arial" w:cs="Arial"/>
                <w:b/>
                <w:bCs/>
              </w:rPr>
              <w:t>5.32</w:t>
            </w:r>
          </w:p>
        </w:tc>
        <w:tc>
          <w:tcPr>
            <w:tcW w:w="1134" w:type="dxa"/>
            <w:tcBorders>
              <w:top w:val="nil"/>
              <w:left w:val="nil"/>
              <w:bottom w:val="nil"/>
              <w:right w:val="nil"/>
            </w:tcBorders>
            <w:vAlign w:val="bottom"/>
          </w:tcPr>
          <w:p w14:paraId="67F09DB1" w14:textId="77777777" w:rsidR="00944265" w:rsidRPr="00944265" w:rsidRDefault="00944265" w:rsidP="001A4B15">
            <w:pPr>
              <w:contextualSpacing/>
              <w:jc w:val="both"/>
              <w:rPr>
                <w:rFonts w:ascii="Arial" w:hAnsi="Arial" w:cs="Arial"/>
                <w:b/>
                <w:bCs/>
              </w:rPr>
            </w:pPr>
            <w:r w:rsidRPr="00944265">
              <w:rPr>
                <w:rFonts w:ascii="Arial" w:hAnsi="Arial" w:cs="Arial"/>
                <w:b/>
                <w:bCs/>
              </w:rPr>
              <w:t>11.64</w:t>
            </w:r>
          </w:p>
        </w:tc>
      </w:tr>
      <w:tr w:rsidR="00944265" w:rsidRPr="00944265" w14:paraId="74D1EBDA" w14:textId="77777777" w:rsidTr="001A4B15">
        <w:trPr>
          <w:trHeight w:val="222"/>
        </w:trPr>
        <w:tc>
          <w:tcPr>
            <w:tcW w:w="4678" w:type="dxa"/>
            <w:tcBorders>
              <w:top w:val="single" w:sz="4" w:space="0" w:color="auto"/>
              <w:left w:val="nil"/>
              <w:bottom w:val="nil"/>
              <w:right w:val="nil"/>
            </w:tcBorders>
          </w:tcPr>
          <w:p w14:paraId="381A6636" w14:textId="77777777" w:rsidR="00944265" w:rsidRPr="00944265" w:rsidRDefault="00944265" w:rsidP="001A4B15">
            <w:pPr>
              <w:contextualSpacing/>
              <w:rPr>
                <w:rFonts w:ascii="Arial" w:hAnsi="Arial" w:cs="Arial"/>
                <w:bCs/>
              </w:rPr>
            </w:pPr>
            <w:r w:rsidRPr="00944265">
              <w:rPr>
                <w:rFonts w:ascii="Arial" w:hAnsi="Arial" w:cs="Arial"/>
              </w:rPr>
              <w:tab/>
            </w:r>
            <w:r w:rsidRPr="00944265">
              <w:rPr>
                <w:rFonts w:ascii="Arial" w:hAnsi="Arial" w:cs="Arial"/>
              </w:rPr>
              <w:tab/>
            </w:r>
            <w:r w:rsidRPr="00944265">
              <w:rPr>
                <w:rFonts w:ascii="Arial" w:hAnsi="Arial" w:cs="Arial"/>
              </w:rPr>
              <w:tab/>
              <w:t>Location</w:t>
            </w:r>
          </w:p>
        </w:tc>
        <w:tc>
          <w:tcPr>
            <w:tcW w:w="1985" w:type="dxa"/>
            <w:gridSpan w:val="2"/>
            <w:tcBorders>
              <w:top w:val="single" w:sz="4" w:space="0" w:color="auto"/>
              <w:left w:val="nil"/>
              <w:bottom w:val="nil"/>
              <w:right w:val="nil"/>
            </w:tcBorders>
          </w:tcPr>
          <w:p w14:paraId="67CFECDF" w14:textId="77777777" w:rsidR="00944265" w:rsidRPr="00944265" w:rsidRDefault="00944265" w:rsidP="001A4B15">
            <w:pPr>
              <w:contextualSpacing/>
              <w:jc w:val="center"/>
              <w:rPr>
                <w:rFonts w:ascii="Arial" w:hAnsi="Arial" w:cs="Arial"/>
                <w:color w:val="000000"/>
              </w:rPr>
            </w:pPr>
            <w:r w:rsidRPr="00944265">
              <w:rPr>
                <w:rFonts w:ascii="Arial" w:hAnsi="Arial" w:cs="Arial"/>
                <w:color w:val="000000"/>
              </w:rPr>
              <w:t>5.26*</w:t>
            </w:r>
          </w:p>
        </w:tc>
        <w:tc>
          <w:tcPr>
            <w:tcW w:w="2234" w:type="dxa"/>
            <w:gridSpan w:val="2"/>
            <w:tcBorders>
              <w:top w:val="single" w:sz="4" w:space="0" w:color="auto"/>
              <w:left w:val="nil"/>
              <w:bottom w:val="nil"/>
              <w:right w:val="nil"/>
            </w:tcBorders>
          </w:tcPr>
          <w:p w14:paraId="2EBF1D40" w14:textId="77777777" w:rsidR="00944265" w:rsidRPr="00944265" w:rsidRDefault="00944265" w:rsidP="001A4B15">
            <w:pPr>
              <w:contextualSpacing/>
              <w:rPr>
                <w:rFonts w:ascii="Arial" w:hAnsi="Arial" w:cs="Arial"/>
              </w:rPr>
            </w:pPr>
            <w:r w:rsidRPr="00944265">
              <w:rPr>
                <w:rFonts w:ascii="Arial" w:hAnsi="Arial" w:cs="Arial"/>
                <w:color w:val="000000"/>
              </w:rPr>
              <w:t xml:space="preserve">          6.91*</w:t>
            </w:r>
          </w:p>
        </w:tc>
      </w:tr>
      <w:tr w:rsidR="00944265" w:rsidRPr="00944265" w14:paraId="0660E45F" w14:textId="77777777" w:rsidTr="001A4B15">
        <w:trPr>
          <w:trHeight w:val="453"/>
        </w:trPr>
        <w:tc>
          <w:tcPr>
            <w:tcW w:w="4678" w:type="dxa"/>
            <w:tcBorders>
              <w:top w:val="nil"/>
              <w:left w:val="nil"/>
              <w:bottom w:val="nil"/>
              <w:right w:val="nil"/>
            </w:tcBorders>
          </w:tcPr>
          <w:p w14:paraId="3451EE9A" w14:textId="77777777" w:rsidR="00944265" w:rsidRPr="00944265" w:rsidRDefault="00944265" w:rsidP="001A4B15">
            <w:pPr>
              <w:contextualSpacing/>
              <w:rPr>
                <w:rFonts w:ascii="Arial" w:hAnsi="Arial" w:cs="Arial"/>
                <w:bCs/>
              </w:rPr>
            </w:pPr>
            <w:r w:rsidRPr="00944265">
              <w:rPr>
                <w:rFonts w:ascii="Arial" w:hAnsi="Arial" w:cs="Arial"/>
              </w:rPr>
              <w:tab/>
            </w:r>
            <w:r w:rsidRPr="00944265">
              <w:rPr>
                <w:rFonts w:ascii="Arial" w:hAnsi="Arial" w:cs="Arial"/>
              </w:rPr>
              <w:tab/>
              <w:t xml:space="preserve">           Treatment x Location</w:t>
            </w:r>
          </w:p>
        </w:tc>
        <w:tc>
          <w:tcPr>
            <w:tcW w:w="1985" w:type="dxa"/>
            <w:gridSpan w:val="2"/>
            <w:tcBorders>
              <w:top w:val="nil"/>
              <w:left w:val="nil"/>
              <w:bottom w:val="nil"/>
              <w:right w:val="nil"/>
            </w:tcBorders>
          </w:tcPr>
          <w:p w14:paraId="463B4CB5" w14:textId="77777777" w:rsidR="00944265" w:rsidRPr="00944265" w:rsidRDefault="00944265" w:rsidP="001A4B15">
            <w:pPr>
              <w:contextualSpacing/>
              <w:jc w:val="center"/>
              <w:rPr>
                <w:rFonts w:ascii="Arial" w:hAnsi="Arial" w:cs="Arial"/>
                <w:color w:val="000000"/>
              </w:rPr>
            </w:pPr>
            <w:r w:rsidRPr="00944265">
              <w:rPr>
                <w:rFonts w:ascii="Arial" w:hAnsi="Arial" w:cs="Arial"/>
                <w:color w:val="000000"/>
              </w:rPr>
              <w:t>15.67*</w:t>
            </w:r>
          </w:p>
        </w:tc>
        <w:tc>
          <w:tcPr>
            <w:tcW w:w="2234" w:type="dxa"/>
            <w:gridSpan w:val="2"/>
            <w:tcBorders>
              <w:top w:val="nil"/>
              <w:left w:val="nil"/>
              <w:bottom w:val="nil"/>
              <w:right w:val="nil"/>
            </w:tcBorders>
          </w:tcPr>
          <w:p w14:paraId="6BFA8F85" w14:textId="77777777" w:rsidR="00944265" w:rsidRPr="00944265" w:rsidRDefault="00944265" w:rsidP="001A4B15">
            <w:pPr>
              <w:contextualSpacing/>
              <w:rPr>
                <w:rFonts w:ascii="Arial" w:hAnsi="Arial" w:cs="Arial"/>
              </w:rPr>
            </w:pPr>
            <w:r w:rsidRPr="00944265">
              <w:rPr>
                <w:rFonts w:ascii="Arial" w:hAnsi="Arial" w:cs="Arial"/>
              </w:rPr>
              <w:t xml:space="preserve">         28.49*</w:t>
            </w:r>
          </w:p>
        </w:tc>
      </w:tr>
    </w:tbl>
    <w:p w14:paraId="56C5A7CF" w14:textId="77777777" w:rsidR="009B4244" w:rsidRDefault="009B4244" w:rsidP="009B4244">
      <w:pPr>
        <w:jc w:val="both"/>
        <w:rPr>
          <w:sz w:val="18"/>
          <w:szCs w:val="18"/>
        </w:rPr>
      </w:pPr>
    </w:p>
    <w:p w14:paraId="40CCC20D" w14:textId="7333956D" w:rsidR="00745614" w:rsidRPr="00745614" w:rsidRDefault="009B4244" w:rsidP="009B4244">
      <w:pPr>
        <w:spacing w:after="240"/>
        <w:jc w:val="both"/>
        <w:rPr>
          <w:rFonts w:ascii="Arial" w:hAnsi="Arial" w:cs="Arial"/>
          <w:u w:val="single"/>
        </w:rPr>
      </w:pPr>
      <w:r w:rsidRPr="00745614">
        <w:rPr>
          <w:rFonts w:ascii="Arial" w:hAnsi="Arial" w:cs="Arial"/>
          <w:u w:val="single"/>
        </w:rPr>
        <w:t xml:space="preserve">3.5.2 </w:t>
      </w:r>
      <w:r w:rsidR="00944265">
        <w:rPr>
          <w:rFonts w:ascii="Arial" w:hAnsi="Arial" w:cs="Arial"/>
          <w:u w:val="single"/>
        </w:rPr>
        <w:t>Stem diameter</w:t>
      </w:r>
    </w:p>
    <w:p w14:paraId="5EBDD7F4" w14:textId="737CF0BE" w:rsidR="00944265" w:rsidRDefault="00944265" w:rsidP="00944265">
      <w:pPr>
        <w:spacing w:after="240"/>
        <w:jc w:val="both"/>
        <w:rPr>
          <w:rFonts w:ascii="Arial" w:hAnsi="Arial" w:cs="Arial"/>
        </w:rPr>
      </w:pPr>
      <w:r w:rsidRPr="00944265">
        <w:rPr>
          <w:rFonts w:ascii="Arial" w:hAnsi="Arial" w:cs="Arial"/>
        </w:rPr>
        <w:t>At Amantin, the widest stem diameter (1.80 cm) was recorded by Briquette NPK &amp; Urea (91-59-59) 230.4</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at 5 WAP, which was significantly (P&lt;0.05) wider than all the other treatments (Table 8). Plants that received Briquette NPK &amp; Urea (91-59-59) 230.4</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and Granule NPK &amp; Urea (120-40-40) 200</w:t>
      </w:r>
      <w:r w:rsidR="000C1316">
        <w:rPr>
          <w:rFonts w:ascii="Arial" w:hAnsi="Arial" w:cs="Arial"/>
        </w:rPr>
        <w:t xml:space="preserve">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944265">
        <w:rPr>
          <w:rFonts w:ascii="Arial" w:hAnsi="Arial" w:cs="Arial"/>
        </w:rPr>
        <w:t>recorded the widest stem diameter of 2.0 cm and was significantly (P&lt;0.05) different from Briquette NPK &amp; Urea (114-44-44) 172.8</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 Briquette NPK &amp; Urea (76-29-29) 115.2</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Pr="00944265">
        <w:rPr>
          <w:rFonts w:ascii="Arial" w:hAnsi="Arial" w:cs="Arial"/>
        </w:rPr>
        <w:t>, and the control at 7 WAP.</w:t>
      </w:r>
    </w:p>
    <w:p w14:paraId="0023C88E" w14:textId="76970BFE" w:rsidR="00944265" w:rsidRDefault="00944265" w:rsidP="00944265">
      <w:pPr>
        <w:spacing w:after="240"/>
        <w:jc w:val="both"/>
        <w:rPr>
          <w:rFonts w:ascii="Arial" w:hAnsi="Arial" w:cs="Arial"/>
        </w:rPr>
      </w:pPr>
      <w:r w:rsidRPr="00944265">
        <w:rPr>
          <w:rFonts w:ascii="Arial" w:hAnsi="Arial" w:cs="Arial"/>
        </w:rPr>
        <w:t>At Nsapor, plants that received Briquette NPK &amp; Urea (121-58.</w:t>
      </w:r>
      <w:r w:rsidRPr="000B6F78">
        <w:rPr>
          <w:rFonts w:ascii="Arial" w:hAnsi="Arial" w:cs="Arial"/>
          <w:highlight w:val="yellow"/>
        </w:rPr>
        <w:t>7</w:t>
      </w:r>
      <w:r w:rsidR="000B6F78" w:rsidRPr="000B6F78">
        <w:rPr>
          <w:rFonts w:ascii="Arial" w:hAnsi="Arial" w:cs="Arial"/>
          <w:highlight w:val="yellow"/>
        </w:rPr>
        <w:t>-</w:t>
      </w:r>
      <w:r w:rsidRPr="00944265">
        <w:rPr>
          <w:rFonts w:ascii="Arial" w:hAnsi="Arial" w:cs="Arial"/>
        </w:rPr>
        <w:t>59) 230.4</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had the widest stem diameter and were significantly different from the control at 5 WAP. At 7 WAP, Briquette NPK &amp; Urea (114-44-44) 172.8</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recorded the widest stem diameter, which was not significantly different from the other amended plots but differed significantly from the control, which recorded the least stem diameter (Table 8). Significantly wider stem diameter was recorded at Amantin than in Nsapor at 5 WAP, vice versa at 7 WAP. Treatment x location interactions were significant at both 5 and 7 WAP.</w:t>
      </w:r>
    </w:p>
    <w:p w14:paraId="6C17A885" w14:textId="78E5F723" w:rsidR="00944265" w:rsidRPr="00944265" w:rsidRDefault="00944265" w:rsidP="00944265">
      <w:pPr>
        <w:spacing w:line="276" w:lineRule="auto"/>
        <w:contextualSpacing/>
        <w:jc w:val="both"/>
        <w:rPr>
          <w:rFonts w:ascii="Arial" w:hAnsi="Arial" w:cs="Arial"/>
        </w:rPr>
      </w:pPr>
      <w:r w:rsidRPr="00944265">
        <w:rPr>
          <w:rFonts w:ascii="Arial" w:hAnsi="Arial" w:cs="Arial"/>
          <w:b/>
        </w:rPr>
        <w:lastRenderedPageBreak/>
        <w:t>Table 8. Effect of NPK granules and briquettes fertilizer on maize stem diameter at Amantin and Nsapor</w:t>
      </w:r>
    </w:p>
    <w:tbl>
      <w:tblPr>
        <w:tblStyle w:val="TableGrid3"/>
        <w:tblW w:w="8897" w:type="dxa"/>
        <w:tblInd w:w="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959"/>
        <w:gridCol w:w="992"/>
        <w:gridCol w:w="1134"/>
        <w:gridCol w:w="1134"/>
      </w:tblGrid>
      <w:tr w:rsidR="00944265" w:rsidRPr="00944265" w14:paraId="56268377" w14:textId="77777777" w:rsidTr="000F1EF3">
        <w:trPr>
          <w:trHeight w:val="496"/>
        </w:trPr>
        <w:tc>
          <w:tcPr>
            <w:tcW w:w="4678" w:type="dxa"/>
            <w:hideMark/>
          </w:tcPr>
          <w:p w14:paraId="62A8E821" w14:textId="77777777" w:rsidR="00944265" w:rsidRPr="00944265" w:rsidRDefault="00944265" w:rsidP="001A4B15">
            <w:pPr>
              <w:contextualSpacing/>
              <w:jc w:val="both"/>
              <w:rPr>
                <w:rFonts w:ascii="Arial" w:hAnsi="Arial" w:cs="Arial"/>
              </w:rPr>
            </w:pPr>
            <w:r w:rsidRPr="00944265">
              <w:rPr>
                <w:rFonts w:ascii="Arial" w:hAnsi="Arial" w:cs="Arial"/>
              </w:rPr>
              <w:t>Treatment</w:t>
            </w:r>
          </w:p>
        </w:tc>
        <w:tc>
          <w:tcPr>
            <w:tcW w:w="1951" w:type="dxa"/>
            <w:gridSpan w:val="2"/>
            <w:hideMark/>
          </w:tcPr>
          <w:p w14:paraId="04DE36E6" w14:textId="77777777" w:rsidR="00944265" w:rsidRPr="00944265" w:rsidRDefault="00944265" w:rsidP="001A4B15">
            <w:pPr>
              <w:contextualSpacing/>
              <w:jc w:val="both"/>
              <w:rPr>
                <w:rFonts w:ascii="Arial" w:hAnsi="Arial" w:cs="Arial"/>
              </w:rPr>
            </w:pPr>
            <w:r w:rsidRPr="00944265">
              <w:rPr>
                <w:rFonts w:ascii="Arial" w:hAnsi="Arial" w:cs="Arial"/>
              </w:rPr>
              <w:t>Stem diameter (cm)</w:t>
            </w:r>
          </w:p>
          <w:p w14:paraId="5BECC129" w14:textId="77777777" w:rsidR="00944265" w:rsidRPr="00944265" w:rsidRDefault="00944265" w:rsidP="001A4B15">
            <w:pPr>
              <w:contextualSpacing/>
              <w:jc w:val="both"/>
              <w:rPr>
                <w:rFonts w:ascii="Arial" w:hAnsi="Arial" w:cs="Arial"/>
              </w:rPr>
            </w:pPr>
            <w:r w:rsidRPr="00944265">
              <w:rPr>
                <w:rFonts w:ascii="Arial" w:hAnsi="Arial" w:cs="Arial"/>
              </w:rPr>
              <w:t xml:space="preserve">            5 WAP</w:t>
            </w:r>
          </w:p>
        </w:tc>
        <w:tc>
          <w:tcPr>
            <w:tcW w:w="2268" w:type="dxa"/>
            <w:gridSpan w:val="2"/>
            <w:hideMark/>
          </w:tcPr>
          <w:p w14:paraId="24BB3729" w14:textId="77777777" w:rsidR="00944265" w:rsidRPr="00944265" w:rsidRDefault="00944265" w:rsidP="001A4B15">
            <w:pPr>
              <w:contextualSpacing/>
              <w:jc w:val="both"/>
              <w:rPr>
                <w:rFonts w:ascii="Arial" w:hAnsi="Arial" w:cs="Arial"/>
              </w:rPr>
            </w:pPr>
            <w:r w:rsidRPr="00944265">
              <w:rPr>
                <w:rFonts w:ascii="Arial" w:hAnsi="Arial" w:cs="Arial"/>
              </w:rPr>
              <w:t>Stem diameter (cm)</w:t>
            </w:r>
          </w:p>
          <w:p w14:paraId="3D3FDDA3" w14:textId="77777777" w:rsidR="00944265" w:rsidRPr="00944265" w:rsidRDefault="00944265" w:rsidP="001A4B15">
            <w:pPr>
              <w:contextualSpacing/>
              <w:jc w:val="both"/>
              <w:rPr>
                <w:rFonts w:ascii="Arial" w:hAnsi="Arial" w:cs="Arial"/>
              </w:rPr>
            </w:pPr>
            <w:r w:rsidRPr="00944265">
              <w:rPr>
                <w:rFonts w:ascii="Arial" w:hAnsi="Arial" w:cs="Arial"/>
              </w:rPr>
              <w:t xml:space="preserve">          7 WAP</w:t>
            </w:r>
          </w:p>
        </w:tc>
      </w:tr>
      <w:tr w:rsidR="00944265" w:rsidRPr="00944265" w14:paraId="244A5FD1" w14:textId="77777777" w:rsidTr="000F1EF3">
        <w:trPr>
          <w:trHeight w:val="270"/>
        </w:trPr>
        <w:tc>
          <w:tcPr>
            <w:tcW w:w="4678" w:type="dxa"/>
            <w:tcBorders>
              <w:bottom w:val="single" w:sz="4" w:space="0" w:color="auto"/>
            </w:tcBorders>
          </w:tcPr>
          <w:p w14:paraId="1E8E507D" w14:textId="77777777" w:rsidR="00944265" w:rsidRPr="00944265" w:rsidRDefault="00944265" w:rsidP="001A4B15">
            <w:pPr>
              <w:contextualSpacing/>
              <w:jc w:val="both"/>
              <w:rPr>
                <w:rFonts w:ascii="Arial" w:hAnsi="Arial" w:cs="Arial"/>
              </w:rPr>
            </w:pPr>
          </w:p>
        </w:tc>
        <w:tc>
          <w:tcPr>
            <w:tcW w:w="959" w:type="dxa"/>
            <w:tcBorders>
              <w:bottom w:val="single" w:sz="4" w:space="0" w:color="auto"/>
            </w:tcBorders>
            <w:hideMark/>
          </w:tcPr>
          <w:p w14:paraId="54B2803C" w14:textId="77777777" w:rsidR="00944265" w:rsidRPr="00944265" w:rsidRDefault="00944265" w:rsidP="001A4B15">
            <w:pPr>
              <w:contextualSpacing/>
              <w:jc w:val="both"/>
              <w:rPr>
                <w:rFonts w:ascii="Arial" w:hAnsi="Arial" w:cs="Arial"/>
              </w:rPr>
            </w:pPr>
            <w:r w:rsidRPr="00944265">
              <w:rPr>
                <w:rFonts w:ascii="Arial" w:hAnsi="Arial" w:cs="Arial"/>
              </w:rPr>
              <w:t>Amantin</w:t>
            </w:r>
          </w:p>
        </w:tc>
        <w:tc>
          <w:tcPr>
            <w:tcW w:w="992" w:type="dxa"/>
            <w:tcBorders>
              <w:bottom w:val="single" w:sz="4" w:space="0" w:color="auto"/>
            </w:tcBorders>
            <w:hideMark/>
          </w:tcPr>
          <w:p w14:paraId="5EEE59CF" w14:textId="77777777" w:rsidR="00944265" w:rsidRPr="00944265" w:rsidRDefault="00944265" w:rsidP="001A4B15">
            <w:pPr>
              <w:contextualSpacing/>
              <w:jc w:val="both"/>
              <w:rPr>
                <w:rFonts w:ascii="Arial" w:hAnsi="Arial" w:cs="Arial"/>
              </w:rPr>
            </w:pPr>
            <w:r w:rsidRPr="00944265">
              <w:rPr>
                <w:rFonts w:ascii="Arial" w:hAnsi="Arial" w:cs="Arial"/>
              </w:rPr>
              <w:t>Nsapor</w:t>
            </w:r>
          </w:p>
        </w:tc>
        <w:tc>
          <w:tcPr>
            <w:tcW w:w="1134" w:type="dxa"/>
            <w:tcBorders>
              <w:bottom w:val="single" w:sz="4" w:space="0" w:color="auto"/>
            </w:tcBorders>
            <w:hideMark/>
          </w:tcPr>
          <w:p w14:paraId="78F83622" w14:textId="77777777" w:rsidR="00944265" w:rsidRPr="00944265" w:rsidRDefault="00944265" w:rsidP="001A4B15">
            <w:pPr>
              <w:contextualSpacing/>
              <w:jc w:val="both"/>
              <w:rPr>
                <w:rFonts w:ascii="Arial" w:hAnsi="Arial" w:cs="Arial"/>
              </w:rPr>
            </w:pPr>
            <w:r w:rsidRPr="00944265">
              <w:rPr>
                <w:rFonts w:ascii="Arial" w:hAnsi="Arial" w:cs="Arial"/>
              </w:rPr>
              <w:t>Amantin</w:t>
            </w:r>
          </w:p>
        </w:tc>
        <w:tc>
          <w:tcPr>
            <w:tcW w:w="1134" w:type="dxa"/>
            <w:tcBorders>
              <w:bottom w:val="single" w:sz="4" w:space="0" w:color="auto"/>
            </w:tcBorders>
            <w:hideMark/>
          </w:tcPr>
          <w:p w14:paraId="6541B1AE" w14:textId="77777777" w:rsidR="00944265" w:rsidRPr="00944265" w:rsidRDefault="00944265" w:rsidP="001A4B15">
            <w:pPr>
              <w:contextualSpacing/>
              <w:jc w:val="both"/>
              <w:rPr>
                <w:rFonts w:ascii="Arial" w:hAnsi="Arial" w:cs="Arial"/>
              </w:rPr>
            </w:pPr>
            <w:r w:rsidRPr="00944265">
              <w:rPr>
                <w:rFonts w:ascii="Arial" w:hAnsi="Arial" w:cs="Arial"/>
              </w:rPr>
              <w:t>Nsapor</w:t>
            </w:r>
          </w:p>
        </w:tc>
      </w:tr>
      <w:tr w:rsidR="00944265" w:rsidRPr="00944265" w14:paraId="5BDB713B" w14:textId="77777777" w:rsidTr="000F1EF3">
        <w:trPr>
          <w:trHeight w:val="248"/>
        </w:trPr>
        <w:tc>
          <w:tcPr>
            <w:tcW w:w="4678" w:type="dxa"/>
            <w:tcBorders>
              <w:top w:val="single" w:sz="4" w:space="0" w:color="auto"/>
            </w:tcBorders>
            <w:hideMark/>
          </w:tcPr>
          <w:p w14:paraId="544A9537" w14:textId="77777777" w:rsidR="00944265" w:rsidRPr="00944265" w:rsidRDefault="00944265" w:rsidP="001A4B15">
            <w:pPr>
              <w:contextualSpacing/>
              <w:jc w:val="both"/>
              <w:rPr>
                <w:rFonts w:ascii="Arial" w:hAnsi="Arial" w:cs="Arial"/>
              </w:rPr>
            </w:pPr>
            <w:r w:rsidRPr="00944265">
              <w:rPr>
                <w:rFonts w:ascii="Arial" w:hAnsi="Arial" w:cs="Arial"/>
              </w:rPr>
              <w:t>Control</w:t>
            </w:r>
          </w:p>
        </w:tc>
        <w:tc>
          <w:tcPr>
            <w:tcW w:w="959" w:type="dxa"/>
            <w:tcBorders>
              <w:top w:val="single" w:sz="4" w:space="0" w:color="auto"/>
            </w:tcBorders>
            <w:vAlign w:val="bottom"/>
            <w:hideMark/>
          </w:tcPr>
          <w:p w14:paraId="4C4B32FA" w14:textId="77777777" w:rsidR="00944265" w:rsidRPr="00944265" w:rsidRDefault="00944265" w:rsidP="001A4B15">
            <w:pPr>
              <w:contextualSpacing/>
              <w:jc w:val="both"/>
              <w:rPr>
                <w:rFonts w:ascii="Arial" w:hAnsi="Arial" w:cs="Arial"/>
              </w:rPr>
            </w:pPr>
            <w:r w:rsidRPr="00944265">
              <w:rPr>
                <w:rFonts w:ascii="Arial" w:hAnsi="Arial" w:cs="Arial"/>
              </w:rPr>
              <w:t>1.50d</w:t>
            </w:r>
          </w:p>
        </w:tc>
        <w:tc>
          <w:tcPr>
            <w:tcW w:w="992" w:type="dxa"/>
            <w:tcBorders>
              <w:top w:val="single" w:sz="4" w:space="0" w:color="auto"/>
            </w:tcBorders>
            <w:vAlign w:val="center"/>
          </w:tcPr>
          <w:p w14:paraId="7BEF6C0C" w14:textId="77777777" w:rsidR="00944265" w:rsidRPr="00944265" w:rsidRDefault="00944265" w:rsidP="001A4B15">
            <w:pPr>
              <w:contextualSpacing/>
              <w:jc w:val="both"/>
              <w:rPr>
                <w:rFonts w:ascii="Arial" w:hAnsi="Arial" w:cs="Arial"/>
              </w:rPr>
            </w:pPr>
            <w:r w:rsidRPr="00944265">
              <w:rPr>
                <w:rFonts w:ascii="Arial" w:hAnsi="Arial" w:cs="Arial"/>
                <w:color w:val="000000"/>
              </w:rPr>
              <w:t>1.30b</w:t>
            </w:r>
          </w:p>
        </w:tc>
        <w:tc>
          <w:tcPr>
            <w:tcW w:w="1134" w:type="dxa"/>
            <w:tcBorders>
              <w:top w:val="single" w:sz="4" w:space="0" w:color="auto"/>
            </w:tcBorders>
            <w:vAlign w:val="bottom"/>
            <w:hideMark/>
          </w:tcPr>
          <w:p w14:paraId="2B10F049" w14:textId="77777777" w:rsidR="00944265" w:rsidRPr="00944265" w:rsidRDefault="00944265" w:rsidP="001A4B15">
            <w:pPr>
              <w:contextualSpacing/>
              <w:jc w:val="both"/>
              <w:rPr>
                <w:rFonts w:ascii="Arial" w:hAnsi="Arial" w:cs="Arial"/>
              </w:rPr>
            </w:pPr>
            <w:r w:rsidRPr="00944265">
              <w:rPr>
                <w:rFonts w:ascii="Arial" w:hAnsi="Arial" w:cs="Arial"/>
              </w:rPr>
              <w:t>1.70c</w:t>
            </w:r>
          </w:p>
        </w:tc>
        <w:tc>
          <w:tcPr>
            <w:tcW w:w="1134" w:type="dxa"/>
            <w:tcBorders>
              <w:top w:val="single" w:sz="4" w:space="0" w:color="auto"/>
            </w:tcBorders>
            <w:vAlign w:val="center"/>
          </w:tcPr>
          <w:p w14:paraId="43DEF7F6" w14:textId="77777777" w:rsidR="00944265" w:rsidRPr="00944265" w:rsidRDefault="00944265" w:rsidP="001A4B15">
            <w:pPr>
              <w:contextualSpacing/>
              <w:jc w:val="both"/>
              <w:rPr>
                <w:rFonts w:ascii="Arial" w:hAnsi="Arial" w:cs="Arial"/>
              </w:rPr>
            </w:pPr>
            <w:r w:rsidRPr="00944265">
              <w:rPr>
                <w:rFonts w:ascii="Arial" w:hAnsi="Arial" w:cs="Arial"/>
                <w:color w:val="000000"/>
              </w:rPr>
              <w:t>1.82b</w:t>
            </w:r>
          </w:p>
        </w:tc>
      </w:tr>
      <w:tr w:rsidR="00944265" w:rsidRPr="00944265" w14:paraId="42877D7D" w14:textId="77777777" w:rsidTr="000F1EF3">
        <w:trPr>
          <w:trHeight w:val="173"/>
        </w:trPr>
        <w:tc>
          <w:tcPr>
            <w:tcW w:w="4678" w:type="dxa"/>
            <w:hideMark/>
          </w:tcPr>
          <w:p w14:paraId="0C93CE9C" w14:textId="2D465342" w:rsidR="00944265" w:rsidRPr="00944265" w:rsidRDefault="00944265" w:rsidP="000C1316">
            <w:pPr>
              <w:contextualSpacing/>
              <w:jc w:val="both"/>
              <w:rPr>
                <w:rFonts w:ascii="Arial" w:hAnsi="Arial" w:cs="Arial"/>
              </w:rPr>
            </w:pPr>
            <w:r w:rsidRPr="00944265">
              <w:rPr>
                <w:rFonts w:ascii="Arial" w:hAnsi="Arial" w:cs="Arial"/>
              </w:rPr>
              <w:t>Granule NPK &amp; Urea (120-40-40)</w:t>
            </w:r>
            <w:r w:rsidR="000F1EF3">
              <w:rPr>
                <w:rFonts w:ascii="Arial" w:hAnsi="Arial" w:cs="Arial"/>
              </w:rPr>
              <w:t xml:space="preserve"> </w:t>
            </w:r>
            <w:r w:rsidRPr="00944265">
              <w:rPr>
                <w:rFonts w:ascii="Arial" w:hAnsi="Arial" w:cs="Arial"/>
              </w:rPr>
              <w:t>200</w:t>
            </w:r>
            <w:r w:rsidR="000F1EF3">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p>
        </w:tc>
        <w:tc>
          <w:tcPr>
            <w:tcW w:w="959" w:type="dxa"/>
            <w:vAlign w:val="bottom"/>
            <w:hideMark/>
          </w:tcPr>
          <w:p w14:paraId="1D69F8E9" w14:textId="77777777" w:rsidR="00944265" w:rsidRPr="00944265" w:rsidRDefault="00944265" w:rsidP="001A4B15">
            <w:pPr>
              <w:contextualSpacing/>
              <w:jc w:val="both"/>
              <w:rPr>
                <w:rFonts w:ascii="Arial" w:hAnsi="Arial" w:cs="Arial"/>
              </w:rPr>
            </w:pPr>
            <w:r w:rsidRPr="00944265">
              <w:rPr>
                <w:rFonts w:ascii="Arial" w:hAnsi="Arial" w:cs="Arial"/>
              </w:rPr>
              <w:t>1.70ab</w:t>
            </w:r>
          </w:p>
        </w:tc>
        <w:tc>
          <w:tcPr>
            <w:tcW w:w="992" w:type="dxa"/>
            <w:vAlign w:val="center"/>
          </w:tcPr>
          <w:p w14:paraId="057ECC01" w14:textId="77777777" w:rsidR="00944265" w:rsidRPr="00944265" w:rsidRDefault="00944265" w:rsidP="001A4B15">
            <w:pPr>
              <w:contextualSpacing/>
              <w:jc w:val="both"/>
              <w:rPr>
                <w:rFonts w:ascii="Arial" w:hAnsi="Arial" w:cs="Arial"/>
              </w:rPr>
            </w:pPr>
            <w:r w:rsidRPr="00944265">
              <w:rPr>
                <w:rFonts w:ascii="Arial" w:hAnsi="Arial" w:cs="Arial"/>
                <w:color w:val="000000"/>
              </w:rPr>
              <w:t>1.47ab</w:t>
            </w:r>
          </w:p>
        </w:tc>
        <w:tc>
          <w:tcPr>
            <w:tcW w:w="1134" w:type="dxa"/>
            <w:vAlign w:val="bottom"/>
            <w:hideMark/>
          </w:tcPr>
          <w:p w14:paraId="6C64EF2B" w14:textId="77777777" w:rsidR="00944265" w:rsidRPr="00944265" w:rsidRDefault="00944265" w:rsidP="001A4B15">
            <w:pPr>
              <w:contextualSpacing/>
              <w:jc w:val="both"/>
              <w:rPr>
                <w:rFonts w:ascii="Arial" w:hAnsi="Arial" w:cs="Arial"/>
              </w:rPr>
            </w:pPr>
            <w:r w:rsidRPr="00944265">
              <w:rPr>
                <w:rFonts w:ascii="Arial" w:hAnsi="Arial" w:cs="Arial"/>
              </w:rPr>
              <w:t>2.00a</w:t>
            </w:r>
          </w:p>
        </w:tc>
        <w:tc>
          <w:tcPr>
            <w:tcW w:w="1134" w:type="dxa"/>
            <w:vAlign w:val="center"/>
          </w:tcPr>
          <w:p w14:paraId="77383649" w14:textId="77777777" w:rsidR="00944265" w:rsidRPr="00944265" w:rsidRDefault="00944265" w:rsidP="001A4B15">
            <w:pPr>
              <w:contextualSpacing/>
              <w:jc w:val="both"/>
              <w:rPr>
                <w:rFonts w:ascii="Arial" w:hAnsi="Arial" w:cs="Arial"/>
              </w:rPr>
            </w:pPr>
            <w:r w:rsidRPr="00944265">
              <w:rPr>
                <w:rFonts w:ascii="Arial" w:hAnsi="Arial" w:cs="Arial"/>
                <w:color w:val="000000"/>
              </w:rPr>
              <w:t>1.90ab</w:t>
            </w:r>
          </w:p>
        </w:tc>
      </w:tr>
      <w:tr w:rsidR="00944265" w:rsidRPr="00944265" w14:paraId="14E4E7B2" w14:textId="77777777" w:rsidTr="000F1EF3">
        <w:trPr>
          <w:trHeight w:val="197"/>
        </w:trPr>
        <w:tc>
          <w:tcPr>
            <w:tcW w:w="4678" w:type="dxa"/>
            <w:hideMark/>
          </w:tcPr>
          <w:p w14:paraId="62E5FEB2" w14:textId="07439702" w:rsidR="00944265" w:rsidRPr="00944265" w:rsidRDefault="00944265" w:rsidP="000C1316">
            <w:pPr>
              <w:contextualSpacing/>
              <w:jc w:val="both"/>
              <w:rPr>
                <w:rFonts w:ascii="Arial" w:hAnsi="Arial" w:cs="Arial"/>
              </w:rPr>
            </w:pPr>
            <w:r w:rsidRPr="00944265">
              <w:rPr>
                <w:rFonts w:ascii="Arial" w:hAnsi="Arial" w:cs="Arial"/>
              </w:rPr>
              <w:t>Briquette NPK &amp; Urea (121-58.7</w:t>
            </w:r>
            <w:r w:rsidR="000B6F78" w:rsidRPr="000B6F78">
              <w:rPr>
                <w:rFonts w:ascii="Arial" w:hAnsi="Arial" w:cs="Arial"/>
                <w:highlight w:val="yellow"/>
              </w:rPr>
              <w:t>-</w:t>
            </w:r>
            <w:r w:rsidRPr="00944265">
              <w:rPr>
                <w:rFonts w:ascii="Arial" w:hAnsi="Arial" w:cs="Arial"/>
              </w:rPr>
              <w:t>59) 230.4</w:t>
            </w:r>
            <w:r w:rsidR="000F1EF3">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p>
        </w:tc>
        <w:tc>
          <w:tcPr>
            <w:tcW w:w="959" w:type="dxa"/>
            <w:vAlign w:val="bottom"/>
            <w:hideMark/>
          </w:tcPr>
          <w:p w14:paraId="2C68EE26" w14:textId="77777777" w:rsidR="00944265" w:rsidRPr="00944265" w:rsidRDefault="00944265" w:rsidP="001A4B15">
            <w:pPr>
              <w:contextualSpacing/>
              <w:jc w:val="both"/>
              <w:rPr>
                <w:rFonts w:ascii="Arial" w:hAnsi="Arial" w:cs="Arial"/>
              </w:rPr>
            </w:pPr>
            <w:r w:rsidRPr="00944265">
              <w:rPr>
                <w:rFonts w:ascii="Arial" w:hAnsi="Arial" w:cs="Arial"/>
              </w:rPr>
              <w:t>1.60bc</w:t>
            </w:r>
          </w:p>
        </w:tc>
        <w:tc>
          <w:tcPr>
            <w:tcW w:w="992" w:type="dxa"/>
            <w:vAlign w:val="center"/>
          </w:tcPr>
          <w:p w14:paraId="5084E878" w14:textId="77777777" w:rsidR="00944265" w:rsidRPr="00944265" w:rsidRDefault="00944265" w:rsidP="001A4B15">
            <w:pPr>
              <w:contextualSpacing/>
              <w:jc w:val="both"/>
              <w:rPr>
                <w:rFonts w:ascii="Arial" w:hAnsi="Arial" w:cs="Arial"/>
              </w:rPr>
            </w:pPr>
            <w:r w:rsidRPr="00944265">
              <w:rPr>
                <w:rFonts w:ascii="Arial" w:hAnsi="Arial" w:cs="Arial"/>
                <w:color w:val="000000"/>
              </w:rPr>
              <w:t>1.65a</w:t>
            </w:r>
          </w:p>
        </w:tc>
        <w:tc>
          <w:tcPr>
            <w:tcW w:w="1134" w:type="dxa"/>
            <w:vAlign w:val="bottom"/>
            <w:hideMark/>
          </w:tcPr>
          <w:p w14:paraId="15D71412" w14:textId="77777777" w:rsidR="00944265" w:rsidRPr="00944265" w:rsidRDefault="00944265" w:rsidP="001A4B15">
            <w:pPr>
              <w:contextualSpacing/>
              <w:jc w:val="both"/>
              <w:rPr>
                <w:rFonts w:ascii="Arial" w:hAnsi="Arial" w:cs="Arial"/>
              </w:rPr>
            </w:pPr>
            <w:r w:rsidRPr="00944265">
              <w:rPr>
                <w:rFonts w:ascii="Arial" w:hAnsi="Arial" w:cs="Arial"/>
              </w:rPr>
              <w:t>1.90ab</w:t>
            </w:r>
          </w:p>
        </w:tc>
        <w:tc>
          <w:tcPr>
            <w:tcW w:w="1134" w:type="dxa"/>
            <w:vAlign w:val="center"/>
          </w:tcPr>
          <w:p w14:paraId="7729AD29" w14:textId="77777777" w:rsidR="00944265" w:rsidRPr="00944265" w:rsidRDefault="00944265" w:rsidP="001A4B15">
            <w:pPr>
              <w:contextualSpacing/>
              <w:jc w:val="both"/>
              <w:rPr>
                <w:rFonts w:ascii="Arial" w:hAnsi="Arial" w:cs="Arial"/>
              </w:rPr>
            </w:pPr>
            <w:r w:rsidRPr="00944265">
              <w:rPr>
                <w:rFonts w:ascii="Arial" w:hAnsi="Arial" w:cs="Arial"/>
                <w:color w:val="000000"/>
              </w:rPr>
              <w:t>1.95ab</w:t>
            </w:r>
          </w:p>
        </w:tc>
      </w:tr>
      <w:tr w:rsidR="00944265" w:rsidRPr="00944265" w14:paraId="7264BA80" w14:textId="77777777" w:rsidTr="000F1EF3">
        <w:trPr>
          <w:trHeight w:val="199"/>
        </w:trPr>
        <w:tc>
          <w:tcPr>
            <w:tcW w:w="4678" w:type="dxa"/>
            <w:hideMark/>
          </w:tcPr>
          <w:p w14:paraId="2C995D6C" w14:textId="530DFCE9" w:rsidR="00944265" w:rsidRPr="00944265" w:rsidRDefault="00944265" w:rsidP="000C1316">
            <w:pPr>
              <w:contextualSpacing/>
              <w:jc w:val="both"/>
              <w:rPr>
                <w:rFonts w:ascii="Arial" w:hAnsi="Arial" w:cs="Arial"/>
              </w:rPr>
            </w:pPr>
            <w:r w:rsidRPr="00944265">
              <w:rPr>
                <w:rFonts w:ascii="Arial" w:hAnsi="Arial" w:cs="Arial"/>
              </w:rPr>
              <w:t>Briquette NPK &amp; Urea (114-44-44) 172.8</w:t>
            </w:r>
            <w:r w:rsidR="000F1EF3">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p>
        </w:tc>
        <w:tc>
          <w:tcPr>
            <w:tcW w:w="959" w:type="dxa"/>
            <w:vAlign w:val="bottom"/>
            <w:hideMark/>
          </w:tcPr>
          <w:p w14:paraId="12A1D633" w14:textId="77777777" w:rsidR="00944265" w:rsidRPr="00944265" w:rsidRDefault="00944265" w:rsidP="001A4B15">
            <w:pPr>
              <w:contextualSpacing/>
              <w:jc w:val="both"/>
              <w:rPr>
                <w:rFonts w:ascii="Arial" w:hAnsi="Arial" w:cs="Arial"/>
              </w:rPr>
            </w:pPr>
            <w:r w:rsidRPr="00944265">
              <w:rPr>
                <w:rFonts w:ascii="Arial" w:hAnsi="Arial" w:cs="Arial"/>
              </w:rPr>
              <w:t>1.60c</w:t>
            </w:r>
          </w:p>
        </w:tc>
        <w:tc>
          <w:tcPr>
            <w:tcW w:w="992" w:type="dxa"/>
            <w:vAlign w:val="center"/>
          </w:tcPr>
          <w:p w14:paraId="65A30D76" w14:textId="77777777" w:rsidR="00944265" w:rsidRPr="00944265" w:rsidRDefault="00944265" w:rsidP="001A4B15">
            <w:pPr>
              <w:contextualSpacing/>
              <w:jc w:val="both"/>
              <w:rPr>
                <w:rFonts w:ascii="Arial" w:hAnsi="Arial" w:cs="Arial"/>
              </w:rPr>
            </w:pPr>
            <w:r w:rsidRPr="00944265">
              <w:rPr>
                <w:rFonts w:ascii="Arial" w:hAnsi="Arial" w:cs="Arial"/>
                <w:color w:val="000000"/>
              </w:rPr>
              <w:t>1.52ab</w:t>
            </w:r>
          </w:p>
        </w:tc>
        <w:tc>
          <w:tcPr>
            <w:tcW w:w="1134" w:type="dxa"/>
            <w:vAlign w:val="bottom"/>
            <w:hideMark/>
          </w:tcPr>
          <w:p w14:paraId="3B4844C7" w14:textId="77777777" w:rsidR="00944265" w:rsidRPr="00944265" w:rsidRDefault="00944265" w:rsidP="001A4B15">
            <w:pPr>
              <w:contextualSpacing/>
              <w:jc w:val="both"/>
              <w:rPr>
                <w:rFonts w:ascii="Arial" w:hAnsi="Arial" w:cs="Arial"/>
              </w:rPr>
            </w:pPr>
            <w:r w:rsidRPr="00944265">
              <w:rPr>
                <w:rFonts w:ascii="Arial" w:hAnsi="Arial" w:cs="Arial"/>
              </w:rPr>
              <w:t>1.80b</w:t>
            </w:r>
          </w:p>
        </w:tc>
        <w:tc>
          <w:tcPr>
            <w:tcW w:w="1134" w:type="dxa"/>
            <w:vAlign w:val="center"/>
          </w:tcPr>
          <w:p w14:paraId="5E83691F" w14:textId="77777777" w:rsidR="00944265" w:rsidRPr="00944265" w:rsidRDefault="00944265" w:rsidP="001A4B15">
            <w:pPr>
              <w:contextualSpacing/>
              <w:jc w:val="both"/>
              <w:rPr>
                <w:rFonts w:ascii="Arial" w:hAnsi="Arial" w:cs="Arial"/>
              </w:rPr>
            </w:pPr>
            <w:r w:rsidRPr="00944265">
              <w:rPr>
                <w:rFonts w:ascii="Arial" w:hAnsi="Arial" w:cs="Arial"/>
                <w:color w:val="000000"/>
              </w:rPr>
              <w:t>2.07a</w:t>
            </w:r>
          </w:p>
        </w:tc>
      </w:tr>
      <w:tr w:rsidR="00944265" w:rsidRPr="00944265" w14:paraId="5E5B7456" w14:textId="77777777" w:rsidTr="000F1EF3">
        <w:trPr>
          <w:trHeight w:val="248"/>
        </w:trPr>
        <w:tc>
          <w:tcPr>
            <w:tcW w:w="4678" w:type="dxa"/>
            <w:hideMark/>
          </w:tcPr>
          <w:p w14:paraId="1D53C473" w14:textId="1BE6686B" w:rsidR="00944265" w:rsidRPr="00944265" w:rsidRDefault="00944265" w:rsidP="000C1316">
            <w:pPr>
              <w:contextualSpacing/>
              <w:jc w:val="both"/>
              <w:rPr>
                <w:rFonts w:ascii="Arial" w:hAnsi="Arial" w:cs="Arial"/>
              </w:rPr>
            </w:pPr>
            <w:bookmarkStart w:id="13" w:name="_Hlk152664152"/>
            <w:r w:rsidRPr="00944265">
              <w:rPr>
                <w:rFonts w:ascii="Arial" w:hAnsi="Arial" w:cs="Arial"/>
              </w:rPr>
              <w:t>Briquette NPK &amp; Urea (91-59-59) 230.4</w:t>
            </w:r>
            <w:bookmarkEnd w:id="13"/>
            <w:r w:rsidR="000F1EF3">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p>
        </w:tc>
        <w:tc>
          <w:tcPr>
            <w:tcW w:w="959" w:type="dxa"/>
            <w:vAlign w:val="bottom"/>
            <w:hideMark/>
          </w:tcPr>
          <w:p w14:paraId="31A444AC" w14:textId="77777777" w:rsidR="00944265" w:rsidRPr="00944265" w:rsidRDefault="00944265" w:rsidP="001A4B15">
            <w:pPr>
              <w:contextualSpacing/>
              <w:jc w:val="both"/>
              <w:rPr>
                <w:rFonts w:ascii="Arial" w:hAnsi="Arial" w:cs="Arial"/>
              </w:rPr>
            </w:pPr>
            <w:r w:rsidRPr="00944265">
              <w:rPr>
                <w:rFonts w:ascii="Arial" w:hAnsi="Arial" w:cs="Arial"/>
              </w:rPr>
              <w:t>1.80a</w:t>
            </w:r>
          </w:p>
        </w:tc>
        <w:tc>
          <w:tcPr>
            <w:tcW w:w="992" w:type="dxa"/>
            <w:vAlign w:val="center"/>
          </w:tcPr>
          <w:p w14:paraId="05EB4C9C" w14:textId="77777777" w:rsidR="00944265" w:rsidRPr="00944265" w:rsidRDefault="00944265" w:rsidP="001A4B15">
            <w:pPr>
              <w:contextualSpacing/>
              <w:jc w:val="both"/>
              <w:rPr>
                <w:rFonts w:ascii="Arial" w:hAnsi="Arial" w:cs="Arial"/>
              </w:rPr>
            </w:pPr>
            <w:r w:rsidRPr="00944265">
              <w:rPr>
                <w:rFonts w:ascii="Arial" w:hAnsi="Arial" w:cs="Arial"/>
                <w:color w:val="000000"/>
              </w:rPr>
              <w:t>1.57a</w:t>
            </w:r>
          </w:p>
        </w:tc>
        <w:tc>
          <w:tcPr>
            <w:tcW w:w="1134" w:type="dxa"/>
            <w:vAlign w:val="bottom"/>
            <w:hideMark/>
          </w:tcPr>
          <w:p w14:paraId="2EE6B325" w14:textId="77777777" w:rsidR="00944265" w:rsidRPr="00944265" w:rsidRDefault="00944265" w:rsidP="001A4B15">
            <w:pPr>
              <w:contextualSpacing/>
              <w:jc w:val="both"/>
              <w:rPr>
                <w:rFonts w:ascii="Arial" w:hAnsi="Arial" w:cs="Arial"/>
              </w:rPr>
            </w:pPr>
            <w:r w:rsidRPr="00944265">
              <w:rPr>
                <w:rFonts w:ascii="Arial" w:hAnsi="Arial" w:cs="Arial"/>
              </w:rPr>
              <w:t>2.00a</w:t>
            </w:r>
          </w:p>
        </w:tc>
        <w:tc>
          <w:tcPr>
            <w:tcW w:w="1134" w:type="dxa"/>
            <w:vAlign w:val="center"/>
          </w:tcPr>
          <w:p w14:paraId="63736E4D" w14:textId="77777777" w:rsidR="00944265" w:rsidRPr="00944265" w:rsidRDefault="00944265" w:rsidP="001A4B15">
            <w:pPr>
              <w:contextualSpacing/>
              <w:jc w:val="both"/>
              <w:rPr>
                <w:rFonts w:ascii="Arial" w:hAnsi="Arial" w:cs="Arial"/>
              </w:rPr>
            </w:pPr>
            <w:r w:rsidRPr="00944265">
              <w:rPr>
                <w:rFonts w:ascii="Arial" w:hAnsi="Arial" w:cs="Arial"/>
                <w:color w:val="000000"/>
              </w:rPr>
              <w:t>1.92ab</w:t>
            </w:r>
          </w:p>
        </w:tc>
      </w:tr>
      <w:tr w:rsidR="00944265" w:rsidRPr="00944265" w14:paraId="290C3E55" w14:textId="77777777" w:rsidTr="000F1EF3">
        <w:trPr>
          <w:trHeight w:val="248"/>
        </w:trPr>
        <w:tc>
          <w:tcPr>
            <w:tcW w:w="4678" w:type="dxa"/>
            <w:hideMark/>
          </w:tcPr>
          <w:p w14:paraId="758AE473" w14:textId="7600E3E2" w:rsidR="00944265" w:rsidRPr="00944265" w:rsidRDefault="00944265" w:rsidP="000C1316">
            <w:pPr>
              <w:contextualSpacing/>
              <w:jc w:val="both"/>
              <w:rPr>
                <w:rFonts w:ascii="Arial" w:hAnsi="Arial" w:cs="Arial"/>
              </w:rPr>
            </w:pPr>
            <w:r w:rsidRPr="00944265">
              <w:rPr>
                <w:rFonts w:ascii="Arial" w:hAnsi="Arial" w:cs="Arial"/>
              </w:rPr>
              <w:t>Briquette NPK &amp; Urea (76-29-29) 115.2</w:t>
            </w:r>
            <w:r w:rsidR="000F1EF3">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p>
        </w:tc>
        <w:tc>
          <w:tcPr>
            <w:tcW w:w="959" w:type="dxa"/>
            <w:vAlign w:val="bottom"/>
            <w:hideMark/>
          </w:tcPr>
          <w:p w14:paraId="6C6B0E7B" w14:textId="77777777" w:rsidR="00944265" w:rsidRPr="00944265" w:rsidRDefault="00944265" w:rsidP="001A4B15">
            <w:pPr>
              <w:contextualSpacing/>
              <w:jc w:val="both"/>
              <w:rPr>
                <w:rFonts w:ascii="Arial" w:hAnsi="Arial" w:cs="Arial"/>
              </w:rPr>
            </w:pPr>
            <w:r w:rsidRPr="00944265">
              <w:rPr>
                <w:rFonts w:ascii="Arial" w:hAnsi="Arial" w:cs="Arial"/>
              </w:rPr>
              <w:t>1.60bc</w:t>
            </w:r>
          </w:p>
        </w:tc>
        <w:tc>
          <w:tcPr>
            <w:tcW w:w="992" w:type="dxa"/>
            <w:vAlign w:val="center"/>
          </w:tcPr>
          <w:p w14:paraId="62176484" w14:textId="77777777" w:rsidR="00944265" w:rsidRPr="00944265" w:rsidRDefault="00944265" w:rsidP="001A4B15">
            <w:pPr>
              <w:contextualSpacing/>
              <w:jc w:val="both"/>
              <w:rPr>
                <w:rFonts w:ascii="Arial" w:hAnsi="Arial" w:cs="Arial"/>
              </w:rPr>
            </w:pPr>
            <w:r w:rsidRPr="00944265">
              <w:rPr>
                <w:rFonts w:ascii="Arial" w:hAnsi="Arial" w:cs="Arial"/>
                <w:color w:val="000000"/>
              </w:rPr>
              <w:t>1.47ab</w:t>
            </w:r>
          </w:p>
        </w:tc>
        <w:tc>
          <w:tcPr>
            <w:tcW w:w="1134" w:type="dxa"/>
            <w:vAlign w:val="bottom"/>
            <w:hideMark/>
          </w:tcPr>
          <w:p w14:paraId="36780215" w14:textId="77777777" w:rsidR="00944265" w:rsidRPr="00944265" w:rsidRDefault="00944265" w:rsidP="001A4B15">
            <w:pPr>
              <w:contextualSpacing/>
              <w:jc w:val="both"/>
              <w:rPr>
                <w:rFonts w:ascii="Arial" w:hAnsi="Arial" w:cs="Arial"/>
              </w:rPr>
            </w:pPr>
            <w:r w:rsidRPr="00944265">
              <w:rPr>
                <w:rFonts w:ascii="Arial" w:hAnsi="Arial" w:cs="Arial"/>
              </w:rPr>
              <w:t>1.80b</w:t>
            </w:r>
          </w:p>
        </w:tc>
        <w:tc>
          <w:tcPr>
            <w:tcW w:w="1134" w:type="dxa"/>
            <w:vAlign w:val="center"/>
          </w:tcPr>
          <w:p w14:paraId="34F4A936" w14:textId="77777777" w:rsidR="00944265" w:rsidRPr="00944265" w:rsidRDefault="00944265" w:rsidP="001A4B15">
            <w:pPr>
              <w:contextualSpacing/>
              <w:jc w:val="both"/>
              <w:rPr>
                <w:rFonts w:ascii="Arial" w:hAnsi="Arial" w:cs="Arial"/>
              </w:rPr>
            </w:pPr>
            <w:r w:rsidRPr="00944265">
              <w:rPr>
                <w:rFonts w:ascii="Arial" w:hAnsi="Arial" w:cs="Arial"/>
                <w:color w:val="000000"/>
              </w:rPr>
              <w:t>1.95ab</w:t>
            </w:r>
          </w:p>
        </w:tc>
      </w:tr>
      <w:tr w:rsidR="00944265" w:rsidRPr="00944265" w14:paraId="0AF5D7F1" w14:textId="77777777" w:rsidTr="000F1EF3">
        <w:trPr>
          <w:trHeight w:val="248"/>
        </w:trPr>
        <w:tc>
          <w:tcPr>
            <w:tcW w:w="4678" w:type="dxa"/>
            <w:hideMark/>
          </w:tcPr>
          <w:p w14:paraId="55C001D1" w14:textId="176B112D" w:rsidR="00944265" w:rsidRPr="00944265" w:rsidRDefault="00944265" w:rsidP="000C1316">
            <w:pPr>
              <w:contextualSpacing/>
              <w:jc w:val="both"/>
              <w:rPr>
                <w:rFonts w:ascii="Arial" w:hAnsi="Arial" w:cs="Arial"/>
              </w:rPr>
            </w:pPr>
            <w:r w:rsidRPr="00944265">
              <w:rPr>
                <w:rFonts w:ascii="Arial" w:hAnsi="Arial" w:cs="Arial"/>
              </w:rPr>
              <w:t>Briquette NPK &amp; Urea (31-29-29) 115.2</w:t>
            </w:r>
            <w:r w:rsidR="000F1EF3">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p>
        </w:tc>
        <w:tc>
          <w:tcPr>
            <w:tcW w:w="959" w:type="dxa"/>
            <w:vAlign w:val="bottom"/>
            <w:hideMark/>
          </w:tcPr>
          <w:p w14:paraId="42129EF2" w14:textId="77777777" w:rsidR="00944265" w:rsidRPr="00944265" w:rsidRDefault="00944265" w:rsidP="001A4B15">
            <w:pPr>
              <w:contextualSpacing/>
              <w:jc w:val="both"/>
              <w:rPr>
                <w:rFonts w:ascii="Arial" w:hAnsi="Arial" w:cs="Arial"/>
              </w:rPr>
            </w:pPr>
            <w:r w:rsidRPr="00944265">
              <w:rPr>
                <w:rFonts w:ascii="Arial" w:hAnsi="Arial" w:cs="Arial"/>
              </w:rPr>
              <w:t>1.70bc</w:t>
            </w:r>
          </w:p>
        </w:tc>
        <w:tc>
          <w:tcPr>
            <w:tcW w:w="992" w:type="dxa"/>
            <w:vAlign w:val="center"/>
          </w:tcPr>
          <w:p w14:paraId="5F687298" w14:textId="77777777" w:rsidR="00944265" w:rsidRPr="00944265" w:rsidRDefault="00944265" w:rsidP="001A4B15">
            <w:pPr>
              <w:contextualSpacing/>
              <w:jc w:val="both"/>
              <w:rPr>
                <w:rFonts w:ascii="Arial" w:hAnsi="Arial" w:cs="Arial"/>
              </w:rPr>
            </w:pPr>
            <w:r w:rsidRPr="00944265">
              <w:rPr>
                <w:rFonts w:ascii="Arial" w:hAnsi="Arial" w:cs="Arial"/>
                <w:color w:val="000000"/>
              </w:rPr>
              <w:t>1.62a</w:t>
            </w:r>
          </w:p>
        </w:tc>
        <w:tc>
          <w:tcPr>
            <w:tcW w:w="1134" w:type="dxa"/>
            <w:vAlign w:val="bottom"/>
            <w:hideMark/>
          </w:tcPr>
          <w:p w14:paraId="45011267" w14:textId="77777777" w:rsidR="00944265" w:rsidRPr="00944265" w:rsidRDefault="00944265" w:rsidP="001A4B15">
            <w:pPr>
              <w:contextualSpacing/>
              <w:jc w:val="both"/>
              <w:rPr>
                <w:rFonts w:ascii="Arial" w:hAnsi="Arial" w:cs="Arial"/>
              </w:rPr>
            </w:pPr>
            <w:r w:rsidRPr="00944265">
              <w:rPr>
                <w:rFonts w:ascii="Arial" w:hAnsi="Arial" w:cs="Arial"/>
              </w:rPr>
              <w:t>1.90ab</w:t>
            </w:r>
          </w:p>
        </w:tc>
        <w:tc>
          <w:tcPr>
            <w:tcW w:w="1134" w:type="dxa"/>
            <w:vAlign w:val="center"/>
          </w:tcPr>
          <w:p w14:paraId="552BC372" w14:textId="77777777" w:rsidR="00944265" w:rsidRPr="00944265" w:rsidRDefault="00944265" w:rsidP="001A4B15">
            <w:pPr>
              <w:contextualSpacing/>
              <w:jc w:val="both"/>
              <w:rPr>
                <w:rFonts w:ascii="Arial" w:hAnsi="Arial" w:cs="Arial"/>
              </w:rPr>
            </w:pPr>
            <w:r w:rsidRPr="00944265">
              <w:rPr>
                <w:rFonts w:ascii="Arial" w:hAnsi="Arial" w:cs="Arial"/>
                <w:color w:val="000000"/>
              </w:rPr>
              <w:t>2.05a</w:t>
            </w:r>
          </w:p>
        </w:tc>
      </w:tr>
      <w:tr w:rsidR="00944265" w:rsidRPr="00944265" w14:paraId="31CE590C" w14:textId="77777777" w:rsidTr="000F1EF3">
        <w:trPr>
          <w:trHeight w:val="248"/>
        </w:trPr>
        <w:tc>
          <w:tcPr>
            <w:tcW w:w="4678" w:type="dxa"/>
            <w:tcBorders>
              <w:bottom w:val="single" w:sz="4" w:space="0" w:color="auto"/>
            </w:tcBorders>
          </w:tcPr>
          <w:p w14:paraId="1469DEC4" w14:textId="77777777" w:rsidR="00944265" w:rsidRPr="00944265" w:rsidRDefault="00944265" w:rsidP="001A4B15">
            <w:pPr>
              <w:contextualSpacing/>
              <w:jc w:val="both"/>
              <w:rPr>
                <w:rFonts w:ascii="Arial" w:hAnsi="Arial" w:cs="Arial"/>
                <w:b/>
                <w:bCs/>
              </w:rPr>
            </w:pPr>
            <w:r w:rsidRPr="00944265">
              <w:rPr>
                <w:rFonts w:ascii="Arial" w:hAnsi="Arial" w:cs="Arial"/>
                <w:b/>
                <w:bCs/>
              </w:rPr>
              <w:t>Mean</w:t>
            </w:r>
          </w:p>
        </w:tc>
        <w:tc>
          <w:tcPr>
            <w:tcW w:w="959" w:type="dxa"/>
            <w:tcBorders>
              <w:bottom w:val="single" w:sz="4" w:space="0" w:color="auto"/>
            </w:tcBorders>
          </w:tcPr>
          <w:p w14:paraId="3C93D11B" w14:textId="77777777" w:rsidR="00944265" w:rsidRPr="00944265" w:rsidRDefault="00944265" w:rsidP="001A4B15">
            <w:pPr>
              <w:contextualSpacing/>
              <w:jc w:val="both"/>
              <w:rPr>
                <w:rFonts w:ascii="Arial" w:hAnsi="Arial" w:cs="Arial"/>
                <w:b/>
                <w:bCs/>
                <w:color w:val="000000"/>
              </w:rPr>
            </w:pPr>
            <w:r w:rsidRPr="00944265">
              <w:rPr>
                <w:rFonts w:ascii="Arial" w:hAnsi="Arial" w:cs="Arial"/>
                <w:b/>
                <w:bCs/>
                <w:color w:val="000000"/>
              </w:rPr>
              <w:t>1.64</w:t>
            </w:r>
          </w:p>
        </w:tc>
        <w:tc>
          <w:tcPr>
            <w:tcW w:w="992" w:type="dxa"/>
            <w:tcBorders>
              <w:bottom w:val="single" w:sz="4" w:space="0" w:color="auto"/>
            </w:tcBorders>
          </w:tcPr>
          <w:p w14:paraId="0DC9D2BA" w14:textId="77777777" w:rsidR="00944265" w:rsidRPr="00944265" w:rsidRDefault="00944265" w:rsidP="001A4B15">
            <w:pPr>
              <w:contextualSpacing/>
              <w:jc w:val="both"/>
              <w:rPr>
                <w:rFonts w:ascii="Arial" w:hAnsi="Arial" w:cs="Arial"/>
                <w:b/>
                <w:bCs/>
              </w:rPr>
            </w:pPr>
            <w:r w:rsidRPr="00944265">
              <w:rPr>
                <w:rFonts w:ascii="Arial" w:hAnsi="Arial" w:cs="Arial"/>
                <w:b/>
                <w:bCs/>
              </w:rPr>
              <w:t>1.51</w:t>
            </w:r>
          </w:p>
        </w:tc>
        <w:tc>
          <w:tcPr>
            <w:tcW w:w="1134" w:type="dxa"/>
            <w:tcBorders>
              <w:bottom w:val="single" w:sz="4" w:space="0" w:color="auto"/>
            </w:tcBorders>
          </w:tcPr>
          <w:p w14:paraId="12A5DBDA" w14:textId="77777777" w:rsidR="00944265" w:rsidRPr="00944265" w:rsidRDefault="00944265" w:rsidP="001A4B15">
            <w:pPr>
              <w:contextualSpacing/>
              <w:jc w:val="both"/>
              <w:rPr>
                <w:rFonts w:ascii="Arial" w:hAnsi="Arial" w:cs="Arial"/>
                <w:b/>
                <w:bCs/>
              </w:rPr>
            </w:pPr>
            <w:r w:rsidRPr="00944265">
              <w:rPr>
                <w:rFonts w:ascii="Arial" w:hAnsi="Arial" w:cs="Arial"/>
                <w:b/>
                <w:bCs/>
              </w:rPr>
              <w:t>1.87</w:t>
            </w:r>
          </w:p>
        </w:tc>
        <w:tc>
          <w:tcPr>
            <w:tcW w:w="1134" w:type="dxa"/>
            <w:tcBorders>
              <w:bottom w:val="single" w:sz="4" w:space="0" w:color="auto"/>
            </w:tcBorders>
          </w:tcPr>
          <w:p w14:paraId="7FEFE919" w14:textId="77777777" w:rsidR="00944265" w:rsidRPr="00944265" w:rsidRDefault="00944265" w:rsidP="001A4B15">
            <w:pPr>
              <w:contextualSpacing/>
              <w:jc w:val="both"/>
              <w:rPr>
                <w:rFonts w:ascii="Arial" w:hAnsi="Arial" w:cs="Arial"/>
                <w:b/>
                <w:bCs/>
              </w:rPr>
            </w:pPr>
            <w:r w:rsidRPr="00944265">
              <w:rPr>
                <w:rFonts w:ascii="Arial" w:hAnsi="Arial" w:cs="Arial"/>
                <w:b/>
                <w:bCs/>
              </w:rPr>
              <w:t>1.95</w:t>
            </w:r>
          </w:p>
        </w:tc>
      </w:tr>
      <w:tr w:rsidR="00944265" w:rsidRPr="00944265" w14:paraId="18E73928" w14:textId="77777777" w:rsidTr="000F1EF3">
        <w:trPr>
          <w:trHeight w:val="248"/>
        </w:trPr>
        <w:tc>
          <w:tcPr>
            <w:tcW w:w="4678" w:type="dxa"/>
            <w:tcBorders>
              <w:top w:val="single" w:sz="4" w:space="0" w:color="auto"/>
            </w:tcBorders>
            <w:hideMark/>
          </w:tcPr>
          <w:p w14:paraId="543AE9AA" w14:textId="77777777" w:rsidR="00944265" w:rsidRPr="00944265" w:rsidRDefault="00944265" w:rsidP="001A4B15">
            <w:pPr>
              <w:contextualSpacing/>
              <w:jc w:val="both"/>
              <w:rPr>
                <w:rFonts w:ascii="Arial" w:hAnsi="Arial" w:cs="Arial"/>
                <w:b/>
                <w:bCs/>
              </w:rPr>
            </w:pPr>
            <w:r w:rsidRPr="00944265">
              <w:rPr>
                <w:rFonts w:ascii="Arial" w:hAnsi="Arial" w:cs="Arial"/>
                <w:b/>
                <w:bCs/>
              </w:rPr>
              <w:t>HSD (P ≤ 0.05)</w:t>
            </w:r>
          </w:p>
        </w:tc>
        <w:tc>
          <w:tcPr>
            <w:tcW w:w="959" w:type="dxa"/>
            <w:tcBorders>
              <w:top w:val="single" w:sz="4" w:space="0" w:color="auto"/>
            </w:tcBorders>
            <w:hideMark/>
          </w:tcPr>
          <w:p w14:paraId="73230375" w14:textId="77777777" w:rsidR="00944265" w:rsidRPr="00944265" w:rsidRDefault="00944265" w:rsidP="001A4B15">
            <w:pPr>
              <w:contextualSpacing/>
              <w:jc w:val="both"/>
              <w:rPr>
                <w:rFonts w:ascii="Arial" w:hAnsi="Arial" w:cs="Arial"/>
                <w:b/>
                <w:bCs/>
              </w:rPr>
            </w:pPr>
            <w:r w:rsidRPr="00944265">
              <w:rPr>
                <w:rFonts w:ascii="Arial" w:hAnsi="Arial" w:cs="Arial"/>
                <w:b/>
                <w:bCs/>
              </w:rPr>
              <w:t>0.12</w:t>
            </w:r>
          </w:p>
        </w:tc>
        <w:tc>
          <w:tcPr>
            <w:tcW w:w="992" w:type="dxa"/>
            <w:tcBorders>
              <w:top w:val="single" w:sz="4" w:space="0" w:color="auto"/>
            </w:tcBorders>
            <w:vAlign w:val="bottom"/>
          </w:tcPr>
          <w:p w14:paraId="2148A481" w14:textId="77777777" w:rsidR="00944265" w:rsidRPr="00944265" w:rsidRDefault="00944265" w:rsidP="001A4B15">
            <w:pPr>
              <w:contextualSpacing/>
              <w:jc w:val="both"/>
              <w:rPr>
                <w:rFonts w:ascii="Arial" w:hAnsi="Arial" w:cs="Arial"/>
                <w:b/>
                <w:bCs/>
              </w:rPr>
            </w:pPr>
            <w:r w:rsidRPr="00944265">
              <w:rPr>
                <w:rFonts w:ascii="Arial" w:hAnsi="Arial" w:cs="Arial"/>
                <w:b/>
                <w:bCs/>
              </w:rPr>
              <w:t>0.23</w:t>
            </w:r>
          </w:p>
        </w:tc>
        <w:tc>
          <w:tcPr>
            <w:tcW w:w="1134" w:type="dxa"/>
            <w:tcBorders>
              <w:top w:val="single" w:sz="4" w:space="0" w:color="auto"/>
            </w:tcBorders>
            <w:hideMark/>
          </w:tcPr>
          <w:p w14:paraId="7ADBAC38" w14:textId="77777777" w:rsidR="00944265" w:rsidRPr="00944265" w:rsidRDefault="00944265" w:rsidP="001A4B15">
            <w:pPr>
              <w:contextualSpacing/>
              <w:rPr>
                <w:rFonts w:ascii="Arial" w:hAnsi="Arial" w:cs="Arial"/>
                <w:b/>
                <w:bCs/>
              </w:rPr>
            </w:pPr>
            <w:r w:rsidRPr="00944265">
              <w:rPr>
                <w:rFonts w:ascii="Arial" w:hAnsi="Arial" w:cs="Arial"/>
                <w:b/>
                <w:bCs/>
              </w:rPr>
              <w:t>0.14</w:t>
            </w:r>
          </w:p>
        </w:tc>
        <w:tc>
          <w:tcPr>
            <w:tcW w:w="1134" w:type="dxa"/>
            <w:tcBorders>
              <w:top w:val="single" w:sz="4" w:space="0" w:color="auto"/>
            </w:tcBorders>
            <w:vAlign w:val="bottom"/>
          </w:tcPr>
          <w:p w14:paraId="586AEBDC" w14:textId="77777777" w:rsidR="00944265" w:rsidRPr="00944265" w:rsidRDefault="00944265" w:rsidP="001A4B15">
            <w:pPr>
              <w:contextualSpacing/>
              <w:rPr>
                <w:rFonts w:ascii="Arial" w:hAnsi="Arial" w:cs="Arial"/>
                <w:b/>
                <w:bCs/>
              </w:rPr>
            </w:pPr>
            <w:r w:rsidRPr="00944265">
              <w:rPr>
                <w:rFonts w:ascii="Arial" w:hAnsi="Arial" w:cs="Arial"/>
                <w:b/>
                <w:bCs/>
              </w:rPr>
              <w:t>0.18</w:t>
            </w:r>
          </w:p>
        </w:tc>
      </w:tr>
      <w:tr w:rsidR="00944265" w:rsidRPr="00944265" w14:paraId="096C6902" w14:textId="77777777" w:rsidTr="000F1EF3">
        <w:trPr>
          <w:trHeight w:val="248"/>
        </w:trPr>
        <w:tc>
          <w:tcPr>
            <w:tcW w:w="4678" w:type="dxa"/>
            <w:tcBorders>
              <w:bottom w:val="single" w:sz="4" w:space="0" w:color="auto"/>
            </w:tcBorders>
            <w:hideMark/>
          </w:tcPr>
          <w:p w14:paraId="79886C06" w14:textId="77777777" w:rsidR="00944265" w:rsidRPr="00944265" w:rsidRDefault="00944265" w:rsidP="001A4B15">
            <w:pPr>
              <w:contextualSpacing/>
              <w:jc w:val="both"/>
              <w:rPr>
                <w:rFonts w:ascii="Arial" w:hAnsi="Arial" w:cs="Arial"/>
                <w:b/>
                <w:bCs/>
              </w:rPr>
            </w:pPr>
            <w:r w:rsidRPr="00944265">
              <w:rPr>
                <w:rFonts w:ascii="Arial" w:hAnsi="Arial" w:cs="Arial"/>
                <w:b/>
                <w:bCs/>
              </w:rPr>
              <w:t>CV (%)</w:t>
            </w:r>
          </w:p>
        </w:tc>
        <w:tc>
          <w:tcPr>
            <w:tcW w:w="959" w:type="dxa"/>
            <w:tcBorders>
              <w:bottom w:val="single" w:sz="4" w:space="0" w:color="auto"/>
            </w:tcBorders>
            <w:hideMark/>
          </w:tcPr>
          <w:p w14:paraId="01A520BD" w14:textId="77777777" w:rsidR="00944265" w:rsidRPr="00944265" w:rsidRDefault="00944265" w:rsidP="001A4B15">
            <w:pPr>
              <w:contextualSpacing/>
              <w:jc w:val="both"/>
              <w:rPr>
                <w:rFonts w:ascii="Arial" w:hAnsi="Arial" w:cs="Arial"/>
                <w:b/>
                <w:bCs/>
              </w:rPr>
            </w:pPr>
            <w:r w:rsidRPr="00944265">
              <w:rPr>
                <w:rFonts w:ascii="Arial" w:hAnsi="Arial" w:cs="Arial"/>
                <w:b/>
                <w:bCs/>
                <w:color w:val="000000"/>
              </w:rPr>
              <w:t>4.84</w:t>
            </w:r>
          </w:p>
        </w:tc>
        <w:tc>
          <w:tcPr>
            <w:tcW w:w="992" w:type="dxa"/>
            <w:tcBorders>
              <w:bottom w:val="single" w:sz="4" w:space="0" w:color="auto"/>
            </w:tcBorders>
            <w:vAlign w:val="bottom"/>
          </w:tcPr>
          <w:p w14:paraId="36E59E32" w14:textId="77777777" w:rsidR="00944265" w:rsidRPr="00944265" w:rsidRDefault="00944265" w:rsidP="001A4B15">
            <w:pPr>
              <w:contextualSpacing/>
              <w:jc w:val="both"/>
              <w:rPr>
                <w:rFonts w:ascii="Arial" w:hAnsi="Arial" w:cs="Arial"/>
                <w:b/>
                <w:bCs/>
              </w:rPr>
            </w:pPr>
            <w:r w:rsidRPr="00944265">
              <w:rPr>
                <w:rFonts w:ascii="Arial" w:hAnsi="Arial" w:cs="Arial"/>
                <w:b/>
                <w:bCs/>
              </w:rPr>
              <w:t>4.33</w:t>
            </w:r>
          </w:p>
        </w:tc>
        <w:tc>
          <w:tcPr>
            <w:tcW w:w="1134" w:type="dxa"/>
            <w:tcBorders>
              <w:bottom w:val="single" w:sz="4" w:space="0" w:color="auto"/>
            </w:tcBorders>
            <w:hideMark/>
          </w:tcPr>
          <w:p w14:paraId="21F2AC19" w14:textId="77777777" w:rsidR="00944265" w:rsidRPr="00944265" w:rsidRDefault="00944265" w:rsidP="001A4B15">
            <w:pPr>
              <w:contextualSpacing/>
              <w:rPr>
                <w:rFonts w:ascii="Arial" w:hAnsi="Arial" w:cs="Arial"/>
                <w:b/>
                <w:bCs/>
              </w:rPr>
            </w:pPr>
            <w:r w:rsidRPr="00944265">
              <w:rPr>
                <w:rFonts w:ascii="Arial" w:hAnsi="Arial" w:cs="Arial"/>
                <w:b/>
                <w:bCs/>
              </w:rPr>
              <w:t>5.14</w:t>
            </w:r>
          </w:p>
        </w:tc>
        <w:tc>
          <w:tcPr>
            <w:tcW w:w="1134" w:type="dxa"/>
            <w:tcBorders>
              <w:bottom w:val="single" w:sz="4" w:space="0" w:color="auto"/>
            </w:tcBorders>
            <w:vAlign w:val="bottom"/>
          </w:tcPr>
          <w:p w14:paraId="75C10868" w14:textId="77777777" w:rsidR="00944265" w:rsidRPr="00944265" w:rsidRDefault="00944265" w:rsidP="001A4B15">
            <w:pPr>
              <w:contextualSpacing/>
              <w:rPr>
                <w:rFonts w:ascii="Arial" w:hAnsi="Arial" w:cs="Arial"/>
                <w:b/>
                <w:bCs/>
              </w:rPr>
            </w:pPr>
            <w:r w:rsidRPr="00944265">
              <w:rPr>
                <w:rFonts w:ascii="Arial" w:hAnsi="Arial" w:cs="Arial"/>
                <w:b/>
                <w:bCs/>
              </w:rPr>
              <w:t>6.32</w:t>
            </w:r>
          </w:p>
        </w:tc>
      </w:tr>
      <w:tr w:rsidR="00944265" w:rsidRPr="00944265" w14:paraId="19784E52" w14:textId="77777777" w:rsidTr="000F1EF3">
        <w:trPr>
          <w:trHeight w:val="234"/>
        </w:trPr>
        <w:tc>
          <w:tcPr>
            <w:tcW w:w="4678" w:type="dxa"/>
            <w:tcBorders>
              <w:top w:val="single" w:sz="4" w:space="0" w:color="auto"/>
            </w:tcBorders>
          </w:tcPr>
          <w:p w14:paraId="1F052282" w14:textId="77777777" w:rsidR="00944265" w:rsidRPr="00944265" w:rsidRDefault="00944265" w:rsidP="001A4B15">
            <w:pPr>
              <w:contextualSpacing/>
              <w:jc w:val="center"/>
              <w:rPr>
                <w:rFonts w:ascii="Arial" w:hAnsi="Arial" w:cs="Arial"/>
              </w:rPr>
            </w:pPr>
            <w:r w:rsidRPr="00944265">
              <w:rPr>
                <w:rFonts w:ascii="Arial" w:hAnsi="Arial" w:cs="Arial"/>
              </w:rPr>
              <w:t xml:space="preserve"> Location</w:t>
            </w:r>
          </w:p>
        </w:tc>
        <w:tc>
          <w:tcPr>
            <w:tcW w:w="1951" w:type="dxa"/>
            <w:gridSpan w:val="2"/>
            <w:tcBorders>
              <w:top w:val="single" w:sz="4" w:space="0" w:color="auto"/>
            </w:tcBorders>
          </w:tcPr>
          <w:p w14:paraId="23099238" w14:textId="77777777" w:rsidR="00944265" w:rsidRPr="00944265" w:rsidRDefault="00944265" w:rsidP="001A4B15">
            <w:pPr>
              <w:contextualSpacing/>
              <w:rPr>
                <w:rFonts w:ascii="Arial" w:hAnsi="Arial" w:cs="Arial"/>
                <w:color w:val="000000"/>
              </w:rPr>
            </w:pPr>
            <w:r w:rsidRPr="00944265">
              <w:rPr>
                <w:rFonts w:ascii="Arial" w:hAnsi="Arial" w:cs="Arial"/>
                <w:color w:val="000000"/>
              </w:rPr>
              <w:t xml:space="preserve">         0.05*</w:t>
            </w:r>
          </w:p>
        </w:tc>
        <w:tc>
          <w:tcPr>
            <w:tcW w:w="2268" w:type="dxa"/>
            <w:gridSpan w:val="2"/>
            <w:tcBorders>
              <w:top w:val="single" w:sz="4" w:space="0" w:color="auto"/>
            </w:tcBorders>
          </w:tcPr>
          <w:p w14:paraId="413B42A3" w14:textId="77777777" w:rsidR="00944265" w:rsidRPr="00944265" w:rsidRDefault="00944265" w:rsidP="001A4B15">
            <w:pPr>
              <w:contextualSpacing/>
              <w:rPr>
                <w:rFonts w:ascii="Arial" w:hAnsi="Arial" w:cs="Arial"/>
                <w:color w:val="000000"/>
              </w:rPr>
            </w:pPr>
            <w:r w:rsidRPr="00944265">
              <w:rPr>
                <w:rFonts w:ascii="Arial" w:hAnsi="Arial" w:cs="Arial"/>
              </w:rPr>
              <w:t xml:space="preserve">         0.06*</w:t>
            </w:r>
          </w:p>
        </w:tc>
      </w:tr>
      <w:tr w:rsidR="00944265" w:rsidRPr="00944265" w14:paraId="5BA2F570" w14:textId="77777777" w:rsidTr="000F1EF3">
        <w:trPr>
          <w:trHeight w:val="248"/>
        </w:trPr>
        <w:tc>
          <w:tcPr>
            <w:tcW w:w="4678" w:type="dxa"/>
          </w:tcPr>
          <w:p w14:paraId="376150DE" w14:textId="77777777" w:rsidR="00944265" w:rsidRPr="00944265" w:rsidRDefault="00944265" w:rsidP="001A4B15">
            <w:pPr>
              <w:contextualSpacing/>
              <w:jc w:val="center"/>
              <w:rPr>
                <w:rFonts w:ascii="Arial" w:hAnsi="Arial" w:cs="Arial"/>
              </w:rPr>
            </w:pPr>
            <w:r w:rsidRPr="00944265">
              <w:rPr>
                <w:rFonts w:ascii="Arial" w:hAnsi="Arial" w:cs="Arial"/>
              </w:rPr>
              <w:t xml:space="preserve">                    Treatment x Location</w:t>
            </w:r>
          </w:p>
        </w:tc>
        <w:tc>
          <w:tcPr>
            <w:tcW w:w="1951" w:type="dxa"/>
            <w:gridSpan w:val="2"/>
          </w:tcPr>
          <w:p w14:paraId="2B682D84" w14:textId="77777777" w:rsidR="00944265" w:rsidRPr="00944265" w:rsidRDefault="00944265" w:rsidP="001A4B15">
            <w:pPr>
              <w:contextualSpacing/>
              <w:rPr>
                <w:rFonts w:ascii="Arial" w:hAnsi="Arial" w:cs="Arial"/>
                <w:color w:val="000000"/>
              </w:rPr>
            </w:pPr>
            <w:r w:rsidRPr="00944265">
              <w:rPr>
                <w:rFonts w:ascii="Arial" w:hAnsi="Arial" w:cs="Arial"/>
                <w:color w:val="000000"/>
              </w:rPr>
              <w:t xml:space="preserve">         0.17*</w:t>
            </w:r>
          </w:p>
        </w:tc>
        <w:tc>
          <w:tcPr>
            <w:tcW w:w="2268" w:type="dxa"/>
            <w:gridSpan w:val="2"/>
          </w:tcPr>
          <w:p w14:paraId="56A6E4C3" w14:textId="77777777" w:rsidR="00944265" w:rsidRPr="00944265" w:rsidRDefault="00944265" w:rsidP="001A4B15">
            <w:pPr>
              <w:contextualSpacing/>
              <w:rPr>
                <w:rFonts w:ascii="Arial" w:hAnsi="Arial" w:cs="Arial"/>
                <w:color w:val="000000"/>
              </w:rPr>
            </w:pPr>
            <w:r w:rsidRPr="00944265">
              <w:rPr>
                <w:rFonts w:ascii="Arial" w:hAnsi="Arial" w:cs="Arial"/>
              </w:rPr>
              <w:t xml:space="preserve">         0.15*</w:t>
            </w:r>
          </w:p>
        </w:tc>
      </w:tr>
    </w:tbl>
    <w:p w14:paraId="277EA62C" w14:textId="341292BE" w:rsidR="009B4244" w:rsidRPr="00745614" w:rsidRDefault="009B4244" w:rsidP="009B4244">
      <w:pPr>
        <w:spacing w:after="240"/>
        <w:jc w:val="both"/>
        <w:rPr>
          <w:sz w:val="18"/>
          <w:szCs w:val="18"/>
          <w:u w:val="single"/>
        </w:rPr>
      </w:pPr>
    </w:p>
    <w:bookmarkEnd w:id="8"/>
    <w:p w14:paraId="0C5BF72A" w14:textId="77777777" w:rsidR="00B73739" w:rsidRPr="00B73739" w:rsidRDefault="00B73739" w:rsidP="00B73739">
      <w:pPr>
        <w:spacing w:line="360" w:lineRule="auto"/>
        <w:jc w:val="both"/>
        <w:rPr>
          <w:rFonts w:ascii="Arial" w:hAnsi="Arial" w:cs="Arial"/>
          <w:b/>
          <w:bCs/>
          <w:sz w:val="18"/>
          <w:szCs w:val="18"/>
        </w:rPr>
      </w:pPr>
      <w:r w:rsidRPr="00B73739">
        <w:rPr>
          <w:rFonts w:ascii="Arial" w:hAnsi="Arial" w:cs="Arial"/>
          <w:b/>
          <w:bCs/>
          <w:sz w:val="22"/>
          <w:szCs w:val="22"/>
        </w:rPr>
        <w:t xml:space="preserve">3.6 Yield and Yield Components </w:t>
      </w:r>
    </w:p>
    <w:p w14:paraId="3F25B9E2" w14:textId="7CCCED6A" w:rsidR="00B73739" w:rsidRPr="00B73739" w:rsidRDefault="00B73739" w:rsidP="00B73739">
      <w:pPr>
        <w:spacing w:line="360" w:lineRule="auto"/>
        <w:jc w:val="both"/>
        <w:rPr>
          <w:rFonts w:ascii="Arial" w:hAnsi="Arial" w:cs="Arial"/>
          <w:u w:val="single"/>
        </w:rPr>
      </w:pPr>
      <w:r w:rsidRPr="00B73739">
        <w:rPr>
          <w:rFonts w:ascii="Arial" w:hAnsi="Arial" w:cs="Arial"/>
          <w:u w:val="single"/>
        </w:rPr>
        <w:t xml:space="preserve">3.6.1 </w:t>
      </w:r>
      <w:r w:rsidR="00944265">
        <w:rPr>
          <w:rFonts w:ascii="Arial" w:hAnsi="Arial" w:cs="Arial"/>
          <w:u w:val="single"/>
        </w:rPr>
        <w:t>Cob weight per plot</w:t>
      </w:r>
    </w:p>
    <w:p w14:paraId="2C163FB1" w14:textId="31C2C0A3" w:rsidR="00944265" w:rsidRDefault="00944265" w:rsidP="00B73739">
      <w:pPr>
        <w:jc w:val="both"/>
        <w:rPr>
          <w:rFonts w:ascii="Arial" w:hAnsi="Arial" w:cs="Arial"/>
        </w:rPr>
      </w:pPr>
      <w:r w:rsidRPr="00944265">
        <w:rPr>
          <w:rFonts w:ascii="Arial" w:hAnsi="Arial" w:cs="Arial"/>
        </w:rPr>
        <w:t xml:space="preserve">There were significant (P&lt;0.05) differences among treatments in cob weight per plot at Amantin and Nsapor (Table 9). At Amantin, plants grown on Briquette NPK &amp; Urea (121-58.7-59) 230.4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 xml:space="preserve">and Briquette NPK &amp; Urea (91-59-59) 230.4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 xml:space="preserve">recorded the highest cob weight per plot, which was not significantly different from each other but differed significantly from the control and Briquette NPK &amp; Urea (31-29-29) 115.2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 xml:space="preserve">. At Nsapor, plants grown on Briquette NPK &amp; Urea (76-29-29) 115.2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recorded the greatest cob weight per plot and were significantly different from the control, which recorded the least. Plants grown on the unamended plot recorded the least cob weight per plot across both locations. Significantly heavier cob weight per plot was recorded at Nsapor as compared to Amantin. There was a significant difference between the treatment x location interactions in cob weight per plot.</w:t>
      </w:r>
    </w:p>
    <w:p w14:paraId="59A30598" w14:textId="77777777" w:rsidR="00944265" w:rsidRDefault="00944265" w:rsidP="00B73739">
      <w:pPr>
        <w:jc w:val="both"/>
        <w:rPr>
          <w:rFonts w:ascii="Arial" w:hAnsi="Arial" w:cs="Arial"/>
        </w:rPr>
      </w:pPr>
    </w:p>
    <w:p w14:paraId="0D5F4FF0"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3.6.2 100- seed weight</w:t>
      </w:r>
    </w:p>
    <w:p w14:paraId="2CA4967C" w14:textId="59F9B21A" w:rsidR="00944265" w:rsidRDefault="00944265" w:rsidP="00B73739">
      <w:pPr>
        <w:jc w:val="both"/>
        <w:rPr>
          <w:rFonts w:ascii="Arial" w:hAnsi="Arial" w:cs="Arial"/>
        </w:rPr>
      </w:pPr>
      <w:r w:rsidRPr="00944265">
        <w:rPr>
          <w:rFonts w:ascii="Arial" w:hAnsi="Arial" w:cs="Arial"/>
        </w:rPr>
        <w:t xml:space="preserve">Table 9 shows the results of 100-seed weight as affected by granular and briquette NPK fertilizer. At Amantin and Nsapor, Briquette NPK &amp; Urea (121-58.7-59) 230.4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recorded the greatest 100-seed weight of 36.80 g and 36.00 g, respectively, and was significantly different from the control, Briquette NPK &amp; Urea (76-29-29)115.2</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 and Briquette NPK &amp; Urea (31-29-29)115.</w:t>
      </w:r>
      <w:r w:rsidR="000C1316">
        <w:rPr>
          <w:rFonts w:ascii="Arial" w:hAnsi="Arial" w:cs="Arial"/>
        </w:rPr>
        <w:t xml:space="preserve">2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Pr="00944265">
        <w:rPr>
          <w:rFonts w:ascii="Arial" w:hAnsi="Arial" w:cs="Arial"/>
        </w:rPr>
        <w:t>. Location, as well as treatment x location interaction, had no significant effect on 100-seed weight.</w:t>
      </w:r>
    </w:p>
    <w:p w14:paraId="03B7655A" w14:textId="77777777" w:rsidR="00944265" w:rsidRDefault="00944265" w:rsidP="00B73739">
      <w:pPr>
        <w:jc w:val="both"/>
        <w:rPr>
          <w:rFonts w:ascii="Arial" w:hAnsi="Arial" w:cs="Arial"/>
        </w:rPr>
      </w:pPr>
    </w:p>
    <w:p w14:paraId="4F235AFA" w14:textId="77777777" w:rsidR="00FE3B00" w:rsidRDefault="00FE3B00" w:rsidP="00944265">
      <w:pPr>
        <w:spacing w:line="276" w:lineRule="auto"/>
        <w:contextualSpacing/>
        <w:jc w:val="both"/>
        <w:rPr>
          <w:rFonts w:ascii="Arial" w:hAnsi="Arial" w:cs="Arial"/>
          <w:b/>
          <w:bCs/>
        </w:rPr>
      </w:pPr>
      <w:bookmarkStart w:id="14" w:name="_Toc152762946"/>
      <w:bookmarkStart w:id="15" w:name="_Hlk195899228"/>
    </w:p>
    <w:p w14:paraId="57BA502C" w14:textId="77777777" w:rsidR="000B6F78" w:rsidRDefault="000B6F78" w:rsidP="00944265">
      <w:pPr>
        <w:spacing w:line="276" w:lineRule="auto"/>
        <w:contextualSpacing/>
        <w:jc w:val="both"/>
        <w:rPr>
          <w:rFonts w:ascii="Arial" w:hAnsi="Arial" w:cs="Arial"/>
          <w:b/>
          <w:bCs/>
        </w:rPr>
      </w:pPr>
    </w:p>
    <w:p w14:paraId="74FECEEE" w14:textId="77777777" w:rsidR="000B6F78" w:rsidRDefault="000B6F78" w:rsidP="00944265">
      <w:pPr>
        <w:spacing w:line="276" w:lineRule="auto"/>
        <w:contextualSpacing/>
        <w:jc w:val="both"/>
        <w:rPr>
          <w:rFonts w:ascii="Arial" w:hAnsi="Arial" w:cs="Arial"/>
          <w:b/>
          <w:bCs/>
        </w:rPr>
      </w:pPr>
    </w:p>
    <w:p w14:paraId="3EA7577A" w14:textId="77777777" w:rsidR="000B6F78" w:rsidRDefault="000B6F78" w:rsidP="00944265">
      <w:pPr>
        <w:spacing w:line="276" w:lineRule="auto"/>
        <w:contextualSpacing/>
        <w:jc w:val="both"/>
        <w:rPr>
          <w:rFonts w:ascii="Arial" w:hAnsi="Arial" w:cs="Arial"/>
          <w:b/>
          <w:bCs/>
        </w:rPr>
      </w:pPr>
    </w:p>
    <w:p w14:paraId="3C0C488C" w14:textId="77777777" w:rsidR="000B6F78" w:rsidRDefault="000B6F78" w:rsidP="00944265">
      <w:pPr>
        <w:spacing w:line="276" w:lineRule="auto"/>
        <w:contextualSpacing/>
        <w:jc w:val="both"/>
        <w:rPr>
          <w:rFonts w:ascii="Arial" w:hAnsi="Arial" w:cs="Arial"/>
          <w:b/>
          <w:bCs/>
        </w:rPr>
      </w:pPr>
    </w:p>
    <w:p w14:paraId="69F2B97E" w14:textId="77777777" w:rsidR="000B6F78" w:rsidRDefault="000B6F78" w:rsidP="00944265">
      <w:pPr>
        <w:spacing w:line="276" w:lineRule="auto"/>
        <w:contextualSpacing/>
        <w:jc w:val="both"/>
        <w:rPr>
          <w:rFonts w:ascii="Arial" w:hAnsi="Arial" w:cs="Arial"/>
          <w:b/>
          <w:bCs/>
        </w:rPr>
      </w:pPr>
    </w:p>
    <w:p w14:paraId="1644B550" w14:textId="77777777" w:rsidR="000B6F78" w:rsidRDefault="000B6F78" w:rsidP="00944265">
      <w:pPr>
        <w:spacing w:line="276" w:lineRule="auto"/>
        <w:contextualSpacing/>
        <w:jc w:val="both"/>
        <w:rPr>
          <w:rFonts w:ascii="Arial" w:hAnsi="Arial" w:cs="Arial"/>
          <w:b/>
          <w:bCs/>
        </w:rPr>
      </w:pPr>
    </w:p>
    <w:p w14:paraId="5D149514" w14:textId="77777777" w:rsidR="000B6F78" w:rsidRDefault="000B6F78" w:rsidP="00944265">
      <w:pPr>
        <w:spacing w:line="276" w:lineRule="auto"/>
        <w:contextualSpacing/>
        <w:jc w:val="both"/>
        <w:rPr>
          <w:rFonts w:ascii="Arial" w:hAnsi="Arial" w:cs="Arial"/>
          <w:b/>
          <w:bCs/>
        </w:rPr>
      </w:pPr>
    </w:p>
    <w:p w14:paraId="5319EB8F" w14:textId="79731617" w:rsidR="00944265" w:rsidRPr="00944265" w:rsidRDefault="00944265" w:rsidP="00944265">
      <w:pPr>
        <w:spacing w:line="276" w:lineRule="auto"/>
        <w:contextualSpacing/>
        <w:jc w:val="both"/>
        <w:rPr>
          <w:rFonts w:ascii="Arial" w:hAnsi="Arial" w:cs="Arial"/>
          <w:b/>
          <w:bCs/>
        </w:rPr>
      </w:pPr>
      <w:r w:rsidRPr="00944265">
        <w:rPr>
          <w:rFonts w:ascii="Arial" w:hAnsi="Arial" w:cs="Arial"/>
          <w:b/>
          <w:bCs/>
        </w:rPr>
        <w:lastRenderedPageBreak/>
        <w:t>Table 9: Effect of NPK granules and briquettes fertilizer on cob weight per plot and 100-seed weight at Amantin and Nsapor</w:t>
      </w:r>
      <w:bookmarkEnd w:id="14"/>
    </w:p>
    <w:tbl>
      <w:tblPr>
        <w:tblStyle w:val="TableGrid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276"/>
        <w:gridCol w:w="1417"/>
        <w:gridCol w:w="992"/>
        <w:gridCol w:w="1276"/>
      </w:tblGrid>
      <w:tr w:rsidR="00944265" w:rsidRPr="00944265" w14:paraId="23AF76EB" w14:textId="77777777" w:rsidTr="001A4B15">
        <w:trPr>
          <w:trHeight w:val="507"/>
        </w:trPr>
        <w:tc>
          <w:tcPr>
            <w:tcW w:w="4820" w:type="dxa"/>
            <w:tcBorders>
              <w:top w:val="single" w:sz="4" w:space="0" w:color="auto"/>
              <w:left w:val="nil"/>
              <w:bottom w:val="nil"/>
              <w:right w:val="nil"/>
            </w:tcBorders>
            <w:hideMark/>
          </w:tcPr>
          <w:bookmarkEnd w:id="15"/>
          <w:p w14:paraId="246EA930"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Treatment</w:t>
            </w:r>
          </w:p>
        </w:tc>
        <w:tc>
          <w:tcPr>
            <w:tcW w:w="2693" w:type="dxa"/>
            <w:gridSpan w:val="2"/>
            <w:tcBorders>
              <w:top w:val="single" w:sz="4" w:space="0" w:color="auto"/>
              <w:left w:val="nil"/>
              <w:bottom w:val="nil"/>
              <w:right w:val="nil"/>
            </w:tcBorders>
            <w:hideMark/>
          </w:tcPr>
          <w:p w14:paraId="445D60EB" w14:textId="77777777" w:rsidR="00944265" w:rsidRPr="00944265" w:rsidRDefault="00944265" w:rsidP="001A4B15">
            <w:pPr>
              <w:contextualSpacing/>
              <w:rPr>
                <w:rFonts w:ascii="Arial" w:eastAsia="Calibri" w:hAnsi="Arial" w:cs="Arial"/>
                <w:sz w:val="20"/>
                <w:szCs w:val="20"/>
              </w:rPr>
            </w:pPr>
            <w:r w:rsidRPr="00944265">
              <w:rPr>
                <w:rFonts w:ascii="Arial" w:eastAsia="Calibri" w:hAnsi="Arial" w:cs="Arial"/>
                <w:sz w:val="20"/>
                <w:szCs w:val="20"/>
              </w:rPr>
              <w:t xml:space="preserve">    Cob weight per plot</w:t>
            </w:r>
          </w:p>
          <w:p w14:paraId="4D5BDFFA" w14:textId="108F33A1"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 xml:space="preserve">             (</w:t>
            </w:r>
            <w:r w:rsidR="000C1316" w:rsidRPr="007C4D89">
              <w:rPr>
                <w:rFonts w:ascii="Arial" w:hAnsi="Arial" w:cs="Arial"/>
                <w:sz w:val="20"/>
                <w:szCs w:val="20"/>
                <w:highlight w:val="yellow"/>
              </w:rPr>
              <w:t>kg ha</w:t>
            </w:r>
            <w:r w:rsidR="000C1316" w:rsidRPr="007C4D89">
              <w:rPr>
                <w:rFonts w:ascii="Arial" w:hAnsi="Arial" w:cs="Arial"/>
                <w:sz w:val="20"/>
                <w:szCs w:val="20"/>
                <w:highlight w:val="yellow"/>
                <w:vertAlign w:val="superscript"/>
              </w:rPr>
              <w:t>-1</w:t>
            </w:r>
            <w:r w:rsidRPr="000F1EF3">
              <w:rPr>
                <w:rFonts w:ascii="Arial" w:eastAsia="Calibri" w:hAnsi="Arial" w:cs="Arial"/>
                <w:sz w:val="20"/>
                <w:szCs w:val="20"/>
              </w:rPr>
              <w:t>)</w:t>
            </w:r>
          </w:p>
        </w:tc>
        <w:tc>
          <w:tcPr>
            <w:tcW w:w="2268" w:type="dxa"/>
            <w:gridSpan w:val="2"/>
            <w:tcBorders>
              <w:top w:val="single" w:sz="4" w:space="0" w:color="auto"/>
              <w:left w:val="nil"/>
              <w:bottom w:val="nil"/>
              <w:right w:val="nil"/>
            </w:tcBorders>
            <w:hideMark/>
          </w:tcPr>
          <w:p w14:paraId="58AC5408" w14:textId="77777777" w:rsidR="00944265" w:rsidRPr="00944265" w:rsidRDefault="00944265" w:rsidP="001A4B15">
            <w:pPr>
              <w:contextualSpacing/>
              <w:rPr>
                <w:rFonts w:ascii="Arial" w:eastAsia="Calibri" w:hAnsi="Arial" w:cs="Arial"/>
                <w:sz w:val="20"/>
                <w:szCs w:val="20"/>
              </w:rPr>
            </w:pPr>
            <w:r w:rsidRPr="00944265">
              <w:rPr>
                <w:rFonts w:ascii="Arial" w:eastAsia="Calibri" w:hAnsi="Arial" w:cs="Arial"/>
                <w:sz w:val="20"/>
                <w:szCs w:val="20"/>
                <w:lang w:val="en-GB"/>
              </w:rPr>
              <w:t xml:space="preserve">    </w:t>
            </w:r>
            <w:r w:rsidRPr="00944265">
              <w:rPr>
                <w:rFonts w:ascii="Arial" w:eastAsia="Calibri" w:hAnsi="Arial" w:cs="Arial"/>
                <w:sz w:val="20"/>
                <w:szCs w:val="20"/>
              </w:rPr>
              <w:t xml:space="preserve">100-seed weight </w:t>
            </w:r>
          </w:p>
          <w:p w14:paraId="6620AB6B" w14:textId="77777777" w:rsidR="00944265" w:rsidRPr="00944265" w:rsidRDefault="00944265" w:rsidP="001A4B15">
            <w:pPr>
              <w:tabs>
                <w:tab w:val="center" w:pos="988"/>
              </w:tabs>
              <w:contextualSpacing/>
              <w:rPr>
                <w:rFonts w:ascii="Arial" w:eastAsia="Calibri" w:hAnsi="Arial" w:cs="Arial"/>
                <w:sz w:val="20"/>
                <w:szCs w:val="20"/>
                <w:lang w:val="en-GB"/>
              </w:rPr>
            </w:pPr>
            <w:r w:rsidRPr="00944265">
              <w:rPr>
                <w:rFonts w:ascii="Arial" w:eastAsia="Calibri" w:hAnsi="Arial" w:cs="Arial"/>
                <w:sz w:val="20"/>
                <w:szCs w:val="20"/>
              </w:rPr>
              <w:t xml:space="preserve">              (g)</w:t>
            </w:r>
          </w:p>
          <w:p w14:paraId="0E5D1306" w14:textId="77777777" w:rsidR="00944265" w:rsidRPr="00944265" w:rsidRDefault="00944265" w:rsidP="001A4B15">
            <w:pPr>
              <w:contextualSpacing/>
              <w:jc w:val="center"/>
              <w:rPr>
                <w:rFonts w:ascii="Arial" w:eastAsia="Calibri" w:hAnsi="Arial" w:cs="Arial"/>
                <w:sz w:val="20"/>
                <w:szCs w:val="20"/>
                <w:lang w:val="en-GB"/>
              </w:rPr>
            </w:pPr>
          </w:p>
        </w:tc>
      </w:tr>
      <w:tr w:rsidR="00944265" w:rsidRPr="00944265" w14:paraId="773D8492" w14:textId="77777777" w:rsidTr="001A4B15">
        <w:trPr>
          <w:trHeight w:val="276"/>
        </w:trPr>
        <w:tc>
          <w:tcPr>
            <w:tcW w:w="4820" w:type="dxa"/>
            <w:tcBorders>
              <w:top w:val="nil"/>
              <w:left w:val="nil"/>
              <w:bottom w:val="single" w:sz="4" w:space="0" w:color="auto"/>
              <w:right w:val="nil"/>
            </w:tcBorders>
          </w:tcPr>
          <w:p w14:paraId="1D71CF85" w14:textId="77777777" w:rsidR="00944265" w:rsidRPr="00944265" w:rsidRDefault="00944265" w:rsidP="001A4B15">
            <w:pPr>
              <w:contextualSpacing/>
              <w:jc w:val="both"/>
              <w:rPr>
                <w:rFonts w:ascii="Arial" w:eastAsia="Calibri" w:hAnsi="Arial" w:cs="Arial"/>
                <w:sz w:val="20"/>
                <w:szCs w:val="20"/>
                <w:lang w:val="en-GB"/>
              </w:rPr>
            </w:pPr>
          </w:p>
        </w:tc>
        <w:tc>
          <w:tcPr>
            <w:tcW w:w="1276" w:type="dxa"/>
            <w:tcBorders>
              <w:top w:val="nil"/>
              <w:left w:val="nil"/>
              <w:bottom w:val="single" w:sz="4" w:space="0" w:color="auto"/>
              <w:right w:val="nil"/>
            </w:tcBorders>
            <w:hideMark/>
          </w:tcPr>
          <w:p w14:paraId="3232D2FF"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417" w:type="dxa"/>
            <w:tcBorders>
              <w:top w:val="nil"/>
              <w:left w:val="nil"/>
              <w:bottom w:val="single" w:sz="4" w:space="0" w:color="auto"/>
              <w:right w:val="nil"/>
            </w:tcBorders>
            <w:hideMark/>
          </w:tcPr>
          <w:p w14:paraId="62D5448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c>
          <w:tcPr>
            <w:tcW w:w="992" w:type="dxa"/>
            <w:tcBorders>
              <w:top w:val="nil"/>
              <w:left w:val="nil"/>
              <w:bottom w:val="single" w:sz="4" w:space="0" w:color="auto"/>
              <w:right w:val="nil"/>
            </w:tcBorders>
            <w:hideMark/>
          </w:tcPr>
          <w:p w14:paraId="2AB291E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276" w:type="dxa"/>
            <w:tcBorders>
              <w:top w:val="nil"/>
              <w:left w:val="nil"/>
              <w:bottom w:val="single" w:sz="4" w:space="0" w:color="auto"/>
              <w:right w:val="nil"/>
            </w:tcBorders>
            <w:hideMark/>
          </w:tcPr>
          <w:p w14:paraId="1F9376B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r>
      <w:tr w:rsidR="00944265" w:rsidRPr="000F1EF3" w14:paraId="097299B1" w14:textId="77777777" w:rsidTr="001A4B15">
        <w:trPr>
          <w:trHeight w:val="155"/>
        </w:trPr>
        <w:tc>
          <w:tcPr>
            <w:tcW w:w="4820" w:type="dxa"/>
            <w:tcBorders>
              <w:top w:val="single" w:sz="4" w:space="0" w:color="auto"/>
              <w:left w:val="nil"/>
              <w:bottom w:val="nil"/>
              <w:right w:val="nil"/>
            </w:tcBorders>
            <w:hideMark/>
          </w:tcPr>
          <w:p w14:paraId="0E13C330" w14:textId="77777777" w:rsidR="00944265" w:rsidRPr="000F1EF3" w:rsidRDefault="00944265" w:rsidP="001A4B15">
            <w:pPr>
              <w:contextualSpacing/>
              <w:jc w:val="both"/>
              <w:rPr>
                <w:rFonts w:ascii="Arial" w:eastAsia="Calibri" w:hAnsi="Arial" w:cs="Arial"/>
                <w:sz w:val="20"/>
                <w:szCs w:val="20"/>
                <w:lang w:val="en-GB"/>
              </w:rPr>
            </w:pPr>
            <w:r w:rsidRPr="000F1EF3">
              <w:rPr>
                <w:rFonts w:ascii="Arial" w:eastAsia="Calibri" w:hAnsi="Arial" w:cs="Arial"/>
                <w:sz w:val="20"/>
                <w:szCs w:val="20"/>
                <w:lang w:val="en-GB"/>
              </w:rPr>
              <w:t>Control</w:t>
            </w:r>
          </w:p>
        </w:tc>
        <w:tc>
          <w:tcPr>
            <w:tcW w:w="1276" w:type="dxa"/>
            <w:vAlign w:val="bottom"/>
            <w:hideMark/>
          </w:tcPr>
          <w:p w14:paraId="2733BC84"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2253.00c    </w:t>
            </w:r>
          </w:p>
        </w:tc>
        <w:tc>
          <w:tcPr>
            <w:tcW w:w="1417" w:type="dxa"/>
            <w:tcBorders>
              <w:top w:val="nil"/>
              <w:left w:val="nil"/>
              <w:bottom w:val="nil"/>
              <w:right w:val="nil"/>
            </w:tcBorders>
            <w:vAlign w:val="center"/>
          </w:tcPr>
          <w:p w14:paraId="06D3D0A6"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6077.30b   </w:t>
            </w:r>
          </w:p>
        </w:tc>
        <w:tc>
          <w:tcPr>
            <w:tcW w:w="992" w:type="dxa"/>
            <w:vAlign w:val="bottom"/>
            <w:hideMark/>
          </w:tcPr>
          <w:p w14:paraId="06F828BB"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sz w:val="20"/>
                <w:szCs w:val="20"/>
              </w:rPr>
              <w:t>32.80d</w:t>
            </w:r>
          </w:p>
        </w:tc>
        <w:tc>
          <w:tcPr>
            <w:tcW w:w="1276" w:type="dxa"/>
            <w:tcBorders>
              <w:top w:val="nil"/>
              <w:left w:val="nil"/>
              <w:bottom w:val="nil"/>
              <w:right w:val="nil"/>
            </w:tcBorders>
            <w:vAlign w:val="bottom"/>
          </w:tcPr>
          <w:p w14:paraId="793F38CA"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32.25d</w:t>
            </w:r>
          </w:p>
        </w:tc>
      </w:tr>
      <w:tr w:rsidR="00944265" w:rsidRPr="000F1EF3" w14:paraId="5571F0A9" w14:textId="77777777" w:rsidTr="001A4B15">
        <w:trPr>
          <w:trHeight w:val="254"/>
        </w:trPr>
        <w:tc>
          <w:tcPr>
            <w:tcW w:w="4820" w:type="dxa"/>
            <w:hideMark/>
          </w:tcPr>
          <w:p w14:paraId="0C7EDBF8" w14:textId="2BC5BDAC" w:rsidR="00944265" w:rsidRPr="000F1EF3" w:rsidRDefault="00944265" w:rsidP="000C1316">
            <w:pPr>
              <w:contextualSpacing/>
              <w:rPr>
                <w:rFonts w:ascii="Arial" w:eastAsia="Calibri" w:hAnsi="Arial" w:cs="Arial"/>
                <w:sz w:val="20"/>
                <w:szCs w:val="20"/>
                <w:lang w:val="en-GB"/>
              </w:rPr>
            </w:pPr>
            <w:r w:rsidRPr="000F1EF3">
              <w:rPr>
                <w:rFonts w:ascii="Arial" w:eastAsia="Calibri" w:hAnsi="Arial" w:cs="Arial"/>
                <w:sz w:val="20"/>
                <w:szCs w:val="20"/>
                <w:lang w:val="en-GB"/>
              </w:rPr>
              <w:t>Granule NPK &amp; Urea (120-40-40)</w:t>
            </w:r>
            <w:r w:rsidR="000F1EF3" w:rsidRPr="000F1EF3">
              <w:rPr>
                <w:rFonts w:ascii="Arial" w:eastAsia="Calibri" w:hAnsi="Arial" w:cs="Arial"/>
                <w:sz w:val="20"/>
                <w:szCs w:val="20"/>
                <w:lang w:val="en-GB"/>
              </w:rPr>
              <w:t xml:space="preserve"> </w:t>
            </w:r>
            <w:r w:rsidRPr="000F1EF3">
              <w:rPr>
                <w:rFonts w:ascii="Arial" w:eastAsia="Calibri" w:hAnsi="Arial" w:cs="Arial"/>
                <w:sz w:val="20"/>
                <w:szCs w:val="20"/>
                <w:lang w:val="en-GB"/>
              </w:rPr>
              <w:t>200</w:t>
            </w:r>
            <w:r w:rsidR="000F1EF3" w:rsidRPr="000F1EF3">
              <w:rPr>
                <w:rFonts w:ascii="Arial" w:eastAsia="Calibri" w:hAnsi="Arial" w:cs="Arial"/>
                <w:sz w:val="20"/>
                <w:szCs w:val="20"/>
                <w:lang w:val="en-GB"/>
              </w:rPr>
              <w:t xml:space="preserve"> </w:t>
            </w:r>
            <w:r w:rsidR="000C1316" w:rsidRPr="007C4D89">
              <w:rPr>
                <w:rFonts w:ascii="Arial" w:hAnsi="Arial" w:cs="Arial"/>
                <w:sz w:val="20"/>
                <w:szCs w:val="20"/>
                <w:highlight w:val="yellow"/>
              </w:rPr>
              <w:t>kg ha</w:t>
            </w:r>
            <w:r w:rsidR="000C1316" w:rsidRPr="007C4D89">
              <w:rPr>
                <w:rFonts w:ascii="Arial" w:hAnsi="Arial" w:cs="Arial"/>
                <w:sz w:val="20"/>
                <w:szCs w:val="20"/>
                <w:highlight w:val="yellow"/>
                <w:vertAlign w:val="superscript"/>
              </w:rPr>
              <w:t>-1</w:t>
            </w:r>
          </w:p>
        </w:tc>
        <w:tc>
          <w:tcPr>
            <w:tcW w:w="1276" w:type="dxa"/>
            <w:vAlign w:val="bottom"/>
            <w:hideMark/>
          </w:tcPr>
          <w:p w14:paraId="79C96333"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4438.80ab  </w:t>
            </w:r>
          </w:p>
        </w:tc>
        <w:tc>
          <w:tcPr>
            <w:tcW w:w="1417" w:type="dxa"/>
            <w:tcBorders>
              <w:top w:val="nil"/>
              <w:left w:val="nil"/>
              <w:bottom w:val="nil"/>
              <w:right w:val="nil"/>
            </w:tcBorders>
            <w:vAlign w:val="center"/>
          </w:tcPr>
          <w:p w14:paraId="3DEF9EE1"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6860.50a  </w:t>
            </w:r>
          </w:p>
        </w:tc>
        <w:tc>
          <w:tcPr>
            <w:tcW w:w="992" w:type="dxa"/>
            <w:vAlign w:val="bottom"/>
            <w:hideMark/>
          </w:tcPr>
          <w:p w14:paraId="2CAEE140"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sz w:val="20"/>
                <w:szCs w:val="20"/>
              </w:rPr>
              <w:t>35.30b</w:t>
            </w:r>
          </w:p>
        </w:tc>
        <w:tc>
          <w:tcPr>
            <w:tcW w:w="1276" w:type="dxa"/>
            <w:tcBorders>
              <w:top w:val="nil"/>
              <w:left w:val="nil"/>
              <w:bottom w:val="nil"/>
              <w:right w:val="nil"/>
            </w:tcBorders>
            <w:vAlign w:val="bottom"/>
          </w:tcPr>
          <w:p w14:paraId="4C0420FA"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35.50ab</w:t>
            </w:r>
          </w:p>
        </w:tc>
      </w:tr>
      <w:tr w:rsidR="00944265" w:rsidRPr="000F1EF3" w14:paraId="4B49D8E6" w14:textId="77777777" w:rsidTr="001A4B15">
        <w:trPr>
          <w:trHeight w:val="254"/>
        </w:trPr>
        <w:tc>
          <w:tcPr>
            <w:tcW w:w="4820" w:type="dxa"/>
            <w:hideMark/>
          </w:tcPr>
          <w:p w14:paraId="0F2A5512" w14:textId="4704E10C" w:rsidR="00944265" w:rsidRPr="000F1EF3" w:rsidRDefault="00944265" w:rsidP="000C1316">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&amp;Urea (121-58.7</w:t>
            </w:r>
            <w:r w:rsidR="000B6F78" w:rsidRPr="000B6F78">
              <w:rPr>
                <w:rFonts w:ascii="Arial" w:eastAsia="Calibri" w:hAnsi="Arial" w:cs="Arial"/>
                <w:sz w:val="20"/>
                <w:szCs w:val="20"/>
                <w:highlight w:val="yellow"/>
                <w:lang w:val="en-GB"/>
              </w:rPr>
              <w:t>-</w:t>
            </w:r>
            <w:r w:rsidRPr="000F1EF3">
              <w:rPr>
                <w:rFonts w:ascii="Arial" w:eastAsia="Calibri" w:hAnsi="Arial" w:cs="Arial"/>
                <w:sz w:val="20"/>
                <w:szCs w:val="20"/>
                <w:lang w:val="en-GB"/>
              </w:rPr>
              <w:t>59) 230.4</w:t>
            </w:r>
            <w:r w:rsidR="000F1EF3" w:rsidRPr="000F1EF3">
              <w:rPr>
                <w:rFonts w:ascii="Arial" w:eastAsia="Calibri" w:hAnsi="Arial" w:cs="Arial"/>
                <w:sz w:val="20"/>
                <w:szCs w:val="20"/>
                <w:lang w:val="en-GB"/>
              </w:rPr>
              <w:t xml:space="preserve"> </w:t>
            </w:r>
            <w:r w:rsidR="000C1316" w:rsidRPr="007C4D89">
              <w:rPr>
                <w:rFonts w:ascii="Arial" w:hAnsi="Arial" w:cs="Arial"/>
                <w:sz w:val="20"/>
                <w:szCs w:val="20"/>
                <w:highlight w:val="yellow"/>
              </w:rPr>
              <w:t>kg ha</w:t>
            </w:r>
            <w:r w:rsidR="000C1316" w:rsidRPr="007C4D89">
              <w:rPr>
                <w:rFonts w:ascii="Arial" w:hAnsi="Arial" w:cs="Arial"/>
                <w:sz w:val="20"/>
                <w:szCs w:val="20"/>
                <w:highlight w:val="yellow"/>
                <w:vertAlign w:val="superscript"/>
              </w:rPr>
              <w:t>-1</w:t>
            </w:r>
          </w:p>
        </w:tc>
        <w:tc>
          <w:tcPr>
            <w:tcW w:w="1276" w:type="dxa"/>
            <w:vAlign w:val="bottom"/>
            <w:hideMark/>
          </w:tcPr>
          <w:p w14:paraId="660E4690"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5591.50a  </w:t>
            </w:r>
          </w:p>
        </w:tc>
        <w:tc>
          <w:tcPr>
            <w:tcW w:w="1417" w:type="dxa"/>
            <w:tcBorders>
              <w:top w:val="nil"/>
              <w:left w:val="nil"/>
              <w:bottom w:val="nil"/>
              <w:right w:val="nil"/>
            </w:tcBorders>
            <w:vAlign w:val="center"/>
          </w:tcPr>
          <w:p w14:paraId="4CB5F6E7"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6627.70ab </w:t>
            </w:r>
          </w:p>
        </w:tc>
        <w:tc>
          <w:tcPr>
            <w:tcW w:w="992" w:type="dxa"/>
            <w:vAlign w:val="bottom"/>
            <w:hideMark/>
          </w:tcPr>
          <w:p w14:paraId="7BCDC7AB"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sz w:val="20"/>
                <w:szCs w:val="20"/>
              </w:rPr>
              <w:t>36.80a</w:t>
            </w:r>
          </w:p>
        </w:tc>
        <w:tc>
          <w:tcPr>
            <w:tcW w:w="1276" w:type="dxa"/>
            <w:tcBorders>
              <w:top w:val="nil"/>
              <w:left w:val="nil"/>
              <w:bottom w:val="nil"/>
              <w:right w:val="nil"/>
            </w:tcBorders>
            <w:vAlign w:val="bottom"/>
          </w:tcPr>
          <w:p w14:paraId="2071DD77"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36.00a</w:t>
            </w:r>
          </w:p>
        </w:tc>
      </w:tr>
      <w:tr w:rsidR="00944265" w:rsidRPr="000F1EF3" w14:paraId="5A88F1F3" w14:textId="77777777" w:rsidTr="001A4B15">
        <w:trPr>
          <w:trHeight w:val="254"/>
        </w:trPr>
        <w:tc>
          <w:tcPr>
            <w:tcW w:w="4820" w:type="dxa"/>
            <w:hideMark/>
          </w:tcPr>
          <w:p w14:paraId="6B12D202" w14:textId="4DE9954C" w:rsidR="00944265" w:rsidRPr="000F1EF3" w:rsidRDefault="00944265" w:rsidP="000C1316">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(114-44-44) 172.8</w:t>
            </w:r>
            <w:r w:rsidR="000F1EF3" w:rsidRPr="000F1EF3">
              <w:rPr>
                <w:rFonts w:ascii="Arial" w:eastAsia="Calibri" w:hAnsi="Arial" w:cs="Arial"/>
                <w:sz w:val="20"/>
                <w:szCs w:val="20"/>
                <w:lang w:val="en-GB"/>
              </w:rPr>
              <w:t xml:space="preserve"> </w:t>
            </w:r>
            <w:r w:rsidR="000C1316" w:rsidRPr="007C4D89">
              <w:rPr>
                <w:rFonts w:ascii="Arial" w:hAnsi="Arial" w:cs="Arial"/>
                <w:sz w:val="20"/>
                <w:szCs w:val="20"/>
                <w:highlight w:val="yellow"/>
              </w:rPr>
              <w:t>kg ha</w:t>
            </w:r>
            <w:r w:rsidR="000C1316" w:rsidRPr="007C4D89">
              <w:rPr>
                <w:rFonts w:ascii="Arial" w:hAnsi="Arial" w:cs="Arial"/>
                <w:sz w:val="20"/>
                <w:szCs w:val="20"/>
                <w:highlight w:val="yellow"/>
                <w:vertAlign w:val="superscript"/>
              </w:rPr>
              <w:t>-1</w:t>
            </w:r>
          </w:p>
        </w:tc>
        <w:tc>
          <w:tcPr>
            <w:tcW w:w="1276" w:type="dxa"/>
            <w:vAlign w:val="bottom"/>
            <w:hideMark/>
          </w:tcPr>
          <w:p w14:paraId="4C0F8A7E"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5291.80ab  </w:t>
            </w:r>
          </w:p>
        </w:tc>
        <w:tc>
          <w:tcPr>
            <w:tcW w:w="1417" w:type="dxa"/>
            <w:tcBorders>
              <w:top w:val="nil"/>
              <w:left w:val="nil"/>
              <w:bottom w:val="nil"/>
              <w:right w:val="nil"/>
            </w:tcBorders>
            <w:vAlign w:val="center"/>
          </w:tcPr>
          <w:p w14:paraId="0B40CFAE"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7038.20a  </w:t>
            </w:r>
          </w:p>
        </w:tc>
        <w:tc>
          <w:tcPr>
            <w:tcW w:w="992" w:type="dxa"/>
            <w:vAlign w:val="bottom"/>
            <w:hideMark/>
          </w:tcPr>
          <w:p w14:paraId="506BF9C3"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36.30a</w:t>
            </w:r>
          </w:p>
        </w:tc>
        <w:tc>
          <w:tcPr>
            <w:tcW w:w="1276" w:type="dxa"/>
            <w:tcBorders>
              <w:top w:val="nil"/>
              <w:left w:val="nil"/>
              <w:bottom w:val="nil"/>
              <w:right w:val="nil"/>
            </w:tcBorders>
            <w:vAlign w:val="bottom"/>
          </w:tcPr>
          <w:p w14:paraId="5959867B"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35.50ab</w:t>
            </w:r>
          </w:p>
        </w:tc>
      </w:tr>
      <w:tr w:rsidR="00944265" w:rsidRPr="000F1EF3" w14:paraId="532C31E9" w14:textId="77777777" w:rsidTr="001A4B15">
        <w:trPr>
          <w:trHeight w:val="254"/>
        </w:trPr>
        <w:tc>
          <w:tcPr>
            <w:tcW w:w="4820" w:type="dxa"/>
            <w:hideMark/>
          </w:tcPr>
          <w:p w14:paraId="52B6EC3D" w14:textId="14732ACB" w:rsidR="00944265" w:rsidRPr="000F1EF3" w:rsidRDefault="00944265" w:rsidP="000C1316">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(91-59-59)230.4</w:t>
            </w:r>
            <w:r w:rsidR="000F1EF3" w:rsidRPr="000F1EF3">
              <w:rPr>
                <w:rFonts w:ascii="Arial" w:eastAsia="Calibri" w:hAnsi="Arial" w:cs="Arial"/>
                <w:sz w:val="20"/>
                <w:szCs w:val="20"/>
                <w:lang w:val="en-GB"/>
              </w:rPr>
              <w:t xml:space="preserve"> </w:t>
            </w:r>
            <w:r w:rsidR="000C1316" w:rsidRPr="007C4D89">
              <w:rPr>
                <w:rFonts w:ascii="Arial" w:hAnsi="Arial" w:cs="Arial"/>
                <w:sz w:val="20"/>
                <w:szCs w:val="20"/>
                <w:highlight w:val="yellow"/>
              </w:rPr>
              <w:t>kg ha</w:t>
            </w:r>
            <w:r w:rsidR="000C1316" w:rsidRPr="007C4D89">
              <w:rPr>
                <w:rFonts w:ascii="Arial" w:hAnsi="Arial" w:cs="Arial"/>
                <w:sz w:val="20"/>
                <w:szCs w:val="20"/>
                <w:highlight w:val="yellow"/>
                <w:vertAlign w:val="superscript"/>
              </w:rPr>
              <w:t>-1</w:t>
            </w:r>
          </w:p>
        </w:tc>
        <w:tc>
          <w:tcPr>
            <w:tcW w:w="1276" w:type="dxa"/>
            <w:vAlign w:val="bottom"/>
            <w:hideMark/>
          </w:tcPr>
          <w:p w14:paraId="4E91CEC1"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5425.00a</w:t>
            </w:r>
          </w:p>
        </w:tc>
        <w:tc>
          <w:tcPr>
            <w:tcW w:w="1417" w:type="dxa"/>
            <w:tcBorders>
              <w:top w:val="nil"/>
              <w:left w:val="nil"/>
              <w:bottom w:val="nil"/>
              <w:right w:val="nil"/>
            </w:tcBorders>
            <w:vAlign w:val="center"/>
          </w:tcPr>
          <w:p w14:paraId="4AB59FD9"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6879.00a  </w:t>
            </w:r>
          </w:p>
        </w:tc>
        <w:tc>
          <w:tcPr>
            <w:tcW w:w="992" w:type="dxa"/>
            <w:vAlign w:val="bottom"/>
            <w:hideMark/>
          </w:tcPr>
          <w:p w14:paraId="34C22A97"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34.50bc</w:t>
            </w:r>
          </w:p>
        </w:tc>
        <w:tc>
          <w:tcPr>
            <w:tcW w:w="1276" w:type="dxa"/>
            <w:tcBorders>
              <w:top w:val="nil"/>
              <w:left w:val="nil"/>
              <w:bottom w:val="nil"/>
              <w:right w:val="nil"/>
            </w:tcBorders>
            <w:vAlign w:val="bottom"/>
          </w:tcPr>
          <w:p w14:paraId="17E8A5C5"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33.00c</w:t>
            </w:r>
          </w:p>
        </w:tc>
      </w:tr>
      <w:tr w:rsidR="00944265" w:rsidRPr="000F1EF3" w14:paraId="4485E38A" w14:textId="77777777" w:rsidTr="001A4B15">
        <w:trPr>
          <w:trHeight w:val="254"/>
        </w:trPr>
        <w:tc>
          <w:tcPr>
            <w:tcW w:w="4820" w:type="dxa"/>
            <w:hideMark/>
          </w:tcPr>
          <w:p w14:paraId="61838C16" w14:textId="1B162E0D" w:rsidR="00944265" w:rsidRPr="000F1EF3" w:rsidRDefault="00944265" w:rsidP="000C1316">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(76-29-29)115.2</w:t>
            </w:r>
            <w:r w:rsidR="000F1EF3" w:rsidRPr="000F1EF3">
              <w:rPr>
                <w:rFonts w:ascii="Arial" w:eastAsia="Calibri" w:hAnsi="Arial" w:cs="Arial"/>
                <w:sz w:val="20"/>
                <w:szCs w:val="20"/>
                <w:lang w:val="en-GB"/>
              </w:rPr>
              <w:t xml:space="preserve"> </w:t>
            </w:r>
            <w:r w:rsidR="000C1316" w:rsidRPr="007C4D89">
              <w:rPr>
                <w:rFonts w:ascii="Arial" w:hAnsi="Arial" w:cs="Arial"/>
                <w:sz w:val="20"/>
                <w:szCs w:val="20"/>
                <w:highlight w:val="yellow"/>
              </w:rPr>
              <w:t>kg ha</w:t>
            </w:r>
            <w:r w:rsidR="000C1316" w:rsidRPr="007C4D89">
              <w:rPr>
                <w:rFonts w:ascii="Arial" w:hAnsi="Arial" w:cs="Arial"/>
                <w:sz w:val="20"/>
                <w:szCs w:val="20"/>
                <w:highlight w:val="yellow"/>
                <w:vertAlign w:val="superscript"/>
              </w:rPr>
              <w:t>-1</w:t>
            </w:r>
          </w:p>
        </w:tc>
        <w:tc>
          <w:tcPr>
            <w:tcW w:w="1276" w:type="dxa"/>
            <w:vAlign w:val="bottom"/>
            <w:hideMark/>
          </w:tcPr>
          <w:p w14:paraId="0EA21D09"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4130.50abc  </w:t>
            </w:r>
          </w:p>
        </w:tc>
        <w:tc>
          <w:tcPr>
            <w:tcW w:w="1417" w:type="dxa"/>
            <w:tcBorders>
              <w:top w:val="nil"/>
              <w:left w:val="nil"/>
              <w:bottom w:val="nil"/>
              <w:right w:val="nil"/>
            </w:tcBorders>
            <w:vAlign w:val="center"/>
          </w:tcPr>
          <w:p w14:paraId="7C408B1A"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7087.00a</w:t>
            </w:r>
          </w:p>
        </w:tc>
        <w:tc>
          <w:tcPr>
            <w:tcW w:w="992" w:type="dxa"/>
            <w:vAlign w:val="bottom"/>
            <w:hideMark/>
          </w:tcPr>
          <w:p w14:paraId="5325646C"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34.50bc</w:t>
            </w:r>
          </w:p>
        </w:tc>
        <w:tc>
          <w:tcPr>
            <w:tcW w:w="1276" w:type="dxa"/>
            <w:tcBorders>
              <w:top w:val="nil"/>
              <w:left w:val="nil"/>
              <w:bottom w:val="nil"/>
              <w:right w:val="nil"/>
            </w:tcBorders>
            <w:vAlign w:val="bottom"/>
          </w:tcPr>
          <w:p w14:paraId="5C8A665D"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32.75d</w:t>
            </w:r>
          </w:p>
        </w:tc>
      </w:tr>
      <w:tr w:rsidR="00944265" w:rsidRPr="000F1EF3" w14:paraId="0260F054" w14:textId="77777777" w:rsidTr="001A4B15">
        <w:trPr>
          <w:trHeight w:val="254"/>
        </w:trPr>
        <w:tc>
          <w:tcPr>
            <w:tcW w:w="4820" w:type="dxa"/>
            <w:tcBorders>
              <w:top w:val="nil"/>
              <w:left w:val="nil"/>
              <w:right w:val="nil"/>
            </w:tcBorders>
            <w:hideMark/>
          </w:tcPr>
          <w:p w14:paraId="5F76F23C" w14:textId="51BB68FB" w:rsidR="00944265" w:rsidRPr="000F1EF3" w:rsidRDefault="00944265" w:rsidP="000C1316">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(31-29-29)115.2</w:t>
            </w:r>
            <w:r w:rsidR="000F1EF3" w:rsidRPr="000F1EF3">
              <w:rPr>
                <w:rFonts w:ascii="Arial" w:eastAsia="Calibri" w:hAnsi="Arial" w:cs="Arial"/>
                <w:sz w:val="20"/>
                <w:szCs w:val="20"/>
                <w:lang w:val="en-GB"/>
              </w:rPr>
              <w:t xml:space="preserve"> </w:t>
            </w:r>
            <w:r w:rsidR="000C1316" w:rsidRPr="007C4D89">
              <w:rPr>
                <w:rFonts w:ascii="Arial" w:hAnsi="Arial" w:cs="Arial"/>
                <w:sz w:val="20"/>
                <w:szCs w:val="20"/>
                <w:highlight w:val="yellow"/>
              </w:rPr>
              <w:t>kg ha</w:t>
            </w:r>
            <w:r w:rsidR="000C1316" w:rsidRPr="007C4D89">
              <w:rPr>
                <w:rFonts w:ascii="Arial" w:hAnsi="Arial" w:cs="Arial"/>
                <w:sz w:val="20"/>
                <w:szCs w:val="20"/>
                <w:highlight w:val="yellow"/>
                <w:vertAlign w:val="superscript"/>
              </w:rPr>
              <w:t>-1</w:t>
            </w:r>
          </w:p>
        </w:tc>
        <w:tc>
          <w:tcPr>
            <w:tcW w:w="1276" w:type="dxa"/>
            <w:vAlign w:val="bottom"/>
            <w:hideMark/>
          </w:tcPr>
          <w:p w14:paraId="7137BE1D"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3400.00bc</w:t>
            </w:r>
          </w:p>
        </w:tc>
        <w:tc>
          <w:tcPr>
            <w:tcW w:w="1417" w:type="dxa"/>
            <w:tcBorders>
              <w:top w:val="nil"/>
              <w:left w:val="nil"/>
              <w:right w:val="nil"/>
            </w:tcBorders>
            <w:vAlign w:val="center"/>
          </w:tcPr>
          <w:p w14:paraId="028541F8" w14:textId="77777777" w:rsidR="00944265" w:rsidRPr="000F1EF3" w:rsidRDefault="00944265" w:rsidP="001A4B15">
            <w:pPr>
              <w:contextualSpacing/>
              <w:rPr>
                <w:rFonts w:ascii="Arial" w:eastAsia="Calibri" w:hAnsi="Arial" w:cs="Arial"/>
                <w:sz w:val="20"/>
                <w:szCs w:val="20"/>
                <w:lang w:val="en-GB"/>
              </w:rPr>
            </w:pPr>
            <w:r w:rsidRPr="000F1EF3">
              <w:rPr>
                <w:rFonts w:ascii="Arial" w:hAnsi="Arial" w:cs="Arial"/>
                <w:color w:val="000000"/>
                <w:sz w:val="20"/>
                <w:szCs w:val="20"/>
              </w:rPr>
              <w:t xml:space="preserve">6603.50ab  </w:t>
            </w:r>
          </w:p>
        </w:tc>
        <w:tc>
          <w:tcPr>
            <w:tcW w:w="992" w:type="dxa"/>
            <w:vAlign w:val="bottom"/>
            <w:hideMark/>
          </w:tcPr>
          <w:p w14:paraId="4D407C11"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34.00c</w:t>
            </w:r>
          </w:p>
        </w:tc>
        <w:tc>
          <w:tcPr>
            <w:tcW w:w="1276" w:type="dxa"/>
            <w:tcBorders>
              <w:top w:val="nil"/>
              <w:left w:val="nil"/>
              <w:right w:val="nil"/>
            </w:tcBorders>
            <w:vAlign w:val="bottom"/>
          </w:tcPr>
          <w:p w14:paraId="3DE48221" w14:textId="77777777" w:rsidR="00944265" w:rsidRPr="000F1EF3" w:rsidRDefault="00944265" w:rsidP="001A4B15">
            <w:pPr>
              <w:contextualSpacing/>
              <w:rPr>
                <w:rFonts w:ascii="Arial" w:eastAsia="Calibri" w:hAnsi="Arial" w:cs="Arial"/>
                <w:sz w:val="20"/>
                <w:szCs w:val="20"/>
                <w:lang w:val="en-GB"/>
              </w:rPr>
            </w:pPr>
            <w:r w:rsidRPr="000F1EF3">
              <w:rPr>
                <w:rFonts w:ascii="Arial" w:eastAsia="Calibri" w:hAnsi="Arial" w:cs="Arial"/>
                <w:sz w:val="20"/>
                <w:szCs w:val="20"/>
              </w:rPr>
              <w:t>33.50c</w:t>
            </w:r>
          </w:p>
        </w:tc>
      </w:tr>
      <w:tr w:rsidR="00944265" w:rsidRPr="00944265" w14:paraId="2B6D9BDF" w14:textId="77777777" w:rsidTr="001A4B15">
        <w:trPr>
          <w:trHeight w:val="254"/>
        </w:trPr>
        <w:tc>
          <w:tcPr>
            <w:tcW w:w="4820" w:type="dxa"/>
            <w:tcBorders>
              <w:left w:val="nil"/>
              <w:bottom w:val="single" w:sz="4" w:space="0" w:color="auto"/>
              <w:right w:val="nil"/>
            </w:tcBorders>
          </w:tcPr>
          <w:p w14:paraId="5BF06CCD"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Mean</w:t>
            </w:r>
          </w:p>
        </w:tc>
        <w:tc>
          <w:tcPr>
            <w:tcW w:w="1276" w:type="dxa"/>
            <w:tcBorders>
              <w:left w:val="nil"/>
              <w:bottom w:val="single" w:sz="4" w:space="0" w:color="auto"/>
              <w:right w:val="nil"/>
            </w:tcBorders>
          </w:tcPr>
          <w:p w14:paraId="318AEDB6" w14:textId="77777777" w:rsidR="00944265" w:rsidRPr="00944265" w:rsidRDefault="00944265" w:rsidP="001A4B15">
            <w:pPr>
              <w:contextualSpacing/>
              <w:rPr>
                <w:rFonts w:ascii="Arial" w:eastAsia="Calibri" w:hAnsi="Arial" w:cs="Arial"/>
                <w:b/>
                <w:bCs/>
                <w:color w:val="000000"/>
                <w:sz w:val="20"/>
                <w:szCs w:val="20"/>
                <w:lang w:val="en-GB"/>
              </w:rPr>
            </w:pPr>
            <w:r w:rsidRPr="00944265">
              <w:rPr>
                <w:rFonts w:ascii="Arial" w:hAnsi="Arial" w:cs="Arial"/>
                <w:b/>
                <w:bCs/>
                <w:color w:val="000000"/>
                <w:sz w:val="20"/>
                <w:szCs w:val="20"/>
              </w:rPr>
              <w:t>4361.51</w:t>
            </w:r>
          </w:p>
        </w:tc>
        <w:tc>
          <w:tcPr>
            <w:tcW w:w="1417" w:type="dxa"/>
            <w:tcBorders>
              <w:left w:val="nil"/>
              <w:bottom w:val="single" w:sz="4" w:space="0" w:color="auto"/>
              <w:right w:val="nil"/>
            </w:tcBorders>
          </w:tcPr>
          <w:p w14:paraId="39CE258D"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6739.03</w:t>
            </w:r>
          </w:p>
        </w:tc>
        <w:tc>
          <w:tcPr>
            <w:tcW w:w="992" w:type="dxa"/>
            <w:tcBorders>
              <w:left w:val="nil"/>
              <w:bottom w:val="single" w:sz="4" w:space="0" w:color="auto"/>
              <w:right w:val="nil"/>
            </w:tcBorders>
          </w:tcPr>
          <w:p w14:paraId="3483622C"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color w:val="000000"/>
                <w:sz w:val="20"/>
                <w:szCs w:val="20"/>
              </w:rPr>
              <w:t>34.89</w:t>
            </w:r>
          </w:p>
        </w:tc>
        <w:tc>
          <w:tcPr>
            <w:tcW w:w="1276" w:type="dxa"/>
            <w:tcBorders>
              <w:left w:val="nil"/>
              <w:bottom w:val="single" w:sz="4" w:space="0" w:color="auto"/>
              <w:right w:val="nil"/>
            </w:tcBorders>
          </w:tcPr>
          <w:p w14:paraId="2F5A048F"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34.07</w:t>
            </w:r>
          </w:p>
        </w:tc>
      </w:tr>
      <w:tr w:rsidR="00944265" w:rsidRPr="00944265" w14:paraId="261590F5" w14:textId="77777777" w:rsidTr="001A4B15">
        <w:trPr>
          <w:trHeight w:val="254"/>
        </w:trPr>
        <w:tc>
          <w:tcPr>
            <w:tcW w:w="4820" w:type="dxa"/>
            <w:tcBorders>
              <w:top w:val="single" w:sz="4" w:space="0" w:color="auto"/>
              <w:left w:val="nil"/>
              <w:right w:val="nil"/>
            </w:tcBorders>
            <w:hideMark/>
          </w:tcPr>
          <w:p w14:paraId="27017D26"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HSD (P ≤ 0.05)</w:t>
            </w:r>
          </w:p>
        </w:tc>
        <w:tc>
          <w:tcPr>
            <w:tcW w:w="1276" w:type="dxa"/>
            <w:tcBorders>
              <w:top w:val="single" w:sz="4" w:space="0" w:color="auto"/>
              <w:left w:val="nil"/>
              <w:right w:val="nil"/>
            </w:tcBorders>
            <w:hideMark/>
          </w:tcPr>
          <w:p w14:paraId="7F2AEB0D"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1907.1</w:t>
            </w:r>
          </w:p>
        </w:tc>
        <w:tc>
          <w:tcPr>
            <w:tcW w:w="1417" w:type="dxa"/>
            <w:tcBorders>
              <w:top w:val="single" w:sz="4" w:space="0" w:color="auto"/>
              <w:left w:val="nil"/>
              <w:right w:val="nil"/>
            </w:tcBorders>
            <w:vAlign w:val="bottom"/>
          </w:tcPr>
          <w:p w14:paraId="2C88402B"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732.72</w:t>
            </w:r>
          </w:p>
        </w:tc>
        <w:tc>
          <w:tcPr>
            <w:tcW w:w="992" w:type="dxa"/>
            <w:tcBorders>
              <w:top w:val="single" w:sz="4" w:space="0" w:color="auto"/>
              <w:left w:val="nil"/>
              <w:right w:val="nil"/>
            </w:tcBorders>
            <w:vAlign w:val="bottom"/>
            <w:hideMark/>
          </w:tcPr>
          <w:p w14:paraId="02128193"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0.99</w:t>
            </w:r>
          </w:p>
        </w:tc>
        <w:tc>
          <w:tcPr>
            <w:tcW w:w="1276" w:type="dxa"/>
            <w:tcBorders>
              <w:top w:val="single" w:sz="4" w:space="0" w:color="auto"/>
              <w:left w:val="nil"/>
              <w:right w:val="nil"/>
            </w:tcBorders>
            <w:vAlign w:val="bottom"/>
          </w:tcPr>
          <w:p w14:paraId="1B01909D"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0.72</w:t>
            </w:r>
          </w:p>
        </w:tc>
      </w:tr>
      <w:tr w:rsidR="00944265" w:rsidRPr="00944265" w14:paraId="6A21C8AC" w14:textId="77777777" w:rsidTr="001A4B15">
        <w:trPr>
          <w:trHeight w:val="254"/>
        </w:trPr>
        <w:tc>
          <w:tcPr>
            <w:tcW w:w="4820" w:type="dxa"/>
            <w:tcBorders>
              <w:top w:val="nil"/>
              <w:left w:val="nil"/>
              <w:right w:val="nil"/>
            </w:tcBorders>
            <w:hideMark/>
          </w:tcPr>
          <w:p w14:paraId="2466E125"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CV (%)</w:t>
            </w:r>
          </w:p>
        </w:tc>
        <w:tc>
          <w:tcPr>
            <w:tcW w:w="1276" w:type="dxa"/>
            <w:tcBorders>
              <w:top w:val="nil"/>
              <w:left w:val="nil"/>
              <w:right w:val="nil"/>
            </w:tcBorders>
            <w:hideMark/>
          </w:tcPr>
          <w:p w14:paraId="19D80FA0"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color w:val="000000"/>
                <w:sz w:val="20"/>
                <w:szCs w:val="20"/>
              </w:rPr>
              <w:t>29.59</w:t>
            </w:r>
          </w:p>
        </w:tc>
        <w:tc>
          <w:tcPr>
            <w:tcW w:w="1417" w:type="dxa"/>
            <w:tcBorders>
              <w:top w:val="nil"/>
              <w:left w:val="nil"/>
              <w:right w:val="nil"/>
            </w:tcBorders>
            <w:vAlign w:val="bottom"/>
          </w:tcPr>
          <w:p w14:paraId="10DC3609"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7.32</w:t>
            </w:r>
          </w:p>
        </w:tc>
        <w:tc>
          <w:tcPr>
            <w:tcW w:w="992" w:type="dxa"/>
            <w:tcBorders>
              <w:top w:val="nil"/>
              <w:left w:val="nil"/>
              <w:right w:val="nil"/>
            </w:tcBorders>
            <w:vAlign w:val="bottom"/>
            <w:hideMark/>
          </w:tcPr>
          <w:p w14:paraId="6B11A0A1"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color w:val="000000"/>
                <w:sz w:val="20"/>
                <w:szCs w:val="20"/>
              </w:rPr>
              <w:t>1.93</w:t>
            </w:r>
          </w:p>
        </w:tc>
        <w:tc>
          <w:tcPr>
            <w:tcW w:w="1276" w:type="dxa"/>
            <w:tcBorders>
              <w:top w:val="nil"/>
              <w:left w:val="nil"/>
              <w:right w:val="nil"/>
            </w:tcBorders>
            <w:vAlign w:val="bottom"/>
          </w:tcPr>
          <w:p w14:paraId="1E4C2485"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2.56</w:t>
            </w:r>
          </w:p>
        </w:tc>
      </w:tr>
      <w:tr w:rsidR="00944265" w:rsidRPr="00944265" w14:paraId="0332676B" w14:textId="77777777" w:rsidTr="001A4B15">
        <w:trPr>
          <w:trHeight w:val="239"/>
        </w:trPr>
        <w:tc>
          <w:tcPr>
            <w:tcW w:w="4820" w:type="dxa"/>
            <w:tcBorders>
              <w:top w:val="single" w:sz="4" w:space="0" w:color="auto"/>
              <w:left w:val="nil"/>
              <w:right w:val="nil"/>
            </w:tcBorders>
          </w:tcPr>
          <w:p w14:paraId="2D1C5DD4"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Location</w:t>
            </w:r>
          </w:p>
        </w:tc>
        <w:tc>
          <w:tcPr>
            <w:tcW w:w="2693" w:type="dxa"/>
            <w:gridSpan w:val="2"/>
            <w:tcBorders>
              <w:top w:val="single" w:sz="4" w:space="0" w:color="auto"/>
              <w:left w:val="nil"/>
              <w:right w:val="nil"/>
            </w:tcBorders>
            <w:vAlign w:val="bottom"/>
          </w:tcPr>
          <w:p w14:paraId="344864B5"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509.32*</w:t>
            </w:r>
          </w:p>
        </w:tc>
        <w:tc>
          <w:tcPr>
            <w:tcW w:w="2268" w:type="dxa"/>
            <w:gridSpan w:val="2"/>
            <w:tcBorders>
              <w:top w:val="single" w:sz="4" w:space="0" w:color="auto"/>
              <w:left w:val="nil"/>
              <w:right w:val="nil"/>
            </w:tcBorders>
          </w:tcPr>
          <w:p w14:paraId="584C53A9"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1.26</w:t>
            </w:r>
            <w:r w:rsidRPr="00944265">
              <w:rPr>
                <w:rFonts w:ascii="Arial" w:eastAsia="Calibri" w:hAnsi="Arial" w:cs="Arial"/>
                <w:color w:val="000000"/>
                <w:sz w:val="20"/>
                <w:szCs w:val="20"/>
                <w:vertAlign w:val="superscript"/>
              </w:rPr>
              <w:t>NS</w:t>
            </w:r>
          </w:p>
        </w:tc>
      </w:tr>
      <w:tr w:rsidR="00944265" w:rsidRPr="00944265" w14:paraId="66190E71" w14:textId="77777777" w:rsidTr="001A4B15">
        <w:trPr>
          <w:trHeight w:val="254"/>
        </w:trPr>
        <w:tc>
          <w:tcPr>
            <w:tcW w:w="4820" w:type="dxa"/>
            <w:tcBorders>
              <w:left w:val="nil"/>
              <w:right w:val="nil"/>
            </w:tcBorders>
          </w:tcPr>
          <w:p w14:paraId="3FB6325D"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Treatment x Location</w:t>
            </w:r>
          </w:p>
        </w:tc>
        <w:tc>
          <w:tcPr>
            <w:tcW w:w="2693" w:type="dxa"/>
            <w:gridSpan w:val="2"/>
            <w:tcBorders>
              <w:left w:val="nil"/>
              <w:right w:val="nil"/>
            </w:tcBorders>
          </w:tcPr>
          <w:p w14:paraId="4BB6DFFF"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1347.5*</w:t>
            </w:r>
          </w:p>
        </w:tc>
        <w:tc>
          <w:tcPr>
            <w:tcW w:w="2268" w:type="dxa"/>
            <w:gridSpan w:val="2"/>
            <w:tcBorders>
              <w:left w:val="nil"/>
              <w:right w:val="nil"/>
            </w:tcBorders>
          </w:tcPr>
          <w:p w14:paraId="41BC0BAF"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1.34</w:t>
            </w:r>
            <w:r w:rsidRPr="00944265">
              <w:rPr>
                <w:rFonts w:ascii="Arial" w:eastAsia="Calibri" w:hAnsi="Arial" w:cs="Arial"/>
                <w:color w:val="000000"/>
                <w:sz w:val="20"/>
                <w:szCs w:val="20"/>
                <w:vertAlign w:val="superscript"/>
              </w:rPr>
              <w:t>NS</w:t>
            </w:r>
          </w:p>
        </w:tc>
      </w:tr>
    </w:tbl>
    <w:p w14:paraId="7F43C950" w14:textId="77777777" w:rsidR="00944265" w:rsidRDefault="00944265" w:rsidP="00B73739">
      <w:pPr>
        <w:jc w:val="both"/>
        <w:rPr>
          <w:rFonts w:ascii="Arial" w:hAnsi="Arial" w:cs="Arial"/>
        </w:rPr>
      </w:pPr>
    </w:p>
    <w:p w14:paraId="160F0B32" w14:textId="77777777" w:rsidR="00944265" w:rsidRDefault="00944265" w:rsidP="00B73739">
      <w:pPr>
        <w:jc w:val="both"/>
        <w:rPr>
          <w:rFonts w:ascii="Arial" w:hAnsi="Arial" w:cs="Arial"/>
        </w:rPr>
      </w:pPr>
    </w:p>
    <w:p w14:paraId="01F902CA" w14:textId="77777777" w:rsidR="00B73739" w:rsidRPr="00211DC5" w:rsidRDefault="00B73739" w:rsidP="00B73739">
      <w:pPr>
        <w:jc w:val="both"/>
        <w:rPr>
          <w:rFonts w:ascii="Arial" w:hAnsi="Arial" w:cs="Arial"/>
        </w:rPr>
      </w:pPr>
    </w:p>
    <w:p w14:paraId="48ECAF7D"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3.6.3 Cob length</w:t>
      </w:r>
    </w:p>
    <w:p w14:paraId="53C11776" w14:textId="6D8B4812" w:rsidR="00944265" w:rsidRDefault="00944265" w:rsidP="00B73739">
      <w:pPr>
        <w:jc w:val="both"/>
        <w:rPr>
          <w:rFonts w:ascii="Arial" w:hAnsi="Arial" w:cs="Arial"/>
        </w:rPr>
      </w:pPr>
      <w:r w:rsidRPr="00944265">
        <w:rPr>
          <w:rFonts w:ascii="Arial" w:hAnsi="Arial" w:cs="Arial"/>
        </w:rPr>
        <w:t xml:space="preserve">Significant (P&lt;0.05) differences were observed among the treatments in cob length at Amantin and Nsapor. Briquette NPK &amp; Urea (121-58.7-59) 230.4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recorded the longest cob length of 15.90 cm and differed significantly from the control at Amantin. Granule NPK &amp; Urea (120-40-40) 200</w:t>
      </w:r>
      <w:r w:rsidR="007C4D89">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recorded the longest (16.35 cm) cob length and differed from the control at Nsapor (Table 10). Among the amended plots, Briquette NPK &amp; Urea (91-59-59)230.4</w:t>
      </w:r>
      <w:r w:rsidR="000C1316">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and Briquette NPK &amp; Urea (114-44-44) 172.8</w:t>
      </w:r>
      <w:r w:rsidR="007C4D89">
        <w:rPr>
          <w:rFonts w:ascii="Arial" w:hAnsi="Arial" w:cs="Arial"/>
        </w:rPr>
        <w:t xml:space="preserve"> </w:t>
      </w:r>
      <w:r w:rsidR="000C1316" w:rsidRPr="007C4D89">
        <w:rPr>
          <w:rFonts w:ascii="Arial" w:hAnsi="Arial" w:cs="Arial"/>
          <w:highlight w:val="yellow"/>
        </w:rPr>
        <w:t>kg ha</w:t>
      </w:r>
      <w:r w:rsidR="000C1316" w:rsidRPr="007C4D89">
        <w:rPr>
          <w:rFonts w:ascii="Arial" w:hAnsi="Arial" w:cs="Arial"/>
          <w:highlight w:val="yellow"/>
          <w:vertAlign w:val="superscript"/>
        </w:rPr>
        <w:t>-1</w:t>
      </w:r>
      <w:r w:rsidR="000C1316" w:rsidRPr="007C4D89">
        <w:rPr>
          <w:rFonts w:ascii="Arial" w:hAnsi="Arial" w:cs="Arial"/>
          <w:vertAlign w:val="superscript"/>
        </w:rPr>
        <w:t xml:space="preserve"> </w:t>
      </w:r>
      <w:r w:rsidRPr="00944265">
        <w:rPr>
          <w:rFonts w:ascii="Arial" w:hAnsi="Arial" w:cs="Arial"/>
        </w:rPr>
        <w:t>recorded the shortest cob length at Amantin and Nsapor, respectively. Locations were not significant. However, treatment x location interactions significantly influenced cob length.</w:t>
      </w:r>
    </w:p>
    <w:p w14:paraId="79E54751" w14:textId="77777777" w:rsidR="00944265" w:rsidRDefault="00944265" w:rsidP="00B73739">
      <w:pPr>
        <w:jc w:val="both"/>
        <w:rPr>
          <w:rFonts w:ascii="Arial" w:hAnsi="Arial" w:cs="Arial"/>
        </w:rPr>
      </w:pPr>
    </w:p>
    <w:p w14:paraId="4F48959C" w14:textId="78D3FFCE" w:rsidR="00944265" w:rsidRPr="00211DC5" w:rsidRDefault="00944265" w:rsidP="00944265">
      <w:pPr>
        <w:spacing w:line="360" w:lineRule="auto"/>
        <w:jc w:val="both"/>
        <w:rPr>
          <w:rFonts w:ascii="Arial" w:hAnsi="Arial" w:cs="Arial"/>
          <w:u w:val="single"/>
        </w:rPr>
      </w:pPr>
      <w:r w:rsidRPr="00211DC5">
        <w:rPr>
          <w:rFonts w:ascii="Arial" w:hAnsi="Arial" w:cs="Arial"/>
          <w:u w:val="single"/>
        </w:rPr>
        <w:t>3.6.</w:t>
      </w:r>
      <w:r>
        <w:rPr>
          <w:rFonts w:ascii="Arial" w:hAnsi="Arial" w:cs="Arial"/>
          <w:u w:val="single"/>
        </w:rPr>
        <w:t>4</w:t>
      </w:r>
      <w:r w:rsidRPr="00211DC5">
        <w:rPr>
          <w:rFonts w:ascii="Arial" w:hAnsi="Arial" w:cs="Arial"/>
          <w:u w:val="single"/>
        </w:rPr>
        <w:t xml:space="preserve"> Cob </w:t>
      </w:r>
      <w:r>
        <w:rPr>
          <w:rFonts w:ascii="Arial" w:hAnsi="Arial" w:cs="Arial"/>
          <w:u w:val="single"/>
        </w:rPr>
        <w:t>diameter</w:t>
      </w:r>
    </w:p>
    <w:p w14:paraId="2BB55B7E" w14:textId="3A5CE8F1" w:rsidR="00944265" w:rsidRDefault="00944265" w:rsidP="001032A8">
      <w:pPr>
        <w:jc w:val="both"/>
        <w:rPr>
          <w:rFonts w:ascii="Arial" w:hAnsi="Arial" w:cs="Arial"/>
        </w:rPr>
      </w:pPr>
      <w:r w:rsidRPr="00944265">
        <w:rPr>
          <w:rFonts w:ascii="Arial" w:hAnsi="Arial" w:cs="Arial"/>
        </w:rPr>
        <w:t xml:space="preserve">There were significant (P&lt;0.05) differences between the treatments in cob diameter across both locations (Table 10). Plants that received Briquette NPK &amp; Urea (76-29-29) 115.2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944265">
        <w:rPr>
          <w:rFonts w:ascii="Arial" w:hAnsi="Arial" w:cs="Arial"/>
        </w:rPr>
        <w:t>had the widest cob diameter (4.5 cm and 4.52 cm), which was significantly different from the control and all the amended plots except Briquette NPK &amp; Urea (31-29-29)115.2</w:t>
      </w:r>
      <w:r w:rsidR="007C4D89">
        <w:rPr>
          <w:rFonts w:ascii="Arial" w:hAnsi="Arial" w:cs="Arial"/>
        </w:rPr>
        <w:t xml:space="preserve">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944265">
        <w:rPr>
          <w:rFonts w:ascii="Arial" w:hAnsi="Arial" w:cs="Arial"/>
        </w:rPr>
        <w:t>at both locations. Plants grown on the unamended plot recorded the least cob diameter of 3.70 cm and 3.67 cm at Amantin and Nsapor, respectively. Location had no significant effect on cob diameter, whereas treatment x location interaction significantly influenced cob diameter.</w:t>
      </w:r>
    </w:p>
    <w:p w14:paraId="441755E3" w14:textId="77777777" w:rsidR="00FE3B00" w:rsidRDefault="00FE3B00" w:rsidP="00B73739">
      <w:pPr>
        <w:rPr>
          <w:rFonts w:ascii="Arial" w:hAnsi="Arial" w:cs="Arial"/>
        </w:rPr>
      </w:pPr>
    </w:p>
    <w:p w14:paraId="0B9BBFB5" w14:textId="77777777" w:rsidR="00FE3B00" w:rsidRDefault="00FE3B00" w:rsidP="00B73739">
      <w:pPr>
        <w:rPr>
          <w:rFonts w:ascii="Arial" w:hAnsi="Arial" w:cs="Arial"/>
        </w:rPr>
      </w:pPr>
    </w:p>
    <w:p w14:paraId="7F86C06F" w14:textId="77777777" w:rsidR="00FE3B00" w:rsidRDefault="00FE3B00" w:rsidP="00B73739">
      <w:pPr>
        <w:rPr>
          <w:rFonts w:ascii="Arial" w:hAnsi="Arial" w:cs="Arial"/>
        </w:rPr>
      </w:pPr>
    </w:p>
    <w:p w14:paraId="36BFEF53" w14:textId="77777777" w:rsidR="00FE3B00" w:rsidRDefault="00FE3B00" w:rsidP="00B73739">
      <w:pPr>
        <w:rPr>
          <w:rFonts w:ascii="Arial" w:hAnsi="Arial" w:cs="Arial"/>
        </w:rPr>
      </w:pPr>
    </w:p>
    <w:p w14:paraId="36DF3C9E" w14:textId="77777777" w:rsidR="00FE3B00" w:rsidRDefault="00FE3B00" w:rsidP="00B73739">
      <w:pPr>
        <w:rPr>
          <w:rFonts w:ascii="Arial" w:hAnsi="Arial" w:cs="Arial"/>
        </w:rPr>
      </w:pPr>
    </w:p>
    <w:p w14:paraId="09A137BC" w14:textId="77777777" w:rsidR="00FE3B00" w:rsidRDefault="00FE3B00" w:rsidP="00B73739">
      <w:pPr>
        <w:rPr>
          <w:rFonts w:ascii="Arial" w:hAnsi="Arial" w:cs="Arial"/>
        </w:rPr>
      </w:pPr>
    </w:p>
    <w:p w14:paraId="2A35599E" w14:textId="77777777" w:rsidR="00FE3B00" w:rsidRDefault="00FE3B00" w:rsidP="00B73739">
      <w:pPr>
        <w:rPr>
          <w:rFonts w:ascii="Arial" w:hAnsi="Arial" w:cs="Arial"/>
        </w:rPr>
      </w:pPr>
    </w:p>
    <w:p w14:paraId="4F6A73F0" w14:textId="77777777" w:rsidR="00FE3B00" w:rsidRDefault="00FE3B00" w:rsidP="00B73739">
      <w:pPr>
        <w:rPr>
          <w:rFonts w:ascii="Arial" w:hAnsi="Arial" w:cs="Arial"/>
        </w:rPr>
      </w:pPr>
    </w:p>
    <w:p w14:paraId="4229B270" w14:textId="77777777" w:rsidR="00944265" w:rsidRDefault="00944265" w:rsidP="00B73739">
      <w:pPr>
        <w:rPr>
          <w:rFonts w:ascii="Arial" w:hAnsi="Arial" w:cs="Arial"/>
        </w:rPr>
      </w:pPr>
    </w:p>
    <w:p w14:paraId="54AF50A6" w14:textId="62C4DD1A" w:rsidR="00944265" w:rsidRPr="00944265" w:rsidRDefault="00944265" w:rsidP="00944265">
      <w:pPr>
        <w:keepNext/>
        <w:spacing w:line="276" w:lineRule="auto"/>
        <w:contextualSpacing/>
        <w:jc w:val="both"/>
        <w:rPr>
          <w:rFonts w:ascii="Arial" w:eastAsia="Calibri" w:hAnsi="Arial" w:cs="Arial"/>
          <w:b/>
          <w:iCs/>
        </w:rPr>
      </w:pPr>
      <w:bookmarkStart w:id="16" w:name="_Toc152762949"/>
      <w:bookmarkStart w:id="17" w:name="_Hlk195899314"/>
      <w:r w:rsidRPr="00944265">
        <w:rPr>
          <w:rFonts w:ascii="Arial" w:eastAsia="Calibri" w:hAnsi="Arial" w:cs="Arial"/>
          <w:b/>
          <w:iCs/>
        </w:rPr>
        <w:lastRenderedPageBreak/>
        <w:t>Table 10</w:t>
      </w:r>
      <w:r>
        <w:rPr>
          <w:rFonts w:ascii="Arial" w:eastAsia="Calibri" w:hAnsi="Arial" w:cs="Arial"/>
          <w:b/>
          <w:iCs/>
        </w:rPr>
        <w:t xml:space="preserve">. </w:t>
      </w:r>
      <w:r w:rsidRPr="00944265">
        <w:rPr>
          <w:rFonts w:ascii="Arial" w:eastAsia="Calibri" w:hAnsi="Arial" w:cs="Arial"/>
          <w:b/>
          <w:iCs/>
        </w:rPr>
        <w:t>Effect of NPK granules and briquettes fertilizer on the cob length and cob diameter at Amantin and Nsapor</w:t>
      </w:r>
      <w:bookmarkEnd w:id="16"/>
    </w:p>
    <w:tbl>
      <w:tblPr>
        <w:tblStyle w:val="TableGrid3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134"/>
        <w:gridCol w:w="1276"/>
        <w:gridCol w:w="1275"/>
        <w:gridCol w:w="1134"/>
      </w:tblGrid>
      <w:tr w:rsidR="00944265" w:rsidRPr="00944265" w14:paraId="26B779ED" w14:textId="77777777" w:rsidTr="001A4B15">
        <w:trPr>
          <w:trHeight w:val="507"/>
        </w:trPr>
        <w:tc>
          <w:tcPr>
            <w:tcW w:w="4820" w:type="dxa"/>
            <w:tcBorders>
              <w:top w:val="single" w:sz="4" w:space="0" w:color="auto"/>
              <w:left w:val="nil"/>
              <w:bottom w:val="nil"/>
              <w:right w:val="nil"/>
            </w:tcBorders>
            <w:hideMark/>
          </w:tcPr>
          <w:bookmarkEnd w:id="17"/>
          <w:p w14:paraId="64B5C19A"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Treatment</w:t>
            </w:r>
          </w:p>
        </w:tc>
        <w:tc>
          <w:tcPr>
            <w:tcW w:w="2410" w:type="dxa"/>
            <w:gridSpan w:val="2"/>
            <w:tcBorders>
              <w:top w:val="single" w:sz="4" w:space="0" w:color="auto"/>
              <w:left w:val="nil"/>
              <w:bottom w:val="nil"/>
              <w:right w:val="nil"/>
            </w:tcBorders>
            <w:hideMark/>
          </w:tcPr>
          <w:p w14:paraId="2BD10DDC" w14:textId="77777777" w:rsidR="00944265" w:rsidRPr="00944265" w:rsidRDefault="00944265" w:rsidP="001A4B15">
            <w:pPr>
              <w:contextualSpacing/>
              <w:jc w:val="center"/>
              <w:rPr>
                <w:rFonts w:ascii="Arial" w:eastAsia="Calibri" w:hAnsi="Arial" w:cs="Arial"/>
                <w:sz w:val="20"/>
                <w:szCs w:val="20"/>
                <w:lang w:val="en-GB"/>
              </w:rPr>
            </w:pPr>
            <w:r w:rsidRPr="00944265">
              <w:rPr>
                <w:rFonts w:ascii="Arial" w:eastAsia="Calibri" w:hAnsi="Arial" w:cs="Arial"/>
                <w:sz w:val="20"/>
                <w:szCs w:val="20"/>
                <w:lang w:val="en-GB"/>
              </w:rPr>
              <w:t>Cob length (cm)</w:t>
            </w:r>
          </w:p>
          <w:p w14:paraId="0E0D6D64" w14:textId="77777777" w:rsidR="00944265" w:rsidRPr="00944265" w:rsidRDefault="00944265" w:rsidP="001A4B15">
            <w:pPr>
              <w:contextualSpacing/>
              <w:jc w:val="center"/>
              <w:rPr>
                <w:rFonts w:ascii="Arial" w:eastAsia="Calibri" w:hAnsi="Arial" w:cs="Arial"/>
                <w:sz w:val="20"/>
                <w:szCs w:val="20"/>
                <w:lang w:val="en-GB"/>
              </w:rPr>
            </w:pPr>
          </w:p>
        </w:tc>
        <w:tc>
          <w:tcPr>
            <w:tcW w:w="2409" w:type="dxa"/>
            <w:gridSpan w:val="2"/>
            <w:tcBorders>
              <w:top w:val="single" w:sz="4" w:space="0" w:color="auto"/>
              <w:left w:val="nil"/>
              <w:bottom w:val="nil"/>
              <w:right w:val="nil"/>
            </w:tcBorders>
            <w:hideMark/>
          </w:tcPr>
          <w:p w14:paraId="342A5F35" w14:textId="77777777" w:rsidR="00944265" w:rsidRPr="00944265" w:rsidRDefault="00944265" w:rsidP="001A4B15">
            <w:pPr>
              <w:tabs>
                <w:tab w:val="center" w:pos="988"/>
              </w:tabs>
              <w:contextualSpacing/>
              <w:rPr>
                <w:rFonts w:ascii="Arial" w:eastAsia="Calibri" w:hAnsi="Arial" w:cs="Arial"/>
                <w:sz w:val="20"/>
                <w:szCs w:val="20"/>
                <w:lang w:val="en-GB"/>
              </w:rPr>
            </w:pPr>
            <w:r w:rsidRPr="00944265">
              <w:rPr>
                <w:rFonts w:ascii="Arial" w:eastAsia="Calibri" w:hAnsi="Arial" w:cs="Arial"/>
                <w:sz w:val="20"/>
                <w:szCs w:val="20"/>
                <w:lang w:val="en-GB"/>
              </w:rPr>
              <w:t xml:space="preserve">    Cob diameter (cm)</w:t>
            </w:r>
          </w:p>
          <w:p w14:paraId="589351D7" w14:textId="77777777" w:rsidR="00944265" w:rsidRPr="00944265" w:rsidRDefault="00944265" w:rsidP="001A4B15">
            <w:pPr>
              <w:contextualSpacing/>
              <w:jc w:val="center"/>
              <w:rPr>
                <w:rFonts w:ascii="Arial" w:eastAsia="Calibri" w:hAnsi="Arial" w:cs="Arial"/>
                <w:sz w:val="20"/>
                <w:szCs w:val="20"/>
                <w:lang w:val="en-GB"/>
              </w:rPr>
            </w:pPr>
          </w:p>
        </w:tc>
      </w:tr>
      <w:tr w:rsidR="00944265" w:rsidRPr="00944265" w14:paraId="202EC388" w14:textId="77777777" w:rsidTr="001A4B15">
        <w:trPr>
          <w:trHeight w:val="276"/>
        </w:trPr>
        <w:tc>
          <w:tcPr>
            <w:tcW w:w="4820" w:type="dxa"/>
            <w:tcBorders>
              <w:top w:val="nil"/>
              <w:left w:val="nil"/>
              <w:bottom w:val="single" w:sz="4" w:space="0" w:color="auto"/>
              <w:right w:val="nil"/>
            </w:tcBorders>
          </w:tcPr>
          <w:p w14:paraId="67CD4440" w14:textId="77777777" w:rsidR="00944265" w:rsidRPr="00944265" w:rsidRDefault="00944265" w:rsidP="001A4B15">
            <w:pPr>
              <w:contextualSpacing/>
              <w:jc w:val="both"/>
              <w:rPr>
                <w:rFonts w:ascii="Arial" w:eastAsia="Calibri" w:hAnsi="Arial" w:cs="Arial"/>
                <w:sz w:val="20"/>
                <w:szCs w:val="20"/>
                <w:lang w:val="en-GB"/>
              </w:rPr>
            </w:pPr>
          </w:p>
        </w:tc>
        <w:tc>
          <w:tcPr>
            <w:tcW w:w="1134" w:type="dxa"/>
            <w:tcBorders>
              <w:top w:val="nil"/>
              <w:left w:val="nil"/>
              <w:bottom w:val="single" w:sz="4" w:space="0" w:color="auto"/>
              <w:right w:val="nil"/>
            </w:tcBorders>
            <w:hideMark/>
          </w:tcPr>
          <w:p w14:paraId="48C02C3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276" w:type="dxa"/>
            <w:tcBorders>
              <w:top w:val="nil"/>
              <w:left w:val="nil"/>
              <w:bottom w:val="single" w:sz="4" w:space="0" w:color="auto"/>
              <w:right w:val="nil"/>
            </w:tcBorders>
            <w:hideMark/>
          </w:tcPr>
          <w:p w14:paraId="0F6CC8BF"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c>
          <w:tcPr>
            <w:tcW w:w="1275" w:type="dxa"/>
            <w:tcBorders>
              <w:top w:val="nil"/>
              <w:left w:val="nil"/>
              <w:bottom w:val="single" w:sz="4" w:space="0" w:color="auto"/>
              <w:right w:val="nil"/>
            </w:tcBorders>
            <w:hideMark/>
          </w:tcPr>
          <w:p w14:paraId="5B5DF28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134" w:type="dxa"/>
            <w:tcBorders>
              <w:top w:val="nil"/>
              <w:left w:val="nil"/>
              <w:bottom w:val="single" w:sz="4" w:space="0" w:color="auto"/>
              <w:right w:val="nil"/>
            </w:tcBorders>
            <w:hideMark/>
          </w:tcPr>
          <w:p w14:paraId="3E2EB05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r>
      <w:tr w:rsidR="00944265" w:rsidRPr="00944265" w14:paraId="195D5DDB" w14:textId="77777777" w:rsidTr="001A4B15">
        <w:trPr>
          <w:trHeight w:val="254"/>
        </w:trPr>
        <w:tc>
          <w:tcPr>
            <w:tcW w:w="4820" w:type="dxa"/>
            <w:tcBorders>
              <w:top w:val="single" w:sz="4" w:space="0" w:color="auto"/>
              <w:left w:val="nil"/>
              <w:bottom w:val="nil"/>
              <w:right w:val="nil"/>
            </w:tcBorders>
            <w:hideMark/>
          </w:tcPr>
          <w:p w14:paraId="3D100369"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Control</w:t>
            </w:r>
          </w:p>
        </w:tc>
        <w:tc>
          <w:tcPr>
            <w:tcW w:w="1134" w:type="dxa"/>
            <w:vAlign w:val="bottom"/>
            <w:hideMark/>
          </w:tcPr>
          <w:p w14:paraId="2A5FA62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13.30b</w:t>
            </w:r>
          </w:p>
        </w:tc>
        <w:tc>
          <w:tcPr>
            <w:tcW w:w="1276" w:type="dxa"/>
            <w:tcBorders>
              <w:top w:val="nil"/>
              <w:left w:val="nil"/>
              <w:bottom w:val="nil"/>
              <w:right w:val="nil"/>
            </w:tcBorders>
            <w:vAlign w:val="center"/>
          </w:tcPr>
          <w:p w14:paraId="32767CFD"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13.25c</w:t>
            </w:r>
          </w:p>
        </w:tc>
        <w:tc>
          <w:tcPr>
            <w:tcW w:w="1275" w:type="dxa"/>
            <w:vAlign w:val="bottom"/>
            <w:hideMark/>
          </w:tcPr>
          <w:p w14:paraId="06A5C6B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3.70c</w:t>
            </w:r>
          </w:p>
        </w:tc>
        <w:tc>
          <w:tcPr>
            <w:tcW w:w="1134" w:type="dxa"/>
            <w:tcBorders>
              <w:top w:val="nil"/>
              <w:left w:val="nil"/>
              <w:bottom w:val="nil"/>
              <w:right w:val="nil"/>
            </w:tcBorders>
            <w:vAlign w:val="center"/>
          </w:tcPr>
          <w:p w14:paraId="20C3FA1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3.67c</w:t>
            </w:r>
          </w:p>
        </w:tc>
      </w:tr>
      <w:tr w:rsidR="00944265" w:rsidRPr="00944265" w14:paraId="67BA3887" w14:textId="77777777" w:rsidTr="001A4B15">
        <w:trPr>
          <w:trHeight w:val="254"/>
        </w:trPr>
        <w:tc>
          <w:tcPr>
            <w:tcW w:w="4820" w:type="dxa"/>
            <w:hideMark/>
          </w:tcPr>
          <w:p w14:paraId="2DE661D1" w14:textId="79489BDA" w:rsidR="00944265" w:rsidRPr="000F1EF3" w:rsidRDefault="00944265" w:rsidP="007C4D89">
            <w:pPr>
              <w:contextualSpacing/>
              <w:rPr>
                <w:rFonts w:ascii="Arial" w:eastAsia="Calibri" w:hAnsi="Arial" w:cs="Arial"/>
                <w:sz w:val="20"/>
                <w:szCs w:val="20"/>
                <w:lang w:val="en-GB"/>
              </w:rPr>
            </w:pPr>
            <w:r w:rsidRPr="000F1EF3">
              <w:rPr>
                <w:rFonts w:ascii="Arial" w:eastAsia="Calibri" w:hAnsi="Arial" w:cs="Arial"/>
                <w:sz w:val="20"/>
                <w:szCs w:val="20"/>
                <w:lang w:val="en-GB"/>
              </w:rPr>
              <w:t>Granule NPK &amp; Urea (120-40-40)</w:t>
            </w:r>
            <w:r w:rsidR="000F1EF3" w:rsidRPr="000F1EF3">
              <w:rPr>
                <w:rFonts w:ascii="Arial" w:eastAsia="Calibri" w:hAnsi="Arial" w:cs="Arial"/>
                <w:sz w:val="20"/>
                <w:szCs w:val="20"/>
                <w:lang w:val="en-GB"/>
              </w:rPr>
              <w:t xml:space="preserve"> </w:t>
            </w:r>
            <w:r w:rsidRPr="000F1EF3">
              <w:rPr>
                <w:rFonts w:ascii="Arial" w:eastAsia="Calibri" w:hAnsi="Arial" w:cs="Arial"/>
                <w:sz w:val="20"/>
                <w:szCs w:val="20"/>
                <w:lang w:val="en-GB"/>
              </w:rPr>
              <w:t>200</w:t>
            </w:r>
            <w:r w:rsidR="000F1EF3" w:rsidRPr="000F1EF3">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134" w:type="dxa"/>
            <w:vAlign w:val="bottom"/>
            <w:hideMark/>
          </w:tcPr>
          <w:p w14:paraId="7A435EC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14.20b</w:t>
            </w:r>
          </w:p>
        </w:tc>
        <w:tc>
          <w:tcPr>
            <w:tcW w:w="1276" w:type="dxa"/>
            <w:tcBorders>
              <w:top w:val="nil"/>
              <w:left w:val="nil"/>
              <w:bottom w:val="nil"/>
              <w:right w:val="nil"/>
            </w:tcBorders>
            <w:vAlign w:val="center"/>
          </w:tcPr>
          <w:p w14:paraId="0598AA14"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16.35a</w:t>
            </w:r>
          </w:p>
        </w:tc>
        <w:tc>
          <w:tcPr>
            <w:tcW w:w="1275" w:type="dxa"/>
            <w:vAlign w:val="bottom"/>
            <w:hideMark/>
          </w:tcPr>
          <w:p w14:paraId="4CC17F6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4.00bc</w:t>
            </w:r>
          </w:p>
        </w:tc>
        <w:tc>
          <w:tcPr>
            <w:tcW w:w="1134" w:type="dxa"/>
            <w:tcBorders>
              <w:top w:val="nil"/>
              <w:left w:val="nil"/>
              <w:bottom w:val="nil"/>
              <w:right w:val="nil"/>
            </w:tcBorders>
            <w:vAlign w:val="center"/>
          </w:tcPr>
          <w:p w14:paraId="36409C5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4.0bc</w:t>
            </w:r>
          </w:p>
        </w:tc>
      </w:tr>
      <w:tr w:rsidR="00944265" w:rsidRPr="00944265" w14:paraId="0D17476A" w14:textId="77777777" w:rsidTr="001A4B15">
        <w:trPr>
          <w:trHeight w:val="254"/>
        </w:trPr>
        <w:tc>
          <w:tcPr>
            <w:tcW w:w="4820" w:type="dxa"/>
            <w:hideMark/>
          </w:tcPr>
          <w:p w14:paraId="6E17701A" w14:textId="79A81B38" w:rsidR="00944265" w:rsidRPr="000F1EF3" w:rsidRDefault="00944265" w:rsidP="007C4D89">
            <w:pPr>
              <w:contextualSpacing/>
              <w:rPr>
                <w:rFonts w:ascii="Arial" w:eastAsia="Calibri" w:hAnsi="Arial" w:cs="Arial"/>
                <w:sz w:val="20"/>
                <w:szCs w:val="20"/>
                <w:lang w:val="en-GB"/>
              </w:rPr>
            </w:pPr>
            <w:bookmarkStart w:id="18" w:name="_Hlk152669145"/>
            <w:r w:rsidRPr="000F1EF3">
              <w:rPr>
                <w:rFonts w:ascii="Arial" w:eastAsia="Calibri" w:hAnsi="Arial" w:cs="Arial"/>
                <w:sz w:val="20"/>
                <w:szCs w:val="20"/>
                <w:lang w:val="en-GB"/>
              </w:rPr>
              <w:t>Briquette NPK &amp;Urea (121-58.7</w:t>
            </w:r>
            <w:r w:rsidR="000B6F78" w:rsidRPr="000B6F78">
              <w:rPr>
                <w:rFonts w:ascii="Arial" w:eastAsia="Calibri" w:hAnsi="Arial" w:cs="Arial"/>
                <w:sz w:val="20"/>
                <w:szCs w:val="20"/>
                <w:highlight w:val="yellow"/>
                <w:lang w:val="en-GB"/>
              </w:rPr>
              <w:t>-</w:t>
            </w:r>
            <w:r w:rsidRPr="000F1EF3">
              <w:rPr>
                <w:rFonts w:ascii="Arial" w:eastAsia="Calibri" w:hAnsi="Arial" w:cs="Arial"/>
                <w:sz w:val="20"/>
                <w:szCs w:val="20"/>
                <w:lang w:val="en-GB"/>
              </w:rPr>
              <w:t>59) 230.4</w:t>
            </w:r>
            <w:bookmarkEnd w:id="18"/>
            <w:r w:rsidR="000F1EF3" w:rsidRPr="000F1EF3">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134" w:type="dxa"/>
            <w:vAlign w:val="bottom"/>
            <w:hideMark/>
          </w:tcPr>
          <w:p w14:paraId="14348637"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15.90a</w:t>
            </w:r>
          </w:p>
        </w:tc>
        <w:tc>
          <w:tcPr>
            <w:tcW w:w="1276" w:type="dxa"/>
            <w:tcBorders>
              <w:top w:val="nil"/>
              <w:left w:val="nil"/>
              <w:bottom w:val="nil"/>
              <w:right w:val="nil"/>
            </w:tcBorders>
            <w:vAlign w:val="center"/>
          </w:tcPr>
          <w:p w14:paraId="3E0DADB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14.57bc</w:t>
            </w:r>
          </w:p>
        </w:tc>
        <w:tc>
          <w:tcPr>
            <w:tcW w:w="1275" w:type="dxa"/>
            <w:vAlign w:val="bottom"/>
            <w:hideMark/>
          </w:tcPr>
          <w:p w14:paraId="2DCD449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4.10b</w:t>
            </w:r>
          </w:p>
        </w:tc>
        <w:tc>
          <w:tcPr>
            <w:tcW w:w="1134" w:type="dxa"/>
            <w:tcBorders>
              <w:top w:val="nil"/>
              <w:left w:val="nil"/>
              <w:bottom w:val="nil"/>
              <w:right w:val="nil"/>
            </w:tcBorders>
            <w:vAlign w:val="center"/>
          </w:tcPr>
          <w:p w14:paraId="36CDB7F7"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4.07bc</w:t>
            </w:r>
          </w:p>
        </w:tc>
      </w:tr>
      <w:tr w:rsidR="00944265" w:rsidRPr="00944265" w14:paraId="2D5B6B22" w14:textId="77777777" w:rsidTr="001A4B15">
        <w:trPr>
          <w:trHeight w:val="254"/>
        </w:trPr>
        <w:tc>
          <w:tcPr>
            <w:tcW w:w="4820" w:type="dxa"/>
            <w:hideMark/>
          </w:tcPr>
          <w:p w14:paraId="511B6853" w14:textId="15281BE3" w:rsidR="00944265" w:rsidRPr="000F1EF3" w:rsidRDefault="00944265" w:rsidP="007C4D89">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(114-44-44) 172.8</w:t>
            </w:r>
            <w:r w:rsidR="000F1EF3" w:rsidRPr="000F1EF3">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134" w:type="dxa"/>
            <w:vAlign w:val="bottom"/>
            <w:hideMark/>
          </w:tcPr>
          <w:p w14:paraId="237E288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14.60ab</w:t>
            </w:r>
          </w:p>
        </w:tc>
        <w:tc>
          <w:tcPr>
            <w:tcW w:w="1276" w:type="dxa"/>
            <w:tcBorders>
              <w:top w:val="nil"/>
              <w:left w:val="nil"/>
              <w:bottom w:val="nil"/>
              <w:right w:val="nil"/>
            </w:tcBorders>
            <w:vAlign w:val="center"/>
          </w:tcPr>
          <w:p w14:paraId="39E6480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13.95bc</w:t>
            </w:r>
          </w:p>
        </w:tc>
        <w:tc>
          <w:tcPr>
            <w:tcW w:w="1275" w:type="dxa"/>
            <w:vAlign w:val="bottom"/>
            <w:hideMark/>
          </w:tcPr>
          <w:p w14:paraId="5265B464"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4.00bc</w:t>
            </w:r>
          </w:p>
        </w:tc>
        <w:tc>
          <w:tcPr>
            <w:tcW w:w="1134" w:type="dxa"/>
            <w:tcBorders>
              <w:top w:val="nil"/>
              <w:left w:val="nil"/>
              <w:bottom w:val="nil"/>
              <w:right w:val="nil"/>
            </w:tcBorders>
            <w:vAlign w:val="center"/>
          </w:tcPr>
          <w:p w14:paraId="22C65299"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4.07bc</w:t>
            </w:r>
          </w:p>
        </w:tc>
      </w:tr>
      <w:tr w:rsidR="00944265" w:rsidRPr="00944265" w14:paraId="6E9C6CDD" w14:textId="77777777" w:rsidTr="001A4B15">
        <w:trPr>
          <w:trHeight w:val="254"/>
        </w:trPr>
        <w:tc>
          <w:tcPr>
            <w:tcW w:w="4820" w:type="dxa"/>
            <w:hideMark/>
          </w:tcPr>
          <w:p w14:paraId="2729CFFE" w14:textId="7C319FF3" w:rsidR="00944265" w:rsidRPr="000F1EF3" w:rsidRDefault="00944265" w:rsidP="007C4D89">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(91-59-59)230.4</w:t>
            </w:r>
            <w:r w:rsidR="000F1EF3" w:rsidRPr="000F1EF3">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134" w:type="dxa"/>
            <w:vAlign w:val="bottom"/>
            <w:hideMark/>
          </w:tcPr>
          <w:p w14:paraId="0A1D188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13.80b</w:t>
            </w:r>
          </w:p>
        </w:tc>
        <w:tc>
          <w:tcPr>
            <w:tcW w:w="1276" w:type="dxa"/>
            <w:tcBorders>
              <w:top w:val="nil"/>
              <w:left w:val="nil"/>
              <w:bottom w:val="nil"/>
              <w:right w:val="nil"/>
            </w:tcBorders>
            <w:vAlign w:val="center"/>
          </w:tcPr>
          <w:p w14:paraId="19435B19"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15.27ab</w:t>
            </w:r>
          </w:p>
        </w:tc>
        <w:tc>
          <w:tcPr>
            <w:tcW w:w="1275" w:type="dxa"/>
            <w:vAlign w:val="bottom"/>
            <w:hideMark/>
          </w:tcPr>
          <w:p w14:paraId="480A965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4.10b</w:t>
            </w:r>
          </w:p>
        </w:tc>
        <w:tc>
          <w:tcPr>
            <w:tcW w:w="1134" w:type="dxa"/>
            <w:tcBorders>
              <w:top w:val="nil"/>
              <w:left w:val="nil"/>
              <w:bottom w:val="nil"/>
              <w:right w:val="nil"/>
            </w:tcBorders>
            <w:vAlign w:val="center"/>
          </w:tcPr>
          <w:p w14:paraId="593558C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4.07bc</w:t>
            </w:r>
          </w:p>
        </w:tc>
      </w:tr>
      <w:tr w:rsidR="00944265" w:rsidRPr="00944265" w14:paraId="174A20E7" w14:textId="77777777" w:rsidTr="001A4B15">
        <w:trPr>
          <w:trHeight w:val="254"/>
        </w:trPr>
        <w:tc>
          <w:tcPr>
            <w:tcW w:w="4820" w:type="dxa"/>
            <w:hideMark/>
          </w:tcPr>
          <w:p w14:paraId="02094390" w14:textId="400E90B9" w:rsidR="00944265" w:rsidRPr="000F1EF3" w:rsidRDefault="00944265" w:rsidP="007C4D89">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(76-29-29)115.2</w:t>
            </w:r>
            <w:r w:rsidR="000F1EF3" w:rsidRPr="000F1EF3">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134" w:type="dxa"/>
            <w:vAlign w:val="bottom"/>
            <w:hideMark/>
          </w:tcPr>
          <w:p w14:paraId="3871A6B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14.40ab</w:t>
            </w:r>
          </w:p>
        </w:tc>
        <w:tc>
          <w:tcPr>
            <w:tcW w:w="1276" w:type="dxa"/>
            <w:tcBorders>
              <w:top w:val="nil"/>
              <w:left w:val="nil"/>
              <w:bottom w:val="nil"/>
              <w:right w:val="nil"/>
            </w:tcBorders>
            <w:vAlign w:val="center"/>
          </w:tcPr>
          <w:p w14:paraId="7B162F58"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14.55bc</w:t>
            </w:r>
          </w:p>
        </w:tc>
        <w:tc>
          <w:tcPr>
            <w:tcW w:w="1275" w:type="dxa"/>
            <w:vAlign w:val="bottom"/>
            <w:hideMark/>
          </w:tcPr>
          <w:p w14:paraId="1D234AE4"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4.50a</w:t>
            </w:r>
          </w:p>
        </w:tc>
        <w:tc>
          <w:tcPr>
            <w:tcW w:w="1134" w:type="dxa"/>
            <w:tcBorders>
              <w:top w:val="nil"/>
              <w:left w:val="nil"/>
              <w:bottom w:val="nil"/>
              <w:right w:val="nil"/>
            </w:tcBorders>
            <w:vAlign w:val="center"/>
          </w:tcPr>
          <w:p w14:paraId="6DFCD37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4.52a</w:t>
            </w:r>
          </w:p>
        </w:tc>
      </w:tr>
      <w:tr w:rsidR="00944265" w:rsidRPr="00944265" w14:paraId="247D77EF" w14:textId="77777777" w:rsidTr="001A4B15">
        <w:trPr>
          <w:trHeight w:val="254"/>
        </w:trPr>
        <w:tc>
          <w:tcPr>
            <w:tcW w:w="4820" w:type="dxa"/>
            <w:tcBorders>
              <w:top w:val="nil"/>
              <w:left w:val="nil"/>
              <w:right w:val="nil"/>
            </w:tcBorders>
            <w:hideMark/>
          </w:tcPr>
          <w:p w14:paraId="11DD0447" w14:textId="6C81A580" w:rsidR="00944265" w:rsidRPr="000F1EF3" w:rsidRDefault="00944265" w:rsidP="007C4D89">
            <w:pPr>
              <w:contextualSpacing/>
              <w:rPr>
                <w:rFonts w:ascii="Arial" w:eastAsia="Calibri" w:hAnsi="Arial" w:cs="Arial"/>
                <w:sz w:val="20"/>
                <w:szCs w:val="20"/>
                <w:lang w:val="en-GB"/>
              </w:rPr>
            </w:pPr>
            <w:r w:rsidRPr="000F1EF3">
              <w:rPr>
                <w:rFonts w:ascii="Arial" w:eastAsia="Calibri" w:hAnsi="Arial" w:cs="Arial"/>
                <w:sz w:val="20"/>
                <w:szCs w:val="20"/>
                <w:lang w:val="en-GB"/>
              </w:rPr>
              <w:t>Briquette NPK &amp; Urea (31-29-29)115.2</w:t>
            </w:r>
            <w:r w:rsidR="000F1EF3" w:rsidRPr="000F1EF3">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134" w:type="dxa"/>
            <w:vAlign w:val="bottom"/>
            <w:hideMark/>
          </w:tcPr>
          <w:p w14:paraId="66F9E0C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14.70ab</w:t>
            </w:r>
          </w:p>
        </w:tc>
        <w:tc>
          <w:tcPr>
            <w:tcW w:w="1276" w:type="dxa"/>
            <w:tcBorders>
              <w:top w:val="nil"/>
              <w:left w:val="nil"/>
              <w:right w:val="nil"/>
            </w:tcBorders>
            <w:vAlign w:val="center"/>
          </w:tcPr>
          <w:p w14:paraId="1B30E2A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15.07ab</w:t>
            </w:r>
          </w:p>
        </w:tc>
        <w:tc>
          <w:tcPr>
            <w:tcW w:w="1275" w:type="dxa"/>
            <w:vAlign w:val="bottom"/>
            <w:hideMark/>
          </w:tcPr>
          <w:p w14:paraId="3D72CDA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4.30ab</w:t>
            </w:r>
          </w:p>
        </w:tc>
        <w:tc>
          <w:tcPr>
            <w:tcW w:w="1134" w:type="dxa"/>
            <w:tcBorders>
              <w:top w:val="nil"/>
              <w:left w:val="nil"/>
              <w:right w:val="nil"/>
            </w:tcBorders>
            <w:vAlign w:val="center"/>
          </w:tcPr>
          <w:p w14:paraId="7849062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4.25ab</w:t>
            </w:r>
          </w:p>
        </w:tc>
      </w:tr>
      <w:tr w:rsidR="00944265" w:rsidRPr="00944265" w14:paraId="42F8181E" w14:textId="77777777" w:rsidTr="001A4B15">
        <w:trPr>
          <w:trHeight w:val="254"/>
        </w:trPr>
        <w:tc>
          <w:tcPr>
            <w:tcW w:w="4820" w:type="dxa"/>
            <w:tcBorders>
              <w:left w:val="nil"/>
              <w:bottom w:val="single" w:sz="4" w:space="0" w:color="auto"/>
              <w:right w:val="nil"/>
            </w:tcBorders>
          </w:tcPr>
          <w:p w14:paraId="7C6ED22E"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Mean</w:t>
            </w:r>
          </w:p>
        </w:tc>
        <w:tc>
          <w:tcPr>
            <w:tcW w:w="1134" w:type="dxa"/>
            <w:tcBorders>
              <w:left w:val="nil"/>
              <w:bottom w:val="single" w:sz="4" w:space="0" w:color="auto"/>
              <w:right w:val="nil"/>
            </w:tcBorders>
          </w:tcPr>
          <w:p w14:paraId="42821E0E" w14:textId="77777777" w:rsidR="00944265" w:rsidRPr="00944265" w:rsidRDefault="00944265" w:rsidP="001A4B15">
            <w:pPr>
              <w:contextualSpacing/>
              <w:rPr>
                <w:rFonts w:ascii="Arial" w:eastAsia="Calibri" w:hAnsi="Arial" w:cs="Arial"/>
                <w:b/>
                <w:bCs/>
                <w:color w:val="000000"/>
                <w:sz w:val="20"/>
                <w:szCs w:val="20"/>
                <w:lang w:val="en-GB"/>
              </w:rPr>
            </w:pPr>
            <w:r w:rsidRPr="00944265">
              <w:rPr>
                <w:rFonts w:ascii="Arial" w:eastAsia="Calibri" w:hAnsi="Arial" w:cs="Arial"/>
                <w:b/>
                <w:bCs/>
                <w:color w:val="000000"/>
                <w:sz w:val="20"/>
                <w:szCs w:val="20"/>
                <w:lang w:val="en-GB"/>
              </w:rPr>
              <w:t>14.41</w:t>
            </w:r>
          </w:p>
        </w:tc>
        <w:tc>
          <w:tcPr>
            <w:tcW w:w="1276" w:type="dxa"/>
            <w:tcBorders>
              <w:left w:val="nil"/>
              <w:bottom w:val="single" w:sz="4" w:space="0" w:color="auto"/>
              <w:right w:val="nil"/>
            </w:tcBorders>
          </w:tcPr>
          <w:p w14:paraId="14C7D5EE"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14.72</w:t>
            </w:r>
          </w:p>
        </w:tc>
        <w:tc>
          <w:tcPr>
            <w:tcW w:w="1275" w:type="dxa"/>
            <w:tcBorders>
              <w:left w:val="nil"/>
              <w:bottom w:val="single" w:sz="4" w:space="0" w:color="auto"/>
              <w:right w:val="nil"/>
            </w:tcBorders>
          </w:tcPr>
          <w:p w14:paraId="5166D2F1"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4.10</w:t>
            </w:r>
          </w:p>
        </w:tc>
        <w:tc>
          <w:tcPr>
            <w:tcW w:w="1134" w:type="dxa"/>
            <w:tcBorders>
              <w:left w:val="nil"/>
              <w:bottom w:val="single" w:sz="4" w:space="0" w:color="auto"/>
              <w:right w:val="nil"/>
            </w:tcBorders>
          </w:tcPr>
          <w:p w14:paraId="70B74C54"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4.09</w:t>
            </w:r>
          </w:p>
        </w:tc>
      </w:tr>
      <w:tr w:rsidR="00944265" w:rsidRPr="00944265" w14:paraId="2B170575" w14:textId="77777777" w:rsidTr="001A4B15">
        <w:trPr>
          <w:trHeight w:val="254"/>
        </w:trPr>
        <w:tc>
          <w:tcPr>
            <w:tcW w:w="4820" w:type="dxa"/>
            <w:tcBorders>
              <w:top w:val="single" w:sz="4" w:space="0" w:color="auto"/>
              <w:left w:val="nil"/>
              <w:right w:val="nil"/>
            </w:tcBorders>
            <w:hideMark/>
          </w:tcPr>
          <w:p w14:paraId="42C21C6D"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HSD (P ≤ 0.05)</w:t>
            </w:r>
          </w:p>
        </w:tc>
        <w:tc>
          <w:tcPr>
            <w:tcW w:w="1134" w:type="dxa"/>
            <w:tcBorders>
              <w:top w:val="single" w:sz="4" w:space="0" w:color="auto"/>
              <w:left w:val="nil"/>
              <w:right w:val="nil"/>
            </w:tcBorders>
            <w:hideMark/>
          </w:tcPr>
          <w:p w14:paraId="2BC96029"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1.59</w:t>
            </w:r>
          </w:p>
        </w:tc>
        <w:tc>
          <w:tcPr>
            <w:tcW w:w="1276" w:type="dxa"/>
            <w:tcBorders>
              <w:top w:val="single" w:sz="4" w:space="0" w:color="auto"/>
              <w:left w:val="nil"/>
              <w:right w:val="nil"/>
            </w:tcBorders>
            <w:vAlign w:val="bottom"/>
          </w:tcPr>
          <w:p w14:paraId="677AC136"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1.53</w:t>
            </w:r>
          </w:p>
        </w:tc>
        <w:tc>
          <w:tcPr>
            <w:tcW w:w="1275" w:type="dxa"/>
            <w:tcBorders>
              <w:top w:val="single" w:sz="4" w:space="0" w:color="auto"/>
              <w:left w:val="nil"/>
              <w:right w:val="nil"/>
            </w:tcBorders>
            <w:hideMark/>
          </w:tcPr>
          <w:p w14:paraId="6B5316EC"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0.39</w:t>
            </w:r>
          </w:p>
        </w:tc>
        <w:tc>
          <w:tcPr>
            <w:tcW w:w="1134" w:type="dxa"/>
            <w:tcBorders>
              <w:top w:val="single" w:sz="4" w:space="0" w:color="auto"/>
              <w:left w:val="nil"/>
              <w:right w:val="nil"/>
            </w:tcBorders>
            <w:vAlign w:val="bottom"/>
          </w:tcPr>
          <w:p w14:paraId="6DA3418F"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0.40</w:t>
            </w:r>
          </w:p>
        </w:tc>
      </w:tr>
      <w:tr w:rsidR="00944265" w:rsidRPr="00944265" w14:paraId="37A30639" w14:textId="77777777" w:rsidTr="001A4B15">
        <w:trPr>
          <w:trHeight w:val="254"/>
        </w:trPr>
        <w:tc>
          <w:tcPr>
            <w:tcW w:w="4820" w:type="dxa"/>
            <w:tcBorders>
              <w:top w:val="nil"/>
              <w:left w:val="nil"/>
              <w:right w:val="nil"/>
            </w:tcBorders>
            <w:hideMark/>
          </w:tcPr>
          <w:p w14:paraId="2D3932BF"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CV (%)</w:t>
            </w:r>
          </w:p>
        </w:tc>
        <w:tc>
          <w:tcPr>
            <w:tcW w:w="1134" w:type="dxa"/>
            <w:tcBorders>
              <w:top w:val="nil"/>
              <w:left w:val="nil"/>
              <w:right w:val="nil"/>
            </w:tcBorders>
            <w:hideMark/>
          </w:tcPr>
          <w:p w14:paraId="065C89AE"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color w:val="000000"/>
                <w:sz w:val="20"/>
                <w:szCs w:val="20"/>
                <w:lang w:val="en-GB"/>
              </w:rPr>
              <w:t>7.42</w:t>
            </w:r>
          </w:p>
        </w:tc>
        <w:tc>
          <w:tcPr>
            <w:tcW w:w="1276" w:type="dxa"/>
            <w:tcBorders>
              <w:top w:val="nil"/>
              <w:left w:val="nil"/>
              <w:right w:val="nil"/>
            </w:tcBorders>
            <w:vAlign w:val="bottom"/>
          </w:tcPr>
          <w:p w14:paraId="271A85D8"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8.65</w:t>
            </w:r>
          </w:p>
        </w:tc>
        <w:tc>
          <w:tcPr>
            <w:tcW w:w="1275" w:type="dxa"/>
            <w:tcBorders>
              <w:top w:val="nil"/>
              <w:left w:val="nil"/>
              <w:right w:val="nil"/>
            </w:tcBorders>
            <w:hideMark/>
          </w:tcPr>
          <w:p w14:paraId="3F8D7AB2"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6.39</w:t>
            </w:r>
          </w:p>
        </w:tc>
        <w:tc>
          <w:tcPr>
            <w:tcW w:w="1134" w:type="dxa"/>
            <w:tcBorders>
              <w:top w:val="nil"/>
              <w:left w:val="nil"/>
              <w:right w:val="nil"/>
            </w:tcBorders>
            <w:vAlign w:val="bottom"/>
          </w:tcPr>
          <w:p w14:paraId="31A8E697"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7.34</w:t>
            </w:r>
          </w:p>
        </w:tc>
      </w:tr>
      <w:tr w:rsidR="00944265" w:rsidRPr="00944265" w14:paraId="697242D7" w14:textId="77777777" w:rsidTr="001A4B15">
        <w:trPr>
          <w:trHeight w:val="239"/>
        </w:trPr>
        <w:tc>
          <w:tcPr>
            <w:tcW w:w="4820" w:type="dxa"/>
            <w:tcBorders>
              <w:top w:val="single" w:sz="4" w:space="0" w:color="auto"/>
              <w:left w:val="nil"/>
              <w:right w:val="nil"/>
            </w:tcBorders>
          </w:tcPr>
          <w:p w14:paraId="04328A9C"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Location</w:t>
            </w:r>
          </w:p>
        </w:tc>
        <w:tc>
          <w:tcPr>
            <w:tcW w:w="2410" w:type="dxa"/>
            <w:gridSpan w:val="2"/>
            <w:tcBorders>
              <w:top w:val="single" w:sz="4" w:space="0" w:color="auto"/>
              <w:left w:val="nil"/>
              <w:right w:val="nil"/>
            </w:tcBorders>
          </w:tcPr>
          <w:p w14:paraId="21FC243E"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0.60</w:t>
            </w:r>
            <w:r w:rsidRPr="00944265">
              <w:rPr>
                <w:rFonts w:ascii="Arial" w:eastAsia="Calibri" w:hAnsi="Arial" w:cs="Arial"/>
                <w:color w:val="000000"/>
                <w:sz w:val="20"/>
                <w:szCs w:val="20"/>
                <w:vertAlign w:val="superscript"/>
                <w:lang w:val="en-GB"/>
              </w:rPr>
              <w:t>NS</w:t>
            </w:r>
          </w:p>
        </w:tc>
        <w:tc>
          <w:tcPr>
            <w:tcW w:w="2409" w:type="dxa"/>
            <w:gridSpan w:val="2"/>
            <w:tcBorders>
              <w:top w:val="single" w:sz="4" w:space="0" w:color="auto"/>
              <w:left w:val="nil"/>
              <w:right w:val="nil"/>
            </w:tcBorders>
          </w:tcPr>
          <w:p w14:paraId="61072062"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0.13</w:t>
            </w:r>
            <w:r w:rsidRPr="00944265">
              <w:rPr>
                <w:rFonts w:ascii="Arial" w:eastAsia="Calibri" w:hAnsi="Arial" w:cs="Arial"/>
                <w:color w:val="000000"/>
                <w:sz w:val="20"/>
                <w:szCs w:val="20"/>
                <w:vertAlign w:val="superscript"/>
                <w:lang w:val="en-GB"/>
              </w:rPr>
              <w:t>NS</w:t>
            </w:r>
          </w:p>
        </w:tc>
      </w:tr>
      <w:tr w:rsidR="00944265" w:rsidRPr="00944265" w14:paraId="6AD1CD0A" w14:textId="77777777" w:rsidTr="001A4B15">
        <w:trPr>
          <w:trHeight w:val="254"/>
        </w:trPr>
        <w:tc>
          <w:tcPr>
            <w:tcW w:w="4820" w:type="dxa"/>
            <w:tcBorders>
              <w:left w:val="nil"/>
              <w:right w:val="nil"/>
            </w:tcBorders>
          </w:tcPr>
          <w:p w14:paraId="5F7B19E1"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Treatment x Location</w:t>
            </w:r>
          </w:p>
        </w:tc>
        <w:tc>
          <w:tcPr>
            <w:tcW w:w="2410" w:type="dxa"/>
            <w:gridSpan w:val="2"/>
            <w:tcBorders>
              <w:left w:val="nil"/>
              <w:right w:val="nil"/>
            </w:tcBorders>
          </w:tcPr>
          <w:p w14:paraId="109CBC89"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0.78*</w:t>
            </w:r>
          </w:p>
        </w:tc>
        <w:tc>
          <w:tcPr>
            <w:tcW w:w="2409" w:type="dxa"/>
            <w:gridSpan w:val="2"/>
            <w:tcBorders>
              <w:left w:val="nil"/>
              <w:right w:val="nil"/>
            </w:tcBorders>
          </w:tcPr>
          <w:p w14:paraId="67F9878B"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0.36*</w:t>
            </w:r>
          </w:p>
        </w:tc>
      </w:tr>
    </w:tbl>
    <w:p w14:paraId="31E31D51" w14:textId="77777777" w:rsidR="00944265" w:rsidRDefault="00944265" w:rsidP="00944265">
      <w:pPr>
        <w:spacing w:line="360" w:lineRule="auto"/>
        <w:jc w:val="both"/>
        <w:rPr>
          <w:rFonts w:ascii="Arial" w:hAnsi="Arial" w:cs="Arial"/>
          <w:u w:val="single"/>
        </w:rPr>
      </w:pPr>
    </w:p>
    <w:p w14:paraId="1D92850B" w14:textId="4C5DBAE5" w:rsidR="00944265" w:rsidRPr="00211DC5" w:rsidRDefault="00944265" w:rsidP="00944265">
      <w:pPr>
        <w:spacing w:line="360" w:lineRule="auto"/>
        <w:jc w:val="both"/>
        <w:rPr>
          <w:rFonts w:ascii="Arial" w:hAnsi="Arial" w:cs="Arial"/>
          <w:u w:val="single"/>
        </w:rPr>
      </w:pPr>
      <w:r w:rsidRPr="00211DC5">
        <w:rPr>
          <w:rFonts w:ascii="Arial" w:hAnsi="Arial" w:cs="Arial"/>
          <w:u w:val="single"/>
        </w:rPr>
        <w:t>3.6.</w:t>
      </w:r>
      <w:r>
        <w:rPr>
          <w:rFonts w:ascii="Arial" w:hAnsi="Arial" w:cs="Arial"/>
          <w:u w:val="single"/>
        </w:rPr>
        <w:t>5</w:t>
      </w:r>
      <w:r w:rsidRPr="00211DC5">
        <w:rPr>
          <w:rFonts w:ascii="Arial" w:hAnsi="Arial" w:cs="Arial"/>
          <w:u w:val="single"/>
        </w:rPr>
        <w:t xml:space="preserve"> </w:t>
      </w:r>
      <w:r>
        <w:rPr>
          <w:rFonts w:ascii="Arial" w:hAnsi="Arial" w:cs="Arial"/>
          <w:u w:val="single"/>
        </w:rPr>
        <w:t>Grain yield</w:t>
      </w:r>
    </w:p>
    <w:p w14:paraId="73FBEF11" w14:textId="1124D53F" w:rsidR="00211DC5" w:rsidRDefault="00944265" w:rsidP="00FE3B00">
      <w:pPr>
        <w:contextualSpacing/>
        <w:jc w:val="both"/>
        <w:rPr>
          <w:b/>
          <w:bCs/>
          <w:sz w:val="18"/>
          <w:szCs w:val="18"/>
        </w:rPr>
      </w:pPr>
      <w:bookmarkStart w:id="19" w:name="_Hlk213576732"/>
      <w:r w:rsidRPr="00944265">
        <w:rPr>
          <w:rFonts w:ascii="Arial" w:hAnsi="Arial" w:cs="Arial"/>
        </w:rPr>
        <w:t>Table 11 showed that the application of different granule and briquette fertilizers had a significant (P</w:t>
      </w:r>
      <w:r w:rsidRPr="00944265">
        <w:rPr>
          <w:rFonts w:ascii="Arial" w:hAnsi="Arial" w:cs="Arial"/>
          <w:iCs/>
        </w:rPr>
        <w:t>&gt;</w:t>
      </w:r>
      <w:r w:rsidRPr="00944265">
        <w:rPr>
          <w:rFonts w:ascii="Arial" w:hAnsi="Arial" w:cs="Arial"/>
        </w:rPr>
        <w:t xml:space="preserve">0.05) effect on grain yield per plot at Amantin and Nsapor. At Amantin, Briquette NPK &amp; Urea (121-58.7-59) 230.4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944265">
        <w:rPr>
          <w:rFonts w:ascii="Arial" w:hAnsi="Arial" w:cs="Arial"/>
        </w:rPr>
        <w:t>recorded the greatest (</w:t>
      </w:r>
      <w:r w:rsidRPr="00944265">
        <w:rPr>
          <w:rFonts w:ascii="Arial" w:hAnsi="Arial" w:cs="Arial"/>
          <w:color w:val="000000"/>
        </w:rPr>
        <w:t xml:space="preserve">3752.8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944265">
        <w:rPr>
          <w:rFonts w:ascii="Arial" w:hAnsi="Arial" w:cs="Arial"/>
        </w:rPr>
        <w:t xml:space="preserve">) grain yield per plot, which was significantly (P&lt;0.05) higher than the rest of the treatments except </w:t>
      </w:r>
      <w:r w:rsidRPr="00944265">
        <w:rPr>
          <w:rFonts w:ascii="Arial" w:eastAsia="Calibri" w:hAnsi="Arial" w:cs="Arial"/>
        </w:rPr>
        <w:t xml:space="preserve">Briquette NPK &amp; Urea (91-59-59) 230.4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944265">
        <w:rPr>
          <w:rFonts w:ascii="Arial" w:eastAsia="Calibri" w:hAnsi="Arial" w:cs="Arial"/>
        </w:rPr>
        <w:t xml:space="preserve">. At Nsapor, Briquette NPK &amp; Urea (76-29-29) 115.2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944265">
        <w:rPr>
          <w:rFonts w:ascii="Arial" w:hAnsi="Arial" w:cs="Arial"/>
        </w:rPr>
        <w:t>recorded the heaviest (</w:t>
      </w:r>
      <w:r w:rsidRPr="00944265">
        <w:rPr>
          <w:rFonts w:ascii="Arial" w:hAnsi="Arial" w:cs="Arial"/>
          <w:color w:val="000000"/>
        </w:rPr>
        <w:t xml:space="preserve">4864.5 </w:t>
      </w:r>
      <w:r w:rsidR="000B6F78" w:rsidRPr="007C4D89">
        <w:rPr>
          <w:rFonts w:ascii="Arial" w:hAnsi="Arial" w:cs="Arial"/>
          <w:highlight w:val="yellow"/>
        </w:rPr>
        <w:t>kg ha</w:t>
      </w:r>
      <w:r w:rsidR="000B6F78" w:rsidRPr="007C4D89">
        <w:rPr>
          <w:rFonts w:ascii="Arial" w:hAnsi="Arial" w:cs="Arial"/>
          <w:highlight w:val="yellow"/>
          <w:vertAlign w:val="superscript"/>
        </w:rPr>
        <w:t>-1</w:t>
      </w:r>
      <w:r w:rsidR="000B6F78" w:rsidRPr="007C4D89">
        <w:rPr>
          <w:rFonts w:ascii="Arial" w:hAnsi="Arial" w:cs="Arial"/>
          <w:vertAlign w:val="superscript"/>
        </w:rPr>
        <w:t xml:space="preserve"> </w:t>
      </w:r>
      <w:r w:rsidRPr="00944265">
        <w:rPr>
          <w:rFonts w:ascii="Arial" w:hAnsi="Arial" w:cs="Arial"/>
          <w:color w:val="000000"/>
        </w:rPr>
        <w:t xml:space="preserve">) grain yield per plot, </w:t>
      </w:r>
      <w:r w:rsidRPr="00944265">
        <w:rPr>
          <w:rFonts w:ascii="Arial" w:hAnsi="Arial" w:cs="Arial"/>
        </w:rPr>
        <w:t>which was not significantly (P&gt;0.05) different from the other granular and Briquette amended plots but differed significantly from plants grown on the unamended plots. Across both locations, plants grown on the unamended plot recorded the least grain weight per plot. Locations as well as treatment x location interactions significantly affected grain weight per plot.</w:t>
      </w:r>
      <w:bookmarkEnd w:id="19"/>
    </w:p>
    <w:p w14:paraId="2109EFB5" w14:textId="77777777" w:rsidR="00211DC5" w:rsidRDefault="00211DC5" w:rsidP="00B73739">
      <w:pPr>
        <w:jc w:val="center"/>
        <w:rPr>
          <w:b/>
          <w:bCs/>
          <w:sz w:val="18"/>
          <w:szCs w:val="18"/>
        </w:rPr>
      </w:pPr>
    </w:p>
    <w:p w14:paraId="1C68E42E" w14:textId="42A53A3F" w:rsidR="00944265" w:rsidRPr="00944265" w:rsidRDefault="00944265" w:rsidP="00944265">
      <w:pPr>
        <w:keepNext/>
        <w:spacing w:line="276" w:lineRule="auto"/>
        <w:contextualSpacing/>
        <w:jc w:val="both"/>
        <w:rPr>
          <w:rFonts w:ascii="Arial" w:eastAsia="Calibri" w:hAnsi="Arial" w:cs="Arial"/>
          <w:b/>
          <w:iCs/>
        </w:rPr>
      </w:pPr>
      <w:bookmarkStart w:id="20" w:name="_Toc196767040"/>
      <w:r w:rsidRPr="00944265">
        <w:rPr>
          <w:rFonts w:ascii="Arial" w:eastAsia="Calibri" w:hAnsi="Arial" w:cs="Arial"/>
          <w:b/>
          <w:iCs/>
        </w:rPr>
        <w:t>Table 11</w:t>
      </w:r>
      <w:r w:rsidR="007E4E21">
        <w:rPr>
          <w:rFonts w:ascii="Arial" w:eastAsia="Calibri" w:hAnsi="Arial" w:cs="Arial"/>
          <w:b/>
          <w:iCs/>
        </w:rPr>
        <w:t xml:space="preserve">. </w:t>
      </w:r>
      <w:r w:rsidRPr="00944265">
        <w:rPr>
          <w:rFonts w:ascii="Arial" w:eastAsia="Calibri" w:hAnsi="Arial" w:cs="Arial"/>
          <w:b/>
          <w:iCs/>
        </w:rPr>
        <w:t>Effect of NPK granules and briquettes fertilizer on the cob length and cob diameter at Amantin and Nsapor</w:t>
      </w:r>
    </w:p>
    <w:tbl>
      <w:tblPr>
        <w:tblStyle w:val="TableGrid31"/>
        <w:tblW w:w="8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419"/>
        <w:gridCol w:w="1845"/>
      </w:tblGrid>
      <w:tr w:rsidR="00944265" w:rsidRPr="00D926F7" w14:paraId="75A80AA5" w14:textId="77777777" w:rsidTr="001A4B15">
        <w:trPr>
          <w:trHeight w:val="507"/>
        </w:trPr>
        <w:tc>
          <w:tcPr>
            <w:tcW w:w="4820" w:type="dxa"/>
            <w:tcBorders>
              <w:top w:val="single" w:sz="4" w:space="0" w:color="auto"/>
              <w:left w:val="nil"/>
              <w:bottom w:val="nil"/>
              <w:right w:val="nil"/>
            </w:tcBorders>
            <w:hideMark/>
          </w:tcPr>
          <w:p w14:paraId="7F06697C" w14:textId="77777777" w:rsidR="00944265" w:rsidRPr="00D926F7" w:rsidRDefault="00944265" w:rsidP="001A4B15">
            <w:pPr>
              <w:contextualSpacing/>
              <w:jc w:val="both"/>
              <w:rPr>
                <w:rFonts w:ascii="Arial" w:eastAsia="Calibri" w:hAnsi="Arial" w:cs="Arial"/>
                <w:sz w:val="20"/>
                <w:szCs w:val="20"/>
                <w:lang w:val="en-GB"/>
              </w:rPr>
            </w:pPr>
            <w:r w:rsidRPr="00D926F7">
              <w:rPr>
                <w:rFonts w:ascii="Arial" w:eastAsia="Calibri" w:hAnsi="Arial" w:cs="Arial"/>
                <w:sz w:val="20"/>
                <w:szCs w:val="20"/>
                <w:lang w:val="en-GB"/>
              </w:rPr>
              <w:t>Treatment</w:t>
            </w:r>
          </w:p>
        </w:tc>
        <w:tc>
          <w:tcPr>
            <w:tcW w:w="3264" w:type="dxa"/>
            <w:gridSpan w:val="2"/>
            <w:tcBorders>
              <w:top w:val="single" w:sz="4" w:space="0" w:color="auto"/>
              <w:left w:val="nil"/>
              <w:bottom w:val="nil"/>
              <w:right w:val="nil"/>
            </w:tcBorders>
            <w:hideMark/>
          </w:tcPr>
          <w:p w14:paraId="3409C3C4" w14:textId="7FB1B7CC" w:rsidR="00944265" w:rsidRPr="00D926F7" w:rsidRDefault="00944265" w:rsidP="001A4B15">
            <w:pPr>
              <w:contextualSpacing/>
              <w:rPr>
                <w:rFonts w:ascii="Arial" w:eastAsia="Calibri" w:hAnsi="Arial" w:cs="Arial"/>
                <w:sz w:val="20"/>
                <w:szCs w:val="20"/>
                <w:lang w:val="en-GB"/>
              </w:rPr>
            </w:pPr>
            <w:r w:rsidRPr="00D926F7">
              <w:rPr>
                <w:rFonts w:ascii="Arial" w:eastAsia="Calibri" w:hAnsi="Arial" w:cs="Arial"/>
                <w:sz w:val="20"/>
                <w:szCs w:val="20"/>
              </w:rPr>
              <w:t xml:space="preserve">     Grain yield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r w:rsidRPr="00D926F7">
              <w:rPr>
                <w:rFonts w:ascii="Arial" w:eastAsia="Calibri" w:hAnsi="Arial" w:cs="Arial"/>
                <w:sz w:val="20"/>
                <w:szCs w:val="20"/>
              </w:rPr>
              <w:t>)</w:t>
            </w:r>
          </w:p>
        </w:tc>
      </w:tr>
      <w:tr w:rsidR="00944265" w:rsidRPr="00944265" w14:paraId="5B2E160A" w14:textId="77777777" w:rsidTr="001A4B15">
        <w:trPr>
          <w:trHeight w:val="276"/>
        </w:trPr>
        <w:tc>
          <w:tcPr>
            <w:tcW w:w="4820" w:type="dxa"/>
            <w:tcBorders>
              <w:top w:val="nil"/>
              <w:left w:val="nil"/>
              <w:bottom w:val="single" w:sz="4" w:space="0" w:color="auto"/>
              <w:right w:val="nil"/>
            </w:tcBorders>
          </w:tcPr>
          <w:p w14:paraId="4AAD50FB" w14:textId="77777777" w:rsidR="00944265" w:rsidRPr="00944265" w:rsidRDefault="00944265" w:rsidP="001A4B15">
            <w:pPr>
              <w:contextualSpacing/>
              <w:jc w:val="both"/>
              <w:rPr>
                <w:rFonts w:ascii="Arial" w:eastAsia="Calibri" w:hAnsi="Arial" w:cs="Arial"/>
                <w:sz w:val="20"/>
                <w:szCs w:val="20"/>
                <w:lang w:val="en-GB"/>
              </w:rPr>
            </w:pPr>
          </w:p>
        </w:tc>
        <w:tc>
          <w:tcPr>
            <w:tcW w:w="1419" w:type="dxa"/>
            <w:tcBorders>
              <w:top w:val="nil"/>
              <w:left w:val="nil"/>
              <w:bottom w:val="single" w:sz="4" w:space="0" w:color="auto"/>
              <w:right w:val="nil"/>
            </w:tcBorders>
            <w:hideMark/>
          </w:tcPr>
          <w:p w14:paraId="76087C88"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843" w:type="dxa"/>
            <w:tcBorders>
              <w:top w:val="nil"/>
              <w:left w:val="nil"/>
              <w:bottom w:val="single" w:sz="4" w:space="0" w:color="auto"/>
              <w:right w:val="nil"/>
            </w:tcBorders>
            <w:hideMark/>
          </w:tcPr>
          <w:p w14:paraId="3E9E54F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r>
      <w:tr w:rsidR="00944265" w:rsidRPr="00944265" w14:paraId="4C63B0F2" w14:textId="77777777" w:rsidTr="001A4B15">
        <w:trPr>
          <w:trHeight w:val="254"/>
        </w:trPr>
        <w:tc>
          <w:tcPr>
            <w:tcW w:w="4820" w:type="dxa"/>
            <w:tcBorders>
              <w:top w:val="single" w:sz="4" w:space="0" w:color="auto"/>
              <w:left w:val="nil"/>
              <w:bottom w:val="nil"/>
              <w:right w:val="nil"/>
            </w:tcBorders>
            <w:hideMark/>
          </w:tcPr>
          <w:p w14:paraId="12107213"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Control</w:t>
            </w:r>
          </w:p>
        </w:tc>
        <w:tc>
          <w:tcPr>
            <w:tcW w:w="1419" w:type="dxa"/>
            <w:vAlign w:val="bottom"/>
          </w:tcPr>
          <w:p w14:paraId="1BF500B9"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1989.00e</w:t>
            </w:r>
          </w:p>
        </w:tc>
        <w:tc>
          <w:tcPr>
            <w:tcW w:w="1843" w:type="dxa"/>
            <w:tcBorders>
              <w:top w:val="nil"/>
              <w:left w:val="nil"/>
              <w:bottom w:val="nil"/>
              <w:right w:val="nil"/>
            </w:tcBorders>
            <w:vAlign w:val="center"/>
          </w:tcPr>
          <w:p w14:paraId="21296711"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3855.30b</w:t>
            </w:r>
          </w:p>
        </w:tc>
      </w:tr>
      <w:tr w:rsidR="00944265" w:rsidRPr="00944265" w14:paraId="14827D09" w14:textId="77777777" w:rsidTr="001A4B15">
        <w:trPr>
          <w:trHeight w:val="254"/>
        </w:trPr>
        <w:tc>
          <w:tcPr>
            <w:tcW w:w="4820" w:type="dxa"/>
            <w:hideMark/>
          </w:tcPr>
          <w:p w14:paraId="27880F7A" w14:textId="708827B7" w:rsidR="00944265" w:rsidRPr="00D926F7" w:rsidRDefault="00944265" w:rsidP="007C4D89">
            <w:pPr>
              <w:contextualSpacing/>
              <w:rPr>
                <w:rFonts w:ascii="Arial" w:eastAsia="Calibri" w:hAnsi="Arial" w:cs="Arial"/>
                <w:sz w:val="20"/>
                <w:szCs w:val="20"/>
                <w:lang w:val="en-GB"/>
              </w:rPr>
            </w:pPr>
            <w:r w:rsidRPr="00D926F7">
              <w:rPr>
                <w:rFonts w:ascii="Arial" w:eastAsia="Calibri" w:hAnsi="Arial" w:cs="Arial"/>
                <w:sz w:val="20"/>
                <w:szCs w:val="20"/>
                <w:lang w:val="en-GB"/>
              </w:rPr>
              <w:t>Granule NPK &amp; Urea (120-40-40)</w:t>
            </w:r>
            <w:r w:rsidR="00D926F7" w:rsidRPr="00D926F7">
              <w:rPr>
                <w:rFonts w:ascii="Arial" w:eastAsia="Calibri" w:hAnsi="Arial" w:cs="Arial"/>
                <w:sz w:val="20"/>
                <w:szCs w:val="20"/>
                <w:lang w:val="en-GB"/>
              </w:rPr>
              <w:t xml:space="preserve"> </w:t>
            </w:r>
            <w:r w:rsidRPr="00D926F7">
              <w:rPr>
                <w:rFonts w:ascii="Arial" w:eastAsia="Calibri" w:hAnsi="Arial" w:cs="Arial"/>
                <w:sz w:val="20"/>
                <w:szCs w:val="20"/>
                <w:lang w:val="en-GB"/>
              </w:rPr>
              <w:t>200</w:t>
            </w:r>
            <w:r w:rsidR="00D926F7" w:rsidRPr="00D926F7">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419" w:type="dxa"/>
            <w:vAlign w:val="bottom"/>
          </w:tcPr>
          <w:p w14:paraId="29C693D0"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3252.80bc</w:t>
            </w:r>
          </w:p>
        </w:tc>
        <w:tc>
          <w:tcPr>
            <w:tcW w:w="1843" w:type="dxa"/>
            <w:tcBorders>
              <w:top w:val="nil"/>
              <w:left w:val="nil"/>
              <w:bottom w:val="nil"/>
              <w:right w:val="nil"/>
            </w:tcBorders>
            <w:vAlign w:val="center"/>
          </w:tcPr>
          <w:p w14:paraId="422159E5"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4638.50a</w:t>
            </w:r>
          </w:p>
        </w:tc>
      </w:tr>
      <w:tr w:rsidR="00944265" w:rsidRPr="00944265" w14:paraId="1C434658" w14:textId="77777777" w:rsidTr="001A4B15">
        <w:trPr>
          <w:trHeight w:val="254"/>
        </w:trPr>
        <w:tc>
          <w:tcPr>
            <w:tcW w:w="4820" w:type="dxa"/>
            <w:hideMark/>
          </w:tcPr>
          <w:p w14:paraId="6D0389C0" w14:textId="41293652" w:rsidR="00944265" w:rsidRPr="00D926F7" w:rsidRDefault="00944265" w:rsidP="007C4D89">
            <w:pPr>
              <w:contextualSpacing/>
              <w:rPr>
                <w:rFonts w:ascii="Arial" w:eastAsia="Calibri" w:hAnsi="Arial" w:cs="Arial"/>
                <w:sz w:val="20"/>
                <w:szCs w:val="20"/>
                <w:lang w:val="en-GB"/>
              </w:rPr>
            </w:pPr>
            <w:r w:rsidRPr="00D926F7">
              <w:rPr>
                <w:rFonts w:ascii="Arial" w:eastAsia="Calibri" w:hAnsi="Arial" w:cs="Arial"/>
                <w:sz w:val="20"/>
                <w:szCs w:val="20"/>
                <w:lang w:val="en-GB"/>
              </w:rPr>
              <w:t>Briquette NPK &amp;Urea (121-58.7</w:t>
            </w:r>
            <w:r w:rsidR="000B6F78" w:rsidRPr="000B6F78">
              <w:rPr>
                <w:rFonts w:ascii="Arial" w:eastAsia="Calibri" w:hAnsi="Arial" w:cs="Arial"/>
                <w:sz w:val="20"/>
                <w:szCs w:val="20"/>
                <w:highlight w:val="yellow"/>
                <w:lang w:val="en-GB"/>
              </w:rPr>
              <w:t>-</w:t>
            </w:r>
            <w:r w:rsidRPr="00D926F7">
              <w:rPr>
                <w:rFonts w:ascii="Arial" w:eastAsia="Calibri" w:hAnsi="Arial" w:cs="Arial"/>
                <w:sz w:val="20"/>
                <w:szCs w:val="20"/>
                <w:lang w:val="en-GB"/>
              </w:rPr>
              <w:t>59) 230.4</w:t>
            </w:r>
            <w:r w:rsidR="00D926F7" w:rsidRPr="00D926F7">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419" w:type="dxa"/>
            <w:vAlign w:val="bottom"/>
          </w:tcPr>
          <w:p w14:paraId="3BC86F87"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3752.80a</w:t>
            </w:r>
          </w:p>
        </w:tc>
        <w:tc>
          <w:tcPr>
            <w:tcW w:w="1843" w:type="dxa"/>
            <w:tcBorders>
              <w:top w:val="nil"/>
              <w:left w:val="nil"/>
              <w:bottom w:val="nil"/>
              <w:right w:val="nil"/>
            </w:tcBorders>
            <w:vAlign w:val="center"/>
          </w:tcPr>
          <w:p w14:paraId="136B73B9"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4405.50ab</w:t>
            </w:r>
          </w:p>
        </w:tc>
      </w:tr>
      <w:tr w:rsidR="00944265" w:rsidRPr="00944265" w14:paraId="64CE6472" w14:textId="77777777" w:rsidTr="001A4B15">
        <w:trPr>
          <w:trHeight w:val="254"/>
        </w:trPr>
        <w:tc>
          <w:tcPr>
            <w:tcW w:w="4820" w:type="dxa"/>
            <w:hideMark/>
          </w:tcPr>
          <w:p w14:paraId="5BEE520B" w14:textId="495D301F" w:rsidR="00944265" w:rsidRPr="00D926F7" w:rsidRDefault="00944265" w:rsidP="007C4D89">
            <w:pPr>
              <w:contextualSpacing/>
              <w:rPr>
                <w:rFonts w:ascii="Arial" w:eastAsia="Calibri" w:hAnsi="Arial" w:cs="Arial"/>
                <w:sz w:val="20"/>
                <w:szCs w:val="20"/>
                <w:lang w:val="en-GB"/>
              </w:rPr>
            </w:pPr>
            <w:r w:rsidRPr="00D926F7">
              <w:rPr>
                <w:rFonts w:ascii="Arial" w:eastAsia="Calibri" w:hAnsi="Arial" w:cs="Arial"/>
                <w:sz w:val="20"/>
                <w:szCs w:val="20"/>
                <w:lang w:val="en-GB"/>
              </w:rPr>
              <w:t>Briquette NPK &amp; Urea (114-44-44) 172.8</w:t>
            </w:r>
            <w:r w:rsidR="00D926F7" w:rsidRPr="00D926F7">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419" w:type="dxa"/>
            <w:vAlign w:val="bottom"/>
          </w:tcPr>
          <w:p w14:paraId="60CE530D"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3233.30bc</w:t>
            </w:r>
          </w:p>
        </w:tc>
        <w:tc>
          <w:tcPr>
            <w:tcW w:w="1843" w:type="dxa"/>
            <w:tcBorders>
              <w:top w:val="nil"/>
              <w:left w:val="nil"/>
              <w:bottom w:val="nil"/>
              <w:right w:val="nil"/>
            </w:tcBorders>
            <w:vAlign w:val="center"/>
          </w:tcPr>
          <w:p w14:paraId="6654F881"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4816.30a</w:t>
            </w:r>
          </w:p>
        </w:tc>
      </w:tr>
      <w:tr w:rsidR="00944265" w:rsidRPr="00944265" w14:paraId="431C7124" w14:textId="77777777" w:rsidTr="001A4B15">
        <w:trPr>
          <w:trHeight w:val="254"/>
        </w:trPr>
        <w:tc>
          <w:tcPr>
            <w:tcW w:w="4820" w:type="dxa"/>
            <w:hideMark/>
          </w:tcPr>
          <w:p w14:paraId="5CF065B8" w14:textId="2CEA8BC1" w:rsidR="00944265" w:rsidRPr="00D926F7" w:rsidRDefault="00944265" w:rsidP="007C4D89">
            <w:pPr>
              <w:contextualSpacing/>
              <w:rPr>
                <w:rFonts w:ascii="Arial" w:eastAsia="Calibri" w:hAnsi="Arial" w:cs="Arial"/>
                <w:sz w:val="20"/>
                <w:szCs w:val="20"/>
                <w:lang w:val="en-GB"/>
              </w:rPr>
            </w:pPr>
            <w:r w:rsidRPr="00D926F7">
              <w:rPr>
                <w:rFonts w:ascii="Arial" w:eastAsia="Calibri" w:hAnsi="Arial" w:cs="Arial"/>
                <w:sz w:val="20"/>
                <w:szCs w:val="20"/>
                <w:lang w:val="en-GB"/>
              </w:rPr>
              <w:t>Briquette NPK &amp; Urea (91-59-59)230.4</w:t>
            </w:r>
            <w:r w:rsidR="00D926F7" w:rsidRPr="00D926F7">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419" w:type="dxa"/>
            <w:vAlign w:val="bottom"/>
          </w:tcPr>
          <w:p w14:paraId="0D7B2ACC"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3580.70ab</w:t>
            </w:r>
          </w:p>
        </w:tc>
        <w:tc>
          <w:tcPr>
            <w:tcW w:w="1843" w:type="dxa"/>
            <w:tcBorders>
              <w:top w:val="nil"/>
              <w:left w:val="nil"/>
              <w:bottom w:val="nil"/>
              <w:right w:val="nil"/>
            </w:tcBorders>
            <w:vAlign w:val="center"/>
          </w:tcPr>
          <w:p w14:paraId="49259D9D"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4657.50a</w:t>
            </w:r>
          </w:p>
        </w:tc>
      </w:tr>
      <w:tr w:rsidR="00944265" w:rsidRPr="00944265" w14:paraId="0811795E" w14:textId="77777777" w:rsidTr="001A4B15">
        <w:trPr>
          <w:trHeight w:val="254"/>
        </w:trPr>
        <w:tc>
          <w:tcPr>
            <w:tcW w:w="4820" w:type="dxa"/>
            <w:hideMark/>
          </w:tcPr>
          <w:p w14:paraId="352D5B81" w14:textId="68A9897B" w:rsidR="00944265" w:rsidRPr="00D926F7" w:rsidRDefault="00944265" w:rsidP="007C4D89">
            <w:pPr>
              <w:contextualSpacing/>
              <w:rPr>
                <w:rFonts w:ascii="Arial" w:eastAsia="Calibri" w:hAnsi="Arial" w:cs="Arial"/>
                <w:sz w:val="20"/>
                <w:szCs w:val="20"/>
                <w:lang w:val="en-GB"/>
              </w:rPr>
            </w:pPr>
            <w:r w:rsidRPr="00D926F7">
              <w:rPr>
                <w:rFonts w:ascii="Arial" w:eastAsia="Calibri" w:hAnsi="Arial" w:cs="Arial"/>
                <w:sz w:val="20"/>
                <w:szCs w:val="20"/>
                <w:lang w:val="en-GB"/>
              </w:rPr>
              <w:t>Briquette NPK &amp; Urea (76-29-29)115.2</w:t>
            </w:r>
            <w:r w:rsidR="00D926F7" w:rsidRPr="00D926F7">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419" w:type="dxa"/>
            <w:vAlign w:val="bottom"/>
          </w:tcPr>
          <w:p w14:paraId="281C2D25"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3047.00c</w:t>
            </w:r>
          </w:p>
        </w:tc>
        <w:tc>
          <w:tcPr>
            <w:tcW w:w="1843" w:type="dxa"/>
            <w:tcBorders>
              <w:top w:val="nil"/>
              <w:left w:val="nil"/>
              <w:bottom w:val="nil"/>
              <w:right w:val="nil"/>
            </w:tcBorders>
            <w:vAlign w:val="center"/>
          </w:tcPr>
          <w:p w14:paraId="5BFCB0A4"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4864.50a</w:t>
            </w:r>
          </w:p>
        </w:tc>
      </w:tr>
      <w:tr w:rsidR="00944265" w:rsidRPr="00944265" w14:paraId="46516CC3" w14:textId="77777777" w:rsidTr="001A4B15">
        <w:trPr>
          <w:trHeight w:val="254"/>
        </w:trPr>
        <w:tc>
          <w:tcPr>
            <w:tcW w:w="4820" w:type="dxa"/>
            <w:tcBorders>
              <w:top w:val="nil"/>
              <w:left w:val="nil"/>
              <w:right w:val="nil"/>
            </w:tcBorders>
            <w:hideMark/>
          </w:tcPr>
          <w:p w14:paraId="2169D34E" w14:textId="2BB86B22" w:rsidR="00944265" w:rsidRPr="00D926F7" w:rsidRDefault="00944265" w:rsidP="007C4D89">
            <w:pPr>
              <w:contextualSpacing/>
              <w:rPr>
                <w:rFonts w:ascii="Arial" w:eastAsia="Calibri" w:hAnsi="Arial" w:cs="Arial"/>
                <w:sz w:val="20"/>
                <w:szCs w:val="20"/>
                <w:lang w:val="en-GB"/>
              </w:rPr>
            </w:pPr>
            <w:r w:rsidRPr="00D926F7">
              <w:rPr>
                <w:rFonts w:ascii="Arial" w:eastAsia="Calibri" w:hAnsi="Arial" w:cs="Arial"/>
                <w:sz w:val="20"/>
                <w:szCs w:val="20"/>
                <w:lang w:val="en-GB"/>
              </w:rPr>
              <w:t>Briquette NPK &amp; Urea (31-29-29)115.2</w:t>
            </w:r>
            <w:r w:rsidR="00D926F7" w:rsidRPr="00D926F7">
              <w:rPr>
                <w:rFonts w:ascii="Arial" w:eastAsia="Calibri" w:hAnsi="Arial" w:cs="Arial"/>
                <w:sz w:val="20"/>
                <w:szCs w:val="20"/>
                <w:lang w:val="en-GB"/>
              </w:rPr>
              <w:t xml:space="preserve">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p>
        </w:tc>
        <w:tc>
          <w:tcPr>
            <w:tcW w:w="1419" w:type="dxa"/>
            <w:vAlign w:val="bottom"/>
          </w:tcPr>
          <w:p w14:paraId="73DC2E1A"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2500.00d</w:t>
            </w:r>
          </w:p>
        </w:tc>
        <w:tc>
          <w:tcPr>
            <w:tcW w:w="1843" w:type="dxa"/>
            <w:tcBorders>
              <w:top w:val="nil"/>
              <w:left w:val="nil"/>
              <w:right w:val="nil"/>
            </w:tcBorders>
            <w:vAlign w:val="center"/>
          </w:tcPr>
          <w:p w14:paraId="60E18252"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4381.50ab</w:t>
            </w:r>
          </w:p>
        </w:tc>
      </w:tr>
      <w:tr w:rsidR="00944265" w:rsidRPr="00944265" w14:paraId="1CF776AE" w14:textId="77777777" w:rsidTr="001A4B15">
        <w:trPr>
          <w:trHeight w:val="254"/>
        </w:trPr>
        <w:tc>
          <w:tcPr>
            <w:tcW w:w="4820" w:type="dxa"/>
            <w:tcBorders>
              <w:left w:val="nil"/>
              <w:bottom w:val="single" w:sz="4" w:space="0" w:color="auto"/>
              <w:right w:val="nil"/>
            </w:tcBorders>
          </w:tcPr>
          <w:p w14:paraId="3CC66109"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Mean</w:t>
            </w:r>
          </w:p>
        </w:tc>
        <w:tc>
          <w:tcPr>
            <w:tcW w:w="1419" w:type="dxa"/>
            <w:tcBorders>
              <w:left w:val="nil"/>
              <w:bottom w:val="single" w:sz="4" w:space="0" w:color="auto"/>
              <w:right w:val="nil"/>
            </w:tcBorders>
          </w:tcPr>
          <w:p w14:paraId="21857B33" w14:textId="77777777" w:rsidR="00944265" w:rsidRPr="00944265" w:rsidRDefault="00944265" w:rsidP="001A4B15">
            <w:pPr>
              <w:contextualSpacing/>
              <w:rPr>
                <w:rFonts w:ascii="Arial" w:eastAsia="Calibri" w:hAnsi="Arial" w:cs="Arial"/>
                <w:b/>
                <w:bCs/>
                <w:color w:val="000000"/>
                <w:sz w:val="20"/>
                <w:szCs w:val="20"/>
                <w:lang w:val="en-GB"/>
              </w:rPr>
            </w:pPr>
            <w:r w:rsidRPr="00944265">
              <w:rPr>
                <w:rFonts w:ascii="Arial" w:hAnsi="Arial" w:cs="Arial"/>
                <w:b/>
                <w:bCs/>
                <w:sz w:val="20"/>
                <w:szCs w:val="20"/>
              </w:rPr>
              <w:t>3050.80</w:t>
            </w:r>
          </w:p>
        </w:tc>
        <w:tc>
          <w:tcPr>
            <w:tcW w:w="1843" w:type="dxa"/>
            <w:tcBorders>
              <w:left w:val="nil"/>
              <w:bottom w:val="single" w:sz="4" w:space="0" w:color="auto"/>
              <w:right w:val="nil"/>
            </w:tcBorders>
          </w:tcPr>
          <w:p w14:paraId="18D420B5"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4517.01</w:t>
            </w:r>
          </w:p>
        </w:tc>
      </w:tr>
      <w:tr w:rsidR="00944265" w:rsidRPr="00944265" w14:paraId="137CD1D8" w14:textId="77777777" w:rsidTr="001A4B15">
        <w:trPr>
          <w:trHeight w:val="254"/>
        </w:trPr>
        <w:tc>
          <w:tcPr>
            <w:tcW w:w="4820" w:type="dxa"/>
            <w:tcBorders>
              <w:top w:val="single" w:sz="4" w:space="0" w:color="auto"/>
              <w:left w:val="nil"/>
              <w:right w:val="nil"/>
            </w:tcBorders>
            <w:hideMark/>
          </w:tcPr>
          <w:p w14:paraId="5C90AA28"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HSD (P ≤ 0.05)</w:t>
            </w:r>
          </w:p>
        </w:tc>
        <w:tc>
          <w:tcPr>
            <w:tcW w:w="1419" w:type="dxa"/>
            <w:tcBorders>
              <w:top w:val="single" w:sz="4" w:space="0" w:color="auto"/>
              <w:left w:val="nil"/>
              <w:right w:val="nil"/>
            </w:tcBorders>
          </w:tcPr>
          <w:p w14:paraId="34DC9C2B"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491.22</w:t>
            </w:r>
          </w:p>
        </w:tc>
        <w:tc>
          <w:tcPr>
            <w:tcW w:w="1843" w:type="dxa"/>
            <w:tcBorders>
              <w:top w:val="single" w:sz="4" w:space="0" w:color="auto"/>
              <w:left w:val="nil"/>
              <w:right w:val="nil"/>
            </w:tcBorders>
            <w:vAlign w:val="bottom"/>
          </w:tcPr>
          <w:p w14:paraId="0E5FFD15"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732.74</w:t>
            </w:r>
          </w:p>
        </w:tc>
      </w:tr>
      <w:tr w:rsidR="00944265" w:rsidRPr="00944265" w14:paraId="04184F3C" w14:textId="77777777" w:rsidTr="001A4B15">
        <w:trPr>
          <w:trHeight w:val="254"/>
        </w:trPr>
        <w:tc>
          <w:tcPr>
            <w:tcW w:w="4820" w:type="dxa"/>
            <w:tcBorders>
              <w:top w:val="nil"/>
              <w:left w:val="nil"/>
              <w:right w:val="nil"/>
            </w:tcBorders>
            <w:hideMark/>
          </w:tcPr>
          <w:p w14:paraId="368AFC53"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CV (%)</w:t>
            </w:r>
          </w:p>
        </w:tc>
        <w:tc>
          <w:tcPr>
            <w:tcW w:w="1419" w:type="dxa"/>
            <w:tcBorders>
              <w:top w:val="nil"/>
              <w:left w:val="nil"/>
              <w:right w:val="nil"/>
            </w:tcBorders>
          </w:tcPr>
          <w:p w14:paraId="0CFEC01E"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10.84</w:t>
            </w:r>
          </w:p>
        </w:tc>
        <w:tc>
          <w:tcPr>
            <w:tcW w:w="1843" w:type="dxa"/>
            <w:tcBorders>
              <w:top w:val="nil"/>
              <w:left w:val="nil"/>
              <w:right w:val="nil"/>
            </w:tcBorders>
            <w:vAlign w:val="bottom"/>
          </w:tcPr>
          <w:p w14:paraId="241CE8B6"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10.92</w:t>
            </w:r>
          </w:p>
        </w:tc>
      </w:tr>
      <w:tr w:rsidR="00944265" w:rsidRPr="00944265" w14:paraId="666E4878" w14:textId="77777777" w:rsidTr="001A4B15">
        <w:trPr>
          <w:trHeight w:val="239"/>
        </w:trPr>
        <w:tc>
          <w:tcPr>
            <w:tcW w:w="4820" w:type="dxa"/>
            <w:tcBorders>
              <w:top w:val="single" w:sz="4" w:space="0" w:color="auto"/>
              <w:left w:val="nil"/>
              <w:right w:val="nil"/>
            </w:tcBorders>
          </w:tcPr>
          <w:p w14:paraId="33A45E5B"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Location</w:t>
            </w:r>
          </w:p>
        </w:tc>
        <w:tc>
          <w:tcPr>
            <w:tcW w:w="3264" w:type="dxa"/>
            <w:gridSpan w:val="2"/>
            <w:tcBorders>
              <w:top w:val="single" w:sz="4" w:space="0" w:color="auto"/>
              <w:left w:val="nil"/>
              <w:right w:val="nil"/>
            </w:tcBorders>
          </w:tcPr>
          <w:p w14:paraId="43C48D52"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228.19*</w:t>
            </w:r>
          </w:p>
        </w:tc>
      </w:tr>
      <w:tr w:rsidR="00944265" w:rsidRPr="00944265" w14:paraId="7C358C32" w14:textId="77777777" w:rsidTr="001A4B15">
        <w:trPr>
          <w:trHeight w:val="254"/>
        </w:trPr>
        <w:tc>
          <w:tcPr>
            <w:tcW w:w="4820" w:type="dxa"/>
            <w:tcBorders>
              <w:left w:val="nil"/>
              <w:right w:val="nil"/>
            </w:tcBorders>
          </w:tcPr>
          <w:p w14:paraId="2FDF20F3"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Treatment x Location</w:t>
            </w:r>
          </w:p>
        </w:tc>
        <w:tc>
          <w:tcPr>
            <w:tcW w:w="3264" w:type="dxa"/>
            <w:gridSpan w:val="2"/>
            <w:tcBorders>
              <w:left w:val="nil"/>
              <w:right w:val="nil"/>
            </w:tcBorders>
          </w:tcPr>
          <w:p w14:paraId="1DFFDFB3"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603.74*</w:t>
            </w:r>
          </w:p>
        </w:tc>
      </w:tr>
      <w:bookmarkEnd w:id="20"/>
    </w:tbl>
    <w:p w14:paraId="05208CB0" w14:textId="77777777" w:rsidR="00B73739" w:rsidRPr="00944265" w:rsidRDefault="00B73739" w:rsidP="00B73739">
      <w:pPr>
        <w:jc w:val="both"/>
        <w:rPr>
          <w:rFonts w:ascii="Arial" w:hAnsi="Arial" w:cs="Arial"/>
        </w:rPr>
      </w:pPr>
    </w:p>
    <w:p w14:paraId="45895882" w14:textId="77777777" w:rsidR="00B73739" w:rsidRPr="00211DC5" w:rsidRDefault="00B73739" w:rsidP="00B73739">
      <w:pPr>
        <w:spacing w:line="276" w:lineRule="auto"/>
        <w:jc w:val="center"/>
        <w:rPr>
          <w:rFonts w:ascii="Arial" w:hAnsi="Arial" w:cs="Arial"/>
          <w:b/>
          <w:bCs/>
        </w:rPr>
      </w:pPr>
    </w:p>
    <w:p w14:paraId="1D44922E" w14:textId="77777777" w:rsidR="00211DC5" w:rsidRPr="00211DC5" w:rsidRDefault="00211DC5" w:rsidP="00211DC5">
      <w:pPr>
        <w:rPr>
          <w:rFonts w:ascii="Arial" w:hAnsi="Arial" w:cs="Arial"/>
          <w:b/>
          <w:bCs/>
          <w:sz w:val="22"/>
          <w:szCs w:val="22"/>
        </w:rPr>
      </w:pPr>
      <w:bookmarkStart w:id="21" w:name="_Hlk199299319"/>
      <w:r w:rsidRPr="00211DC5">
        <w:rPr>
          <w:rFonts w:ascii="Arial" w:hAnsi="Arial" w:cs="Arial"/>
          <w:b/>
          <w:bCs/>
          <w:sz w:val="22"/>
          <w:szCs w:val="22"/>
        </w:rPr>
        <w:t>4. Discussion</w:t>
      </w:r>
    </w:p>
    <w:p w14:paraId="6AA8A661" w14:textId="77777777" w:rsidR="00211DC5" w:rsidRPr="00F22161" w:rsidRDefault="00211DC5" w:rsidP="00211DC5">
      <w:pPr>
        <w:rPr>
          <w:rFonts w:ascii="Arial" w:hAnsi="Arial" w:cs="Arial"/>
          <w:b/>
          <w:bCs/>
          <w:sz w:val="28"/>
          <w:szCs w:val="28"/>
        </w:rPr>
      </w:pPr>
    </w:p>
    <w:p w14:paraId="496241A1" w14:textId="77777777" w:rsidR="007E4E21" w:rsidRDefault="007E4E21" w:rsidP="007E4E21">
      <w:pPr>
        <w:spacing w:before="240" w:after="240"/>
        <w:contextualSpacing/>
        <w:jc w:val="both"/>
        <w:rPr>
          <w:rFonts w:ascii="Arial" w:hAnsi="Arial" w:cs="Arial"/>
          <w:b/>
          <w:sz w:val="22"/>
        </w:rPr>
      </w:pPr>
      <w:r w:rsidRPr="007E4E21">
        <w:rPr>
          <w:rFonts w:ascii="Arial" w:hAnsi="Arial" w:cs="Arial"/>
          <w:b/>
          <w:sz w:val="22"/>
        </w:rPr>
        <w:t>4.1 Effect of NPK granules and briquettes fertilizer on soil chemical properties</w:t>
      </w:r>
    </w:p>
    <w:p w14:paraId="513DA350" w14:textId="77777777" w:rsidR="007E4E21" w:rsidRDefault="007E4E21" w:rsidP="007E4E21">
      <w:pPr>
        <w:pStyle w:val="NormalWeb"/>
        <w:jc w:val="both"/>
        <w:rPr>
          <w:rStyle w:val="Strong"/>
          <w:rFonts w:ascii="Arial" w:hAnsi="Arial" w:cs="Arial"/>
          <w:b w:val="0"/>
          <w:bCs w:val="0"/>
          <w:sz w:val="20"/>
          <w:szCs w:val="20"/>
        </w:rPr>
      </w:pPr>
      <w:r w:rsidRPr="007E4E21">
        <w:rPr>
          <w:rStyle w:val="Strong"/>
          <w:rFonts w:ascii="Arial" w:hAnsi="Arial" w:cs="Arial"/>
          <w:b w:val="0"/>
          <w:bCs w:val="0"/>
          <w:sz w:val="20"/>
          <w:szCs w:val="20"/>
        </w:rPr>
        <w:t xml:space="preserve">The post-harvest soil analysis at Amantin showed that applying NPK and urea briquette fertilizers moderately improved soil fertility indicators. The slightly acidic soil pH (6.3–6.5) remained within the optimal range for maize growth, indicating minimal acidification from fertilizer use. This stability supports findings by Netto-Ferreira </w:t>
      </w:r>
      <w:r w:rsidRPr="007E4E21">
        <w:rPr>
          <w:rStyle w:val="Strong"/>
          <w:rFonts w:ascii="Arial" w:hAnsi="Arial" w:cs="Arial"/>
          <w:b w:val="0"/>
          <w:bCs w:val="0"/>
          <w:i/>
          <w:iCs/>
          <w:sz w:val="20"/>
          <w:szCs w:val="20"/>
        </w:rPr>
        <w:t>et al.</w:t>
      </w:r>
      <w:r w:rsidRPr="007E4E21">
        <w:rPr>
          <w:rStyle w:val="Strong"/>
          <w:rFonts w:ascii="Arial" w:hAnsi="Arial" w:cs="Arial"/>
          <w:b w:val="0"/>
          <w:bCs w:val="0"/>
          <w:sz w:val="20"/>
          <w:szCs w:val="20"/>
        </w:rPr>
        <w:t xml:space="preserve"> (2024) that briquette formulations reduce nutrient leaching and acidifying effects compared to granular fertilizers. Although organic carbon (0.82–0.88%) and total nitrogen (0.06–0.08%) were low—reflecting the poor fertility of Ghana’s savannah soils (MoFA, 2023) plots treated with briquette NPK and urea (91–59–59) and (121–58.7–59) recorded slightly higher levels, suggesting improved nutrient retention and microbial activity. Available phosphorus (10–15 ppm) was highest under briquette treatments, aligning with Adu-Gyamfi </w:t>
      </w:r>
      <w:r w:rsidRPr="007E4E21">
        <w:rPr>
          <w:rStyle w:val="Strong"/>
          <w:rFonts w:ascii="Arial" w:hAnsi="Arial" w:cs="Arial"/>
          <w:b w:val="0"/>
          <w:bCs w:val="0"/>
          <w:i/>
          <w:iCs/>
          <w:sz w:val="20"/>
          <w:szCs w:val="20"/>
        </w:rPr>
        <w:t>et al.</w:t>
      </w:r>
      <w:r w:rsidRPr="007E4E21">
        <w:rPr>
          <w:rStyle w:val="Strong"/>
          <w:rFonts w:ascii="Arial" w:hAnsi="Arial" w:cs="Arial"/>
          <w:b w:val="0"/>
          <w:bCs w:val="0"/>
          <w:sz w:val="20"/>
          <w:szCs w:val="20"/>
        </w:rPr>
        <w:t xml:space="preserve"> (2019), who reported that briquettes reduce P fixation in acidic soils. Moderate levels of Ca, Mg, and K at Amantin indicated balanced nutrient supply and improved cation exchange. Micronutrient concentrations Boron (0.5–2.0 ppm), Manganese (110–130 ppm), Zinc (1.0–2.0 ppm), Iron (140 ppm), and Copper  (2.0 ppm) were within sufficiency ranges, with slightly higher values under briquette treatments. These results suggest enhanced micronutrient retention and reduced leaching, likely due to increased organic matter and pH stability, which improve micronutrient complexation and bioavailability (Wang </w:t>
      </w:r>
      <w:r w:rsidRPr="007E4E21">
        <w:rPr>
          <w:rStyle w:val="Strong"/>
          <w:rFonts w:ascii="Arial" w:hAnsi="Arial" w:cs="Arial"/>
          <w:b w:val="0"/>
          <w:bCs w:val="0"/>
          <w:i/>
          <w:iCs/>
          <w:sz w:val="20"/>
          <w:szCs w:val="20"/>
        </w:rPr>
        <w:t>et al.,</w:t>
      </w:r>
      <w:r w:rsidRPr="007E4E21">
        <w:rPr>
          <w:rStyle w:val="Strong"/>
          <w:rFonts w:ascii="Arial" w:hAnsi="Arial" w:cs="Arial"/>
          <w:b w:val="0"/>
          <w:bCs w:val="0"/>
          <w:sz w:val="20"/>
          <w:szCs w:val="20"/>
        </w:rPr>
        <w:t xml:space="preserve"> 2022).</w:t>
      </w:r>
    </w:p>
    <w:p w14:paraId="44AF27D4" w14:textId="0BB47EAA" w:rsidR="007E4E21" w:rsidRPr="007E4E21" w:rsidRDefault="007E4E21" w:rsidP="007E4E21">
      <w:pPr>
        <w:pStyle w:val="NormalWeb"/>
        <w:jc w:val="both"/>
        <w:rPr>
          <w:rFonts w:ascii="Arial" w:hAnsi="Arial" w:cs="Arial"/>
          <w:sz w:val="20"/>
          <w:szCs w:val="20"/>
        </w:rPr>
      </w:pPr>
      <w:r w:rsidRPr="007E4E21">
        <w:rPr>
          <w:rFonts w:ascii="Arial" w:hAnsi="Arial" w:cs="Arial"/>
          <w:sz w:val="20"/>
          <w:szCs w:val="20"/>
        </w:rPr>
        <w:t xml:space="preserve">At Nsapor, the soil pH of 5.5 across treatments indicates stronger acidity, which may limit the availability of certain nutrients such as P and Ca. Nonetheless, the briquette NPK and urea (91–59–59) and (121–58.7–59) treatments recorded relatively higher organic carbon (0.88%) and total nitrogen (0.08%), suggesting better nutrient conservation compared to the granule forms. Similar results were reported by Sarma </w:t>
      </w:r>
      <w:r w:rsidRPr="007E4E21">
        <w:rPr>
          <w:rFonts w:ascii="Arial" w:hAnsi="Arial" w:cs="Arial"/>
          <w:i/>
          <w:iCs/>
          <w:sz w:val="20"/>
          <w:szCs w:val="20"/>
        </w:rPr>
        <w:t>et al.</w:t>
      </w:r>
      <w:r w:rsidRPr="007E4E21">
        <w:rPr>
          <w:rFonts w:ascii="Arial" w:hAnsi="Arial" w:cs="Arial"/>
          <w:sz w:val="20"/>
          <w:szCs w:val="20"/>
        </w:rPr>
        <w:t xml:space="preserve"> (2024), who found that urea briquettes improve soil N retention and minimize losses via volatilization and leaching. Calcium, magnesium, and potassium levels were generally low, indicating a depletion of exchangeable bases, likely due to the combined effects of soil acidity and high rainfall leaching. The cation exchange capacity (3.2–4.1 meq/100g) was also low, reflecting the dominance of low-activity clay minerals and limited organic matter. However, the moderate available phosphorus (10–11 ppm) suggests that briquette fertilizers slightly improved P availability even under acidic conditions. Micronutrient concentrations were generally stable across treatments, with boron (0.5 ppm), manganese (117–118 ppm), zinc (1.0–2.1 ppm), iron (104–110 ppm), and copper (1.8 ppm). These levels suggest sufficient trace element availability for maize growth, with briquette fertilizer treatments maintaining slightly higher micronutrient concentrations. This aligns with findings by Masunaga &amp; Fong (2018), who reported that improved nitrogen supply and organic matter stabilization enhance micronutrient solubility and uptake, particularly zinc and iron.</w:t>
      </w:r>
    </w:p>
    <w:p w14:paraId="506F71E4" w14:textId="0AC2785C" w:rsidR="00211DC5" w:rsidRPr="00CA6731" w:rsidRDefault="007E4E21" w:rsidP="00211DC5">
      <w:pPr>
        <w:pStyle w:val="Body"/>
        <w:rPr>
          <w:rFonts w:ascii="Arial" w:hAnsi="Arial" w:cs="Arial"/>
          <w:b/>
          <w:sz w:val="22"/>
        </w:rPr>
      </w:pPr>
      <w:r w:rsidRPr="007E4E21">
        <w:rPr>
          <w:rFonts w:ascii="Arial" w:hAnsi="Arial" w:cs="Arial"/>
          <w:b/>
          <w:sz w:val="22"/>
        </w:rPr>
        <w:t>4.2 Effect of NPK granule and briquette fertilizers on phenology and growth of maize</w:t>
      </w:r>
    </w:p>
    <w:p w14:paraId="57401F09" w14:textId="4D6950E4" w:rsidR="00211DC5" w:rsidRPr="007C4D89" w:rsidRDefault="007E4E21" w:rsidP="00211DC5">
      <w:pPr>
        <w:pStyle w:val="Body"/>
        <w:spacing w:after="0"/>
      </w:pPr>
      <w:r w:rsidRPr="00155280">
        <w:t xml:space="preserve">The </w:t>
      </w:r>
      <w:r w:rsidRPr="00155280">
        <w:rPr>
          <w:bCs/>
        </w:rPr>
        <w:t>lack</w:t>
      </w:r>
      <w:r w:rsidRPr="00155280">
        <w:t xml:space="preserve"> of significant differences (P&gt;0.05) in the number of days to 50% tasseling and silking among fertilizer treatments at both Amantin and Nsapor could be that the various NPK and urea briquette rates did not have a significant impact on the phenological development of maize. This indicates that nutrient availability across treatments was sufficient to meet the crop’s early growth requirements, resulting in comparable reproductive timing</w:t>
      </w:r>
      <w:r w:rsidRPr="00155280">
        <w:rPr>
          <w:bCs/>
        </w:rPr>
        <w:t xml:space="preserve">. This result is in line with the findings by Ali </w:t>
      </w:r>
      <w:r w:rsidRPr="00155280">
        <w:rPr>
          <w:bCs/>
          <w:i/>
          <w:iCs/>
        </w:rPr>
        <w:t>et al.</w:t>
      </w:r>
      <w:r w:rsidRPr="00155280">
        <w:rPr>
          <w:bCs/>
        </w:rPr>
        <w:t xml:space="preserve"> (2019), who asserted that the phenological developments of maize plants are primarily influenced by other factors such as genetics and environmental </w:t>
      </w:r>
      <w:r w:rsidRPr="007C4D89">
        <w:rPr>
          <w:bCs/>
        </w:rPr>
        <w:lastRenderedPageBreak/>
        <w:t>conditions, rather than the specific fertilizer treatments applied.</w:t>
      </w:r>
      <w:r w:rsidRPr="007C4D89">
        <w:t xml:space="preserve"> Maize plants treated with Briquette NPK and Urea formulations (121–58.7–59) and (91–59–59) at 230.4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7C4D89">
        <w:t xml:space="preserve">showed significantly greater plant height at 5 and 7 weeks after planting across both study sites. This improvement could be attributed to enhanced nutrient availability and uptake efficiency compared to the control and lower fertilizer rates. The briquette form provided a slow and sustained nutrient release, minimizing losses through leaching and volatilization and ensuring continuous vegetative growth (IFDC, 2017). This steady nutrient availability ensures consistent metabolic activity and photosynthetic performance, leading to continuous vegetative growth and taller plants. According to Owusu &amp; Adu-Gyamfi (2024), deep placement of urea and NPK briquettes improves nitrogen compared to broadcasted granules, which directly translates into improved vegetative parameters such as plant height. These findings support previous studies highlighting nitrogen’s role in promoting cell division, leaf expansion, and chlorophyll formation (Fathi, 2022). Similarly, briquette fertilizer treatments significantly increased stem diameter at both Amantin and Nsapor, with the (91–59–59) and (121–58.7–59) rates at 230.4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7C4D89">
        <w:t xml:space="preserve">producing the thickest stems. This enhancement in stem robustness can be linked to balanced nutrient supply and improved nutrient use efficiency from deep placement, which supports better root development and nutrient uptake (Deep </w:t>
      </w:r>
      <w:r w:rsidRPr="007C4D89">
        <w:rPr>
          <w:i/>
          <w:iCs/>
        </w:rPr>
        <w:t xml:space="preserve">et al., </w:t>
      </w:r>
      <w:r w:rsidRPr="007C4D89">
        <w:t>2020). The combined effects of nitrogen, phosphorus, and potassium in promoting cell division, energy transfer, and structural strength contributed to improved plant vigour and assimilate distribution, resulting in stronger and taller maize plants.</w:t>
      </w:r>
    </w:p>
    <w:p w14:paraId="1CD05502" w14:textId="77777777" w:rsidR="007E4E21" w:rsidRPr="007C4D89" w:rsidRDefault="007E4E21" w:rsidP="00211DC5">
      <w:pPr>
        <w:pStyle w:val="Body"/>
        <w:spacing w:after="0"/>
      </w:pPr>
    </w:p>
    <w:p w14:paraId="36665676" w14:textId="77777777" w:rsidR="007E4E21" w:rsidRPr="007C4D89" w:rsidRDefault="007E4E21" w:rsidP="00211DC5">
      <w:pPr>
        <w:pStyle w:val="Body"/>
        <w:spacing w:after="0"/>
      </w:pPr>
    </w:p>
    <w:p w14:paraId="4FC7C4FA" w14:textId="289E88D4" w:rsidR="00211DC5" w:rsidRPr="007C4D89" w:rsidRDefault="00211DC5" w:rsidP="00211DC5">
      <w:pPr>
        <w:pStyle w:val="Body"/>
        <w:rPr>
          <w:rFonts w:ascii="Arial" w:hAnsi="Arial" w:cs="Arial"/>
          <w:b/>
          <w:bCs/>
          <w:sz w:val="22"/>
          <w:szCs w:val="22"/>
        </w:rPr>
      </w:pPr>
      <w:r w:rsidRPr="007C4D89">
        <w:rPr>
          <w:rFonts w:ascii="Arial" w:hAnsi="Arial" w:cs="Arial"/>
          <w:b/>
          <w:sz w:val="22"/>
          <w:szCs w:val="22"/>
        </w:rPr>
        <w:t>4.</w:t>
      </w:r>
      <w:r w:rsidR="007E4E21" w:rsidRPr="007C4D89">
        <w:rPr>
          <w:rFonts w:ascii="Arial" w:hAnsi="Arial" w:cs="Arial"/>
          <w:b/>
          <w:sz w:val="22"/>
          <w:szCs w:val="22"/>
        </w:rPr>
        <w:t>3 Effect of NPK granule and briquette fertilizers on yield and yield components of maize</w:t>
      </w:r>
    </w:p>
    <w:p w14:paraId="546AA2B7" w14:textId="7434ED67" w:rsidR="007E4E21" w:rsidRPr="007C4D89" w:rsidRDefault="007E4E21" w:rsidP="007E4E21">
      <w:pPr>
        <w:pStyle w:val="NormalWeb"/>
        <w:jc w:val="both"/>
        <w:rPr>
          <w:rStyle w:val="Strong"/>
          <w:rFonts w:ascii="Arial" w:hAnsi="Arial" w:cs="Arial"/>
          <w:b w:val="0"/>
          <w:bCs w:val="0"/>
          <w:sz w:val="20"/>
          <w:szCs w:val="20"/>
        </w:rPr>
      </w:pPr>
      <w:r w:rsidRPr="007C4D89">
        <w:rPr>
          <w:rStyle w:val="Strong"/>
          <w:rFonts w:ascii="Arial" w:hAnsi="Arial" w:cs="Arial"/>
          <w:b w:val="0"/>
          <w:bCs w:val="0"/>
          <w:sz w:val="20"/>
          <w:szCs w:val="20"/>
        </w:rPr>
        <w:t xml:space="preserve">The significantly higher cob weights per plot recorded under Briquette NPK &amp; Urea (121–58.7–59) at 230.4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r w:rsidR="007C4D89" w:rsidRPr="007C4D89">
        <w:rPr>
          <w:rFonts w:ascii="Arial" w:hAnsi="Arial" w:cs="Arial"/>
          <w:sz w:val="20"/>
          <w:szCs w:val="20"/>
          <w:vertAlign w:val="superscript"/>
        </w:rPr>
        <w:t xml:space="preserve"> </w:t>
      </w:r>
      <w:r w:rsidRPr="007C4D89">
        <w:rPr>
          <w:rStyle w:val="Strong"/>
          <w:rFonts w:ascii="Arial" w:hAnsi="Arial" w:cs="Arial"/>
          <w:b w:val="0"/>
          <w:bCs w:val="0"/>
          <w:sz w:val="20"/>
          <w:szCs w:val="20"/>
        </w:rPr>
        <w:t xml:space="preserve">in Amantin and Briquette NPK &amp; Urea (76–29–29) at 115.2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r w:rsidR="007C4D89" w:rsidRPr="007C4D89">
        <w:rPr>
          <w:rFonts w:ascii="Arial" w:hAnsi="Arial" w:cs="Arial"/>
          <w:sz w:val="20"/>
          <w:szCs w:val="20"/>
          <w:vertAlign w:val="superscript"/>
        </w:rPr>
        <w:t xml:space="preserve"> </w:t>
      </w:r>
      <w:r w:rsidRPr="007C4D89">
        <w:rPr>
          <w:rStyle w:val="Strong"/>
          <w:rFonts w:ascii="Arial" w:hAnsi="Arial" w:cs="Arial"/>
          <w:b w:val="0"/>
          <w:bCs w:val="0"/>
          <w:sz w:val="20"/>
          <w:szCs w:val="20"/>
        </w:rPr>
        <w:t xml:space="preserve">in Nsapor can be attributed to the enhanced nutrient use efficiency and sustained nutrient availability provided by briquette fertilizers. Deep placement of briquettes minimizes nitrogen losses and synchronizes nutrient release with maize growth demands, thereby improving vegetative vigour, photosynthetic activity, and assimilate partitioning toward cob development (Santosh, 2022). The balanced supply of nitrogen, phosphorus, and potassium might have enhanced physiological processes such as chlorophyll formation, energy transfer, and carbohydrate translocation, which are critical for cob filling. Similar yield improvements from briquette fertilizers have been reported by Eldridge </w:t>
      </w:r>
      <w:r w:rsidRPr="007C4D89">
        <w:rPr>
          <w:rStyle w:val="Strong"/>
          <w:rFonts w:ascii="Arial" w:hAnsi="Arial" w:cs="Arial"/>
          <w:b w:val="0"/>
          <w:bCs w:val="0"/>
          <w:i/>
          <w:iCs/>
          <w:sz w:val="20"/>
          <w:szCs w:val="20"/>
        </w:rPr>
        <w:t>et al</w:t>
      </w:r>
      <w:r w:rsidRPr="007C4D89">
        <w:rPr>
          <w:rStyle w:val="Strong"/>
          <w:rFonts w:ascii="Arial" w:hAnsi="Arial" w:cs="Arial"/>
          <w:b w:val="0"/>
          <w:bCs w:val="0"/>
          <w:sz w:val="20"/>
          <w:szCs w:val="20"/>
        </w:rPr>
        <w:t>. (2022), confirming that deep-placed briquette fertilizers promote better nutrient recovery, root development, and higher cob yield in rice.</w:t>
      </w:r>
    </w:p>
    <w:p w14:paraId="19F120EC" w14:textId="34E17445" w:rsidR="007E4E21" w:rsidRPr="007C4D89" w:rsidRDefault="007E4E21" w:rsidP="007E4E21">
      <w:pPr>
        <w:pStyle w:val="NormalWeb"/>
        <w:jc w:val="both"/>
        <w:rPr>
          <w:rStyle w:val="Strong"/>
          <w:rFonts w:ascii="Arial" w:hAnsi="Arial" w:cs="Arial"/>
          <w:b w:val="0"/>
          <w:bCs w:val="0"/>
          <w:sz w:val="20"/>
          <w:szCs w:val="20"/>
        </w:rPr>
      </w:pPr>
      <w:r w:rsidRPr="007C4D89">
        <w:rPr>
          <w:rStyle w:val="Strong"/>
          <w:rFonts w:ascii="Arial" w:hAnsi="Arial" w:cs="Arial"/>
          <w:b w:val="0"/>
          <w:bCs w:val="0"/>
          <w:sz w:val="20"/>
          <w:szCs w:val="20"/>
        </w:rPr>
        <w:t xml:space="preserve">The significantly higher 100-seed weight recorded under Briquette NPK &amp; Urea (121–58.7–59) at 230.4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r w:rsidR="007C4D89" w:rsidRPr="007C4D89">
        <w:rPr>
          <w:rFonts w:ascii="Arial" w:hAnsi="Arial" w:cs="Arial"/>
          <w:sz w:val="20"/>
          <w:szCs w:val="20"/>
          <w:vertAlign w:val="superscript"/>
        </w:rPr>
        <w:t xml:space="preserve"> </w:t>
      </w:r>
      <w:r w:rsidRPr="007C4D89">
        <w:rPr>
          <w:rStyle w:val="Strong"/>
          <w:rFonts w:ascii="Arial" w:hAnsi="Arial" w:cs="Arial"/>
          <w:b w:val="0"/>
          <w:bCs w:val="0"/>
          <w:sz w:val="20"/>
          <w:szCs w:val="20"/>
        </w:rPr>
        <w:t xml:space="preserve">at both Amantin and Nsapor can be attributed to the enhanced and sustained nutrient availability from the briquette formulation, which promotes efficient nutrient uptake and utilization during grain filling stage. Briquette fertilizers release nutrients gradually and reduce nitrogen losses through leaching and volatilization, ensuring consistent nutrient supply throughout the reproductive phase. The improved seed weight under briquette treatments also reflects better assimilate partitioning and kernel development due to improved root growth and nutrient absorption efficiency. </w:t>
      </w:r>
      <w:r w:rsidRPr="007C4D89">
        <w:rPr>
          <w:rFonts w:ascii="Arial" w:hAnsi="Arial" w:cs="Arial"/>
          <w:sz w:val="20"/>
          <w:szCs w:val="20"/>
        </w:rPr>
        <w:t xml:space="preserve">This agrees with the findings by Dhakal </w:t>
      </w:r>
      <w:r w:rsidRPr="007C4D89">
        <w:rPr>
          <w:rFonts w:ascii="Arial" w:hAnsi="Arial" w:cs="Arial"/>
          <w:i/>
          <w:iCs/>
          <w:sz w:val="20"/>
          <w:szCs w:val="20"/>
        </w:rPr>
        <w:t>et al.</w:t>
      </w:r>
      <w:r w:rsidRPr="007C4D89">
        <w:rPr>
          <w:rFonts w:ascii="Arial" w:hAnsi="Arial" w:cs="Arial"/>
          <w:sz w:val="20"/>
          <w:szCs w:val="20"/>
        </w:rPr>
        <w:t xml:space="preserve"> (2020) who recorded higher 100 seed weight in maize when briquette urea was deep placed and increased agronomic and economic efficiency of maize.</w:t>
      </w:r>
    </w:p>
    <w:p w14:paraId="5288BA6D" w14:textId="72F69D98" w:rsidR="007E4E21" w:rsidRPr="007E4E21" w:rsidRDefault="007E4E21" w:rsidP="007E4E21">
      <w:pPr>
        <w:pStyle w:val="NormalWeb"/>
        <w:jc w:val="both"/>
        <w:rPr>
          <w:rFonts w:ascii="Arial" w:hAnsi="Arial" w:cs="Arial"/>
          <w:sz w:val="20"/>
          <w:szCs w:val="20"/>
        </w:rPr>
      </w:pPr>
      <w:r w:rsidRPr="007C4D89">
        <w:rPr>
          <w:rFonts w:ascii="Arial" w:hAnsi="Arial" w:cs="Arial"/>
          <w:sz w:val="20"/>
          <w:szCs w:val="20"/>
        </w:rPr>
        <w:t xml:space="preserve">At Amantin, maize plants treated with Briquette NPK and Urea (121–58.7–59) at 230.4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r w:rsidR="007C4D89" w:rsidRPr="007C4D89">
        <w:rPr>
          <w:rFonts w:ascii="Arial" w:hAnsi="Arial" w:cs="Arial"/>
          <w:sz w:val="20"/>
          <w:szCs w:val="20"/>
          <w:vertAlign w:val="superscript"/>
        </w:rPr>
        <w:t xml:space="preserve"> </w:t>
      </w:r>
      <w:r w:rsidRPr="007C4D89">
        <w:rPr>
          <w:rFonts w:ascii="Arial" w:hAnsi="Arial" w:cs="Arial"/>
          <w:sz w:val="20"/>
          <w:szCs w:val="20"/>
        </w:rPr>
        <w:t>produced the longest cobs, attributed to the slow and steady nutrient release from briquette fertilizers, which reduced nutrient losses and ensured consistent nutrient availability</w:t>
      </w:r>
      <w:r w:rsidRPr="007E4E21">
        <w:rPr>
          <w:rFonts w:ascii="Arial" w:hAnsi="Arial" w:cs="Arial"/>
          <w:sz w:val="20"/>
          <w:szCs w:val="20"/>
        </w:rPr>
        <w:t xml:space="preserve"> </w:t>
      </w:r>
      <w:r w:rsidRPr="007E4E21">
        <w:rPr>
          <w:rFonts w:ascii="Arial" w:hAnsi="Arial" w:cs="Arial"/>
          <w:sz w:val="20"/>
          <w:szCs w:val="20"/>
        </w:rPr>
        <w:lastRenderedPageBreak/>
        <w:t xml:space="preserve">throughout growth. This sustained supply enhanced kernel formation and cob elongation, as supported by Kumah-Amenudzi </w:t>
      </w:r>
      <w:r w:rsidRPr="007E4E21">
        <w:rPr>
          <w:rFonts w:ascii="Arial" w:hAnsi="Arial" w:cs="Arial"/>
          <w:i/>
          <w:iCs/>
          <w:sz w:val="20"/>
          <w:szCs w:val="20"/>
        </w:rPr>
        <w:t xml:space="preserve">et al. </w:t>
      </w:r>
      <w:r w:rsidRPr="007E4E21">
        <w:rPr>
          <w:rFonts w:ascii="Arial" w:hAnsi="Arial" w:cs="Arial"/>
          <w:sz w:val="20"/>
          <w:szCs w:val="20"/>
        </w:rPr>
        <w:t xml:space="preserve">(2024). Conversely, at Nsapor, Granular NPK and Urea (120–40–40) at 200 </w:t>
      </w:r>
      <w:r w:rsidR="007C4D89" w:rsidRPr="007C4D89">
        <w:rPr>
          <w:rFonts w:ascii="Arial" w:hAnsi="Arial" w:cs="Arial"/>
          <w:sz w:val="20"/>
          <w:szCs w:val="20"/>
          <w:highlight w:val="yellow"/>
        </w:rPr>
        <w:t>kg ha</w:t>
      </w:r>
      <w:r w:rsidR="007C4D89" w:rsidRPr="007C4D89">
        <w:rPr>
          <w:rFonts w:ascii="Arial" w:hAnsi="Arial" w:cs="Arial"/>
          <w:sz w:val="20"/>
          <w:szCs w:val="20"/>
          <w:highlight w:val="yellow"/>
          <w:vertAlign w:val="superscript"/>
        </w:rPr>
        <w:t>-1</w:t>
      </w:r>
      <w:r w:rsidR="007C4D89" w:rsidRPr="007C4D89">
        <w:rPr>
          <w:rFonts w:ascii="Arial" w:hAnsi="Arial" w:cs="Arial"/>
          <w:sz w:val="20"/>
          <w:szCs w:val="20"/>
          <w:vertAlign w:val="superscript"/>
        </w:rPr>
        <w:t xml:space="preserve">  </w:t>
      </w:r>
      <w:r w:rsidRPr="007E4E21">
        <w:rPr>
          <w:rFonts w:ascii="Arial" w:hAnsi="Arial" w:cs="Arial"/>
          <w:sz w:val="20"/>
          <w:szCs w:val="20"/>
        </w:rPr>
        <w:t xml:space="preserve">recorded the longest cobs, likely due to favourable soil moisture and texture conditions that improved nutrient solubility and uptake from the granular form. This finding aligns with Šarauskis </w:t>
      </w:r>
      <w:r w:rsidRPr="007E4E21">
        <w:rPr>
          <w:rFonts w:ascii="Arial" w:hAnsi="Arial" w:cs="Arial"/>
          <w:i/>
          <w:iCs/>
          <w:sz w:val="20"/>
          <w:szCs w:val="20"/>
        </w:rPr>
        <w:t xml:space="preserve">et al. </w:t>
      </w:r>
      <w:r w:rsidRPr="007E4E21">
        <w:rPr>
          <w:rFonts w:ascii="Arial" w:hAnsi="Arial" w:cs="Arial"/>
          <w:sz w:val="20"/>
          <w:szCs w:val="20"/>
        </w:rPr>
        <w:t xml:space="preserve">(2021), who noted that granular fertilizers perform better in moist soils with good water retention. Across both locations, the Briquette NPK and Urea (76–29–29) at 115.2 </w:t>
      </w:r>
      <w:r w:rsidR="007C4D89" w:rsidRPr="00D72CD4">
        <w:rPr>
          <w:rFonts w:ascii="Arial" w:hAnsi="Arial" w:cs="Arial"/>
          <w:sz w:val="20"/>
          <w:szCs w:val="20"/>
          <w:highlight w:val="yellow"/>
        </w:rPr>
        <w:t>kg ha</w:t>
      </w:r>
      <w:r w:rsidR="007C4D89" w:rsidRPr="00D72CD4">
        <w:rPr>
          <w:rFonts w:ascii="Arial" w:hAnsi="Arial" w:cs="Arial"/>
          <w:sz w:val="20"/>
          <w:szCs w:val="20"/>
          <w:highlight w:val="yellow"/>
          <w:vertAlign w:val="superscript"/>
        </w:rPr>
        <w:t>-1</w:t>
      </w:r>
      <w:r w:rsidR="007C4D89" w:rsidRPr="007C4D89">
        <w:rPr>
          <w:rFonts w:ascii="Arial" w:hAnsi="Arial" w:cs="Arial"/>
          <w:sz w:val="20"/>
          <w:szCs w:val="20"/>
          <w:vertAlign w:val="superscript"/>
        </w:rPr>
        <w:t xml:space="preserve"> </w:t>
      </w:r>
      <w:r w:rsidRPr="007E4E21">
        <w:rPr>
          <w:rFonts w:ascii="Arial" w:hAnsi="Arial" w:cs="Arial"/>
          <w:sz w:val="20"/>
          <w:szCs w:val="20"/>
        </w:rPr>
        <w:t>produced significantly wider cob diameters, a result of its balanced nutrient composition and efficient release pattern. The briquette formulation enhanced nutrient use efficiency, root growth, and assimilate partitioning toward reproductive structures, promoting cob thickening. The balanced NPK ratio supported chlorophyll synthesis, photosynthesis, and carbohydrate translocation necessary for cob development (</w:t>
      </w:r>
      <w:r w:rsidRPr="007E4E21">
        <w:rPr>
          <w:rFonts w:ascii="Arial" w:hAnsi="Arial" w:cs="Arial"/>
          <w:color w:val="222222"/>
          <w:sz w:val="20"/>
          <w:szCs w:val="20"/>
          <w:shd w:val="clear" w:color="auto" w:fill="FFFFFF"/>
        </w:rPr>
        <w:t xml:space="preserve">Sankar </w:t>
      </w:r>
      <w:r w:rsidRPr="007E4E21">
        <w:rPr>
          <w:rFonts w:ascii="Arial" w:hAnsi="Arial" w:cs="Arial"/>
          <w:i/>
          <w:iCs/>
          <w:color w:val="222222"/>
          <w:sz w:val="20"/>
          <w:szCs w:val="20"/>
          <w:shd w:val="clear" w:color="auto" w:fill="FFFFFF"/>
        </w:rPr>
        <w:t>et al.,</w:t>
      </w:r>
      <w:r w:rsidRPr="007E4E21">
        <w:rPr>
          <w:rFonts w:ascii="Arial" w:hAnsi="Arial" w:cs="Arial"/>
          <w:color w:val="222222"/>
          <w:sz w:val="20"/>
          <w:szCs w:val="20"/>
          <w:shd w:val="clear" w:color="auto" w:fill="FFFFFF"/>
        </w:rPr>
        <w:t xml:space="preserve"> 2020</w:t>
      </w:r>
      <w:r w:rsidRPr="007E4E21">
        <w:rPr>
          <w:rFonts w:ascii="Arial" w:hAnsi="Arial" w:cs="Arial"/>
          <w:sz w:val="20"/>
          <w:szCs w:val="20"/>
        </w:rPr>
        <w:t xml:space="preserve">). Additionally, the slow and synchronized nutrient release maintained a strong source–sink relationship, ensuring that photosynthates were effectively directed toward cob growth (Smith </w:t>
      </w:r>
      <w:r w:rsidRPr="007E4E21">
        <w:rPr>
          <w:rFonts w:ascii="Arial" w:hAnsi="Arial" w:cs="Arial"/>
          <w:i/>
          <w:iCs/>
          <w:sz w:val="20"/>
          <w:szCs w:val="20"/>
        </w:rPr>
        <w:t>et al.,</w:t>
      </w:r>
      <w:r w:rsidRPr="007E4E21">
        <w:rPr>
          <w:rFonts w:ascii="Arial" w:hAnsi="Arial" w:cs="Arial"/>
          <w:sz w:val="20"/>
          <w:szCs w:val="20"/>
        </w:rPr>
        <w:t xml:space="preserve"> 2018). This result conformed with the findings by Kombat (2015), who found significant difference in cob diameter of maize when NPK fertiliser was applied.</w:t>
      </w:r>
    </w:p>
    <w:p w14:paraId="6264C661" w14:textId="29686F1A" w:rsidR="007E4E21" w:rsidRPr="007E4E21" w:rsidRDefault="007E4E21" w:rsidP="007E4E21">
      <w:pPr>
        <w:pStyle w:val="NormalWeb"/>
        <w:jc w:val="both"/>
        <w:rPr>
          <w:rFonts w:ascii="Arial" w:hAnsi="Arial" w:cs="Arial"/>
          <w:sz w:val="20"/>
          <w:szCs w:val="20"/>
        </w:rPr>
      </w:pPr>
      <w:r w:rsidRPr="007E4E21">
        <w:rPr>
          <w:rFonts w:ascii="Arial" w:hAnsi="Arial" w:cs="Arial"/>
          <w:sz w:val="20"/>
          <w:szCs w:val="20"/>
        </w:rPr>
        <w:t xml:space="preserve">The significantly higher grain yield recorded under Briquette NPK &amp; Urea (121–58.7–59) at Amantin and Briquette NPK &amp; Urea (76–29–29) at Nsapor can be attributed to the improved nutrient use efficiency and balanced nutrient availability provided by the briquette formulations. Briquette fertilizers, due to their compact nature and deep placement, minimize nutrient losses through leaching and volatilization while ensuring a sustained release of nutrients to meet crop demand during critical growth stages (Sarma </w:t>
      </w:r>
      <w:r w:rsidRPr="007E4E21">
        <w:rPr>
          <w:rFonts w:ascii="Arial" w:hAnsi="Arial" w:cs="Arial"/>
          <w:i/>
          <w:iCs/>
          <w:sz w:val="20"/>
          <w:szCs w:val="20"/>
        </w:rPr>
        <w:t>et al.,</w:t>
      </w:r>
      <w:r w:rsidRPr="007E4E21">
        <w:rPr>
          <w:rFonts w:ascii="Arial" w:hAnsi="Arial" w:cs="Arial"/>
          <w:sz w:val="20"/>
          <w:szCs w:val="20"/>
        </w:rPr>
        <w:t xml:space="preserve"> 2024). The high nitrogen (N) content in these formulations likely enhanced chlorophyll synthesis and photosynthetic efficiency, resulting in greater assimilate production and partitioning towards grain filling. Phosphorus (P) improved root growth and energy transfer, facilitating nutrient and water uptake, whereas potassium (K) promoted carbohydrate translocation and grain development, contributing to heavier grain yield (Jiaying </w:t>
      </w:r>
      <w:r w:rsidRPr="007E4E21">
        <w:rPr>
          <w:rFonts w:ascii="Arial" w:hAnsi="Arial" w:cs="Arial"/>
          <w:i/>
          <w:iCs/>
          <w:sz w:val="20"/>
          <w:szCs w:val="20"/>
        </w:rPr>
        <w:t xml:space="preserve">et al., </w:t>
      </w:r>
      <w:r w:rsidRPr="007E4E21">
        <w:rPr>
          <w:rFonts w:ascii="Arial" w:hAnsi="Arial" w:cs="Arial"/>
          <w:sz w:val="20"/>
          <w:szCs w:val="20"/>
        </w:rPr>
        <w:t xml:space="preserve">2024). The enhanced yield performance under briquette treatments aligns with findings by Kumah-Amenudzi </w:t>
      </w:r>
      <w:r w:rsidRPr="007E4E21">
        <w:rPr>
          <w:rFonts w:ascii="Arial" w:hAnsi="Arial" w:cs="Arial"/>
          <w:i/>
          <w:iCs/>
          <w:sz w:val="20"/>
          <w:szCs w:val="20"/>
        </w:rPr>
        <w:t>et al.</w:t>
      </w:r>
      <w:r w:rsidRPr="007E4E21">
        <w:rPr>
          <w:rFonts w:ascii="Arial" w:hAnsi="Arial" w:cs="Arial"/>
          <w:sz w:val="20"/>
          <w:szCs w:val="20"/>
        </w:rPr>
        <w:t xml:space="preserve"> (2024), who reported that deep-placed briquette fertilizers significantly increase maize yield by improving nitrogen recovery efficiency and reducing nutrient immobilization in the soil. </w:t>
      </w:r>
    </w:p>
    <w:bookmarkEnd w:id="21"/>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46FDC90" w14:textId="08E880C7" w:rsidR="00CA6731" w:rsidRDefault="00B76F28" w:rsidP="009A716D">
      <w:pPr>
        <w:jc w:val="both"/>
        <w:rPr>
          <w:rFonts w:ascii="Arial" w:hAnsi="Arial" w:cs="Arial"/>
        </w:rPr>
      </w:pPr>
      <w:bookmarkStart w:id="22" w:name="_Hlk199299502"/>
      <w:r w:rsidRPr="00B76F28">
        <w:rPr>
          <w:rFonts w:ascii="Arial" w:hAnsi="Arial" w:cs="Arial"/>
        </w:rPr>
        <w:t xml:space="preserve">The study demonstrated that the application of NPK and urea briquette fertilizers significantly improved soil fertility, maize growth, and yield performance compared to conventional granular fertilizers and the control. Briquette fertilizer formulations, particularly Briquette NPK &amp; Urea (121–58.7–59) at 230.4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B76F28">
        <w:rPr>
          <w:rFonts w:ascii="Arial" w:hAnsi="Arial" w:cs="Arial"/>
        </w:rPr>
        <w:t xml:space="preserve">and Briquette NPK &amp; Urea (76–29–29) at 115.2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Pr="00B76F28">
        <w:rPr>
          <w:rFonts w:ascii="Arial" w:hAnsi="Arial" w:cs="Arial"/>
        </w:rPr>
        <w:t xml:space="preserve">, enhanced soil nutrient retention, increased available P, K, Ca, N, and improved micronutrient availability due to their slow-release and deep-placement characteristics. These treatments also promoted better vegetative growth (plant height and stem diameter), cob formation, and grain filling, leading to superior yield outcomes across both locations. It is recommended that farmers should apply </w:t>
      </w:r>
      <w:r w:rsidRPr="007C4D89">
        <w:rPr>
          <w:rFonts w:ascii="Arial" w:hAnsi="Arial" w:cs="Arial"/>
          <w:highlight w:val="yellow"/>
        </w:rPr>
        <w:t>Briquette</w:t>
      </w:r>
      <w:r w:rsidRPr="00B76F28">
        <w:rPr>
          <w:rFonts w:ascii="Arial" w:hAnsi="Arial" w:cs="Arial"/>
        </w:rPr>
        <w:t xml:space="preserve"> NPK &amp; Urea (121–58.7–59) at 230.4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sidRPr="007C4D89">
        <w:rPr>
          <w:rFonts w:ascii="Arial" w:hAnsi="Arial" w:cs="Arial"/>
          <w:vertAlign w:val="superscript"/>
        </w:rPr>
        <w:t xml:space="preserve"> </w:t>
      </w:r>
      <w:r w:rsidRPr="00B76F28">
        <w:rPr>
          <w:rFonts w:ascii="Arial" w:hAnsi="Arial" w:cs="Arial"/>
        </w:rPr>
        <w:t xml:space="preserve">and Briquette NPK &amp; Urea (76–29–29) at 115.2 </w:t>
      </w:r>
      <w:r w:rsidR="007C4D89" w:rsidRPr="007C4D89">
        <w:rPr>
          <w:rFonts w:ascii="Arial" w:hAnsi="Arial" w:cs="Arial"/>
          <w:highlight w:val="yellow"/>
        </w:rPr>
        <w:t>kg ha</w:t>
      </w:r>
      <w:r w:rsidR="007C4D89" w:rsidRPr="007C4D89">
        <w:rPr>
          <w:rFonts w:ascii="Arial" w:hAnsi="Arial" w:cs="Arial"/>
          <w:highlight w:val="yellow"/>
          <w:vertAlign w:val="superscript"/>
        </w:rPr>
        <w:t>-1</w:t>
      </w:r>
      <w:r w:rsidR="007C4D89">
        <w:rPr>
          <w:rFonts w:ascii="Arial" w:hAnsi="Arial" w:cs="Arial"/>
          <w:vertAlign w:val="superscript"/>
        </w:rPr>
        <w:t xml:space="preserve"> </w:t>
      </w:r>
      <w:r w:rsidRPr="00B76F28">
        <w:rPr>
          <w:rFonts w:ascii="Arial" w:hAnsi="Arial" w:cs="Arial"/>
        </w:rPr>
        <w:t xml:space="preserve">for maize production , as these treatments consistently </w:t>
      </w:r>
      <w:r w:rsidR="00B97672" w:rsidRPr="00B97672">
        <w:rPr>
          <w:rFonts w:ascii="Arial" w:hAnsi="Arial" w:cs="Arial"/>
          <w:highlight w:val="yellow"/>
        </w:rPr>
        <w:t xml:space="preserve">improved soil nutrient status and </w:t>
      </w:r>
      <w:r w:rsidRPr="00B97672">
        <w:rPr>
          <w:rFonts w:ascii="Arial" w:hAnsi="Arial" w:cs="Arial"/>
          <w:highlight w:val="yellow"/>
        </w:rPr>
        <w:t>recorded higher grain yields</w:t>
      </w:r>
      <w:r w:rsidR="00B97672" w:rsidRPr="00B97672">
        <w:rPr>
          <w:rFonts w:ascii="Arial" w:hAnsi="Arial" w:cs="Arial"/>
          <w:highlight w:val="yellow"/>
        </w:rPr>
        <w:t>.</w:t>
      </w:r>
      <w:r w:rsidRPr="00B76F28">
        <w:rPr>
          <w:rFonts w:ascii="Arial" w:hAnsi="Arial" w:cs="Arial"/>
        </w:rPr>
        <w:t xml:space="preserve"> Farmers in similar agro-ecological zones should adopt briquette fertilizer technology for improved nutrient use efficiency, reduced environmental losses, and enhanced crop productivity.</w:t>
      </w:r>
    </w:p>
    <w:p w14:paraId="5AA115F4" w14:textId="70D40C4D" w:rsidR="00847876" w:rsidRDefault="00847876" w:rsidP="009A716D">
      <w:pPr>
        <w:jc w:val="both"/>
        <w:rPr>
          <w:rFonts w:ascii="Arial" w:hAnsi="Arial" w:cs="Arial"/>
        </w:rPr>
      </w:pPr>
    </w:p>
    <w:p w14:paraId="11E8DDF0" w14:textId="2D96EC52" w:rsidR="00847876" w:rsidRDefault="00847876" w:rsidP="009A716D">
      <w:pPr>
        <w:jc w:val="both"/>
        <w:rPr>
          <w:rFonts w:ascii="Arial" w:hAnsi="Arial" w:cs="Arial"/>
        </w:rPr>
      </w:pPr>
    </w:p>
    <w:p w14:paraId="11F4DF1B" w14:textId="7A1FD610" w:rsidR="00847876" w:rsidRDefault="00847876" w:rsidP="009A716D">
      <w:pPr>
        <w:jc w:val="both"/>
        <w:rPr>
          <w:rFonts w:ascii="Arial" w:hAnsi="Arial" w:cs="Arial"/>
        </w:rPr>
      </w:pPr>
    </w:p>
    <w:p w14:paraId="08EE0AC3" w14:textId="77777777" w:rsidR="00847876" w:rsidRPr="00847876" w:rsidRDefault="00847876" w:rsidP="00847876">
      <w:pPr>
        <w:spacing w:after="200" w:line="276" w:lineRule="auto"/>
        <w:rPr>
          <w:rFonts w:ascii="Arial" w:hAnsi="Arial" w:cs="Arial"/>
          <w:b/>
        </w:rPr>
      </w:pPr>
      <w:r w:rsidRPr="00847876">
        <w:rPr>
          <w:rFonts w:ascii="Arial" w:hAnsi="Arial" w:cs="Arial"/>
          <w:b/>
        </w:rPr>
        <w:t>COMPETING INTERESTS</w:t>
      </w:r>
    </w:p>
    <w:p w14:paraId="2F1F967C" w14:textId="77777777" w:rsidR="00847876" w:rsidRPr="00847876" w:rsidRDefault="00847876" w:rsidP="00847876">
      <w:pPr>
        <w:spacing w:after="200" w:line="276" w:lineRule="auto"/>
        <w:rPr>
          <w:rFonts w:ascii="Arial" w:hAnsi="Arial" w:cs="Arial"/>
        </w:rPr>
      </w:pPr>
      <w:r w:rsidRPr="00847876">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53D5ADA1" w14:textId="08AFA57F" w:rsidR="00CA6731" w:rsidRDefault="00CA6731" w:rsidP="009A716D">
      <w:pPr>
        <w:jc w:val="both"/>
        <w:rPr>
          <w:rFonts w:ascii="Arial" w:hAnsi="Arial" w:cs="Arial"/>
        </w:rPr>
      </w:pPr>
    </w:p>
    <w:p w14:paraId="3991FF6B" w14:textId="6D9A757E" w:rsidR="003D362E" w:rsidRPr="003D362E" w:rsidRDefault="003D362E" w:rsidP="003D362E">
      <w:pPr>
        <w:spacing w:before="240"/>
        <w:rPr>
          <w:rFonts w:ascii="Arial" w:hAnsi="Arial" w:cs="Arial"/>
          <w:b/>
          <w:bCs/>
          <w:sz w:val="22"/>
          <w:szCs w:val="22"/>
          <w:shd w:val="clear" w:color="auto" w:fill="FFFFFF"/>
        </w:rPr>
      </w:pPr>
      <w:bookmarkStart w:id="23" w:name="_Hlk199299563"/>
      <w:bookmarkEnd w:id="22"/>
      <w:r w:rsidRPr="003D362E">
        <w:rPr>
          <w:rFonts w:ascii="Arial" w:hAnsi="Arial" w:cs="Arial"/>
          <w:b/>
          <w:bCs/>
          <w:sz w:val="22"/>
          <w:szCs w:val="22"/>
          <w:shd w:val="clear" w:color="auto" w:fill="FFFFFF"/>
        </w:rPr>
        <w:t>Disclaimer (Artificial intelligence)</w:t>
      </w:r>
    </w:p>
    <w:p w14:paraId="31007C32" w14:textId="1378387F" w:rsidR="003D362E" w:rsidRDefault="003D362E" w:rsidP="003D362E">
      <w:pPr>
        <w:spacing w:before="240"/>
        <w:jc w:val="both"/>
        <w:rPr>
          <w:rFonts w:ascii="Arial" w:hAnsi="Arial" w:cs="Arial"/>
          <w:shd w:val="clear" w:color="auto" w:fill="FFFFFF"/>
        </w:rPr>
      </w:pPr>
      <w:r w:rsidRPr="003D362E">
        <w:rPr>
          <w:rFonts w:ascii="Arial" w:hAnsi="Arial" w:cs="Arial"/>
          <w:shd w:val="clear" w:color="auto" w:fill="FFFFFF"/>
        </w:rPr>
        <w:t>Authors hereby declare that NO generative AI technologies such as Large Language Models (ChatGPT, COPILOT, etc.) and text-to-image generators have been used during the writing or editing of this manuscript.</w:t>
      </w:r>
    </w:p>
    <w:p w14:paraId="061C0E5F" w14:textId="77777777" w:rsidR="00847876" w:rsidRPr="003D362E" w:rsidRDefault="00847876" w:rsidP="003D362E">
      <w:pPr>
        <w:spacing w:before="240"/>
        <w:jc w:val="both"/>
        <w:rPr>
          <w:rFonts w:ascii="Arial" w:hAnsi="Arial" w:cs="Arial"/>
          <w:shd w:val="clear" w:color="auto" w:fill="FFFFFF"/>
        </w:rPr>
      </w:pPr>
    </w:p>
    <w:bookmarkEnd w:id="23"/>
    <w:p w14:paraId="56E84546" w14:textId="10755F6C" w:rsidR="0008161B" w:rsidRDefault="001411D8" w:rsidP="0008161B">
      <w:pPr>
        <w:rPr>
          <w:rFonts w:ascii="Arial" w:hAnsi="Arial" w:cs="Arial"/>
          <w:b/>
          <w:bCs/>
          <w:sz w:val="22"/>
          <w:szCs w:val="22"/>
        </w:rPr>
      </w:pPr>
      <w:r w:rsidRPr="007C4D89">
        <w:rPr>
          <w:rFonts w:ascii="Arial" w:hAnsi="Arial" w:cs="Arial"/>
          <w:b/>
          <w:bCs/>
          <w:sz w:val="22"/>
          <w:szCs w:val="22"/>
          <w:highlight w:val="yellow"/>
        </w:rPr>
        <w:t>REFERENCES</w:t>
      </w:r>
    </w:p>
    <w:p w14:paraId="38D94788" w14:textId="77777777" w:rsidR="007C4D89" w:rsidRDefault="007C4D89" w:rsidP="0008161B">
      <w:pPr>
        <w:rPr>
          <w:rFonts w:ascii="Arial" w:hAnsi="Arial" w:cs="Arial"/>
          <w:b/>
          <w:bCs/>
          <w:sz w:val="22"/>
          <w:szCs w:val="22"/>
        </w:rPr>
      </w:pPr>
    </w:p>
    <w:p w14:paraId="3F629447" w14:textId="77777777" w:rsidR="004610CB" w:rsidRPr="008269D5" w:rsidRDefault="004610CB" w:rsidP="004610CB">
      <w:pPr>
        <w:ind w:left="567" w:hanging="567"/>
        <w:jc w:val="both"/>
        <w:rPr>
          <w:rStyle w:val="Hyperlink"/>
          <w:rFonts w:ascii="Arial" w:hAnsi="Arial" w:cs="Arial"/>
        </w:rPr>
      </w:pPr>
      <w:bookmarkStart w:id="24" w:name="_Hlk213591258"/>
      <w:r w:rsidRPr="008269D5">
        <w:rPr>
          <w:rFonts w:ascii="Arial" w:hAnsi="Arial" w:cs="Arial"/>
        </w:rPr>
        <w:t>Adu-Gyamfi, R., Agyin-Birikorang, S., Tindjina, I., Manu, Y., &amp; Singh, U. (2019). Minimizing nutrient leaching from maize production systems in northern Ghana with one-time application of multi-nutrient fertilizer briquettes. Science of the total environment,</w:t>
      </w:r>
      <w:r w:rsidRPr="008269D5">
        <w:rPr>
          <w:rFonts w:ascii="Arial" w:hAnsi="Arial" w:cs="Arial"/>
          <w:i/>
        </w:rPr>
        <w:t xml:space="preserve"> 694, 133667.</w:t>
      </w:r>
      <w:r w:rsidRPr="008269D5">
        <w:rPr>
          <w:rFonts w:ascii="Arial" w:hAnsi="Arial" w:cs="Arial"/>
        </w:rPr>
        <w:t xml:space="preserve">  </w:t>
      </w:r>
      <w:hyperlink r:id="rId12" w:history="1">
        <w:r w:rsidRPr="008269D5">
          <w:rPr>
            <w:rStyle w:val="Hyperlink"/>
            <w:rFonts w:ascii="Arial" w:hAnsi="Arial" w:cs="Arial"/>
          </w:rPr>
          <w:t>https://doi.org/10.1016/J.SCITOTENV.2019.133667</w:t>
        </w:r>
      </w:hyperlink>
    </w:p>
    <w:p w14:paraId="43DF4CA6" w14:textId="77777777" w:rsidR="004610CB" w:rsidRPr="008269D5" w:rsidRDefault="004610CB" w:rsidP="004610CB">
      <w:pPr>
        <w:ind w:left="567" w:hanging="567"/>
        <w:jc w:val="both"/>
        <w:rPr>
          <w:rFonts w:ascii="Arial" w:hAnsi="Arial" w:cs="Arial"/>
        </w:rPr>
      </w:pPr>
      <w:r w:rsidRPr="008269D5">
        <w:rPr>
          <w:rFonts w:ascii="Arial" w:hAnsi="Arial" w:cs="Arial"/>
        </w:rPr>
        <w:t xml:space="preserve">Agyin-Birikorang, S., Winings, J. H., Yin, X., Singh, U., &amp; Sanabria, J. (2018). Field evaluation of agronomic effectiveness of multi-nutrient fertilizer briquettes for upland crop production. </w:t>
      </w:r>
      <w:r w:rsidRPr="008269D5">
        <w:rPr>
          <w:rFonts w:ascii="Arial" w:hAnsi="Arial" w:cs="Arial"/>
          <w:i/>
          <w:iCs/>
        </w:rPr>
        <w:t>Nutrient Cycling in Agroecosystems</w:t>
      </w:r>
      <w:r w:rsidRPr="008269D5">
        <w:rPr>
          <w:rFonts w:ascii="Arial" w:hAnsi="Arial" w:cs="Arial"/>
        </w:rPr>
        <w:t xml:space="preserve">, </w:t>
      </w:r>
      <w:r w:rsidRPr="008269D5">
        <w:rPr>
          <w:rFonts w:ascii="Arial" w:hAnsi="Arial" w:cs="Arial"/>
          <w:i/>
          <w:iCs/>
        </w:rPr>
        <w:t>110</w:t>
      </w:r>
      <w:r w:rsidRPr="008269D5">
        <w:rPr>
          <w:rFonts w:ascii="Arial" w:hAnsi="Arial" w:cs="Arial"/>
        </w:rPr>
        <w:t>(3), 395–406.https://doi.org/10.1007/s10705-018-9905</w:t>
      </w:r>
    </w:p>
    <w:p w14:paraId="688C4283" w14:textId="77777777" w:rsidR="004610CB" w:rsidRPr="008269D5" w:rsidRDefault="004610CB" w:rsidP="004610CB">
      <w:pPr>
        <w:ind w:left="567" w:hanging="567"/>
        <w:jc w:val="both"/>
        <w:rPr>
          <w:rFonts w:ascii="Arial" w:hAnsi="Arial" w:cs="Arial"/>
        </w:rPr>
      </w:pPr>
      <w:r w:rsidRPr="008269D5">
        <w:rPr>
          <w:rFonts w:ascii="Arial" w:hAnsi="Arial" w:cs="Arial"/>
        </w:rPr>
        <w:t xml:space="preserve">Ali, W., Ali, M., Kamal, A., Uzair, M., Ullah, N., Daud Khan, M., &amp; Khan Khalil, M. (2019). Maize Yield Response under Various Phosphorus Sources and their Ratios. European Journal of Experimental Biology, 9(1:5). </w:t>
      </w:r>
      <w:hyperlink r:id="rId13" w:history="1">
        <w:r w:rsidRPr="008269D5">
          <w:rPr>
            <w:rStyle w:val="Hyperlink"/>
            <w:rFonts w:ascii="Arial" w:hAnsi="Arial" w:cs="Arial"/>
          </w:rPr>
          <w:t>https://doi.org/10.36648/2248-9215.9.1.82</w:t>
        </w:r>
      </w:hyperlink>
    </w:p>
    <w:p w14:paraId="67E07CFF" w14:textId="77777777" w:rsidR="004610CB" w:rsidRPr="008269D5" w:rsidRDefault="004610CB" w:rsidP="004610CB">
      <w:pPr>
        <w:ind w:left="567" w:hanging="567"/>
        <w:jc w:val="both"/>
        <w:rPr>
          <w:rFonts w:ascii="Arial" w:hAnsi="Arial" w:cs="Arial"/>
        </w:rPr>
      </w:pPr>
      <w:r w:rsidRPr="008269D5">
        <w:rPr>
          <w:rFonts w:ascii="Arial" w:hAnsi="Arial" w:cs="Arial"/>
        </w:rPr>
        <w:t xml:space="preserve">Amanullah, Nangial, K., Muhammad, I. K., Shah, K., Asif, I., &amp; Al-Tawaha, A. R. (2019). Wheat biomass and harvest index increases with integrated use of phosphurus, Zinc and beneficial microbes under searid climates. Journal of Microbiology, Biotec. and Food Sciences, 9(2), 285–287. </w:t>
      </w:r>
      <w:hyperlink r:id="rId14" w:history="1">
        <w:r w:rsidRPr="008269D5">
          <w:rPr>
            <w:rStyle w:val="Hyperlink"/>
            <w:rFonts w:ascii="Arial" w:hAnsi="Arial" w:cs="Arial"/>
          </w:rPr>
          <w:t>https://doi.org/10.1016/B978-0-323-60984-5.00062-7</w:t>
        </w:r>
      </w:hyperlink>
    </w:p>
    <w:p w14:paraId="2A282193" w14:textId="028FB225" w:rsidR="004610CB" w:rsidRPr="008269D5" w:rsidRDefault="004610CB" w:rsidP="004610CB">
      <w:pPr>
        <w:ind w:left="567" w:hanging="567"/>
        <w:jc w:val="both"/>
        <w:rPr>
          <w:rFonts w:ascii="Arial" w:hAnsi="Arial" w:cs="Arial"/>
        </w:rPr>
      </w:pPr>
      <w:r w:rsidRPr="008269D5">
        <w:rPr>
          <w:rFonts w:ascii="Arial" w:hAnsi="Arial" w:cs="Arial"/>
        </w:rPr>
        <w:t>Anjum, M.M., M. Shafi, H. Ahmad, N. Ali, M.O. Iqbal, S. Ullah, M.F.J. Shafiullah, and W. Liaqat. (2018). Influence of split nitrogen application on yield and yield components of various maize varieties. Pure Appl. Biol. 7:721-726.</w:t>
      </w:r>
      <w:r w:rsidR="002E6B0F" w:rsidRPr="008269D5">
        <w:rPr>
          <w:rFonts w:ascii="Arial" w:hAnsi="Arial" w:cs="Arial"/>
        </w:rPr>
        <w:t xml:space="preserve"> </w:t>
      </w:r>
      <w:hyperlink r:id="rId15" w:history="1">
        <w:r w:rsidR="002E6B0F" w:rsidRPr="008269D5">
          <w:rPr>
            <w:rStyle w:val="Hyperlink"/>
            <w:rFonts w:ascii="Arial" w:hAnsi="Arial" w:cs="Arial"/>
          </w:rPr>
          <w:t>http://dx.doi.org/10.19045/bspab.2018.700890</w:t>
        </w:r>
      </w:hyperlink>
    </w:p>
    <w:p w14:paraId="609CBD32" w14:textId="77777777" w:rsidR="004610CB" w:rsidRPr="008269D5" w:rsidRDefault="004610CB" w:rsidP="004610CB">
      <w:pPr>
        <w:ind w:left="567" w:hanging="567"/>
        <w:jc w:val="both"/>
        <w:rPr>
          <w:rFonts w:ascii="Arial" w:hAnsi="Arial" w:cs="Arial"/>
        </w:rPr>
      </w:pPr>
      <w:r w:rsidRPr="008269D5">
        <w:rPr>
          <w:rFonts w:ascii="Arial" w:hAnsi="Arial" w:cs="Arial"/>
        </w:rPr>
        <w:t>AOAC. (1975). Official methods of analysis, Association of Official Agricultural Chemists. 2nd ed, Washington D.C.</w:t>
      </w:r>
    </w:p>
    <w:p w14:paraId="78131B3A" w14:textId="17185DF4" w:rsidR="004610CB" w:rsidRPr="008269D5" w:rsidRDefault="004610CB" w:rsidP="004610CB">
      <w:pPr>
        <w:ind w:left="567" w:hanging="567"/>
        <w:jc w:val="both"/>
        <w:rPr>
          <w:rFonts w:ascii="Arial" w:hAnsi="Arial" w:cs="Arial"/>
          <w:shd w:val="clear" w:color="auto" w:fill="FFFFFF"/>
        </w:rPr>
      </w:pPr>
      <w:bookmarkStart w:id="25" w:name="_Hlk213234967"/>
      <w:r w:rsidRPr="008269D5">
        <w:rPr>
          <w:rFonts w:ascii="Arial" w:hAnsi="Arial" w:cs="Arial"/>
          <w:shd w:val="clear" w:color="auto" w:fill="FFFFFF"/>
        </w:rPr>
        <w:t>Badiane, O., &amp; McMillan</w:t>
      </w:r>
      <w:bookmarkEnd w:id="25"/>
      <w:r w:rsidRPr="008269D5">
        <w:rPr>
          <w:rFonts w:ascii="Arial" w:hAnsi="Arial" w:cs="Arial"/>
          <w:shd w:val="clear" w:color="auto" w:fill="FFFFFF"/>
        </w:rPr>
        <w:t>, M. S. (2015). Economic transformation in Africa: Patterns, drivers, and implications for future growth strategies.</w:t>
      </w:r>
      <w:r w:rsidR="00D00940" w:rsidRPr="008269D5">
        <w:rPr>
          <w:rFonts w:ascii="Arial" w:hAnsi="Arial" w:cs="Arial"/>
        </w:rPr>
        <w:t xml:space="preserve"> </w:t>
      </w:r>
      <w:hyperlink r:id="rId16" w:history="1">
        <w:r w:rsidR="00D00940" w:rsidRPr="008269D5">
          <w:rPr>
            <w:rStyle w:val="Hyperlink"/>
            <w:rFonts w:ascii="Arial" w:hAnsi="Arial" w:cs="Arial"/>
            <w:shd w:val="clear" w:color="auto" w:fill="FFFFFF"/>
          </w:rPr>
          <w:t>https://hdl.handle.net/10568/151383</w:t>
        </w:r>
      </w:hyperlink>
    </w:p>
    <w:p w14:paraId="100867C6" w14:textId="7EF625FB" w:rsidR="004610CB" w:rsidRPr="008269D5" w:rsidRDefault="004610CB" w:rsidP="004610CB">
      <w:pPr>
        <w:ind w:left="567" w:hanging="567"/>
        <w:jc w:val="both"/>
        <w:rPr>
          <w:rFonts w:ascii="Arial" w:hAnsi="Arial" w:cs="Arial"/>
          <w:color w:val="222222"/>
          <w:shd w:val="clear" w:color="auto" w:fill="FFFFFF"/>
        </w:rPr>
      </w:pPr>
      <w:r w:rsidRPr="008269D5">
        <w:rPr>
          <w:rFonts w:ascii="Arial" w:hAnsi="Arial" w:cs="Arial"/>
        </w:rPr>
        <w:t>Bationo, A., Fening, J. O., &amp; Kwaw, A. (2018). Assessment of Soil Fertility Status and</w:t>
      </w:r>
      <w:r w:rsidRPr="008269D5">
        <w:rPr>
          <w:rFonts w:ascii="Arial" w:hAnsi="Arial" w:cs="Arial"/>
        </w:rPr>
        <w:tab/>
        <w:t xml:space="preserve">Integrated Soil Fertility Management in Ghana. In A. Bationo, D. Ngaradoum, S. </w:t>
      </w:r>
      <w:proofErr w:type="spellStart"/>
      <w:r w:rsidRPr="008269D5">
        <w:rPr>
          <w:rFonts w:ascii="Arial" w:hAnsi="Arial" w:cs="Arial"/>
        </w:rPr>
        <w:t>Youl,F</w:t>
      </w:r>
      <w:proofErr w:type="spellEnd"/>
      <w:r w:rsidRPr="008269D5">
        <w:rPr>
          <w:rFonts w:ascii="Arial" w:hAnsi="Arial" w:cs="Arial"/>
        </w:rPr>
        <w:t xml:space="preserve">. Lompo, &amp; J. O. Fening (Eds.), </w:t>
      </w:r>
      <w:r w:rsidRPr="008269D5">
        <w:rPr>
          <w:rFonts w:ascii="Arial" w:hAnsi="Arial" w:cs="Arial"/>
          <w:i/>
          <w:iCs/>
        </w:rPr>
        <w:t>Improving the Profitability, Sustainability and Efficiency of Nutrients Through Site Specific Fertilizer Recommendation.</w:t>
      </w:r>
      <w:r w:rsidR="00D00940" w:rsidRPr="008269D5">
        <w:rPr>
          <w:rFonts w:ascii="Arial" w:hAnsi="Arial" w:cs="Arial"/>
          <w:color w:val="222222"/>
          <w:shd w:val="clear" w:color="auto" w:fill="FFFFFF"/>
        </w:rPr>
        <w:t xml:space="preserve"> </w:t>
      </w:r>
      <w:hyperlink r:id="rId17" w:history="1">
        <w:r w:rsidR="00D00940" w:rsidRPr="008269D5">
          <w:rPr>
            <w:rStyle w:val="Hyperlink"/>
            <w:rFonts w:ascii="Arial" w:hAnsi="Arial" w:cs="Arial"/>
            <w:shd w:val="clear" w:color="auto" w:fill="FFFFFF"/>
          </w:rPr>
          <w:t>https://doi.org/10.1007/978-3-319-58789-9_7</w:t>
        </w:r>
      </w:hyperlink>
    </w:p>
    <w:p w14:paraId="2D81D964" w14:textId="77777777" w:rsidR="004610CB" w:rsidRPr="008269D5" w:rsidRDefault="004610CB" w:rsidP="004610CB">
      <w:pPr>
        <w:ind w:left="567" w:hanging="567"/>
        <w:jc w:val="both"/>
        <w:rPr>
          <w:rFonts w:ascii="Arial" w:hAnsi="Arial" w:cs="Arial"/>
        </w:rPr>
      </w:pPr>
      <w:r w:rsidRPr="008269D5">
        <w:rPr>
          <w:rFonts w:ascii="Arial" w:hAnsi="Arial" w:cs="Arial"/>
        </w:rPr>
        <w:t>Bray, R. H., &amp; Kutz, L. T. (1945). Determination of total, organic and available forms of phosphorus in soils. 1945. Soil Science, 59, 39–45.</w:t>
      </w:r>
    </w:p>
    <w:p w14:paraId="697DAF96" w14:textId="480C4C8F" w:rsidR="004610CB" w:rsidRPr="008269D5" w:rsidRDefault="004610CB" w:rsidP="004610CB">
      <w:pPr>
        <w:ind w:left="567" w:hanging="567"/>
        <w:jc w:val="both"/>
        <w:rPr>
          <w:rFonts w:ascii="Arial" w:hAnsi="Arial" w:cs="Arial"/>
          <w:shd w:val="clear" w:color="auto" w:fill="FFFFFF"/>
        </w:rPr>
      </w:pPr>
      <w:bookmarkStart w:id="26" w:name="_Hlk213241393"/>
      <w:r w:rsidRPr="008269D5">
        <w:rPr>
          <w:rFonts w:ascii="Arial" w:hAnsi="Arial" w:cs="Arial"/>
          <w:shd w:val="clear" w:color="auto" w:fill="FFFFFF"/>
        </w:rPr>
        <w:t>Deep</w:t>
      </w:r>
      <w:bookmarkEnd w:id="26"/>
      <w:r w:rsidRPr="008269D5">
        <w:rPr>
          <w:rFonts w:ascii="Arial" w:hAnsi="Arial" w:cs="Arial"/>
          <w:shd w:val="clear" w:color="auto" w:fill="FFFFFF"/>
        </w:rPr>
        <w:t xml:space="preserve">, S. K., </w:t>
      </w:r>
      <w:proofErr w:type="spellStart"/>
      <w:r w:rsidRPr="008269D5">
        <w:rPr>
          <w:rFonts w:ascii="Arial" w:hAnsi="Arial" w:cs="Arial"/>
          <w:shd w:val="clear" w:color="auto" w:fill="FFFFFF"/>
        </w:rPr>
        <w:t>Bachkaiya</w:t>
      </w:r>
      <w:proofErr w:type="spellEnd"/>
      <w:r w:rsidRPr="008269D5">
        <w:rPr>
          <w:rFonts w:ascii="Arial" w:hAnsi="Arial" w:cs="Arial"/>
          <w:shd w:val="clear" w:color="auto" w:fill="FFFFFF"/>
        </w:rPr>
        <w:t>, S. V., Tedia, D. K., &amp; Verma, P. (2020). Effect of urea briquettes deep placement on yield and nitrogen use efficiency of rice. </w:t>
      </w:r>
      <w:r w:rsidRPr="008269D5">
        <w:rPr>
          <w:rFonts w:ascii="Arial" w:hAnsi="Arial" w:cs="Arial"/>
          <w:i/>
          <w:iCs/>
          <w:shd w:val="clear" w:color="auto" w:fill="FFFFFF"/>
        </w:rPr>
        <w:t>International Journal of Chemical Studies</w:t>
      </w:r>
      <w:r w:rsidRPr="008269D5">
        <w:rPr>
          <w:rFonts w:ascii="Arial" w:hAnsi="Arial" w:cs="Arial"/>
          <w:shd w:val="clear" w:color="auto" w:fill="FFFFFF"/>
        </w:rPr>
        <w:t>, </w:t>
      </w:r>
      <w:r w:rsidRPr="008269D5">
        <w:rPr>
          <w:rFonts w:ascii="Arial" w:hAnsi="Arial" w:cs="Arial"/>
          <w:i/>
          <w:iCs/>
          <w:shd w:val="clear" w:color="auto" w:fill="FFFFFF"/>
        </w:rPr>
        <w:t>8</w:t>
      </w:r>
      <w:r w:rsidRPr="008269D5">
        <w:rPr>
          <w:rFonts w:ascii="Arial" w:hAnsi="Arial" w:cs="Arial"/>
          <w:shd w:val="clear" w:color="auto" w:fill="FFFFFF"/>
        </w:rPr>
        <w:t>(5), 836-838.</w:t>
      </w:r>
      <w:r w:rsidR="00D00940" w:rsidRPr="008269D5">
        <w:rPr>
          <w:rFonts w:ascii="Arial" w:hAnsi="Arial" w:cs="Arial"/>
        </w:rPr>
        <w:t xml:space="preserve"> </w:t>
      </w:r>
      <w:hyperlink r:id="rId18" w:history="1">
        <w:r w:rsidR="00D00940" w:rsidRPr="008269D5">
          <w:rPr>
            <w:rStyle w:val="Hyperlink"/>
            <w:rFonts w:ascii="Arial" w:hAnsi="Arial" w:cs="Arial"/>
            <w:shd w:val="clear" w:color="auto" w:fill="FFFFFF"/>
          </w:rPr>
          <w:t>https://doi.org/10.22271/chemi.2020.v8.i5l.10401</w:t>
        </w:r>
      </w:hyperlink>
    </w:p>
    <w:p w14:paraId="15C5FAAA" w14:textId="5DE9112B" w:rsidR="004610CB" w:rsidRPr="008269D5" w:rsidRDefault="004610CB" w:rsidP="004610CB">
      <w:pPr>
        <w:ind w:left="567" w:hanging="567"/>
        <w:jc w:val="both"/>
        <w:rPr>
          <w:rFonts w:ascii="Arial" w:hAnsi="Arial" w:cs="Arial"/>
        </w:rPr>
      </w:pPr>
      <w:r w:rsidRPr="008269D5">
        <w:rPr>
          <w:rFonts w:ascii="Arial" w:hAnsi="Arial" w:cs="Arial"/>
        </w:rPr>
        <w:t>Dhakal, K., Pokhrel, K. R., Baral, B. R., Ayer, D. K., &amp; Joshi, D. (2022). Three-way cross</w:t>
      </w:r>
      <w:r w:rsidRPr="008269D5">
        <w:rPr>
          <w:rFonts w:ascii="Arial" w:hAnsi="Arial" w:cs="Arial"/>
        </w:rPr>
        <w:tab/>
        <w:t xml:space="preserve">white kernel hybrid maize out-yielded commercial variety tested under two contrasting environments. </w:t>
      </w:r>
      <w:r w:rsidRPr="008269D5">
        <w:rPr>
          <w:rFonts w:ascii="Arial" w:hAnsi="Arial" w:cs="Arial"/>
          <w:i/>
          <w:iCs/>
        </w:rPr>
        <w:t>Journal of Agriculture and Food Research</w:t>
      </w:r>
      <w:r w:rsidRPr="008269D5">
        <w:rPr>
          <w:rFonts w:ascii="Arial" w:hAnsi="Arial" w:cs="Arial"/>
        </w:rPr>
        <w:t xml:space="preserve">, </w:t>
      </w:r>
      <w:r w:rsidRPr="008269D5">
        <w:rPr>
          <w:rFonts w:ascii="Arial" w:hAnsi="Arial" w:cs="Arial"/>
          <w:i/>
          <w:iCs/>
        </w:rPr>
        <w:t>7</w:t>
      </w:r>
      <w:r w:rsidRPr="008269D5">
        <w:rPr>
          <w:rFonts w:ascii="Arial" w:hAnsi="Arial" w:cs="Arial"/>
        </w:rPr>
        <w:t>, 100279.</w:t>
      </w:r>
      <w:r w:rsidR="00D00940" w:rsidRPr="008269D5">
        <w:rPr>
          <w:rFonts w:ascii="Arial" w:hAnsi="Arial" w:cs="Arial"/>
        </w:rPr>
        <w:t xml:space="preserve"> </w:t>
      </w:r>
      <w:hyperlink r:id="rId19" w:history="1">
        <w:r w:rsidR="00D00940" w:rsidRPr="008269D5">
          <w:rPr>
            <w:rStyle w:val="Hyperlink"/>
            <w:rFonts w:ascii="Arial" w:hAnsi="Arial" w:cs="Arial"/>
          </w:rPr>
          <w:t>https://doi.org/10.1016/j.jafr.2022.100279</w:t>
        </w:r>
      </w:hyperlink>
    </w:p>
    <w:p w14:paraId="672E182F" w14:textId="039D48C0" w:rsidR="004610CB" w:rsidRPr="008269D5" w:rsidRDefault="004610CB" w:rsidP="004610CB">
      <w:pPr>
        <w:ind w:left="567" w:hanging="567"/>
        <w:jc w:val="both"/>
        <w:rPr>
          <w:rFonts w:ascii="Arial" w:hAnsi="Arial" w:cs="Arial"/>
          <w:shd w:val="clear" w:color="auto" w:fill="FFFFFF"/>
        </w:rPr>
      </w:pPr>
      <w:bookmarkStart w:id="27" w:name="_Hlk213237302"/>
      <w:r w:rsidRPr="008269D5">
        <w:rPr>
          <w:rFonts w:ascii="Arial" w:hAnsi="Arial" w:cs="Arial"/>
          <w:shd w:val="clear" w:color="auto" w:fill="FFFFFF"/>
        </w:rPr>
        <w:lastRenderedPageBreak/>
        <w:t xml:space="preserve">Eldridge, </w:t>
      </w:r>
      <w:bookmarkEnd w:id="27"/>
      <w:r w:rsidRPr="008269D5">
        <w:rPr>
          <w:rFonts w:ascii="Arial" w:hAnsi="Arial" w:cs="Arial"/>
          <w:shd w:val="clear" w:color="auto" w:fill="FFFFFF"/>
        </w:rPr>
        <w:t>S. M., Pandey, A., Weatherley, A., Willett, I. R., Myint, A. K., Oo, A. N., ... &amp; Chen, D. (2022). Recovery of nitrogen fertilizer can be doubled by urea-briquette deep placement in rice paddies. </w:t>
      </w:r>
      <w:r w:rsidRPr="008269D5">
        <w:rPr>
          <w:rFonts w:ascii="Arial" w:hAnsi="Arial" w:cs="Arial"/>
          <w:i/>
          <w:iCs/>
          <w:shd w:val="clear" w:color="auto" w:fill="FFFFFF"/>
        </w:rPr>
        <w:t>European Journal of Agronomy</w:t>
      </w:r>
      <w:r w:rsidRPr="008269D5">
        <w:rPr>
          <w:rFonts w:ascii="Arial" w:hAnsi="Arial" w:cs="Arial"/>
          <w:shd w:val="clear" w:color="auto" w:fill="FFFFFF"/>
        </w:rPr>
        <w:t>, </w:t>
      </w:r>
      <w:r w:rsidRPr="008269D5">
        <w:rPr>
          <w:rFonts w:ascii="Arial" w:hAnsi="Arial" w:cs="Arial"/>
          <w:i/>
          <w:iCs/>
          <w:shd w:val="clear" w:color="auto" w:fill="FFFFFF"/>
        </w:rPr>
        <w:t>140</w:t>
      </w:r>
      <w:r w:rsidRPr="008269D5">
        <w:rPr>
          <w:rFonts w:ascii="Arial" w:hAnsi="Arial" w:cs="Arial"/>
          <w:shd w:val="clear" w:color="auto" w:fill="FFFFFF"/>
        </w:rPr>
        <w:t>, 126605.</w:t>
      </w:r>
      <w:r w:rsidR="00D00940" w:rsidRPr="008269D5">
        <w:rPr>
          <w:rFonts w:ascii="Arial" w:hAnsi="Arial" w:cs="Arial"/>
        </w:rPr>
        <w:t xml:space="preserve"> </w:t>
      </w:r>
      <w:hyperlink r:id="rId20" w:history="1">
        <w:r w:rsidR="00D00940" w:rsidRPr="008269D5">
          <w:rPr>
            <w:rStyle w:val="Hyperlink"/>
            <w:rFonts w:ascii="Arial" w:hAnsi="Arial" w:cs="Arial"/>
            <w:shd w:val="clear" w:color="auto" w:fill="FFFFFF"/>
          </w:rPr>
          <w:t>https://doi.org/10.1016/j.eja.2022.126605</w:t>
        </w:r>
      </w:hyperlink>
    </w:p>
    <w:p w14:paraId="6E62A767" w14:textId="1A008E61" w:rsidR="004610CB" w:rsidRPr="008269D5" w:rsidRDefault="004610CB" w:rsidP="004610CB">
      <w:pPr>
        <w:ind w:left="567" w:hanging="567"/>
        <w:jc w:val="both"/>
        <w:rPr>
          <w:rFonts w:ascii="Arial" w:hAnsi="Arial" w:cs="Arial"/>
          <w:color w:val="222222"/>
          <w:shd w:val="clear" w:color="auto" w:fill="FFFFFF"/>
        </w:rPr>
      </w:pPr>
      <w:bookmarkStart w:id="28" w:name="_Hlk212993607"/>
      <w:r w:rsidRPr="008269D5">
        <w:rPr>
          <w:rFonts w:ascii="Arial" w:hAnsi="Arial" w:cs="Arial"/>
          <w:shd w:val="clear" w:color="auto" w:fill="FFFFFF"/>
        </w:rPr>
        <w:t xml:space="preserve">Erenstein, </w:t>
      </w:r>
      <w:bookmarkEnd w:id="28"/>
      <w:r w:rsidRPr="008269D5">
        <w:rPr>
          <w:rFonts w:ascii="Arial" w:hAnsi="Arial" w:cs="Arial"/>
          <w:shd w:val="clear" w:color="auto" w:fill="FFFFFF"/>
        </w:rPr>
        <w:t xml:space="preserve">O., </w:t>
      </w:r>
      <w:proofErr w:type="spellStart"/>
      <w:r w:rsidRPr="008269D5">
        <w:rPr>
          <w:rFonts w:ascii="Arial" w:hAnsi="Arial" w:cs="Arial"/>
          <w:shd w:val="clear" w:color="auto" w:fill="FFFFFF"/>
        </w:rPr>
        <w:t>Jaleta</w:t>
      </w:r>
      <w:proofErr w:type="spellEnd"/>
      <w:r w:rsidRPr="008269D5">
        <w:rPr>
          <w:rFonts w:ascii="Arial" w:hAnsi="Arial" w:cs="Arial"/>
          <w:shd w:val="clear" w:color="auto" w:fill="FFFFFF"/>
        </w:rPr>
        <w:t xml:space="preserve">, M., Sonder, K., </w:t>
      </w:r>
      <w:proofErr w:type="spellStart"/>
      <w:r w:rsidRPr="008269D5">
        <w:rPr>
          <w:rFonts w:ascii="Arial" w:hAnsi="Arial" w:cs="Arial"/>
          <w:shd w:val="clear" w:color="auto" w:fill="FFFFFF"/>
        </w:rPr>
        <w:t>Mottaleb</w:t>
      </w:r>
      <w:proofErr w:type="spellEnd"/>
      <w:r w:rsidRPr="008269D5">
        <w:rPr>
          <w:rFonts w:ascii="Arial" w:hAnsi="Arial" w:cs="Arial"/>
          <w:shd w:val="clear" w:color="auto" w:fill="FFFFFF"/>
        </w:rPr>
        <w:t>, K., &amp; Prasanna, B. M. (2022). Global maize production, consumption and trade: trends and R&amp;D implications. </w:t>
      </w:r>
      <w:r w:rsidRPr="008269D5">
        <w:rPr>
          <w:rFonts w:ascii="Arial" w:hAnsi="Arial" w:cs="Arial"/>
          <w:i/>
          <w:iCs/>
          <w:shd w:val="clear" w:color="auto" w:fill="FFFFFF"/>
        </w:rPr>
        <w:t>Food security</w:t>
      </w:r>
      <w:r w:rsidRPr="008269D5">
        <w:rPr>
          <w:rFonts w:ascii="Arial" w:hAnsi="Arial" w:cs="Arial"/>
          <w:shd w:val="clear" w:color="auto" w:fill="FFFFFF"/>
        </w:rPr>
        <w:t>, </w:t>
      </w:r>
      <w:r w:rsidRPr="008269D5">
        <w:rPr>
          <w:rFonts w:ascii="Arial" w:hAnsi="Arial" w:cs="Arial"/>
          <w:i/>
          <w:iCs/>
          <w:shd w:val="clear" w:color="auto" w:fill="FFFFFF"/>
        </w:rPr>
        <w:t>14</w:t>
      </w:r>
      <w:r w:rsidRPr="008269D5">
        <w:rPr>
          <w:rFonts w:ascii="Arial" w:hAnsi="Arial" w:cs="Arial"/>
          <w:shd w:val="clear" w:color="auto" w:fill="FFFFFF"/>
        </w:rPr>
        <w:t>(5), 1295-1319.</w:t>
      </w:r>
      <w:r w:rsidR="00D00940" w:rsidRPr="008269D5">
        <w:rPr>
          <w:rFonts w:ascii="Arial" w:hAnsi="Arial" w:cs="Arial"/>
          <w:color w:val="222222"/>
          <w:shd w:val="clear" w:color="auto" w:fill="FFFFFF"/>
        </w:rPr>
        <w:t xml:space="preserve">  </w:t>
      </w:r>
      <w:hyperlink r:id="rId21" w:history="1">
        <w:r w:rsidR="00D00940" w:rsidRPr="008269D5">
          <w:rPr>
            <w:rStyle w:val="Hyperlink"/>
            <w:rFonts w:ascii="Arial" w:hAnsi="Arial" w:cs="Arial"/>
            <w:shd w:val="clear" w:color="auto" w:fill="FFFFFF"/>
          </w:rPr>
          <w:t>https://doi.org/10.1007/s12571-022-01288-7</w:t>
        </w:r>
      </w:hyperlink>
    </w:p>
    <w:p w14:paraId="59BCFC93" w14:textId="2C0E23BE" w:rsidR="004610CB" w:rsidRPr="008269D5" w:rsidRDefault="004610CB" w:rsidP="004610CB">
      <w:pPr>
        <w:ind w:left="567" w:hanging="567"/>
        <w:jc w:val="both"/>
        <w:rPr>
          <w:rFonts w:ascii="Arial" w:hAnsi="Arial" w:cs="Arial"/>
          <w:shd w:val="clear" w:color="auto" w:fill="FFFFFF"/>
        </w:rPr>
      </w:pPr>
      <w:bookmarkStart w:id="29" w:name="_Hlk213241283"/>
      <w:r w:rsidRPr="008269D5">
        <w:rPr>
          <w:rFonts w:ascii="Arial" w:hAnsi="Arial" w:cs="Arial"/>
          <w:shd w:val="clear" w:color="auto" w:fill="FFFFFF"/>
        </w:rPr>
        <w:t>Fathi</w:t>
      </w:r>
      <w:bookmarkEnd w:id="29"/>
      <w:r w:rsidRPr="008269D5">
        <w:rPr>
          <w:rFonts w:ascii="Arial" w:hAnsi="Arial" w:cs="Arial"/>
          <w:shd w:val="clear" w:color="auto" w:fill="FFFFFF"/>
        </w:rPr>
        <w:t>, A. (2022). Role of nitrogen (N) in plant growth, photosynthesis pigments, and N use efficiency: A review. </w:t>
      </w:r>
      <w:proofErr w:type="spellStart"/>
      <w:r w:rsidRPr="008269D5">
        <w:rPr>
          <w:rFonts w:ascii="Arial" w:hAnsi="Arial" w:cs="Arial"/>
          <w:i/>
          <w:iCs/>
          <w:shd w:val="clear" w:color="auto" w:fill="FFFFFF"/>
        </w:rPr>
        <w:t>Agrisost</w:t>
      </w:r>
      <w:proofErr w:type="spellEnd"/>
      <w:r w:rsidRPr="008269D5">
        <w:rPr>
          <w:rFonts w:ascii="Arial" w:hAnsi="Arial" w:cs="Arial"/>
          <w:i/>
          <w:iCs/>
          <w:shd w:val="clear" w:color="auto" w:fill="FFFFFF"/>
        </w:rPr>
        <w:t xml:space="preserve"> ISSN 1025-0247</w:t>
      </w:r>
      <w:r w:rsidRPr="008269D5">
        <w:rPr>
          <w:rFonts w:ascii="Arial" w:hAnsi="Arial" w:cs="Arial"/>
          <w:shd w:val="clear" w:color="auto" w:fill="FFFFFF"/>
        </w:rPr>
        <w:t>, </w:t>
      </w:r>
      <w:r w:rsidRPr="008269D5">
        <w:rPr>
          <w:rFonts w:ascii="Arial" w:hAnsi="Arial" w:cs="Arial"/>
          <w:i/>
          <w:iCs/>
          <w:shd w:val="clear" w:color="auto" w:fill="FFFFFF"/>
        </w:rPr>
        <w:t>28</w:t>
      </w:r>
      <w:r w:rsidRPr="008269D5">
        <w:rPr>
          <w:rFonts w:ascii="Arial" w:hAnsi="Arial" w:cs="Arial"/>
          <w:shd w:val="clear" w:color="auto" w:fill="FFFFFF"/>
        </w:rPr>
        <w:t>, 1-8.</w:t>
      </w:r>
      <w:r w:rsidR="00D00940" w:rsidRPr="008269D5">
        <w:rPr>
          <w:rFonts w:ascii="Arial" w:hAnsi="Arial" w:cs="Arial"/>
        </w:rPr>
        <w:t xml:space="preserve"> </w:t>
      </w:r>
      <w:hyperlink r:id="rId22" w:history="1">
        <w:r w:rsidR="00D00940" w:rsidRPr="008269D5">
          <w:rPr>
            <w:rStyle w:val="Hyperlink"/>
            <w:rFonts w:ascii="Arial" w:hAnsi="Arial" w:cs="Arial"/>
            <w:shd w:val="clear" w:color="auto" w:fill="FFFFFF"/>
          </w:rPr>
          <w:t>https://doi.org/10.5281/zenodo.7438164</w:t>
        </w:r>
      </w:hyperlink>
    </w:p>
    <w:p w14:paraId="42326B71" w14:textId="2BA74720" w:rsidR="004610CB" w:rsidRPr="008269D5" w:rsidRDefault="004610CB" w:rsidP="004610CB">
      <w:pPr>
        <w:ind w:left="567" w:hanging="567"/>
        <w:jc w:val="both"/>
        <w:rPr>
          <w:rFonts w:ascii="Arial" w:hAnsi="Arial" w:cs="Arial"/>
        </w:rPr>
      </w:pPr>
      <w:r w:rsidRPr="008269D5">
        <w:rPr>
          <w:rFonts w:ascii="Arial" w:hAnsi="Arial" w:cs="Arial"/>
        </w:rPr>
        <w:t xml:space="preserve">Galani, Y. J. H., Orfila, C., &amp; Gong, Y. Y. (2022). A review of micronutrient deficiencies and analysis of maize contribution to nutrient requirements of women and children in Eastern and Southern Africa. </w:t>
      </w:r>
      <w:r w:rsidRPr="008269D5">
        <w:rPr>
          <w:rFonts w:ascii="Arial" w:hAnsi="Arial" w:cs="Arial"/>
          <w:i/>
          <w:iCs/>
        </w:rPr>
        <w:t>Critical Reviews in Food Science and Nutrition</w:t>
      </w:r>
      <w:r w:rsidRPr="008269D5">
        <w:rPr>
          <w:rFonts w:ascii="Arial" w:hAnsi="Arial" w:cs="Arial"/>
        </w:rPr>
        <w:t xml:space="preserve">, </w:t>
      </w:r>
      <w:r w:rsidRPr="008269D5">
        <w:rPr>
          <w:rFonts w:ascii="Arial" w:hAnsi="Arial" w:cs="Arial"/>
          <w:i/>
          <w:iCs/>
        </w:rPr>
        <w:t>62</w:t>
      </w:r>
      <w:r w:rsidRPr="008269D5">
        <w:rPr>
          <w:rFonts w:ascii="Arial" w:hAnsi="Arial" w:cs="Arial"/>
        </w:rPr>
        <w:t xml:space="preserve">(6),1568–1591. </w:t>
      </w:r>
      <w:hyperlink r:id="rId23" w:history="1">
        <w:r w:rsidR="00D00940" w:rsidRPr="008269D5">
          <w:rPr>
            <w:rStyle w:val="Hyperlink"/>
            <w:rFonts w:ascii="Arial" w:hAnsi="Arial" w:cs="Arial"/>
          </w:rPr>
          <w:t>https://doi.org/10.1080/10408398.2020.1844636</w:t>
        </w:r>
      </w:hyperlink>
    </w:p>
    <w:p w14:paraId="2350B84D" w14:textId="77777777" w:rsidR="004610CB" w:rsidRPr="008269D5" w:rsidRDefault="004610CB" w:rsidP="004610CB">
      <w:pPr>
        <w:ind w:left="567" w:hanging="567"/>
        <w:jc w:val="both"/>
        <w:rPr>
          <w:rFonts w:ascii="Arial" w:hAnsi="Arial" w:cs="Arial"/>
        </w:rPr>
      </w:pPr>
      <w:r w:rsidRPr="008269D5">
        <w:rPr>
          <w:rFonts w:ascii="Arial" w:hAnsi="Arial" w:cs="Arial"/>
        </w:rPr>
        <w:t xml:space="preserve">Gellings, C. W., &amp; Parmenter, K. E. (2016). Energy efficiency in fertilizer production and use. </w:t>
      </w:r>
      <w:r w:rsidRPr="008269D5">
        <w:rPr>
          <w:rFonts w:ascii="Arial" w:hAnsi="Arial" w:cs="Arial"/>
          <w:i/>
          <w:iCs/>
        </w:rPr>
        <w:t>Efficient Use and Conservation of Energy; Gellings, CW, Ed.; Encyclopedia of Life</w:t>
      </w:r>
      <w:r w:rsidRPr="008269D5">
        <w:rPr>
          <w:rFonts w:ascii="Arial" w:hAnsi="Arial" w:cs="Arial"/>
          <w:i/>
          <w:iCs/>
        </w:rPr>
        <w:tab/>
        <w:t>Support Systems</w:t>
      </w:r>
      <w:r w:rsidRPr="008269D5">
        <w:rPr>
          <w:rFonts w:ascii="Arial" w:hAnsi="Arial" w:cs="Arial"/>
        </w:rPr>
        <w:t>, 123–136.</w:t>
      </w:r>
    </w:p>
    <w:p w14:paraId="6ABB2B2D" w14:textId="3C4D3F78" w:rsidR="004610CB" w:rsidRPr="008269D5" w:rsidRDefault="004610CB" w:rsidP="004610CB">
      <w:pPr>
        <w:ind w:left="567" w:hanging="567"/>
        <w:jc w:val="both"/>
        <w:rPr>
          <w:rFonts w:ascii="Arial" w:hAnsi="Arial" w:cs="Arial"/>
          <w:shd w:val="clear" w:color="auto" w:fill="FFFFFF"/>
        </w:rPr>
      </w:pPr>
      <w:bookmarkStart w:id="30" w:name="_Hlk213233708"/>
      <w:r w:rsidRPr="008269D5">
        <w:rPr>
          <w:rFonts w:ascii="Arial" w:hAnsi="Arial" w:cs="Arial"/>
          <w:shd w:val="clear" w:color="auto" w:fill="FFFFFF"/>
        </w:rPr>
        <w:t xml:space="preserve">Ghosh, </w:t>
      </w:r>
      <w:bookmarkEnd w:id="30"/>
      <w:r w:rsidRPr="008269D5">
        <w:rPr>
          <w:rFonts w:ascii="Arial" w:hAnsi="Arial" w:cs="Arial"/>
          <w:shd w:val="clear" w:color="auto" w:fill="FFFFFF"/>
        </w:rPr>
        <w:t>A., Kumar, A., &amp; Biswas, G. (2024). Exponential population growth and global food security: challenges and alternatives. In </w:t>
      </w:r>
      <w:r w:rsidRPr="008269D5">
        <w:rPr>
          <w:rFonts w:ascii="Arial" w:hAnsi="Arial" w:cs="Arial"/>
          <w:i/>
          <w:iCs/>
          <w:shd w:val="clear" w:color="auto" w:fill="FFFFFF"/>
        </w:rPr>
        <w:t>Bioremediation of emerging contaminants from soils</w:t>
      </w:r>
      <w:r w:rsidRPr="008269D5">
        <w:rPr>
          <w:rFonts w:ascii="Arial" w:hAnsi="Arial" w:cs="Arial"/>
          <w:shd w:val="clear" w:color="auto" w:fill="FFFFFF"/>
        </w:rPr>
        <w:t> (pp. 1-20). Elsevier.</w:t>
      </w:r>
      <w:r w:rsidR="00D00940" w:rsidRPr="008269D5">
        <w:rPr>
          <w:rFonts w:ascii="Arial" w:hAnsi="Arial" w:cs="Arial"/>
        </w:rPr>
        <w:t xml:space="preserve"> </w:t>
      </w:r>
      <w:hyperlink r:id="rId24" w:history="1">
        <w:r w:rsidR="00D00940" w:rsidRPr="008269D5">
          <w:rPr>
            <w:rStyle w:val="Hyperlink"/>
            <w:rFonts w:ascii="Arial" w:hAnsi="Arial" w:cs="Arial"/>
            <w:shd w:val="clear" w:color="auto" w:fill="FFFFFF"/>
          </w:rPr>
          <w:t>https://doi.org/10.1016/B978-0-443-13993-2.00001-3</w:t>
        </w:r>
      </w:hyperlink>
    </w:p>
    <w:p w14:paraId="3044B8B9" w14:textId="77777777" w:rsidR="00D00940" w:rsidRPr="008269D5" w:rsidRDefault="004610CB" w:rsidP="00D00940">
      <w:pPr>
        <w:ind w:left="567" w:hanging="567"/>
        <w:jc w:val="both"/>
        <w:rPr>
          <w:rFonts w:ascii="Arial" w:hAnsi="Arial" w:cs="Arial"/>
          <w:color w:val="555555"/>
          <w:shd w:val="clear" w:color="auto" w:fill="FFFFFF"/>
        </w:rPr>
      </w:pPr>
      <w:r w:rsidRPr="008269D5">
        <w:rPr>
          <w:rFonts w:ascii="Arial" w:hAnsi="Arial" w:cs="Arial"/>
        </w:rPr>
        <w:t xml:space="preserve">Goswami, J., Sharma, V., Chaudhury, B. U., &amp; Raju, P. L. N. (2019). Rapid identification of abiotic stress (frost) in in-filed maize crop using UAV remote sensing. </w:t>
      </w:r>
      <w:r w:rsidRPr="008269D5">
        <w:rPr>
          <w:rFonts w:ascii="Arial" w:hAnsi="Arial" w:cs="Arial"/>
          <w:i/>
          <w:iCs/>
        </w:rPr>
        <w:t>The International Archives of the Photogrammetry, Remote Sensing and Spatial Information Sciences</w:t>
      </w:r>
      <w:r w:rsidRPr="008269D5">
        <w:rPr>
          <w:rFonts w:ascii="Arial" w:hAnsi="Arial" w:cs="Arial"/>
        </w:rPr>
        <w:t xml:space="preserve">, </w:t>
      </w:r>
      <w:r w:rsidRPr="008269D5">
        <w:rPr>
          <w:rFonts w:ascii="Arial" w:hAnsi="Arial" w:cs="Arial"/>
          <w:i/>
          <w:iCs/>
        </w:rPr>
        <w:t>42</w:t>
      </w:r>
      <w:r w:rsidRPr="008269D5">
        <w:rPr>
          <w:rFonts w:ascii="Arial" w:hAnsi="Arial" w:cs="Arial"/>
        </w:rPr>
        <w:t>, 467–471.</w:t>
      </w:r>
      <w:r w:rsidR="00D00940" w:rsidRPr="008269D5">
        <w:rPr>
          <w:rFonts w:ascii="Arial" w:hAnsi="Arial" w:cs="Arial"/>
          <w:color w:val="555555"/>
          <w:shd w:val="clear" w:color="auto" w:fill="FFFFFF"/>
        </w:rPr>
        <w:t xml:space="preserve"> https://doi.org/10.5194/isprs-archives-XLII-3-W6-467-2019, 2019.</w:t>
      </w:r>
    </w:p>
    <w:p w14:paraId="6D1F3F75" w14:textId="4E01A5DC" w:rsidR="004610CB" w:rsidRPr="008269D5" w:rsidRDefault="004610CB" w:rsidP="00D00940">
      <w:pPr>
        <w:ind w:left="567" w:hanging="567"/>
        <w:jc w:val="both"/>
        <w:rPr>
          <w:rFonts w:ascii="Arial" w:hAnsi="Arial" w:cs="Arial"/>
          <w:color w:val="555555"/>
          <w:shd w:val="clear" w:color="auto" w:fill="FFFFFF"/>
        </w:rPr>
      </w:pPr>
      <w:r w:rsidRPr="008269D5">
        <w:rPr>
          <w:rFonts w:ascii="Arial" w:hAnsi="Arial" w:cs="Arial"/>
        </w:rPr>
        <w:t xml:space="preserve">IFDC (International Fertilizer Development Center). (2017) Feed the Future Soil Fertility Technology (SFT) Adoption Policy. Semi-Annual-2017-1.pdf. </w:t>
      </w:r>
      <w:r w:rsidRPr="008269D5">
        <w:rPr>
          <w:rFonts w:ascii="Arial" w:hAnsi="Arial" w:cs="Arial"/>
          <w:u w:val="single"/>
        </w:rPr>
        <w:t>https://ifdc.org</w:t>
      </w:r>
      <w:r w:rsidRPr="008269D5">
        <w:rPr>
          <w:rFonts w:ascii="Arial" w:hAnsi="Arial" w:cs="Arial"/>
        </w:rPr>
        <w:t xml:space="preserve">. </w:t>
      </w:r>
    </w:p>
    <w:p w14:paraId="62D259A6" w14:textId="77777777" w:rsidR="004610CB" w:rsidRPr="008269D5" w:rsidRDefault="004610CB" w:rsidP="004610CB">
      <w:pPr>
        <w:ind w:left="567" w:hanging="567"/>
        <w:jc w:val="both"/>
        <w:rPr>
          <w:rFonts w:ascii="Arial" w:hAnsi="Arial" w:cs="Arial"/>
        </w:rPr>
      </w:pPr>
      <w:r w:rsidRPr="008269D5">
        <w:rPr>
          <w:rFonts w:ascii="Arial" w:hAnsi="Arial" w:cs="Arial"/>
        </w:rPr>
        <w:t>IITA, (International Institute for Tropical Agriculture). (1979). Determination of exchangeable Ca, Mg, K, Na, Mn and Effective CEC IN Soils; In selected Methods for Plant Analysis . Manual Series No. 1. .IITA, Ibadan, Nigeria.</w:t>
      </w:r>
    </w:p>
    <w:p w14:paraId="3AC60FBE" w14:textId="77777777" w:rsidR="004610CB" w:rsidRPr="008269D5" w:rsidRDefault="004610CB" w:rsidP="004610CB">
      <w:pPr>
        <w:ind w:left="567" w:hanging="567"/>
        <w:jc w:val="both"/>
        <w:rPr>
          <w:rFonts w:ascii="Arial" w:hAnsi="Arial" w:cs="Arial"/>
          <w:shd w:val="clear" w:color="auto" w:fill="FFFFFF"/>
        </w:rPr>
      </w:pPr>
      <w:bookmarkStart w:id="31" w:name="_Hlk213243224"/>
      <w:r w:rsidRPr="008269D5">
        <w:rPr>
          <w:rFonts w:ascii="Arial" w:hAnsi="Arial" w:cs="Arial"/>
          <w:shd w:val="clear" w:color="auto" w:fill="FFFFFF"/>
        </w:rPr>
        <w:t>Jiaying</w:t>
      </w:r>
      <w:bookmarkEnd w:id="31"/>
      <w:r w:rsidRPr="008269D5">
        <w:rPr>
          <w:rFonts w:ascii="Arial" w:hAnsi="Arial" w:cs="Arial"/>
          <w:shd w:val="clear" w:color="auto" w:fill="FFFFFF"/>
        </w:rPr>
        <w:t xml:space="preserve">, M. A., Tingting, C., Jie, L., </w:t>
      </w:r>
      <w:proofErr w:type="spellStart"/>
      <w:r w:rsidRPr="008269D5">
        <w:rPr>
          <w:rFonts w:ascii="Arial" w:hAnsi="Arial" w:cs="Arial"/>
          <w:shd w:val="clear" w:color="auto" w:fill="FFFFFF"/>
        </w:rPr>
        <w:t>Weimeng</w:t>
      </w:r>
      <w:proofErr w:type="spellEnd"/>
      <w:r w:rsidRPr="008269D5">
        <w:rPr>
          <w:rFonts w:ascii="Arial" w:hAnsi="Arial" w:cs="Arial"/>
          <w:shd w:val="clear" w:color="auto" w:fill="FFFFFF"/>
        </w:rPr>
        <w:t xml:space="preserve">, F. U., </w:t>
      </w:r>
      <w:proofErr w:type="spellStart"/>
      <w:r w:rsidRPr="008269D5">
        <w:rPr>
          <w:rFonts w:ascii="Arial" w:hAnsi="Arial" w:cs="Arial"/>
          <w:shd w:val="clear" w:color="auto" w:fill="FFFFFF"/>
        </w:rPr>
        <w:t>Baohua</w:t>
      </w:r>
      <w:proofErr w:type="spellEnd"/>
      <w:r w:rsidRPr="008269D5">
        <w:rPr>
          <w:rFonts w:ascii="Arial" w:hAnsi="Arial" w:cs="Arial"/>
          <w:shd w:val="clear" w:color="auto" w:fill="FFFFFF"/>
        </w:rPr>
        <w:t xml:space="preserve">, F., </w:t>
      </w:r>
      <w:proofErr w:type="spellStart"/>
      <w:r w:rsidRPr="008269D5">
        <w:rPr>
          <w:rFonts w:ascii="Arial" w:hAnsi="Arial" w:cs="Arial"/>
          <w:shd w:val="clear" w:color="auto" w:fill="FFFFFF"/>
        </w:rPr>
        <w:t>Guangyan</w:t>
      </w:r>
      <w:proofErr w:type="spellEnd"/>
      <w:r w:rsidRPr="008269D5">
        <w:rPr>
          <w:rFonts w:ascii="Arial" w:hAnsi="Arial" w:cs="Arial"/>
          <w:shd w:val="clear" w:color="auto" w:fill="FFFFFF"/>
        </w:rPr>
        <w:t xml:space="preserve">, L., ... &amp; </w:t>
      </w:r>
      <w:proofErr w:type="spellStart"/>
      <w:r w:rsidRPr="008269D5">
        <w:rPr>
          <w:rFonts w:ascii="Arial" w:hAnsi="Arial" w:cs="Arial"/>
          <w:shd w:val="clear" w:color="auto" w:fill="FFFFFF"/>
        </w:rPr>
        <w:t>Guanfu</w:t>
      </w:r>
      <w:proofErr w:type="spellEnd"/>
      <w:r w:rsidRPr="008269D5">
        <w:rPr>
          <w:rFonts w:ascii="Arial" w:hAnsi="Arial" w:cs="Arial"/>
          <w:shd w:val="clear" w:color="auto" w:fill="FFFFFF"/>
        </w:rPr>
        <w:t>, F. (2022). Functions of nitrogen, phosphorus and potassium in energy status and their influences on rice growth and development. </w:t>
      </w:r>
      <w:r w:rsidRPr="008269D5">
        <w:rPr>
          <w:rFonts w:ascii="Arial" w:hAnsi="Arial" w:cs="Arial"/>
          <w:i/>
          <w:iCs/>
          <w:shd w:val="clear" w:color="auto" w:fill="FFFFFF"/>
        </w:rPr>
        <w:t>Rice Science</w:t>
      </w:r>
      <w:r w:rsidRPr="008269D5">
        <w:rPr>
          <w:rFonts w:ascii="Arial" w:hAnsi="Arial" w:cs="Arial"/>
          <w:shd w:val="clear" w:color="auto" w:fill="FFFFFF"/>
        </w:rPr>
        <w:t>, </w:t>
      </w:r>
      <w:r w:rsidRPr="008269D5">
        <w:rPr>
          <w:rFonts w:ascii="Arial" w:hAnsi="Arial" w:cs="Arial"/>
          <w:i/>
          <w:iCs/>
          <w:shd w:val="clear" w:color="auto" w:fill="FFFFFF"/>
        </w:rPr>
        <w:t>29</w:t>
      </w:r>
      <w:r w:rsidRPr="008269D5">
        <w:rPr>
          <w:rFonts w:ascii="Arial" w:hAnsi="Arial" w:cs="Arial"/>
          <w:shd w:val="clear" w:color="auto" w:fill="FFFFFF"/>
        </w:rPr>
        <w:t>(2), 166.</w:t>
      </w:r>
    </w:p>
    <w:p w14:paraId="5B56CF14" w14:textId="21D1311B" w:rsidR="004610CB" w:rsidRPr="008269D5" w:rsidRDefault="004610CB" w:rsidP="004610CB">
      <w:pPr>
        <w:ind w:left="567" w:hanging="567"/>
        <w:jc w:val="both"/>
        <w:rPr>
          <w:rFonts w:ascii="Arial" w:hAnsi="Arial" w:cs="Arial"/>
          <w:shd w:val="clear" w:color="auto" w:fill="FFFFFF"/>
        </w:rPr>
      </w:pPr>
      <w:r w:rsidRPr="008269D5">
        <w:rPr>
          <w:rFonts w:ascii="Arial" w:hAnsi="Arial" w:cs="Arial"/>
          <w:shd w:val="clear" w:color="auto" w:fill="FFFFFF"/>
        </w:rPr>
        <w:t>Johnston, A. E., &amp; Poulton, P. R. (2018). The importance of long</w:t>
      </w:r>
      <w:r w:rsidRPr="008269D5">
        <w:rPr>
          <w:rFonts w:ascii="Cambria Math" w:hAnsi="Cambria Math" w:cs="Cambria Math"/>
          <w:shd w:val="clear" w:color="auto" w:fill="FFFFFF"/>
        </w:rPr>
        <w:t>‐</w:t>
      </w:r>
      <w:r w:rsidRPr="008269D5">
        <w:rPr>
          <w:rFonts w:ascii="Arial" w:hAnsi="Arial" w:cs="Arial"/>
          <w:shd w:val="clear" w:color="auto" w:fill="FFFFFF"/>
        </w:rPr>
        <w:t xml:space="preserve">term experiments in agriculture: Their management to ensure continued crop production and soil fertility; the Rothamsted experience. European Journal of Soil Science, 69(1), 113–125. </w:t>
      </w:r>
      <w:hyperlink r:id="rId25" w:history="1">
        <w:r w:rsidR="00D00940" w:rsidRPr="008269D5">
          <w:rPr>
            <w:rStyle w:val="Hyperlink"/>
            <w:rFonts w:ascii="Arial" w:hAnsi="Arial" w:cs="Arial"/>
            <w:shd w:val="clear" w:color="auto" w:fill="FFFFFF"/>
          </w:rPr>
          <w:t>https://doi.org/10.1111/ejss.12521</w:t>
        </w:r>
      </w:hyperlink>
      <w:r w:rsidRPr="008269D5">
        <w:rPr>
          <w:rFonts w:ascii="Arial" w:hAnsi="Arial" w:cs="Arial"/>
          <w:shd w:val="clear" w:color="auto" w:fill="FFFFFF"/>
        </w:rPr>
        <w:t>.</w:t>
      </w:r>
    </w:p>
    <w:p w14:paraId="2C53110D" w14:textId="77777777" w:rsidR="004610CB" w:rsidRPr="008269D5" w:rsidRDefault="004610CB" w:rsidP="004610CB">
      <w:pPr>
        <w:ind w:left="567" w:hanging="567"/>
        <w:jc w:val="both"/>
        <w:rPr>
          <w:rFonts w:ascii="Arial" w:hAnsi="Arial" w:cs="Arial"/>
        </w:rPr>
      </w:pPr>
      <w:r w:rsidRPr="008269D5">
        <w:rPr>
          <w:rFonts w:ascii="Arial" w:hAnsi="Arial" w:cs="Arial"/>
        </w:rPr>
        <w:t xml:space="preserve">Kombat, K, R. (2015), Effects of four fertilizer NPK application and their application rates on growth and yield of maize. In the Guinea savannah agro-ecology of Ghana. </w:t>
      </w:r>
      <w:hyperlink r:id="rId26" w:history="1">
        <w:r w:rsidRPr="008269D5">
          <w:rPr>
            <w:rStyle w:val="Hyperlink"/>
            <w:rFonts w:ascii="Arial" w:hAnsi="Arial" w:cs="Arial"/>
          </w:rPr>
          <w:t>www.udsspae.uds.edu.gh</w:t>
        </w:r>
      </w:hyperlink>
    </w:p>
    <w:p w14:paraId="09C1F0F3" w14:textId="03C108B4" w:rsidR="004610CB" w:rsidRPr="008269D5" w:rsidRDefault="004610CB" w:rsidP="004610CB">
      <w:pPr>
        <w:ind w:left="567" w:hanging="567"/>
        <w:jc w:val="both"/>
        <w:rPr>
          <w:rFonts w:ascii="Arial" w:hAnsi="Arial" w:cs="Arial"/>
          <w:shd w:val="clear" w:color="auto" w:fill="FFFFFF"/>
        </w:rPr>
      </w:pPr>
      <w:bookmarkStart w:id="32" w:name="_Hlk213241937"/>
      <w:r w:rsidRPr="008269D5">
        <w:rPr>
          <w:rFonts w:ascii="Arial" w:hAnsi="Arial" w:cs="Arial"/>
          <w:shd w:val="clear" w:color="auto" w:fill="FFFFFF"/>
        </w:rPr>
        <w:t>Kumah-Amenudzi</w:t>
      </w:r>
      <w:bookmarkEnd w:id="32"/>
      <w:r w:rsidRPr="008269D5">
        <w:rPr>
          <w:rFonts w:ascii="Arial" w:hAnsi="Arial" w:cs="Arial"/>
          <w:shd w:val="clear" w:color="auto" w:fill="FFFFFF"/>
        </w:rPr>
        <w:t>, D., Asiedu, E. K., Agyarko, K., Essilfie, M. E., Amponsah, E. K., Owusu, S. E., ... &amp; Bindraban, P. S. (2024). Effects of NPKS Granular and Briquette Fertilizers on Some Soil Chemical Properties and Yield Parameters of Maize (Zea mays L.). </w:t>
      </w:r>
      <w:r w:rsidRPr="008269D5">
        <w:rPr>
          <w:rFonts w:ascii="Arial" w:hAnsi="Arial" w:cs="Arial"/>
          <w:i/>
          <w:iCs/>
          <w:shd w:val="clear" w:color="auto" w:fill="FFFFFF"/>
        </w:rPr>
        <w:t>Asian J. Soil Sci. Plant Nutri</w:t>
      </w:r>
      <w:r w:rsidRPr="008269D5">
        <w:rPr>
          <w:rFonts w:ascii="Arial" w:hAnsi="Arial" w:cs="Arial"/>
          <w:shd w:val="clear" w:color="auto" w:fill="FFFFFF"/>
        </w:rPr>
        <w:t>, </w:t>
      </w:r>
      <w:r w:rsidRPr="008269D5">
        <w:rPr>
          <w:rFonts w:ascii="Arial" w:hAnsi="Arial" w:cs="Arial"/>
          <w:i/>
          <w:iCs/>
          <w:shd w:val="clear" w:color="auto" w:fill="FFFFFF"/>
        </w:rPr>
        <w:t>10</w:t>
      </w:r>
      <w:r w:rsidRPr="008269D5">
        <w:rPr>
          <w:rFonts w:ascii="Arial" w:hAnsi="Arial" w:cs="Arial"/>
          <w:shd w:val="clear" w:color="auto" w:fill="FFFFFF"/>
        </w:rPr>
        <w:t>(2), 1-12.</w:t>
      </w:r>
      <w:r w:rsidR="00D00940" w:rsidRPr="008269D5">
        <w:rPr>
          <w:rFonts w:ascii="Arial" w:hAnsi="Arial" w:cs="Arial"/>
        </w:rPr>
        <w:t xml:space="preserve"> </w:t>
      </w:r>
      <w:r w:rsidR="00D00940" w:rsidRPr="008269D5">
        <w:rPr>
          <w:rFonts w:ascii="Arial" w:hAnsi="Arial" w:cs="Arial"/>
          <w:shd w:val="clear" w:color="auto" w:fill="FFFFFF"/>
        </w:rPr>
        <w:t>DOI: 10.9734/AJSSPN/2024/v10i2255</w:t>
      </w:r>
    </w:p>
    <w:p w14:paraId="704549DB" w14:textId="68016D3C" w:rsidR="004610CB" w:rsidRPr="008269D5" w:rsidRDefault="004610CB" w:rsidP="004610CB">
      <w:pPr>
        <w:ind w:left="567" w:hanging="567"/>
        <w:jc w:val="both"/>
        <w:rPr>
          <w:rFonts w:ascii="Arial" w:hAnsi="Arial" w:cs="Arial"/>
        </w:rPr>
      </w:pPr>
      <w:r w:rsidRPr="008269D5">
        <w:rPr>
          <w:rFonts w:ascii="Arial" w:hAnsi="Arial" w:cs="Arial"/>
        </w:rPr>
        <w:t>Makate, C., Wang, R., Makate, M., &amp; Mango, N. (2017). Impact of drought tolerant maize</w:t>
      </w:r>
      <w:r w:rsidRPr="008269D5">
        <w:rPr>
          <w:rFonts w:ascii="Arial" w:hAnsi="Arial" w:cs="Arial"/>
        </w:rPr>
        <w:tab/>
        <w:t>adoption on maize productivity, sales and consumption in rural Zimbabwe. Agrekon,56(1), 67-81.</w:t>
      </w:r>
      <w:r w:rsidR="00D00940" w:rsidRPr="008269D5">
        <w:rPr>
          <w:rFonts w:ascii="Arial" w:hAnsi="Arial" w:cs="Arial"/>
        </w:rPr>
        <w:t xml:space="preserve"> </w:t>
      </w:r>
      <w:hyperlink r:id="rId27" w:history="1">
        <w:r w:rsidR="00D00940" w:rsidRPr="008269D5">
          <w:rPr>
            <w:rStyle w:val="Hyperlink"/>
            <w:rFonts w:ascii="Arial" w:hAnsi="Arial" w:cs="Arial"/>
          </w:rPr>
          <w:t>https://hdl.handle.net/10520/EJC-63055a9fb</w:t>
        </w:r>
      </w:hyperlink>
    </w:p>
    <w:p w14:paraId="2D2F3D83" w14:textId="1D600683" w:rsidR="004610CB" w:rsidRPr="008269D5" w:rsidRDefault="004610CB" w:rsidP="004610CB">
      <w:pPr>
        <w:ind w:left="567" w:hanging="567"/>
        <w:jc w:val="both"/>
        <w:rPr>
          <w:rFonts w:ascii="Arial" w:hAnsi="Arial" w:cs="Arial"/>
          <w:shd w:val="clear" w:color="auto" w:fill="FFFFFF"/>
        </w:rPr>
      </w:pPr>
      <w:bookmarkStart w:id="33" w:name="_Hlk213248414"/>
      <w:r w:rsidRPr="008269D5">
        <w:rPr>
          <w:rFonts w:ascii="Arial" w:hAnsi="Arial" w:cs="Arial"/>
          <w:shd w:val="clear" w:color="auto" w:fill="FFFFFF"/>
        </w:rPr>
        <w:t>Masunaga, T., &amp; Fong, J. D. M</w:t>
      </w:r>
      <w:bookmarkEnd w:id="33"/>
      <w:r w:rsidRPr="008269D5">
        <w:rPr>
          <w:rFonts w:ascii="Arial" w:hAnsi="Arial" w:cs="Arial"/>
          <w:shd w:val="clear" w:color="auto" w:fill="FFFFFF"/>
        </w:rPr>
        <w:t>. (2018). Strategies for increasing micronutrient availability in soil for plant uptake. In </w:t>
      </w:r>
      <w:r w:rsidRPr="008269D5">
        <w:rPr>
          <w:rFonts w:ascii="Arial" w:hAnsi="Arial" w:cs="Arial"/>
          <w:i/>
          <w:iCs/>
          <w:shd w:val="clear" w:color="auto" w:fill="FFFFFF"/>
        </w:rPr>
        <w:t>Plant micronutrient use efficiency</w:t>
      </w:r>
      <w:r w:rsidRPr="008269D5">
        <w:rPr>
          <w:rFonts w:ascii="Arial" w:hAnsi="Arial" w:cs="Arial"/>
          <w:shd w:val="clear" w:color="auto" w:fill="FFFFFF"/>
        </w:rPr>
        <w:t> (pp. 195-208). Academic Press.</w:t>
      </w:r>
      <w:r w:rsidR="008269D5" w:rsidRPr="008269D5">
        <w:rPr>
          <w:rFonts w:ascii="Arial" w:hAnsi="Arial" w:cs="Arial"/>
        </w:rPr>
        <w:t xml:space="preserve"> </w:t>
      </w:r>
      <w:hyperlink r:id="rId28" w:history="1">
        <w:r w:rsidR="008269D5" w:rsidRPr="008269D5">
          <w:rPr>
            <w:rStyle w:val="Hyperlink"/>
            <w:rFonts w:ascii="Arial" w:hAnsi="Arial" w:cs="Arial"/>
            <w:shd w:val="clear" w:color="auto" w:fill="FFFFFF"/>
          </w:rPr>
          <w:t>https://doi.org/10.1016/B978-0-12-812104-7.00013-7</w:t>
        </w:r>
      </w:hyperlink>
    </w:p>
    <w:p w14:paraId="08579440" w14:textId="77777777" w:rsidR="004610CB" w:rsidRPr="008269D5" w:rsidRDefault="004610CB" w:rsidP="004610CB">
      <w:pPr>
        <w:ind w:left="567" w:hanging="567"/>
        <w:jc w:val="both"/>
        <w:rPr>
          <w:rFonts w:ascii="Arial" w:hAnsi="Arial" w:cs="Arial"/>
          <w:noProof/>
        </w:rPr>
      </w:pPr>
      <w:r w:rsidRPr="008269D5">
        <w:rPr>
          <w:rFonts w:ascii="Arial" w:hAnsi="Arial" w:cs="Arial"/>
          <w:noProof/>
        </w:rPr>
        <w:t xml:space="preserve">MoFA. (2023). Agriculture in Ghana, facts and figures. Ministry of Food and Agriculture, Statistics, Research and Information Directorate (SRID). </w:t>
      </w:r>
      <w:r w:rsidRPr="008269D5">
        <w:rPr>
          <w:rFonts w:ascii="Arial" w:hAnsi="Arial" w:cs="Arial"/>
          <w:i/>
          <w:iCs/>
          <w:noProof/>
        </w:rPr>
        <w:t>Statistics, Research and Information Directorate (SRID)</w:t>
      </w:r>
      <w:r w:rsidRPr="008269D5">
        <w:rPr>
          <w:rFonts w:ascii="Arial" w:hAnsi="Arial" w:cs="Arial"/>
          <w:noProof/>
        </w:rPr>
        <w:t xml:space="preserve">, </w:t>
      </w:r>
      <w:r w:rsidRPr="008269D5">
        <w:rPr>
          <w:rFonts w:ascii="Arial" w:hAnsi="Arial" w:cs="Arial"/>
          <w:i/>
          <w:iCs/>
          <w:noProof/>
        </w:rPr>
        <w:t>October 20</w:t>
      </w:r>
      <w:r w:rsidRPr="008269D5">
        <w:rPr>
          <w:rFonts w:ascii="Arial" w:hAnsi="Arial" w:cs="Arial"/>
          <w:noProof/>
        </w:rPr>
        <w:t>(25th), 3137–3146.</w:t>
      </w:r>
    </w:p>
    <w:p w14:paraId="22DEFD92" w14:textId="63394EDA" w:rsidR="004610CB" w:rsidRPr="008269D5" w:rsidRDefault="004610CB" w:rsidP="004610CB">
      <w:pPr>
        <w:ind w:left="567" w:hanging="567"/>
        <w:jc w:val="both"/>
        <w:rPr>
          <w:rFonts w:ascii="Arial" w:hAnsi="Arial" w:cs="Arial"/>
        </w:rPr>
      </w:pPr>
      <w:r w:rsidRPr="008269D5">
        <w:rPr>
          <w:rFonts w:ascii="Arial" w:hAnsi="Arial" w:cs="Arial"/>
        </w:rPr>
        <w:lastRenderedPageBreak/>
        <w:t>Murdia, L. K., Wadhwani, R., Wadhawan, N., Bajpai, P., &amp; Shekhawat, S. (2016). Maize</w:t>
      </w:r>
      <w:r w:rsidRPr="008269D5">
        <w:rPr>
          <w:rFonts w:ascii="Arial" w:hAnsi="Arial" w:cs="Arial"/>
        </w:rPr>
        <w:tab/>
        <w:t>utilization in India: an overview. American Journal of Food and Nutrition, 4(6), 169 176.</w:t>
      </w:r>
      <w:r w:rsidR="008269D5" w:rsidRPr="008269D5">
        <w:rPr>
          <w:rFonts w:ascii="Arial" w:hAnsi="Arial" w:cs="Arial"/>
        </w:rPr>
        <w:t xml:space="preserve"> DOI:10.12691/ajfn-4-6-5</w:t>
      </w:r>
    </w:p>
    <w:p w14:paraId="5FB284DB" w14:textId="442FD791" w:rsidR="004610CB" w:rsidRPr="008269D5" w:rsidRDefault="004610CB" w:rsidP="004610CB">
      <w:pPr>
        <w:ind w:left="567" w:hanging="567"/>
        <w:jc w:val="both"/>
        <w:rPr>
          <w:rFonts w:ascii="Arial" w:hAnsi="Arial" w:cs="Arial"/>
          <w:shd w:val="clear" w:color="auto" w:fill="FFFFFF"/>
        </w:rPr>
      </w:pPr>
      <w:bookmarkStart w:id="34" w:name="_Hlk213248280"/>
      <w:r w:rsidRPr="008269D5">
        <w:rPr>
          <w:rFonts w:ascii="Arial" w:hAnsi="Arial" w:cs="Arial"/>
          <w:shd w:val="clear" w:color="auto" w:fill="FFFFFF"/>
        </w:rPr>
        <w:t>Netto-Ferreira</w:t>
      </w:r>
      <w:bookmarkEnd w:id="34"/>
      <w:r w:rsidRPr="008269D5">
        <w:rPr>
          <w:rFonts w:ascii="Arial" w:hAnsi="Arial" w:cs="Arial"/>
          <w:shd w:val="clear" w:color="auto" w:fill="FFFFFF"/>
        </w:rPr>
        <w:t xml:space="preserve">, J. B., </w:t>
      </w:r>
      <w:proofErr w:type="spellStart"/>
      <w:r w:rsidRPr="008269D5">
        <w:rPr>
          <w:rFonts w:ascii="Arial" w:hAnsi="Arial" w:cs="Arial"/>
          <w:shd w:val="clear" w:color="auto" w:fill="FFFFFF"/>
        </w:rPr>
        <w:t>Gabetto</w:t>
      </w:r>
      <w:proofErr w:type="spellEnd"/>
      <w:r w:rsidRPr="008269D5">
        <w:rPr>
          <w:rFonts w:ascii="Arial" w:hAnsi="Arial" w:cs="Arial"/>
          <w:shd w:val="clear" w:color="auto" w:fill="FFFFFF"/>
        </w:rPr>
        <w:t>, F. P., Araujo, A. C. M. D., Dias, R. D. C., Maltais-Landry, G., &amp; Zonta, E. (2024). Granulated fertilizers are more efficient in reducing potassium leaching losses than combining biosolids with inorganic sources. </w:t>
      </w:r>
      <w:r w:rsidRPr="008269D5">
        <w:rPr>
          <w:rFonts w:ascii="Arial" w:hAnsi="Arial" w:cs="Arial"/>
          <w:i/>
          <w:iCs/>
          <w:shd w:val="clear" w:color="auto" w:fill="FFFFFF"/>
        </w:rPr>
        <w:t>Revista Brasileira de Ciência do Solo</w:t>
      </w:r>
      <w:r w:rsidRPr="008269D5">
        <w:rPr>
          <w:rFonts w:ascii="Arial" w:hAnsi="Arial" w:cs="Arial"/>
          <w:shd w:val="clear" w:color="auto" w:fill="FFFFFF"/>
        </w:rPr>
        <w:t>, </w:t>
      </w:r>
      <w:r w:rsidRPr="008269D5">
        <w:rPr>
          <w:rFonts w:ascii="Arial" w:hAnsi="Arial" w:cs="Arial"/>
          <w:i/>
          <w:iCs/>
          <w:shd w:val="clear" w:color="auto" w:fill="FFFFFF"/>
        </w:rPr>
        <w:t>48</w:t>
      </w:r>
      <w:r w:rsidRPr="008269D5">
        <w:rPr>
          <w:rFonts w:ascii="Arial" w:hAnsi="Arial" w:cs="Arial"/>
          <w:shd w:val="clear" w:color="auto" w:fill="FFFFFF"/>
        </w:rPr>
        <w:t>, e0230103.</w:t>
      </w:r>
      <w:r w:rsidR="008269D5" w:rsidRPr="008269D5">
        <w:rPr>
          <w:rFonts w:ascii="Arial" w:hAnsi="Arial" w:cs="Arial"/>
        </w:rPr>
        <w:t xml:space="preserve"> </w:t>
      </w:r>
      <w:hyperlink r:id="rId29" w:history="1">
        <w:r w:rsidR="008269D5" w:rsidRPr="008269D5">
          <w:rPr>
            <w:rStyle w:val="Hyperlink"/>
            <w:rFonts w:ascii="Arial" w:hAnsi="Arial" w:cs="Arial"/>
            <w:shd w:val="clear" w:color="auto" w:fill="FFFFFF"/>
          </w:rPr>
          <w:t>https://doi.org/10.36783/18069657rbcs20230103</w:t>
        </w:r>
      </w:hyperlink>
    </w:p>
    <w:p w14:paraId="5E9FB5F3" w14:textId="77777777" w:rsidR="004610CB" w:rsidRPr="008269D5" w:rsidRDefault="004610CB" w:rsidP="004610CB">
      <w:pPr>
        <w:ind w:left="567" w:hanging="567"/>
        <w:jc w:val="both"/>
        <w:rPr>
          <w:rFonts w:ascii="Arial" w:hAnsi="Arial" w:cs="Arial"/>
          <w:shd w:val="clear" w:color="auto" w:fill="FFFFFF"/>
        </w:rPr>
      </w:pPr>
      <w:bookmarkStart w:id="35" w:name="_Hlk213241224"/>
      <w:r w:rsidRPr="008269D5">
        <w:rPr>
          <w:rFonts w:ascii="Arial" w:hAnsi="Arial" w:cs="Arial"/>
          <w:shd w:val="clear" w:color="auto" w:fill="FFFFFF"/>
        </w:rPr>
        <w:t>Owusu, A., &amp; Adu-Gyamfi</w:t>
      </w:r>
      <w:bookmarkEnd w:id="35"/>
      <w:r w:rsidRPr="008269D5">
        <w:rPr>
          <w:rFonts w:ascii="Arial" w:hAnsi="Arial" w:cs="Arial"/>
          <w:shd w:val="clear" w:color="auto" w:fill="FFFFFF"/>
        </w:rPr>
        <w:t>, R. (2024). Effect of Depth of Placement of Granular and Briquetted NPK on Growth and Yield of Maize (Zea mays).</w:t>
      </w:r>
      <w:r w:rsidRPr="008269D5">
        <w:rPr>
          <w:rFonts w:ascii="Arial" w:hAnsi="Arial" w:cs="Arial"/>
        </w:rPr>
        <w:t xml:space="preserve"> International Journal of Research and Scientific Innovation, 140-145. </w:t>
      </w:r>
      <w:hyperlink r:id="rId30" w:history="1">
        <w:r w:rsidRPr="008269D5">
          <w:rPr>
            <w:rStyle w:val="Hyperlink"/>
            <w:rFonts w:ascii="Arial" w:hAnsi="Arial" w:cs="Arial"/>
            <w:shd w:val="clear" w:color="auto" w:fill="FFFFFF"/>
          </w:rPr>
          <w:t>https://doi.org/10.51244/IJRSI.2024.1105007</w:t>
        </w:r>
      </w:hyperlink>
    </w:p>
    <w:p w14:paraId="301416CD" w14:textId="5B6B7EA8" w:rsidR="004610CB" w:rsidRPr="008269D5" w:rsidRDefault="004610CB" w:rsidP="004610CB">
      <w:pPr>
        <w:ind w:left="567" w:hanging="567"/>
        <w:jc w:val="both"/>
        <w:rPr>
          <w:rFonts w:ascii="Arial" w:hAnsi="Arial" w:cs="Arial"/>
          <w:shd w:val="clear" w:color="auto" w:fill="FFFFFF"/>
        </w:rPr>
      </w:pPr>
      <w:bookmarkStart w:id="36" w:name="_Hlk213242514"/>
      <w:r w:rsidRPr="008269D5">
        <w:rPr>
          <w:rFonts w:ascii="Arial" w:hAnsi="Arial" w:cs="Arial"/>
          <w:shd w:val="clear" w:color="auto" w:fill="FFFFFF"/>
        </w:rPr>
        <w:t xml:space="preserve">Sankar, </w:t>
      </w:r>
      <w:bookmarkEnd w:id="36"/>
      <w:r w:rsidRPr="008269D5">
        <w:rPr>
          <w:rFonts w:ascii="Arial" w:hAnsi="Arial" w:cs="Arial"/>
          <w:shd w:val="clear" w:color="auto" w:fill="FFFFFF"/>
        </w:rPr>
        <w:t>L. R., Mishra, G. C., Maitra, S., &amp; Barman, S. (2020). Effect of nano NPK and straight fertilizers on yield, economics and agronomic indices in baby corn (Zea mays L.). </w:t>
      </w:r>
      <w:r w:rsidRPr="008269D5">
        <w:rPr>
          <w:rFonts w:ascii="Arial" w:hAnsi="Arial" w:cs="Arial"/>
          <w:i/>
          <w:iCs/>
          <w:shd w:val="clear" w:color="auto" w:fill="FFFFFF"/>
        </w:rPr>
        <w:t>Int J Chem Stud</w:t>
      </w:r>
      <w:r w:rsidRPr="008269D5">
        <w:rPr>
          <w:rFonts w:ascii="Arial" w:hAnsi="Arial" w:cs="Arial"/>
          <w:shd w:val="clear" w:color="auto" w:fill="FFFFFF"/>
        </w:rPr>
        <w:t>, </w:t>
      </w:r>
      <w:r w:rsidRPr="008269D5">
        <w:rPr>
          <w:rFonts w:ascii="Arial" w:hAnsi="Arial" w:cs="Arial"/>
          <w:i/>
          <w:iCs/>
          <w:shd w:val="clear" w:color="auto" w:fill="FFFFFF"/>
        </w:rPr>
        <w:t>8</w:t>
      </w:r>
      <w:r w:rsidRPr="008269D5">
        <w:rPr>
          <w:rFonts w:ascii="Arial" w:hAnsi="Arial" w:cs="Arial"/>
          <w:shd w:val="clear" w:color="auto" w:fill="FFFFFF"/>
        </w:rPr>
        <w:t>(2), 614-618.</w:t>
      </w:r>
      <w:r w:rsidR="008269D5" w:rsidRPr="008269D5">
        <w:rPr>
          <w:rFonts w:ascii="Arial" w:hAnsi="Arial" w:cs="Arial"/>
        </w:rPr>
        <w:t xml:space="preserve"> </w:t>
      </w:r>
      <w:hyperlink r:id="rId31" w:history="1">
        <w:r w:rsidR="008269D5" w:rsidRPr="008269D5">
          <w:rPr>
            <w:rStyle w:val="Hyperlink"/>
            <w:rFonts w:ascii="Arial" w:hAnsi="Arial" w:cs="Arial"/>
            <w:shd w:val="clear" w:color="auto" w:fill="FFFFFF"/>
          </w:rPr>
          <w:t>https://doi.org/10.22271/chemi.2020.v8.i2j.8836</w:t>
        </w:r>
      </w:hyperlink>
    </w:p>
    <w:p w14:paraId="037A7782" w14:textId="77777777" w:rsidR="008269D5" w:rsidRPr="008269D5" w:rsidRDefault="008269D5" w:rsidP="004610CB">
      <w:pPr>
        <w:ind w:left="567" w:hanging="567"/>
        <w:jc w:val="both"/>
        <w:rPr>
          <w:rFonts w:ascii="Arial" w:hAnsi="Arial" w:cs="Arial"/>
          <w:shd w:val="clear" w:color="auto" w:fill="FFFFFF"/>
        </w:rPr>
      </w:pPr>
    </w:p>
    <w:p w14:paraId="0DBB830E" w14:textId="77777777" w:rsidR="004610CB" w:rsidRPr="008269D5" w:rsidRDefault="004610CB" w:rsidP="004610CB">
      <w:pPr>
        <w:ind w:left="567" w:hanging="567"/>
        <w:jc w:val="both"/>
        <w:rPr>
          <w:rFonts w:ascii="Arial" w:hAnsi="Arial" w:cs="Arial"/>
        </w:rPr>
      </w:pPr>
      <w:bookmarkStart w:id="37" w:name="_Hlk213242823"/>
      <w:r w:rsidRPr="008269D5">
        <w:rPr>
          <w:rFonts w:ascii="Arial" w:hAnsi="Arial" w:cs="Arial"/>
        </w:rPr>
        <w:t xml:space="preserve">Santosh, </w:t>
      </w:r>
      <w:bookmarkEnd w:id="37"/>
      <w:r w:rsidRPr="008269D5">
        <w:rPr>
          <w:rFonts w:ascii="Arial" w:hAnsi="Arial" w:cs="Arial"/>
        </w:rPr>
        <w:t xml:space="preserve">K. G. (2022). </w:t>
      </w:r>
      <w:r w:rsidRPr="008269D5">
        <w:rPr>
          <w:rStyle w:val="Emphasis"/>
          <w:rFonts w:ascii="Arial" w:hAnsi="Arial" w:cs="Arial"/>
        </w:rPr>
        <w:t>Effect of different levels of urea-DAP and Konkan Annapurna briquettes on growth, yield and nutrient uptake by chilli (Capsicum annuum L.) in lateritic soils of Konkan region</w:t>
      </w:r>
      <w:r w:rsidRPr="008269D5">
        <w:rPr>
          <w:rFonts w:ascii="Arial" w:hAnsi="Arial" w:cs="Arial"/>
        </w:rPr>
        <w:t xml:space="preserve"> [Doctoral dissertation, Dr. </w:t>
      </w:r>
      <w:proofErr w:type="spellStart"/>
      <w:r w:rsidRPr="008269D5">
        <w:rPr>
          <w:rFonts w:ascii="Arial" w:hAnsi="Arial" w:cs="Arial"/>
        </w:rPr>
        <w:t>Balasaheb</w:t>
      </w:r>
      <w:proofErr w:type="spellEnd"/>
      <w:r w:rsidRPr="008269D5">
        <w:rPr>
          <w:rFonts w:ascii="Arial" w:hAnsi="Arial" w:cs="Arial"/>
        </w:rPr>
        <w:t xml:space="preserve"> Sawant Konkan Krishi Vidyapeeth].</w:t>
      </w:r>
    </w:p>
    <w:p w14:paraId="6D9F559F" w14:textId="1E152B0D" w:rsidR="004610CB" w:rsidRPr="008269D5" w:rsidRDefault="004610CB" w:rsidP="004610CB">
      <w:pPr>
        <w:ind w:left="567" w:hanging="567"/>
        <w:jc w:val="both"/>
        <w:rPr>
          <w:rFonts w:ascii="Arial" w:hAnsi="Arial" w:cs="Arial"/>
          <w:shd w:val="clear" w:color="auto" w:fill="FFFFFF"/>
        </w:rPr>
      </w:pPr>
      <w:bookmarkStart w:id="38" w:name="_Hlk213242184"/>
      <w:r w:rsidRPr="008269D5">
        <w:rPr>
          <w:rFonts w:ascii="Arial" w:hAnsi="Arial" w:cs="Arial"/>
          <w:shd w:val="clear" w:color="auto" w:fill="FFFFFF"/>
        </w:rPr>
        <w:t xml:space="preserve">Šarauskis, </w:t>
      </w:r>
      <w:bookmarkEnd w:id="38"/>
      <w:r w:rsidRPr="008269D5">
        <w:rPr>
          <w:rFonts w:ascii="Arial" w:hAnsi="Arial" w:cs="Arial"/>
          <w:shd w:val="clear" w:color="auto" w:fill="FFFFFF"/>
        </w:rPr>
        <w:t xml:space="preserve">E., </w:t>
      </w:r>
      <w:proofErr w:type="spellStart"/>
      <w:r w:rsidRPr="008269D5">
        <w:rPr>
          <w:rFonts w:ascii="Arial" w:hAnsi="Arial" w:cs="Arial"/>
          <w:shd w:val="clear" w:color="auto" w:fill="FFFFFF"/>
        </w:rPr>
        <w:t>Naujokienė</w:t>
      </w:r>
      <w:proofErr w:type="spellEnd"/>
      <w:r w:rsidRPr="008269D5">
        <w:rPr>
          <w:rFonts w:ascii="Arial" w:hAnsi="Arial" w:cs="Arial"/>
          <w:shd w:val="clear" w:color="auto" w:fill="FFFFFF"/>
        </w:rPr>
        <w:t xml:space="preserve">, V., </w:t>
      </w:r>
      <w:proofErr w:type="spellStart"/>
      <w:r w:rsidRPr="008269D5">
        <w:rPr>
          <w:rFonts w:ascii="Arial" w:hAnsi="Arial" w:cs="Arial"/>
          <w:shd w:val="clear" w:color="auto" w:fill="FFFFFF"/>
        </w:rPr>
        <w:t>Lekavičienė</w:t>
      </w:r>
      <w:proofErr w:type="spellEnd"/>
      <w:r w:rsidRPr="008269D5">
        <w:rPr>
          <w:rFonts w:ascii="Arial" w:hAnsi="Arial" w:cs="Arial"/>
          <w:shd w:val="clear" w:color="auto" w:fill="FFFFFF"/>
        </w:rPr>
        <w:t xml:space="preserve">, K., </w:t>
      </w:r>
      <w:proofErr w:type="spellStart"/>
      <w:r w:rsidRPr="008269D5">
        <w:rPr>
          <w:rFonts w:ascii="Arial" w:hAnsi="Arial" w:cs="Arial"/>
          <w:shd w:val="clear" w:color="auto" w:fill="FFFFFF"/>
        </w:rPr>
        <w:t>Kriaučiūnienė</w:t>
      </w:r>
      <w:proofErr w:type="spellEnd"/>
      <w:r w:rsidRPr="008269D5">
        <w:rPr>
          <w:rFonts w:ascii="Arial" w:hAnsi="Arial" w:cs="Arial"/>
          <w:shd w:val="clear" w:color="auto" w:fill="FFFFFF"/>
        </w:rPr>
        <w:t xml:space="preserve">, Z., </w:t>
      </w:r>
      <w:proofErr w:type="spellStart"/>
      <w:r w:rsidRPr="008269D5">
        <w:rPr>
          <w:rFonts w:ascii="Arial" w:hAnsi="Arial" w:cs="Arial"/>
          <w:shd w:val="clear" w:color="auto" w:fill="FFFFFF"/>
        </w:rPr>
        <w:t>Jotautienė</w:t>
      </w:r>
      <w:proofErr w:type="spellEnd"/>
      <w:r w:rsidRPr="008269D5">
        <w:rPr>
          <w:rFonts w:ascii="Arial" w:hAnsi="Arial" w:cs="Arial"/>
          <w:shd w:val="clear" w:color="auto" w:fill="FFFFFF"/>
        </w:rPr>
        <w:t xml:space="preserve">, E., </w:t>
      </w:r>
      <w:proofErr w:type="spellStart"/>
      <w:r w:rsidRPr="008269D5">
        <w:rPr>
          <w:rFonts w:ascii="Arial" w:hAnsi="Arial" w:cs="Arial"/>
          <w:shd w:val="clear" w:color="auto" w:fill="FFFFFF"/>
        </w:rPr>
        <w:t>Jasinskas</w:t>
      </w:r>
      <w:proofErr w:type="spellEnd"/>
      <w:r w:rsidRPr="008269D5">
        <w:rPr>
          <w:rFonts w:ascii="Arial" w:hAnsi="Arial" w:cs="Arial"/>
          <w:shd w:val="clear" w:color="auto" w:fill="FFFFFF"/>
        </w:rPr>
        <w:t xml:space="preserve">, A., &amp; </w:t>
      </w:r>
      <w:proofErr w:type="spellStart"/>
      <w:r w:rsidRPr="008269D5">
        <w:rPr>
          <w:rFonts w:ascii="Arial" w:hAnsi="Arial" w:cs="Arial"/>
          <w:shd w:val="clear" w:color="auto" w:fill="FFFFFF"/>
        </w:rPr>
        <w:t>Zinkevičienė</w:t>
      </w:r>
      <w:proofErr w:type="spellEnd"/>
      <w:r w:rsidRPr="008269D5">
        <w:rPr>
          <w:rFonts w:ascii="Arial" w:hAnsi="Arial" w:cs="Arial"/>
          <w:shd w:val="clear" w:color="auto" w:fill="FFFFFF"/>
        </w:rPr>
        <w:t>, R. (2021). Application of granular and non-granular organic fertilizers in terms of energy, environmental and economic efficiency. </w:t>
      </w:r>
      <w:r w:rsidRPr="008269D5">
        <w:rPr>
          <w:rFonts w:ascii="Arial" w:hAnsi="Arial" w:cs="Arial"/>
          <w:i/>
          <w:iCs/>
          <w:shd w:val="clear" w:color="auto" w:fill="FFFFFF"/>
        </w:rPr>
        <w:t>Sustainability</w:t>
      </w:r>
      <w:r w:rsidRPr="008269D5">
        <w:rPr>
          <w:rFonts w:ascii="Arial" w:hAnsi="Arial" w:cs="Arial"/>
          <w:shd w:val="clear" w:color="auto" w:fill="FFFFFF"/>
        </w:rPr>
        <w:t>, </w:t>
      </w:r>
      <w:r w:rsidRPr="008269D5">
        <w:rPr>
          <w:rFonts w:ascii="Arial" w:hAnsi="Arial" w:cs="Arial"/>
          <w:i/>
          <w:iCs/>
          <w:shd w:val="clear" w:color="auto" w:fill="FFFFFF"/>
        </w:rPr>
        <w:t>13</w:t>
      </w:r>
      <w:r w:rsidRPr="008269D5">
        <w:rPr>
          <w:rFonts w:ascii="Arial" w:hAnsi="Arial" w:cs="Arial"/>
          <w:shd w:val="clear" w:color="auto" w:fill="FFFFFF"/>
        </w:rPr>
        <w:t>(17), 9740.</w:t>
      </w:r>
      <w:r w:rsidR="008269D5" w:rsidRPr="008269D5">
        <w:rPr>
          <w:rFonts w:ascii="Arial" w:hAnsi="Arial" w:cs="Arial"/>
        </w:rPr>
        <w:t xml:space="preserve"> </w:t>
      </w:r>
      <w:hyperlink r:id="rId32" w:history="1">
        <w:r w:rsidR="008269D5" w:rsidRPr="008269D5">
          <w:rPr>
            <w:rStyle w:val="Hyperlink"/>
            <w:rFonts w:ascii="Arial" w:hAnsi="Arial" w:cs="Arial"/>
            <w:shd w:val="clear" w:color="auto" w:fill="FFFFFF"/>
          </w:rPr>
          <w:t>https://doi.org/10.3390/su13179740</w:t>
        </w:r>
      </w:hyperlink>
    </w:p>
    <w:p w14:paraId="14A4B50B" w14:textId="37D9A3E8" w:rsidR="004610CB" w:rsidRPr="008269D5" w:rsidRDefault="004610CB" w:rsidP="004610CB">
      <w:pPr>
        <w:ind w:left="567" w:hanging="567"/>
        <w:jc w:val="both"/>
        <w:rPr>
          <w:rFonts w:ascii="Arial" w:hAnsi="Arial" w:cs="Arial"/>
          <w:shd w:val="clear" w:color="auto" w:fill="FFFFFF"/>
        </w:rPr>
      </w:pPr>
      <w:bookmarkStart w:id="39" w:name="_Hlk213248352"/>
      <w:r w:rsidRPr="008269D5">
        <w:rPr>
          <w:rFonts w:ascii="Arial" w:hAnsi="Arial" w:cs="Arial"/>
          <w:shd w:val="clear" w:color="auto" w:fill="FFFFFF"/>
        </w:rPr>
        <w:t>Sarma</w:t>
      </w:r>
      <w:bookmarkEnd w:id="39"/>
      <w:r w:rsidRPr="008269D5">
        <w:rPr>
          <w:rFonts w:ascii="Arial" w:hAnsi="Arial" w:cs="Arial"/>
          <w:shd w:val="clear" w:color="auto" w:fill="FFFFFF"/>
        </w:rPr>
        <w:t xml:space="preserve">, H. H., Paul, A., Robertson, A., </w:t>
      </w:r>
      <w:proofErr w:type="spellStart"/>
      <w:r w:rsidRPr="008269D5">
        <w:rPr>
          <w:rFonts w:ascii="Arial" w:hAnsi="Arial" w:cs="Arial"/>
          <w:shd w:val="clear" w:color="auto" w:fill="FFFFFF"/>
        </w:rPr>
        <w:t>Shobnur</w:t>
      </w:r>
      <w:proofErr w:type="spellEnd"/>
      <w:r w:rsidRPr="008269D5">
        <w:rPr>
          <w:rFonts w:ascii="Arial" w:hAnsi="Arial" w:cs="Arial"/>
          <w:shd w:val="clear" w:color="auto" w:fill="FFFFFF"/>
        </w:rPr>
        <w:t xml:space="preserve">, S., Lhamu, S., &amp; Taku, A. (2024). Accessing Role of Urea Briquettes Fertilizer for Enhancing </w:t>
      </w:r>
      <w:proofErr w:type="spellStart"/>
      <w:r w:rsidRPr="008269D5">
        <w:rPr>
          <w:rFonts w:ascii="Arial" w:hAnsi="Arial" w:cs="Arial"/>
          <w:shd w:val="clear" w:color="auto" w:fill="FFFFFF"/>
        </w:rPr>
        <w:t>Nitogen</w:t>
      </w:r>
      <w:proofErr w:type="spellEnd"/>
      <w:r w:rsidRPr="008269D5">
        <w:rPr>
          <w:rFonts w:ascii="Arial" w:hAnsi="Arial" w:cs="Arial"/>
          <w:shd w:val="clear" w:color="auto" w:fill="FFFFFF"/>
        </w:rPr>
        <w:t xml:space="preserve"> Use Efficiency and Crop Productivity. </w:t>
      </w:r>
      <w:r w:rsidRPr="008269D5">
        <w:rPr>
          <w:rFonts w:ascii="Arial" w:hAnsi="Arial" w:cs="Arial"/>
          <w:i/>
          <w:iCs/>
          <w:shd w:val="clear" w:color="auto" w:fill="FFFFFF"/>
        </w:rPr>
        <w:t>Journal of Scientific Research and Reports</w:t>
      </w:r>
      <w:r w:rsidRPr="008269D5">
        <w:rPr>
          <w:rFonts w:ascii="Arial" w:hAnsi="Arial" w:cs="Arial"/>
          <w:shd w:val="clear" w:color="auto" w:fill="FFFFFF"/>
        </w:rPr>
        <w:t>, </w:t>
      </w:r>
      <w:r w:rsidRPr="008269D5">
        <w:rPr>
          <w:rFonts w:ascii="Arial" w:hAnsi="Arial" w:cs="Arial"/>
          <w:i/>
          <w:iCs/>
          <w:shd w:val="clear" w:color="auto" w:fill="FFFFFF"/>
        </w:rPr>
        <w:t>30</w:t>
      </w:r>
      <w:r w:rsidRPr="008269D5">
        <w:rPr>
          <w:rFonts w:ascii="Arial" w:hAnsi="Arial" w:cs="Arial"/>
          <w:shd w:val="clear" w:color="auto" w:fill="FFFFFF"/>
        </w:rPr>
        <w:t>(6), 14-21.</w:t>
      </w:r>
      <w:r w:rsidR="008269D5" w:rsidRPr="008269D5">
        <w:rPr>
          <w:rFonts w:ascii="Arial" w:hAnsi="Arial" w:cs="Arial"/>
        </w:rPr>
        <w:t xml:space="preserve"> </w:t>
      </w:r>
      <w:r w:rsidR="008269D5" w:rsidRPr="008269D5">
        <w:rPr>
          <w:rFonts w:ascii="Arial" w:hAnsi="Arial" w:cs="Arial"/>
          <w:shd w:val="clear" w:color="auto" w:fill="FFFFFF"/>
        </w:rPr>
        <w:t>DOI: 10.9734/JSRR/2024/v30i62016</w:t>
      </w:r>
    </w:p>
    <w:p w14:paraId="0DC21947" w14:textId="71333014" w:rsidR="004610CB" w:rsidRPr="008269D5" w:rsidRDefault="004610CB" w:rsidP="004610CB">
      <w:pPr>
        <w:ind w:left="567" w:hanging="567"/>
        <w:jc w:val="both"/>
        <w:rPr>
          <w:rFonts w:ascii="Arial" w:hAnsi="Arial" w:cs="Arial"/>
        </w:rPr>
      </w:pPr>
      <w:r w:rsidRPr="008269D5">
        <w:rPr>
          <w:rFonts w:ascii="Arial" w:hAnsi="Arial" w:cs="Arial"/>
        </w:rPr>
        <w:t xml:space="preserve">Shehu, B. M., Lawan, B. A., Jibrin, J. M., Kamara, A. Y., Mohammed, I. B., </w:t>
      </w:r>
      <w:proofErr w:type="spellStart"/>
      <w:r w:rsidRPr="008269D5">
        <w:rPr>
          <w:rFonts w:ascii="Arial" w:hAnsi="Arial" w:cs="Arial"/>
        </w:rPr>
        <w:t>Rurinda</w:t>
      </w:r>
      <w:proofErr w:type="spellEnd"/>
      <w:r w:rsidRPr="008269D5">
        <w:rPr>
          <w:rFonts w:ascii="Arial" w:hAnsi="Arial" w:cs="Arial"/>
        </w:rPr>
        <w:t xml:space="preserve">, J., Zingore, S., Craufurd, P., Vanlauwe, B., &amp; Adam, A. M. (2019). Balanced nutrient requirements for maize in the Northern Nigerian Savanna: Parameterization and validation of QUEFTS model. </w:t>
      </w:r>
      <w:r w:rsidRPr="008269D5">
        <w:rPr>
          <w:rFonts w:ascii="Arial" w:hAnsi="Arial" w:cs="Arial"/>
          <w:i/>
          <w:iCs/>
        </w:rPr>
        <w:t>Field Crops Research</w:t>
      </w:r>
      <w:r w:rsidRPr="008269D5">
        <w:rPr>
          <w:rFonts w:ascii="Arial" w:hAnsi="Arial" w:cs="Arial"/>
        </w:rPr>
        <w:t xml:space="preserve">, </w:t>
      </w:r>
      <w:r w:rsidRPr="008269D5">
        <w:rPr>
          <w:rFonts w:ascii="Arial" w:hAnsi="Arial" w:cs="Arial"/>
          <w:i/>
          <w:iCs/>
        </w:rPr>
        <w:t>241</w:t>
      </w:r>
      <w:r w:rsidRPr="008269D5">
        <w:rPr>
          <w:rFonts w:ascii="Arial" w:hAnsi="Arial" w:cs="Arial"/>
        </w:rPr>
        <w:t>, 107585.</w:t>
      </w:r>
      <w:r w:rsidR="008269D5" w:rsidRPr="008269D5">
        <w:rPr>
          <w:rFonts w:ascii="Arial" w:hAnsi="Arial" w:cs="Arial"/>
        </w:rPr>
        <w:t xml:space="preserve"> </w:t>
      </w:r>
      <w:hyperlink r:id="rId33" w:history="1">
        <w:r w:rsidR="008269D5" w:rsidRPr="008269D5">
          <w:rPr>
            <w:rStyle w:val="Hyperlink"/>
            <w:rFonts w:ascii="Arial" w:hAnsi="Arial" w:cs="Arial"/>
          </w:rPr>
          <w:t>https://doi.org/10.1016/j.fcr.2019.107585</w:t>
        </w:r>
      </w:hyperlink>
    </w:p>
    <w:p w14:paraId="6A5067B2" w14:textId="49078570" w:rsidR="004610CB" w:rsidRPr="008269D5" w:rsidRDefault="004610CB" w:rsidP="004610CB">
      <w:pPr>
        <w:ind w:left="567" w:hanging="567"/>
        <w:jc w:val="both"/>
        <w:rPr>
          <w:rFonts w:ascii="Arial" w:hAnsi="Arial" w:cs="Arial"/>
          <w:shd w:val="clear" w:color="auto" w:fill="FFFFFF"/>
        </w:rPr>
      </w:pPr>
      <w:bookmarkStart w:id="40" w:name="_Hlk213242691"/>
      <w:r w:rsidRPr="008269D5">
        <w:rPr>
          <w:rFonts w:ascii="Arial" w:hAnsi="Arial" w:cs="Arial"/>
          <w:shd w:val="clear" w:color="auto" w:fill="FFFFFF"/>
        </w:rPr>
        <w:t xml:space="preserve">Smith, </w:t>
      </w:r>
      <w:bookmarkEnd w:id="40"/>
      <w:r w:rsidRPr="008269D5">
        <w:rPr>
          <w:rFonts w:ascii="Arial" w:hAnsi="Arial" w:cs="Arial"/>
          <w:shd w:val="clear" w:color="auto" w:fill="FFFFFF"/>
        </w:rPr>
        <w:t>M. R., Rao, I. M., &amp; Merchant, A. (2018). Source-sink relationships in crop plants and their influence on yield development and nutritional quality. </w:t>
      </w:r>
      <w:r w:rsidRPr="008269D5">
        <w:rPr>
          <w:rFonts w:ascii="Arial" w:hAnsi="Arial" w:cs="Arial"/>
          <w:i/>
          <w:iCs/>
          <w:shd w:val="clear" w:color="auto" w:fill="FFFFFF"/>
        </w:rPr>
        <w:t>Frontiers in plant science</w:t>
      </w:r>
      <w:r w:rsidRPr="008269D5">
        <w:rPr>
          <w:rFonts w:ascii="Arial" w:hAnsi="Arial" w:cs="Arial"/>
          <w:shd w:val="clear" w:color="auto" w:fill="FFFFFF"/>
        </w:rPr>
        <w:t>, </w:t>
      </w:r>
      <w:r w:rsidRPr="008269D5">
        <w:rPr>
          <w:rFonts w:ascii="Arial" w:hAnsi="Arial" w:cs="Arial"/>
          <w:i/>
          <w:iCs/>
          <w:shd w:val="clear" w:color="auto" w:fill="FFFFFF"/>
        </w:rPr>
        <w:t>9</w:t>
      </w:r>
      <w:r w:rsidRPr="008269D5">
        <w:rPr>
          <w:rFonts w:ascii="Arial" w:hAnsi="Arial" w:cs="Arial"/>
          <w:shd w:val="clear" w:color="auto" w:fill="FFFFFF"/>
        </w:rPr>
        <w:t>, 1889.</w:t>
      </w:r>
      <w:r w:rsidR="008269D5" w:rsidRPr="008269D5">
        <w:rPr>
          <w:rFonts w:ascii="Arial" w:hAnsi="Arial" w:cs="Arial"/>
        </w:rPr>
        <w:t xml:space="preserve"> </w:t>
      </w:r>
      <w:hyperlink r:id="rId34" w:history="1">
        <w:r w:rsidR="008269D5" w:rsidRPr="008269D5">
          <w:rPr>
            <w:rStyle w:val="Hyperlink"/>
            <w:rFonts w:ascii="Arial" w:hAnsi="Arial" w:cs="Arial"/>
            <w:shd w:val="clear" w:color="auto" w:fill="FFFFFF"/>
          </w:rPr>
          <w:t>https://doi.org/10.3389/fpls.2018.01889</w:t>
        </w:r>
      </w:hyperlink>
    </w:p>
    <w:p w14:paraId="29A70CA1" w14:textId="77777777" w:rsidR="004610CB" w:rsidRPr="008269D5" w:rsidRDefault="004610CB" w:rsidP="004610CB">
      <w:pPr>
        <w:ind w:left="567" w:hanging="567"/>
        <w:jc w:val="both"/>
        <w:rPr>
          <w:rFonts w:ascii="Arial" w:hAnsi="Arial" w:cs="Arial"/>
          <w:lang w:val="en-GB"/>
        </w:rPr>
      </w:pPr>
      <w:r w:rsidRPr="008269D5">
        <w:rPr>
          <w:rFonts w:ascii="Arial" w:hAnsi="Arial" w:cs="Arial"/>
          <w:noProof/>
        </w:rPr>
        <w:t xml:space="preserve">SRI. (2007). </w:t>
      </w:r>
      <w:r w:rsidRPr="008269D5">
        <w:rPr>
          <w:rFonts w:ascii="Arial" w:hAnsi="Arial" w:cs="Arial"/>
          <w:i/>
          <w:iCs/>
          <w:noProof/>
        </w:rPr>
        <w:t>CSIR-Soil Research Institute: Guide to interpretation of soil analytical data in Ghana</w:t>
      </w:r>
      <w:r w:rsidRPr="008269D5">
        <w:rPr>
          <w:rFonts w:ascii="Arial" w:hAnsi="Arial" w:cs="Arial"/>
          <w:noProof/>
        </w:rPr>
        <w:t>.</w:t>
      </w:r>
    </w:p>
    <w:p w14:paraId="089C44B9" w14:textId="77777777" w:rsidR="004610CB" w:rsidRPr="008269D5" w:rsidRDefault="004610CB" w:rsidP="004610CB">
      <w:pPr>
        <w:ind w:left="567" w:hanging="567"/>
        <w:jc w:val="both"/>
        <w:rPr>
          <w:rFonts w:ascii="Arial" w:hAnsi="Arial" w:cs="Arial"/>
        </w:rPr>
      </w:pPr>
      <w:r w:rsidRPr="008269D5">
        <w:rPr>
          <w:rFonts w:ascii="Arial" w:hAnsi="Arial" w:cs="Arial"/>
        </w:rPr>
        <w:t>Walkey, A., &amp; Black, I. A. (1934). An examination of the Degtjareff method of determining organic carbon in soils. Effect of variations in digestion conditions and of inorganic soil constituents. Soil Sci, 63(22), 251-263.</w:t>
      </w:r>
    </w:p>
    <w:p w14:paraId="6E052494" w14:textId="4D2A338D" w:rsidR="004610CB" w:rsidRPr="008269D5" w:rsidRDefault="004610CB" w:rsidP="004610CB">
      <w:pPr>
        <w:ind w:left="567" w:hanging="567"/>
        <w:jc w:val="both"/>
        <w:rPr>
          <w:rFonts w:ascii="Arial" w:hAnsi="Arial" w:cs="Arial"/>
          <w:shd w:val="clear" w:color="auto" w:fill="FFFFFF"/>
        </w:rPr>
      </w:pPr>
      <w:bookmarkStart w:id="41" w:name="_Hlk213248174"/>
      <w:r w:rsidRPr="008269D5">
        <w:rPr>
          <w:rFonts w:ascii="Arial" w:hAnsi="Arial" w:cs="Arial"/>
          <w:shd w:val="clear" w:color="auto" w:fill="FFFFFF"/>
        </w:rPr>
        <w:t xml:space="preserve">Wang, </w:t>
      </w:r>
      <w:bookmarkEnd w:id="41"/>
      <w:r w:rsidRPr="008269D5">
        <w:rPr>
          <w:rFonts w:ascii="Arial" w:hAnsi="Arial" w:cs="Arial"/>
          <w:shd w:val="clear" w:color="auto" w:fill="FFFFFF"/>
        </w:rPr>
        <w:t>S., Xu, L., &amp; Hao, M. (2022). Impacts of long-term micronutrient fertilizer application on soil properties and micronutrient availability. </w:t>
      </w:r>
      <w:r w:rsidRPr="008269D5">
        <w:rPr>
          <w:rFonts w:ascii="Arial" w:hAnsi="Arial" w:cs="Arial"/>
          <w:i/>
          <w:iCs/>
          <w:shd w:val="clear" w:color="auto" w:fill="FFFFFF"/>
        </w:rPr>
        <w:t>International Journal of Environmental Research and Public Health</w:t>
      </w:r>
      <w:r w:rsidRPr="008269D5">
        <w:rPr>
          <w:rFonts w:ascii="Arial" w:hAnsi="Arial" w:cs="Arial"/>
          <w:shd w:val="clear" w:color="auto" w:fill="FFFFFF"/>
        </w:rPr>
        <w:t>, </w:t>
      </w:r>
      <w:r w:rsidRPr="008269D5">
        <w:rPr>
          <w:rFonts w:ascii="Arial" w:hAnsi="Arial" w:cs="Arial"/>
          <w:i/>
          <w:iCs/>
          <w:shd w:val="clear" w:color="auto" w:fill="FFFFFF"/>
        </w:rPr>
        <w:t>19</w:t>
      </w:r>
      <w:r w:rsidRPr="008269D5">
        <w:rPr>
          <w:rFonts w:ascii="Arial" w:hAnsi="Arial" w:cs="Arial"/>
          <w:shd w:val="clear" w:color="auto" w:fill="FFFFFF"/>
        </w:rPr>
        <w:t>(23), 16358.</w:t>
      </w:r>
      <w:r w:rsidR="00D00940" w:rsidRPr="008269D5">
        <w:rPr>
          <w:rFonts w:ascii="Arial" w:hAnsi="Arial" w:cs="Arial"/>
        </w:rPr>
        <w:t xml:space="preserve"> </w:t>
      </w:r>
      <w:hyperlink r:id="rId35" w:history="1">
        <w:r w:rsidR="00D00940" w:rsidRPr="008269D5">
          <w:rPr>
            <w:rStyle w:val="Hyperlink"/>
            <w:rFonts w:ascii="Arial" w:hAnsi="Arial" w:cs="Arial"/>
            <w:shd w:val="clear" w:color="auto" w:fill="FFFFFF"/>
          </w:rPr>
          <w:t>https://doi.org/10.3390/ijerph192316358</w:t>
        </w:r>
      </w:hyperlink>
    </w:p>
    <w:p w14:paraId="56592485" w14:textId="77777777" w:rsidR="004610CB" w:rsidRPr="008269D5" w:rsidRDefault="004610CB" w:rsidP="004610CB">
      <w:pPr>
        <w:ind w:left="567" w:hanging="567"/>
        <w:jc w:val="both"/>
        <w:rPr>
          <w:rFonts w:ascii="Arial" w:hAnsi="Arial" w:cs="Arial"/>
          <w:shd w:val="clear" w:color="auto" w:fill="FFFFFF"/>
        </w:rPr>
      </w:pPr>
      <w:bookmarkStart w:id="42" w:name="_Hlk213233393"/>
      <w:r w:rsidRPr="008269D5">
        <w:rPr>
          <w:rFonts w:ascii="Arial" w:hAnsi="Arial" w:cs="Arial"/>
          <w:shd w:val="clear" w:color="auto" w:fill="FFFFFF"/>
        </w:rPr>
        <w:t xml:space="preserve">Zingore, </w:t>
      </w:r>
      <w:bookmarkEnd w:id="42"/>
      <w:r w:rsidRPr="008269D5">
        <w:rPr>
          <w:rFonts w:ascii="Arial" w:hAnsi="Arial" w:cs="Arial"/>
          <w:shd w:val="clear" w:color="auto" w:fill="FFFFFF"/>
        </w:rPr>
        <w:t xml:space="preserve">S., </w:t>
      </w:r>
      <w:proofErr w:type="spellStart"/>
      <w:r w:rsidRPr="008269D5">
        <w:rPr>
          <w:rFonts w:ascii="Arial" w:hAnsi="Arial" w:cs="Arial"/>
          <w:shd w:val="clear" w:color="auto" w:fill="FFFFFF"/>
        </w:rPr>
        <w:t>Adolwa</w:t>
      </w:r>
      <w:proofErr w:type="spellEnd"/>
      <w:r w:rsidRPr="008269D5">
        <w:rPr>
          <w:rFonts w:ascii="Arial" w:hAnsi="Arial" w:cs="Arial"/>
          <w:shd w:val="clear" w:color="auto" w:fill="FFFFFF"/>
        </w:rPr>
        <w:t>, I. S., Njoroge, S., Johnson, J. M., Saito, K., Phillips, S., ... &amp; Sileshi, G. W. (2022). Novel insights into factors associated with yield response and nutrient use efficiency of maize and rice in sub-Saharan Africa. A review. </w:t>
      </w:r>
      <w:r w:rsidRPr="008269D5">
        <w:rPr>
          <w:rFonts w:ascii="Arial" w:hAnsi="Arial" w:cs="Arial"/>
          <w:i/>
          <w:iCs/>
          <w:shd w:val="clear" w:color="auto" w:fill="FFFFFF"/>
        </w:rPr>
        <w:t>Agronomy for Sustainable Development</w:t>
      </w:r>
      <w:r w:rsidRPr="008269D5">
        <w:rPr>
          <w:rFonts w:ascii="Arial" w:hAnsi="Arial" w:cs="Arial"/>
          <w:shd w:val="clear" w:color="auto" w:fill="FFFFFF"/>
        </w:rPr>
        <w:t>, </w:t>
      </w:r>
      <w:r w:rsidRPr="008269D5">
        <w:rPr>
          <w:rFonts w:ascii="Arial" w:hAnsi="Arial" w:cs="Arial"/>
          <w:i/>
          <w:iCs/>
          <w:shd w:val="clear" w:color="auto" w:fill="FFFFFF"/>
        </w:rPr>
        <w:t>42</w:t>
      </w:r>
      <w:r w:rsidRPr="008269D5">
        <w:rPr>
          <w:rFonts w:ascii="Arial" w:hAnsi="Arial" w:cs="Arial"/>
          <w:shd w:val="clear" w:color="auto" w:fill="FFFFFF"/>
        </w:rPr>
        <w:t xml:space="preserve">(5), 82. </w:t>
      </w:r>
      <w:hyperlink r:id="rId36" w:history="1">
        <w:r w:rsidRPr="008269D5">
          <w:rPr>
            <w:rStyle w:val="Hyperlink"/>
            <w:rFonts w:ascii="Arial" w:hAnsi="Arial" w:cs="Arial"/>
            <w:shd w:val="clear" w:color="auto" w:fill="FFFFFF"/>
          </w:rPr>
          <w:t>https://doi.org/10.1007/s13593-022-00821-4</w:t>
        </w:r>
      </w:hyperlink>
    </w:p>
    <w:bookmarkEnd w:id="24"/>
    <w:p w14:paraId="1E5F0C2B" w14:textId="77777777" w:rsidR="004610CB" w:rsidRPr="009A716D" w:rsidRDefault="004610CB" w:rsidP="0008161B">
      <w:pPr>
        <w:rPr>
          <w:rFonts w:ascii="Arial" w:hAnsi="Arial" w:cs="Arial"/>
          <w:b/>
          <w:bCs/>
          <w:sz w:val="22"/>
          <w:szCs w:val="22"/>
        </w:rPr>
      </w:pPr>
    </w:p>
    <w:sectPr w:rsidR="004610CB" w:rsidRPr="009A716D" w:rsidSect="00B63040">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1287A" w14:textId="77777777" w:rsidR="00727089" w:rsidRDefault="00727089" w:rsidP="00C37E61">
      <w:r>
        <w:separator/>
      </w:r>
    </w:p>
  </w:endnote>
  <w:endnote w:type="continuationSeparator" w:id="0">
    <w:p w14:paraId="7BD6A5E2" w14:textId="77777777" w:rsidR="00727089" w:rsidRDefault="007270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5C9B" w14:textId="77777777" w:rsidR="00641B7C" w:rsidRDefault="00641B7C">
    <w:pPr>
      <w:pStyle w:val="BodyText"/>
      <w:spacing w:line="14" w:lineRule="auto"/>
    </w:pPr>
    <w:r>
      <w:rPr>
        <w:noProof/>
      </w:rPr>
      <mc:AlternateContent>
        <mc:Choice Requires="wps">
          <w:drawing>
            <wp:anchor distT="0" distB="0" distL="114300" distR="114300" simplePos="0" relativeHeight="251661312" behindDoc="1" locked="0" layoutInCell="1" allowOverlap="1" wp14:anchorId="7069FFA2" wp14:editId="2D80D0BB">
              <wp:simplePos x="0" y="0"/>
              <wp:positionH relativeFrom="page">
                <wp:posOffset>6213763</wp:posOffset>
              </wp:positionH>
              <wp:positionV relativeFrom="page">
                <wp:posOffset>9587345</wp:posOffset>
              </wp:positionV>
              <wp:extent cx="256309" cy="166370"/>
              <wp:effectExtent l="0" t="0" r="10795" b="5080"/>
              <wp:wrapNone/>
              <wp:docPr id="1865938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09"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9FFA2" id="_x0000_t202" coordsize="21600,21600" o:spt="202" path="m,l,21600r21600,l21600,xe">
              <v:stroke joinstyle="miter"/>
              <v:path gradientshapeok="t" o:connecttype="rect"/>
            </v:shapetype>
            <v:shape id="Text Box 1" o:spid="_x0000_s1026" type="#_x0000_t202" style="position:absolute;margin-left:489.25pt;margin-top:754.9pt;width:20.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" filled="f" stroked="f">
              <v:textbox inset="0,0,0,0">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3D28" w14:textId="77777777" w:rsidR="00727089" w:rsidRDefault="00727089" w:rsidP="00C37E61">
      <w:r>
        <w:separator/>
      </w:r>
    </w:p>
  </w:footnote>
  <w:footnote w:type="continuationSeparator" w:id="0">
    <w:p w14:paraId="51843FCE" w14:textId="77777777" w:rsidR="00727089" w:rsidRDefault="007270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3E80D" w14:textId="4C6A3EC1" w:rsidR="00CA0F13" w:rsidRDefault="00727089">
    <w:pPr>
      <w:pStyle w:val="Header"/>
    </w:pPr>
    <w:r>
      <w:rPr>
        <w:noProof/>
      </w:rPr>
      <w:pict w14:anchorId="27D5B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799016" o:spid="_x0000_s2050"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469C" w14:textId="3BC8B9F5" w:rsidR="00CA0F13" w:rsidRDefault="00727089">
    <w:pPr>
      <w:pStyle w:val="Header"/>
    </w:pPr>
    <w:r>
      <w:rPr>
        <w:noProof/>
      </w:rPr>
      <w:pict w14:anchorId="3B5B6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799017" o:spid="_x0000_s2051"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C38F" w14:textId="0E8ACCB2" w:rsidR="00CA0F13" w:rsidRDefault="00727089">
    <w:pPr>
      <w:pStyle w:val="Header"/>
    </w:pPr>
    <w:r>
      <w:rPr>
        <w:noProof/>
      </w:rPr>
      <w:pict w14:anchorId="220E0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799015" o:spid="_x0000_s2049"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3"/>
  </w:num>
  <w:num w:numId="10">
    <w:abstractNumId w:val="2"/>
  </w:num>
  <w:num w:numId="11">
    <w:abstractNumId w:val="24"/>
  </w:num>
  <w:num w:numId="12">
    <w:abstractNumId w:val="3"/>
  </w:num>
  <w:num w:numId="13">
    <w:abstractNumId w:val="21"/>
  </w:num>
  <w:num w:numId="14">
    <w:abstractNumId w:val="8"/>
  </w:num>
  <w:num w:numId="15">
    <w:abstractNumId w:val="28"/>
  </w:num>
  <w:num w:numId="16">
    <w:abstractNumId w:val="5"/>
  </w:num>
  <w:num w:numId="17">
    <w:abstractNumId w:val="29"/>
  </w:num>
  <w:num w:numId="18">
    <w:abstractNumId w:val="15"/>
  </w:num>
  <w:num w:numId="19">
    <w:abstractNumId w:val="36"/>
  </w:num>
  <w:num w:numId="20">
    <w:abstractNumId w:val="12"/>
  </w:num>
  <w:num w:numId="21">
    <w:abstractNumId w:val="9"/>
  </w:num>
  <w:num w:numId="22">
    <w:abstractNumId w:val="14"/>
  </w:num>
  <w:num w:numId="23">
    <w:abstractNumId w:val="25"/>
  </w:num>
  <w:num w:numId="24">
    <w:abstractNumId w:val="34"/>
  </w:num>
  <w:num w:numId="25">
    <w:abstractNumId w:val="4"/>
  </w:num>
  <w:num w:numId="26">
    <w:abstractNumId w:val="20"/>
  </w:num>
  <w:num w:numId="27">
    <w:abstractNumId w:val="27"/>
  </w:num>
  <w:num w:numId="28">
    <w:abstractNumId w:val="35"/>
  </w:num>
  <w:num w:numId="29">
    <w:abstractNumId w:val="32"/>
  </w:num>
  <w:num w:numId="30">
    <w:abstractNumId w:val="10"/>
  </w:num>
  <w:num w:numId="31">
    <w:abstractNumId w:val="18"/>
  </w:num>
  <w:num w:numId="32">
    <w:abstractNumId w:val="16"/>
  </w:num>
  <w:num w:numId="33">
    <w:abstractNumId w:val="26"/>
  </w:num>
  <w:num w:numId="34">
    <w:abstractNumId w:val="23"/>
  </w:num>
  <w:num w:numId="35">
    <w:abstractNumId w:val="31"/>
  </w:num>
  <w:num w:numId="36">
    <w:abstractNumId w:val="22"/>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jI2NbMwNjczM7BQ0lEKTi0uzszPAykwMqgFAP8x2VstAAAA"/>
  </w:docVars>
  <w:rsids>
    <w:rsidRoot w:val="00AA6219"/>
    <w:rsid w:val="00000F8F"/>
    <w:rsid w:val="00005C13"/>
    <w:rsid w:val="00020A08"/>
    <w:rsid w:val="00025B3B"/>
    <w:rsid w:val="00030174"/>
    <w:rsid w:val="00036976"/>
    <w:rsid w:val="00041B29"/>
    <w:rsid w:val="0004579C"/>
    <w:rsid w:val="0005487B"/>
    <w:rsid w:val="00065314"/>
    <w:rsid w:val="0007417A"/>
    <w:rsid w:val="000758D0"/>
    <w:rsid w:val="0008161B"/>
    <w:rsid w:val="00081BF7"/>
    <w:rsid w:val="0008575B"/>
    <w:rsid w:val="00094065"/>
    <w:rsid w:val="0009714F"/>
    <w:rsid w:val="00097502"/>
    <w:rsid w:val="000A47FA"/>
    <w:rsid w:val="000A508A"/>
    <w:rsid w:val="000A65D3"/>
    <w:rsid w:val="000B1E33"/>
    <w:rsid w:val="000B6F78"/>
    <w:rsid w:val="000C1316"/>
    <w:rsid w:val="000D689F"/>
    <w:rsid w:val="000E186E"/>
    <w:rsid w:val="000E3128"/>
    <w:rsid w:val="000E7B7B"/>
    <w:rsid w:val="000E7D62"/>
    <w:rsid w:val="000F1EF3"/>
    <w:rsid w:val="00102A31"/>
    <w:rsid w:val="001032A8"/>
    <w:rsid w:val="00103357"/>
    <w:rsid w:val="001136B5"/>
    <w:rsid w:val="00113A19"/>
    <w:rsid w:val="00122510"/>
    <w:rsid w:val="00123C9F"/>
    <w:rsid w:val="00126190"/>
    <w:rsid w:val="00130F17"/>
    <w:rsid w:val="001320BF"/>
    <w:rsid w:val="00134E89"/>
    <w:rsid w:val="001411D8"/>
    <w:rsid w:val="00142AF7"/>
    <w:rsid w:val="00142E6F"/>
    <w:rsid w:val="00163BC4"/>
    <w:rsid w:val="00175EB4"/>
    <w:rsid w:val="001829E2"/>
    <w:rsid w:val="00185F84"/>
    <w:rsid w:val="00187789"/>
    <w:rsid w:val="00191062"/>
    <w:rsid w:val="00192B72"/>
    <w:rsid w:val="001949A1"/>
    <w:rsid w:val="001A29D8"/>
    <w:rsid w:val="001A5CAA"/>
    <w:rsid w:val="001B0427"/>
    <w:rsid w:val="001C1E53"/>
    <w:rsid w:val="001C62A5"/>
    <w:rsid w:val="001D13BD"/>
    <w:rsid w:val="001D178C"/>
    <w:rsid w:val="001D3A51"/>
    <w:rsid w:val="001D669A"/>
    <w:rsid w:val="001D6C97"/>
    <w:rsid w:val="001D705F"/>
    <w:rsid w:val="001E10D2"/>
    <w:rsid w:val="001E25B4"/>
    <w:rsid w:val="001E44FE"/>
    <w:rsid w:val="001E5769"/>
    <w:rsid w:val="001E63F6"/>
    <w:rsid w:val="00200595"/>
    <w:rsid w:val="00204835"/>
    <w:rsid w:val="00211DC5"/>
    <w:rsid w:val="00213E1F"/>
    <w:rsid w:val="00216B07"/>
    <w:rsid w:val="002274E9"/>
    <w:rsid w:val="00231920"/>
    <w:rsid w:val="0023195C"/>
    <w:rsid w:val="002326A5"/>
    <w:rsid w:val="0024282C"/>
    <w:rsid w:val="002430C1"/>
    <w:rsid w:val="002460DC"/>
    <w:rsid w:val="00246B30"/>
    <w:rsid w:val="00250985"/>
    <w:rsid w:val="002556F6"/>
    <w:rsid w:val="0026456B"/>
    <w:rsid w:val="00283105"/>
    <w:rsid w:val="00284C4C"/>
    <w:rsid w:val="00296529"/>
    <w:rsid w:val="002A17B2"/>
    <w:rsid w:val="002A5736"/>
    <w:rsid w:val="002B27FB"/>
    <w:rsid w:val="002B685A"/>
    <w:rsid w:val="002B740A"/>
    <w:rsid w:val="002C07EA"/>
    <w:rsid w:val="002C57D2"/>
    <w:rsid w:val="002C7E6D"/>
    <w:rsid w:val="002E0D56"/>
    <w:rsid w:val="002E6B0F"/>
    <w:rsid w:val="002F6F04"/>
    <w:rsid w:val="0030037F"/>
    <w:rsid w:val="00305C57"/>
    <w:rsid w:val="00312745"/>
    <w:rsid w:val="00315186"/>
    <w:rsid w:val="00315215"/>
    <w:rsid w:val="00316EDA"/>
    <w:rsid w:val="00323979"/>
    <w:rsid w:val="00325247"/>
    <w:rsid w:val="00331127"/>
    <w:rsid w:val="0033343E"/>
    <w:rsid w:val="0033774D"/>
    <w:rsid w:val="003512C2"/>
    <w:rsid w:val="00360D37"/>
    <w:rsid w:val="00371FB6"/>
    <w:rsid w:val="00372644"/>
    <w:rsid w:val="00372D0C"/>
    <w:rsid w:val="003763C1"/>
    <w:rsid w:val="003763E4"/>
    <w:rsid w:val="00376BBE"/>
    <w:rsid w:val="003841E4"/>
    <w:rsid w:val="0039224F"/>
    <w:rsid w:val="003A2431"/>
    <w:rsid w:val="003A43A4"/>
    <w:rsid w:val="003A7E18"/>
    <w:rsid w:val="003C4C86"/>
    <w:rsid w:val="003C54EB"/>
    <w:rsid w:val="003C6258"/>
    <w:rsid w:val="003C747D"/>
    <w:rsid w:val="003D362E"/>
    <w:rsid w:val="003D6D45"/>
    <w:rsid w:val="003E2904"/>
    <w:rsid w:val="003E2A6F"/>
    <w:rsid w:val="003F0364"/>
    <w:rsid w:val="003F045A"/>
    <w:rsid w:val="003F6B43"/>
    <w:rsid w:val="00401927"/>
    <w:rsid w:val="00405BE3"/>
    <w:rsid w:val="0041027F"/>
    <w:rsid w:val="00412475"/>
    <w:rsid w:val="00421577"/>
    <w:rsid w:val="004220AB"/>
    <w:rsid w:val="00423789"/>
    <w:rsid w:val="00434D20"/>
    <w:rsid w:val="00440655"/>
    <w:rsid w:val="00440F43"/>
    <w:rsid w:val="00441B6F"/>
    <w:rsid w:val="00442171"/>
    <w:rsid w:val="00446221"/>
    <w:rsid w:val="00450E62"/>
    <w:rsid w:val="00451848"/>
    <w:rsid w:val="004539DB"/>
    <w:rsid w:val="00456780"/>
    <w:rsid w:val="004610CB"/>
    <w:rsid w:val="004700B0"/>
    <w:rsid w:val="00471A80"/>
    <w:rsid w:val="00485EB5"/>
    <w:rsid w:val="00491334"/>
    <w:rsid w:val="00492941"/>
    <w:rsid w:val="0049646F"/>
    <w:rsid w:val="004A7A64"/>
    <w:rsid w:val="004D129C"/>
    <w:rsid w:val="004D305E"/>
    <w:rsid w:val="004D4277"/>
    <w:rsid w:val="004E4C90"/>
    <w:rsid w:val="004E7EE8"/>
    <w:rsid w:val="004F06E5"/>
    <w:rsid w:val="00500CB2"/>
    <w:rsid w:val="00502516"/>
    <w:rsid w:val="00505F06"/>
    <w:rsid w:val="00506828"/>
    <w:rsid w:val="0051118A"/>
    <w:rsid w:val="00512848"/>
    <w:rsid w:val="005134CB"/>
    <w:rsid w:val="0053056E"/>
    <w:rsid w:val="00534D96"/>
    <w:rsid w:val="0054049C"/>
    <w:rsid w:val="00554FDA"/>
    <w:rsid w:val="00563BC0"/>
    <w:rsid w:val="005B79F7"/>
    <w:rsid w:val="005C05EA"/>
    <w:rsid w:val="005C784C"/>
    <w:rsid w:val="005D17A4"/>
    <w:rsid w:val="005D17F6"/>
    <w:rsid w:val="005D510C"/>
    <w:rsid w:val="005E22D1"/>
    <w:rsid w:val="005E522A"/>
    <w:rsid w:val="005E5539"/>
    <w:rsid w:val="00602718"/>
    <w:rsid w:val="00602BF5"/>
    <w:rsid w:val="00617FDD"/>
    <w:rsid w:val="00626777"/>
    <w:rsid w:val="00633614"/>
    <w:rsid w:val="00633F68"/>
    <w:rsid w:val="00636EB2"/>
    <w:rsid w:val="006375B8"/>
    <w:rsid w:val="00641B7C"/>
    <w:rsid w:val="0064725F"/>
    <w:rsid w:val="00654FB3"/>
    <w:rsid w:val="006631B2"/>
    <w:rsid w:val="0066510A"/>
    <w:rsid w:val="00666595"/>
    <w:rsid w:val="00673F9F"/>
    <w:rsid w:val="00677370"/>
    <w:rsid w:val="00680E0A"/>
    <w:rsid w:val="0068113B"/>
    <w:rsid w:val="00681F79"/>
    <w:rsid w:val="00686953"/>
    <w:rsid w:val="00687DEA"/>
    <w:rsid w:val="00687E67"/>
    <w:rsid w:val="006967F7"/>
    <w:rsid w:val="006A14F8"/>
    <w:rsid w:val="006A19E3"/>
    <w:rsid w:val="006A250C"/>
    <w:rsid w:val="006B06F6"/>
    <w:rsid w:val="006B1894"/>
    <w:rsid w:val="006B1C0A"/>
    <w:rsid w:val="006B21D3"/>
    <w:rsid w:val="006B269C"/>
    <w:rsid w:val="006B57D0"/>
    <w:rsid w:val="006C72A9"/>
    <w:rsid w:val="006D1167"/>
    <w:rsid w:val="006D30FF"/>
    <w:rsid w:val="006D6940"/>
    <w:rsid w:val="006E5E68"/>
    <w:rsid w:val="006F11EC"/>
    <w:rsid w:val="006F5894"/>
    <w:rsid w:val="006F6A6C"/>
    <w:rsid w:val="0070082C"/>
    <w:rsid w:val="00701E7A"/>
    <w:rsid w:val="00704E7D"/>
    <w:rsid w:val="00714C0D"/>
    <w:rsid w:val="00727089"/>
    <w:rsid w:val="00731838"/>
    <w:rsid w:val="00734DEB"/>
    <w:rsid w:val="007369E6"/>
    <w:rsid w:val="007375DE"/>
    <w:rsid w:val="007407D1"/>
    <w:rsid w:val="00745614"/>
    <w:rsid w:val="00746E59"/>
    <w:rsid w:val="00747005"/>
    <w:rsid w:val="00754C9A"/>
    <w:rsid w:val="0075599A"/>
    <w:rsid w:val="007566AB"/>
    <w:rsid w:val="007613E0"/>
    <w:rsid w:val="00761D52"/>
    <w:rsid w:val="00771709"/>
    <w:rsid w:val="0077749E"/>
    <w:rsid w:val="00784F80"/>
    <w:rsid w:val="00786519"/>
    <w:rsid w:val="00790ADA"/>
    <w:rsid w:val="007A490B"/>
    <w:rsid w:val="007A560A"/>
    <w:rsid w:val="007B2CD7"/>
    <w:rsid w:val="007B6F12"/>
    <w:rsid w:val="007C4D89"/>
    <w:rsid w:val="007D2288"/>
    <w:rsid w:val="007D27EF"/>
    <w:rsid w:val="007E088F"/>
    <w:rsid w:val="007E4E21"/>
    <w:rsid w:val="007F4C55"/>
    <w:rsid w:val="007F7B32"/>
    <w:rsid w:val="00801482"/>
    <w:rsid w:val="00804BC2"/>
    <w:rsid w:val="00805A2E"/>
    <w:rsid w:val="00812AA5"/>
    <w:rsid w:val="0081431A"/>
    <w:rsid w:val="00817F6E"/>
    <w:rsid w:val="00826956"/>
    <w:rsid w:val="008269D5"/>
    <w:rsid w:val="0083216F"/>
    <w:rsid w:val="008454B3"/>
    <w:rsid w:val="00845C3A"/>
    <w:rsid w:val="00847876"/>
    <w:rsid w:val="008516CD"/>
    <w:rsid w:val="00860000"/>
    <w:rsid w:val="00861293"/>
    <w:rsid w:val="00863BD3"/>
    <w:rsid w:val="00864AB9"/>
    <w:rsid w:val="00866C82"/>
    <w:rsid w:val="00866D66"/>
    <w:rsid w:val="008671C6"/>
    <w:rsid w:val="00870D2A"/>
    <w:rsid w:val="00872857"/>
    <w:rsid w:val="00875803"/>
    <w:rsid w:val="008B459E"/>
    <w:rsid w:val="008C6B37"/>
    <w:rsid w:val="008E0806"/>
    <w:rsid w:val="008E13AE"/>
    <w:rsid w:val="008E1506"/>
    <w:rsid w:val="008E710C"/>
    <w:rsid w:val="008F2452"/>
    <w:rsid w:val="008F69D6"/>
    <w:rsid w:val="0090107C"/>
    <w:rsid w:val="00902823"/>
    <w:rsid w:val="00912B06"/>
    <w:rsid w:val="009156B4"/>
    <w:rsid w:val="00915CA6"/>
    <w:rsid w:val="00927834"/>
    <w:rsid w:val="00932B37"/>
    <w:rsid w:val="00944265"/>
    <w:rsid w:val="009460BB"/>
    <w:rsid w:val="009500A6"/>
    <w:rsid w:val="00957C18"/>
    <w:rsid w:val="009659BA"/>
    <w:rsid w:val="00967449"/>
    <w:rsid w:val="009679F5"/>
    <w:rsid w:val="0098154C"/>
    <w:rsid w:val="00983040"/>
    <w:rsid w:val="00992CA0"/>
    <w:rsid w:val="009A716D"/>
    <w:rsid w:val="009A7B69"/>
    <w:rsid w:val="009B3C1C"/>
    <w:rsid w:val="009B3FB9"/>
    <w:rsid w:val="009B4244"/>
    <w:rsid w:val="009C1C15"/>
    <w:rsid w:val="009C2465"/>
    <w:rsid w:val="009D35A0"/>
    <w:rsid w:val="009D5ADF"/>
    <w:rsid w:val="009D7EB7"/>
    <w:rsid w:val="009E048A"/>
    <w:rsid w:val="009E08E9"/>
    <w:rsid w:val="009E3AED"/>
    <w:rsid w:val="009E3DB9"/>
    <w:rsid w:val="009E6E35"/>
    <w:rsid w:val="009F0EDA"/>
    <w:rsid w:val="009F11D9"/>
    <w:rsid w:val="009F247F"/>
    <w:rsid w:val="009F270C"/>
    <w:rsid w:val="009F297C"/>
    <w:rsid w:val="009F298F"/>
    <w:rsid w:val="009F6E90"/>
    <w:rsid w:val="00A00542"/>
    <w:rsid w:val="00A01096"/>
    <w:rsid w:val="00A03B96"/>
    <w:rsid w:val="00A05B19"/>
    <w:rsid w:val="00A1134E"/>
    <w:rsid w:val="00A124A7"/>
    <w:rsid w:val="00A12C6D"/>
    <w:rsid w:val="00A24E7E"/>
    <w:rsid w:val="00A258C3"/>
    <w:rsid w:val="00A32AEA"/>
    <w:rsid w:val="00A3336F"/>
    <w:rsid w:val="00A347C0"/>
    <w:rsid w:val="00A349ED"/>
    <w:rsid w:val="00A407BC"/>
    <w:rsid w:val="00A41762"/>
    <w:rsid w:val="00A51431"/>
    <w:rsid w:val="00A526D1"/>
    <w:rsid w:val="00A539AD"/>
    <w:rsid w:val="00A57140"/>
    <w:rsid w:val="00A629AF"/>
    <w:rsid w:val="00A63BA7"/>
    <w:rsid w:val="00A94063"/>
    <w:rsid w:val="00AA5373"/>
    <w:rsid w:val="00AA6219"/>
    <w:rsid w:val="00AA74E0"/>
    <w:rsid w:val="00AB15BC"/>
    <w:rsid w:val="00AB6E1E"/>
    <w:rsid w:val="00AB703F"/>
    <w:rsid w:val="00AC6BB8"/>
    <w:rsid w:val="00AC6E2D"/>
    <w:rsid w:val="00AD467A"/>
    <w:rsid w:val="00AD7EC1"/>
    <w:rsid w:val="00AE008F"/>
    <w:rsid w:val="00B01FCD"/>
    <w:rsid w:val="00B076BB"/>
    <w:rsid w:val="00B1776C"/>
    <w:rsid w:val="00B44AE0"/>
    <w:rsid w:val="00B52896"/>
    <w:rsid w:val="00B56E15"/>
    <w:rsid w:val="00B63040"/>
    <w:rsid w:val="00B67550"/>
    <w:rsid w:val="00B675AC"/>
    <w:rsid w:val="00B706A2"/>
    <w:rsid w:val="00B72C0C"/>
    <w:rsid w:val="00B73739"/>
    <w:rsid w:val="00B75C65"/>
    <w:rsid w:val="00B76F28"/>
    <w:rsid w:val="00B77CEF"/>
    <w:rsid w:val="00B9475D"/>
    <w:rsid w:val="00B95236"/>
    <w:rsid w:val="00B96BD9"/>
    <w:rsid w:val="00B97672"/>
    <w:rsid w:val="00BA1B01"/>
    <w:rsid w:val="00BA2641"/>
    <w:rsid w:val="00BB1716"/>
    <w:rsid w:val="00BB37AA"/>
    <w:rsid w:val="00BC4090"/>
    <w:rsid w:val="00BC51FE"/>
    <w:rsid w:val="00BC53A0"/>
    <w:rsid w:val="00BD1D56"/>
    <w:rsid w:val="00BD20CE"/>
    <w:rsid w:val="00BE3287"/>
    <w:rsid w:val="00BE62AD"/>
    <w:rsid w:val="00BF121F"/>
    <w:rsid w:val="00BF1F80"/>
    <w:rsid w:val="00BF72CD"/>
    <w:rsid w:val="00C00659"/>
    <w:rsid w:val="00C079B2"/>
    <w:rsid w:val="00C166EF"/>
    <w:rsid w:val="00C17EB0"/>
    <w:rsid w:val="00C27F5F"/>
    <w:rsid w:val="00C30A0F"/>
    <w:rsid w:val="00C37E61"/>
    <w:rsid w:val="00C40A68"/>
    <w:rsid w:val="00C443FA"/>
    <w:rsid w:val="00C463A8"/>
    <w:rsid w:val="00C573CD"/>
    <w:rsid w:val="00C67802"/>
    <w:rsid w:val="00C70F1B"/>
    <w:rsid w:val="00C71A47"/>
    <w:rsid w:val="00C7464C"/>
    <w:rsid w:val="00C85588"/>
    <w:rsid w:val="00CA0F13"/>
    <w:rsid w:val="00CA37F1"/>
    <w:rsid w:val="00CA55C7"/>
    <w:rsid w:val="00CA6731"/>
    <w:rsid w:val="00CB6C40"/>
    <w:rsid w:val="00CC7916"/>
    <w:rsid w:val="00CD3477"/>
    <w:rsid w:val="00CD36A5"/>
    <w:rsid w:val="00CD580B"/>
    <w:rsid w:val="00CD6280"/>
    <w:rsid w:val="00CD6755"/>
    <w:rsid w:val="00CD6856"/>
    <w:rsid w:val="00CE0089"/>
    <w:rsid w:val="00CE793C"/>
    <w:rsid w:val="00CF6958"/>
    <w:rsid w:val="00CF7D09"/>
    <w:rsid w:val="00D00940"/>
    <w:rsid w:val="00D023CF"/>
    <w:rsid w:val="00D0353D"/>
    <w:rsid w:val="00D04947"/>
    <w:rsid w:val="00D16A73"/>
    <w:rsid w:val="00D173F1"/>
    <w:rsid w:val="00D17BA1"/>
    <w:rsid w:val="00D26B8C"/>
    <w:rsid w:val="00D36B88"/>
    <w:rsid w:val="00D520EA"/>
    <w:rsid w:val="00D5415D"/>
    <w:rsid w:val="00D72CD4"/>
    <w:rsid w:val="00D73162"/>
    <w:rsid w:val="00D8295D"/>
    <w:rsid w:val="00D926F7"/>
    <w:rsid w:val="00D937C4"/>
    <w:rsid w:val="00DC0FCE"/>
    <w:rsid w:val="00DC2A65"/>
    <w:rsid w:val="00DD094A"/>
    <w:rsid w:val="00DE15F0"/>
    <w:rsid w:val="00DE5663"/>
    <w:rsid w:val="00DE78AA"/>
    <w:rsid w:val="00DF6140"/>
    <w:rsid w:val="00E053D0"/>
    <w:rsid w:val="00E15994"/>
    <w:rsid w:val="00E23299"/>
    <w:rsid w:val="00E30056"/>
    <w:rsid w:val="00E3114E"/>
    <w:rsid w:val="00E31A70"/>
    <w:rsid w:val="00E35B02"/>
    <w:rsid w:val="00E542BF"/>
    <w:rsid w:val="00E60759"/>
    <w:rsid w:val="00E62866"/>
    <w:rsid w:val="00E66496"/>
    <w:rsid w:val="00E66B35"/>
    <w:rsid w:val="00E66E10"/>
    <w:rsid w:val="00E769F6"/>
    <w:rsid w:val="00E8407C"/>
    <w:rsid w:val="00E84332"/>
    <w:rsid w:val="00E84F3C"/>
    <w:rsid w:val="00E94837"/>
    <w:rsid w:val="00E94BD8"/>
    <w:rsid w:val="00EA012C"/>
    <w:rsid w:val="00EA0872"/>
    <w:rsid w:val="00EA2166"/>
    <w:rsid w:val="00EA2596"/>
    <w:rsid w:val="00EA61C6"/>
    <w:rsid w:val="00EB174C"/>
    <w:rsid w:val="00EB392B"/>
    <w:rsid w:val="00EB537D"/>
    <w:rsid w:val="00EC0073"/>
    <w:rsid w:val="00EC034C"/>
    <w:rsid w:val="00EC6852"/>
    <w:rsid w:val="00ED0288"/>
    <w:rsid w:val="00ED10A2"/>
    <w:rsid w:val="00ED22DC"/>
    <w:rsid w:val="00EE52CB"/>
    <w:rsid w:val="00EF0246"/>
    <w:rsid w:val="00EF2509"/>
    <w:rsid w:val="00EF3744"/>
    <w:rsid w:val="00EF45F3"/>
    <w:rsid w:val="00EF581D"/>
    <w:rsid w:val="00EF7FD8"/>
    <w:rsid w:val="00F04245"/>
    <w:rsid w:val="00F06248"/>
    <w:rsid w:val="00F06A07"/>
    <w:rsid w:val="00F06F59"/>
    <w:rsid w:val="00F1662B"/>
    <w:rsid w:val="00F17988"/>
    <w:rsid w:val="00F31078"/>
    <w:rsid w:val="00F361B4"/>
    <w:rsid w:val="00F36B2A"/>
    <w:rsid w:val="00F40CFC"/>
    <w:rsid w:val="00F469F0"/>
    <w:rsid w:val="00F51469"/>
    <w:rsid w:val="00F53273"/>
    <w:rsid w:val="00F65D4F"/>
    <w:rsid w:val="00F6609C"/>
    <w:rsid w:val="00F74C83"/>
    <w:rsid w:val="00F755E4"/>
    <w:rsid w:val="00F7608C"/>
    <w:rsid w:val="00F77D02"/>
    <w:rsid w:val="00F809F3"/>
    <w:rsid w:val="00F850E2"/>
    <w:rsid w:val="00FA5018"/>
    <w:rsid w:val="00FA639C"/>
    <w:rsid w:val="00FA776C"/>
    <w:rsid w:val="00FB012D"/>
    <w:rsid w:val="00FB1184"/>
    <w:rsid w:val="00FB32E7"/>
    <w:rsid w:val="00FB3A86"/>
    <w:rsid w:val="00FC036C"/>
    <w:rsid w:val="00FC2C51"/>
    <w:rsid w:val="00FD191F"/>
    <w:rsid w:val="00FD36C8"/>
    <w:rsid w:val="00FE3B00"/>
    <w:rsid w:val="00FE5761"/>
    <w:rsid w:val="00FE5AA6"/>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39"/>
    <w:rsid w:val="006F589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E6D"/>
    <w:rPr>
      <w:rFonts w:ascii="Helvetica" w:hAnsi="Helvetica"/>
    </w:rPr>
  </w:style>
  <w:style w:type="table" w:customStyle="1" w:styleId="TableGrid2">
    <w:name w:val="Table Grid2"/>
    <w:basedOn w:val="TableNormal"/>
    <w:next w:val="TableGrid"/>
    <w:uiPriority w:val="39"/>
    <w:rsid w:val="00A01096"/>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1127"/>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2C51"/>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41E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1B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B42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D17A4"/>
    <w:rPr>
      <w:i/>
      <w:iCs/>
      <w:color w:val="404040" w:themeColor="text1" w:themeTint="BF"/>
    </w:rPr>
  </w:style>
  <w:style w:type="table" w:customStyle="1" w:styleId="TableGrid31">
    <w:name w:val="Table Grid31"/>
    <w:basedOn w:val="TableNormal"/>
    <w:uiPriority w:val="39"/>
    <w:rsid w:val="00944265"/>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648/2248-9215.9.1.82" TargetMode="External"/><Relationship Id="rId18" Type="http://schemas.openxmlformats.org/officeDocument/2006/relationships/hyperlink" Target="https://doi.org/10.22271/chemi.2020.v8.i5l.10401" TargetMode="External"/><Relationship Id="rId26" Type="http://schemas.openxmlformats.org/officeDocument/2006/relationships/hyperlink" Target="http://www.udsspae.uds.edu.gh" TargetMode="External"/><Relationship Id="rId21" Type="http://schemas.openxmlformats.org/officeDocument/2006/relationships/hyperlink" Target="https://doi.org/10.1007/s12571-022-01288-7" TargetMode="External"/><Relationship Id="rId34" Type="http://schemas.openxmlformats.org/officeDocument/2006/relationships/hyperlink" Target="https://doi.org/10.3389/fpls.2018.01889" TargetMode="External"/><Relationship Id="rId7" Type="http://schemas.openxmlformats.org/officeDocument/2006/relationships/endnotes" Target="endnotes.xml"/><Relationship Id="rId12" Type="http://schemas.openxmlformats.org/officeDocument/2006/relationships/hyperlink" Target="https://doi.org/10.1016/J.SCITOTENV.2019.133667" TargetMode="External"/><Relationship Id="rId17" Type="http://schemas.openxmlformats.org/officeDocument/2006/relationships/hyperlink" Target="https://doi.org/10.1007/978-3-319-58789-9_7" TargetMode="External"/><Relationship Id="rId25" Type="http://schemas.openxmlformats.org/officeDocument/2006/relationships/hyperlink" Target="https://doi.org/10.1111/ejss.12521" TargetMode="External"/><Relationship Id="rId33" Type="http://schemas.openxmlformats.org/officeDocument/2006/relationships/hyperlink" Target="https://doi.org/10.1016/j.fcr.2019.10758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dl.handle.net/10568/151383" TargetMode="External"/><Relationship Id="rId20" Type="http://schemas.openxmlformats.org/officeDocument/2006/relationships/hyperlink" Target="https://doi.org/10.1016/j.eja.2022.126605" TargetMode="External"/><Relationship Id="rId29" Type="http://schemas.openxmlformats.org/officeDocument/2006/relationships/hyperlink" Target="https://doi.org/10.36783/18069657rbcs20230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016/B978-0-443-13993-2.00001-3" TargetMode="External"/><Relationship Id="rId32" Type="http://schemas.openxmlformats.org/officeDocument/2006/relationships/hyperlink" Target="https://doi.org/10.3390/su1317974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9045/bspab.2018.700890" TargetMode="External"/><Relationship Id="rId23" Type="http://schemas.openxmlformats.org/officeDocument/2006/relationships/hyperlink" Target="https://doi.org/10.1080/10408398.2020.1844636" TargetMode="External"/><Relationship Id="rId28" Type="http://schemas.openxmlformats.org/officeDocument/2006/relationships/hyperlink" Target="https://doi.org/10.1016/B978-0-12-812104-7.00013-7" TargetMode="External"/><Relationship Id="rId36" Type="http://schemas.openxmlformats.org/officeDocument/2006/relationships/hyperlink" Target="https://doi.org/10.1007/s13593-022-00821-4" TargetMode="External"/><Relationship Id="rId10" Type="http://schemas.openxmlformats.org/officeDocument/2006/relationships/footer" Target="footer1.xml"/><Relationship Id="rId19" Type="http://schemas.openxmlformats.org/officeDocument/2006/relationships/hyperlink" Target="https://doi.org/10.1016/j.jafr.2022.100279" TargetMode="External"/><Relationship Id="rId31" Type="http://schemas.openxmlformats.org/officeDocument/2006/relationships/hyperlink" Target="https://doi.org/10.22271/chemi.2020.v8.i2j.88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B978-0-323-60984-5.00062-7" TargetMode="External"/><Relationship Id="rId22" Type="http://schemas.openxmlformats.org/officeDocument/2006/relationships/hyperlink" Target="https://doi.org/10.5281/zenodo.7438164" TargetMode="External"/><Relationship Id="rId27" Type="http://schemas.openxmlformats.org/officeDocument/2006/relationships/hyperlink" Target="https://hdl.handle.net/10520/EJC-63055a9fb" TargetMode="External"/><Relationship Id="rId30" Type="http://schemas.openxmlformats.org/officeDocument/2006/relationships/hyperlink" Target="https://doi.org/10.51244/IJRSI.2024.1105007" TargetMode="External"/><Relationship Id="rId35" Type="http://schemas.openxmlformats.org/officeDocument/2006/relationships/hyperlink" Target="https://doi.org/10.3390/ijerph192316358"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AC4B-3631-4209-9233-D5372DC1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20</Pages>
  <Words>10134</Words>
  <Characters>57766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67765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32</cp:revision>
  <cp:lastPrinted>1999-07-06T11:00:00Z</cp:lastPrinted>
  <dcterms:created xsi:type="dcterms:W3CDTF">2025-11-15T01:45:00Z</dcterms:created>
  <dcterms:modified xsi:type="dcterms:W3CDTF">2025-11-24T05:46:00Z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