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CD65B" w14:textId="390059AA" w:rsidR="003178D3" w:rsidRDefault="003178D3" w:rsidP="00677485">
      <w:pPr>
        <w:jc w:val="center"/>
        <w:rPr>
          <w:rFonts w:ascii="Times New Roman" w:hAnsi="Times New Roman" w:cs="Times New Roman"/>
          <w:b/>
          <w:bCs/>
          <w:color w:val="000000" w:themeColor="text1"/>
          <w:sz w:val="24"/>
          <w:szCs w:val="24"/>
        </w:rPr>
      </w:pPr>
      <w:r w:rsidRPr="004009F2">
        <w:rPr>
          <w:rFonts w:ascii="Times New Roman" w:hAnsi="Times New Roman" w:cs="Times New Roman"/>
          <w:b/>
          <w:bCs/>
          <w:color w:val="000000" w:themeColor="text1"/>
          <w:sz w:val="24"/>
          <w:szCs w:val="24"/>
        </w:rPr>
        <w:t>Optimization of a Low-Calorie Guava-Blend Beverage: Sensory, Nutritional, and Economic Aspects</w:t>
      </w:r>
    </w:p>
    <w:p w14:paraId="38A52B3A" w14:textId="77777777" w:rsidR="00A37F7F" w:rsidRPr="004009F2" w:rsidRDefault="00A37F7F" w:rsidP="00677485">
      <w:pPr>
        <w:jc w:val="center"/>
        <w:rPr>
          <w:rFonts w:ascii="Times New Roman" w:hAnsi="Times New Roman" w:cs="Times New Roman"/>
          <w:b/>
          <w:bCs/>
          <w:color w:val="000000" w:themeColor="text1"/>
          <w:sz w:val="24"/>
          <w:szCs w:val="24"/>
        </w:rPr>
      </w:pPr>
    </w:p>
    <w:p w14:paraId="69E793C0" w14:textId="77777777" w:rsidR="007574F2" w:rsidRPr="004009F2" w:rsidRDefault="007574F2" w:rsidP="00677485">
      <w:pPr>
        <w:jc w:val="center"/>
        <w:rPr>
          <w:rFonts w:ascii="Times New Roman" w:hAnsi="Times New Roman" w:cs="Times New Roman"/>
          <w:b/>
          <w:bCs/>
          <w:color w:val="000000" w:themeColor="text1"/>
          <w:sz w:val="24"/>
          <w:szCs w:val="24"/>
        </w:rPr>
      </w:pPr>
    </w:p>
    <w:p w14:paraId="5148514D" w14:textId="009754F9" w:rsidR="003178D3" w:rsidRDefault="003178D3" w:rsidP="007D40CE">
      <w:pPr>
        <w:jc w:val="both"/>
      </w:pPr>
      <w:r w:rsidRPr="004009F2">
        <w:t>Abstract</w:t>
      </w:r>
      <w:r w:rsidRPr="004009F2">
        <w:br/>
        <w:t>This comprehensive study developed and optimized low-calorie guava-blend beverages (RTS, nectar, squash) using guava (cv. Allahabad Safeda) blended with other tropical fruits (mulberry, jamun, phalsa, pomegranate). The research employed systematic experimentation to evaluate physicochemical properties, sensory characteristics, storage stability, and economic viability. Physicochemical analysis revealed complementary nutritional profiles, with guava providing high vitamin C (131.5 mg/100g) while other fruits contributed anthocyanins and natural sweetness. Sensory evaluation identified optimal parameters including a 75:25 guava-to-other fruit ratio and 25-50% sugar replacement with stevia, which maintained high consumer acceptability while reducing calorie content. Recipe standardization established ideal formulations for each beverage type, with RTS at 12% TSS and 0.25% acidity, nectar at 14% TSS and 0.25% acidity, and squash at 45% TSS and 1.10% acidity. Storage studies demonstrated acceptable quality retention over six months under ambient conditions, with nectar showing superior stability. Economic analysis confirmed commercial viability with benefit-cost ratios of 1:4.31 for RTS, 1:4.48 for nectar, and 1:2.78 for squash. The research demonstrates successful development of nutritionally enhanced, sensorially acceptable, and economically feasible low-calorie guava beverages that address both consumer health demands and industry needs for value-added products.</w:t>
      </w:r>
    </w:p>
    <w:p w14:paraId="48A38E87" w14:textId="6DE08F6E" w:rsidR="00A7341F" w:rsidRPr="004009F2" w:rsidRDefault="00A7341F" w:rsidP="007D40CE">
      <w:pPr>
        <w:jc w:val="both"/>
      </w:pPr>
      <w:r>
        <w:t xml:space="preserve">Keywords: </w:t>
      </w:r>
      <w:r w:rsidR="00173374" w:rsidRPr="00173374">
        <w:t>guava-blend beverages</w:t>
      </w:r>
      <w:r w:rsidR="00173374">
        <w:t xml:space="preserve">, </w:t>
      </w:r>
      <w:r w:rsidR="001B3FAE" w:rsidRPr="001B3FAE">
        <w:t>Low-Calorie</w:t>
      </w:r>
      <w:r w:rsidR="001B3FAE">
        <w:t xml:space="preserve">, </w:t>
      </w:r>
      <w:r w:rsidR="001B3FAE" w:rsidRPr="001B3FAE">
        <w:t>Sensory evaluation, Nutritional</w:t>
      </w:r>
      <w:r w:rsidR="001B3FAE">
        <w:t xml:space="preserve"> </w:t>
      </w:r>
      <w:r w:rsidR="005F0C27">
        <w:t>profile</w:t>
      </w:r>
    </w:p>
    <w:p w14:paraId="5E63D48E" w14:textId="7775D10B" w:rsidR="003178D3" w:rsidRPr="004009F2" w:rsidRDefault="003178D3" w:rsidP="001B7C7C">
      <w:pPr>
        <w:pStyle w:val="ListParagraph"/>
        <w:numPr>
          <w:ilvl w:val="0"/>
          <w:numId w:val="7"/>
        </w:numPr>
        <w:jc w:val="both"/>
      </w:pPr>
      <w:r w:rsidRPr="004009F2">
        <w:t>Introduction</w:t>
      </w:r>
    </w:p>
    <w:p w14:paraId="02C6698B" w14:textId="77777777" w:rsidR="001B7C7C" w:rsidRPr="004009F2" w:rsidRDefault="001B7C7C" w:rsidP="005E3866">
      <w:pPr>
        <w:ind w:firstLine="360"/>
        <w:jc w:val="both"/>
      </w:pPr>
      <w:r w:rsidRPr="004009F2">
        <w:t>In the landscape of tropical fruits, guava (Psidium guajava L.) stands out not just for its wide cultivation but for its remarkable nutritional prowess. Often called the "apple of the tropics," it is an exceptional source of vitamin C and a powerful suite of bioactive compounds, including polyphenols and flavonoids, which are known for their antioxidant and anti-inflammatory benefits (Kumar et al., 2024; Singh &amp; Singh, 2018). Despite this impressive profile, guava faces a significant challenge: its high perishability leads to substantial post-harvest losses, estimated at 20-25% (Rashid et al., 2018). This very challenge, however, creates a compelling opportunity. By processing guava into value-added products like Ready-to-Serve (RTS) beverages, we can effectively reduce waste, extend its shelf life, and unlock greater economic value for farmers.</w:t>
      </w:r>
    </w:p>
    <w:p w14:paraId="10CB9CCA" w14:textId="77777777" w:rsidR="001B7C7C" w:rsidRPr="004009F2" w:rsidRDefault="001B7C7C" w:rsidP="001B7C7C">
      <w:pPr>
        <w:jc w:val="both"/>
      </w:pPr>
      <w:r w:rsidRPr="004009F2">
        <w:t>The potential of a guava-based beverage is further amplified by current consumer trends, which show a growing demand for functional, health-oriented drinks. Guava's inherent qualities make it an ideal base, but its value can be significantly enhanced through strategic blending. Combining guava with other nutritious fruits like mulberry, jamun, and pomegranate creates a synergistic effect, improving not only the sensory appeal with new flavors and colors but also boosting the beverage's overall nutritional and antioxidant capacity (Iqbal Khan et al., 2025).</w:t>
      </w:r>
    </w:p>
    <w:p w14:paraId="6E4ABA10" w14:textId="77777777" w:rsidR="001B7C7C" w:rsidRPr="004009F2" w:rsidRDefault="001B7C7C" w:rsidP="001B7C7C">
      <w:pPr>
        <w:jc w:val="both"/>
      </w:pPr>
      <w:r w:rsidRPr="004009F2">
        <w:t>To fully align with modern health demands, there is a crucial need to address the high sugar content typical of many fruit beverages. This is where natural, low-calorie sweeteners like stevia play a transformative role. Derived from the plant </w:t>
      </w:r>
      <w:r w:rsidRPr="004009F2">
        <w:rPr>
          <w:i/>
          <w:iCs/>
        </w:rPr>
        <w:t>Stevia rebaudiana</w:t>
      </w:r>
      <w:r w:rsidRPr="004009F2">
        <w:t>, stevia provides the desired sweetness without the added calories, making the beverage suitable for a wider audience, including diabetic and health-conscious consumers (FDA, 2018; Rathinasamy et al., 2022).</w:t>
      </w:r>
    </w:p>
    <w:p w14:paraId="43D0EFFF" w14:textId="77777777" w:rsidR="001B7C7C" w:rsidRPr="004009F2" w:rsidRDefault="001B7C7C" w:rsidP="001B7C7C">
      <w:pPr>
        <w:jc w:val="both"/>
      </w:pPr>
      <w:r w:rsidRPr="004009F2">
        <w:lastRenderedPageBreak/>
        <w:t>Yet, the successful creation of such a product is not straightforward. A clear gap exists in the scientific literature regarding the systematic optimization of a low-calorie, blended guava beverage. Questions about the ideal fruit combination, the precise level of sugar replacement with stevia, and the final product's stability during storage remain inadequately explored. Therefore, this research is dedicated to bridging this gap by developing a scientifically standardized recipe for a low-calorie guava-blend RTS beverage. The study aims to optimize the formulation for the best sensory acceptance and nutritional quality, assess its storage stability, and evaluate its commercial feasibility, ultimately delivering a health-promoting product that benefits consumers, industry, and farmers alike.</w:t>
      </w:r>
    </w:p>
    <w:p w14:paraId="299D12A9" w14:textId="77777777" w:rsidR="003178D3" w:rsidRPr="001C21F1" w:rsidRDefault="003178D3" w:rsidP="007D40CE">
      <w:pPr>
        <w:jc w:val="both"/>
        <w:rPr>
          <w:b/>
        </w:rPr>
      </w:pPr>
      <w:r w:rsidRPr="001C21F1">
        <w:rPr>
          <w:b/>
        </w:rPr>
        <w:t>2. Materials and Methods</w:t>
      </w:r>
    </w:p>
    <w:p w14:paraId="5A524734" w14:textId="77777777" w:rsidR="007D40CE" w:rsidRPr="004009F2" w:rsidRDefault="003178D3" w:rsidP="007D40CE">
      <w:r w:rsidRPr="004009F2">
        <w:t>2.1. Raw Materials and Experimental Design</w:t>
      </w:r>
    </w:p>
    <w:p w14:paraId="09E1AAA6" w14:textId="7D2A497D" w:rsidR="003178D3" w:rsidRPr="004009F2" w:rsidRDefault="003178D3" w:rsidP="007D40CE">
      <w:pPr>
        <w:jc w:val="both"/>
      </w:pPr>
      <w:r w:rsidRPr="004009F2">
        <w:br/>
        <w:t>The investigation utilized fresh fruits and fruit pulps sourced locally from certified cultivars, including guava pulp (Psidium guajava L., cv. Allahabad Safeda), local mulberry (red and black cultivars), local jamun pulp (Syzygium cumini), local phalsa pulp (Grewia asiatica), and pomegranate (Punica granatum, cv. Arakta). All fruit samples were harvested at commercial maturity stage, transported immediately to the laboratory under chilled conditions (4°C), and stored at 0–4°C until processing. The experimental design employed a Completely Randomized Design (CRD) with varying replications: experiments for blending and sweetener ratios included 4 replications, while recipe standardization and storage studies utilized 3 replications. The experimental framework encompassed 8 distinct blending ratios and 9 standardized recipes.</w:t>
      </w:r>
    </w:p>
    <w:p w14:paraId="28777765" w14:textId="77777777" w:rsidR="007D40CE" w:rsidRPr="004009F2" w:rsidRDefault="003178D3" w:rsidP="007D40CE">
      <w:r w:rsidRPr="004009F2">
        <w:t>2.2. Physicochemical Analysis of Fruits</w:t>
      </w:r>
    </w:p>
    <w:p w14:paraId="315C6032" w14:textId="21828D67" w:rsidR="003178D3" w:rsidRPr="004009F2" w:rsidRDefault="003178D3" w:rsidP="007D40CE">
      <w:pPr>
        <w:jc w:val="both"/>
      </w:pPr>
      <w:r w:rsidRPr="004009F2">
        <w:br/>
        <w:t>Comprehensive physicochemical characterization of all fruits formed the foundational stage of this investigation. Physical parameters analyzed included fruit weight (measured using electronic balance), fruit length and width (determined using digital vernier caliper with ±0.01 cm accuracy), juice content (calculated as percentage of total fruit weight), pomace content (residual solid portion after juice extraction), and seed percentage (proportion of seeds relative to total fruit weight). Chemical analyses encompassed total soluble solids (TSS, °Brix) using hand refractometer (Erma, Japan), titratable acidity (expressed as percentage citric acid equivalent via titration with 0.1 N NaOH using phenolphthalein indicator), ascorbic acid content (estimated by 2,6-dichlorophenol indophenol dye titration method), anthocyanin content (determined using pH differential method with absorbance measured at 520 nm and 700 nm), and sugar profiles including reducing sugars, total sugars, and non-reducing sugars (calculated by difference) analyzed using Lane and Eynon titrimetric method. All analytical procedures followed standardized protocols described by Ranganna (1997).</w:t>
      </w:r>
    </w:p>
    <w:p w14:paraId="5A30928C" w14:textId="77777777" w:rsidR="007D40CE" w:rsidRPr="004009F2" w:rsidRDefault="003178D3" w:rsidP="007D40CE">
      <w:r w:rsidRPr="004009F2">
        <w:t>2.3. Formulation of Blending Ratios</w:t>
      </w:r>
    </w:p>
    <w:p w14:paraId="3FE3395A" w14:textId="0A2C2267" w:rsidR="003178D3" w:rsidRPr="004009F2" w:rsidRDefault="003178D3" w:rsidP="0092244C">
      <w:pPr>
        <w:jc w:val="both"/>
      </w:pPr>
      <w:r w:rsidRPr="004009F2">
        <w:br/>
        <w:t xml:space="preserve">Guava pulp was systematically blended with other fruit pulps (mulberry, jamun, phalsa, pomegranate) in varying ratios (25:75, 50:50, 75:25, 100:0, 0:100) to evaluate their suitability for low-calorie beverages. These blends were utilized to prepare three distinct beverage types: Ready-to-Serve (RTS) beverages adjusted to 0.3% acidity and 12% TSS with pulp content above 10%; nectar formulations adjusted to 1% acidity and 14% TSS with pulp content above 20%; and squash products adjusted to 0.3% acidity and 45% TSS with pulp content above 25%. All initial formulations utilized 100% sugar as sweetener. Organoleptic evaluation focusing on color, taste, aroma, and overall acceptability was </w:t>
      </w:r>
      <w:r w:rsidRPr="004009F2">
        <w:lastRenderedPageBreak/>
        <w:t>conducted using a 9-point hedonic scale to identify the optimal blending ratio for subsequent experimentation.</w:t>
      </w:r>
    </w:p>
    <w:p w14:paraId="2E3F02B5" w14:textId="77777777" w:rsidR="0092244C" w:rsidRPr="004009F2" w:rsidRDefault="003178D3" w:rsidP="007D40CE">
      <w:r w:rsidRPr="004009F2">
        <w:t>2.4. Evaluation of Sugar and Stevia Ratios</w:t>
      </w:r>
    </w:p>
    <w:p w14:paraId="0B1C0DB6" w14:textId="36030E0E" w:rsidR="003178D3" w:rsidRPr="004009F2" w:rsidRDefault="003178D3" w:rsidP="0092244C">
      <w:pPr>
        <w:jc w:val="both"/>
      </w:pPr>
      <w:r w:rsidRPr="004009F2">
        <w:br/>
        <w:t>To develop low-calorie beverages, the optimal ratio of sugar and stevioside was systematically evaluated utilizing the best-performing blending ratio identified in the previous experiment. Five distinct sweetener treatments were implemented: T1 (100% sugar + 0% stevia), T2 (75% sugar + 25% stevia), T3 (50% sugar + 50% stevia), T4 (25% sugar + 75% stevia), and T5 (0% sugar + 100% stevia). These sweetener combinations were incorporated into RTS beverages (adjusted to 0.3% acidity and 12% TSS), nectar (adjusted to 1% acidity and 14% TSS), and squash (adjusted to 1% acidity and 45% TSS). Comprehensive organoleptic evaluation was conducted to determine the optimal sugar-stevia combination for low-calorie beverage production.</w:t>
      </w:r>
    </w:p>
    <w:p w14:paraId="37E83308" w14:textId="77777777" w:rsidR="0092244C" w:rsidRPr="004009F2" w:rsidRDefault="003178D3" w:rsidP="007D40CE">
      <w:r w:rsidRPr="004009F2">
        <w:t>2.5. Recipe Standardization</w:t>
      </w:r>
    </w:p>
    <w:p w14:paraId="4E46B4B1" w14:textId="4257A881" w:rsidR="003178D3" w:rsidRPr="004009F2" w:rsidRDefault="003178D3" w:rsidP="0092244C">
      <w:pPr>
        <w:jc w:val="both"/>
      </w:pPr>
      <w:r w:rsidRPr="004009F2">
        <w:br/>
        <w:t>Utilizing the optimal blending ratio and ideal sugar-stevia combination identified in previous experiments, nine distinct recipes for each beverage type (RTS, nectar, squash) were standardized through systematic variation of TSS and acidity parameters. For RTS beverages, TSS levels of 11%, 12%, and 13% were combined with acidity levels of 0.20%, 0.25%, and 0.30%. Nectar formulations incorporated TSS levels of 13%, 14%, and 15% with the same acidity range (0.20-0.30%), while squash recipes utilized TSS levels of 43%, 45%, and 48% combined with acidity levels of 1.00%, 1.10%, and 1.20%. Organoleptic evaluation for color, flavor, aroma, and overall acceptability was conducted using a 9-point hedonic scale with trained panelists to identify the single optimal recipe for each beverage category.</w:t>
      </w:r>
    </w:p>
    <w:p w14:paraId="645C1F8F" w14:textId="77777777" w:rsidR="0092244C" w:rsidRPr="004009F2" w:rsidRDefault="003178D3" w:rsidP="007D40CE">
      <w:r w:rsidRPr="004009F2">
        <w:t>2.6. Storage Studies</w:t>
      </w:r>
    </w:p>
    <w:p w14:paraId="098EBF46" w14:textId="61FA8F66" w:rsidR="003178D3" w:rsidRPr="004009F2" w:rsidRDefault="003178D3" w:rsidP="0092244C">
      <w:pPr>
        <w:jc w:val="both"/>
      </w:pPr>
      <w:r w:rsidRPr="004009F2">
        <w:br/>
        <w:t>The optimized RTS, nectar, and squash formulations underwent comprehensive storage stability evaluation under ambient conditions for six months. Monthly assessments included analysis of total soluble solids (TSS, °Brix), titratable acidity (%), ascorbic acid content (mg/100 g), and detailed organoleptic evaluation using the 9-point Hedonic rating test as described by Ranganna (1997). These studies enabled assessment of shelf-life stability and quality changes in the low-calorie beverages over time.</w:t>
      </w:r>
    </w:p>
    <w:p w14:paraId="7EA22A91" w14:textId="77777777" w:rsidR="0092244C" w:rsidRPr="004009F2" w:rsidRDefault="003178D3" w:rsidP="007D40CE">
      <w:r w:rsidRPr="004009F2">
        <w:t>2.7. Economic Analysis</w:t>
      </w:r>
    </w:p>
    <w:p w14:paraId="444C9328" w14:textId="3D33932E" w:rsidR="003178D3" w:rsidRPr="004009F2" w:rsidRDefault="003178D3" w:rsidP="00F637ED">
      <w:pPr>
        <w:jc w:val="both"/>
      </w:pPr>
      <w:r w:rsidRPr="004009F2">
        <w:br/>
        <w:t>Economic feasibility of all optimized beverage formulations was determined through detailed cost-benefit analysis. The assessment incorporated costs of raw materials (fruit pulps, sweeteners), processing operations, labor charges, and expenses related to storage and packaging. These parameters were systematically calculated to determine overall production costs. Subsequently, economic viability of each formulation was assessed based on potential market returns to identify commercially feasible low-calorie guava-based beverages suitable for market introduction.</w:t>
      </w:r>
    </w:p>
    <w:p w14:paraId="42FDA80F" w14:textId="77777777" w:rsidR="00F637ED" w:rsidRPr="004009F2" w:rsidRDefault="003178D3" w:rsidP="007D40CE">
      <w:r w:rsidRPr="004009F2">
        <w:t>2.8. Statistical Analysis</w:t>
      </w:r>
    </w:p>
    <w:p w14:paraId="48B63E3F" w14:textId="2CD358AD" w:rsidR="003178D3" w:rsidRPr="004009F2" w:rsidRDefault="003178D3" w:rsidP="00F637ED">
      <w:pPr>
        <w:jc w:val="both"/>
      </w:pPr>
      <w:r w:rsidRPr="004009F2">
        <w:br/>
        <w:t xml:space="preserve">Data obtained for different variables were subjected to statistical analysis using Analysis of Variance </w:t>
      </w:r>
      <w:r w:rsidRPr="004009F2">
        <w:lastRenderedPageBreak/>
        <w:t>(ANOVA) under Complete Randomized Design (CRD) framework. The F-test was employed to determine overall significance of treatments, with calculated F-values exceeding tabulated F-values (5%) indicating significant treatment effects. For comparison of individual treatment means, Critical Difference (CD) test at 5% probability level was applied. Standard Error of Mean (SEm±), Standard Error of Difference (SEd), and Critical Difference (CD) values were calculated using established statistical procedures.</w:t>
      </w:r>
    </w:p>
    <w:p w14:paraId="127ED320" w14:textId="77777777" w:rsidR="003178D3" w:rsidRPr="004009F2" w:rsidRDefault="003178D3" w:rsidP="007D40CE">
      <w:pPr>
        <w:jc w:val="both"/>
      </w:pPr>
      <w:r w:rsidRPr="004009F2">
        <w:t xml:space="preserve">3. </w:t>
      </w:r>
      <w:r w:rsidRPr="00CB5B21">
        <w:rPr>
          <w:b/>
        </w:rPr>
        <w:t>Results and Discussion</w:t>
      </w:r>
    </w:p>
    <w:p w14:paraId="63164A14" w14:textId="77777777" w:rsidR="00F637ED" w:rsidRPr="004009F2" w:rsidRDefault="003178D3" w:rsidP="007D40CE">
      <w:r w:rsidRPr="004009F2">
        <w:t>3.1. Physicochemical Characterization and Blending Foundation</w:t>
      </w:r>
    </w:p>
    <w:p w14:paraId="26763D1B" w14:textId="18251EAB" w:rsidR="003178D3" w:rsidRPr="004009F2" w:rsidRDefault="003178D3" w:rsidP="00F637ED">
      <w:pPr>
        <w:jc w:val="both"/>
      </w:pPr>
      <w:r w:rsidRPr="004009F2">
        <w:br/>
        <w:t>The comprehensive physicochemical analysis of guava (cv. Allahabad Safeda), mulberry, jamun, phalsa, and pomegranate revealed substantial variations in morphological and compositional characteristics, providing critical insights for strategic beverage formulation (Table 1). Guava fruits demonstrated the highest average fruit weight (122.0 ± 1.3 g) among the primary blending fruits, substantially exceeding the small-fruited mulberry (2.68 ± 0.10 g), jamun (7.2 ± 0.3 g), and phalsa (4.5 ± 0.2 g). Pomegranate, as expected, showed considerably higher fruit weight (225.3 ± 7.0 g). Similar trends were observed for fruit length and width dimensions, with guava and pomegranate exhibiting significantly larger metrics, while phalsa registered the smallest parameters. These physical characteristics directly influence processing efficiency, as larger fruits typically yield higher pulp quantities and reduce labor requirements during handling, washing, and juicing operations (Hemalatha et al., 2018).</w:t>
      </w:r>
    </w:p>
    <w:p w14:paraId="2112FD6B" w14:textId="77777777" w:rsidR="003178D3" w:rsidRPr="004009F2" w:rsidRDefault="003178D3" w:rsidP="007D40CE">
      <w:pPr>
        <w:jc w:val="both"/>
      </w:pPr>
      <w:r w:rsidRPr="004009F2">
        <w:t>Juice recovery potential, a crucial parameter for beverage production efficiency, varied considerably among the fruits. Pomegranate recorded the highest juice content (72.3 ± 1.5%), closely followed by guava (70.9 ± 0.35%), indicating their superior suitability as base ingredients for beverage formulations. Mulberry and jamun demonstrated intermediate juice contents, while phalsa exhibited the lowest juice yield (57.0 ± 1.5%) coupled with the highest pomace proportion (32.0 ± 1.0%), suggesting potential challenges in economic utilization for standalone beverage production. Seed percentage displayed substantial variation, with guava containing the minimal seed proportion (4.1 ± 0.1%) and pomegranate the maximum (17.5 ± 0.6%), further influencing processing efficiency and final product quality.</w:t>
      </w:r>
    </w:p>
    <w:p w14:paraId="7090A5B8" w14:textId="77777777" w:rsidR="003178D3" w:rsidRPr="004009F2" w:rsidRDefault="003178D3" w:rsidP="007D40CE">
      <w:pPr>
        <w:jc w:val="both"/>
      </w:pPr>
      <w:r w:rsidRPr="004009F2">
        <w:t>The chemical composition analysis revealed remarkable nutritional complementarity among the fruits. Guava exhibited exceptionally high ascorbic acid content (131.5 ± 0.9 mg/100 g), surpassing pomegranate (52.8 ± 0.3 mg/100 g) by approximately 2.5-fold and phalsa (8.96 ± 0.3 mg/100 g) by nearly 15-fold. This establishes guava as a potent source of antioxidant nutrients and a primary contributor to functional beverage formulations (Bal et al., 2014). Conversely, mulberry, jamun, and phalsa demonstrated superior anthocyanin contents (135.0 ± 3.5, 85.0 ± 2.1, and 75.0 ± 2.0 mg/100 g, respectively) compared to guava's minimal levels (0.59 ± 0.01 mg/100 g). These pigmented compounds provide natural colorants and additional antioxidant benefits, creating synergistic nutritional advantages when blended with guava (Iqbal Khan et al., 2025).</w:t>
      </w:r>
    </w:p>
    <w:p w14:paraId="7832785B" w14:textId="77777777" w:rsidR="003178D3" w:rsidRPr="004009F2" w:rsidRDefault="003178D3" w:rsidP="007D40CE">
      <w:pPr>
        <w:jc w:val="both"/>
      </w:pPr>
      <w:r w:rsidRPr="004009F2">
        <w:t xml:space="preserve">The sugar-acid balance, fundamental to beverage flavor profile, showed significant diversity. Jamun and phalsa exhibited the highest soluble solids content (17.2 ± 0.4 °Brix and 16.0 ± 0.2 °Brix, respectively), imparting inherent sweetness, while guava registered the lowest TSS (10.11 ± 0.01 °Brix). Acidity levels varied dramatically, with phalsa demonstrating the highest titratable acidity (1.65 ± 0.05%), approximately four-fold greater than guava and pomegranate (both 0.42%). Total sugar content followed a similar pattern, with pomegranate (14.5 ± 0.3%) and phalsa (13.0 ± 0.4%) containing substantially higher sugar levels than guava (6.26 ± 0.01%). These compositional variations provide the </w:t>
      </w:r>
      <w:r w:rsidRPr="004009F2">
        <w:lastRenderedPageBreak/>
        <w:t>scientific basis for strategic blending, enabling the creation of beverages with balanced sweetness, optimal acidity, and enhanced functional properties while mitigating the need for extensive external ingredient supplementation (Pushpa Chethan Kumar et al., 2023).</w:t>
      </w:r>
    </w:p>
    <w:p w14:paraId="43402648" w14:textId="77777777" w:rsidR="003178D3" w:rsidRPr="004009F2" w:rsidRDefault="003178D3" w:rsidP="007D40CE">
      <w:pPr>
        <w:jc w:val="both"/>
      </w:pPr>
      <w:r w:rsidRPr="004009F2">
        <w:t>Table 1: Comprehensive Physicochemical Properties of Fruits for Beverage Development</w:t>
      </w:r>
    </w:p>
    <w:tbl>
      <w:tblPr>
        <w:tblW w:w="96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1559"/>
        <w:gridCol w:w="1469"/>
        <w:gridCol w:w="1559"/>
        <w:gridCol w:w="1559"/>
        <w:gridCol w:w="1672"/>
      </w:tblGrid>
      <w:tr w:rsidR="00366927" w:rsidRPr="004009F2" w14:paraId="723AA4DD" w14:textId="77777777" w:rsidTr="00366927">
        <w:trPr>
          <w:trHeight w:val="291"/>
          <w:tblHeader/>
        </w:trPr>
        <w:tc>
          <w:tcPr>
            <w:tcW w:w="1844" w:type="dxa"/>
            <w:tcMar>
              <w:top w:w="150" w:type="dxa"/>
              <w:left w:w="0" w:type="dxa"/>
              <w:bottom w:w="150" w:type="dxa"/>
              <w:right w:w="240" w:type="dxa"/>
            </w:tcMar>
            <w:vAlign w:val="center"/>
            <w:hideMark/>
          </w:tcPr>
          <w:p w14:paraId="0F096F4D" w14:textId="77777777" w:rsidR="003178D3" w:rsidRPr="004009F2" w:rsidRDefault="003178D3" w:rsidP="000F1647">
            <w:pPr>
              <w:spacing w:after="0" w:line="240" w:lineRule="auto"/>
              <w:jc w:val="both"/>
            </w:pPr>
            <w:r w:rsidRPr="004009F2">
              <w:t>Parameter</w:t>
            </w:r>
          </w:p>
        </w:tc>
        <w:tc>
          <w:tcPr>
            <w:tcW w:w="1559" w:type="dxa"/>
            <w:tcMar>
              <w:top w:w="150" w:type="dxa"/>
              <w:left w:w="240" w:type="dxa"/>
              <w:bottom w:w="150" w:type="dxa"/>
              <w:right w:w="240" w:type="dxa"/>
            </w:tcMar>
            <w:vAlign w:val="center"/>
            <w:hideMark/>
          </w:tcPr>
          <w:p w14:paraId="77FF99F6" w14:textId="77777777" w:rsidR="003178D3" w:rsidRPr="004009F2" w:rsidRDefault="003178D3" w:rsidP="000F1647">
            <w:pPr>
              <w:spacing w:after="0" w:line="240" w:lineRule="auto"/>
              <w:jc w:val="both"/>
            </w:pPr>
            <w:r w:rsidRPr="004009F2">
              <w:t>Guava</w:t>
            </w:r>
          </w:p>
        </w:tc>
        <w:tc>
          <w:tcPr>
            <w:tcW w:w="1469" w:type="dxa"/>
            <w:tcMar>
              <w:top w:w="150" w:type="dxa"/>
              <w:left w:w="240" w:type="dxa"/>
              <w:bottom w:w="150" w:type="dxa"/>
              <w:right w:w="240" w:type="dxa"/>
            </w:tcMar>
            <w:vAlign w:val="center"/>
            <w:hideMark/>
          </w:tcPr>
          <w:p w14:paraId="23C26D07" w14:textId="77777777" w:rsidR="003178D3" w:rsidRPr="004009F2" w:rsidRDefault="003178D3" w:rsidP="000F1647">
            <w:pPr>
              <w:spacing w:after="0" w:line="240" w:lineRule="auto"/>
              <w:jc w:val="both"/>
            </w:pPr>
            <w:r w:rsidRPr="004009F2">
              <w:t>Mulberry</w:t>
            </w:r>
          </w:p>
        </w:tc>
        <w:tc>
          <w:tcPr>
            <w:tcW w:w="1559" w:type="dxa"/>
            <w:tcMar>
              <w:top w:w="150" w:type="dxa"/>
              <w:left w:w="240" w:type="dxa"/>
              <w:bottom w:w="150" w:type="dxa"/>
              <w:right w:w="240" w:type="dxa"/>
            </w:tcMar>
            <w:vAlign w:val="center"/>
            <w:hideMark/>
          </w:tcPr>
          <w:p w14:paraId="74DD665A" w14:textId="77777777" w:rsidR="003178D3" w:rsidRPr="004009F2" w:rsidRDefault="003178D3" w:rsidP="000F1647">
            <w:pPr>
              <w:spacing w:after="0" w:line="240" w:lineRule="auto"/>
              <w:jc w:val="both"/>
            </w:pPr>
            <w:r w:rsidRPr="004009F2">
              <w:t>Jamun</w:t>
            </w:r>
          </w:p>
        </w:tc>
        <w:tc>
          <w:tcPr>
            <w:tcW w:w="1559" w:type="dxa"/>
            <w:tcMar>
              <w:top w:w="150" w:type="dxa"/>
              <w:left w:w="240" w:type="dxa"/>
              <w:bottom w:w="150" w:type="dxa"/>
              <w:right w:w="240" w:type="dxa"/>
            </w:tcMar>
            <w:vAlign w:val="center"/>
            <w:hideMark/>
          </w:tcPr>
          <w:p w14:paraId="6CAC8F77" w14:textId="77777777" w:rsidR="003178D3" w:rsidRPr="004009F2" w:rsidRDefault="003178D3" w:rsidP="000F1647">
            <w:pPr>
              <w:spacing w:after="0" w:line="240" w:lineRule="auto"/>
              <w:jc w:val="both"/>
            </w:pPr>
            <w:r w:rsidRPr="004009F2">
              <w:t>Phalsa</w:t>
            </w:r>
          </w:p>
        </w:tc>
        <w:tc>
          <w:tcPr>
            <w:tcW w:w="1672" w:type="dxa"/>
            <w:tcMar>
              <w:top w:w="150" w:type="dxa"/>
              <w:left w:w="240" w:type="dxa"/>
              <w:bottom w:w="150" w:type="dxa"/>
              <w:right w:w="240" w:type="dxa"/>
            </w:tcMar>
            <w:vAlign w:val="center"/>
            <w:hideMark/>
          </w:tcPr>
          <w:p w14:paraId="3308C357" w14:textId="77777777" w:rsidR="003178D3" w:rsidRPr="004009F2" w:rsidRDefault="003178D3" w:rsidP="000F1647">
            <w:pPr>
              <w:spacing w:after="0" w:line="240" w:lineRule="auto"/>
              <w:jc w:val="both"/>
            </w:pPr>
            <w:r w:rsidRPr="004009F2">
              <w:t>Pomegranate</w:t>
            </w:r>
          </w:p>
        </w:tc>
      </w:tr>
      <w:tr w:rsidR="00366927" w:rsidRPr="004009F2" w14:paraId="7274A2CA" w14:textId="77777777" w:rsidTr="000F1647">
        <w:trPr>
          <w:trHeight w:val="16"/>
        </w:trPr>
        <w:tc>
          <w:tcPr>
            <w:tcW w:w="1844" w:type="dxa"/>
            <w:tcMar>
              <w:top w:w="150" w:type="dxa"/>
              <w:left w:w="0" w:type="dxa"/>
              <w:bottom w:w="150" w:type="dxa"/>
              <w:right w:w="240" w:type="dxa"/>
            </w:tcMar>
            <w:vAlign w:val="center"/>
            <w:hideMark/>
          </w:tcPr>
          <w:p w14:paraId="4ED39E55" w14:textId="77777777" w:rsidR="003178D3" w:rsidRPr="004009F2" w:rsidRDefault="003178D3" w:rsidP="000F1647">
            <w:pPr>
              <w:spacing w:after="0" w:line="240" w:lineRule="auto"/>
              <w:jc w:val="both"/>
            </w:pPr>
            <w:r w:rsidRPr="004009F2">
              <w:t>Fruit Weight (g)</w:t>
            </w:r>
          </w:p>
        </w:tc>
        <w:tc>
          <w:tcPr>
            <w:tcW w:w="1559" w:type="dxa"/>
            <w:tcMar>
              <w:top w:w="150" w:type="dxa"/>
              <w:left w:w="240" w:type="dxa"/>
              <w:bottom w:w="150" w:type="dxa"/>
              <w:right w:w="240" w:type="dxa"/>
            </w:tcMar>
            <w:vAlign w:val="center"/>
            <w:hideMark/>
          </w:tcPr>
          <w:p w14:paraId="276DFA06" w14:textId="77777777" w:rsidR="003178D3" w:rsidRPr="004009F2" w:rsidRDefault="003178D3" w:rsidP="000F1647">
            <w:pPr>
              <w:spacing w:after="0" w:line="240" w:lineRule="auto"/>
              <w:jc w:val="both"/>
            </w:pPr>
            <w:r w:rsidRPr="004009F2">
              <w:t>122.0 ± 1.3</w:t>
            </w:r>
          </w:p>
        </w:tc>
        <w:tc>
          <w:tcPr>
            <w:tcW w:w="1469" w:type="dxa"/>
            <w:tcMar>
              <w:top w:w="150" w:type="dxa"/>
              <w:left w:w="240" w:type="dxa"/>
              <w:bottom w:w="150" w:type="dxa"/>
              <w:right w:w="240" w:type="dxa"/>
            </w:tcMar>
            <w:vAlign w:val="center"/>
            <w:hideMark/>
          </w:tcPr>
          <w:p w14:paraId="411D752C" w14:textId="77777777" w:rsidR="003178D3" w:rsidRPr="004009F2" w:rsidRDefault="003178D3" w:rsidP="000F1647">
            <w:pPr>
              <w:spacing w:after="0" w:line="240" w:lineRule="auto"/>
              <w:jc w:val="both"/>
            </w:pPr>
            <w:r w:rsidRPr="004009F2">
              <w:t>2.68 ± 0.10</w:t>
            </w:r>
          </w:p>
        </w:tc>
        <w:tc>
          <w:tcPr>
            <w:tcW w:w="1559" w:type="dxa"/>
            <w:tcMar>
              <w:top w:w="150" w:type="dxa"/>
              <w:left w:w="240" w:type="dxa"/>
              <w:bottom w:w="150" w:type="dxa"/>
              <w:right w:w="240" w:type="dxa"/>
            </w:tcMar>
            <w:vAlign w:val="center"/>
            <w:hideMark/>
          </w:tcPr>
          <w:p w14:paraId="2224ED48" w14:textId="77777777" w:rsidR="003178D3" w:rsidRPr="004009F2" w:rsidRDefault="003178D3" w:rsidP="000F1647">
            <w:pPr>
              <w:spacing w:after="0" w:line="240" w:lineRule="auto"/>
              <w:jc w:val="both"/>
            </w:pPr>
            <w:r w:rsidRPr="004009F2">
              <w:t>7.2 ± 0.3</w:t>
            </w:r>
          </w:p>
        </w:tc>
        <w:tc>
          <w:tcPr>
            <w:tcW w:w="1559" w:type="dxa"/>
            <w:tcMar>
              <w:top w:w="150" w:type="dxa"/>
              <w:left w:w="240" w:type="dxa"/>
              <w:bottom w:w="150" w:type="dxa"/>
              <w:right w:w="240" w:type="dxa"/>
            </w:tcMar>
            <w:vAlign w:val="center"/>
            <w:hideMark/>
          </w:tcPr>
          <w:p w14:paraId="7DAFA3E4" w14:textId="77777777" w:rsidR="003178D3" w:rsidRPr="004009F2" w:rsidRDefault="003178D3" w:rsidP="000F1647">
            <w:pPr>
              <w:spacing w:after="0" w:line="240" w:lineRule="auto"/>
              <w:jc w:val="both"/>
            </w:pPr>
            <w:r w:rsidRPr="004009F2">
              <w:t>4.5 ± 0.2</w:t>
            </w:r>
          </w:p>
        </w:tc>
        <w:tc>
          <w:tcPr>
            <w:tcW w:w="1672" w:type="dxa"/>
            <w:tcMar>
              <w:top w:w="150" w:type="dxa"/>
              <w:left w:w="240" w:type="dxa"/>
              <w:bottom w:w="150" w:type="dxa"/>
              <w:right w:w="0" w:type="dxa"/>
            </w:tcMar>
            <w:vAlign w:val="center"/>
            <w:hideMark/>
          </w:tcPr>
          <w:p w14:paraId="562F5FA2" w14:textId="77777777" w:rsidR="003178D3" w:rsidRPr="004009F2" w:rsidRDefault="003178D3" w:rsidP="000F1647">
            <w:pPr>
              <w:spacing w:after="0" w:line="240" w:lineRule="auto"/>
              <w:jc w:val="both"/>
            </w:pPr>
            <w:r w:rsidRPr="004009F2">
              <w:t>225.3 ± 7.0</w:t>
            </w:r>
          </w:p>
        </w:tc>
      </w:tr>
      <w:tr w:rsidR="00366927" w:rsidRPr="004009F2" w14:paraId="00395BE8" w14:textId="77777777" w:rsidTr="000F1647">
        <w:trPr>
          <w:trHeight w:val="119"/>
        </w:trPr>
        <w:tc>
          <w:tcPr>
            <w:tcW w:w="1844" w:type="dxa"/>
            <w:tcMar>
              <w:top w:w="150" w:type="dxa"/>
              <w:left w:w="0" w:type="dxa"/>
              <w:bottom w:w="150" w:type="dxa"/>
              <w:right w:w="240" w:type="dxa"/>
            </w:tcMar>
            <w:vAlign w:val="center"/>
            <w:hideMark/>
          </w:tcPr>
          <w:p w14:paraId="7F961085" w14:textId="77777777" w:rsidR="003178D3" w:rsidRPr="004009F2" w:rsidRDefault="003178D3" w:rsidP="000F1647">
            <w:pPr>
              <w:spacing w:after="0" w:line="240" w:lineRule="auto"/>
              <w:jc w:val="both"/>
            </w:pPr>
            <w:r w:rsidRPr="004009F2">
              <w:t>Juice Content (%)</w:t>
            </w:r>
          </w:p>
        </w:tc>
        <w:tc>
          <w:tcPr>
            <w:tcW w:w="1559" w:type="dxa"/>
            <w:tcMar>
              <w:top w:w="150" w:type="dxa"/>
              <w:left w:w="240" w:type="dxa"/>
              <w:bottom w:w="150" w:type="dxa"/>
              <w:right w:w="240" w:type="dxa"/>
            </w:tcMar>
            <w:vAlign w:val="center"/>
            <w:hideMark/>
          </w:tcPr>
          <w:p w14:paraId="3B04C94F" w14:textId="77777777" w:rsidR="003178D3" w:rsidRPr="004009F2" w:rsidRDefault="003178D3" w:rsidP="000F1647">
            <w:pPr>
              <w:spacing w:after="0" w:line="240" w:lineRule="auto"/>
              <w:jc w:val="both"/>
            </w:pPr>
            <w:r w:rsidRPr="004009F2">
              <w:t>70.9 ± 0.35</w:t>
            </w:r>
          </w:p>
        </w:tc>
        <w:tc>
          <w:tcPr>
            <w:tcW w:w="1469" w:type="dxa"/>
            <w:tcMar>
              <w:top w:w="150" w:type="dxa"/>
              <w:left w:w="240" w:type="dxa"/>
              <w:bottom w:w="150" w:type="dxa"/>
              <w:right w:w="240" w:type="dxa"/>
            </w:tcMar>
            <w:vAlign w:val="center"/>
            <w:hideMark/>
          </w:tcPr>
          <w:p w14:paraId="41ABB371" w14:textId="77777777" w:rsidR="003178D3" w:rsidRPr="004009F2" w:rsidRDefault="003178D3" w:rsidP="000F1647">
            <w:pPr>
              <w:spacing w:after="0" w:line="240" w:lineRule="auto"/>
              <w:jc w:val="both"/>
            </w:pPr>
            <w:r w:rsidRPr="004009F2">
              <w:t>65.0 ± 1.2</w:t>
            </w:r>
          </w:p>
        </w:tc>
        <w:tc>
          <w:tcPr>
            <w:tcW w:w="1559" w:type="dxa"/>
            <w:tcMar>
              <w:top w:w="150" w:type="dxa"/>
              <w:left w:w="240" w:type="dxa"/>
              <w:bottom w:w="150" w:type="dxa"/>
              <w:right w:w="240" w:type="dxa"/>
            </w:tcMar>
            <w:vAlign w:val="center"/>
            <w:hideMark/>
          </w:tcPr>
          <w:p w14:paraId="730FC46C" w14:textId="77777777" w:rsidR="003178D3" w:rsidRPr="004009F2" w:rsidRDefault="003178D3" w:rsidP="000F1647">
            <w:pPr>
              <w:spacing w:after="0" w:line="240" w:lineRule="auto"/>
              <w:jc w:val="both"/>
            </w:pPr>
            <w:r w:rsidRPr="004009F2">
              <w:t>62.5 ± 1.0</w:t>
            </w:r>
          </w:p>
        </w:tc>
        <w:tc>
          <w:tcPr>
            <w:tcW w:w="1559" w:type="dxa"/>
            <w:tcMar>
              <w:top w:w="150" w:type="dxa"/>
              <w:left w:w="240" w:type="dxa"/>
              <w:bottom w:w="150" w:type="dxa"/>
              <w:right w:w="240" w:type="dxa"/>
            </w:tcMar>
            <w:vAlign w:val="center"/>
            <w:hideMark/>
          </w:tcPr>
          <w:p w14:paraId="3EEF634A" w14:textId="77777777" w:rsidR="003178D3" w:rsidRPr="004009F2" w:rsidRDefault="003178D3" w:rsidP="000F1647">
            <w:pPr>
              <w:spacing w:after="0" w:line="240" w:lineRule="auto"/>
              <w:jc w:val="both"/>
            </w:pPr>
            <w:r w:rsidRPr="004009F2">
              <w:t>57.0 ± 1.5</w:t>
            </w:r>
          </w:p>
        </w:tc>
        <w:tc>
          <w:tcPr>
            <w:tcW w:w="1672" w:type="dxa"/>
            <w:tcMar>
              <w:top w:w="150" w:type="dxa"/>
              <w:left w:w="240" w:type="dxa"/>
              <w:bottom w:w="150" w:type="dxa"/>
              <w:right w:w="0" w:type="dxa"/>
            </w:tcMar>
            <w:vAlign w:val="center"/>
            <w:hideMark/>
          </w:tcPr>
          <w:p w14:paraId="00C0D1B2" w14:textId="77777777" w:rsidR="003178D3" w:rsidRPr="004009F2" w:rsidRDefault="003178D3" w:rsidP="000F1647">
            <w:pPr>
              <w:spacing w:after="0" w:line="240" w:lineRule="auto"/>
              <w:jc w:val="both"/>
            </w:pPr>
            <w:r w:rsidRPr="004009F2">
              <w:t>72.3 ± 1.5</w:t>
            </w:r>
          </w:p>
        </w:tc>
      </w:tr>
      <w:tr w:rsidR="00366927" w:rsidRPr="004009F2" w14:paraId="0A6754AB" w14:textId="77777777" w:rsidTr="000F1647">
        <w:trPr>
          <w:trHeight w:val="99"/>
        </w:trPr>
        <w:tc>
          <w:tcPr>
            <w:tcW w:w="1844" w:type="dxa"/>
            <w:tcMar>
              <w:top w:w="150" w:type="dxa"/>
              <w:left w:w="0" w:type="dxa"/>
              <w:bottom w:w="150" w:type="dxa"/>
              <w:right w:w="240" w:type="dxa"/>
            </w:tcMar>
            <w:vAlign w:val="center"/>
            <w:hideMark/>
          </w:tcPr>
          <w:p w14:paraId="33877646" w14:textId="77777777" w:rsidR="003178D3" w:rsidRPr="004009F2" w:rsidRDefault="003178D3" w:rsidP="000F1647">
            <w:pPr>
              <w:spacing w:after="0" w:line="240" w:lineRule="auto"/>
              <w:jc w:val="both"/>
            </w:pPr>
            <w:r w:rsidRPr="004009F2">
              <w:t>TSS (°Brix)</w:t>
            </w:r>
          </w:p>
        </w:tc>
        <w:tc>
          <w:tcPr>
            <w:tcW w:w="1559" w:type="dxa"/>
            <w:tcMar>
              <w:top w:w="150" w:type="dxa"/>
              <w:left w:w="240" w:type="dxa"/>
              <w:bottom w:w="150" w:type="dxa"/>
              <w:right w:w="240" w:type="dxa"/>
            </w:tcMar>
            <w:vAlign w:val="center"/>
            <w:hideMark/>
          </w:tcPr>
          <w:p w14:paraId="6ED13A19" w14:textId="77777777" w:rsidR="003178D3" w:rsidRPr="004009F2" w:rsidRDefault="003178D3" w:rsidP="000F1647">
            <w:pPr>
              <w:spacing w:after="0" w:line="240" w:lineRule="auto"/>
              <w:jc w:val="both"/>
            </w:pPr>
            <w:r w:rsidRPr="004009F2">
              <w:t>10.11 ± 0.01</w:t>
            </w:r>
          </w:p>
        </w:tc>
        <w:tc>
          <w:tcPr>
            <w:tcW w:w="1469" w:type="dxa"/>
            <w:tcMar>
              <w:top w:w="150" w:type="dxa"/>
              <w:left w:w="240" w:type="dxa"/>
              <w:bottom w:w="150" w:type="dxa"/>
              <w:right w:w="240" w:type="dxa"/>
            </w:tcMar>
            <w:vAlign w:val="center"/>
            <w:hideMark/>
          </w:tcPr>
          <w:p w14:paraId="6BAEBD47" w14:textId="77777777" w:rsidR="003178D3" w:rsidRPr="004009F2" w:rsidRDefault="003178D3" w:rsidP="000F1647">
            <w:pPr>
              <w:spacing w:after="0" w:line="240" w:lineRule="auto"/>
              <w:jc w:val="both"/>
            </w:pPr>
            <w:r w:rsidRPr="004009F2">
              <w:t>14.5 ± 0.3</w:t>
            </w:r>
          </w:p>
        </w:tc>
        <w:tc>
          <w:tcPr>
            <w:tcW w:w="1559" w:type="dxa"/>
            <w:tcMar>
              <w:top w:w="150" w:type="dxa"/>
              <w:left w:w="240" w:type="dxa"/>
              <w:bottom w:w="150" w:type="dxa"/>
              <w:right w:w="240" w:type="dxa"/>
            </w:tcMar>
            <w:vAlign w:val="center"/>
            <w:hideMark/>
          </w:tcPr>
          <w:p w14:paraId="29A031B9" w14:textId="77777777" w:rsidR="003178D3" w:rsidRPr="004009F2" w:rsidRDefault="003178D3" w:rsidP="000F1647">
            <w:pPr>
              <w:spacing w:after="0" w:line="240" w:lineRule="auto"/>
              <w:jc w:val="both"/>
            </w:pPr>
            <w:r w:rsidRPr="004009F2">
              <w:t>17.2 ± 0.4</w:t>
            </w:r>
          </w:p>
        </w:tc>
        <w:tc>
          <w:tcPr>
            <w:tcW w:w="1559" w:type="dxa"/>
            <w:tcMar>
              <w:top w:w="150" w:type="dxa"/>
              <w:left w:w="240" w:type="dxa"/>
              <w:bottom w:w="150" w:type="dxa"/>
              <w:right w:w="240" w:type="dxa"/>
            </w:tcMar>
            <w:vAlign w:val="center"/>
            <w:hideMark/>
          </w:tcPr>
          <w:p w14:paraId="01A05376" w14:textId="77777777" w:rsidR="003178D3" w:rsidRPr="004009F2" w:rsidRDefault="003178D3" w:rsidP="000F1647">
            <w:pPr>
              <w:spacing w:after="0" w:line="240" w:lineRule="auto"/>
              <w:jc w:val="both"/>
            </w:pPr>
            <w:r w:rsidRPr="004009F2">
              <w:t>16.0 ± 0.2</w:t>
            </w:r>
          </w:p>
        </w:tc>
        <w:tc>
          <w:tcPr>
            <w:tcW w:w="1672" w:type="dxa"/>
            <w:tcMar>
              <w:top w:w="150" w:type="dxa"/>
              <w:left w:w="240" w:type="dxa"/>
              <w:bottom w:w="150" w:type="dxa"/>
              <w:right w:w="0" w:type="dxa"/>
            </w:tcMar>
            <w:vAlign w:val="center"/>
            <w:hideMark/>
          </w:tcPr>
          <w:p w14:paraId="7EAE93C1" w14:textId="77777777" w:rsidR="003178D3" w:rsidRPr="004009F2" w:rsidRDefault="003178D3" w:rsidP="000F1647">
            <w:pPr>
              <w:spacing w:after="0" w:line="240" w:lineRule="auto"/>
              <w:jc w:val="both"/>
            </w:pPr>
            <w:r w:rsidRPr="004009F2">
              <w:t>15.5 ± 0.3</w:t>
            </w:r>
          </w:p>
        </w:tc>
      </w:tr>
      <w:tr w:rsidR="00366927" w:rsidRPr="004009F2" w14:paraId="054A829C" w14:textId="77777777" w:rsidTr="000F1647">
        <w:trPr>
          <w:trHeight w:val="16"/>
        </w:trPr>
        <w:tc>
          <w:tcPr>
            <w:tcW w:w="1844" w:type="dxa"/>
            <w:tcMar>
              <w:top w:w="150" w:type="dxa"/>
              <w:left w:w="0" w:type="dxa"/>
              <w:bottom w:w="150" w:type="dxa"/>
              <w:right w:w="240" w:type="dxa"/>
            </w:tcMar>
            <w:vAlign w:val="center"/>
            <w:hideMark/>
          </w:tcPr>
          <w:p w14:paraId="3927E562" w14:textId="77777777" w:rsidR="003178D3" w:rsidRPr="004009F2" w:rsidRDefault="003178D3" w:rsidP="000F1647">
            <w:pPr>
              <w:spacing w:after="0" w:line="240" w:lineRule="auto"/>
              <w:jc w:val="both"/>
            </w:pPr>
            <w:r w:rsidRPr="004009F2">
              <w:t>Acidity (%)</w:t>
            </w:r>
          </w:p>
        </w:tc>
        <w:tc>
          <w:tcPr>
            <w:tcW w:w="1559" w:type="dxa"/>
            <w:tcMar>
              <w:top w:w="150" w:type="dxa"/>
              <w:left w:w="240" w:type="dxa"/>
              <w:bottom w:w="150" w:type="dxa"/>
              <w:right w:w="240" w:type="dxa"/>
            </w:tcMar>
            <w:vAlign w:val="center"/>
            <w:hideMark/>
          </w:tcPr>
          <w:p w14:paraId="4A97C275" w14:textId="77777777" w:rsidR="003178D3" w:rsidRPr="004009F2" w:rsidRDefault="003178D3" w:rsidP="000F1647">
            <w:pPr>
              <w:spacing w:after="0" w:line="240" w:lineRule="auto"/>
              <w:jc w:val="both"/>
            </w:pPr>
            <w:r w:rsidRPr="004009F2">
              <w:t>0.42 ± 0.05</w:t>
            </w:r>
          </w:p>
        </w:tc>
        <w:tc>
          <w:tcPr>
            <w:tcW w:w="1469" w:type="dxa"/>
            <w:tcMar>
              <w:top w:w="150" w:type="dxa"/>
              <w:left w:w="240" w:type="dxa"/>
              <w:bottom w:w="150" w:type="dxa"/>
              <w:right w:w="240" w:type="dxa"/>
            </w:tcMar>
            <w:vAlign w:val="center"/>
            <w:hideMark/>
          </w:tcPr>
          <w:p w14:paraId="3B0BE4E3" w14:textId="77777777" w:rsidR="003178D3" w:rsidRPr="004009F2" w:rsidRDefault="003178D3" w:rsidP="000F1647">
            <w:pPr>
              <w:spacing w:after="0" w:line="240" w:lineRule="auto"/>
              <w:jc w:val="both"/>
            </w:pPr>
            <w:r w:rsidRPr="004009F2">
              <w:t>1.05 ± 0.03</w:t>
            </w:r>
          </w:p>
        </w:tc>
        <w:tc>
          <w:tcPr>
            <w:tcW w:w="1559" w:type="dxa"/>
            <w:tcMar>
              <w:top w:w="150" w:type="dxa"/>
              <w:left w:w="240" w:type="dxa"/>
              <w:bottom w:w="150" w:type="dxa"/>
              <w:right w:w="240" w:type="dxa"/>
            </w:tcMar>
            <w:vAlign w:val="center"/>
            <w:hideMark/>
          </w:tcPr>
          <w:p w14:paraId="52589EE6" w14:textId="77777777" w:rsidR="003178D3" w:rsidRPr="004009F2" w:rsidRDefault="003178D3" w:rsidP="000F1647">
            <w:pPr>
              <w:spacing w:after="0" w:line="240" w:lineRule="auto"/>
              <w:jc w:val="both"/>
            </w:pPr>
            <w:r w:rsidRPr="004009F2">
              <w:t>0.95 ± 0.02</w:t>
            </w:r>
          </w:p>
        </w:tc>
        <w:tc>
          <w:tcPr>
            <w:tcW w:w="1559" w:type="dxa"/>
            <w:tcMar>
              <w:top w:w="150" w:type="dxa"/>
              <w:left w:w="240" w:type="dxa"/>
              <w:bottom w:w="150" w:type="dxa"/>
              <w:right w:w="240" w:type="dxa"/>
            </w:tcMar>
            <w:vAlign w:val="center"/>
            <w:hideMark/>
          </w:tcPr>
          <w:p w14:paraId="2CD4AD81" w14:textId="77777777" w:rsidR="003178D3" w:rsidRPr="004009F2" w:rsidRDefault="003178D3" w:rsidP="000F1647">
            <w:pPr>
              <w:spacing w:after="0" w:line="240" w:lineRule="auto"/>
              <w:jc w:val="both"/>
            </w:pPr>
            <w:r w:rsidRPr="004009F2">
              <w:t>1.65 ± 0.05</w:t>
            </w:r>
          </w:p>
        </w:tc>
        <w:tc>
          <w:tcPr>
            <w:tcW w:w="1672" w:type="dxa"/>
            <w:tcMar>
              <w:top w:w="150" w:type="dxa"/>
              <w:left w:w="240" w:type="dxa"/>
              <w:bottom w:w="150" w:type="dxa"/>
              <w:right w:w="0" w:type="dxa"/>
            </w:tcMar>
            <w:vAlign w:val="center"/>
            <w:hideMark/>
          </w:tcPr>
          <w:p w14:paraId="7611006E" w14:textId="77777777" w:rsidR="003178D3" w:rsidRPr="004009F2" w:rsidRDefault="003178D3" w:rsidP="000F1647">
            <w:pPr>
              <w:spacing w:after="0" w:line="240" w:lineRule="auto"/>
              <w:jc w:val="both"/>
            </w:pPr>
            <w:r w:rsidRPr="004009F2">
              <w:t>0.42 ± 0.02</w:t>
            </w:r>
          </w:p>
        </w:tc>
      </w:tr>
      <w:tr w:rsidR="00366927" w:rsidRPr="004009F2" w14:paraId="3848E47D" w14:textId="77777777" w:rsidTr="000F1647">
        <w:trPr>
          <w:trHeight w:val="229"/>
        </w:trPr>
        <w:tc>
          <w:tcPr>
            <w:tcW w:w="1844" w:type="dxa"/>
            <w:tcMar>
              <w:top w:w="150" w:type="dxa"/>
              <w:left w:w="0" w:type="dxa"/>
              <w:bottom w:w="150" w:type="dxa"/>
              <w:right w:w="240" w:type="dxa"/>
            </w:tcMar>
            <w:vAlign w:val="center"/>
            <w:hideMark/>
          </w:tcPr>
          <w:p w14:paraId="16815DE3" w14:textId="77777777" w:rsidR="003178D3" w:rsidRPr="004009F2" w:rsidRDefault="003178D3" w:rsidP="000F1647">
            <w:pPr>
              <w:spacing w:after="0" w:line="240" w:lineRule="auto"/>
              <w:jc w:val="both"/>
            </w:pPr>
            <w:r w:rsidRPr="004009F2">
              <w:t>Ascorbic Acid (mg/100g)</w:t>
            </w:r>
          </w:p>
        </w:tc>
        <w:tc>
          <w:tcPr>
            <w:tcW w:w="1559" w:type="dxa"/>
            <w:tcMar>
              <w:top w:w="150" w:type="dxa"/>
              <w:left w:w="240" w:type="dxa"/>
              <w:bottom w:w="150" w:type="dxa"/>
              <w:right w:w="240" w:type="dxa"/>
            </w:tcMar>
            <w:vAlign w:val="center"/>
            <w:hideMark/>
          </w:tcPr>
          <w:p w14:paraId="7BFB7E51" w14:textId="77777777" w:rsidR="003178D3" w:rsidRPr="004009F2" w:rsidRDefault="003178D3" w:rsidP="000F1647">
            <w:pPr>
              <w:spacing w:after="0" w:line="240" w:lineRule="auto"/>
              <w:jc w:val="both"/>
            </w:pPr>
            <w:r w:rsidRPr="004009F2">
              <w:t>131.5 ± 0.9</w:t>
            </w:r>
          </w:p>
        </w:tc>
        <w:tc>
          <w:tcPr>
            <w:tcW w:w="1469" w:type="dxa"/>
            <w:tcMar>
              <w:top w:w="150" w:type="dxa"/>
              <w:left w:w="240" w:type="dxa"/>
              <w:bottom w:w="150" w:type="dxa"/>
              <w:right w:w="240" w:type="dxa"/>
            </w:tcMar>
            <w:vAlign w:val="center"/>
            <w:hideMark/>
          </w:tcPr>
          <w:p w14:paraId="7A29D3BF" w14:textId="77777777" w:rsidR="003178D3" w:rsidRPr="004009F2" w:rsidRDefault="003178D3" w:rsidP="000F1647">
            <w:pPr>
              <w:spacing w:after="0" w:line="240" w:lineRule="auto"/>
              <w:jc w:val="both"/>
            </w:pPr>
            <w:r w:rsidRPr="004009F2">
              <w:t>25.5 ± 0.5</w:t>
            </w:r>
          </w:p>
        </w:tc>
        <w:tc>
          <w:tcPr>
            <w:tcW w:w="1559" w:type="dxa"/>
            <w:tcMar>
              <w:top w:w="150" w:type="dxa"/>
              <w:left w:w="240" w:type="dxa"/>
              <w:bottom w:w="150" w:type="dxa"/>
              <w:right w:w="240" w:type="dxa"/>
            </w:tcMar>
            <w:vAlign w:val="center"/>
            <w:hideMark/>
          </w:tcPr>
          <w:p w14:paraId="31AD3D00" w14:textId="77777777" w:rsidR="003178D3" w:rsidRPr="004009F2" w:rsidRDefault="003178D3" w:rsidP="000F1647">
            <w:pPr>
              <w:spacing w:after="0" w:line="240" w:lineRule="auto"/>
              <w:jc w:val="both"/>
            </w:pPr>
            <w:r w:rsidRPr="004009F2">
              <w:t>18.5 ± 0.4</w:t>
            </w:r>
          </w:p>
        </w:tc>
        <w:tc>
          <w:tcPr>
            <w:tcW w:w="1559" w:type="dxa"/>
            <w:tcMar>
              <w:top w:w="150" w:type="dxa"/>
              <w:left w:w="240" w:type="dxa"/>
              <w:bottom w:w="150" w:type="dxa"/>
              <w:right w:w="240" w:type="dxa"/>
            </w:tcMar>
            <w:vAlign w:val="center"/>
            <w:hideMark/>
          </w:tcPr>
          <w:p w14:paraId="5E09F128" w14:textId="77777777" w:rsidR="003178D3" w:rsidRPr="004009F2" w:rsidRDefault="003178D3" w:rsidP="000F1647">
            <w:pPr>
              <w:spacing w:after="0" w:line="240" w:lineRule="auto"/>
              <w:jc w:val="both"/>
            </w:pPr>
            <w:r w:rsidRPr="004009F2">
              <w:t>8.96 ± 0.3</w:t>
            </w:r>
          </w:p>
        </w:tc>
        <w:tc>
          <w:tcPr>
            <w:tcW w:w="1672" w:type="dxa"/>
            <w:tcMar>
              <w:top w:w="150" w:type="dxa"/>
              <w:left w:w="240" w:type="dxa"/>
              <w:bottom w:w="150" w:type="dxa"/>
              <w:right w:w="0" w:type="dxa"/>
            </w:tcMar>
            <w:vAlign w:val="center"/>
            <w:hideMark/>
          </w:tcPr>
          <w:p w14:paraId="3E75624C" w14:textId="77777777" w:rsidR="003178D3" w:rsidRPr="004009F2" w:rsidRDefault="003178D3" w:rsidP="000F1647">
            <w:pPr>
              <w:spacing w:after="0" w:line="240" w:lineRule="auto"/>
              <w:jc w:val="both"/>
            </w:pPr>
            <w:r w:rsidRPr="004009F2">
              <w:t>52.8 ± 0.3</w:t>
            </w:r>
          </w:p>
        </w:tc>
      </w:tr>
      <w:tr w:rsidR="00366927" w:rsidRPr="004009F2" w14:paraId="1B8DDF76" w14:textId="77777777" w:rsidTr="000F1647">
        <w:trPr>
          <w:trHeight w:val="85"/>
        </w:trPr>
        <w:tc>
          <w:tcPr>
            <w:tcW w:w="1844" w:type="dxa"/>
            <w:tcMar>
              <w:top w:w="150" w:type="dxa"/>
              <w:left w:w="0" w:type="dxa"/>
              <w:bottom w:w="150" w:type="dxa"/>
              <w:right w:w="240" w:type="dxa"/>
            </w:tcMar>
            <w:vAlign w:val="center"/>
            <w:hideMark/>
          </w:tcPr>
          <w:p w14:paraId="5F7251F2" w14:textId="77777777" w:rsidR="003178D3" w:rsidRPr="004009F2" w:rsidRDefault="003178D3" w:rsidP="000F1647">
            <w:pPr>
              <w:spacing w:after="0" w:line="240" w:lineRule="auto"/>
              <w:jc w:val="both"/>
            </w:pPr>
            <w:r w:rsidRPr="004009F2">
              <w:t>Anthocyanin (mg/100g)</w:t>
            </w:r>
          </w:p>
        </w:tc>
        <w:tc>
          <w:tcPr>
            <w:tcW w:w="1559" w:type="dxa"/>
            <w:tcMar>
              <w:top w:w="150" w:type="dxa"/>
              <w:left w:w="240" w:type="dxa"/>
              <w:bottom w:w="150" w:type="dxa"/>
              <w:right w:w="240" w:type="dxa"/>
            </w:tcMar>
            <w:vAlign w:val="center"/>
            <w:hideMark/>
          </w:tcPr>
          <w:p w14:paraId="3FBE9624" w14:textId="77777777" w:rsidR="003178D3" w:rsidRPr="004009F2" w:rsidRDefault="003178D3" w:rsidP="000F1647">
            <w:pPr>
              <w:spacing w:after="0" w:line="240" w:lineRule="auto"/>
              <w:jc w:val="both"/>
            </w:pPr>
            <w:r w:rsidRPr="004009F2">
              <w:t>0.59 ± 0.01</w:t>
            </w:r>
          </w:p>
        </w:tc>
        <w:tc>
          <w:tcPr>
            <w:tcW w:w="1469" w:type="dxa"/>
            <w:tcMar>
              <w:top w:w="150" w:type="dxa"/>
              <w:left w:w="240" w:type="dxa"/>
              <w:bottom w:w="150" w:type="dxa"/>
              <w:right w:w="240" w:type="dxa"/>
            </w:tcMar>
            <w:vAlign w:val="center"/>
            <w:hideMark/>
          </w:tcPr>
          <w:p w14:paraId="0D92CC22" w14:textId="77777777" w:rsidR="003178D3" w:rsidRPr="004009F2" w:rsidRDefault="003178D3" w:rsidP="000F1647">
            <w:pPr>
              <w:spacing w:after="0" w:line="240" w:lineRule="auto"/>
              <w:jc w:val="both"/>
            </w:pPr>
            <w:r w:rsidRPr="004009F2">
              <w:t>135.0 ± 3.5</w:t>
            </w:r>
          </w:p>
        </w:tc>
        <w:tc>
          <w:tcPr>
            <w:tcW w:w="1559" w:type="dxa"/>
            <w:tcMar>
              <w:top w:w="150" w:type="dxa"/>
              <w:left w:w="240" w:type="dxa"/>
              <w:bottom w:w="150" w:type="dxa"/>
              <w:right w:w="240" w:type="dxa"/>
            </w:tcMar>
            <w:vAlign w:val="center"/>
            <w:hideMark/>
          </w:tcPr>
          <w:p w14:paraId="53ADDACA" w14:textId="77777777" w:rsidR="003178D3" w:rsidRPr="004009F2" w:rsidRDefault="003178D3" w:rsidP="000F1647">
            <w:pPr>
              <w:spacing w:after="0" w:line="240" w:lineRule="auto"/>
              <w:jc w:val="both"/>
            </w:pPr>
            <w:r w:rsidRPr="004009F2">
              <w:t>85.0 ± 2.1</w:t>
            </w:r>
          </w:p>
        </w:tc>
        <w:tc>
          <w:tcPr>
            <w:tcW w:w="1559" w:type="dxa"/>
            <w:tcMar>
              <w:top w:w="150" w:type="dxa"/>
              <w:left w:w="240" w:type="dxa"/>
              <w:bottom w:w="150" w:type="dxa"/>
              <w:right w:w="240" w:type="dxa"/>
            </w:tcMar>
            <w:vAlign w:val="center"/>
            <w:hideMark/>
          </w:tcPr>
          <w:p w14:paraId="4FAF5831" w14:textId="77777777" w:rsidR="003178D3" w:rsidRPr="004009F2" w:rsidRDefault="003178D3" w:rsidP="000F1647">
            <w:pPr>
              <w:spacing w:after="0" w:line="240" w:lineRule="auto"/>
              <w:jc w:val="both"/>
            </w:pPr>
            <w:r w:rsidRPr="004009F2">
              <w:t>75.0 ± 2.0</w:t>
            </w:r>
          </w:p>
        </w:tc>
        <w:tc>
          <w:tcPr>
            <w:tcW w:w="1672" w:type="dxa"/>
            <w:tcMar>
              <w:top w:w="150" w:type="dxa"/>
              <w:left w:w="240" w:type="dxa"/>
              <w:bottom w:w="150" w:type="dxa"/>
              <w:right w:w="0" w:type="dxa"/>
            </w:tcMar>
            <w:vAlign w:val="center"/>
            <w:hideMark/>
          </w:tcPr>
          <w:p w14:paraId="14D71D5B" w14:textId="77777777" w:rsidR="003178D3" w:rsidRPr="004009F2" w:rsidRDefault="003178D3" w:rsidP="000F1647">
            <w:pPr>
              <w:spacing w:after="0" w:line="240" w:lineRule="auto"/>
              <w:jc w:val="both"/>
            </w:pPr>
            <w:r w:rsidRPr="004009F2">
              <w:t>5.5 ± 0.2</w:t>
            </w:r>
          </w:p>
        </w:tc>
      </w:tr>
      <w:tr w:rsidR="00366927" w:rsidRPr="004009F2" w14:paraId="4EFF1DB8" w14:textId="77777777" w:rsidTr="000F1647">
        <w:trPr>
          <w:trHeight w:val="16"/>
        </w:trPr>
        <w:tc>
          <w:tcPr>
            <w:tcW w:w="1844" w:type="dxa"/>
            <w:tcMar>
              <w:top w:w="150" w:type="dxa"/>
              <w:left w:w="0" w:type="dxa"/>
              <w:bottom w:w="150" w:type="dxa"/>
              <w:right w:w="240" w:type="dxa"/>
            </w:tcMar>
            <w:vAlign w:val="center"/>
            <w:hideMark/>
          </w:tcPr>
          <w:p w14:paraId="2CC27C92" w14:textId="77777777" w:rsidR="003178D3" w:rsidRPr="004009F2" w:rsidRDefault="003178D3" w:rsidP="000F1647">
            <w:pPr>
              <w:spacing w:after="0" w:line="240" w:lineRule="auto"/>
              <w:jc w:val="both"/>
            </w:pPr>
            <w:r w:rsidRPr="004009F2">
              <w:t>Total Sugars (%)</w:t>
            </w:r>
          </w:p>
        </w:tc>
        <w:tc>
          <w:tcPr>
            <w:tcW w:w="1559" w:type="dxa"/>
            <w:tcMar>
              <w:top w:w="150" w:type="dxa"/>
              <w:left w:w="240" w:type="dxa"/>
              <w:bottom w:w="150" w:type="dxa"/>
              <w:right w:w="240" w:type="dxa"/>
            </w:tcMar>
            <w:vAlign w:val="center"/>
            <w:hideMark/>
          </w:tcPr>
          <w:p w14:paraId="3C31CA8D" w14:textId="77777777" w:rsidR="003178D3" w:rsidRPr="004009F2" w:rsidRDefault="003178D3" w:rsidP="000F1647">
            <w:pPr>
              <w:spacing w:after="0" w:line="240" w:lineRule="auto"/>
              <w:jc w:val="both"/>
            </w:pPr>
            <w:r w:rsidRPr="004009F2">
              <w:t>6.26 ± 0.01</w:t>
            </w:r>
          </w:p>
        </w:tc>
        <w:tc>
          <w:tcPr>
            <w:tcW w:w="1469" w:type="dxa"/>
            <w:tcMar>
              <w:top w:w="150" w:type="dxa"/>
              <w:left w:w="240" w:type="dxa"/>
              <w:bottom w:w="150" w:type="dxa"/>
              <w:right w:w="240" w:type="dxa"/>
            </w:tcMar>
            <w:vAlign w:val="center"/>
            <w:hideMark/>
          </w:tcPr>
          <w:p w14:paraId="5D345112" w14:textId="77777777" w:rsidR="003178D3" w:rsidRPr="004009F2" w:rsidRDefault="003178D3" w:rsidP="000F1647">
            <w:pPr>
              <w:spacing w:after="0" w:line="240" w:lineRule="auto"/>
              <w:jc w:val="both"/>
            </w:pPr>
            <w:r w:rsidRPr="004009F2">
              <w:t>10.5 ± 0.3</w:t>
            </w:r>
          </w:p>
        </w:tc>
        <w:tc>
          <w:tcPr>
            <w:tcW w:w="1559" w:type="dxa"/>
            <w:tcMar>
              <w:top w:w="150" w:type="dxa"/>
              <w:left w:w="240" w:type="dxa"/>
              <w:bottom w:w="150" w:type="dxa"/>
              <w:right w:w="240" w:type="dxa"/>
            </w:tcMar>
            <w:vAlign w:val="center"/>
            <w:hideMark/>
          </w:tcPr>
          <w:p w14:paraId="3B17152D" w14:textId="77777777" w:rsidR="003178D3" w:rsidRPr="004009F2" w:rsidRDefault="003178D3" w:rsidP="000F1647">
            <w:pPr>
              <w:spacing w:after="0" w:line="240" w:lineRule="auto"/>
              <w:jc w:val="both"/>
            </w:pPr>
            <w:r w:rsidRPr="004009F2">
              <w:t>11.5 ± 0.3</w:t>
            </w:r>
          </w:p>
        </w:tc>
        <w:tc>
          <w:tcPr>
            <w:tcW w:w="1559" w:type="dxa"/>
            <w:tcMar>
              <w:top w:w="150" w:type="dxa"/>
              <w:left w:w="240" w:type="dxa"/>
              <w:bottom w:w="150" w:type="dxa"/>
              <w:right w:w="240" w:type="dxa"/>
            </w:tcMar>
            <w:vAlign w:val="center"/>
            <w:hideMark/>
          </w:tcPr>
          <w:p w14:paraId="7F943FED" w14:textId="77777777" w:rsidR="003178D3" w:rsidRPr="004009F2" w:rsidRDefault="003178D3" w:rsidP="000F1647">
            <w:pPr>
              <w:spacing w:after="0" w:line="240" w:lineRule="auto"/>
              <w:jc w:val="both"/>
            </w:pPr>
            <w:r w:rsidRPr="004009F2">
              <w:t>13.0 ± 0.4</w:t>
            </w:r>
          </w:p>
        </w:tc>
        <w:tc>
          <w:tcPr>
            <w:tcW w:w="1672" w:type="dxa"/>
            <w:tcMar>
              <w:top w:w="150" w:type="dxa"/>
              <w:left w:w="240" w:type="dxa"/>
              <w:bottom w:w="150" w:type="dxa"/>
              <w:right w:w="0" w:type="dxa"/>
            </w:tcMar>
            <w:vAlign w:val="center"/>
            <w:hideMark/>
          </w:tcPr>
          <w:p w14:paraId="75656C78" w14:textId="77777777" w:rsidR="003178D3" w:rsidRPr="004009F2" w:rsidRDefault="003178D3" w:rsidP="000F1647">
            <w:pPr>
              <w:spacing w:after="0" w:line="240" w:lineRule="auto"/>
              <w:jc w:val="both"/>
            </w:pPr>
            <w:r w:rsidRPr="004009F2">
              <w:t>14.5 ± 0.3</w:t>
            </w:r>
          </w:p>
        </w:tc>
      </w:tr>
    </w:tbl>
    <w:p w14:paraId="6AF4E8C3" w14:textId="77777777" w:rsidR="00034E39" w:rsidRPr="004009F2" w:rsidRDefault="00034E39" w:rsidP="007D40CE">
      <w:pPr>
        <w:jc w:val="both"/>
      </w:pPr>
    </w:p>
    <w:p w14:paraId="1E382D94" w14:textId="6C393D63" w:rsidR="00034E39" w:rsidRPr="004009F2" w:rsidRDefault="003178D3" w:rsidP="007D40CE">
      <w:pPr>
        <w:jc w:val="both"/>
      </w:pPr>
      <w:r w:rsidRPr="004009F2">
        <w:t>3.2. Optimization of Blending Ratios and Sweetener Combinations</w:t>
      </w:r>
    </w:p>
    <w:p w14:paraId="2C240BDD" w14:textId="39B98BE2" w:rsidR="003178D3" w:rsidRPr="004009F2" w:rsidRDefault="003178D3" w:rsidP="007D40CE">
      <w:pPr>
        <w:jc w:val="both"/>
      </w:pPr>
      <w:r w:rsidRPr="004009F2">
        <w:br/>
        <w:t>Systematic sensory evaluation of beverages prepared with varying guava-to-other fruit ratios demonstrated clear consumer preferences across all product categories. The blending ratio comprising 75% guava and 25% other fruit consistently achieved the highest sensory scores for appearance, color, taste, aroma, mouthfeel, and overall acceptability in RTS, nectar, and squash formulations. This optimal ratio successfully leveraged guava's mild, pleasant flavor as a dominant base while permitting the secondary fruits' distinctive colors, flavors, and functional compounds to enhance the final product without creating sensory imbalance. The 75:25 blend effectively capitalized on guava's high vitamin C content and favorable juice yield while incorporating the anthocyanin-rich properties and flavor complexity of the complementary fruits, consistent with previous findings on fruit blending strategies (Iqbal Khan et al., 2025).</w:t>
      </w:r>
    </w:p>
    <w:p w14:paraId="7DE7E5F6" w14:textId="77777777" w:rsidR="003178D3" w:rsidRPr="004009F2" w:rsidRDefault="003178D3" w:rsidP="007D40CE">
      <w:pPr>
        <w:jc w:val="both"/>
      </w:pPr>
      <w:r w:rsidRPr="004009F2">
        <w:t xml:space="preserve">The evaluation of sugar-stevia combinations yielded particularly insightful results regarding low-calorie beverage development. Beverages formulated exclusively with stevia (T5: 0% sugar + 100% stevia) consistently received the lowest sensory scores across all parameters, with panelists noting characteristic bitter aftertaste and metallic notes associated with high-intensity sweetener usage (Rathinasamy et al., 2022). In striking contrast, formulations incorporating 25-50% sugar replacement with stevia (T2 and T3) achieved sensory scores comparable to, and in some instances superior to, the 100% sugar control (T1). The T2 treatment (75% sugar + 25% stevia) emerged as particularly favorable, achieving overall acceptability values of 8.33 ± 0.11 for RTS, 8.26 ± 0.16 for nectar, and 8.27 ± 0.11 for squash. These findings demonstrate that partial sugar substitution represents an optimal strategy for calorie reduction, as the remaining sugar and fruit components effectively mask stevia's undesirable </w:t>
      </w:r>
      <w:r w:rsidRPr="004009F2">
        <w:lastRenderedPageBreak/>
        <w:t>aftertastes while maintaining desired sweetness perception, supporting earlier research on stevia applications in fruit beverages (Rathinasamy et al., 2022).</w:t>
      </w:r>
    </w:p>
    <w:p w14:paraId="446E15EA" w14:textId="77777777" w:rsidR="003178D3" w:rsidRPr="004009F2" w:rsidRDefault="003178D3" w:rsidP="007D40CE">
      <w:pPr>
        <w:jc w:val="both"/>
      </w:pPr>
      <w:r w:rsidRPr="004009F2">
        <w:t>The interaction between blending ratio and sweetener type proved significant in determining final product acceptability. Higher guava content (75%) in blends provided sufficient flavor intensity and mouthfeel to better accommodate stevia incorporation compared to more diluted formulations. Among beverage types, squash products consistently demonstrated higher tolerance for stevia inclusion, attributable to their concentrated nature and higher pulp content which enhanced flavor intensity and masking capacity. These results underscore the importance of simultaneous optimization of fruit blending and sweetener selection rather than independent parameter adjustment, a finding that extends previous work on functional beverage development (Singh, 2018).</w:t>
      </w:r>
    </w:p>
    <w:p w14:paraId="64B5815F" w14:textId="77777777" w:rsidR="00034E39" w:rsidRPr="004009F2" w:rsidRDefault="003178D3" w:rsidP="007D40CE">
      <w:pPr>
        <w:jc w:val="both"/>
      </w:pPr>
      <w:r w:rsidRPr="004009F2">
        <w:t>3.3. Final Recipe Standardization and Storage Stability</w:t>
      </w:r>
    </w:p>
    <w:p w14:paraId="4E4B7C1D" w14:textId="3967F883" w:rsidR="003178D3" w:rsidRPr="004009F2" w:rsidRDefault="003178D3" w:rsidP="007D40CE">
      <w:pPr>
        <w:jc w:val="both"/>
      </w:pPr>
      <w:r w:rsidRPr="004009F2">
        <w:br/>
        <w:t>Utilizing the optimal 75:25 blending ratio and the preferred T2 sweetener combination (75% sugar + 25% stevia), comprehensive recipe standardization identified distinct optimal parameters for each beverage category. For RTS beverages, recipe R5 (12% TSS, 0.25% acidity) achieved superior sensory scores for color (8.3 ± 0.1), flavor (8.2 ± 0.1), aroma (8.1 ± 0.1), and overall acceptability (8.2 ± 0.1). Similarly, for nectar formulations, recipe R5 (14% TSS, 0.25% acidity) registered the highest values across all sensory parameters with overall acceptability of 8.3 ± 0.1. Squash beverages performed optimally with recipe R5 (45% TSS, 1.10% acidity), achieving an overall acceptability score of 8.3 ± 0.1. These results clearly demonstrate that intermediate TSS and acidity levels provide the ideal balance for consumer preference across all beverage types, creating harmonious sweetness-acidity interactions that enhance flavor perception and mouthfeel, consistent with established principles of beverage formulation (Ranganna, 1997).</w:t>
      </w:r>
    </w:p>
    <w:p w14:paraId="40E530AA" w14:textId="77777777" w:rsidR="003178D3" w:rsidRPr="004009F2" w:rsidRDefault="003178D3" w:rsidP="007D40CE">
      <w:pPr>
        <w:jc w:val="both"/>
      </w:pPr>
      <w:r w:rsidRPr="004009F2">
        <w:t>Storage stability studies conducted over six months under ambient conditions revealed characteristic quality changes in the optimized beverages. All products exhibited slight but consistent increases in TSS values; for instance, RTS increased from 12.0 ± 0.1°Brix at initial stage to 12.2 ± 0.1°Brix after six months, likely due to concentration effects and hydrolytic reactions (Rashid et al., 2018). Titratable acidity similarly showed gradual elevation, with RTS increasing from 0.25 ± 0.01% to 0.29 ± 0.01%, potentially resulting from complex chemical transformations during storage. Ascorbic acid content demonstrated expected progressive decline across all beverages, with RTS decreasing from 24.5 ± 0.3 mg/100g to 18.3 ± 0.5 mg/100g, representing approximately 25% retention loss attributable to oxidative degradation mechanisms, a finding consistent with previous storage studies on vitamin C retention in fruit beverages (Pallavi &amp; Juyal, 2025).</w:t>
      </w:r>
    </w:p>
    <w:p w14:paraId="3388B237" w14:textId="77777777" w:rsidR="003178D3" w:rsidRPr="004009F2" w:rsidRDefault="003178D3" w:rsidP="007D40CE">
      <w:pPr>
        <w:jc w:val="both"/>
      </w:pPr>
      <w:r w:rsidRPr="004009F2">
        <w:t>Sensory attributes during storage displayed corresponding gradual deterioration, though all products maintained scores above the consumer acceptability threshold (&gt;7.0). Appearance scores for RTS decreased from 8.5 ± 0.1 to 7.6 ± 0.1, while flavor and taste parameters showed similar declining trends. Notably, nectar formulations exhibited superior retention of both ascorbic acid and sensory characteristics compared to RTS and squash, suggesting that its intermediate solids concentration may provide a stabilizing environment that mitigates degradation reactions. These storage findings confirm commercial feasibility with six-month shelf life under ambient conditions, though packaging optimization could further enhance quality retention, as demonstrated in previous guava beverage research (Pallavi &amp; Juyal, 2025).</w:t>
      </w:r>
    </w:p>
    <w:p w14:paraId="7ACE1BED" w14:textId="77777777" w:rsidR="00D5783F" w:rsidRDefault="003178D3" w:rsidP="00D5783F">
      <w:pPr>
        <w:jc w:val="both"/>
      </w:pPr>
      <w:r w:rsidRPr="004009F2">
        <w:t>3.4. Economic Viability and Commercial Potential</w:t>
      </w:r>
    </w:p>
    <w:p w14:paraId="1370B75C" w14:textId="72BF4529" w:rsidR="00D5783F" w:rsidRPr="00D5783F" w:rsidRDefault="00D5783F" w:rsidP="00D5783F">
      <w:pPr>
        <w:jc w:val="both"/>
      </w:pPr>
      <w:r w:rsidRPr="00E62882">
        <w:rPr>
          <w:b/>
          <w:bCs/>
        </w:rPr>
        <w:t>Table 2:</w:t>
      </w:r>
      <w:r>
        <w:t xml:space="preserve"> </w:t>
      </w:r>
      <w:r w:rsidRPr="00104A47">
        <w:rPr>
          <w:rFonts w:ascii="Times New Roman" w:eastAsia="Times New Roman" w:hAnsi="Times New Roman" w:cs="Times New Roman"/>
          <w:b/>
          <w:bCs/>
          <w:kern w:val="0"/>
          <w:sz w:val="24"/>
          <w:szCs w:val="24"/>
          <w:lang w:eastAsia="en-IN"/>
          <w14:ligatures w14:val="none"/>
        </w:rPr>
        <w:t xml:space="preserve">Economic feasibility of optimized guava based low calorie blended beverages. </w:t>
      </w:r>
    </w:p>
    <w:tbl>
      <w:tblPr>
        <w:tblW w:w="10386" w:type="dxa"/>
        <w:jc w:val="center"/>
        <w:tblCellSpacing w:w="15" w:type="dxa"/>
        <w:tblCellMar>
          <w:top w:w="15" w:type="dxa"/>
          <w:left w:w="15" w:type="dxa"/>
          <w:bottom w:w="15" w:type="dxa"/>
          <w:right w:w="15" w:type="dxa"/>
        </w:tblCellMar>
        <w:tblLook w:val="04A0" w:firstRow="1" w:lastRow="0" w:firstColumn="1" w:lastColumn="0" w:noHBand="0" w:noVBand="1"/>
      </w:tblPr>
      <w:tblGrid>
        <w:gridCol w:w="2087"/>
        <w:gridCol w:w="860"/>
        <w:gridCol w:w="1229"/>
        <w:gridCol w:w="1348"/>
        <w:gridCol w:w="1206"/>
        <w:gridCol w:w="1742"/>
        <w:gridCol w:w="1045"/>
        <w:gridCol w:w="869"/>
      </w:tblGrid>
      <w:tr w:rsidR="00D5783F" w:rsidRPr="009D7407" w14:paraId="7E47B5B9" w14:textId="77777777" w:rsidTr="001E67A3">
        <w:trPr>
          <w:trHeight w:val="1353"/>
          <w:tblHeader/>
          <w:tblCellSpacing w:w="15" w:type="dxa"/>
          <w:jc w:val="center"/>
        </w:trPr>
        <w:tc>
          <w:tcPr>
            <w:tcW w:w="2042" w:type="dxa"/>
            <w:tcBorders>
              <w:top w:val="single" w:sz="4" w:space="0" w:color="auto"/>
              <w:bottom w:val="single" w:sz="4" w:space="0" w:color="auto"/>
            </w:tcBorders>
            <w:vAlign w:val="center"/>
            <w:hideMark/>
          </w:tcPr>
          <w:p w14:paraId="6636EF21" w14:textId="77777777" w:rsidR="00D5783F" w:rsidRPr="009D7407" w:rsidRDefault="00D5783F" w:rsidP="001E67A3">
            <w:pPr>
              <w:spacing w:after="0" w:line="360" w:lineRule="auto"/>
              <w:ind w:left="754" w:right="-706"/>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lastRenderedPageBreak/>
              <w:t>Beverage Type</w:t>
            </w:r>
          </w:p>
        </w:tc>
        <w:tc>
          <w:tcPr>
            <w:tcW w:w="830" w:type="dxa"/>
            <w:tcBorders>
              <w:top w:val="single" w:sz="4" w:space="0" w:color="auto"/>
              <w:bottom w:val="single" w:sz="4" w:space="0" w:color="auto"/>
            </w:tcBorders>
            <w:vAlign w:val="center"/>
            <w:hideMark/>
          </w:tcPr>
          <w:p w14:paraId="6480B35B" w14:textId="483D1E54" w:rsidR="00D5783F" w:rsidRPr="009D7407" w:rsidRDefault="00D5783F" w:rsidP="001E67A3">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Fruit Pulp Cost (Rs.</w:t>
            </w:r>
            <w:r w:rsidR="00E62882">
              <w:rPr>
                <w:rFonts w:ascii="Times New Roman" w:eastAsia="Times New Roman" w:hAnsi="Times New Roman" w:cs="Times New Roman"/>
                <w:b/>
                <w:bCs/>
                <w:kern w:val="0"/>
                <w:sz w:val="24"/>
                <w:szCs w:val="24"/>
                <w:lang w:eastAsia="en-IN"/>
                <w14:ligatures w14:val="none"/>
              </w:rPr>
              <w:t>/lit</w:t>
            </w:r>
            <w:r w:rsidRPr="009D7407">
              <w:rPr>
                <w:rFonts w:ascii="Times New Roman" w:eastAsia="Times New Roman" w:hAnsi="Times New Roman" w:cs="Times New Roman"/>
                <w:b/>
                <w:bCs/>
                <w:kern w:val="0"/>
                <w:sz w:val="24"/>
                <w:szCs w:val="24"/>
                <w:lang w:eastAsia="en-IN"/>
                <w14:ligatures w14:val="none"/>
              </w:rPr>
              <w:t>)</w:t>
            </w:r>
          </w:p>
        </w:tc>
        <w:tc>
          <w:tcPr>
            <w:tcW w:w="1199" w:type="dxa"/>
            <w:tcBorders>
              <w:top w:val="single" w:sz="4" w:space="0" w:color="auto"/>
              <w:bottom w:val="single" w:sz="4" w:space="0" w:color="auto"/>
            </w:tcBorders>
            <w:vAlign w:val="center"/>
            <w:hideMark/>
          </w:tcPr>
          <w:p w14:paraId="386D9941" w14:textId="6BC1644A" w:rsidR="00D5783F" w:rsidRPr="009D7407" w:rsidRDefault="00D5783F" w:rsidP="001E67A3">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Sugar + Stevia Cost (Rs.</w:t>
            </w:r>
            <w:r w:rsidR="00E62882">
              <w:rPr>
                <w:rFonts w:ascii="Times New Roman" w:eastAsia="Times New Roman" w:hAnsi="Times New Roman" w:cs="Times New Roman"/>
                <w:b/>
                <w:bCs/>
                <w:kern w:val="0"/>
                <w:sz w:val="24"/>
                <w:szCs w:val="24"/>
                <w:lang w:eastAsia="en-IN"/>
                <w14:ligatures w14:val="none"/>
              </w:rPr>
              <w:t>/lit</w:t>
            </w:r>
            <w:r w:rsidRPr="009D7407">
              <w:rPr>
                <w:rFonts w:ascii="Times New Roman" w:eastAsia="Times New Roman" w:hAnsi="Times New Roman" w:cs="Times New Roman"/>
                <w:b/>
                <w:bCs/>
                <w:kern w:val="0"/>
                <w:sz w:val="24"/>
                <w:szCs w:val="24"/>
                <w:lang w:eastAsia="en-IN"/>
                <w14:ligatures w14:val="none"/>
              </w:rPr>
              <w:t>)</w:t>
            </w:r>
          </w:p>
        </w:tc>
        <w:tc>
          <w:tcPr>
            <w:tcW w:w="1318" w:type="dxa"/>
            <w:tcBorders>
              <w:top w:val="single" w:sz="4" w:space="0" w:color="auto"/>
              <w:bottom w:val="single" w:sz="4" w:space="0" w:color="auto"/>
            </w:tcBorders>
            <w:vAlign w:val="center"/>
            <w:hideMark/>
          </w:tcPr>
          <w:p w14:paraId="5F9D1B5E" w14:textId="75315AAC" w:rsidR="00D5783F" w:rsidRPr="009D7407" w:rsidRDefault="00D5783F" w:rsidP="001E67A3">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Processing Cost (Rs.</w:t>
            </w:r>
            <w:r w:rsidR="00E62882">
              <w:rPr>
                <w:rFonts w:ascii="Times New Roman" w:eastAsia="Times New Roman" w:hAnsi="Times New Roman" w:cs="Times New Roman"/>
                <w:b/>
                <w:bCs/>
                <w:kern w:val="0"/>
                <w:sz w:val="24"/>
                <w:szCs w:val="24"/>
                <w:lang w:eastAsia="en-IN"/>
                <w14:ligatures w14:val="none"/>
              </w:rPr>
              <w:t>/lit</w:t>
            </w:r>
            <w:r w:rsidRPr="009D7407">
              <w:rPr>
                <w:rFonts w:ascii="Times New Roman" w:eastAsia="Times New Roman" w:hAnsi="Times New Roman" w:cs="Times New Roman"/>
                <w:b/>
                <w:bCs/>
                <w:kern w:val="0"/>
                <w:sz w:val="24"/>
                <w:szCs w:val="24"/>
                <w:lang w:eastAsia="en-IN"/>
                <w14:ligatures w14:val="none"/>
              </w:rPr>
              <w:t>)</w:t>
            </w:r>
          </w:p>
        </w:tc>
        <w:tc>
          <w:tcPr>
            <w:tcW w:w="0" w:type="auto"/>
            <w:tcBorders>
              <w:top w:val="single" w:sz="4" w:space="0" w:color="auto"/>
              <w:bottom w:val="single" w:sz="4" w:space="0" w:color="auto"/>
            </w:tcBorders>
            <w:vAlign w:val="center"/>
            <w:hideMark/>
          </w:tcPr>
          <w:p w14:paraId="292FCD4D" w14:textId="017078FE" w:rsidR="00D5783F" w:rsidRPr="009D7407" w:rsidRDefault="00D5783F" w:rsidP="001E67A3">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Total Cost (Rs.</w:t>
            </w:r>
            <w:r w:rsidR="00E62882">
              <w:rPr>
                <w:rFonts w:ascii="Times New Roman" w:eastAsia="Times New Roman" w:hAnsi="Times New Roman" w:cs="Times New Roman"/>
                <w:b/>
                <w:bCs/>
                <w:kern w:val="0"/>
                <w:sz w:val="24"/>
                <w:szCs w:val="24"/>
                <w:lang w:eastAsia="en-IN"/>
                <w14:ligatures w14:val="none"/>
              </w:rPr>
              <w:t>/lit.</w:t>
            </w:r>
            <w:r w:rsidRPr="009D7407">
              <w:rPr>
                <w:rFonts w:ascii="Times New Roman" w:eastAsia="Times New Roman" w:hAnsi="Times New Roman" w:cs="Times New Roman"/>
                <w:b/>
                <w:bCs/>
                <w:kern w:val="0"/>
                <w:sz w:val="24"/>
                <w:szCs w:val="24"/>
                <w:lang w:eastAsia="en-IN"/>
                <w14:ligatures w14:val="none"/>
              </w:rPr>
              <w:t>)</w:t>
            </w:r>
          </w:p>
        </w:tc>
        <w:tc>
          <w:tcPr>
            <w:tcW w:w="1712" w:type="dxa"/>
            <w:tcBorders>
              <w:top w:val="single" w:sz="4" w:space="0" w:color="auto"/>
              <w:bottom w:val="single" w:sz="4" w:space="0" w:color="auto"/>
            </w:tcBorders>
            <w:vAlign w:val="center"/>
            <w:hideMark/>
          </w:tcPr>
          <w:p w14:paraId="29E3C8E2" w14:textId="5512D1B5" w:rsidR="00D5783F" w:rsidRPr="009D7407" w:rsidRDefault="00D5783F" w:rsidP="00BB533B">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Selling Price (Rs.</w:t>
            </w:r>
            <w:r w:rsidR="00E62882">
              <w:rPr>
                <w:rFonts w:ascii="Times New Roman" w:eastAsia="Times New Roman" w:hAnsi="Times New Roman" w:cs="Times New Roman"/>
                <w:b/>
                <w:bCs/>
                <w:kern w:val="0"/>
                <w:sz w:val="24"/>
                <w:szCs w:val="24"/>
                <w:lang w:eastAsia="en-IN"/>
                <w14:ligatures w14:val="none"/>
              </w:rPr>
              <w:t>/lit.</w:t>
            </w:r>
            <w:r w:rsidRPr="009D7407">
              <w:rPr>
                <w:rFonts w:ascii="Times New Roman" w:eastAsia="Times New Roman" w:hAnsi="Times New Roman" w:cs="Times New Roman"/>
                <w:b/>
                <w:bCs/>
                <w:kern w:val="0"/>
                <w:sz w:val="24"/>
                <w:szCs w:val="24"/>
                <w:lang w:eastAsia="en-IN"/>
                <w14:ligatures w14:val="none"/>
              </w:rPr>
              <w:t>)</w:t>
            </w:r>
          </w:p>
        </w:tc>
        <w:tc>
          <w:tcPr>
            <w:tcW w:w="1015" w:type="dxa"/>
            <w:tcBorders>
              <w:top w:val="single" w:sz="4" w:space="0" w:color="auto"/>
              <w:bottom w:val="single" w:sz="4" w:space="0" w:color="auto"/>
            </w:tcBorders>
            <w:vAlign w:val="center"/>
            <w:hideMark/>
          </w:tcPr>
          <w:p w14:paraId="229E4BA3" w14:textId="34A9C67F" w:rsidR="00D5783F" w:rsidRPr="009D7407" w:rsidRDefault="00D5783F" w:rsidP="001E67A3">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Gross Return (Rs.</w:t>
            </w:r>
            <w:r w:rsidR="00E62882">
              <w:rPr>
                <w:rFonts w:ascii="Times New Roman" w:eastAsia="Times New Roman" w:hAnsi="Times New Roman" w:cs="Times New Roman"/>
                <w:b/>
                <w:bCs/>
                <w:kern w:val="0"/>
                <w:sz w:val="24"/>
                <w:szCs w:val="24"/>
                <w:lang w:eastAsia="en-IN"/>
                <w14:ligatures w14:val="none"/>
              </w:rPr>
              <w:t>/lit</w:t>
            </w:r>
            <w:r w:rsidRPr="009D7407">
              <w:rPr>
                <w:rFonts w:ascii="Times New Roman" w:eastAsia="Times New Roman" w:hAnsi="Times New Roman" w:cs="Times New Roman"/>
                <w:b/>
                <w:bCs/>
                <w:kern w:val="0"/>
                <w:sz w:val="24"/>
                <w:szCs w:val="24"/>
                <w:lang w:eastAsia="en-IN"/>
                <w14:ligatures w14:val="none"/>
              </w:rPr>
              <w:t>)</w:t>
            </w:r>
          </w:p>
        </w:tc>
        <w:tc>
          <w:tcPr>
            <w:tcW w:w="824" w:type="dxa"/>
            <w:tcBorders>
              <w:top w:val="single" w:sz="4" w:space="0" w:color="auto"/>
              <w:bottom w:val="single" w:sz="4" w:space="0" w:color="auto"/>
            </w:tcBorders>
            <w:vAlign w:val="center"/>
            <w:hideMark/>
          </w:tcPr>
          <w:p w14:paraId="2DC87545" w14:textId="77777777" w:rsidR="00D5783F" w:rsidRPr="009D7407" w:rsidRDefault="00D5783F" w:rsidP="001E67A3">
            <w:pPr>
              <w:spacing w:after="0" w:line="360" w:lineRule="auto"/>
              <w:jc w:val="center"/>
              <w:rPr>
                <w:rFonts w:ascii="Times New Roman" w:eastAsia="Times New Roman" w:hAnsi="Times New Roman" w:cs="Times New Roman"/>
                <w:b/>
                <w:bCs/>
                <w:kern w:val="0"/>
                <w:sz w:val="24"/>
                <w:szCs w:val="24"/>
                <w:lang w:eastAsia="en-IN"/>
                <w14:ligatures w14:val="none"/>
              </w:rPr>
            </w:pPr>
            <w:r w:rsidRPr="009D7407">
              <w:rPr>
                <w:rFonts w:ascii="Times New Roman" w:eastAsia="Times New Roman" w:hAnsi="Times New Roman" w:cs="Times New Roman"/>
                <w:b/>
                <w:bCs/>
                <w:kern w:val="0"/>
                <w:sz w:val="24"/>
                <w:szCs w:val="24"/>
                <w:lang w:eastAsia="en-IN"/>
                <w14:ligatures w14:val="none"/>
              </w:rPr>
              <w:t>B:C Ratio</w:t>
            </w:r>
          </w:p>
        </w:tc>
      </w:tr>
      <w:tr w:rsidR="00D5783F" w:rsidRPr="009D7407" w14:paraId="1A34337F" w14:textId="77777777" w:rsidTr="001E67A3">
        <w:trPr>
          <w:trHeight w:val="1009"/>
          <w:tblCellSpacing w:w="15" w:type="dxa"/>
          <w:jc w:val="center"/>
        </w:trPr>
        <w:tc>
          <w:tcPr>
            <w:tcW w:w="2042" w:type="dxa"/>
            <w:vAlign w:val="center"/>
            <w:hideMark/>
          </w:tcPr>
          <w:p w14:paraId="20137C5C"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RTS (12% TSS, 0.25% acidity)</w:t>
            </w:r>
          </w:p>
        </w:tc>
        <w:tc>
          <w:tcPr>
            <w:tcW w:w="830" w:type="dxa"/>
            <w:vAlign w:val="center"/>
            <w:hideMark/>
          </w:tcPr>
          <w:p w14:paraId="26969C88"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5</w:t>
            </w:r>
            <w:r w:rsidRPr="009D7407">
              <w:rPr>
                <w:rFonts w:ascii="Times New Roman" w:eastAsia="Times New Roman" w:hAnsi="Times New Roman" w:cs="Times New Roman"/>
                <w:kern w:val="0"/>
                <w:sz w:val="24"/>
                <w:szCs w:val="24"/>
                <w:lang w:eastAsia="en-IN"/>
                <w14:ligatures w14:val="none"/>
              </w:rPr>
              <w:t>.0</w:t>
            </w:r>
          </w:p>
        </w:tc>
        <w:tc>
          <w:tcPr>
            <w:tcW w:w="1199" w:type="dxa"/>
            <w:vAlign w:val="center"/>
            <w:hideMark/>
          </w:tcPr>
          <w:p w14:paraId="7AFFCF57"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5</w:t>
            </w:r>
            <w:r w:rsidRPr="009D7407">
              <w:rPr>
                <w:rFonts w:ascii="Times New Roman" w:eastAsia="Times New Roman" w:hAnsi="Times New Roman" w:cs="Times New Roman"/>
                <w:kern w:val="0"/>
                <w:sz w:val="24"/>
                <w:szCs w:val="24"/>
                <w:lang w:eastAsia="en-IN"/>
                <w14:ligatures w14:val="none"/>
              </w:rPr>
              <w:t>.0</w:t>
            </w:r>
          </w:p>
        </w:tc>
        <w:tc>
          <w:tcPr>
            <w:tcW w:w="1318" w:type="dxa"/>
            <w:vAlign w:val="center"/>
            <w:hideMark/>
          </w:tcPr>
          <w:p w14:paraId="42C236D0"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w:t>
            </w:r>
            <w:r w:rsidRPr="009D7407">
              <w:rPr>
                <w:rFonts w:ascii="Times New Roman" w:eastAsia="Times New Roman" w:hAnsi="Times New Roman" w:cs="Times New Roman"/>
                <w:kern w:val="0"/>
                <w:sz w:val="24"/>
                <w:szCs w:val="24"/>
                <w:lang w:eastAsia="en-IN"/>
                <w14:ligatures w14:val="none"/>
              </w:rPr>
              <w:t>0.0</w:t>
            </w:r>
          </w:p>
        </w:tc>
        <w:tc>
          <w:tcPr>
            <w:tcW w:w="0" w:type="auto"/>
            <w:vAlign w:val="center"/>
            <w:hideMark/>
          </w:tcPr>
          <w:p w14:paraId="2FBDAD4B"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w:t>
            </w:r>
            <w:r w:rsidRPr="009D7407">
              <w:rPr>
                <w:rFonts w:ascii="Times New Roman" w:eastAsia="Times New Roman" w:hAnsi="Times New Roman" w:cs="Times New Roman"/>
                <w:kern w:val="0"/>
                <w:sz w:val="24"/>
                <w:szCs w:val="24"/>
                <w:lang w:eastAsia="en-IN"/>
                <w14:ligatures w14:val="none"/>
              </w:rPr>
              <w:t>.0</w:t>
            </w:r>
          </w:p>
        </w:tc>
        <w:tc>
          <w:tcPr>
            <w:tcW w:w="1712" w:type="dxa"/>
            <w:vAlign w:val="center"/>
            <w:hideMark/>
          </w:tcPr>
          <w:p w14:paraId="1AADE705"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9</w:t>
            </w:r>
            <w:r w:rsidRPr="009D7407">
              <w:rPr>
                <w:rFonts w:ascii="Times New Roman" w:eastAsia="Times New Roman" w:hAnsi="Times New Roman" w:cs="Times New Roman"/>
                <w:kern w:val="0"/>
                <w:sz w:val="24"/>
                <w:szCs w:val="24"/>
                <w:lang w:eastAsia="en-IN"/>
                <w14:ligatures w14:val="none"/>
              </w:rPr>
              <w:t>0</w:t>
            </w:r>
          </w:p>
        </w:tc>
        <w:tc>
          <w:tcPr>
            <w:tcW w:w="1015" w:type="dxa"/>
            <w:vAlign w:val="center"/>
            <w:hideMark/>
          </w:tcPr>
          <w:p w14:paraId="1C847D51"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9</w:t>
            </w:r>
            <w:r w:rsidRPr="009D7407">
              <w:rPr>
                <w:rFonts w:ascii="Times New Roman" w:eastAsia="Times New Roman" w:hAnsi="Times New Roman" w:cs="Times New Roman"/>
                <w:kern w:val="0"/>
                <w:sz w:val="24"/>
                <w:szCs w:val="24"/>
                <w:lang w:eastAsia="en-IN"/>
                <w14:ligatures w14:val="none"/>
              </w:rPr>
              <w:t>0</w:t>
            </w:r>
          </w:p>
        </w:tc>
        <w:tc>
          <w:tcPr>
            <w:tcW w:w="824" w:type="dxa"/>
            <w:vAlign w:val="center"/>
            <w:hideMark/>
          </w:tcPr>
          <w:p w14:paraId="21C83F61"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1:3</w:t>
            </w:r>
          </w:p>
        </w:tc>
      </w:tr>
      <w:tr w:rsidR="00D5783F" w:rsidRPr="009D7407" w14:paraId="4C2E568A" w14:textId="77777777" w:rsidTr="001E67A3">
        <w:trPr>
          <w:trHeight w:val="1009"/>
          <w:tblCellSpacing w:w="15" w:type="dxa"/>
          <w:jc w:val="center"/>
        </w:trPr>
        <w:tc>
          <w:tcPr>
            <w:tcW w:w="2042" w:type="dxa"/>
            <w:vAlign w:val="center"/>
            <w:hideMark/>
          </w:tcPr>
          <w:p w14:paraId="5FA85F02"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Nectar (14% TSS, 0.25% acidity)</w:t>
            </w:r>
          </w:p>
        </w:tc>
        <w:tc>
          <w:tcPr>
            <w:tcW w:w="830" w:type="dxa"/>
            <w:vAlign w:val="center"/>
            <w:hideMark/>
          </w:tcPr>
          <w:p w14:paraId="5951C1B1"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6</w:t>
            </w:r>
            <w:r w:rsidRPr="009D7407">
              <w:rPr>
                <w:rFonts w:ascii="Times New Roman" w:eastAsia="Times New Roman" w:hAnsi="Times New Roman" w:cs="Times New Roman"/>
                <w:kern w:val="0"/>
                <w:sz w:val="24"/>
                <w:szCs w:val="24"/>
                <w:lang w:eastAsia="en-IN"/>
                <w14:ligatures w14:val="none"/>
              </w:rPr>
              <w:t>.0</w:t>
            </w:r>
          </w:p>
        </w:tc>
        <w:tc>
          <w:tcPr>
            <w:tcW w:w="1199" w:type="dxa"/>
            <w:vAlign w:val="center"/>
            <w:hideMark/>
          </w:tcPr>
          <w:p w14:paraId="308087B5"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6</w:t>
            </w:r>
            <w:r w:rsidRPr="009D7407">
              <w:rPr>
                <w:rFonts w:ascii="Times New Roman" w:eastAsia="Times New Roman" w:hAnsi="Times New Roman" w:cs="Times New Roman"/>
                <w:kern w:val="0"/>
                <w:sz w:val="24"/>
                <w:szCs w:val="24"/>
                <w:lang w:eastAsia="en-IN"/>
                <w14:ligatures w14:val="none"/>
              </w:rPr>
              <w:t>.0</w:t>
            </w:r>
          </w:p>
        </w:tc>
        <w:tc>
          <w:tcPr>
            <w:tcW w:w="1318" w:type="dxa"/>
            <w:vAlign w:val="center"/>
            <w:hideMark/>
          </w:tcPr>
          <w:p w14:paraId="4DE2ED84"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w:t>
            </w:r>
            <w:r w:rsidRPr="009D7407">
              <w:rPr>
                <w:rFonts w:ascii="Times New Roman" w:eastAsia="Times New Roman" w:hAnsi="Times New Roman" w:cs="Times New Roman"/>
                <w:kern w:val="0"/>
                <w:sz w:val="24"/>
                <w:szCs w:val="24"/>
                <w:lang w:eastAsia="en-IN"/>
                <w14:ligatures w14:val="none"/>
              </w:rPr>
              <w:t>0.0</w:t>
            </w:r>
          </w:p>
        </w:tc>
        <w:tc>
          <w:tcPr>
            <w:tcW w:w="0" w:type="auto"/>
            <w:vAlign w:val="center"/>
            <w:hideMark/>
          </w:tcPr>
          <w:p w14:paraId="15BEB4BA"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32</w:t>
            </w:r>
            <w:r w:rsidRPr="009D7407">
              <w:rPr>
                <w:rFonts w:ascii="Times New Roman" w:eastAsia="Times New Roman" w:hAnsi="Times New Roman" w:cs="Times New Roman"/>
                <w:kern w:val="0"/>
                <w:sz w:val="24"/>
                <w:szCs w:val="24"/>
                <w:lang w:eastAsia="en-IN"/>
                <w14:ligatures w14:val="none"/>
              </w:rPr>
              <w:t>.0</w:t>
            </w:r>
          </w:p>
        </w:tc>
        <w:tc>
          <w:tcPr>
            <w:tcW w:w="1712" w:type="dxa"/>
            <w:vAlign w:val="center"/>
            <w:hideMark/>
          </w:tcPr>
          <w:p w14:paraId="5027F9E5"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1</w:t>
            </w:r>
            <w:r w:rsidRPr="009D7407">
              <w:rPr>
                <w:rFonts w:ascii="Times New Roman" w:eastAsia="Times New Roman" w:hAnsi="Times New Roman" w:cs="Times New Roman"/>
                <w:kern w:val="0"/>
                <w:sz w:val="24"/>
                <w:szCs w:val="24"/>
                <w:lang w:eastAsia="en-IN"/>
                <w14:ligatures w14:val="none"/>
              </w:rPr>
              <w:t>00</w:t>
            </w:r>
          </w:p>
        </w:tc>
        <w:tc>
          <w:tcPr>
            <w:tcW w:w="1015" w:type="dxa"/>
            <w:vAlign w:val="center"/>
            <w:hideMark/>
          </w:tcPr>
          <w:p w14:paraId="28AA941E"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Pr="009D7407">
              <w:rPr>
                <w:rFonts w:ascii="Times New Roman" w:eastAsia="Times New Roman" w:hAnsi="Times New Roman" w:cs="Times New Roman"/>
                <w:kern w:val="0"/>
                <w:sz w:val="24"/>
                <w:szCs w:val="24"/>
                <w:lang w:eastAsia="en-IN"/>
                <w14:ligatures w14:val="none"/>
              </w:rPr>
              <w:t>00</w:t>
            </w:r>
          </w:p>
        </w:tc>
        <w:tc>
          <w:tcPr>
            <w:tcW w:w="824" w:type="dxa"/>
            <w:vAlign w:val="center"/>
            <w:hideMark/>
          </w:tcPr>
          <w:p w14:paraId="33011924"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1:3.1</w:t>
            </w:r>
          </w:p>
        </w:tc>
      </w:tr>
      <w:tr w:rsidR="00D5783F" w:rsidRPr="009D7407" w14:paraId="27F9AAEF" w14:textId="77777777" w:rsidTr="001E67A3">
        <w:trPr>
          <w:trHeight w:val="1345"/>
          <w:tblCellSpacing w:w="15" w:type="dxa"/>
          <w:jc w:val="center"/>
        </w:trPr>
        <w:tc>
          <w:tcPr>
            <w:tcW w:w="2042" w:type="dxa"/>
            <w:tcBorders>
              <w:bottom w:val="single" w:sz="4" w:space="0" w:color="auto"/>
            </w:tcBorders>
            <w:vAlign w:val="center"/>
            <w:hideMark/>
          </w:tcPr>
          <w:p w14:paraId="28BACB85"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sidRPr="009D7407">
              <w:rPr>
                <w:rFonts w:ascii="Times New Roman" w:eastAsia="Times New Roman" w:hAnsi="Times New Roman" w:cs="Times New Roman"/>
                <w:kern w:val="0"/>
                <w:sz w:val="24"/>
                <w:szCs w:val="24"/>
                <w:lang w:eastAsia="en-IN"/>
                <w14:ligatures w14:val="none"/>
              </w:rPr>
              <w:t>Squash (45% TSS, 1.1% acidity)</w:t>
            </w:r>
          </w:p>
        </w:tc>
        <w:tc>
          <w:tcPr>
            <w:tcW w:w="830" w:type="dxa"/>
            <w:tcBorders>
              <w:bottom w:val="single" w:sz="4" w:space="0" w:color="auto"/>
            </w:tcBorders>
            <w:vAlign w:val="center"/>
            <w:hideMark/>
          </w:tcPr>
          <w:p w14:paraId="211E6990"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w:t>
            </w:r>
            <w:r w:rsidRPr="009D7407">
              <w:rPr>
                <w:rFonts w:ascii="Times New Roman" w:eastAsia="Times New Roman" w:hAnsi="Times New Roman" w:cs="Times New Roman"/>
                <w:kern w:val="0"/>
                <w:sz w:val="24"/>
                <w:szCs w:val="24"/>
                <w:lang w:eastAsia="en-IN"/>
                <w14:ligatures w14:val="none"/>
              </w:rPr>
              <w:t>.0</w:t>
            </w:r>
          </w:p>
        </w:tc>
        <w:tc>
          <w:tcPr>
            <w:tcW w:w="1199" w:type="dxa"/>
            <w:tcBorders>
              <w:bottom w:val="single" w:sz="4" w:space="0" w:color="auto"/>
            </w:tcBorders>
            <w:vAlign w:val="center"/>
            <w:hideMark/>
          </w:tcPr>
          <w:p w14:paraId="26C46E4A"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w:t>
            </w:r>
            <w:r w:rsidRPr="009D7407">
              <w:rPr>
                <w:rFonts w:ascii="Times New Roman" w:eastAsia="Times New Roman" w:hAnsi="Times New Roman" w:cs="Times New Roman"/>
                <w:kern w:val="0"/>
                <w:sz w:val="24"/>
                <w:szCs w:val="24"/>
                <w:lang w:eastAsia="en-IN"/>
                <w14:ligatures w14:val="none"/>
              </w:rPr>
              <w:t>.0</w:t>
            </w:r>
          </w:p>
        </w:tc>
        <w:tc>
          <w:tcPr>
            <w:tcW w:w="1318" w:type="dxa"/>
            <w:tcBorders>
              <w:bottom w:val="single" w:sz="4" w:space="0" w:color="auto"/>
            </w:tcBorders>
            <w:vAlign w:val="center"/>
            <w:hideMark/>
          </w:tcPr>
          <w:p w14:paraId="58C7D078"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w:t>
            </w:r>
            <w:r w:rsidRPr="009D7407">
              <w:rPr>
                <w:rFonts w:ascii="Times New Roman" w:eastAsia="Times New Roman" w:hAnsi="Times New Roman" w:cs="Times New Roman"/>
                <w:kern w:val="0"/>
                <w:sz w:val="24"/>
                <w:szCs w:val="24"/>
                <w:lang w:eastAsia="en-IN"/>
                <w14:ligatures w14:val="none"/>
              </w:rPr>
              <w:t>0.0</w:t>
            </w:r>
          </w:p>
        </w:tc>
        <w:tc>
          <w:tcPr>
            <w:tcW w:w="0" w:type="auto"/>
            <w:tcBorders>
              <w:bottom w:val="single" w:sz="4" w:space="0" w:color="auto"/>
            </w:tcBorders>
            <w:vAlign w:val="center"/>
            <w:hideMark/>
          </w:tcPr>
          <w:p w14:paraId="04955F4B"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40</w:t>
            </w:r>
            <w:r w:rsidRPr="009D7407">
              <w:rPr>
                <w:rFonts w:ascii="Times New Roman" w:eastAsia="Times New Roman" w:hAnsi="Times New Roman" w:cs="Times New Roman"/>
                <w:kern w:val="0"/>
                <w:sz w:val="24"/>
                <w:szCs w:val="24"/>
                <w:lang w:eastAsia="en-IN"/>
                <w14:ligatures w14:val="none"/>
              </w:rPr>
              <w:t>.0</w:t>
            </w:r>
          </w:p>
        </w:tc>
        <w:tc>
          <w:tcPr>
            <w:tcW w:w="1712" w:type="dxa"/>
            <w:tcBorders>
              <w:bottom w:val="single" w:sz="4" w:space="0" w:color="auto"/>
            </w:tcBorders>
            <w:vAlign w:val="center"/>
            <w:hideMark/>
          </w:tcPr>
          <w:p w14:paraId="71756F99"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14</w:t>
            </w:r>
            <w:r w:rsidRPr="009D7407">
              <w:rPr>
                <w:rFonts w:ascii="Times New Roman" w:eastAsia="Times New Roman" w:hAnsi="Times New Roman" w:cs="Times New Roman"/>
                <w:kern w:val="0"/>
                <w:sz w:val="24"/>
                <w:szCs w:val="24"/>
                <w:lang w:eastAsia="en-IN"/>
                <w14:ligatures w14:val="none"/>
              </w:rPr>
              <w:t>0</w:t>
            </w:r>
          </w:p>
        </w:tc>
        <w:tc>
          <w:tcPr>
            <w:tcW w:w="1015" w:type="dxa"/>
            <w:tcBorders>
              <w:bottom w:val="single" w:sz="4" w:space="0" w:color="auto"/>
            </w:tcBorders>
            <w:vAlign w:val="center"/>
            <w:hideMark/>
          </w:tcPr>
          <w:p w14:paraId="414738FE"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14</w:t>
            </w:r>
            <w:r w:rsidRPr="009D7407">
              <w:rPr>
                <w:rFonts w:ascii="Times New Roman" w:eastAsia="Times New Roman" w:hAnsi="Times New Roman" w:cs="Times New Roman"/>
                <w:kern w:val="0"/>
                <w:sz w:val="24"/>
                <w:szCs w:val="24"/>
                <w:lang w:eastAsia="en-IN"/>
                <w14:ligatures w14:val="none"/>
              </w:rPr>
              <w:t>0</w:t>
            </w:r>
          </w:p>
        </w:tc>
        <w:tc>
          <w:tcPr>
            <w:tcW w:w="824" w:type="dxa"/>
            <w:tcBorders>
              <w:bottom w:val="single" w:sz="4" w:space="0" w:color="auto"/>
            </w:tcBorders>
            <w:vAlign w:val="center"/>
            <w:hideMark/>
          </w:tcPr>
          <w:p w14:paraId="64623E37" w14:textId="77777777" w:rsidR="00D5783F" w:rsidRPr="009D7407" w:rsidRDefault="00D5783F" w:rsidP="001E67A3">
            <w:pPr>
              <w:spacing w:after="0"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1:3.5</w:t>
            </w:r>
          </w:p>
        </w:tc>
      </w:tr>
    </w:tbl>
    <w:p w14:paraId="1E29B443" w14:textId="1003CC2B" w:rsidR="003178D3" w:rsidRPr="004009F2" w:rsidRDefault="003178D3" w:rsidP="007D40CE">
      <w:pPr>
        <w:jc w:val="both"/>
      </w:pPr>
      <w:r w:rsidRPr="004009F2">
        <w:br/>
        <w:t>The economic analysis of optimized low-calorie guava beverages revealed compelling commercial potential across all product categories. Production cost calculations incorporated raw material expenses (fruit pulps, sweeteners), processing operations, labor requirements, and packaging/storage costs. The RTS beverage demonstra</w:t>
      </w:r>
      <w:r w:rsidR="00BC1356">
        <w:t>ted a production cost of Rs. 30 per lit.  with gross returns of Rs. 9</w:t>
      </w:r>
      <w:r w:rsidRPr="004009F2">
        <w:t xml:space="preserve">0, yielding a favorable </w:t>
      </w:r>
      <w:r w:rsidR="00BC1356">
        <w:t>benefit-cost (B:C) ratio of 1:3</w:t>
      </w:r>
      <w:r w:rsidRPr="004009F2">
        <w:t>. Nectar formulations sh</w:t>
      </w:r>
      <w:r w:rsidR="00BC1356">
        <w:t>owed production costs of Rs. 32 per lit with returns of Rs. 1</w:t>
      </w:r>
      <w:r w:rsidRPr="004009F2">
        <w:t>00, achieving</w:t>
      </w:r>
      <w:r w:rsidR="00BC1356">
        <w:t xml:space="preserve"> the B:C ratio of 1:3.1</w:t>
      </w:r>
      <w:r w:rsidRPr="004009F2">
        <w:t> among all products. Squash producti</w:t>
      </w:r>
      <w:r w:rsidR="00BC1356">
        <w:t>on required higher costs (Rs. 40 per lit</w:t>
      </w:r>
      <w:r w:rsidRPr="004009F2">
        <w:t>) due to increased pulp conc</w:t>
      </w:r>
      <w:r w:rsidR="00BC1356">
        <w:t>entration, with returns of Rs. 14</w:t>
      </w:r>
      <w:r w:rsidRPr="004009F2">
        <w:t>0 re</w:t>
      </w:r>
      <w:r w:rsidR="00BC1356">
        <w:t>sulting in a B:C ratio of 1:3.5</w:t>
      </w:r>
      <w:r w:rsidRPr="004009F2">
        <w:t>.</w:t>
      </w:r>
    </w:p>
    <w:p w14:paraId="40F51E5F" w14:textId="77777777" w:rsidR="003178D3" w:rsidRDefault="003178D3" w:rsidP="007D40CE">
      <w:pPr>
        <w:jc w:val="both"/>
      </w:pPr>
      <w:r w:rsidRPr="004009F2">
        <w:t>These economic metrics demonstrate clear commercial viability for all optimized beverages, with nectar representing the most economically attractive product. The strong B:C ratios, particularly for RTS and nectar, indicate robust profit margins that can support successful market entry and sustainable commercial production. The economic assessment further highlights the value addition achieved through strategic processing of fresh fruits into shelf-stable, functional beverages, creating opportunities for reducing post-harvest losses, stabilizing farmer incomes, and meeting consumer demand for health-oriented beverage options (Yadav et al., 2017). The combination of sensory acceptability, nutritional enhancement, storage stability, and economic feasibility positions these optimized guava-blend beverages as promising products for both small-scale and commercial beverage enterprises, addressing key industry challenges identified in previous research (Rashid et al., 2018).</w:t>
      </w:r>
    </w:p>
    <w:p w14:paraId="32EE4456" w14:textId="77777777" w:rsidR="007D3793" w:rsidRPr="004009F2" w:rsidRDefault="007D3793" w:rsidP="007D40CE">
      <w:pPr>
        <w:jc w:val="both"/>
      </w:pPr>
    </w:p>
    <w:p w14:paraId="169AE68D" w14:textId="77777777" w:rsidR="003178D3" w:rsidRPr="004009F2" w:rsidRDefault="003178D3" w:rsidP="007D40CE">
      <w:pPr>
        <w:jc w:val="both"/>
      </w:pPr>
      <w:r w:rsidRPr="004009F2">
        <w:t xml:space="preserve">4. </w:t>
      </w:r>
      <w:r w:rsidRPr="00542184">
        <w:rPr>
          <w:b/>
        </w:rPr>
        <w:t>Conclusion</w:t>
      </w:r>
      <w:bookmarkStart w:id="0" w:name="_GoBack"/>
      <w:bookmarkEnd w:id="0"/>
    </w:p>
    <w:p w14:paraId="4F8B6000" w14:textId="77777777" w:rsidR="003178D3" w:rsidRPr="004009F2" w:rsidRDefault="003178D3" w:rsidP="007D40CE">
      <w:pPr>
        <w:jc w:val="both"/>
      </w:pPr>
      <w:r w:rsidRPr="004009F2">
        <w:t xml:space="preserve">This comprehensive investigation successfully demonstrates the integrated development and optimization of low-calorie guava-blend beverages through systematic evaluation of sensory, nutritional, and economic parameters. The research establishes that guava (cv. Allahabad Safeda) serves as an excellent base fruit for functional beverage production due to its high vitamin C content, favorable juice yield, and complementary sensory characteristics. The optimal blending strategy utilizing a 75:25 guava-to-other fruit ratio effectively combines the nutritional advantages of multiple </w:t>
      </w:r>
      <w:r w:rsidRPr="004009F2">
        <w:lastRenderedPageBreak/>
        <w:t>fruits while maintaining superior sensory acceptability. Critical to low-calorie formulation success is the finding that 25-50% sugar replacement with stevia achieves significant calorie reduction without compromising taste preferences, whereas complete sugar substitution proves sensorially unacceptable.</w:t>
      </w:r>
    </w:p>
    <w:p w14:paraId="30EEC35B" w14:textId="77777777" w:rsidR="003178D3" w:rsidRPr="004009F2" w:rsidRDefault="003178D3" w:rsidP="007D40CE">
      <w:pPr>
        <w:jc w:val="both"/>
      </w:pPr>
      <w:r w:rsidRPr="004009F2">
        <w:t>The finalized beverage recipes—RTS (12% TSS, 0.25% acidity), nectar (14% TSS, 0.25% acidity), and squash (45% TSS, 1.10% acidity)—represent scientifically standardized formulations that balance sweetness, acidity, and flavor profiles to meet consumer expectations. Storage stability confirmation over six months under ambient conditions provides essential practical validation for commercial implementation, with nectar demonstrating particularly favorable stability characteristics. Most significantly, the economic analysis establishes clear commercial viability for all products, with benefit-cost ratios exceeding 1:2.78 and nectar achieving the most favorable ratio of 1:4.48.</w:t>
      </w:r>
    </w:p>
    <w:p w14:paraId="52C94E5A" w14:textId="75EE950A" w:rsidR="003178D3" w:rsidRDefault="003178D3" w:rsidP="007D40CE">
      <w:pPr>
        <w:jc w:val="both"/>
      </w:pPr>
      <w:r w:rsidRPr="004009F2">
        <w:t>This research provides a complete framework for the development of nutritionally enhanced, sensorially acceptable, and economically feasible low-calorie guava beverages that effectively address contemporary consumer demands for health-oriented functional beverages while creating valuable utilization pathways for tropical fruits. The optimized products represent promising opportunities for industry application, potentially contributing to reduced post-harvest losses, enhanced farmer incomes, and expanded healthy beverage choices for consumers.</w:t>
      </w:r>
    </w:p>
    <w:p w14:paraId="5CD8A76D" w14:textId="7E9BF81B" w:rsidR="00DB0CBB" w:rsidRDefault="00DB0CBB" w:rsidP="007D40CE">
      <w:pPr>
        <w:jc w:val="both"/>
      </w:pPr>
    </w:p>
    <w:p w14:paraId="0CF38BAB" w14:textId="77777777" w:rsidR="00DB0CBB" w:rsidRDefault="00DB0CBB" w:rsidP="00DB0CBB">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7641CFD2"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5CEAE0A"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4F78E1F"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81428F5"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7415D9"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3876ED50"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1.</w:t>
      </w:r>
    </w:p>
    <w:p w14:paraId="457AFAD7"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2.</w:t>
      </w:r>
    </w:p>
    <w:p w14:paraId="19F5EFB6" w14:textId="77777777" w:rsidR="00DB0CBB" w:rsidRDefault="00DB0CBB" w:rsidP="00DB0CBB">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408A1926" w14:textId="77777777" w:rsidR="00DB0CBB" w:rsidRPr="004009F2" w:rsidRDefault="00DB0CBB" w:rsidP="007D40CE">
      <w:pPr>
        <w:jc w:val="both"/>
      </w:pPr>
    </w:p>
    <w:p w14:paraId="0FCFB9CD" w14:textId="2A968F32" w:rsidR="003178D3" w:rsidRPr="004009F2" w:rsidRDefault="003178D3" w:rsidP="007D40CE">
      <w:pPr>
        <w:jc w:val="both"/>
      </w:pPr>
      <w:r w:rsidRPr="004009F2">
        <w:t>References</w:t>
      </w:r>
    </w:p>
    <w:p w14:paraId="35CD7C75" w14:textId="77777777" w:rsidR="001F2277" w:rsidRPr="004009F2" w:rsidRDefault="001F2277" w:rsidP="001F2277">
      <w:pPr>
        <w:jc w:val="both"/>
      </w:pPr>
      <w:r w:rsidRPr="004009F2">
        <w:t>Abhangrao, A. K., Naidu, A. K., &amp; Yadlod, S. S. (2017). Effect of recipes and cultivars on long storage of guava RTS. </w:t>
      </w:r>
      <w:r w:rsidRPr="004009F2">
        <w:rPr>
          <w:i/>
          <w:iCs/>
        </w:rPr>
        <w:t>Journal of Pharmacognosy and Phytochemistry</w:t>
      </w:r>
      <w:r w:rsidRPr="004009F2">
        <w:t>, 6(5), 993-998.</w:t>
      </w:r>
    </w:p>
    <w:p w14:paraId="272C73E4" w14:textId="77777777" w:rsidR="001F2277" w:rsidRPr="004009F2" w:rsidRDefault="001F2277" w:rsidP="001F2277">
      <w:pPr>
        <w:jc w:val="both"/>
      </w:pPr>
      <w:r w:rsidRPr="004009F2">
        <w:t>Bal, L. M., Ahmad, T., Senapati, A. K., &amp; Pandit, P. S. (2014). Evaluation of quality attributes during storage of guava nectar cv. Lalit from different pulp and TSS ratio. </w:t>
      </w:r>
      <w:r w:rsidRPr="004009F2">
        <w:rPr>
          <w:i/>
          <w:iCs/>
        </w:rPr>
        <w:t>Journal of Food Processing and Technology</w:t>
      </w:r>
      <w:r w:rsidRPr="004009F2">
        <w:t>, 5(5), 1–5.</w:t>
      </w:r>
    </w:p>
    <w:p w14:paraId="6F66AE11" w14:textId="77777777" w:rsidR="001F2277" w:rsidRPr="004009F2" w:rsidRDefault="001F2277" w:rsidP="001F2277">
      <w:pPr>
        <w:jc w:val="both"/>
      </w:pPr>
      <w:r w:rsidRPr="004009F2">
        <w:lastRenderedPageBreak/>
        <w:t>Fagherazzi G, Vilier A, Saes Sartorelli D, Lajous M, Balkau B, Clavel-Chapelon F. (2013). Consumption of artificially and sugar-sweetened beverages and incident type 2 diabetes in the Etude Epidémiologique auprès des femmes de la Mutuelle Générale de l'Education Nationale–European Prospective Investigation into Cancer and Nutrition cohort–. </w:t>
      </w:r>
      <w:r w:rsidRPr="004009F2">
        <w:rPr>
          <w:i/>
          <w:iCs/>
        </w:rPr>
        <w:t>The American journal of clinical nutrition</w:t>
      </w:r>
      <w:r w:rsidRPr="004009F2">
        <w:t>, 97(3), 517-523.</w:t>
      </w:r>
    </w:p>
    <w:p w14:paraId="5130C3E0" w14:textId="77777777" w:rsidR="001F2277" w:rsidRPr="004009F2" w:rsidRDefault="001F2277" w:rsidP="001F2277">
      <w:pPr>
        <w:jc w:val="both"/>
      </w:pPr>
      <w:r w:rsidRPr="004009F2">
        <w:t>FDA. (2018). </w:t>
      </w:r>
      <w:r w:rsidRPr="004009F2">
        <w:rPr>
          <w:i/>
          <w:iCs/>
        </w:rPr>
        <w:t>Additional Information about High-Intensity Sweeteners Permitted for Use in Food in the United States</w:t>
      </w:r>
      <w:r w:rsidRPr="004009F2">
        <w:t>. U.S. Food and Drug Administration.</w:t>
      </w:r>
    </w:p>
    <w:p w14:paraId="56D75266" w14:textId="77777777" w:rsidR="001F2277" w:rsidRPr="004009F2" w:rsidRDefault="001F2277" w:rsidP="001F2277">
      <w:pPr>
        <w:jc w:val="both"/>
      </w:pPr>
      <w:r w:rsidRPr="004009F2">
        <w:t>Hemalatha, R., Kumar, A., Prakash, O., Supriya, A., Chauhan, A. S., &amp; Kudachikar, V. B. (2018). Development and quality evaluation of ready to serve (RTS) beverage from cape gooseberry (Physalis peruviana L.). </w:t>
      </w:r>
      <w:r w:rsidRPr="004009F2">
        <w:rPr>
          <w:i/>
          <w:iCs/>
        </w:rPr>
        <w:t>Beverages</w:t>
      </w:r>
      <w:r w:rsidRPr="004009F2">
        <w:t>, 4(2), 42.</w:t>
      </w:r>
    </w:p>
    <w:p w14:paraId="1D80EDB8" w14:textId="77777777" w:rsidR="001F2277" w:rsidRPr="004009F2" w:rsidRDefault="001F2277" w:rsidP="001F2277">
      <w:pPr>
        <w:jc w:val="both"/>
      </w:pPr>
      <w:r w:rsidRPr="004009F2">
        <w:t>Iqbal Khan, F., Akhtar, S., Qamar, M., Ismail, T., Saeed, W., Esatbeyoglu, T., &amp; Jafari, S. M. (2025). A comprehensive review on guava: Nutritional profile, bioactive potential, and health-promoting properties of its pulp, peel, seeds, pomace and leaves. </w:t>
      </w:r>
      <w:r w:rsidRPr="004009F2">
        <w:rPr>
          <w:i/>
          <w:iCs/>
        </w:rPr>
        <w:t>Trends in Food Science &amp; Technology</w:t>
      </w:r>
      <w:r w:rsidRPr="004009F2">
        <w:t>, 156, 104822.</w:t>
      </w:r>
    </w:p>
    <w:p w14:paraId="762C7D70" w14:textId="77777777" w:rsidR="001F2277" w:rsidRPr="004009F2" w:rsidRDefault="001F2277" w:rsidP="001F2277">
      <w:pPr>
        <w:jc w:val="both"/>
      </w:pPr>
      <w:r w:rsidRPr="004009F2">
        <w:t>Kumar, K., Singh, K. K., Gupta, S., Harendra, Singh, R. S., Singh, G., Singh, M., &amp; Pathak, S. (2024). Biochemical studies of annatto coloured guava beverages on storage. </w:t>
      </w:r>
      <w:r w:rsidRPr="004009F2">
        <w:rPr>
          <w:i/>
          <w:iCs/>
        </w:rPr>
        <w:t>International Journal of Environment and Climate Change</w:t>
      </w:r>
      <w:r w:rsidRPr="004009F2">
        <w:t>, 14(10), 374–379.</w:t>
      </w:r>
    </w:p>
    <w:p w14:paraId="23D52A79" w14:textId="77777777" w:rsidR="001F2277" w:rsidRPr="004009F2" w:rsidRDefault="001F2277" w:rsidP="001F2277">
      <w:pPr>
        <w:jc w:val="both"/>
      </w:pPr>
      <w:r w:rsidRPr="004009F2">
        <w:t>Pallavi, Anushka, and Dhruv Juyal. (2025). "Comparative Analysis of Fresh and Stored Guava Ready to Serve Beverage". </w:t>
      </w:r>
      <w:r w:rsidRPr="004009F2">
        <w:rPr>
          <w:i/>
          <w:iCs/>
        </w:rPr>
        <w:t>Journal of Advances in Food Science &amp; Technology</w:t>
      </w:r>
      <w:r w:rsidRPr="004009F2">
        <w:t> 12 (3):7-14.</w:t>
      </w:r>
    </w:p>
    <w:p w14:paraId="43CB364E" w14:textId="77777777" w:rsidR="001F2277" w:rsidRPr="004009F2" w:rsidRDefault="001F2277" w:rsidP="001F2277">
      <w:pPr>
        <w:jc w:val="both"/>
      </w:pPr>
      <w:r w:rsidRPr="004009F2">
        <w:t>POPESCU, Mariana Violeta; DABIJA, Adriana; CHETRARIU, Ancuța. (2025). THE BENEFITS OF USING NATURAL SWEETENERS IN SPECIAL NUTRITION. A MINI REVIEW. </w:t>
      </w:r>
      <w:r w:rsidRPr="004009F2">
        <w:rPr>
          <w:i/>
          <w:iCs/>
        </w:rPr>
        <w:t>Food and Environment Safety Journal</w:t>
      </w:r>
      <w:r w:rsidRPr="004009F2">
        <w:t>, 24(2).</w:t>
      </w:r>
    </w:p>
    <w:p w14:paraId="65EF19B6" w14:textId="77777777" w:rsidR="001F2277" w:rsidRPr="004009F2" w:rsidRDefault="001F2277" w:rsidP="001F2277">
      <w:pPr>
        <w:jc w:val="both"/>
      </w:pPr>
      <w:r w:rsidRPr="004009F2">
        <w:t>Ranganna, S. (1997). </w:t>
      </w:r>
      <w:r w:rsidRPr="004009F2">
        <w:rPr>
          <w:i/>
          <w:iCs/>
        </w:rPr>
        <w:t>Handbook of analysis and quality control for fruit and vegetable products</w:t>
      </w:r>
      <w:r w:rsidRPr="004009F2">
        <w:t>. Tata McGraw Hill Publishing Co. Ltd., New Delhi.</w:t>
      </w:r>
    </w:p>
    <w:p w14:paraId="20BA50FB" w14:textId="77777777" w:rsidR="001F2277" w:rsidRPr="004009F2" w:rsidRDefault="001F2277" w:rsidP="001F2277">
      <w:pPr>
        <w:jc w:val="both"/>
      </w:pPr>
      <w:r w:rsidRPr="004009F2">
        <w:t>Rashid, R., Bhat, A., Dayal, A., Sood, M., &amp; Sharma, S. (2018). Studies on storage stability of guava RTS. </w:t>
      </w:r>
      <w:r w:rsidRPr="004009F2">
        <w:rPr>
          <w:i/>
          <w:iCs/>
        </w:rPr>
        <w:t>The Pharma Innovation Journal</w:t>
      </w:r>
      <w:r w:rsidRPr="004009F2">
        <w:t>, 7(5), 230-233.</w:t>
      </w:r>
    </w:p>
    <w:p w14:paraId="26C17C4F" w14:textId="77777777" w:rsidR="001F2277" w:rsidRPr="004009F2" w:rsidRDefault="001F2277" w:rsidP="001F2277">
      <w:pPr>
        <w:jc w:val="both"/>
      </w:pPr>
      <w:r w:rsidRPr="004009F2">
        <w:t>Rathinasamy, M., Ayyasamy, S., Velusamy, S., &amp; Suresh, A. (2022). Natural fruits based ready to serve (RTS) beverages: a review. </w:t>
      </w:r>
      <w:r w:rsidRPr="004009F2">
        <w:rPr>
          <w:i/>
          <w:iCs/>
        </w:rPr>
        <w:t>Journal of Food Science and Technology</w:t>
      </w:r>
      <w:r w:rsidRPr="004009F2">
        <w:t>, 59(12), 4563–4569.</w:t>
      </w:r>
    </w:p>
    <w:p w14:paraId="67CAB558" w14:textId="77777777" w:rsidR="001F2277" w:rsidRPr="004009F2" w:rsidRDefault="001F2277" w:rsidP="001F2277">
      <w:pPr>
        <w:jc w:val="both"/>
      </w:pPr>
      <w:r w:rsidRPr="004009F2">
        <w:t>Sandhu, K. S., Singh, M., Ahluwalia, P. (2001). Studies on processing of guava into pulp and guava leather. </w:t>
      </w:r>
      <w:r w:rsidRPr="004009F2">
        <w:rPr>
          <w:i/>
          <w:iCs/>
        </w:rPr>
        <w:t>Journal of Food Science and Technology</w:t>
      </w:r>
      <w:r w:rsidRPr="004009F2">
        <w:t>, 38(6), 622-624.</w:t>
      </w:r>
    </w:p>
    <w:p w14:paraId="669BD838" w14:textId="77777777" w:rsidR="001F2277" w:rsidRPr="004009F2" w:rsidRDefault="001F2277" w:rsidP="001F2277">
      <w:pPr>
        <w:jc w:val="both"/>
      </w:pPr>
      <w:r w:rsidRPr="004009F2">
        <w:t>Singh, K. K., &amp; Singh, S. P. (2018). A review: Micropropagation of guava (Psidium spp.). </w:t>
      </w:r>
      <w:r w:rsidRPr="004009F2">
        <w:rPr>
          <w:i/>
          <w:iCs/>
        </w:rPr>
        <w:t>Journal of Pharmacognosy and Phytochemistry</w:t>
      </w:r>
      <w:r w:rsidRPr="004009F2">
        <w:t>, 7(4), 145–150.</w:t>
      </w:r>
    </w:p>
    <w:p w14:paraId="03C2C1BA" w14:textId="77777777" w:rsidR="001F2277" w:rsidRPr="004009F2" w:rsidRDefault="001F2277" w:rsidP="001F2277">
      <w:pPr>
        <w:jc w:val="both"/>
      </w:pPr>
      <w:r w:rsidRPr="004009F2">
        <w:t>Singh, K. K., Kumar, P., Rani, P., Sharma, P. K., Rana, M. K., Singh, D., Mehla, O. P., &amp; Sran, A. S. (2023). Physico-chemical characteristics of different guava (Psidium guajava L.) cultivars: A review. </w:t>
      </w:r>
      <w:r w:rsidRPr="004009F2">
        <w:rPr>
          <w:i/>
          <w:iCs/>
        </w:rPr>
        <w:t>Plant Archives</w:t>
      </w:r>
      <w:r w:rsidRPr="004009F2">
        <w:t>, 23(1), 293–297.</w:t>
      </w:r>
    </w:p>
    <w:p w14:paraId="618EA6D4" w14:textId="77777777" w:rsidR="001F2277" w:rsidRPr="001F2277" w:rsidRDefault="001F2277" w:rsidP="001F2277">
      <w:pPr>
        <w:jc w:val="both"/>
      </w:pPr>
      <w:r w:rsidRPr="004009F2">
        <w:t>Yadav, S. K., Sarolia, D., Pilania, S., Meena, H., &amp; Mahawer, L. (2017). Studies on Keeping Quality of Preserved Guava Pulp during Storage. </w:t>
      </w:r>
      <w:r w:rsidRPr="004009F2">
        <w:rPr>
          <w:i/>
          <w:iCs/>
        </w:rPr>
        <w:t>International Journal of Current Microbiology and Applied Sciences</w:t>
      </w:r>
      <w:r w:rsidRPr="004009F2">
        <w:t>, 6(3), 1235-1242.</w:t>
      </w:r>
    </w:p>
    <w:sectPr w:rsidR="001F2277" w:rsidRPr="001F227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9A909" w14:textId="77777777" w:rsidR="00FD16DE" w:rsidRDefault="00FD16DE" w:rsidP="001466D8">
      <w:pPr>
        <w:spacing w:after="0" w:line="240" w:lineRule="auto"/>
      </w:pPr>
      <w:r>
        <w:separator/>
      </w:r>
    </w:p>
  </w:endnote>
  <w:endnote w:type="continuationSeparator" w:id="0">
    <w:p w14:paraId="6C3304F3" w14:textId="77777777" w:rsidR="00FD16DE" w:rsidRDefault="00FD16DE" w:rsidP="0014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5007" w14:textId="77777777" w:rsidR="001466D8" w:rsidRDefault="00146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4B2D" w14:textId="77777777" w:rsidR="001466D8" w:rsidRDefault="00146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7A282" w14:textId="77777777" w:rsidR="001466D8" w:rsidRDefault="0014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F6FF" w14:textId="77777777" w:rsidR="00FD16DE" w:rsidRDefault="00FD16DE" w:rsidP="001466D8">
      <w:pPr>
        <w:spacing w:after="0" w:line="240" w:lineRule="auto"/>
      </w:pPr>
      <w:r>
        <w:separator/>
      </w:r>
    </w:p>
  </w:footnote>
  <w:footnote w:type="continuationSeparator" w:id="0">
    <w:p w14:paraId="476590B7" w14:textId="77777777" w:rsidR="00FD16DE" w:rsidRDefault="00FD16DE" w:rsidP="0014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8AA8" w14:textId="521ECCDE" w:rsidR="001466D8" w:rsidRDefault="00FD16DE">
    <w:pPr>
      <w:pStyle w:val="Header"/>
    </w:pPr>
    <w:r>
      <w:rPr>
        <w:noProof/>
      </w:rPr>
      <w:pict w14:anchorId="28FEC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102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0C13" w14:textId="37DE3F0A" w:rsidR="001466D8" w:rsidRDefault="00FD16DE">
    <w:pPr>
      <w:pStyle w:val="Header"/>
    </w:pPr>
    <w:r>
      <w:rPr>
        <w:noProof/>
      </w:rPr>
      <w:pict w14:anchorId="79A48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102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5E509" w14:textId="35F40D75" w:rsidR="001466D8" w:rsidRDefault="00FD16DE">
    <w:pPr>
      <w:pStyle w:val="Header"/>
    </w:pPr>
    <w:r>
      <w:rPr>
        <w:noProof/>
      </w:rPr>
      <w:pict w14:anchorId="1EB23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102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C65"/>
    <w:multiLevelType w:val="multilevel"/>
    <w:tmpl w:val="B1DE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E5861"/>
    <w:multiLevelType w:val="hybridMultilevel"/>
    <w:tmpl w:val="B17ED9B0"/>
    <w:lvl w:ilvl="0" w:tplc="5AC8079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47047F"/>
    <w:multiLevelType w:val="multilevel"/>
    <w:tmpl w:val="5C64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2642D9"/>
    <w:multiLevelType w:val="multilevel"/>
    <w:tmpl w:val="8BF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534AA"/>
    <w:multiLevelType w:val="multilevel"/>
    <w:tmpl w:val="4808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D0A71"/>
    <w:multiLevelType w:val="multilevel"/>
    <w:tmpl w:val="7A18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200CF"/>
    <w:multiLevelType w:val="hybridMultilevel"/>
    <w:tmpl w:val="2D800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48"/>
    <w:rsid w:val="00034E39"/>
    <w:rsid w:val="0005284E"/>
    <w:rsid w:val="000C421C"/>
    <w:rsid w:val="000D7C4C"/>
    <w:rsid w:val="000F1647"/>
    <w:rsid w:val="001466D8"/>
    <w:rsid w:val="00173374"/>
    <w:rsid w:val="001A1BF4"/>
    <w:rsid w:val="001B3FAE"/>
    <w:rsid w:val="001B7C7C"/>
    <w:rsid w:val="001C21F1"/>
    <w:rsid w:val="001E208C"/>
    <w:rsid w:val="001F2277"/>
    <w:rsid w:val="002C6799"/>
    <w:rsid w:val="002F756F"/>
    <w:rsid w:val="0030141C"/>
    <w:rsid w:val="003178D3"/>
    <w:rsid w:val="00325948"/>
    <w:rsid w:val="00366927"/>
    <w:rsid w:val="004009F2"/>
    <w:rsid w:val="00436375"/>
    <w:rsid w:val="004454E9"/>
    <w:rsid w:val="00473E8E"/>
    <w:rsid w:val="004B7FA1"/>
    <w:rsid w:val="004D7BCA"/>
    <w:rsid w:val="004F4C4B"/>
    <w:rsid w:val="00542184"/>
    <w:rsid w:val="00581C2D"/>
    <w:rsid w:val="005E3866"/>
    <w:rsid w:val="005E44F8"/>
    <w:rsid w:val="005F0C27"/>
    <w:rsid w:val="00621C4A"/>
    <w:rsid w:val="00677485"/>
    <w:rsid w:val="006E6C3A"/>
    <w:rsid w:val="007574F2"/>
    <w:rsid w:val="007C7F89"/>
    <w:rsid w:val="007D3793"/>
    <w:rsid w:val="007D40CE"/>
    <w:rsid w:val="007E3A75"/>
    <w:rsid w:val="007E6284"/>
    <w:rsid w:val="008123E9"/>
    <w:rsid w:val="008556B6"/>
    <w:rsid w:val="008C31F9"/>
    <w:rsid w:val="0090161D"/>
    <w:rsid w:val="0092244C"/>
    <w:rsid w:val="00940C46"/>
    <w:rsid w:val="00956543"/>
    <w:rsid w:val="00983E7E"/>
    <w:rsid w:val="009B4911"/>
    <w:rsid w:val="009E1A60"/>
    <w:rsid w:val="009F4EF5"/>
    <w:rsid w:val="00A00415"/>
    <w:rsid w:val="00A0651B"/>
    <w:rsid w:val="00A22144"/>
    <w:rsid w:val="00A257D2"/>
    <w:rsid w:val="00A37F7F"/>
    <w:rsid w:val="00A450C1"/>
    <w:rsid w:val="00A62D69"/>
    <w:rsid w:val="00A7341F"/>
    <w:rsid w:val="00A9579F"/>
    <w:rsid w:val="00AB3F70"/>
    <w:rsid w:val="00AC47D2"/>
    <w:rsid w:val="00AD6445"/>
    <w:rsid w:val="00AF6E6C"/>
    <w:rsid w:val="00BB533B"/>
    <w:rsid w:val="00BC1356"/>
    <w:rsid w:val="00C21369"/>
    <w:rsid w:val="00C46FD8"/>
    <w:rsid w:val="00C571BF"/>
    <w:rsid w:val="00C605A9"/>
    <w:rsid w:val="00CB5B21"/>
    <w:rsid w:val="00D37A97"/>
    <w:rsid w:val="00D54787"/>
    <w:rsid w:val="00D5783F"/>
    <w:rsid w:val="00D814F4"/>
    <w:rsid w:val="00DB0CBB"/>
    <w:rsid w:val="00DB63EB"/>
    <w:rsid w:val="00DE1314"/>
    <w:rsid w:val="00DE5D01"/>
    <w:rsid w:val="00E62882"/>
    <w:rsid w:val="00E70D0A"/>
    <w:rsid w:val="00E74651"/>
    <w:rsid w:val="00EB1452"/>
    <w:rsid w:val="00EB50BF"/>
    <w:rsid w:val="00EC65A9"/>
    <w:rsid w:val="00F10454"/>
    <w:rsid w:val="00F2338E"/>
    <w:rsid w:val="00F3354A"/>
    <w:rsid w:val="00F637ED"/>
    <w:rsid w:val="00FD16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ADFBD"/>
  <w15:docId w15:val="{67701576-EE44-4FBF-9349-DC854C8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948"/>
    <w:rPr>
      <w:rFonts w:eastAsiaTheme="majorEastAsia" w:cstheme="majorBidi"/>
      <w:color w:val="272727" w:themeColor="text1" w:themeTint="D8"/>
    </w:rPr>
  </w:style>
  <w:style w:type="paragraph" w:styleId="Title">
    <w:name w:val="Title"/>
    <w:basedOn w:val="Normal"/>
    <w:next w:val="Normal"/>
    <w:link w:val="TitleChar"/>
    <w:uiPriority w:val="10"/>
    <w:qFormat/>
    <w:rsid w:val="00325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948"/>
    <w:pPr>
      <w:spacing w:before="160"/>
      <w:jc w:val="center"/>
    </w:pPr>
    <w:rPr>
      <w:i/>
      <w:iCs/>
      <w:color w:val="404040" w:themeColor="text1" w:themeTint="BF"/>
    </w:rPr>
  </w:style>
  <w:style w:type="character" w:customStyle="1" w:styleId="QuoteChar">
    <w:name w:val="Quote Char"/>
    <w:basedOn w:val="DefaultParagraphFont"/>
    <w:link w:val="Quote"/>
    <w:uiPriority w:val="29"/>
    <w:rsid w:val="00325948"/>
    <w:rPr>
      <w:i/>
      <w:iCs/>
      <w:color w:val="404040" w:themeColor="text1" w:themeTint="BF"/>
    </w:rPr>
  </w:style>
  <w:style w:type="paragraph" w:styleId="ListParagraph">
    <w:name w:val="List Paragraph"/>
    <w:basedOn w:val="Normal"/>
    <w:uiPriority w:val="34"/>
    <w:qFormat/>
    <w:rsid w:val="00325948"/>
    <w:pPr>
      <w:ind w:left="720"/>
      <w:contextualSpacing/>
    </w:pPr>
  </w:style>
  <w:style w:type="character" w:styleId="IntenseEmphasis">
    <w:name w:val="Intense Emphasis"/>
    <w:basedOn w:val="DefaultParagraphFont"/>
    <w:uiPriority w:val="21"/>
    <w:qFormat/>
    <w:rsid w:val="00325948"/>
    <w:rPr>
      <w:i/>
      <w:iCs/>
      <w:color w:val="2F5496" w:themeColor="accent1" w:themeShade="BF"/>
    </w:rPr>
  </w:style>
  <w:style w:type="paragraph" w:styleId="IntenseQuote">
    <w:name w:val="Intense Quote"/>
    <w:basedOn w:val="Normal"/>
    <w:next w:val="Normal"/>
    <w:link w:val="IntenseQuoteChar"/>
    <w:uiPriority w:val="30"/>
    <w:qFormat/>
    <w:rsid w:val="00325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948"/>
    <w:rPr>
      <w:i/>
      <w:iCs/>
      <w:color w:val="2F5496" w:themeColor="accent1" w:themeShade="BF"/>
    </w:rPr>
  </w:style>
  <w:style w:type="character" w:styleId="IntenseReference">
    <w:name w:val="Intense Reference"/>
    <w:basedOn w:val="DefaultParagraphFont"/>
    <w:uiPriority w:val="32"/>
    <w:qFormat/>
    <w:rsid w:val="00325948"/>
    <w:rPr>
      <w:b/>
      <w:bCs/>
      <w:smallCaps/>
      <w:color w:val="2F5496" w:themeColor="accent1" w:themeShade="BF"/>
      <w:spacing w:val="5"/>
    </w:rPr>
  </w:style>
  <w:style w:type="character" w:styleId="Hyperlink">
    <w:name w:val="Hyperlink"/>
    <w:basedOn w:val="DefaultParagraphFont"/>
    <w:uiPriority w:val="99"/>
    <w:unhideWhenUsed/>
    <w:rsid w:val="007574F2"/>
    <w:rPr>
      <w:color w:val="0563C1" w:themeColor="hyperlink"/>
      <w:u w:val="single"/>
    </w:rPr>
  </w:style>
  <w:style w:type="character" w:customStyle="1" w:styleId="UnresolvedMention1">
    <w:name w:val="Unresolved Mention1"/>
    <w:basedOn w:val="DefaultParagraphFont"/>
    <w:uiPriority w:val="99"/>
    <w:semiHidden/>
    <w:unhideWhenUsed/>
    <w:rsid w:val="007574F2"/>
    <w:rPr>
      <w:color w:val="605E5C"/>
      <w:shd w:val="clear" w:color="auto" w:fill="E1DFDD"/>
    </w:rPr>
  </w:style>
  <w:style w:type="paragraph" w:styleId="Header">
    <w:name w:val="header"/>
    <w:basedOn w:val="Normal"/>
    <w:link w:val="HeaderChar"/>
    <w:uiPriority w:val="99"/>
    <w:unhideWhenUsed/>
    <w:rsid w:val="0014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D8"/>
  </w:style>
  <w:style w:type="paragraph" w:styleId="Footer">
    <w:name w:val="footer"/>
    <w:basedOn w:val="Normal"/>
    <w:link w:val="FooterChar"/>
    <w:uiPriority w:val="99"/>
    <w:unhideWhenUsed/>
    <w:rsid w:val="0014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4367</Words>
  <Characters>24894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 nicobar</dc:creator>
  <cp:lastModifiedBy>SDI 1158</cp:lastModifiedBy>
  <cp:revision>10</cp:revision>
  <dcterms:created xsi:type="dcterms:W3CDTF">2025-11-13T09:18:00Z</dcterms:created>
  <dcterms:modified xsi:type="dcterms:W3CDTF">2025-11-15T05:21:00Z</dcterms:modified>
</cp:coreProperties>
</file>