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4C9A" w:rsidRDefault="00754C9A" w:rsidP="00441B6F">
      <w:pPr>
        <w:pStyle w:val="Ttulo"/>
        <w:spacing w:after="0"/>
        <w:jc w:val="both"/>
        <w:rPr>
          <w:rFonts w:ascii="Arial" w:hAnsi="Arial" w:cs="Arial"/>
        </w:rPr>
      </w:pPr>
    </w:p>
    <w:p w:rsidR="00E36BCF" w:rsidRPr="00E36BCF" w:rsidRDefault="00E36BCF" w:rsidP="00441B6F">
      <w:pPr>
        <w:pStyle w:val="Author"/>
        <w:spacing w:line="240" w:lineRule="auto"/>
        <w:rPr>
          <w:rFonts w:ascii="Arial" w:hAnsi="Arial" w:cs="Arial"/>
          <w:bCs/>
          <w:iCs/>
          <w:kern w:val="28"/>
          <w:sz w:val="36"/>
          <w:szCs w:val="36"/>
        </w:rPr>
      </w:pPr>
      <w:r w:rsidRPr="00E36BCF">
        <w:rPr>
          <w:rFonts w:ascii="Arial" w:hAnsi="Arial" w:cs="Arial"/>
          <w:bCs/>
          <w:color w:val="000000" w:themeColor="text1"/>
          <w:sz w:val="36"/>
          <w:szCs w:val="36"/>
        </w:rPr>
        <w:t>Effect of three endodontic sealers and ultrasonic agitation on tooth discoloration</w:t>
      </w:r>
      <w:r w:rsidR="00741C8C">
        <w:rPr>
          <w:rFonts w:ascii="Arial" w:hAnsi="Arial" w:cs="Arial"/>
          <w:bCs/>
          <w:color w:val="000000" w:themeColor="text1"/>
          <w:sz w:val="36"/>
          <w:szCs w:val="36"/>
        </w:rPr>
        <w:t xml:space="preserve">: </w:t>
      </w:r>
      <w:r w:rsidR="00741C8C" w:rsidRPr="00DC673B">
        <w:rPr>
          <w:rFonts w:ascii="Arial" w:hAnsi="Arial" w:cs="Arial"/>
          <w:bCs/>
          <w:color w:val="000000" w:themeColor="text1"/>
          <w:sz w:val="36"/>
          <w:szCs w:val="36"/>
          <w:highlight w:val="yellow"/>
        </w:rPr>
        <w:t xml:space="preserve">an </w:t>
      </w:r>
      <w:r w:rsidR="00741C8C" w:rsidRPr="00DC673B">
        <w:rPr>
          <w:rFonts w:ascii="Arial" w:hAnsi="Arial" w:cs="Arial"/>
          <w:bCs/>
          <w:i/>
          <w:iCs/>
          <w:color w:val="000000" w:themeColor="text1"/>
          <w:sz w:val="36"/>
          <w:szCs w:val="36"/>
          <w:highlight w:val="yellow"/>
        </w:rPr>
        <w:t>in vitro</w:t>
      </w:r>
      <w:r w:rsidR="00741C8C" w:rsidRPr="00DC673B">
        <w:rPr>
          <w:rFonts w:ascii="Arial" w:hAnsi="Arial" w:cs="Arial"/>
          <w:bCs/>
          <w:color w:val="000000" w:themeColor="text1"/>
          <w:sz w:val="36"/>
          <w:szCs w:val="36"/>
          <w:highlight w:val="yellow"/>
        </w:rPr>
        <w:t xml:space="preserve"> study</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BD6780" w:rsidP="00441B6F">
      <w:pPr>
        <w:pStyle w:val="Copyright"/>
        <w:spacing w:after="0" w:line="240" w:lineRule="auto"/>
        <w:jc w:val="both"/>
        <w:rPr>
          <w:rFonts w:ascii="Arial" w:hAnsi="Arial" w:cs="Arial"/>
        </w:rPr>
        <w:sectPr w:rsidR="00B01FCD" w:rsidRPr="00FB3A86" w:rsidSect="00412475">
          <w:headerReference w:type="even" r:id="rId8"/>
          <w:headerReference w:type="default" r:id="rId9"/>
          <w:headerReference w:type="first" r:id="rId10"/>
          <w:footerReference w:type="first" r:id="rId11"/>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635"/>
                <wp:effectExtent l="17145" t="10160" r="13335" b="1841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E364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C85FB9" w:rsidRPr="00FB3A86" w:rsidRDefault="00C85FB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F4857" w:rsidRPr="001F4857">
              <w:rPr>
                <w:rFonts w:ascii="Arial" w:eastAsia="Calibri" w:hAnsi="Arial" w:cs="Arial"/>
                <w:szCs w:val="22"/>
              </w:rPr>
              <w:t>To evaluate the color change (ΔE) induced by the endodontic cements: Endofill (EF), Sealer 26 (S26) and MTA Fillapex (MTAF); as well as to investigate the impact of ultrasonic agitation (U</w:t>
            </w:r>
            <w:r w:rsidR="009F7F93">
              <w:rPr>
                <w:rFonts w:ascii="Arial" w:eastAsia="Calibri" w:hAnsi="Arial" w:cs="Arial"/>
                <w:szCs w:val="22"/>
              </w:rPr>
              <w:t>A</w:t>
            </w:r>
            <w:r w:rsidR="001F4857" w:rsidRPr="001F4857">
              <w:rPr>
                <w:rFonts w:ascii="Arial" w:eastAsia="Calibri" w:hAnsi="Arial" w:cs="Arial"/>
                <w:szCs w:val="22"/>
              </w:rPr>
              <w:t>) on the degree of discoloration produced.</w:t>
            </w:r>
          </w:p>
          <w:p w:rsidR="009614B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614B0" w:rsidRPr="009614B0">
              <w:rPr>
                <w:rFonts w:ascii="Arial" w:eastAsia="Calibri" w:hAnsi="Arial" w:cs="Arial"/>
                <w:szCs w:val="22"/>
              </w:rPr>
              <w:t>Sixty bovine incisor blocks were prepared, in which circular cavities were created on the palatal surfaces, preserving a 2.0 mm thick dentin remnant. The specimens were distributed into six groups according to the endodontic cement and treatment employed. When present, ultrasonic agitation (UA) was performed using a smooth insert coupled to a piezoelectric device. Color parameter measurements were obtained using a Vita Easyshade spectrophotometer immediately after material insertion and restoration (T0), and subsequently at 7 (T1), 30 (T2), 60 (T3), 90 (T4), and 180 days (T5). Throughout the experimental period, the specimens remained immersed in 2 mL of saline solution and stored in an incubator at 37 °C. The statistical analysis of the data was conducted using the Kruskal-Wallis and Dunn tests, adopting a significance level of 5%.</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614B0" w:rsidRPr="009614B0">
              <w:rPr>
                <w:rFonts w:ascii="Arial" w:eastAsia="Calibri" w:hAnsi="Arial" w:cs="Arial"/>
                <w:szCs w:val="22"/>
              </w:rPr>
              <w:t>It was found that, at 7 and 30 days, only the Endofill (EF) group without ultrasonic agitation (U</w:t>
            </w:r>
            <w:r w:rsidR="00037B07">
              <w:rPr>
                <w:rFonts w:ascii="Arial" w:eastAsia="Calibri" w:hAnsi="Arial" w:cs="Arial"/>
                <w:szCs w:val="22"/>
              </w:rPr>
              <w:t>A</w:t>
            </w:r>
            <w:r w:rsidR="009614B0" w:rsidRPr="009614B0">
              <w:rPr>
                <w:rFonts w:ascii="Arial" w:eastAsia="Calibri" w:hAnsi="Arial" w:cs="Arial"/>
                <w:szCs w:val="22"/>
              </w:rPr>
              <w:t>) exhibited ΔE values ​​greater than 3.7 (the limit considered clinically perceptible for color change). After 60 days, all cements evaluated showed ΔE above this threshold, indicating perceptible discoloration in all groups.</w:t>
            </w:r>
            <w:r w:rsidR="009614B0">
              <w:rPr>
                <w:rFonts w:ascii="Arial" w:eastAsia="Calibri" w:hAnsi="Arial" w:cs="Arial"/>
                <w:szCs w:val="22"/>
              </w:rPr>
              <w:t xml:space="preserve"> </w:t>
            </w:r>
            <w:r w:rsidR="00217E82" w:rsidRPr="00217E82">
              <w:rPr>
                <w:rFonts w:ascii="Arial" w:eastAsia="Calibri" w:hAnsi="Arial" w:cs="Arial"/>
                <w:szCs w:val="22"/>
                <w:highlight w:val="yellow"/>
              </w:rPr>
              <w:t>Comparative analysis revealed statistically significant differences in discoloration among Endofill, Sealer 26 and MTA Fillapex, indicating that color alteration progressed consistently over time (P &lt; 0.05).</w:t>
            </w:r>
          </w:p>
          <w:p w:rsidR="00505F06" w:rsidRPr="00BA1B01" w:rsidRDefault="00BA1B01" w:rsidP="005E564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37B07" w:rsidRPr="00037B07">
              <w:rPr>
                <w:rFonts w:ascii="Arial" w:eastAsia="Calibri" w:hAnsi="Arial" w:cs="Arial"/>
                <w:szCs w:val="22"/>
              </w:rPr>
              <w:t>The results of this study showed that, although only Endofill (EF) cement exhibited a perceptible color change in the initial periods, by the end of the evaluation all materials tested showed some degree of darkening. Furthermore, the use of ultrasonic agitation (</w:t>
            </w:r>
            <w:r w:rsidR="00037B07">
              <w:rPr>
                <w:rFonts w:ascii="Arial" w:eastAsia="Calibri" w:hAnsi="Arial" w:cs="Arial"/>
                <w:szCs w:val="22"/>
              </w:rPr>
              <w:t>U</w:t>
            </w:r>
            <w:r w:rsidR="00037B07" w:rsidRPr="00037B07">
              <w:rPr>
                <w:rFonts w:ascii="Arial" w:eastAsia="Calibri" w:hAnsi="Arial" w:cs="Arial"/>
                <w:szCs w:val="22"/>
              </w:rPr>
              <w:t>A) did not have a significant impact on the observed color variations.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7D5380" w:rsidRPr="007D5380">
        <w:rPr>
          <w:rFonts w:ascii="Arial" w:hAnsi="Arial" w:cs="Arial"/>
          <w:i/>
          <w:iCs/>
          <w:color w:val="000000" w:themeColor="text1"/>
        </w:rPr>
        <w:t>Endodontics; Tooth Discoloration; Root Canal Filling Materials; Ultrasonics</w:t>
      </w:r>
      <w:r w:rsidR="007D5380" w:rsidRPr="007D5380">
        <w:rPr>
          <w:rFonts w:ascii="Arial" w:hAnsi="Arial" w:cs="Arial"/>
          <w:i/>
          <w:sz w:val="16"/>
          <w:szCs w:val="16"/>
        </w:rPr>
        <w:t xml:space="preserve"> </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1203A1" w:rsidRDefault="001203A1"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When the pulp becomes non-viable, endodontic treatment aims to achieve its objective through debridement and disinfection, removing microorganisms, and obturation, in order to fill the root canal system (</w:t>
      </w:r>
      <w:r w:rsidR="0092466D">
        <w:rPr>
          <w:rFonts w:ascii="Arial" w:hAnsi="Arial" w:cs="Arial"/>
          <w:color w:val="000000" w:themeColor="text1"/>
        </w:rPr>
        <w:t>Chen, et al., 2017</w:t>
      </w:r>
      <w:r w:rsidRPr="00CC3F94">
        <w:rPr>
          <w:rFonts w:ascii="Arial" w:hAnsi="Arial" w:cs="Arial"/>
          <w:color w:val="000000" w:themeColor="text1"/>
        </w:rPr>
        <w:t>). However, incomplete filling by obturation materials can lead to endodontic failure, even with meticulous biomechanical preparation (</w:t>
      </w:r>
      <w:r w:rsidR="0092466D">
        <w:rPr>
          <w:rFonts w:ascii="Arial" w:hAnsi="Arial" w:cs="Arial"/>
          <w:color w:val="000000" w:themeColor="text1"/>
        </w:rPr>
        <w:t>Kalantar et al., 2021</w:t>
      </w:r>
      <w:r w:rsidRPr="00CC3F94">
        <w:rPr>
          <w:rFonts w:ascii="Arial" w:hAnsi="Arial" w:cs="Arial"/>
          <w:color w:val="000000" w:themeColor="text1"/>
        </w:rPr>
        <w:t>).</w:t>
      </w:r>
    </w:p>
    <w:p w:rsidR="00CC3F94" w:rsidRPr="00CC3F94" w:rsidRDefault="00AD7817" w:rsidP="00CC3F94">
      <w:pPr>
        <w:jc w:val="both"/>
        <w:rPr>
          <w:rFonts w:ascii="Arial" w:hAnsi="Arial" w:cs="Arial"/>
          <w:color w:val="000000" w:themeColor="text1"/>
        </w:rPr>
      </w:pPr>
      <w:r w:rsidRPr="00AD7817">
        <w:rPr>
          <w:rFonts w:ascii="Arial" w:hAnsi="Arial" w:cs="Arial"/>
          <w:color w:val="000000" w:themeColor="text1"/>
        </w:rPr>
        <w:t>A key point for the execution of endodontic treatment</w:t>
      </w:r>
      <w:r w:rsidR="00CC3F94" w:rsidRPr="00CC3F94">
        <w:rPr>
          <w:rFonts w:ascii="Arial" w:hAnsi="Arial" w:cs="Arial"/>
          <w:color w:val="000000" w:themeColor="text1"/>
        </w:rPr>
        <w:t xml:space="preserve"> is the patient’s quality of life, as oral problems can significantly affect physical and psychological well-being (</w:t>
      </w:r>
      <w:r w:rsidR="0092466D">
        <w:rPr>
          <w:rFonts w:ascii="Arial" w:hAnsi="Arial" w:cs="Arial"/>
          <w:color w:val="000000" w:themeColor="text1"/>
        </w:rPr>
        <w:t>Avancini et al., 2025</w:t>
      </w:r>
      <w:r w:rsidR="00CC3F94" w:rsidRPr="00CC3F94">
        <w:rPr>
          <w:rFonts w:ascii="Arial" w:hAnsi="Arial" w:cs="Arial"/>
          <w:color w:val="000000" w:themeColor="text1"/>
        </w:rPr>
        <w:t xml:space="preserve">). </w:t>
      </w:r>
      <w:r w:rsidR="00CC3F94" w:rsidRPr="00CC3F94">
        <w:rPr>
          <w:rFonts w:ascii="Arial" w:hAnsi="Arial" w:cs="Arial"/>
          <w:color w:val="000000" w:themeColor="text1"/>
        </w:rPr>
        <w:lastRenderedPageBreak/>
        <w:t>Among the associated issues, dental discoloration</w:t>
      </w:r>
      <w:r>
        <w:rPr>
          <w:rFonts w:ascii="Arial" w:hAnsi="Arial" w:cs="Arial"/>
          <w:color w:val="000000" w:themeColor="text1"/>
        </w:rPr>
        <w:t xml:space="preserve">, </w:t>
      </w:r>
      <w:r w:rsidR="00CC3F94" w:rsidRPr="00CC3F94">
        <w:rPr>
          <w:rFonts w:ascii="Arial" w:hAnsi="Arial" w:cs="Arial"/>
          <w:color w:val="000000" w:themeColor="text1"/>
        </w:rPr>
        <w:t>often caused by materials used in obturation</w:t>
      </w:r>
      <w:r>
        <w:rPr>
          <w:rFonts w:ascii="Arial" w:hAnsi="Arial" w:cs="Arial"/>
          <w:color w:val="000000" w:themeColor="text1"/>
        </w:rPr>
        <w:t>,</w:t>
      </w:r>
      <w:r w:rsidR="00CC3F94" w:rsidRPr="00CC3F94">
        <w:rPr>
          <w:rFonts w:ascii="Arial" w:hAnsi="Arial" w:cs="Arial"/>
          <w:color w:val="000000" w:themeColor="text1"/>
        </w:rPr>
        <w:t xml:space="preserve"> is a significant aesthetic concern.</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Dentin discoloration induced by endodontic sealers</w:t>
      </w:r>
      <w:r w:rsidR="00AD7817" w:rsidRPr="00AD7817">
        <w:rPr>
          <w:rFonts w:ascii="Arial" w:hAnsi="Arial" w:cs="Arial"/>
          <w:color w:val="000000" w:themeColor="text1"/>
        </w:rPr>
        <w:t xml:space="preserve"> is a consequence of the interaction between </w:t>
      </w:r>
      <w:r w:rsidRPr="00CC3F94">
        <w:rPr>
          <w:rFonts w:ascii="Arial" w:hAnsi="Arial" w:cs="Arial"/>
          <w:color w:val="000000" w:themeColor="text1"/>
        </w:rPr>
        <w:t>radiopacifying agents and dentin collagen fibers, compromising the aesthetic outcome of the treatment (</w:t>
      </w:r>
      <w:r w:rsidR="0092466D">
        <w:rPr>
          <w:rFonts w:ascii="Arial" w:hAnsi="Arial" w:cs="Arial"/>
          <w:color w:val="000000" w:themeColor="text1"/>
        </w:rPr>
        <w:t>Savaris et al., 2024; Luna-Cruz et al., 2024; Assmann et al., 2012</w:t>
      </w:r>
      <w:r w:rsidRPr="00CC3F94">
        <w:rPr>
          <w:rFonts w:ascii="Arial" w:hAnsi="Arial" w:cs="Arial"/>
          <w:color w:val="000000" w:themeColor="text1"/>
        </w:rPr>
        <w:t>). This effect can directly impact patient satisfaction and emotional well-being.</w:t>
      </w:r>
    </w:p>
    <w:p w:rsidR="00CC3F94" w:rsidRPr="00CC3F94" w:rsidRDefault="002E5B12" w:rsidP="00CC3F94">
      <w:pPr>
        <w:jc w:val="both"/>
        <w:rPr>
          <w:rFonts w:ascii="Arial" w:hAnsi="Arial" w:cs="Arial"/>
          <w:color w:val="000000" w:themeColor="text1"/>
        </w:rPr>
      </w:pPr>
      <w:r w:rsidRPr="002E5B12">
        <w:rPr>
          <w:rFonts w:ascii="Arial" w:hAnsi="Arial" w:cs="Arial"/>
          <w:color w:val="000000" w:themeColor="text1"/>
        </w:rPr>
        <w:t>Currently, there is a wide variety of endodontic cements available on the market. Among the most traditional, those formulated with zinc oxide and eugenol stand out</w:t>
      </w:r>
      <w:r w:rsidR="00CC3F94" w:rsidRPr="00CC3F94">
        <w:rPr>
          <w:rFonts w:ascii="Arial" w:hAnsi="Arial" w:cs="Arial"/>
          <w:color w:val="000000" w:themeColor="text1"/>
        </w:rPr>
        <w:t>, which are widely used worldwide (</w:t>
      </w:r>
      <w:r w:rsidR="00B879A3">
        <w:rPr>
          <w:rFonts w:ascii="Arial" w:hAnsi="Arial" w:cs="Arial"/>
          <w:color w:val="000000" w:themeColor="text1"/>
        </w:rPr>
        <w:t>Assmann et al., 2012; Komabayashi et al., 2020</w:t>
      </w:r>
      <w:r w:rsidR="00CC3F94" w:rsidRPr="00CC3F94">
        <w:rPr>
          <w:rFonts w:ascii="Arial" w:hAnsi="Arial" w:cs="Arial"/>
          <w:color w:val="000000" w:themeColor="text1"/>
        </w:rPr>
        <w:t>). Endofill cement (Dentsply Brasil, Petrópolis, RJ, Brazil) belongs to this category</w:t>
      </w:r>
      <w:r w:rsidR="00B43D79">
        <w:rPr>
          <w:rFonts w:ascii="Arial" w:hAnsi="Arial" w:cs="Arial"/>
          <w:color w:val="000000" w:themeColor="text1"/>
        </w:rPr>
        <w:t>; t</w:t>
      </w:r>
      <w:r w:rsidR="00B43D79" w:rsidRPr="00B43D79">
        <w:rPr>
          <w:rFonts w:ascii="Arial" w:hAnsi="Arial" w:cs="Arial"/>
          <w:color w:val="000000" w:themeColor="text1"/>
        </w:rPr>
        <w:t>hese cements are composed of two components: a powder containing zinc oxide, hydrogenated resin, bismuth subcarbonate, barium sulfate, and sodium borate; and a liquid component made up of eugenol and sweet almond oil.</w:t>
      </w:r>
      <w:r w:rsidR="00CC3F94" w:rsidRPr="00CC3F94">
        <w:rPr>
          <w:rFonts w:ascii="Arial" w:hAnsi="Arial" w:cs="Arial"/>
          <w:color w:val="000000" w:themeColor="text1"/>
        </w:rPr>
        <w:t xml:space="preserve"> This sealer exhibits exceptional flowability and meets appropriate standards for radiopacity and plasticity, as required by ISO 6876/2012 (</w:t>
      </w:r>
      <w:r w:rsidR="001D3CCA">
        <w:rPr>
          <w:rFonts w:ascii="Arial" w:hAnsi="Arial" w:cs="Arial"/>
          <w:color w:val="000000" w:themeColor="text1"/>
        </w:rPr>
        <w:t>Torabinejad, Pariokh and Dummer 2018</w:t>
      </w:r>
      <w:r w:rsidR="00CC3F94"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In addition to zinc oxide and eugenol-based sealers, there are those formulated with plastic resins as the main component (</w:t>
      </w:r>
      <w:r w:rsidR="00136FD9">
        <w:rPr>
          <w:rFonts w:ascii="Arial" w:hAnsi="Arial" w:cs="Arial"/>
          <w:color w:val="000000" w:themeColor="text1"/>
        </w:rPr>
        <w:t>Alcalde et al., 2017; Camilleri 2015</w:t>
      </w:r>
      <w:r w:rsidRPr="00CC3F94">
        <w:rPr>
          <w:rFonts w:ascii="Arial" w:hAnsi="Arial" w:cs="Arial"/>
          <w:color w:val="000000" w:themeColor="text1"/>
        </w:rPr>
        <w:t>), providing greater mechanical strength compared to conventional materials (</w:t>
      </w:r>
      <w:r w:rsidR="008069B9">
        <w:rPr>
          <w:rFonts w:ascii="Arial" w:hAnsi="Arial" w:cs="Arial"/>
          <w:color w:val="000000" w:themeColor="text1"/>
        </w:rPr>
        <w:t>Eramo et al., 2018; Cintra et al., 2017; Tomás-Catalá et al., 2017)</w:t>
      </w:r>
      <w:r w:rsidRPr="00CC3F94">
        <w:rPr>
          <w:rFonts w:ascii="Arial" w:hAnsi="Arial" w:cs="Arial"/>
          <w:color w:val="000000" w:themeColor="text1"/>
        </w:rPr>
        <w:t xml:space="preserve">. An example of this group is Sealer 26 (Dentsply Brasil), </w:t>
      </w:r>
      <w:r w:rsidR="00DE5240" w:rsidRPr="00DE5240">
        <w:rPr>
          <w:rFonts w:ascii="Arial" w:hAnsi="Arial" w:cs="Arial"/>
          <w:color w:val="000000" w:themeColor="text1"/>
        </w:rPr>
        <w:t>which is composed of a powder containing bismuth oxide</w:t>
      </w:r>
      <w:r w:rsidRPr="00CC3F94">
        <w:rPr>
          <w:rFonts w:ascii="Arial" w:hAnsi="Arial" w:cs="Arial"/>
          <w:color w:val="000000" w:themeColor="text1"/>
        </w:rPr>
        <w:t>, calcium hydroxide, hexamethylenetetramine, and titanium dioxide) bound to an epoxy-bisphenol resin (</w:t>
      </w:r>
      <w:r w:rsidR="000F0DEF">
        <w:rPr>
          <w:rFonts w:ascii="Arial" w:hAnsi="Arial" w:cs="Arial"/>
          <w:color w:val="000000" w:themeColor="text1"/>
        </w:rPr>
        <w:t>Bernabé et al., 2013; Guimarães et al., 2014</w:t>
      </w:r>
      <w:r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Another relevant category includes bioceramic sealers, which consist of ceramic or metallic oxides with sufficient biocompatibility to interact with human tissues, stimulate regeneration, and promote tissue resorption (</w:t>
      </w:r>
      <w:r w:rsidR="0061617C">
        <w:rPr>
          <w:rFonts w:ascii="Arial" w:hAnsi="Arial" w:cs="Arial"/>
          <w:color w:val="000000" w:themeColor="text1"/>
        </w:rPr>
        <w:t>Marciano et al., 2017; Al-Fouzan et al., 2012; Lenherr et al., 2012</w:t>
      </w:r>
      <w:r w:rsidRPr="00CC3F94">
        <w:rPr>
          <w:rFonts w:ascii="Arial" w:hAnsi="Arial" w:cs="Arial"/>
          <w:color w:val="000000" w:themeColor="text1"/>
        </w:rPr>
        <w:t xml:space="preserve">). A well-known example is </w:t>
      </w:r>
      <w:r w:rsidR="00757854" w:rsidRPr="00757854">
        <w:rPr>
          <w:rFonts w:ascii="Arial" w:hAnsi="Arial" w:cs="Arial"/>
          <w:color w:val="000000" w:themeColor="text1"/>
        </w:rPr>
        <w:t xml:space="preserve">mineral trioxide aggregate (MTA) based sealing cements </w:t>
      </w:r>
      <w:r w:rsidRPr="00CC3F94">
        <w:rPr>
          <w:rFonts w:ascii="Arial" w:hAnsi="Arial" w:cs="Arial"/>
          <w:color w:val="000000" w:themeColor="text1"/>
        </w:rPr>
        <w:t>(</w:t>
      </w:r>
      <w:r w:rsidR="00B908EE">
        <w:rPr>
          <w:rFonts w:ascii="Arial" w:hAnsi="Arial" w:cs="Arial"/>
          <w:color w:val="000000" w:themeColor="text1"/>
        </w:rPr>
        <w:t>Marciano et al., 2014; Dettwiler et al., 2016</w:t>
      </w:r>
      <w:r w:rsidRPr="00CC3F94">
        <w:rPr>
          <w:rFonts w:ascii="Arial" w:hAnsi="Arial" w:cs="Arial"/>
          <w:color w:val="000000" w:themeColor="text1"/>
        </w:rPr>
        <w:t>). These materials exhibit excellent sealing ability, biocompatibility, and bioactivity, making them widely indicated for endodontic therapy, including pulp capping, pulpotomy, root perforation sealing, apexification, and retrograde obturation (</w:t>
      </w:r>
      <w:r w:rsidR="004B7456">
        <w:rPr>
          <w:rFonts w:ascii="Arial" w:hAnsi="Arial" w:cs="Arial"/>
          <w:color w:val="000000" w:themeColor="text1"/>
        </w:rPr>
        <w:t>Marciano, Duarte and Camilleri 2015</w:t>
      </w:r>
      <w:r w:rsidRPr="00CC3F94">
        <w:rPr>
          <w:rFonts w:ascii="Arial" w:hAnsi="Arial" w:cs="Arial"/>
          <w:color w:val="000000" w:themeColor="text1"/>
        </w:rPr>
        <w:t xml:space="preserve">). </w:t>
      </w:r>
      <w:r w:rsidR="009C5D42" w:rsidRPr="009C5D42">
        <w:rPr>
          <w:rFonts w:ascii="Arial" w:hAnsi="Arial" w:cs="Arial"/>
          <w:color w:val="000000" w:themeColor="text1"/>
        </w:rPr>
        <w:t xml:space="preserve">However, MTA has some limitations, including difficulty in handling, prolonged hardening time, and the possibility of color alteration. </w:t>
      </w:r>
      <w:r w:rsidRPr="00CC3F94">
        <w:rPr>
          <w:rFonts w:ascii="Arial" w:hAnsi="Arial" w:cs="Arial"/>
          <w:color w:val="000000" w:themeColor="text1"/>
        </w:rPr>
        <w:t>(</w:t>
      </w:r>
      <w:r w:rsidR="00C95014">
        <w:rPr>
          <w:rFonts w:ascii="Arial" w:hAnsi="Arial" w:cs="Arial"/>
          <w:color w:val="000000" w:themeColor="text1"/>
        </w:rPr>
        <w:t>Camilleri, Sorrentino and Damidot 2013; Richman 195</w:t>
      </w:r>
      <w:r w:rsidR="00D33F96">
        <w:rPr>
          <w:rFonts w:ascii="Arial" w:hAnsi="Arial" w:cs="Arial"/>
          <w:color w:val="000000" w:themeColor="text1"/>
        </w:rPr>
        <w:t>7</w:t>
      </w:r>
      <w:r w:rsidRPr="00CC3F94">
        <w:rPr>
          <w:rFonts w:ascii="Arial" w:hAnsi="Arial" w:cs="Arial"/>
          <w:color w:val="000000" w:themeColor="text1"/>
        </w:rPr>
        <w:t>). Among the most accessible materials in this category, MTA Fillapex stands out as</w:t>
      </w:r>
      <w:r w:rsidR="00A55526" w:rsidRPr="00A55526">
        <w:rPr>
          <w:rFonts w:ascii="Arial" w:hAnsi="Arial" w:cs="Arial"/>
          <w:color w:val="000000" w:themeColor="text1"/>
        </w:rPr>
        <w:t xml:space="preserve"> a sealant made up of salicylate resin, diluent resin, natural resin, bismuth oxide, radiopacifying agents, silica nanoparticles, mineral trioxide aggregate (MTA), and pigments.</w:t>
      </w:r>
      <w:r w:rsidRPr="00CC3F94">
        <w:rPr>
          <w:rFonts w:ascii="Arial" w:hAnsi="Arial" w:cs="Arial"/>
          <w:color w:val="000000" w:themeColor="text1"/>
        </w:rPr>
        <w:t xml:space="preserve"> (</w:t>
      </w:r>
      <w:r w:rsidR="005F4268">
        <w:rPr>
          <w:rFonts w:ascii="Arial" w:hAnsi="Arial" w:cs="Arial"/>
          <w:color w:val="000000" w:themeColor="text1"/>
        </w:rPr>
        <w:t>Dettwiler et al., 2016; Camilleri, Sorrentino and Damidot 2013</w:t>
      </w:r>
      <w:r w:rsidRPr="00CC3F94">
        <w:rPr>
          <w:rFonts w:ascii="Arial" w:hAnsi="Arial" w:cs="Arial"/>
          <w:color w:val="000000" w:themeColor="text1"/>
        </w:rPr>
        <w:t>). Its distinctive feature lies in its radiopacifier: calcium tungstate.</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Studies have shown that ultrasound-assisted obturation results in a denser and more homogeneous filling compared to the more commonly used lateral compaction technique (</w:t>
      </w:r>
      <w:r w:rsidR="00F42B62">
        <w:rPr>
          <w:rFonts w:ascii="Arial" w:hAnsi="Arial" w:cs="Arial"/>
          <w:color w:val="000000" w:themeColor="text1"/>
        </w:rPr>
        <w:t xml:space="preserve">Alcalde et al., 2017; Bernabé et al., 2013; </w:t>
      </w:r>
      <w:r w:rsidR="00917C8D">
        <w:rPr>
          <w:rFonts w:ascii="Arial" w:hAnsi="Arial" w:cs="Arial"/>
          <w:color w:val="222222"/>
          <w:shd w:val="clear" w:color="auto" w:fill="FFFFFF"/>
        </w:rPr>
        <w:t>Yoldaş</w:t>
      </w:r>
      <w:r w:rsidR="00917C8D">
        <w:rPr>
          <w:rFonts w:ascii="Arial" w:hAnsi="Arial" w:cs="Arial"/>
          <w:color w:val="000000" w:themeColor="text1"/>
        </w:rPr>
        <w:t xml:space="preserve"> </w:t>
      </w:r>
      <w:r w:rsidR="00F42B62">
        <w:rPr>
          <w:rFonts w:ascii="Arial" w:hAnsi="Arial" w:cs="Arial"/>
          <w:color w:val="000000" w:themeColor="text1"/>
        </w:rPr>
        <w:t>et al., 2016</w:t>
      </w:r>
      <w:r w:rsidRPr="00CC3F94">
        <w:rPr>
          <w:rFonts w:ascii="Arial" w:hAnsi="Arial" w:cs="Arial"/>
          <w:color w:val="000000" w:themeColor="text1"/>
        </w:rPr>
        <w:t>). Ultrasonically assisted active lateral condensation has been employed to soften gutta-percha, improving its adaptation to canal walls (</w:t>
      </w:r>
      <w:r w:rsidR="005B0F1A">
        <w:rPr>
          <w:rFonts w:ascii="Arial" w:hAnsi="Arial" w:cs="Arial"/>
          <w:color w:val="000000" w:themeColor="text1"/>
        </w:rPr>
        <w:t>Alcalde et al., 2017; Bernabé et al., 2013</w:t>
      </w:r>
      <w:r w:rsidRPr="00CC3F94">
        <w:rPr>
          <w:rFonts w:ascii="Arial" w:hAnsi="Arial" w:cs="Arial"/>
          <w:color w:val="000000" w:themeColor="text1"/>
        </w:rPr>
        <w:t>). Some in vitro studies report that this technique provides better sealing ability and higher gutta-percha density than manual lateral compaction (</w:t>
      </w:r>
      <w:r w:rsidR="005B0F1A">
        <w:rPr>
          <w:rFonts w:ascii="Arial" w:hAnsi="Arial" w:cs="Arial"/>
          <w:color w:val="000000" w:themeColor="text1"/>
        </w:rPr>
        <w:t>Alcalde et al., 2017</w:t>
      </w:r>
      <w:r w:rsidRPr="00CC3F94">
        <w:rPr>
          <w:rFonts w:ascii="Arial" w:hAnsi="Arial" w:cs="Arial"/>
          <w:color w:val="000000" w:themeColor="text1"/>
        </w:rPr>
        <w:t>). However, the influence of ultrasound agitation on sealer distribution and its impact on the discoloration potential of these materials still require further investigation (</w:t>
      </w:r>
      <w:r w:rsidR="005B0F1A">
        <w:rPr>
          <w:rFonts w:ascii="Arial" w:hAnsi="Arial" w:cs="Arial"/>
          <w:color w:val="000000" w:themeColor="text1"/>
        </w:rPr>
        <w:t>Bernabé et al., 2013; Aguiar et al., 2019</w:t>
      </w:r>
      <w:r w:rsidRPr="00CC3F94">
        <w:rPr>
          <w:rFonts w:ascii="Arial" w:hAnsi="Arial" w:cs="Arial"/>
          <w:color w:val="000000" w:themeColor="text1"/>
        </w:rPr>
        <w:t>).</w:t>
      </w:r>
    </w:p>
    <w:p w:rsidR="00CC3F94" w:rsidRPr="00CC3F94" w:rsidRDefault="00CC3F94" w:rsidP="00CC3F94">
      <w:pPr>
        <w:jc w:val="both"/>
        <w:rPr>
          <w:rFonts w:ascii="Arial" w:hAnsi="Arial" w:cs="Arial"/>
          <w:color w:val="000000" w:themeColor="text1"/>
        </w:rPr>
      </w:pPr>
      <w:r w:rsidRPr="00CC3F94">
        <w:rPr>
          <w:rFonts w:ascii="Arial" w:hAnsi="Arial" w:cs="Arial"/>
          <w:color w:val="000000" w:themeColor="text1"/>
        </w:rPr>
        <w:t xml:space="preserve">With the ongoing development of new endodontic sealers and the potential positive interactions associated with ultrasonic agitation, a more detailed assessment of the possible discoloration effects of Endofill, Sealer 26, and MTA Fillapex is warranted. The null hypothesis will assume no significant differences among the tested endodontic sealers regarding dentin discoloration induction and that ultrasonic agitation </w:t>
      </w:r>
      <w:r w:rsidR="00EE2EF6" w:rsidRPr="00EE2EF6">
        <w:rPr>
          <w:rFonts w:ascii="Arial" w:hAnsi="Arial" w:cs="Arial"/>
          <w:color w:val="000000" w:themeColor="text1"/>
        </w:rPr>
        <w:t xml:space="preserve">will have no impact on the </w:t>
      </w:r>
      <w:r w:rsidRPr="00CC3F94">
        <w:rPr>
          <w:rFonts w:ascii="Arial" w:hAnsi="Arial" w:cs="Arial"/>
          <w:color w:val="000000" w:themeColor="text1"/>
        </w:rPr>
        <w:t>darkening effect.</w:t>
      </w:r>
    </w:p>
    <w:p w:rsidR="00790ADA" w:rsidRDefault="00790ADA" w:rsidP="00441B6F">
      <w:pPr>
        <w:pStyle w:val="Body"/>
        <w:spacing w:after="0"/>
        <w:rPr>
          <w:rFonts w:ascii="Arial" w:hAnsi="Arial" w:cs="Arial"/>
        </w:rPr>
      </w:pPr>
    </w:p>
    <w:p w:rsidR="00CC3F94" w:rsidRPr="00FB3A86" w:rsidRDefault="00CC3F94"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E44FCF" w:rsidRDefault="00B34640" w:rsidP="00E44FCF">
      <w:pPr>
        <w:jc w:val="both"/>
        <w:rPr>
          <w:rFonts w:ascii="Arial" w:hAnsi="Arial" w:cs="Arial"/>
          <w:color w:val="000000" w:themeColor="text1"/>
        </w:rPr>
      </w:pPr>
      <w:r w:rsidRPr="00B34640">
        <w:rPr>
          <w:rFonts w:ascii="Arial" w:hAnsi="Arial" w:cs="Arial"/>
          <w:color w:val="000000" w:themeColor="text1"/>
        </w:rPr>
        <w:t>For this study, 60 bovine anterior teeth, all with a single root, were selected.</w:t>
      </w:r>
      <w:r w:rsidR="00E44FCF" w:rsidRPr="009418CD">
        <w:rPr>
          <w:rFonts w:ascii="Arial" w:hAnsi="Arial" w:cs="Arial"/>
          <w:color w:val="000000" w:themeColor="text1"/>
        </w:rPr>
        <w:t xml:space="preserve"> These were cleaned, </w:t>
      </w:r>
      <w:r w:rsidR="00B0040C">
        <w:rPr>
          <w:rFonts w:ascii="Arial" w:hAnsi="Arial" w:cs="Arial"/>
          <w:color w:val="000000" w:themeColor="text1"/>
        </w:rPr>
        <w:t>and</w:t>
      </w:r>
      <w:r w:rsidR="00B0040C" w:rsidRPr="00B0040C">
        <w:rPr>
          <w:rFonts w:ascii="Arial" w:hAnsi="Arial" w:cs="Arial"/>
          <w:color w:val="000000" w:themeColor="text1"/>
        </w:rPr>
        <w:t xml:space="preserve"> the roots were sectioned horizontally at the cementoenamel junction using a diamond disc.</w:t>
      </w:r>
      <w:r w:rsidR="00E44FCF" w:rsidRPr="009418CD">
        <w:rPr>
          <w:rFonts w:ascii="Arial" w:hAnsi="Arial" w:cs="Arial"/>
          <w:color w:val="000000" w:themeColor="text1"/>
        </w:rPr>
        <w:t xml:space="preserve"> (7011; KG Sorensen, Cotia, SP, Brazil). After this step, 10 × 10 mm blocks were extracted from the buccal portion of the crowns</w:t>
      </w:r>
      <w:r w:rsidR="00290D4E">
        <w:rPr>
          <w:rFonts w:ascii="Arial" w:hAnsi="Arial" w:cs="Arial"/>
          <w:color w:val="000000" w:themeColor="text1"/>
        </w:rPr>
        <w:t xml:space="preserve">. </w:t>
      </w:r>
      <w:r w:rsidR="00290D4E" w:rsidRPr="00290D4E">
        <w:rPr>
          <w:rFonts w:ascii="Arial" w:hAnsi="Arial" w:cs="Arial"/>
          <w:color w:val="000000" w:themeColor="text1"/>
        </w:rPr>
        <w:t>Each block had its thickness adjusted to 3.5 ± 0.3 mm by removing the palatal surface. Subsequently, circular cavities with a diameter of 5.0 mm and approximately 1.5 mm in depth were prepared in the central region of the lingual surface of each tooth, using a #1057 diamond bur</w:t>
      </w:r>
      <w:r w:rsidR="00E44FCF" w:rsidRPr="009418CD">
        <w:rPr>
          <w:rFonts w:ascii="Arial" w:hAnsi="Arial" w:cs="Arial"/>
          <w:color w:val="000000" w:themeColor="text1"/>
        </w:rPr>
        <w:t xml:space="preserve"> (KG Sorensen), leaving a residual dentin and enamel thickness of 2.0 mm, which was verified with a caliper. </w:t>
      </w:r>
      <w:r w:rsidR="0000066B" w:rsidRPr="0000066B">
        <w:rPr>
          <w:rFonts w:ascii="Arial" w:hAnsi="Arial" w:cs="Arial"/>
          <w:color w:val="000000" w:themeColor="text1"/>
        </w:rPr>
        <w:t>Subsequently, the 74 samples were immersed in a 2.5% sodium hypochlorite solution for a period of 15 minutes</w:t>
      </w:r>
      <w:r w:rsidR="00E44FCF" w:rsidRPr="009418CD">
        <w:rPr>
          <w:rFonts w:ascii="Arial" w:hAnsi="Arial" w:cs="Arial"/>
          <w:color w:val="000000" w:themeColor="text1"/>
        </w:rPr>
        <w:t xml:space="preserve">, </w:t>
      </w:r>
      <w:r w:rsidR="004C5D82" w:rsidRPr="00F311D5">
        <w:rPr>
          <w:rFonts w:ascii="Arial" w:eastAsia="Calibri" w:hAnsi="Arial" w:cs="Arial"/>
          <w:szCs w:val="22"/>
          <w:highlight w:val="yellow"/>
        </w:rPr>
        <w:t>saline solution</w:t>
      </w:r>
      <w:r w:rsidR="004C5D82" w:rsidRPr="005E564B">
        <w:rPr>
          <w:rFonts w:ascii="Arial" w:eastAsia="Calibri" w:hAnsi="Arial" w:cs="Arial"/>
          <w:szCs w:val="22"/>
        </w:rPr>
        <w:t xml:space="preserve"> </w:t>
      </w:r>
      <w:r w:rsidR="00E44FCF" w:rsidRPr="009418CD">
        <w:rPr>
          <w:rFonts w:ascii="Arial" w:hAnsi="Arial" w:cs="Arial"/>
          <w:color w:val="000000" w:themeColor="text1"/>
        </w:rPr>
        <w:t xml:space="preserve">for 1 minute, 17% EDTA (Biodinâmica Química e Farmacêutica Ltda., Ibiporã, PR, Brazil) for 3 minutes, and again in </w:t>
      </w:r>
      <w:r w:rsidR="004C5D82" w:rsidRPr="00F311D5">
        <w:rPr>
          <w:rFonts w:ascii="Arial" w:eastAsia="Calibri" w:hAnsi="Arial" w:cs="Arial"/>
          <w:szCs w:val="22"/>
          <w:highlight w:val="yellow"/>
        </w:rPr>
        <w:t>saline solution</w:t>
      </w:r>
      <w:r w:rsidR="004C5D82" w:rsidRPr="005E564B">
        <w:rPr>
          <w:rFonts w:ascii="Arial" w:eastAsia="Calibri" w:hAnsi="Arial" w:cs="Arial"/>
          <w:szCs w:val="22"/>
        </w:rPr>
        <w:t xml:space="preserve"> </w:t>
      </w:r>
      <w:r w:rsidR="00E44FCF" w:rsidRPr="009418CD">
        <w:rPr>
          <w:rFonts w:ascii="Arial" w:hAnsi="Arial" w:cs="Arial"/>
          <w:color w:val="000000" w:themeColor="text1"/>
        </w:rPr>
        <w:t xml:space="preserve">for another 1 minute to remove the smear layer. </w:t>
      </w:r>
      <w:r w:rsidR="00F23FD3" w:rsidRPr="00F23FD3">
        <w:rPr>
          <w:rFonts w:ascii="Arial" w:hAnsi="Arial" w:cs="Arial"/>
          <w:color w:val="000000" w:themeColor="text1"/>
        </w:rPr>
        <w:t>Finally, the samples were carefully dried using filter paper.</w:t>
      </w:r>
    </w:p>
    <w:p w:rsidR="00F23FD3" w:rsidRPr="009418CD" w:rsidRDefault="00F23FD3" w:rsidP="00E44FCF">
      <w:pPr>
        <w:jc w:val="both"/>
        <w:rPr>
          <w:rFonts w:ascii="Arial" w:hAnsi="Arial" w:cs="Arial"/>
          <w:color w:val="000000" w:themeColor="text1"/>
        </w:rPr>
      </w:pPr>
    </w:p>
    <w:p w:rsidR="00393E6E" w:rsidRDefault="00393E6E" w:rsidP="00E44FCF">
      <w:pPr>
        <w:jc w:val="center"/>
        <w:rPr>
          <w:rFonts w:ascii="Arial" w:hAnsi="Arial" w:cs="Arial"/>
          <w:color w:val="000000" w:themeColor="text1"/>
        </w:rPr>
      </w:pPr>
      <w:r w:rsidRPr="00393E6E">
        <w:rPr>
          <w:rFonts w:ascii="Arial" w:hAnsi="Arial" w:cs="Arial"/>
          <w:color w:val="000000" w:themeColor="text1"/>
        </w:rPr>
        <w:t>The blocks were randomly distributed among the experimental groups, as shown in Table 1.</w:t>
      </w:r>
    </w:p>
    <w:p w:rsidR="00393E6E" w:rsidRDefault="00393E6E" w:rsidP="00E44FCF">
      <w:pPr>
        <w:jc w:val="center"/>
        <w:rPr>
          <w:rFonts w:ascii="Arial" w:hAnsi="Arial" w:cs="Arial"/>
          <w:b/>
          <w:bCs/>
          <w:color w:val="000000" w:themeColor="text1"/>
          <w:sz w:val="16"/>
          <w:szCs w:val="16"/>
        </w:rPr>
      </w:pPr>
    </w:p>
    <w:p w:rsidR="00E44FCF" w:rsidRPr="00A613FF" w:rsidRDefault="00E44FCF" w:rsidP="00E44FCF">
      <w:pPr>
        <w:jc w:val="center"/>
        <w:rPr>
          <w:rFonts w:ascii="Arial" w:hAnsi="Arial" w:cs="Arial"/>
          <w:b/>
          <w:bCs/>
          <w:color w:val="000000" w:themeColor="text1"/>
          <w:sz w:val="16"/>
          <w:szCs w:val="16"/>
        </w:rPr>
      </w:pPr>
      <w:r w:rsidRPr="00A613FF">
        <w:rPr>
          <w:rFonts w:ascii="Arial" w:hAnsi="Arial" w:cs="Arial"/>
          <w:b/>
          <w:bCs/>
          <w:color w:val="000000" w:themeColor="text1"/>
          <w:sz w:val="16"/>
          <w:szCs w:val="16"/>
        </w:rPr>
        <w:t xml:space="preserve">Table 1. </w:t>
      </w:r>
      <w:r w:rsidRPr="00A613FF">
        <w:rPr>
          <w:rFonts w:ascii="Arial" w:hAnsi="Arial" w:cs="Arial"/>
          <w:b/>
          <w:bCs/>
          <w:sz w:val="16"/>
          <w:szCs w:val="16"/>
        </w:rPr>
        <w:t>Division of Experimental Groups</w:t>
      </w:r>
    </w:p>
    <w:tbl>
      <w:tblPr>
        <w:tblStyle w:val="TabelaSimples21"/>
        <w:tblW w:w="8405" w:type="dxa"/>
        <w:tblLook w:val="04A0" w:firstRow="1" w:lastRow="0" w:firstColumn="1" w:lastColumn="0" w:noHBand="0" w:noVBand="1"/>
      </w:tblPr>
      <w:tblGrid>
        <w:gridCol w:w="3344"/>
        <w:gridCol w:w="5061"/>
      </w:tblGrid>
      <w:tr w:rsidR="00E44FCF" w:rsidRPr="0041243D" w:rsidTr="00044F69">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FE0376">
              <w:rPr>
                <w:rFonts w:ascii="Times New Roman" w:hAnsi="Times New Roman" w:cs="Times New Roman"/>
                <w:sz w:val="24"/>
                <w:szCs w:val="24"/>
              </w:rPr>
              <w:t>SEALER</w:t>
            </w:r>
          </w:p>
        </w:tc>
        <w:tc>
          <w:tcPr>
            <w:tcW w:w="5061" w:type="dxa"/>
          </w:tcPr>
          <w:p w:rsidR="00E44FCF" w:rsidRPr="0041243D" w:rsidRDefault="00E44FCF" w:rsidP="00044F6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E0376">
              <w:rPr>
                <w:rFonts w:ascii="Times New Roman" w:hAnsi="Times New Roman" w:cs="Times New Roman"/>
                <w:sz w:val="24"/>
                <w:szCs w:val="24"/>
              </w:rPr>
              <w:t>TREATMENT</w:t>
            </w:r>
          </w:p>
        </w:tc>
      </w:tr>
      <w:tr w:rsidR="00E44FCF" w:rsidRPr="0041243D" w:rsidTr="00044F69">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41243D">
              <w:rPr>
                <w:rFonts w:ascii="Times New Roman" w:hAnsi="Times New Roman" w:cs="Times New Roman"/>
                <w:sz w:val="24"/>
                <w:szCs w:val="24"/>
              </w:rPr>
              <w:t>Endofill</w:t>
            </w:r>
          </w:p>
        </w:tc>
        <w:tc>
          <w:tcPr>
            <w:tcW w:w="5061" w:type="dxa"/>
          </w:tcPr>
          <w:p w:rsidR="00E44FCF"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With ultrasonic agitation (EF/</w:t>
            </w:r>
            <w:r w:rsidR="00971B31" w:rsidRPr="00971B31">
              <w:rPr>
                <w:rFonts w:ascii="Times New Roman" w:hAnsi="Times New Roman" w:cs="Times New Roman"/>
                <w:sz w:val="24"/>
                <w:szCs w:val="24"/>
                <w:highlight w:val="yellow"/>
              </w:rPr>
              <w:t>UA</w:t>
            </w:r>
            <w:r w:rsidRPr="006D6B1B">
              <w:rPr>
                <w:rFonts w:ascii="Times New Roman" w:hAnsi="Times New Roman" w:cs="Times New Roman"/>
                <w:sz w:val="24"/>
                <w:szCs w:val="24"/>
              </w:rPr>
              <w:t>)</w:t>
            </w:r>
          </w:p>
          <w:p w:rsidR="00E44FCF" w:rsidRPr="0041243D"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Without ultrasonic agitation </w:t>
            </w:r>
            <w:r w:rsidRPr="0041243D">
              <w:rPr>
                <w:rFonts w:ascii="Times New Roman" w:hAnsi="Times New Roman" w:cs="Times New Roman"/>
                <w:sz w:val="24"/>
                <w:szCs w:val="24"/>
              </w:rPr>
              <w:t>(EF)</w:t>
            </w:r>
          </w:p>
        </w:tc>
      </w:tr>
      <w:tr w:rsidR="00E44FCF" w:rsidRPr="0041243D" w:rsidTr="00044F69">
        <w:trPr>
          <w:trHeight w:val="462"/>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41243D">
              <w:rPr>
                <w:rFonts w:ascii="Times New Roman" w:hAnsi="Times New Roman" w:cs="Times New Roman"/>
                <w:sz w:val="24"/>
                <w:szCs w:val="24"/>
              </w:rPr>
              <w:t>Sealer 26</w:t>
            </w:r>
          </w:p>
        </w:tc>
        <w:tc>
          <w:tcPr>
            <w:tcW w:w="5061" w:type="dxa"/>
          </w:tcPr>
          <w:p w:rsidR="00E44FCF" w:rsidRPr="00021FF2" w:rsidRDefault="00E44FCF" w:rsidP="00044F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With ultrasonic agitation</w:t>
            </w:r>
            <w:r w:rsidRPr="00021FF2">
              <w:rPr>
                <w:rFonts w:ascii="Times New Roman" w:hAnsi="Times New Roman" w:cs="Times New Roman"/>
                <w:sz w:val="24"/>
                <w:szCs w:val="24"/>
              </w:rPr>
              <w:t xml:space="preserve"> (S26/</w:t>
            </w:r>
            <w:r w:rsidR="00971B31" w:rsidRPr="00971B31">
              <w:rPr>
                <w:rFonts w:ascii="Times New Roman" w:hAnsi="Times New Roman" w:cs="Times New Roman"/>
                <w:sz w:val="24"/>
                <w:szCs w:val="24"/>
                <w:highlight w:val="yellow"/>
              </w:rPr>
              <w:t>UA</w:t>
            </w:r>
            <w:r w:rsidRPr="00021FF2">
              <w:rPr>
                <w:rFonts w:ascii="Times New Roman" w:hAnsi="Times New Roman" w:cs="Times New Roman"/>
                <w:sz w:val="24"/>
                <w:szCs w:val="24"/>
              </w:rPr>
              <w:t>)</w:t>
            </w:r>
          </w:p>
          <w:p w:rsidR="00E44FCF" w:rsidRPr="0041243D" w:rsidRDefault="00E44FCF" w:rsidP="00044F6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Without ultrasonic agitation </w:t>
            </w:r>
            <w:r w:rsidRPr="0041243D">
              <w:rPr>
                <w:rFonts w:ascii="Times New Roman" w:hAnsi="Times New Roman" w:cs="Times New Roman"/>
                <w:sz w:val="24"/>
                <w:szCs w:val="24"/>
              </w:rPr>
              <w:t>(S26)</w:t>
            </w:r>
          </w:p>
        </w:tc>
      </w:tr>
      <w:tr w:rsidR="00E44FCF" w:rsidRPr="0041243D" w:rsidTr="00044F6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3344" w:type="dxa"/>
          </w:tcPr>
          <w:p w:rsidR="00E44FCF" w:rsidRPr="0041243D" w:rsidRDefault="00E44FCF" w:rsidP="00044F69">
            <w:pPr>
              <w:spacing w:line="360" w:lineRule="auto"/>
              <w:jc w:val="center"/>
              <w:rPr>
                <w:rFonts w:ascii="Times New Roman" w:hAnsi="Times New Roman" w:cs="Times New Roman"/>
                <w:sz w:val="24"/>
                <w:szCs w:val="24"/>
              </w:rPr>
            </w:pPr>
            <w:r w:rsidRPr="0041243D">
              <w:rPr>
                <w:rFonts w:ascii="Times New Roman" w:hAnsi="Times New Roman" w:cs="Times New Roman"/>
                <w:sz w:val="24"/>
                <w:szCs w:val="24"/>
              </w:rPr>
              <w:t>MTA Fillapex</w:t>
            </w:r>
          </w:p>
        </w:tc>
        <w:tc>
          <w:tcPr>
            <w:tcW w:w="5061" w:type="dxa"/>
          </w:tcPr>
          <w:p w:rsidR="00E44FCF" w:rsidRPr="00021FF2"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 ultrasonic agitation </w:t>
            </w:r>
            <w:r w:rsidRPr="00021FF2">
              <w:rPr>
                <w:rFonts w:ascii="Times New Roman" w:hAnsi="Times New Roman" w:cs="Times New Roman"/>
                <w:sz w:val="24"/>
                <w:szCs w:val="24"/>
              </w:rPr>
              <w:t>(MTAF/</w:t>
            </w:r>
            <w:r w:rsidR="00971B31" w:rsidRPr="00971B31">
              <w:rPr>
                <w:rFonts w:ascii="Times New Roman" w:hAnsi="Times New Roman" w:cs="Times New Roman"/>
                <w:sz w:val="24"/>
                <w:szCs w:val="24"/>
                <w:highlight w:val="yellow"/>
              </w:rPr>
              <w:t>UA</w:t>
            </w:r>
            <w:r w:rsidRPr="00021FF2">
              <w:rPr>
                <w:rFonts w:ascii="Times New Roman" w:hAnsi="Times New Roman" w:cs="Times New Roman"/>
                <w:sz w:val="24"/>
                <w:szCs w:val="24"/>
              </w:rPr>
              <w:t>)</w:t>
            </w:r>
          </w:p>
          <w:p w:rsidR="00E44FCF" w:rsidRPr="0041243D" w:rsidRDefault="00E44FCF" w:rsidP="00044F6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6B1B">
              <w:rPr>
                <w:rFonts w:ascii="Times New Roman" w:hAnsi="Times New Roman" w:cs="Times New Roman"/>
                <w:sz w:val="24"/>
                <w:szCs w:val="24"/>
              </w:rPr>
              <w:t xml:space="preserve">Without ultrasonic agitation </w:t>
            </w:r>
            <w:r w:rsidRPr="0041243D">
              <w:rPr>
                <w:rFonts w:ascii="Times New Roman" w:hAnsi="Times New Roman" w:cs="Times New Roman"/>
                <w:sz w:val="24"/>
                <w:szCs w:val="24"/>
              </w:rPr>
              <w:t>(MTAF)</w:t>
            </w:r>
          </w:p>
        </w:tc>
      </w:tr>
    </w:tbl>
    <w:p w:rsidR="00E44FCF" w:rsidRPr="00A613FF" w:rsidRDefault="00E44FCF" w:rsidP="00E44FCF">
      <w:pPr>
        <w:jc w:val="center"/>
        <w:rPr>
          <w:rFonts w:ascii="Arial" w:hAnsi="Arial" w:cs="Arial"/>
          <w:b/>
          <w:bCs/>
          <w:color w:val="000000" w:themeColor="text1"/>
        </w:rPr>
      </w:pPr>
      <w:r w:rsidRPr="00A613FF">
        <w:rPr>
          <w:rFonts w:ascii="Arial" w:hAnsi="Arial" w:cs="Arial"/>
          <w:b/>
          <w:bCs/>
          <w:sz w:val="16"/>
          <w:szCs w:val="16"/>
        </w:rPr>
        <w:t>Source: author's own</w:t>
      </w:r>
    </w:p>
    <w:p w:rsidR="00E44FCF" w:rsidRDefault="00E44FCF" w:rsidP="00E44FCF">
      <w:pPr>
        <w:jc w:val="both"/>
        <w:rPr>
          <w:rFonts w:ascii="Times New Roman" w:hAnsi="Times New Roman"/>
          <w:color w:val="000000" w:themeColor="text1"/>
          <w:sz w:val="24"/>
          <w:szCs w:val="24"/>
        </w:rPr>
      </w:pPr>
    </w:p>
    <w:p w:rsidR="00E44FCF" w:rsidRPr="00B80040" w:rsidRDefault="00E44FCF" w:rsidP="00E44FCF">
      <w:pPr>
        <w:jc w:val="both"/>
        <w:rPr>
          <w:rFonts w:ascii="Times New Roman" w:hAnsi="Times New Roman"/>
          <w:color w:val="000000" w:themeColor="text1"/>
          <w:sz w:val="24"/>
          <w:szCs w:val="24"/>
        </w:rPr>
      </w:pPr>
    </w:p>
    <w:p w:rsidR="00D87824" w:rsidRPr="009418CD" w:rsidRDefault="00121751" w:rsidP="00E44FCF">
      <w:pPr>
        <w:jc w:val="both"/>
        <w:rPr>
          <w:rFonts w:ascii="Arial" w:hAnsi="Arial" w:cs="Arial"/>
          <w:color w:val="000000" w:themeColor="text1"/>
        </w:rPr>
      </w:pPr>
      <w:r w:rsidRPr="00121751">
        <w:rPr>
          <w:rFonts w:ascii="Arial" w:hAnsi="Arial" w:cs="Arial"/>
          <w:color w:val="000000" w:themeColor="text1"/>
        </w:rPr>
        <w:t>The cavities were completely filled with the sealants, previously prepared following the manufacturer's instructions. In the groups subjected to ultrasonic agitation,</w:t>
      </w:r>
      <w:r w:rsidR="00D87824" w:rsidRPr="009418CD">
        <w:rPr>
          <w:rFonts w:ascii="Arial" w:hAnsi="Arial" w:cs="Arial"/>
          <w:color w:val="000000" w:themeColor="text1"/>
        </w:rPr>
        <w:t xml:space="preserve"> a piezoelectric ultrasonic device (Piezon Master 200; EMS, Nyon, Geneva, Switzerland)</w:t>
      </w:r>
      <w:r w:rsidR="00FC59B9">
        <w:rPr>
          <w:rFonts w:ascii="Arial" w:hAnsi="Arial" w:cs="Arial"/>
          <w:color w:val="000000" w:themeColor="text1"/>
        </w:rPr>
        <w:t>, the e</w:t>
      </w:r>
      <w:r w:rsidR="00FC59B9" w:rsidRPr="00FC59B9">
        <w:rPr>
          <w:rFonts w:ascii="Arial" w:hAnsi="Arial" w:cs="Arial"/>
          <w:color w:val="000000" w:themeColor="text1"/>
        </w:rPr>
        <w:t>quipment set to power level 3 (approximately 30%) is used, equipped with a solid, smooth, conical tip.</w:t>
      </w:r>
      <w:r w:rsidR="00D87824" w:rsidRPr="009418CD">
        <w:rPr>
          <w:rFonts w:ascii="Arial" w:hAnsi="Arial" w:cs="Arial"/>
          <w:color w:val="000000" w:themeColor="text1"/>
        </w:rPr>
        <w:t xml:space="preserve"> (E8; Helse Ultrasonic, Santa Rosa do Viterbo, SP, Brazil). After gently condensing the sealer into the cavity, </w:t>
      </w:r>
      <w:r w:rsidR="00FC59B9">
        <w:rPr>
          <w:rFonts w:ascii="Arial" w:hAnsi="Arial" w:cs="Arial"/>
          <w:color w:val="000000" w:themeColor="text1"/>
        </w:rPr>
        <w:t>t</w:t>
      </w:r>
      <w:r w:rsidR="00FC59B9" w:rsidRPr="00FC59B9">
        <w:rPr>
          <w:rFonts w:ascii="Arial" w:hAnsi="Arial" w:cs="Arial"/>
          <w:color w:val="000000" w:themeColor="text1"/>
        </w:rPr>
        <w:t>he tip was positioned at a depth of 1 mm, and then two agitation cycles of 20 seconds each were performed, first in the mesiodistal direction and then in the vestibulo-lingual direction.</w:t>
      </w:r>
      <w:r w:rsidR="00D87824" w:rsidRPr="009418CD">
        <w:rPr>
          <w:rFonts w:ascii="Arial" w:hAnsi="Arial" w:cs="Arial"/>
          <w:color w:val="000000" w:themeColor="text1"/>
        </w:rPr>
        <w:t xml:space="preserve"> (Guimarães et al., 2014).</w:t>
      </w:r>
    </w:p>
    <w:p w:rsidR="00D87824" w:rsidRPr="009418CD" w:rsidRDefault="00D87824"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At the end, the cavities were sealed with Opallis Enamel A3 composite resin (FGM Produtos Odontológicos Ltda., Joinville, SC, Brazil) and light-cured with an LED light (Optilight LD Max; Gnatus, Ribeirão Preto, SP, Brazil) for 60 seconds. Finally, </w:t>
      </w:r>
      <w:r w:rsidR="000A1A7C">
        <w:rPr>
          <w:rFonts w:ascii="Arial" w:hAnsi="Arial" w:cs="Arial"/>
          <w:color w:val="000000" w:themeColor="text1"/>
        </w:rPr>
        <w:t>t</w:t>
      </w:r>
      <w:r w:rsidR="000A1A7C" w:rsidRPr="000A1A7C">
        <w:rPr>
          <w:rFonts w:ascii="Arial" w:hAnsi="Arial" w:cs="Arial"/>
          <w:color w:val="000000" w:themeColor="text1"/>
        </w:rPr>
        <w:t xml:space="preserve">he samples were placed in individual containers with 2 mL of </w:t>
      </w:r>
      <w:r w:rsidR="000A1A7C" w:rsidRPr="000A1A7C">
        <w:rPr>
          <w:rFonts w:ascii="Arial" w:hAnsi="Arial" w:cs="Arial"/>
          <w:color w:val="000000" w:themeColor="text1"/>
          <w:highlight w:val="yellow"/>
        </w:rPr>
        <w:t>saline solution</w:t>
      </w:r>
      <w:r w:rsidR="000A1A7C" w:rsidRPr="000A1A7C">
        <w:rPr>
          <w:rFonts w:ascii="Arial" w:hAnsi="Arial" w:cs="Arial"/>
          <w:color w:val="000000" w:themeColor="text1"/>
        </w:rPr>
        <w:t>, remaining immersed until the end of the experiment, receiving indirect sunlight at room temperature.</w:t>
      </w:r>
    </w:p>
    <w:p w:rsidR="0007770F" w:rsidRPr="009418CD" w:rsidRDefault="0007770F" w:rsidP="00E44FCF">
      <w:pPr>
        <w:jc w:val="both"/>
        <w:rPr>
          <w:rFonts w:ascii="Arial" w:hAnsi="Arial" w:cs="Arial"/>
          <w:color w:val="000000" w:themeColor="text1"/>
        </w:rPr>
      </w:pPr>
    </w:p>
    <w:p w:rsidR="00E44FCF" w:rsidRPr="009418CD" w:rsidRDefault="004D66A9" w:rsidP="00E44FCF">
      <w:pPr>
        <w:jc w:val="both"/>
        <w:rPr>
          <w:rFonts w:ascii="Arial" w:hAnsi="Arial" w:cs="Arial"/>
          <w:color w:val="000000" w:themeColor="text1"/>
        </w:rPr>
      </w:pPr>
      <w:r w:rsidRPr="004D66A9">
        <w:rPr>
          <w:rFonts w:ascii="Arial" w:hAnsi="Arial" w:cs="Arial"/>
          <w:color w:val="000000" w:themeColor="text1"/>
        </w:rPr>
        <w:t>The color assessment followed the protocol described by Lenherr et al. (2012), and was performed in a dark room with the aid of a digital spectrophotometer</w:t>
      </w:r>
      <w:r>
        <w:rPr>
          <w:rFonts w:ascii="Arial" w:hAnsi="Arial" w:cs="Arial"/>
          <w:color w:val="000000" w:themeColor="text1"/>
        </w:rPr>
        <w:t xml:space="preserve"> </w:t>
      </w:r>
      <w:r w:rsidR="00E44FCF" w:rsidRPr="009418CD">
        <w:rPr>
          <w:rFonts w:ascii="Arial" w:hAnsi="Arial" w:cs="Arial"/>
          <w:color w:val="000000" w:themeColor="text1"/>
        </w:rPr>
        <w:t xml:space="preserve">(VITA Easyshade compact; VITA Zahnfabrik AG, Bad Sachington, Germany). </w:t>
      </w:r>
      <w:r w:rsidR="00A11BD0" w:rsidRPr="00A11BD0">
        <w:rPr>
          <w:rFonts w:ascii="Arial" w:hAnsi="Arial" w:cs="Arial"/>
          <w:color w:val="000000" w:themeColor="text1"/>
        </w:rPr>
        <w:t xml:space="preserve">This allowed for consistent and standardized measurements in each sample throughout the follow-up periods. Before each </w:t>
      </w:r>
      <w:r w:rsidR="00A11BD0" w:rsidRPr="00A11BD0">
        <w:rPr>
          <w:rFonts w:ascii="Arial" w:hAnsi="Arial" w:cs="Arial"/>
          <w:color w:val="000000" w:themeColor="text1"/>
        </w:rPr>
        <w:lastRenderedPageBreak/>
        <w:t xml:space="preserve">series of measurements, the spectrophotometer was properly calibrated for the respective group. Readings were taken immediately after application of the material (T0 = reference color), after 1 week (T1), 30 days (T2), 60 days (T3), 90 days (T4), and 180 days (T5). </w:t>
      </w:r>
      <w:r w:rsidR="00A35B0D" w:rsidRPr="00A35B0D">
        <w:rPr>
          <w:rFonts w:ascii="Arial" w:hAnsi="Arial" w:cs="Arial"/>
          <w:color w:val="000000" w:themeColor="text1"/>
        </w:rPr>
        <w:t>The chromatic parameters were determined according to the recommendations of the International Commission on Illumination (CIE, 1978), taking into account the L, a and b values ​​(where “L” corresponds to luminosity, “a” to the variation in the red-green axis and “b” to the variation in the yellow-blue axis).</w:t>
      </w:r>
      <w:bookmarkStart w:id="0" w:name="_GoBack"/>
      <w:bookmarkEnd w:id="0"/>
      <w:r w:rsidR="00A11BD0" w:rsidRPr="00A11BD0">
        <w:rPr>
          <w:rFonts w:ascii="Arial" w:hAnsi="Arial" w:cs="Arial"/>
          <w:color w:val="000000" w:themeColor="text1"/>
        </w:rPr>
        <w:t xml:space="preserve"> The color variation (ΔE) over time was calculated using the following equation:</w:t>
      </w:r>
    </w:p>
    <w:p w:rsidR="0007770F" w:rsidRPr="009418CD" w:rsidRDefault="0007770F"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ΔE = [(L1-L0)2 + (a1-a0)2 + (b1-b0)2]1/2</w:t>
      </w:r>
    </w:p>
    <w:p w:rsidR="0007770F" w:rsidRPr="009418CD" w:rsidRDefault="0007770F" w:rsidP="00E44FCF">
      <w:pPr>
        <w:jc w:val="both"/>
        <w:rPr>
          <w:rFonts w:ascii="Arial" w:hAnsi="Arial" w:cs="Arial"/>
          <w:color w:val="000000" w:themeColor="text1"/>
        </w:rPr>
      </w:pPr>
    </w:p>
    <w:p w:rsidR="00E44FCF" w:rsidRPr="009418CD" w:rsidRDefault="00E44FCF" w:rsidP="00E44FCF">
      <w:pPr>
        <w:jc w:val="both"/>
        <w:rPr>
          <w:rFonts w:ascii="Arial" w:hAnsi="Arial" w:cs="Arial"/>
          <w:color w:val="000000" w:themeColor="text1"/>
        </w:rPr>
      </w:pPr>
      <w:r w:rsidRPr="009418CD">
        <w:rPr>
          <w:rFonts w:ascii="Arial" w:hAnsi="Arial" w:cs="Arial"/>
          <w:color w:val="000000" w:themeColor="text1"/>
        </w:rPr>
        <w:t xml:space="preserve">The data from both evaluations were tabulated and tested using the Shapiro-Wilk test, which indicated a parametric distribution for the dentin discoloration data analysis. Therefore, the Kruskal-Wallis and Dunn tests, as well as ANOVA and Tukey tests, were used for the discoloration analyses, with statistical significance set at </w:t>
      </w:r>
      <w:r w:rsidRPr="009418CD">
        <w:rPr>
          <w:rFonts w:ascii="Arial" w:hAnsi="Arial" w:cs="Arial"/>
          <w:i/>
          <w:iCs/>
          <w:color w:val="000000" w:themeColor="text1"/>
        </w:rPr>
        <w:t>P</w:t>
      </w:r>
      <w:r w:rsidRPr="009418CD">
        <w:rPr>
          <w:rFonts w:ascii="Arial" w:hAnsi="Arial" w:cs="Arial"/>
          <w:color w:val="000000" w:themeColor="text1"/>
        </w:rPr>
        <w:t xml:space="preserve"> &gt; 0.05.</w:t>
      </w:r>
    </w:p>
    <w:p w:rsidR="00B95236" w:rsidRDefault="00B95236" w:rsidP="00441B6F">
      <w:pPr>
        <w:pStyle w:val="Body"/>
        <w:spacing w:after="0"/>
        <w:rPr>
          <w:rFonts w:ascii="Arial" w:hAnsi="Arial" w:cs="Arial"/>
        </w:rPr>
      </w:pPr>
    </w:p>
    <w:p w:rsidR="00A03B96" w:rsidRDefault="00A03B96" w:rsidP="00441B6F">
      <w:pPr>
        <w:pStyle w:val="Body"/>
        <w:spacing w:after="0"/>
        <w:rPr>
          <w:rFonts w:ascii="Arial" w:hAnsi="Arial" w:cs="Arial"/>
        </w:rPr>
      </w:pPr>
    </w:p>
    <w:p w:rsidR="00B63A5B" w:rsidRDefault="00B63A5B" w:rsidP="00441B6F">
      <w:pPr>
        <w:pStyle w:val="Body"/>
        <w:spacing w:after="0"/>
        <w:rPr>
          <w:rFonts w:ascii="Arial" w:hAnsi="Arial" w:cs="Arial"/>
        </w:rPr>
      </w:pPr>
    </w:p>
    <w:p w:rsidR="00A03B96" w:rsidRPr="002E0D56" w:rsidRDefault="00A03B96" w:rsidP="00441B6F">
      <w:pPr>
        <w:pStyle w:val="Body"/>
        <w:spacing w:after="0"/>
        <w:rPr>
          <w:rFonts w:ascii="Arial" w:hAnsi="Arial" w:cs="Arial"/>
        </w:rPr>
      </w:pPr>
      <w:r w:rsidRPr="002E0D56">
        <w:rPr>
          <w:rFonts w:ascii="Arial" w:hAnsi="Arial" w:cs="Arial"/>
        </w:rP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C02E90" w:rsidRPr="009418CD" w:rsidRDefault="00C02E90" w:rsidP="00C02E90">
      <w:pPr>
        <w:jc w:val="both"/>
        <w:rPr>
          <w:rFonts w:ascii="Arial" w:hAnsi="Arial" w:cs="Arial"/>
          <w:color w:val="000000" w:themeColor="text1"/>
        </w:rPr>
      </w:pPr>
      <w:r w:rsidRPr="009418CD">
        <w:rPr>
          <w:rFonts w:ascii="Arial" w:hAnsi="Arial" w:cs="Arial"/>
          <w:color w:val="000000" w:themeColor="text1"/>
        </w:rPr>
        <w:t xml:space="preserve">The data regarding color change (ΔE) observed throughout the experimental periods are presented in Table 2. </w:t>
      </w:r>
    </w:p>
    <w:tbl>
      <w:tblPr>
        <w:tblStyle w:val="TabelaSimples21"/>
        <w:tblpPr w:leftFromText="141" w:rightFromText="141" w:vertAnchor="page" w:horzAnchor="margin" w:tblpY="9000"/>
        <w:tblW w:w="8565" w:type="dxa"/>
        <w:tblLayout w:type="fixed"/>
        <w:tblLook w:val="04A0" w:firstRow="1" w:lastRow="0" w:firstColumn="1" w:lastColumn="0" w:noHBand="0" w:noVBand="1"/>
      </w:tblPr>
      <w:tblGrid>
        <w:gridCol w:w="759"/>
        <w:gridCol w:w="828"/>
        <w:gridCol w:w="729"/>
        <w:gridCol w:w="571"/>
        <w:gridCol w:w="44"/>
        <w:gridCol w:w="720"/>
        <w:gridCol w:w="657"/>
        <w:gridCol w:w="24"/>
        <w:gridCol w:w="768"/>
        <w:gridCol w:w="615"/>
        <w:gridCol w:w="31"/>
        <w:gridCol w:w="737"/>
        <w:gridCol w:w="615"/>
        <w:gridCol w:w="33"/>
        <w:gridCol w:w="735"/>
        <w:gridCol w:w="640"/>
        <w:gridCol w:w="35"/>
        <w:gridCol w:w="24"/>
      </w:tblGrid>
      <w:tr w:rsidR="00F63F2A" w:rsidRPr="00284772" w:rsidTr="00A613FF">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8565" w:type="dxa"/>
            <w:gridSpan w:val="18"/>
            <w:tcBorders>
              <w:top w:val="nil"/>
              <w:bottom w:val="single" w:sz="4" w:space="0" w:color="auto"/>
            </w:tcBorders>
            <w:noWrap/>
          </w:tcPr>
          <w:p w:rsidR="00F63F2A" w:rsidRPr="00A613FF" w:rsidRDefault="00F63F2A" w:rsidP="00A613FF">
            <w:pPr>
              <w:ind w:right="-60"/>
              <w:contextualSpacing/>
              <w:jc w:val="center"/>
              <w:textAlignment w:val="baseline"/>
              <w:rPr>
                <w:rFonts w:ascii="Arial" w:hAnsi="Arial" w:cs="Arial"/>
                <w:sz w:val="16"/>
                <w:szCs w:val="14"/>
              </w:rPr>
            </w:pPr>
            <w:r w:rsidRPr="00A613FF">
              <w:rPr>
                <w:rFonts w:ascii="Arial" w:hAnsi="Arial" w:cs="Arial"/>
                <w:sz w:val="16"/>
                <w:szCs w:val="14"/>
              </w:rPr>
              <w:t>Table 2. Median, Minimum, and Maximum Values of Discoloration in the Tested Endodontic Sealers With and Without Ultrasonic Agitation</w:t>
            </w:r>
          </w:p>
          <w:p w:rsidR="00F63F2A" w:rsidRPr="00021FF2" w:rsidRDefault="00F63F2A" w:rsidP="00F63F2A">
            <w:pPr>
              <w:ind w:right="-60"/>
              <w:jc w:val="center"/>
              <w:rPr>
                <w:rFonts w:ascii="Times New Roman" w:hAnsi="Times New Roman" w:cs="Times New Roman"/>
                <w:b w:val="0"/>
                <w:bCs w:val="0"/>
                <w:sz w:val="24"/>
                <w:szCs w:val="18"/>
              </w:rPr>
            </w:pPr>
          </w:p>
        </w:tc>
      </w:tr>
      <w:tr w:rsidR="00A613FF" w:rsidRPr="0041243D" w:rsidTr="00A613FF">
        <w:trPr>
          <w:gridAfter w:val="1"/>
          <w:cnfStyle w:val="000000100000" w:firstRow="0" w:lastRow="0" w:firstColumn="0" w:lastColumn="0" w:oddVBand="0" w:evenVBand="0" w:oddHBand="1" w:evenHBand="0" w:firstRowFirstColumn="0" w:firstRowLastColumn="0" w:lastRowFirstColumn="0" w:lastRowLastColumn="0"/>
          <w:wAfter w:w="24" w:type="dxa"/>
          <w:trHeight w:val="231"/>
        </w:trPr>
        <w:tc>
          <w:tcPr>
            <w:cnfStyle w:val="001000000000" w:firstRow="0" w:lastRow="0" w:firstColumn="1" w:lastColumn="0" w:oddVBand="0" w:evenVBand="0" w:oddHBand="0" w:evenHBand="0" w:firstRowFirstColumn="0" w:firstRowLastColumn="0" w:lastRowFirstColumn="0" w:lastRowLastColumn="0"/>
            <w:tcW w:w="759" w:type="dxa"/>
            <w:vMerge w:val="restart"/>
            <w:tcBorders>
              <w:top w:val="single" w:sz="4" w:space="0" w:color="auto"/>
            </w:tcBorders>
            <w:noWrap/>
            <w:hideMark/>
          </w:tcPr>
          <w:p w:rsidR="00F63F2A" w:rsidRPr="00E036C7" w:rsidRDefault="00F63F2A" w:rsidP="00F63F2A">
            <w:pPr>
              <w:ind w:right="-60"/>
              <w:rPr>
                <w:rFonts w:ascii="Times New Roman" w:hAnsi="Times New Roman" w:cs="Times New Roman"/>
                <w:b w:val="0"/>
                <w:bCs w:val="0"/>
                <w:sz w:val="18"/>
                <w:szCs w:val="18"/>
              </w:rPr>
            </w:pPr>
            <w:r w:rsidRPr="00E036C7">
              <w:rPr>
                <w:rFonts w:ascii="Times New Roman" w:hAnsi="Times New Roman" w:cs="Times New Roman"/>
                <w:b w:val="0"/>
                <w:sz w:val="18"/>
                <w:szCs w:val="18"/>
              </w:rPr>
              <w:t>Material</w:t>
            </w:r>
          </w:p>
        </w:tc>
        <w:tc>
          <w:tcPr>
            <w:tcW w:w="828" w:type="dxa"/>
            <w:vMerge w:val="restart"/>
            <w:tcBorders>
              <w:top w:val="single" w:sz="4" w:space="0" w:color="auto"/>
            </w:tcBorders>
            <w:noWrap/>
            <w:hideMark/>
          </w:tcPr>
          <w:p w:rsidR="00F63F2A" w:rsidRPr="00E036C7" w:rsidRDefault="00F63F2A" w:rsidP="00F63F2A">
            <w:pPr>
              <w:ind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6D6B1B">
              <w:rPr>
                <w:rFonts w:ascii="Times New Roman" w:hAnsi="Times New Roman" w:cs="Times New Roman"/>
                <w:bCs/>
                <w:sz w:val="18"/>
                <w:szCs w:val="18"/>
              </w:rPr>
              <w:t>Agitation</w:t>
            </w:r>
          </w:p>
        </w:tc>
        <w:tc>
          <w:tcPr>
            <w:tcW w:w="1300" w:type="dxa"/>
            <w:gridSpan w:val="2"/>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7 </w:t>
            </w:r>
            <w:r w:rsidRPr="006D6B1B">
              <w:rPr>
                <w:rFonts w:ascii="Times New Roman" w:hAnsi="Times New Roman" w:cs="Times New Roman"/>
                <w:b/>
                <w:bCs/>
                <w:sz w:val="18"/>
                <w:szCs w:val="18"/>
              </w:rPr>
              <w:t>Days</w:t>
            </w:r>
          </w:p>
        </w:tc>
        <w:tc>
          <w:tcPr>
            <w:tcW w:w="1421" w:type="dxa"/>
            <w:gridSpan w:val="3"/>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30 </w:t>
            </w:r>
            <w:r w:rsidRPr="006D6B1B">
              <w:rPr>
                <w:rFonts w:ascii="Times New Roman" w:hAnsi="Times New Roman" w:cs="Times New Roman"/>
                <w:b/>
                <w:bCs/>
                <w:sz w:val="18"/>
                <w:szCs w:val="18"/>
              </w:rPr>
              <w:t>Days</w:t>
            </w:r>
          </w:p>
        </w:tc>
        <w:tc>
          <w:tcPr>
            <w:tcW w:w="1438" w:type="dxa"/>
            <w:gridSpan w:val="4"/>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60</w:t>
            </w:r>
            <w:r>
              <w:rPr>
                <w:rFonts w:ascii="Times New Roman" w:hAnsi="Times New Roman" w:cs="Times New Roman"/>
                <w:b/>
                <w:bCs/>
                <w:sz w:val="18"/>
                <w:szCs w:val="18"/>
              </w:rPr>
              <w:t xml:space="preserve"> </w:t>
            </w:r>
            <w:r w:rsidRPr="006D6B1B">
              <w:rPr>
                <w:rFonts w:ascii="Times New Roman" w:hAnsi="Times New Roman" w:cs="Times New Roman"/>
                <w:b/>
                <w:bCs/>
                <w:sz w:val="18"/>
                <w:szCs w:val="18"/>
              </w:rPr>
              <w:t>Days</w:t>
            </w:r>
          </w:p>
        </w:tc>
        <w:tc>
          <w:tcPr>
            <w:tcW w:w="1385" w:type="dxa"/>
            <w:gridSpan w:val="3"/>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90 </w:t>
            </w:r>
            <w:r w:rsidRPr="006D6B1B">
              <w:rPr>
                <w:rFonts w:ascii="Times New Roman" w:hAnsi="Times New Roman" w:cs="Times New Roman"/>
                <w:b/>
                <w:bCs/>
                <w:sz w:val="18"/>
                <w:szCs w:val="18"/>
              </w:rPr>
              <w:t>Days</w:t>
            </w:r>
          </w:p>
        </w:tc>
        <w:tc>
          <w:tcPr>
            <w:tcW w:w="1410" w:type="dxa"/>
            <w:gridSpan w:val="3"/>
            <w:tcBorders>
              <w:top w:val="single" w:sz="4" w:space="0" w:color="auto"/>
            </w:tcBorders>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 xml:space="preserve">180 </w:t>
            </w:r>
            <w:r w:rsidRPr="006D6B1B">
              <w:rPr>
                <w:rFonts w:ascii="Times New Roman" w:hAnsi="Times New Roman" w:cs="Times New Roman"/>
                <w:b/>
                <w:bCs/>
                <w:sz w:val="18"/>
                <w:szCs w:val="18"/>
              </w:rPr>
              <w:t>Days</w:t>
            </w:r>
          </w:p>
        </w:tc>
      </w:tr>
      <w:tr w:rsidR="00F63F2A" w:rsidRPr="0041243D" w:rsidTr="00A613FF">
        <w:trPr>
          <w:gridAfter w:val="2"/>
          <w:wAfter w:w="59" w:type="dxa"/>
          <w:trHeight w:val="23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bCs w:val="0"/>
                <w:sz w:val="18"/>
                <w:szCs w:val="18"/>
              </w:rPr>
            </w:pPr>
          </w:p>
        </w:tc>
        <w:tc>
          <w:tcPr>
            <w:tcW w:w="828" w:type="dxa"/>
            <w:vMerge/>
            <w:hideMark/>
          </w:tcPr>
          <w:p w:rsidR="00F63F2A" w:rsidRPr="00DE104A" w:rsidRDefault="00F63F2A" w:rsidP="00F63F2A">
            <w:pPr>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6D6B1B">
              <w:rPr>
                <w:rFonts w:ascii="Times New Roman" w:hAnsi="Times New Roman" w:cs="Times New Roman"/>
                <w:b/>
                <w:bCs/>
                <w:sz w:val="18"/>
                <w:szCs w:val="18"/>
              </w:rPr>
              <w:t>Median</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Median</w:t>
            </w:r>
          </w:p>
        </w:tc>
        <w:tc>
          <w:tcPr>
            <w:tcW w:w="64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DE104A">
              <w:rPr>
                <w:rFonts w:ascii="Times New Roman" w:hAnsi="Times New Roman" w:cs="Times New Roman"/>
                <w:b/>
                <w:bCs/>
                <w:sz w:val="18"/>
                <w:szCs w:val="18"/>
              </w:rPr>
              <w:t>M</w:t>
            </w:r>
            <w:r>
              <w:rPr>
                <w:rFonts w:ascii="Times New Roman" w:hAnsi="Times New Roman" w:cs="Times New Roman"/>
                <w:b/>
                <w:bCs/>
                <w:sz w:val="18"/>
                <w:szCs w:val="18"/>
              </w:rPr>
              <w:t>i</w:t>
            </w:r>
            <w:r w:rsidRPr="00DE104A">
              <w:rPr>
                <w:rFonts w:ascii="Times New Roman" w:hAnsi="Times New Roman" w:cs="Times New Roman"/>
                <w:b/>
                <w:bCs/>
                <w:sz w:val="18"/>
                <w:szCs w:val="18"/>
              </w:rPr>
              <w:t>n. - M</w:t>
            </w:r>
            <w:r>
              <w:rPr>
                <w:rFonts w:ascii="Times New Roman" w:hAnsi="Times New Roman" w:cs="Times New Roman"/>
                <w:b/>
                <w:bCs/>
                <w:sz w:val="18"/>
                <w:szCs w:val="18"/>
              </w:rPr>
              <w:t>a</w:t>
            </w:r>
            <w:r w:rsidRPr="00DE104A">
              <w:rPr>
                <w:rFonts w:ascii="Times New Roman" w:hAnsi="Times New Roman" w:cs="Times New Roman"/>
                <w:b/>
                <w:bCs/>
                <w:sz w:val="18"/>
                <w:szCs w:val="18"/>
              </w:rPr>
              <w:t>x.</w:t>
            </w:r>
          </w:p>
        </w:tc>
      </w:tr>
      <w:tr w:rsidR="00F63F2A" w:rsidRPr="0041243D" w:rsidTr="00A613FF">
        <w:trPr>
          <w:gridAfter w:val="2"/>
          <w:cnfStyle w:val="000000100000" w:firstRow="0" w:lastRow="0" w:firstColumn="0" w:lastColumn="0" w:oddVBand="0" w:evenVBand="0" w:oddHBand="1" w:evenHBand="0" w:firstRowFirstColumn="0" w:firstRowLastColumn="0" w:lastRowFirstColumn="0" w:lastRowLastColumn="0"/>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val="restart"/>
            <w:noWrap/>
            <w:hideMark/>
          </w:tcPr>
          <w:p w:rsidR="00F63F2A" w:rsidRPr="00802DCF" w:rsidRDefault="00F63F2A" w:rsidP="00F63F2A">
            <w:pPr>
              <w:ind w:right="-60"/>
              <w:jc w:val="center"/>
              <w:rPr>
                <w:rFonts w:ascii="Times New Roman" w:hAnsi="Times New Roman" w:cs="Times New Roman"/>
                <w:b w:val="0"/>
                <w:sz w:val="18"/>
                <w:szCs w:val="18"/>
              </w:rPr>
            </w:pPr>
            <w:r w:rsidRPr="00802DCF">
              <w:rPr>
                <w:rFonts w:ascii="Times New Roman" w:hAnsi="Times New Roman" w:cs="Times New Roman"/>
                <w:sz w:val="18"/>
                <w:szCs w:val="18"/>
              </w:rPr>
              <w:t>Endofill</w:t>
            </w:r>
          </w:p>
        </w:tc>
        <w:tc>
          <w:tcPr>
            <w:tcW w:w="82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Without</w:t>
            </w:r>
          </w:p>
        </w:tc>
        <w:tc>
          <w:tcPr>
            <w:tcW w:w="729"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BD5C74">
              <w:rPr>
                <w:rFonts w:ascii="Times New Roman" w:hAnsi="Times New Roman" w:cs="Times New Roman"/>
                <w:sz w:val="18"/>
                <w:szCs w:val="18"/>
              </w:rPr>
              <w:t>.</w:t>
            </w:r>
            <w:r w:rsidRPr="00DE104A">
              <w:rPr>
                <w:rFonts w:ascii="Times New Roman" w:hAnsi="Times New Roman" w:cs="Times New Roman"/>
                <w:sz w:val="18"/>
                <w:szCs w:val="18"/>
              </w:rPr>
              <w:t>15</w:t>
            </w:r>
            <w:r w:rsidRPr="00DE104A">
              <w:rPr>
                <w:rFonts w:ascii="Times New Roman" w:hAnsi="Times New Roman" w:cs="Times New Roman"/>
                <w:sz w:val="18"/>
                <w:szCs w:val="18"/>
                <w:vertAlign w:val="superscript"/>
              </w:rPr>
              <w:t>b,A</w:t>
            </w:r>
          </w:p>
        </w:tc>
        <w:tc>
          <w:tcPr>
            <w:tcW w:w="615"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20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10</w:t>
            </w:r>
            <w:r w:rsidR="00BD5C74">
              <w:rPr>
                <w:rFonts w:ascii="Times New Roman" w:hAnsi="Times New Roman" w:cs="Times New Roman"/>
                <w:sz w:val="18"/>
                <w:szCs w:val="18"/>
              </w:rPr>
              <w:t>.</w:t>
            </w:r>
            <w:r w:rsidRPr="00DE104A">
              <w:rPr>
                <w:rFonts w:ascii="Times New Roman" w:hAnsi="Times New Roman" w:cs="Times New Roman"/>
                <w:sz w:val="18"/>
                <w:szCs w:val="18"/>
              </w:rPr>
              <w:t>70</w:t>
            </w:r>
          </w:p>
        </w:tc>
        <w:tc>
          <w:tcPr>
            <w:tcW w:w="72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Pr>
                <w:rFonts w:ascii="Times New Roman" w:hAnsi="Times New Roman" w:cs="Times New Roman"/>
                <w:sz w:val="18"/>
                <w:szCs w:val="18"/>
              </w:rPr>
              <w:t>8</w:t>
            </w:r>
            <w:r w:rsidRPr="00DE104A">
              <w:rPr>
                <w:rFonts w:ascii="Times New Roman" w:hAnsi="Times New Roman" w:cs="Times New Roman"/>
                <w:sz w:val="18"/>
                <w:szCs w:val="18"/>
              </w:rPr>
              <w:t>8</w:t>
            </w:r>
            <w:r w:rsidRPr="00DE104A">
              <w:rPr>
                <w:rFonts w:ascii="Times New Roman" w:hAnsi="Times New Roman" w:cs="Times New Roman"/>
                <w:sz w:val="18"/>
                <w:szCs w:val="18"/>
                <w:vertAlign w:val="superscript"/>
              </w:rPr>
              <w:t>a,A</w:t>
            </w:r>
          </w:p>
        </w:tc>
        <w:tc>
          <w:tcPr>
            <w:tcW w:w="681"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w:t>
            </w:r>
            <w:r w:rsidR="00057CAF">
              <w:rPr>
                <w:rFonts w:ascii="Times New Roman" w:hAnsi="Times New Roman" w:cs="Times New Roman"/>
                <w:sz w:val="18"/>
                <w:szCs w:val="18"/>
              </w:rPr>
              <w:t>.</w:t>
            </w:r>
            <w:r>
              <w:rPr>
                <w:rFonts w:ascii="Times New Roman" w:hAnsi="Times New Roman" w:cs="Times New Roman"/>
                <w:sz w:val="18"/>
                <w:szCs w:val="18"/>
              </w:rPr>
              <w:t xml:space="preserve">61 </w:t>
            </w:r>
            <w:r w:rsidR="00057CAF">
              <w:rPr>
                <w:rFonts w:ascii="Times New Roman" w:hAnsi="Times New Roman" w:cs="Times New Roman"/>
                <w:sz w:val="18"/>
                <w:szCs w:val="18"/>
              </w:rPr>
              <w:t>–</w:t>
            </w:r>
            <w:r>
              <w:rPr>
                <w:rFonts w:ascii="Times New Roman" w:hAnsi="Times New Roman" w:cs="Times New Roman"/>
                <w:sz w:val="18"/>
                <w:szCs w:val="18"/>
              </w:rPr>
              <w:t xml:space="preserve"> 6</w:t>
            </w:r>
            <w:r w:rsidR="00057CAF">
              <w:rPr>
                <w:rFonts w:ascii="Times New Roman" w:hAnsi="Times New Roman" w:cs="Times New Roman"/>
                <w:sz w:val="18"/>
                <w:szCs w:val="18"/>
              </w:rPr>
              <w:t>.</w:t>
            </w:r>
            <w:r>
              <w:rPr>
                <w:rFonts w:ascii="Times New Roman" w:hAnsi="Times New Roman" w:cs="Times New Roman"/>
                <w:sz w:val="18"/>
                <w:szCs w:val="18"/>
              </w:rPr>
              <w:t>95</w:t>
            </w:r>
          </w:p>
        </w:tc>
        <w:tc>
          <w:tcPr>
            <w:tcW w:w="76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40</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31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9</w:t>
            </w:r>
            <w:r w:rsidR="00057CAF">
              <w:rPr>
                <w:rFonts w:ascii="Times New Roman" w:hAnsi="Times New Roman" w:cs="Times New Roman"/>
                <w:sz w:val="18"/>
                <w:szCs w:val="18"/>
              </w:rPr>
              <w:t>.</w:t>
            </w:r>
            <w:r w:rsidRPr="00DE104A">
              <w:rPr>
                <w:rFonts w:ascii="Times New Roman" w:hAnsi="Times New Roman" w:cs="Times New Roman"/>
                <w:sz w:val="18"/>
                <w:szCs w:val="18"/>
              </w:rPr>
              <w:t>67</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30</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88 -11</w:t>
            </w:r>
            <w:r w:rsidR="00057CAF">
              <w:rPr>
                <w:rFonts w:ascii="Times New Roman" w:hAnsi="Times New Roman" w:cs="Times New Roman"/>
                <w:sz w:val="18"/>
                <w:szCs w:val="18"/>
              </w:rPr>
              <w:t>.</w:t>
            </w:r>
            <w:r w:rsidRPr="00DE104A">
              <w:rPr>
                <w:rFonts w:ascii="Times New Roman" w:hAnsi="Times New Roman" w:cs="Times New Roman"/>
                <w:sz w:val="18"/>
                <w:szCs w:val="18"/>
              </w:rPr>
              <w:t>08</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54</w:t>
            </w:r>
            <w:r w:rsidRPr="00DE104A">
              <w:rPr>
                <w:rFonts w:ascii="Times New Roman" w:hAnsi="Times New Roman" w:cs="Times New Roman"/>
                <w:sz w:val="18"/>
                <w:szCs w:val="18"/>
                <w:vertAlign w:val="superscript"/>
              </w:rPr>
              <w:t>a,A</w:t>
            </w:r>
          </w:p>
        </w:tc>
        <w:tc>
          <w:tcPr>
            <w:tcW w:w="64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38 -12</w:t>
            </w:r>
            <w:r w:rsidR="00057CAF">
              <w:rPr>
                <w:rFonts w:ascii="Times New Roman" w:hAnsi="Times New Roman" w:cs="Times New Roman"/>
                <w:sz w:val="18"/>
                <w:szCs w:val="18"/>
              </w:rPr>
              <w:t>.</w:t>
            </w:r>
            <w:r w:rsidRPr="00DE104A">
              <w:rPr>
                <w:rFonts w:ascii="Times New Roman" w:hAnsi="Times New Roman" w:cs="Times New Roman"/>
                <w:sz w:val="18"/>
                <w:szCs w:val="18"/>
              </w:rPr>
              <w:t>36</w:t>
            </w:r>
          </w:p>
        </w:tc>
      </w:tr>
      <w:tr w:rsidR="00F63F2A" w:rsidRPr="0041243D" w:rsidTr="00A613FF">
        <w:trPr>
          <w:gridAfter w:val="2"/>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i/>
                <w:iCs/>
                <w:sz w:val="18"/>
                <w:szCs w:val="18"/>
              </w:rPr>
            </w:pPr>
          </w:p>
        </w:tc>
        <w:tc>
          <w:tcPr>
            <w:tcW w:w="82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w:t>
            </w: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sidRPr="00DE104A">
              <w:rPr>
                <w:rFonts w:ascii="Times New Roman" w:hAnsi="Times New Roman" w:cs="Times New Roman"/>
                <w:sz w:val="18"/>
                <w:szCs w:val="18"/>
              </w:rPr>
              <w:t>04</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36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14</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45 </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68</w:t>
            </w:r>
            <w:r w:rsidRPr="00DE104A">
              <w:rPr>
                <w:rFonts w:ascii="Times New Roman" w:hAnsi="Times New Roman" w:cs="Times New Roman"/>
                <w:sz w:val="18"/>
                <w:szCs w:val="18"/>
                <w:vertAlign w:val="superscript"/>
              </w:rPr>
              <w:t>a,A</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w:t>
            </w:r>
            <w:r w:rsidR="00057CAF">
              <w:rPr>
                <w:rFonts w:ascii="Times New Roman" w:hAnsi="Times New Roman" w:cs="Times New Roman"/>
                <w:sz w:val="18"/>
                <w:szCs w:val="18"/>
              </w:rPr>
              <w:t>.</w:t>
            </w:r>
            <w:r>
              <w:rPr>
                <w:rFonts w:ascii="Times New Roman" w:hAnsi="Times New Roman" w:cs="Times New Roman"/>
                <w:sz w:val="18"/>
                <w:szCs w:val="18"/>
              </w:rPr>
              <w:t>03</w:t>
            </w:r>
            <w:r w:rsidRPr="00DE104A">
              <w:rPr>
                <w:rFonts w:ascii="Times New Roman" w:hAnsi="Times New Roman" w:cs="Times New Roman"/>
                <w:sz w:val="18"/>
                <w:szCs w:val="18"/>
              </w:rPr>
              <w:t xml:space="preserve">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16</w:t>
            </w:r>
            <w:r w:rsidR="00057CAF">
              <w:rPr>
                <w:rFonts w:ascii="Times New Roman" w:hAnsi="Times New Roman" w:cs="Times New Roman"/>
                <w:sz w:val="18"/>
                <w:szCs w:val="18"/>
              </w:rPr>
              <w:t>.</w:t>
            </w:r>
            <w:r w:rsidRPr="00DE104A">
              <w:rPr>
                <w:rFonts w:ascii="Times New Roman" w:hAnsi="Times New Roman" w:cs="Times New Roman"/>
                <w:sz w:val="18"/>
                <w:szCs w:val="18"/>
              </w:rPr>
              <w:t>85</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39</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71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15</w:t>
            </w:r>
            <w:r w:rsidR="00057CAF">
              <w:rPr>
                <w:rFonts w:ascii="Times New Roman" w:hAnsi="Times New Roman" w:cs="Times New Roman"/>
                <w:sz w:val="18"/>
                <w:szCs w:val="18"/>
              </w:rPr>
              <w:t>.</w:t>
            </w:r>
            <w:r w:rsidRPr="00DE104A">
              <w:rPr>
                <w:rFonts w:ascii="Times New Roman" w:hAnsi="Times New Roman" w:cs="Times New Roman"/>
                <w:sz w:val="18"/>
                <w:szCs w:val="18"/>
              </w:rPr>
              <w:t>05</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96</w:t>
            </w:r>
            <w:r w:rsidRPr="00DE104A">
              <w:rPr>
                <w:rFonts w:ascii="Times New Roman" w:hAnsi="Times New Roman" w:cs="Times New Roman"/>
                <w:sz w:val="18"/>
                <w:szCs w:val="18"/>
                <w:vertAlign w:val="superscript"/>
              </w:rPr>
              <w:t>a,A</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92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18</w:t>
            </w:r>
            <w:r w:rsidR="00057CAF">
              <w:rPr>
                <w:rFonts w:ascii="Times New Roman" w:hAnsi="Times New Roman" w:cs="Times New Roman"/>
                <w:sz w:val="18"/>
                <w:szCs w:val="18"/>
              </w:rPr>
              <w:t>.</w:t>
            </w:r>
            <w:r w:rsidRPr="00DE104A">
              <w:rPr>
                <w:rFonts w:ascii="Times New Roman" w:hAnsi="Times New Roman" w:cs="Times New Roman"/>
                <w:sz w:val="18"/>
                <w:szCs w:val="18"/>
              </w:rPr>
              <w:t>54</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6</w:t>
            </w:r>
            <w:r w:rsidR="00057CAF">
              <w:rPr>
                <w:rFonts w:ascii="Times New Roman" w:hAnsi="Times New Roman" w:cs="Times New Roman"/>
                <w:sz w:val="18"/>
                <w:szCs w:val="18"/>
              </w:rPr>
              <w:t>.</w:t>
            </w:r>
            <w:r w:rsidRPr="00DE104A">
              <w:rPr>
                <w:rFonts w:ascii="Times New Roman" w:hAnsi="Times New Roman" w:cs="Times New Roman"/>
                <w:sz w:val="18"/>
                <w:szCs w:val="18"/>
              </w:rPr>
              <w:t>53</w:t>
            </w:r>
            <w:r w:rsidRPr="00DE104A">
              <w:rPr>
                <w:rFonts w:ascii="Times New Roman" w:hAnsi="Times New Roman" w:cs="Times New Roman"/>
                <w:sz w:val="18"/>
                <w:szCs w:val="18"/>
                <w:vertAlign w:val="superscript"/>
              </w:rPr>
              <w:t>a,A</w:t>
            </w:r>
          </w:p>
        </w:tc>
        <w:tc>
          <w:tcPr>
            <w:tcW w:w="64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05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16</w:t>
            </w:r>
            <w:r w:rsidR="00057CAF">
              <w:rPr>
                <w:rFonts w:ascii="Times New Roman" w:hAnsi="Times New Roman" w:cs="Times New Roman"/>
                <w:sz w:val="18"/>
                <w:szCs w:val="18"/>
              </w:rPr>
              <w:t>.</w:t>
            </w:r>
            <w:r w:rsidRPr="00DE104A">
              <w:rPr>
                <w:rFonts w:ascii="Times New Roman" w:hAnsi="Times New Roman" w:cs="Times New Roman"/>
                <w:sz w:val="18"/>
                <w:szCs w:val="18"/>
              </w:rPr>
              <w:t>34</w:t>
            </w:r>
          </w:p>
        </w:tc>
      </w:tr>
      <w:tr w:rsidR="00F63F2A" w:rsidRPr="0041243D" w:rsidTr="00A613FF">
        <w:trPr>
          <w:gridAfter w:val="2"/>
          <w:cnfStyle w:val="000000100000" w:firstRow="0" w:lastRow="0" w:firstColumn="0" w:lastColumn="0" w:oddVBand="0" w:evenVBand="0" w:oddHBand="1" w:evenHBand="0" w:firstRowFirstColumn="0" w:firstRowLastColumn="0" w:lastRowFirstColumn="0" w:lastRowLastColumn="0"/>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val="restart"/>
            <w:noWrap/>
            <w:hideMark/>
          </w:tcPr>
          <w:p w:rsidR="00F63F2A" w:rsidRPr="00802DCF" w:rsidRDefault="00F63F2A" w:rsidP="00F63F2A">
            <w:pPr>
              <w:ind w:right="-60"/>
              <w:jc w:val="center"/>
              <w:rPr>
                <w:rFonts w:ascii="Times New Roman" w:hAnsi="Times New Roman" w:cs="Times New Roman"/>
                <w:b w:val="0"/>
                <w:sz w:val="18"/>
                <w:szCs w:val="18"/>
              </w:rPr>
            </w:pPr>
            <w:r w:rsidRPr="00802DCF">
              <w:rPr>
                <w:rFonts w:ascii="Times New Roman" w:hAnsi="Times New Roman" w:cs="Times New Roman"/>
                <w:sz w:val="18"/>
                <w:szCs w:val="18"/>
              </w:rPr>
              <w:t>Sealer 26</w:t>
            </w:r>
          </w:p>
        </w:tc>
        <w:tc>
          <w:tcPr>
            <w:tcW w:w="82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Without</w:t>
            </w:r>
          </w:p>
        </w:tc>
        <w:tc>
          <w:tcPr>
            <w:tcW w:w="729"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82</w:t>
            </w:r>
            <w:r w:rsidRPr="00DE104A">
              <w:rPr>
                <w:rFonts w:ascii="Times New Roman" w:hAnsi="Times New Roman" w:cs="Times New Roman"/>
                <w:sz w:val="18"/>
                <w:szCs w:val="18"/>
                <w:vertAlign w:val="superscript"/>
              </w:rPr>
              <w:t>a,A</w:t>
            </w:r>
          </w:p>
        </w:tc>
        <w:tc>
          <w:tcPr>
            <w:tcW w:w="615"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14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8</w:t>
            </w:r>
            <w:r w:rsidR="00BD5C74">
              <w:rPr>
                <w:rFonts w:ascii="Times New Roman" w:hAnsi="Times New Roman" w:cs="Times New Roman"/>
                <w:sz w:val="18"/>
                <w:szCs w:val="18"/>
              </w:rPr>
              <w:t>.</w:t>
            </w:r>
            <w:r w:rsidRPr="00DE104A">
              <w:rPr>
                <w:rFonts w:ascii="Times New Roman" w:hAnsi="Times New Roman" w:cs="Times New Roman"/>
                <w:sz w:val="18"/>
                <w:szCs w:val="18"/>
              </w:rPr>
              <w:t>86</w:t>
            </w:r>
          </w:p>
        </w:tc>
        <w:tc>
          <w:tcPr>
            <w:tcW w:w="72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74</w:t>
            </w:r>
            <w:r w:rsidRPr="00DE104A">
              <w:rPr>
                <w:rFonts w:ascii="Times New Roman" w:hAnsi="Times New Roman" w:cs="Times New Roman"/>
                <w:sz w:val="18"/>
                <w:szCs w:val="18"/>
                <w:vertAlign w:val="superscript"/>
              </w:rPr>
              <w:t>a,AB</w:t>
            </w:r>
          </w:p>
        </w:tc>
        <w:tc>
          <w:tcPr>
            <w:tcW w:w="681"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73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25</w:t>
            </w:r>
          </w:p>
        </w:tc>
        <w:tc>
          <w:tcPr>
            <w:tcW w:w="76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88</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31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12</w:t>
            </w:r>
            <w:r w:rsidR="00057CAF">
              <w:rPr>
                <w:rFonts w:ascii="Times New Roman" w:hAnsi="Times New Roman" w:cs="Times New Roman"/>
                <w:sz w:val="18"/>
                <w:szCs w:val="18"/>
              </w:rPr>
              <w:t>.</w:t>
            </w:r>
            <w:r w:rsidRPr="00DE104A">
              <w:rPr>
                <w:rFonts w:ascii="Times New Roman" w:hAnsi="Times New Roman" w:cs="Times New Roman"/>
                <w:sz w:val="18"/>
                <w:szCs w:val="18"/>
              </w:rPr>
              <w:t>44</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47</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39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15</w:t>
            </w:r>
            <w:r w:rsidR="00057CAF">
              <w:rPr>
                <w:rFonts w:ascii="Times New Roman" w:hAnsi="Times New Roman" w:cs="Times New Roman"/>
                <w:sz w:val="18"/>
                <w:szCs w:val="18"/>
              </w:rPr>
              <w:t>.</w:t>
            </w:r>
            <w:r w:rsidRPr="00DE104A">
              <w:rPr>
                <w:rFonts w:ascii="Times New Roman" w:hAnsi="Times New Roman" w:cs="Times New Roman"/>
                <w:sz w:val="18"/>
                <w:szCs w:val="18"/>
              </w:rPr>
              <w:t>36</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5</w:t>
            </w:r>
            <w:r w:rsidR="00057CAF">
              <w:rPr>
                <w:rFonts w:ascii="Times New Roman" w:hAnsi="Times New Roman" w:cs="Times New Roman"/>
                <w:sz w:val="18"/>
                <w:szCs w:val="18"/>
              </w:rPr>
              <w:t>.</w:t>
            </w:r>
            <w:r w:rsidRPr="00DE104A">
              <w:rPr>
                <w:rFonts w:ascii="Times New Roman" w:hAnsi="Times New Roman" w:cs="Times New Roman"/>
                <w:sz w:val="18"/>
                <w:szCs w:val="18"/>
              </w:rPr>
              <w:t>49</w:t>
            </w:r>
            <w:r w:rsidRPr="00DE104A">
              <w:rPr>
                <w:rFonts w:ascii="Times New Roman" w:hAnsi="Times New Roman" w:cs="Times New Roman"/>
                <w:sz w:val="18"/>
                <w:szCs w:val="18"/>
                <w:vertAlign w:val="superscript"/>
              </w:rPr>
              <w:t>a,B</w:t>
            </w:r>
          </w:p>
        </w:tc>
        <w:tc>
          <w:tcPr>
            <w:tcW w:w="64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05 -25</w:t>
            </w:r>
            <w:r w:rsidR="00057CAF">
              <w:rPr>
                <w:rFonts w:ascii="Times New Roman" w:hAnsi="Times New Roman" w:cs="Times New Roman"/>
                <w:sz w:val="18"/>
                <w:szCs w:val="18"/>
              </w:rPr>
              <w:t>.</w:t>
            </w:r>
            <w:r w:rsidRPr="00DE104A">
              <w:rPr>
                <w:rFonts w:ascii="Times New Roman" w:hAnsi="Times New Roman" w:cs="Times New Roman"/>
                <w:sz w:val="18"/>
                <w:szCs w:val="18"/>
              </w:rPr>
              <w:t>03</w:t>
            </w:r>
          </w:p>
        </w:tc>
      </w:tr>
      <w:tr w:rsidR="00F63F2A" w:rsidRPr="0041243D" w:rsidTr="00A613FF">
        <w:trPr>
          <w:gridAfter w:val="2"/>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i/>
                <w:iCs/>
                <w:sz w:val="18"/>
                <w:szCs w:val="18"/>
              </w:rPr>
            </w:pPr>
          </w:p>
        </w:tc>
        <w:tc>
          <w:tcPr>
            <w:tcW w:w="82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w:t>
            </w: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BD5C74">
              <w:rPr>
                <w:rFonts w:ascii="Times New Roman" w:hAnsi="Times New Roman" w:cs="Times New Roman"/>
                <w:sz w:val="18"/>
                <w:szCs w:val="18"/>
              </w:rPr>
              <w:t>.</w:t>
            </w:r>
            <w:r w:rsidRPr="00DE104A">
              <w:rPr>
                <w:rFonts w:ascii="Times New Roman" w:hAnsi="Times New Roman" w:cs="Times New Roman"/>
                <w:sz w:val="18"/>
                <w:szCs w:val="18"/>
              </w:rPr>
              <w:t>58</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72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3</w:t>
            </w:r>
            <w:r w:rsidR="00BD5C74">
              <w:rPr>
                <w:rFonts w:ascii="Times New Roman" w:hAnsi="Times New Roman" w:cs="Times New Roman"/>
                <w:sz w:val="18"/>
                <w:szCs w:val="18"/>
              </w:rPr>
              <w:t>.</w:t>
            </w:r>
            <w:r w:rsidRPr="00DE104A">
              <w:rPr>
                <w:rFonts w:ascii="Times New Roman" w:hAnsi="Times New Roman" w:cs="Times New Roman"/>
                <w:sz w:val="18"/>
                <w:szCs w:val="18"/>
              </w:rPr>
              <w:t>16</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sidRPr="00DE104A">
              <w:rPr>
                <w:rFonts w:ascii="Times New Roman" w:hAnsi="Times New Roman" w:cs="Times New Roman"/>
                <w:sz w:val="18"/>
                <w:szCs w:val="18"/>
              </w:rPr>
              <w:t>49</w:t>
            </w:r>
            <w:r w:rsidRPr="00DE104A">
              <w:rPr>
                <w:rFonts w:ascii="Times New Roman" w:hAnsi="Times New Roman" w:cs="Times New Roman"/>
                <w:sz w:val="18"/>
                <w:szCs w:val="18"/>
                <w:vertAlign w:val="superscript"/>
              </w:rPr>
              <w:t>a,B</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10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5</w:t>
            </w:r>
            <w:r w:rsidR="00057CAF">
              <w:rPr>
                <w:rFonts w:ascii="Times New Roman" w:hAnsi="Times New Roman" w:cs="Times New Roman"/>
                <w:sz w:val="18"/>
                <w:szCs w:val="18"/>
              </w:rPr>
              <w:t>.</w:t>
            </w:r>
            <w:r w:rsidRPr="00DE104A">
              <w:rPr>
                <w:rFonts w:ascii="Times New Roman" w:hAnsi="Times New Roman" w:cs="Times New Roman"/>
                <w:sz w:val="18"/>
                <w:szCs w:val="18"/>
              </w:rPr>
              <w:t>27</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45</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43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6</w:t>
            </w:r>
            <w:r w:rsidR="00057CAF">
              <w:rPr>
                <w:rFonts w:ascii="Times New Roman" w:hAnsi="Times New Roman" w:cs="Times New Roman"/>
                <w:sz w:val="18"/>
                <w:szCs w:val="18"/>
              </w:rPr>
              <w:t>.</w:t>
            </w:r>
            <w:r w:rsidRPr="00DE104A">
              <w:rPr>
                <w:rFonts w:ascii="Times New Roman" w:hAnsi="Times New Roman" w:cs="Times New Roman"/>
                <w:sz w:val="18"/>
                <w:szCs w:val="18"/>
              </w:rPr>
              <w:t>24</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00</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91 -5</w:t>
            </w:r>
            <w:r w:rsidR="00057CAF">
              <w:rPr>
                <w:rFonts w:ascii="Times New Roman" w:hAnsi="Times New Roman" w:cs="Times New Roman"/>
                <w:sz w:val="18"/>
                <w:szCs w:val="18"/>
              </w:rPr>
              <w:t>.</w:t>
            </w:r>
            <w:r w:rsidRPr="00DE104A">
              <w:rPr>
                <w:rFonts w:ascii="Times New Roman" w:hAnsi="Times New Roman" w:cs="Times New Roman"/>
                <w:sz w:val="18"/>
                <w:szCs w:val="18"/>
              </w:rPr>
              <w:t>75</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69</w:t>
            </w:r>
            <w:r w:rsidRPr="00DE104A">
              <w:rPr>
                <w:rFonts w:ascii="Times New Roman" w:hAnsi="Times New Roman" w:cs="Times New Roman"/>
                <w:sz w:val="18"/>
                <w:szCs w:val="18"/>
                <w:vertAlign w:val="superscript"/>
              </w:rPr>
              <w:t>a,B</w:t>
            </w:r>
          </w:p>
        </w:tc>
        <w:tc>
          <w:tcPr>
            <w:tcW w:w="640" w:type="dxa"/>
            <w:noWrap/>
            <w:hideMark/>
          </w:tcPr>
          <w:p w:rsidR="00F63F2A" w:rsidRPr="00DE104A" w:rsidRDefault="00F63F2A" w:rsidP="00057CAF">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05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74</w:t>
            </w:r>
          </w:p>
        </w:tc>
      </w:tr>
      <w:tr w:rsidR="00F63F2A" w:rsidRPr="0041243D" w:rsidTr="00A613FF">
        <w:trPr>
          <w:gridAfter w:val="2"/>
          <w:cnfStyle w:val="000000100000" w:firstRow="0" w:lastRow="0" w:firstColumn="0" w:lastColumn="0" w:oddVBand="0" w:evenVBand="0" w:oddHBand="1" w:evenHBand="0" w:firstRowFirstColumn="0" w:firstRowLastColumn="0" w:lastRowFirstColumn="0" w:lastRowLastColumn="0"/>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val="restart"/>
            <w:noWrap/>
            <w:hideMark/>
          </w:tcPr>
          <w:p w:rsidR="00F63F2A" w:rsidRPr="00802DCF" w:rsidRDefault="00F63F2A" w:rsidP="00F63F2A">
            <w:pPr>
              <w:ind w:right="-60"/>
              <w:jc w:val="center"/>
              <w:rPr>
                <w:rFonts w:ascii="Times New Roman" w:hAnsi="Times New Roman" w:cs="Times New Roman"/>
                <w:b w:val="0"/>
                <w:sz w:val="18"/>
                <w:szCs w:val="18"/>
              </w:rPr>
            </w:pPr>
            <w:r w:rsidRPr="00802DCF">
              <w:rPr>
                <w:rFonts w:ascii="Times New Roman" w:hAnsi="Times New Roman" w:cs="Times New Roman"/>
                <w:sz w:val="18"/>
                <w:szCs w:val="18"/>
              </w:rPr>
              <w:t>MTA Fillapex</w:t>
            </w:r>
          </w:p>
        </w:tc>
        <w:tc>
          <w:tcPr>
            <w:tcW w:w="82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Without</w:t>
            </w:r>
          </w:p>
        </w:tc>
        <w:tc>
          <w:tcPr>
            <w:tcW w:w="729"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65</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95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3</w:t>
            </w:r>
            <w:r w:rsidR="00BD5C74">
              <w:rPr>
                <w:rFonts w:ascii="Times New Roman" w:hAnsi="Times New Roman" w:cs="Times New Roman"/>
                <w:sz w:val="18"/>
                <w:szCs w:val="18"/>
              </w:rPr>
              <w:t>.</w:t>
            </w:r>
            <w:r w:rsidRPr="00DE104A">
              <w:rPr>
                <w:rFonts w:ascii="Times New Roman" w:hAnsi="Times New Roman" w:cs="Times New Roman"/>
                <w:sz w:val="18"/>
                <w:szCs w:val="18"/>
              </w:rPr>
              <w:t>36</w:t>
            </w:r>
          </w:p>
        </w:tc>
        <w:tc>
          <w:tcPr>
            <w:tcW w:w="72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BD5C74">
              <w:rPr>
                <w:rFonts w:ascii="Times New Roman" w:hAnsi="Times New Roman" w:cs="Times New Roman"/>
                <w:sz w:val="18"/>
                <w:szCs w:val="18"/>
              </w:rPr>
              <w:t>.</w:t>
            </w:r>
            <w:r w:rsidRPr="00DE104A">
              <w:rPr>
                <w:rFonts w:ascii="Times New Roman" w:hAnsi="Times New Roman" w:cs="Times New Roman"/>
                <w:sz w:val="18"/>
                <w:szCs w:val="18"/>
              </w:rPr>
              <w:t>08</w:t>
            </w:r>
            <w:r w:rsidRPr="00DE104A">
              <w:rPr>
                <w:rFonts w:ascii="Times New Roman" w:hAnsi="Times New Roman" w:cs="Times New Roman"/>
                <w:sz w:val="18"/>
                <w:szCs w:val="18"/>
                <w:vertAlign w:val="superscript"/>
              </w:rPr>
              <w:t>a,AB</w:t>
            </w:r>
          </w:p>
        </w:tc>
        <w:tc>
          <w:tcPr>
            <w:tcW w:w="681"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58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5</w:t>
            </w:r>
            <w:r w:rsidR="00057CAF">
              <w:rPr>
                <w:rFonts w:ascii="Times New Roman" w:hAnsi="Times New Roman" w:cs="Times New Roman"/>
                <w:sz w:val="18"/>
                <w:szCs w:val="18"/>
              </w:rPr>
              <w:t>.</w:t>
            </w:r>
            <w:r w:rsidRPr="00DE104A">
              <w:rPr>
                <w:rFonts w:ascii="Times New Roman" w:hAnsi="Times New Roman" w:cs="Times New Roman"/>
                <w:sz w:val="18"/>
                <w:szCs w:val="18"/>
              </w:rPr>
              <w:t>86</w:t>
            </w:r>
          </w:p>
        </w:tc>
        <w:tc>
          <w:tcPr>
            <w:tcW w:w="768"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7</w:t>
            </w:r>
            <w:r w:rsidR="00057CAF">
              <w:rPr>
                <w:rFonts w:ascii="Times New Roman" w:hAnsi="Times New Roman" w:cs="Times New Roman"/>
                <w:sz w:val="18"/>
                <w:szCs w:val="18"/>
              </w:rPr>
              <w:t>.</w:t>
            </w:r>
            <w:r w:rsidRPr="00DE104A">
              <w:rPr>
                <w:rFonts w:ascii="Times New Roman" w:hAnsi="Times New Roman" w:cs="Times New Roman"/>
                <w:sz w:val="18"/>
                <w:szCs w:val="18"/>
              </w:rPr>
              <w:t>05</w:t>
            </w:r>
            <w:r w:rsidRPr="00DE104A">
              <w:rPr>
                <w:rFonts w:ascii="Times New Roman" w:hAnsi="Times New Roman" w:cs="Times New Roman"/>
                <w:sz w:val="18"/>
                <w:szCs w:val="18"/>
                <w:vertAlign w:val="superscript"/>
              </w:rPr>
              <w:t>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057CAF">
              <w:rPr>
                <w:rFonts w:ascii="Times New Roman" w:hAnsi="Times New Roman" w:cs="Times New Roman"/>
                <w:sz w:val="18"/>
                <w:szCs w:val="18"/>
              </w:rPr>
              <w:t>.</w:t>
            </w:r>
            <w:r w:rsidRPr="00DE104A">
              <w:rPr>
                <w:rFonts w:ascii="Times New Roman" w:hAnsi="Times New Roman" w:cs="Times New Roman"/>
                <w:sz w:val="18"/>
                <w:szCs w:val="18"/>
              </w:rPr>
              <w:t>76 -11</w:t>
            </w:r>
            <w:r w:rsidR="00057CAF">
              <w:rPr>
                <w:rFonts w:ascii="Times New Roman" w:hAnsi="Times New Roman" w:cs="Times New Roman"/>
                <w:sz w:val="18"/>
                <w:szCs w:val="18"/>
              </w:rPr>
              <w:t>.</w:t>
            </w:r>
            <w:r w:rsidRPr="00DE104A">
              <w:rPr>
                <w:rFonts w:ascii="Times New Roman" w:hAnsi="Times New Roman" w:cs="Times New Roman"/>
                <w:sz w:val="18"/>
                <w:szCs w:val="18"/>
              </w:rPr>
              <w:t>68</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93</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91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14</w:t>
            </w:r>
            <w:r w:rsidR="00057CAF">
              <w:rPr>
                <w:rFonts w:ascii="Times New Roman" w:hAnsi="Times New Roman" w:cs="Times New Roman"/>
                <w:sz w:val="18"/>
                <w:szCs w:val="18"/>
              </w:rPr>
              <w:t>.</w:t>
            </w:r>
            <w:r w:rsidRPr="00DE104A">
              <w:rPr>
                <w:rFonts w:ascii="Times New Roman" w:hAnsi="Times New Roman" w:cs="Times New Roman"/>
                <w:sz w:val="18"/>
                <w:szCs w:val="18"/>
              </w:rPr>
              <w:t>99</w:t>
            </w:r>
          </w:p>
        </w:tc>
        <w:tc>
          <w:tcPr>
            <w:tcW w:w="768" w:type="dxa"/>
            <w:gridSpan w:val="2"/>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6</w:t>
            </w:r>
            <w:r w:rsidR="00057CAF">
              <w:rPr>
                <w:rFonts w:ascii="Times New Roman" w:hAnsi="Times New Roman" w:cs="Times New Roman"/>
                <w:sz w:val="18"/>
                <w:szCs w:val="18"/>
              </w:rPr>
              <w:t>.</w:t>
            </w:r>
            <w:r w:rsidRPr="00DE104A">
              <w:rPr>
                <w:rFonts w:ascii="Times New Roman" w:hAnsi="Times New Roman" w:cs="Times New Roman"/>
                <w:sz w:val="18"/>
                <w:szCs w:val="18"/>
              </w:rPr>
              <w:t>09</w:t>
            </w:r>
            <w:r w:rsidRPr="00DE104A">
              <w:rPr>
                <w:rFonts w:ascii="Times New Roman" w:hAnsi="Times New Roman" w:cs="Times New Roman"/>
                <w:sz w:val="18"/>
                <w:szCs w:val="18"/>
                <w:vertAlign w:val="superscript"/>
              </w:rPr>
              <w:t>a,B</w:t>
            </w:r>
          </w:p>
        </w:tc>
        <w:tc>
          <w:tcPr>
            <w:tcW w:w="640" w:type="dxa"/>
            <w:noWrap/>
            <w:hideMark/>
          </w:tcPr>
          <w:p w:rsidR="00F63F2A" w:rsidRPr="00DE104A" w:rsidRDefault="00F63F2A" w:rsidP="00F63F2A">
            <w:pPr>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06 -19</w:t>
            </w:r>
            <w:r w:rsidR="00057CAF">
              <w:rPr>
                <w:rFonts w:ascii="Times New Roman" w:hAnsi="Times New Roman" w:cs="Times New Roman"/>
                <w:sz w:val="18"/>
                <w:szCs w:val="18"/>
              </w:rPr>
              <w:t>.</w:t>
            </w:r>
            <w:r w:rsidRPr="00DE104A">
              <w:rPr>
                <w:rFonts w:ascii="Times New Roman" w:hAnsi="Times New Roman" w:cs="Times New Roman"/>
                <w:sz w:val="18"/>
                <w:szCs w:val="18"/>
              </w:rPr>
              <w:t>66</w:t>
            </w:r>
          </w:p>
        </w:tc>
      </w:tr>
      <w:tr w:rsidR="00F63F2A" w:rsidRPr="0041243D" w:rsidTr="00A613FF">
        <w:trPr>
          <w:gridAfter w:val="2"/>
          <w:wAfter w:w="59" w:type="dxa"/>
          <w:trHeight w:val="261"/>
        </w:trPr>
        <w:tc>
          <w:tcPr>
            <w:cnfStyle w:val="001000000000" w:firstRow="0" w:lastRow="0" w:firstColumn="1" w:lastColumn="0" w:oddVBand="0" w:evenVBand="0" w:oddHBand="0" w:evenHBand="0" w:firstRowFirstColumn="0" w:firstRowLastColumn="0" w:lastRowFirstColumn="0" w:lastRowLastColumn="0"/>
            <w:tcW w:w="759" w:type="dxa"/>
            <w:vMerge/>
            <w:hideMark/>
          </w:tcPr>
          <w:p w:rsidR="00F63F2A" w:rsidRPr="00DE104A" w:rsidRDefault="00F63F2A" w:rsidP="00F63F2A">
            <w:pPr>
              <w:ind w:right="-60"/>
              <w:rPr>
                <w:rFonts w:ascii="Times New Roman" w:hAnsi="Times New Roman" w:cs="Times New Roman"/>
                <w:b w:val="0"/>
                <w:i/>
                <w:iCs/>
                <w:sz w:val="18"/>
                <w:szCs w:val="18"/>
              </w:rPr>
            </w:pPr>
          </w:p>
        </w:tc>
        <w:tc>
          <w:tcPr>
            <w:tcW w:w="82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D6B1B">
              <w:rPr>
                <w:rFonts w:ascii="Times New Roman" w:hAnsi="Times New Roman" w:cs="Times New Roman"/>
                <w:sz w:val="18"/>
                <w:szCs w:val="18"/>
              </w:rPr>
              <w:t>With</w:t>
            </w:r>
          </w:p>
        </w:tc>
        <w:tc>
          <w:tcPr>
            <w:tcW w:w="729"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21</w:t>
            </w:r>
            <w:r w:rsidRPr="00DE104A">
              <w:rPr>
                <w:rFonts w:ascii="Times New Roman" w:hAnsi="Times New Roman" w:cs="Times New Roman"/>
                <w:sz w:val="18"/>
                <w:szCs w:val="18"/>
                <w:vertAlign w:val="superscript"/>
              </w:rPr>
              <w:t>ab,A</w:t>
            </w:r>
          </w:p>
        </w:tc>
        <w:tc>
          <w:tcPr>
            <w:tcW w:w="615"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0</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31 </w:t>
            </w:r>
            <w:r w:rsidR="00BD5C74">
              <w:rPr>
                <w:rFonts w:ascii="Times New Roman" w:hAnsi="Times New Roman" w:cs="Times New Roman"/>
                <w:sz w:val="18"/>
                <w:szCs w:val="18"/>
              </w:rPr>
              <w:t>–</w:t>
            </w:r>
            <w:r w:rsidRPr="00DE104A">
              <w:rPr>
                <w:rFonts w:ascii="Times New Roman" w:hAnsi="Times New Roman" w:cs="Times New Roman"/>
                <w:sz w:val="18"/>
                <w:szCs w:val="18"/>
              </w:rPr>
              <w:t xml:space="preserve"> 3</w:t>
            </w:r>
            <w:r w:rsidR="00BD5C74">
              <w:rPr>
                <w:rFonts w:ascii="Times New Roman" w:hAnsi="Times New Roman" w:cs="Times New Roman"/>
                <w:sz w:val="18"/>
                <w:szCs w:val="18"/>
              </w:rPr>
              <w:t>.</w:t>
            </w:r>
            <w:r w:rsidRPr="00DE104A">
              <w:rPr>
                <w:rFonts w:ascii="Times New Roman" w:hAnsi="Times New Roman" w:cs="Times New Roman"/>
                <w:sz w:val="18"/>
                <w:szCs w:val="18"/>
              </w:rPr>
              <w:t>97</w:t>
            </w:r>
          </w:p>
        </w:tc>
        <w:tc>
          <w:tcPr>
            <w:tcW w:w="72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2</w:t>
            </w:r>
            <w:r w:rsidR="00BD5C74">
              <w:rPr>
                <w:rFonts w:ascii="Times New Roman" w:hAnsi="Times New Roman" w:cs="Times New Roman"/>
                <w:sz w:val="18"/>
                <w:szCs w:val="18"/>
              </w:rPr>
              <w:t>.</w:t>
            </w:r>
            <w:r w:rsidRPr="00DE104A">
              <w:rPr>
                <w:rFonts w:ascii="Times New Roman" w:hAnsi="Times New Roman" w:cs="Times New Roman"/>
                <w:sz w:val="18"/>
                <w:szCs w:val="18"/>
              </w:rPr>
              <w:t>40</w:t>
            </w:r>
            <w:r w:rsidRPr="00DE104A">
              <w:rPr>
                <w:rFonts w:ascii="Times New Roman" w:hAnsi="Times New Roman" w:cs="Times New Roman"/>
                <w:sz w:val="18"/>
                <w:szCs w:val="18"/>
                <w:vertAlign w:val="superscript"/>
              </w:rPr>
              <w:t>a,AB</w:t>
            </w:r>
          </w:p>
        </w:tc>
        <w:tc>
          <w:tcPr>
            <w:tcW w:w="681"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06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4</w:t>
            </w:r>
            <w:r w:rsidR="00057CAF">
              <w:rPr>
                <w:rFonts w:ascii="Times New Roman" w:hAnsi="Times New Roman" w:cs="Times New Roman"/>
                <w:sz w:val="18"/>
                <w:szCs w:val="18"/>
              </w:rPr>
              <w:t>.</w:t>
            </w:r>
            <w:r w:rsidRPr="00DE104A">
              <w:rPr>
                <w:rFonts w:ascii="Times New Roman" w:hAnsi="Times New Roman" w:cs="Times New Roman"/>
                <w:sz w:val="18"/>
                <w:szCs w:val="18"/>
              </w:rPr>
              <w:t>40</w:t>
            </w:r>
          </w:p>
        </w:tc>
        <w:tc>
          <w:tcPr>
            <w:tcW w:w="768"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5</w:t>
            </w:r>
            <w:r w:rsidR="00057CAF">
              <w:rPr>
                <w:rFonts w:ascii="Times New Roman" w:hAnsi="Times New Roman" w:cs="Times New Roman"/>
                <w:sz w:val="18"/>
                <w:szCs w:val="18"/>
              </w:rPr>
              <w:t>.</w:t>
            </w:r>
            <w:r w:rsidRPr="00DE104A">
              <w:rPr>
                <w:rFonts w:ascii="Times New Roman" w:hAnsi="Times New Roman" w:cs="Times New Roman"/>
                <w:sz w:val="18"/>
                <w:szCs w:val="18"/>
              </w:rPr>
              <w:t>00</w:t>
            </w:r>
            <w:r w:rsidRPr="00DE104A">
              <w:rPr>
                <w:rFonts w:ascii="Times New Roman" w:hAnsi="Times New Roman" w:cs="Times New Roman"/>
                <w:sz w:val="18"/>
                <w:szCs w:val="18"/>
                <w:vertAlign w:val="superscript"/>
              </w:rPr>
              <w:t>a,AB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80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29</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5</w:t>
            </w:r>
            <w:r w:rsidR="00057CAF">
              <w:rPr>
                <w:rFonts w:ascii="Times New Roman" w:hAnsi="Times New Roman" w:cs="Times New Roman"/>
                <w:sz w:val="18"/>
                <w:szCs w:val="18"/>
              </w:rPr>
              <w:t>.</w:t>
            </w:r>
            <w:r w:rsidRPr="00DE104A">
              <w:rPr>
                <w:rFonts w:ascii="Times New Roman" w:hAnsi="Times New Roman" w:cs="Times New Roman"/>
                <w:sz w:val="18"/>
                <w:szCs w:val="18"/>
              </w:rPr>
              <w:t>27</w:t>
            </w:r>
            <w:r w:rsidRPr="00DE104A">
              <w:rPr>
                <w:rFonts w:ascii="Times New Roman" w:hAnsi="Times New Roman" w:cs="Times New Roman"/>
                <w:sz w:val="18"/>
                <w:szCs w:val="18"/>
                <w:vertAlign w:val="superscript"/>
              </w:rPr>
              <w:t>a,B</w:t>
            </w:r>
          </w:p>
        </w:tc>
        <w:tc>
          <w:tcPr>
            <w:tcW w:w="615"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1</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80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15</w:t>
            </w:r>
            <w:r w:rsidR="00057CAF">
              <w:rPr>
                <w:rFonts w:ascii="Times New Roman" w:hAnsi="Times New Roman" w:cs="Times New Roman"/>
                <w:sz w:val="18"/>
                <w:szCs w:val="18"/>
              </w:rPr>
              <w:t>.</w:t>
            </w:r>
            <w:r w:rsidRPr="00DE104A">
              <w:rPr>
                <w:rFonts w:ascii="Times New Roman" w:hAnsi="Times New Roman" w:cs="Times New Roman"/>
                <w:sz w:val="18"/>
                <w:szCs w:val="18"/>
              </w:rPr>
              <w:t>71</w:t>
            </w:r>
          </w:p>
        </w:tc>
        <w:tc>
          <w:tcPr>
            <w:tcW w:w="768" w:type="dxa"/>
            <w:gridSpan w:val="2"/>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4</w:t>
            </w:r>
            <w:r w:rsidR="00057CAF">
              <w:rPr>
                <w:rFonts w:ascii="Times New Roman" w:hAnsi="Times New Roman" w:cs="Times New Roman"/>
                <w:sz w:val="18"/>
                <w:szCs w:val="18"/>
              </w:rPr>
              <w:t>.</w:t>
            </w:r>
            <w:r w:rsidRPr="00DE104A">
              <w:rPr>
                <w:rFonts w:ascii="Times New Roman" w:hAnsi="Times New Roman" w:cs="Times New Roman"/>
                <w:sz w:val="18"/>
                <w:szCs w:val="18"/>
              </w:rPr>
              <w:t>04</w:t>
            </w:r>
            <w:r w:rsidRPr="00DE104A">
              <w:rPr>
                <w:rFonts w:ascii="Times New Roman" w:hAnsi="Times New Roman" w:cs="Times New Roman"/>
                <w:sz w:val="18"/>
                <w:szCs w:val="18"/>
                <w:vertAlign w:val="superscript"/>
              </w:rPr>
              <w:t>a,AB</w:t>
            </w:r>
          </w:p>
        </w:tc>
        <w:tc>
          <w:tcPr>
            <w:tcW w:w="640" w:type="dxa"/>
            <w:noWrap/>
            <w:hideMark/>
          </w:tcPr>
          <w:p w:rsidR="00F63F2A" w:rsidRPr="00DE104A" w:rsidRDefault="00F63F2A" w:rsidP="00F63F2A">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E104A">
              <w:rPr>
                <w:rFonts w:ascii="Times New Roman" w:hAnsi="Times New Roman" w:cs="Times New Roman"/>
                <w:sz w:val="18"/>
                <w:szCs w:val="18"/>
              </w:rPr>
              <w:t>3</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081 </w:t>
            </w:r>
            <w:r w:rsidR="00057CAF">
              <w:rPr>
                <w:rFonts w:ascii="Times New Roman" w:hAnsi="Times New Roman" w:cs="Times New Roman"/>
                <w:sz w:val="18"/>
                <w:szCs w:val="18"/>
              </w:rPr>
              <w:t>–</w:t>
            </w:r>
            <w:r w:rsidRPr="00DE104A">
              <w:rPr>
                <w:rFonts w:ascii="Times New Roman" w:hAnsi="Times New Roman" w:cs="Times New Roman"/>
                <w:sz w:val="18"/>
                <w:szCs w:val="18"/>
              </w:rPr>
              <w:t xml:space="preserve"> 8</w:t>
            </w:r>
            <w:r w:rsidR="00057CAF">
              <w:rPr>
                <w:rFonts w:ascii="Times New Roman" w:hAnsi="Times New Roman" w:cs="Times New Roman"/>
                <w:sz w:val="18"/>
                <w:szCs w:val="18"/>
              </w:rPr>
              <w:t>.</w:t>
            </w:r>
            <w:r w:rsidRPr="00DE104A">
              <w:rPr>
                <w:rFonts w:ascii="Times New Roman" w:hAnsi="Times New Roman" w:cs="Times New Roman"/>
                <w:sz w:val="18"/>
                <w:szCs w:val="18"/>
              </w:rPr>
              <w:t>433</w:t>
            </w:r>
          </w:p>
        </w:tc>
      </w:tr>
      <w:tr w:rsidR="00F63F2A" w:rsidRPr="00284772" w:rsidTr="00A613F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565" w:type="dxa"/>
            <w:gridSpan w:val="18"/>
            <w:tcBorders>
              <w:bottom w:val="nil"/>
            </w:tcBorders>
            <w:noWrap/>
            <w:hideMark/>
          </w:tcPr>
          <w:p w:rsidR="00F63F2A" w:rsidRPr="00EC25AA" w:rsidRDefault="00F63F2A" w:rsidP="00EC25AA">
            <w:pPr>
              <w:ind w:right="-60"/>
              <w:jc w:val="both"/>
              <w:rPr>
                <w:rFonts w:ascii="Arial" w:hAnsi="Arial" w:cs="Arial"/>
                <w:b w:val="0"/>
                <w:sz w:val="18"/>
                <w:szCs w:val="18"/>
              </w:rPr>
            </w:pPr>
            <w:r w:rsidRPr="00EC25AA">
              <w:rPr>
                <w:rFonts w:ascii="Arial" w:hAnsi="Arial" w:cs="Arial"/>
                <w:b w:val="0"/>
                <w:sz w:val="16"/>
                <w:szCs w:val="16"/>
                <w:vertAlign w:val="superscript"/>
              </w:rPr>
              <w:t>a,b</w:t>
            </w:r>
            <w:r w:rsidRPr="00EC25AA">
              <w:rPr>
                <w:rFonts w:ascii="Arial" w:hAnsi="Arial" w:cs="Arial"/>
                <w:b w:val="0"/>
                <w:sz w:val="16"/>
                <w:szCs w:val="16"/>
              </w:rPr>
              <w:t xml:space="preserve"> </w:t>
            </w:r>
            <w:r w:rsidR="00EC25AA" w:rsidRPr="00EC25AA">
              <w:rPr>
                <w:rFonts w:ascii="Arial" w:hAnsi="Arial" w:cs="Arial"/>
                <w:sz w:val="20"/>
                <w:szCs w:val="20"/>
              </w:rPr>
              <w:t xml:space="preserve"> </w:t>
            </w:r>
            <w:r w:rsidR="00EC25AA" w:rsidRPr="00EC25AA">
              <w:rPr>
                <w:rFonts w:ascii="Arial" w:hAnsi="Arial" w:cs="Arial"/>
                <w:b w:val="0"/>
                <w:sz w:val="16"/>
                <w:szCs w:val="16"/>
              </w:rPr>
              <w:t>Distinct lowercase letters show statistically significant differences between the groups in each time period, according to the Kruskal-Wallis and Dunn tests (</w:t>
            </w:r>
            <w:r w:rsidR="00EC25AA" w:rsidRPr="008F5660">
              <w:rPr>
                <w:rFonts w:ascii="Arial" w:hAnsi="Arial" w:cs="Arial"/>
                <w:b w:val="0"/>
                <w:i/>
                <w:iCs/>
                <w:sz w:val="16"/>
                <w:szCs w:val="16"/>
              </w:rPr>
              <w:t>P</w:t>
            </w:r>
            <w:r w:rsidR="00EC25AA" w:rsidRPr="00EC25AA">
              <w:rPr>
                <w:rFonts w:ascii="Arial" w:hAnsi="Arial" w:cs="Arial"/>
                <w:b w:val="0"/>
                <w:sz w:val="16"/>
                <w:szCs w:val="16"/>
              </w:rPr>
              <w:t xml:space="preserve"> &lt; 0.05).</w:t>
            </w:r>
          </w:p>
        </w:tc>
      </w:tr>
      <w:tr w:rsidR="00F63F2A" w:rsidRPr="008F5660" w:rsidTr="00A613FF">
        <w:trPr>
          <w:trHeight w:val="261"/>
        </w:trPr>
        <w:tc>
          <w:tcPr>
            <w:cnfStyle w:val="001000000000" w:firstRow="0" w:lastRow="0" w:firstColumn="1" w:lastColumn="0" w:oddVBand="0" w:evenVBand="0" w:oddHBand="0" w:evenHBand="0" w:firstRowFirstColumn="0" w:firstRowLastColumn="0" w:lastRowFirstColumn="0" w:lastRowLastColumn="0"/>
            <w:tcW w:w="8565" w:type="dxa"/>
            <w:gridSpan w:val="18"/>
            <w:tcBorders>
              <w:top w:val="nil"/>
              <w:bottom w:val="nil"/>
            </w:tcBorders>
            <w:noWrap/>
            <w:hideMark/>
          </w:tcPr>
          <w:p w:rsidR="00F63F2A" w:rsidRPr="008F5660" w:rsidRDefault="00F63F2A" w:rsidP="00F63F2A">
            <w:pPr>
              <w:ind w:right="-60"/>
              <w:rPr>
                <w:rFonts w:ascii="Arial" w:hAnsi="Arial" w:cs="Arial"/>
                <w:b w:val="0"/>
                <w:sz w:val="16"/>
                <w:szCs w:val="16"/>
              </w:rPr>
            </w:pPr>
            <w:r w:rsidRPr="008F5660">
              <w:rPr>
                <w:rFonts w:ascii="Arial" w:hAnsi="Arial" w:cs="Arial"/>
                <w:b w:val="0"/>
                <w:sz w:val="16"/>
                <w:szCs w:val="16"/>
                <w:vertAlign w:val="superscript"/>
              </w:rPr>
              <w:lastRenderedPageBreak/>
              <w:t>A,B</w:t>
            </w:r>
            <w:r w:rsidRPr="008F5660">
              <w:rPr>
                <w:rFonts w:ascii="Arial" w:hAnsi="Arial" w:cs="Arial"/>
                <w:b w:val="0"/>
                <w:sz w:val="16"/>
                <w:szCs w:val="16"/>
              </w:rPr>
              <w:t xml:space="preserve"> </w:t>
            </w:r>
            <w:r w:rsidRPr="008F5660">
              <w:rPr>
                <w:rFonts w:ascii="Arial" w:hAnsi="Arial" w:cs="Arial"/>
                <w:b w:val="0"/>
                <w:bCs w:val="0"/>
                <w:sz w:val="16"/>
                <w:szCs w:val="16"/>
              </w:rPr>
              <w:t xml:space="preserve"> </w:t>
            </w:r>
            <w:r w:rsidR="008F5660" w:rsidRPr="008F5660">
              <w:rPr>
                <w:rFonts w:ascii="Arial" w:hAnsi="Arial" w:cs="Arial"/>
                <w:b w:val="0"/>
                <w:sz w:val="16"/>
                <w:szCs w:val="16"/>
              </w:rPr>
              <w:t>Distinct capital letters indicate statistically significant differences for the same material over different time periods, according to the Kruskal-Wallis and Dunn tests (</w:t>
            </w:r>
            <w:r w:rsidR="008F5660" w:rsidRPr="008F5660">
              <w:rPr>
                <w:rFonts w:ascii="Arial" w:hAnsi="Arial" w:cs="Arial"/>
                <w:b w:val="0"/>
                <w:i/>
                <w:iCs/>
                <w:sz w:val="16"/>
                <w:szCs w:val="16"/>
              </w:rPr>
              <w:t>P</w:t>
            </w:r>
            <w:r w:rsidR="008F5660" w:rsidRPr="008F5660">
              <w:rPr>
                <w:rFonts w:ascii="Arial" w:hAnsi="Arial" w:cs="Arial"/>
                <w:b w:val="0"/>
                <w:sz w:val="16"/>
                <w:szCs w:val="16"/>
              </w:rPr>
              <w:t xml:space="preserve"> &lt; 0.05).</w:t>
            </w:r>
          </w:p>
        </w:tc>
      </w:tr>
    </w:tbl>
    <w:p w:rsidR="00A613FF" w:rsidRDefault="00A613FF" w:rsidP="003C7197">
      <w:pPr>
        <w:jc w:val="center"/>
        <w:rPr>
          <w:rFonts w:ascii="Arial" w:hAnsi="Arial" w:cs="Arial"/>
          <w:b/>
          <w:bCs/>
          <w:sz w:val="16"/>
          <w:szCs w:val="16"/>
        </w:rPr>
      </w:pPr>
    </w:p>
    <w:p w:rsidR="00A613FF" w:rsidRDefault="00A613FF" w:rsidP="003C7197">
      <w:pPr>
        <w:jc w:val="center"/>
        <w:rPr>
          <w:rFonts w:ascii="Arial" w:hAnsi="Arial" w:cs="Arial"/>
          <w:b/>
          <w:bCs/>
          <w:sz w:val="16"/>
          <w:szCs w:val="16"/>
        </w:rPr>
      </w:pPr>
    </w:p>
    <w:p w:rsidR="003C7197" w:rsidRPr="00A613FF" w:rsidRDefault="003C7197" w:rsidP="003C7197">
      <w:pPr>
        <w:jc w:val="center"/>
        <w:rPr>
          <w:rFonts w:ascii="Times New Roman" w:hAnsi="Times New Roman"/>
          <w:color w:val="000000" w:themeColor="text1"/>
        </w:rPr>
      </w:pPr>
      <w:r w:rsidRPr="00A613FF">
        <w:rPr>
          <w:rFonts w:ascii="Arial" w:hAnsi="Arial" w:cs="Arial"/>
          <w:b/>
          <w:bCs/>
          <w:sz w:val="16"/>
          <w:szCs w:val="16"/>
        </w:rPr>
        <w:t>Source: author's own</w:t>
      </w:r>
    </w:p>
    <w:p w:rsidR="00B63A5B" w:rsidRDefault="00B63A5B" w:rsidP="00C02E90">
      <w:pPr>
        <w:jc w:val="both"/>
        <w:rPr>
          <w:rFonts w:ascii="Times New Roman" w:hAnsi="Times New Roman"/>
          <w:color w:val="000000" w:themeColor="text1"/>
          <w:sz w:val="24"/>
          <w:szCs w:val="24"/>
        </w:rPr>
      </w:pPr>
    </w:p>
    <w:p w:rsidR="009418CD" w:rsidRDefault="009418CD" w:rsidP="00C02E90">
      <w:pPr>
        <w:jc w:val="both"/>
        <w:rPr>
          <w:rFonts w:ascii="Times New Roman" w:hAnsi="Times New Roman"/>
          <w:color w:val="000000" w:themeColor="text1"/>
          <w:sz w:val="24"/>
          <w:szCs w:val="24"/>
        </w:rPr>
      </w:pPr>
    </w:p>
    <w:p w:rsidR="00C02E90" w:rsidRPr="009418CD" w:rsidRDefault="00C02E90" w:rsidP="00C02E90">
      <w:pPr>
        <w:jc w:val="both"/>
        <w:rPr>
          <w:rFonts w:ascii="Arial" w:hAnsi="Arial" w:cs="Arial"/>
          <w:color w:val="000000" w:themeColor="text1"/>
        </w:rPr>
      </w:pPr>
      <w:r w:rsidRPr="009418CD">
        <w:rPr>
          <w:rFonts w:ascii="Arial" w:hAnsi="Arial" w:cs="Arial"/>
          <w:color w:val="000000" w:themeColor="text1"/>
        </w:rPr>
        <w:t>From the analysis of the 7-day period (T1), all analyzed groups exhibited color variation, indicating dentin darkening. However, only the EF group presented discoloration values above the reference threshold of 3.7, a value that represents a clinically perceptible change (Fig. 1).</w:t>
      </w:r>
    </w:p>
    <w:p w:rsidR="00B63A5B" w:rsidRDefault="00B63A5B" w:rsidP="00C02E90">
      <w:pPr>
        <w:jc w:val="both"/>
        <w:rPr>
          <w:rFonts w:ascii="Times New Roman" w:hAnsi="Times New Roman"/>
          <w:color w:val="000000" w:themeColor="text1"/>
          <w:sz w:val="24"/>
          <w:szCs w:val="24"/>
        </w:rPr>
      </w:pPr>
    </w:p>
    <w:p w:rsidR="00A613FF" w:rsidRDefault="00A613FF" w:rsidP="00C02E90">
      <w:pPr>
        <w:jc w:val="both"/>
        <w:rPr>
          <w:rFonts w:ascii="Times New Roman" w:hAnsi="Times New Roman"/>
          <w:color w:val="000000" w:themeColor="text1"/>
          <w:sz w:val="24"/>
          <w:szCs w:val="24"/>
        </w:rPr>
      </w:pPr>
    </w:p>
    <w:p w:rsidR="00B63A5B" w:rsidRPr="00A613FF" w:rsidRDefault="00B63A5B" w:rsidP="00B63A5B">
      <w:pPr>
        <w:widowControl w:val="0"/>
        <w:autoSpaceDE w:val="0"/>
        <w:autoSpaceDN w:val="0"/>
        <w:adjustRightInd w:val="0"/>
        <w:spacing w:line="360" w:lineRule="auto"/>
        <w:ind w:right="-285"/>
        <w:jc w:val="center"/>
        <w:rPr>
          <w:rFonts w:ascii="Arial" w:hAnsi="Arial" w:cs="Arial"/>
          <w:b/>
          <w:sz w:val="16"/>
          <w:szCs w:val="16"/>
          <w:lang w:val="pt-BR" w:eastAsia="pt-BR"/>
        </w:rPr>
      </w:pPr>
      <w:r w:rsidRPr="00A613FF">
        <w:rPr>
          <w:rFonts w:ascii="Arial" w:hAnsi="Arial" w:cs="Arial"/>
          <w:b/>
          <w:sz w:val="16"/>
          <w:szCs w:val="16"/>
          <w:lang w:val="pt-BR" w:eastAsia="pt-BR"/>
        </w:rPr>
        <w:t>Figure 1.</w:t>
      </w:r>
      <w:r w:rsidRPr="00A613FF">
        <w:rPr>
          <w:rFonts w:ascii="Arial" w:hAnsi="Arial" w:cs="Arial"/>
          <w:b/>
          <w:sz w:val="16"/>
          <w:szCs w:val="16"/>
        </w:rPr>
        <w:t xml:space="preserve"> Graphical representation of the color variation presented by the endodontic sealers over time and with or without the use of </w:t>
      </w:r>
      <w:r w:rsidR="00971B31" w:rsidRPr="00971B31">
        <w:rPr>
          <w:rFonts w:ascii="Arial" w:hAnsi="Arial" w:cs="Arial"/>
          <w:b/>
          <w:sz w:val="16"/>
          <w:szCs w:val="16"/>
          <w:highlight w:val="yellow"/>
        </w:rPr>
        <w:t>UA</w:t>
      </w:r>
      <w:r w:rsidRPr="00A613FF">
        <w:rPr>
          <w:rFonts w:ascii="Arial" w:hAnsi="Arial" w:cs="Arial"/>
          <w:b/>
          <w:sz w:val="16"/>
          <w:szCs w:val="16"/>
        </w:rPr>
        <w:t>.</w:t>
      </w:r>
    </w:p>
    <w:p w:rsidR="00B63A5B" w:rsidRDefault="00B63A5B" w:rsidP="00B63A5B">
      <w:pPr>
        <w:jc w:val="center"/>
        <w:rPr>
          <w:rFonts w:ascii="Times New Roman" w:hAnsi="Times New Roman"/>
          <w:color w:val="000000" w:themeColor="text1"/>
          <w:sz w:val="24"/>
          <w:szCs w:val="24"/>
        </w:rPr>
      </w:pPr>
      <w:r>
        <w:rPr>
          <w:noProof/>
        </w:rPr>
        <w:drawing>
          <wp:inline distT="0" distB="0" distL="0" distR="0" wp14:anchorId="24635A6D" wp14:editId="1290CDE2">
            <wp:extent cx="4156364" cy="2493623"/>
            <wp:effectExtent l="0" t="0" r="0" b="0"/>
            <wp:docPr id="1361460172"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60172" name="Imagem 1" descr="Gráfico, Gráfico de linhas&#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0678" cy="2514210"/>
                    </a:xfrm>
                    <a:prstGeom prst="rect">
                      <a:avLst/>
                    </a:prstGeom>
                    <a:noFill/>
                    <a:ln>
                      <a:noFill/>
                    </a:ln>
                  </pic:spPr>
                </pic:pic>
              </a:graphicData>
            </a:graphic>
          </wp:inline>
        </w:drawing>
      </w:r>
    </w:p>
    <w:p w:rsidR="00B63A5B" w:rsidRPr="00A613FF" w:rsidRDefault="00B63A5B" w:rsidP="00B63A5B">
      <w:pPr>
        <w:jc w:val="center"/>
        <w:rPr>
          <w:rFonts w:ascii="Arial" w:hAnsi="Arial" w:cs="Arial"/>
          <w:b/>
          <w:bCs/>
          <w:sz w:val="16"/>
          <w:szCs w:val="16"/>
        </w:rPr>
      </w:pPr>
      <w:r w:rsidRPr="00A613FF">
        <w:rPr>
          <w:rFonts w:ascii="Arial" w:hAnsi="Arial" w:cs="Arial"/>
          <w:b/>
          <w:bCs/>
          <w:sz w:val="16"/>
          <w:szCs w:val="16"/>
        </w:rPr>
        <w:t>Source: author's own</w:t>
      </w:r>
    </w:p>
    <w:p w:rsidR="00F63F2A" w:rsidRDefault="00F63F2A" w:rsidP="00B63A5B">
      <w:pPr>
        <w:jc w:val="center"/>
        <w:rPr>
          <w:rFonts w:ascii="Times New Roman" w:hAnsi="Times New Roman"/>
          <w:color w:val="000000" w:themeColor="text1"/>
          <w:sz w:val="24"/>
          <w:szCs w:val="24"/>
        </w:rPr>
      </w:pPr>
    </w:p>
    <w:p w:rsidR="00B63A5B" w:rsidRDefault="00B63A5B" w:rsidP="00B63A5B">
      <w:pPr>
        <w:jc w:val="center"/>
        <w:rPr>
          <w:rFonts w:ascii="Times New Roman" w:hAnsi="Times New Roman"/>
          <w:color w:val="000000" w:themeColor="text1"/>
          <w:sz w:val="24"/>
          <w:szCs w:val="24"/>
        </w:rPr>
      </w:pPr>
    </w:p>
    <w:p w:rsidR="00C02E90" w:rsidRPr="00651333" w:rsidRDefault="00C02E90" w:rsidP="00C02E90">
      <w:pPr>
        <w:jc w:val="both"/>
        <w:rPr>
          <w:rFonts w:ascii="Arial" w:hAnsi="Arial" w:cs="Arial"/>
          <w:color w:val="000000" w:themeColor="text1"/>
        </w:rPr>
      </w:pPr>
      <w:r w:rsidRPr="00651333">
        <w:rPr>
          <w:rFonts w:ascii="Arial" w:hAnsi="Arial" w:cs="Arial"/>
          <w:color w:val="000000" w:themeColor="text1"/>
        </w:rPr>
        <w:t>At 30 days (T2), ΔE values remained stable or showed only slight variations in all experimental groups. At 60 days (T3), all root canal sealers, regardless of the use of ultrasonic agitation (UA), exceeded the 3.7 reference threshold, demonstrating a greater impact on dentin color alteration.</w:t>
      </w:r>
    </w:p>
    <w:p w:rsidR="003D1F14" w:rsidRDefault="00C02E90" w:rsidP="00C02E90">
      <w:pPr>
        <w:jc w:val="both"/>
        <w:rPr>
          <w:rFonts w:ascii="Arial" w:hAnsi="Arial" w:cs="Arial"/>
          <w:color w:val="000000" w:themeColor="text1"/>
        </w:rPr>
      </w:pPr>
      <w:r w:rsidRPr="00651333">
        <w:rPr>
          <w:rFonts w:ascii="Arial" w:hAnsi="Arial" w:cs="Arial"/>
          <w:color w:val="000000" w:themeColor="text1"/>
        </w:rPr>
        <w:t>Considering the 180-day period (T5), it is noteworthy that the MTAF sealer without UA reached its highest discoloration value over the study periods (Fig. 2).</w:t>
      </w: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Default="0031139F" w:rsidP="00C02E90">
      <w:pPr>
        <w:jc w:val="both"/>
        <w:rPr>
          <w:rFonts w:ascii="Arial" w:hAnsi="Arial" w:cs="Arial"/>
          <w:color w:val="000000" w:themeColor="text1"/>
        </w:rPr>
      </w:pPr>
    </w:p>
    <w:p w:rsidR="0031139F" w:rsidRPr="00651333" w:rsidRDefault="0031139F" w:rsidP="00C02E90">
      <w:pPr>
        <w:jc w:val="both"/>
        <w:rPr>
          <w:rFonts w:ascii="Arial" w:hAnsi="Arial" w:cs="Arial"/>
          <w:color w:val="000000" w:themeColor="text1"/>
        </w:rPr>
      </w:pPr>
    </w:p>
    <w:p w:rsidR="003D1F14" w:rsidRDefault="003D1F14" w:rsidP="00C02E90">
      <w:pPr>
        <w:jc w:val="both"/>
        <w:rPr>
          <w:rFonts w:ascii="Times New Roman" w:hAnsi="Times New Roman"/>
          <w:color w:val="000000" w:themeColor="text1"/>
          <w:sz w:val="24"/>
          <w:szCs w:val="24"/>
        </w:rPr>
      </w:pPr>
    </w:p>
    <w:p w:rsidR="003D1F14" w:rsidRPr="00A613FF" w:rsidRDefault="003D1F14" w:rsidP="003D1F14">
      <w:pPr>
        <w:jc w:val="center"/>
        <w:rPr>
          <w:rFonts w:ascii="Arial" w:hAnsi="Arial" w:cs="Arial"/>
          <w:b/>
          <w:sz w:val="16"/>
          <w:szCs w:val="16"/>
          <w:lang w:val="pt-BR"/>
        </w:rPr>
      </w:pPr>
      <w:r w:rsidRPr="00A613FF">
        <w:rPr>
          <w:rFonts w:ascii="Arial" w:hAnsi="Arial" w:cs="Arial"/>
          <w:b/>
          <w:sz w:val="16"/>
          <w:szCs w:val="16"/>
          <w:lang w:val="pt-BR"/>
        </w:rPr>
        <w:lastRenderedPageBreak/>
        <w:t>Figure 2.</w:t>
      </w:r>
      <w:r w:rsidRPr="00A613FF">
        <w:rPr>
          <w:rFonts w:ascii="Arial" w:hAnsi="Arial" w:cs="Arial"/>
          <w:b/>
          <w:sz w:val="16"/>
          <w:szCs w:val="16"/>
        </w:rPr>
        <w:t xml:space="preserve"> Representation of bovine tooth samples filled with Endofill, Sealer 26, and MTA Fillapex after ultrasonic agitation at 180 days.</w:t>
      </w:r>
    </w:p>
    <w:p w:rsidR="003D1F14" w:rsidRDefault="003D1F14" w:rsidP="00C02E90">
      <w:pPr>
        <w:jc w:val="both"/>
        <w:rPr>
          <w:rFonts w:ascii="Times New Roman" w:hAnsi="Times New Roman"/>
          <w:color w:val="000000" w:themeColor="text1"/>
          <w:sz w:val="24"/>
          <w:szCs w:val="24"/>
        </w:rPr>
      </w:pPr>
    </w:p>
    <w:p w:rsidR="00420081" w:rsidRDefault="003D1F14" w:rsidP="00420081">
      <w:pPr>
        <w:jc w:val="center"/>
        <w:rPr>
          <w:rFonts w:ascii="Times New Roman" w:hAnsi="Times New Roman"/>
          <w:color w:val="000000" w:themeColor="text1"/>
          <w:sz w:val="24"/>
          <w:szCs w:val="24"/>
        </w:rPr>
      </w:pPr>
      <w:r>
        <w:rPr>
          <w:noProof/>
        </w:rPr>
        <w:drawing>
          <wp:inline distT="0" distB="0" distL="0" distR="0" wp14:anchorId="405497C3" wp14:editId="084EFA1F">
            <wp:extent cx="4113541" cy="2563091"/>
            <wp:effectExtent l="0" t="0" r="0" b="0"/>
            <wp:docPr id="2078950311" name="Imagem 2" descr="Tela de celular com foto de comid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50311" name="Imagem 2" descr="Tela de celular com foto de comida&#10;&#10;O conteúdo gerado por IA pode estar incorret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519" t="4791" r="13271" b="10802"/>
                    <a:stretch/>
                  </pic:blipFill>
                  <pic:spPr bwMode="auto">
                    <a:xfrm>
                      <a:off x="0" y="0"/>
                      <a:ext cx="4115307" cy="2564191"/>
                    </a:xfrm>
                    <a:prstGeom prst="rect">
                      <a:avLst/>
                    </a:prstGeom>
                    <a:noFill/>
                    <a:ln>
                      <a:noFill/>
                    </a:ln>
                    <a:extLst>
                      <a:ext uri="{53640926-AAD7-44D8-BBD7-CCE9431645EC}">
                        <a14:shadowObscured xmlns:a14="http://schemas.microsoft.com/office/drawing/2010/main"/>
                      </a:ext>
                    </a:extLst>
                  </pic:spPr>
                </pic:pic>
              </a:graphicData>
            </a:graphic>
          </wp:inline>
        </w:drawing>
      </w:r>
    </w:p>
    <w:p w:rsidR="00651333" w:rsidRPr="00651333" w:rsidRDefault="00651333" w:rsidP="00420081">
      <w:pPr>
        <w:jc w:val="center"/>
        <w:rPr>
          <w:rFonts w:ascii="Times New Roman" w:hAnsi="Times New Roman"/>
          <w:color w:val="000000" w:themeColor="text1"/>
          <w:sz w:val="8"/>
          <w:szCs w:val="8"/>
        </w:rPr>
      </w:pPr>
    </w:p>
    <w:p w:rsidR="003D1F14" w:rsidRPr="00A613FF" w:rsidRDefault="003D1F14" w:rsidP="003D1F14">
      <w:pPr>
        <w:jc w:val="center"/>
        <w:rPr>
          <w:rFonts w:ascii="Times New Roman" w:hAnsi="Times New Roman"/>
          <w:color w:val="000000" w:themeColor="text1"/>
        </w:rPr>
      </w:pPr>
      <w:r w:rsidRPr="00A613FF">
        <w:rPr>
          <w:rFonts w:ascii="Arial" w:hAnsi="Arial" w:cs="Arial"/>
          <w:b/>
          <w:bCs/>
          <w:sz w:val="16"/>
          <w:szCs w:val="16"/>
        </w:rPr>
        <w:t>Source: author's own</w:t>
      </w:r>
    </w:p>
    <w:p w:rsidR="003D1F14" w:rsidRDefault="003D1F14" w:rsidP="00C02E90">
      <w:pPr>
        <w:jc w:val="both"/>
        <w:rPr>
          <w:rFonts w:ascii="Times New Roman" w:hAnsi="Times New Roman"/>
          <w:color w:val="000000" w:themeColor="text1"/>
          <w:sz w:val="24"/>
          <w:szCs w:val="24"/>
        </w:rPr>
      </w:pPr>
    </w:p>
    <w:p w:rsidR="00420081" w:rsidRDefault="00420081" w:rsidP="00C02E90">
      <w:pPr>
        <w:jc w:val="both"/>
        <w:rPr>
          <w:rFonts w:ascii="Times New Roman" w:hAnsi="Times New Roman"/>
          <w:color w:val="000000" w:themeColor="text1"/>
          <w:sz w:val="24"/>
          <w:szCs w:val="24"/>
        </w:rPr>
      </w:pPr>
    </w:p>
    <w:p w:rsidR="00C02E90" w:rsidRPr="00651333" w:rsidRDefault="00C02E90" w:rsidP="00C02E90">
      <w:pPr>
        <w:jc w:val="both"/>
        <w:rPr>
          <w:rFonts w:ascii="Arial" w:hAnsi="Arial" w:cs="Arial"/>
          <w:color w:val="000000" w:themeColor="text1"/>
        </w:rPr>
      </w:pPr>
      <w:r w:rsidRPr="00651333">
        <w:rPr>
          <w:rFonts w:ascii="Arial" w:hAnsi="Arial" w:cs="Arial"/>
          <w:color w:val="000000" w:themeColor="text1"/>
        </w:rPr>
        <w:t>The S26 sealer showed no significant differences when comparing groups with and without UA, unlike what was observed in the groups of the other tested sealers (Fig. 1). By the T5 period, all experimental groups exhibited values confirming dentin discoloration levels (Fig. 1).</w:t>
      </w:r>
    </w:p>
    <w:p w:rsidR="00C02E90" w:rsidRPr="00F63F2A" w:rsidRDefault="00C02E90" w:rsidP="00441B6F">
      <w:pPr>
        <w:pStyle w:val="Body"/>
        <w:spacing w:after="0"/>
        <w:rPr>
          <w:rFonts w:ascii="Arial" w:hAnsi="Arial" w:cs="Arial"/>
          <w:sz w:val="16"/>
          <w:szCs w:val="16"/>
        </w:rPr>
      </w:pPr>
    </w:p>
    <w:p w:rsidR="00376BBE" w:rsidRPr="00F63F2A" w:rsidRDefault="00376BBE" w:rsidP="00441B6F">
      <w:pPr>
        <w:pStyle w:val="Body"/>
        <w:spacing w:after="0"/>
        <w:rPr>
          <w:rFonts w:ascii="Arial" w:hAnsi="Arial" w:cs="Arial"/>
          <w:sz w:val="16"/>
          <w:szCs w:val="16"/>
        </w:rPr>
      </w:pPr>
    </w:p>
    <w:p w:rsidR="00F63F2A" w:rsidRPr="00F63F2A" w:rsidRDefault="00522671" w:rsidP="00F63F2A">
      <w:pPr>
        <w:jc w:val="both"/>
        <w:rPr>
          <w:rFonts w:ascii="Arial" w:hAnsi="Arial" w:cs="Arial"/>
          <w:color w:val="000000" w:themeColor="text1"/>
        </w:rPr>
      </w:pPr>
      <w:r w:rsidRPr="00522671">
        <w:rPr>
          <w:rFonts w:ascii="Arial" w:hAnsi="Arial" w:cs="Arial"/>
          <w:color w:val="000000" w:themeColor="text1"/>
        </w:rPr>
        <w:t>Based on the results obtained, the null hypothesis could be partially rejected</w:t>
      </w:r>
      <w:r w:rsidR="00F63F2A" w:rsidRPr="00F63F2A">
        <w:rPr>
          <w:rFonts w:ascii="Arial" w:hAnsi="Arial" w:cs="Arial"/>
          <w:color w:val="000000" w:themeColor="text1"/>
        </w:rPr>
        <w:t>, as all experimental groups presented clinically significant discoloration values over the study period. However, ultrasonic agitation did not exert a considerable influence on the final findings.</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To approximate the employed methods to clinical conditions, all efforts were made to follow the protocol suggested in previous studies (</w:t>
      </w:r>
      <w:r>
        <w:rPr>
          <w:rFonts w:ascii="Arial" w:hAnsi="Arial" w:cs="Arial"/>
          <w:color w:val="000000" w:themeColor="text1"/>
        </w:rPr>
        <w:t>Marciano et al., 2014; Dettwiler et al., 2016</w:t>
      </w:r>
      <w:r w:rsidRPr="00F63F2A">
        <w:rPr>
          <w:rFonts w:ascii="Arial" w:hAnsi="Arial" w:cs="Arial"/>
          <w:color w:val="000000" w:themeColor="text1"/>
        </w:rPr>
        <w:t>), which obtained results with high scientific reliability. The choice of bovine teeth aimed to reduce morphological variability compared to human teeth, as their tubular density does not present significant differences for dental discoloration studies (</w:t>
      </w:r>
      <w:r>
        <w:rPr>
          <w:rFonts w:ascii="Arial" w:hAnsi="Arial" w:cs="Arial"/>
          <w:color w:val="000000" w:themeColor="text1"/>
        </w:rPr>
        <w:t>Marciano et al., 2014</w:t>
      </w:r>
      <w:r w:rsidRPr="00F63F2A">
        <w:rPr>
          <w:rFonts w:ascii="Arial" w:hAnsi="Arial" w:cs="Arial"/>
          <w:color w:val="000000" w:themeColor="text1"/>
        </w:rPr>
        <w:t xml:space="preserve">). Additionally, for discoloration assessment, </w:t>
      </w:r>
      <w:r w:rsidR="003612EE" w:rsidRPr="003612EE">
        <w:rPr>
          <w:rFonts w:ascii="Arial" w:hAnsi="Arial" w:cs="Arial"/>
          <w:color w:val="000000" w:themeColor="text1"/>
        </w:rPr>
        <w:t xml:space="preserve">Enamel-dentin blocks were used to standardize both the thickness of the dentin in contact with the material and the size of the cavities and the amount of sealant applied. </w:t>
      </w:r>
      <w:r w:rsidRPr="00F63F2A">
        <w:rPr>
          <w:rFonts w:ascii="Arial" w:hAnsi="Arial" w:cs="Arial"/>
          <w:color w:val="000000" w:themeColor="text1"/>
        </w:rPr>
        <w:t>(</w:t>
      </w:r>
      <w:r>
        <w:rPr>
          <w:rFonts w:ascii="Arial" w:hAnsi="Arial" w:cs="Arial"/>
          <w:color w:val="000000" w:themeColor="text1"/>
        </w:rPr>
        <w:t>Marciano et al., 2014</w:t>
      </w:r>
      <w:r w:rsidRPr="00F63F2A">
        <w:rPr>
          <w:rFonts w:ascii="Arial" w:hAnsi="Arial" w:cs="Arial"/>
          <w:color w:val="000000" w:themeColor="text1"/>
        </w:rPr>
        <w:t>).</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Ultrasound is widely used in endodontics due to its ability to transmit micrometric acoustic energy. This mechanical vibration propagated by the tip can favor greater penetration of the material into dentinal tubules, in addition to improving the adaptation of the cement/dentin interface (</w:t>
      </w:r>
      <w:r w:rsidR="00616B38">
        <w:rPr>
          <w:rFonts w:ascii="Arial" w:hAnsi="Arial" w:cs="Arial"/>
          <w:color w:val="000000" w:themeColor="text1"/>
        </w:rPr>
        <w:t>Lenherr et al., 2012;</w:t>
      </w:r>
      <w:r w:rsidR="00616B38" w:rsidRPr="00616B38">
        <w:rPr>
          <w:rFonts w:ascii="Arial" w:hAnsi="Arial" w:cs="Arial"/>
          <w:color w:val="000000" w:themeColor="text1"/>
        </w:rPr>
        <w:t xml:space="preserve"> </w:t>
      </w:r>
      <w:r w:rsidR="00616B38">
        <w:rPr>
          <w:rFonts w:ascii="Arial" w:hAnsi="Arial" w:cs="Arial"/>
          <w:color w:val="000000" w:themeColor="text1"/>
        </w:rPr>
        <w:t>Marciano et al., 2014</w:t>
      </w:r>
      <w:r w:rsidRPr="00F63F2A">
        <w:rPr>
          <w:rFonts w:ascii="Arial" w:hAnsi="Arial" w:cs="Arial"/>
          <w:color w:val="000000" w:themeColor="text1"/>
        </w:rPr>
        <w:t>). Thus, in the discoloration analysis, its inclusion aimed to verify possible changes in dentin discoloration caused by endodontic sealers due to this agitation.</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Color determination in dentistry can be performed using visual techniques or devices such as spectrophotometers and colorimeters. Although visual assessment is widely used in clinical practice, it has limitations due to subjectivity and individual variation in color perception (</w:t>
      </w:r>
      <w:r w:rsidR="00616B38">
        <w:rPr>
          <w:rFonts w:ascii="Arial" w:hAnsi="Arial" w:cs="Arial"/>
          <w:color w:val="000000" w:themeColor="text1"/>
        </w:rPr>
        <w:t>Tabatabaian et al., 2021</w:t>
      </w:r>
      <w:r w:rsidRPr="00F63F2A">
        <w:rPr>
          <w:rFonts w:ascii="Arial" w:hAnsi="Arial" w:cs="Arial"/>
          <w:color w:val="000000" w:themeColor="text1"/>
        </w:rPr>
        <w:t xml:space="preserve">). For this reason, </w:t>
      </w:r>
      <w:r w:rsidR="00C20BA4">
        <w:rPr>
          <w:rFonts w:ascii="Arial" w:hAnsi="Arial" w:cs="Arial"/>
          <w:color w:val="000000" w:themeColor="text1"/>
        </w:rPr>
        <w:t>t</w:t>
      </w:r>
      <w:r w:rsidR="00C20BA4" w:rsidRPr="00C20BA4">
        <w:rPr>
          <w:rFonts w:ascii="Arial" w:hAnsi="Arial" w:cs="Arial"/>
          <w:color w:val="000000" w:themeColor="text1"/>
        </w:rPr>
        <w:t xml:space="preserve">he equipment selected was the Vita Easyshade spectrophotometer, due to its recognized stability in results and high repeatability of measurements. </w:t>
      </w:r>
      <w:r w:rsidRPr="00F63F2A">
        <w:rPr>
          <w:rFonts w:ascii="Arial" w:hAnsi="Arial" w:cs="Arial"/>
          <w:color w:val="000000" w:themeColor="text1"/>
        </w:rPr>
        <w:t>(</w:t>
      </w:r>
      <w:r w:rsidR="00616B38">
        <w:rPr>
          <w:rFonts w:ascii="Arial" w:hAnsi="Arial" w:cs="Arial"/>
          <w:color w:val="000000" w:themeColor="text1"/>
        </w:rPr>
        <w:t>Alcalde et al., 2017; Al-Fouzan et al., 2012</w:t>
      </w:r>
      <w:r w:rsidRPr="00F63F2A">
        <w:rPr>
          <w:rFonts w:ascii="Arial" w:hAnsi="Arial" w:cs="Arial"/>
          <w:color w:val="000000" w:themeColor="text1"/>
        </w:rPr>
        <w:t>).</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 xml:space="preserve">The results of the present study indicated significant differences in the color change caused by endodontic sealers as early as 7 days, with Endofill showing the highest absolute values, </w:t>
      </w:r>
      <w:r w:rsidRPr="00F63F2A">
        <w:rPr>
          <w:rFonts w:ascii="Arial" w:hAnsi="Arial" w:cs="Arial"/>
          <w:color w:val="000000" w:themeColor="text1"/>
        </w:rPr>
        <w:lastRenderedPageBreak/>
        <w:t>significantly differing from Sealer 26 without agitation (</w:t>
      </w:r>
      <w:r w:rsidRPr="00416543">
        <w:rPr>
          <w:rFonts w:ascii="Arial" w:hAnsi="Arial" w:cs="Arial"/>
          <w:i/>
          <w:iCs/>
          <w:color w:val="000000" w:themeColor="text1"/>
        </w:rPr>
        <w:t>P</w:t>
      </w:r>
      <w:r w:rsidRPr="00F63F2A">
        <w:rPr>
          <w:rFonts w:ascii="Arial" w:hAnsi="Arial" w:cs="Arial"/>
          <w:color w:val="000000" w:themeColor="text1"/>
        </w:rPr>
        <w:t xml:space="preserve"> &lt; 0.05). The values presented by Endofill without agitation positioned it as the only material to exhibit clinically significant color variation as early as the 7-day evaluation.</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Overall, all groups demonstrated variation in the intensity of discoloration observed throughout the study, with the highest color variation values most frequently observed at 180 days. The only exception was MTA Fillapex, which, regardless of ultrasonic agitation, exhibited the most significant discoloration at 60 days. By the end of the experimental period (180 days), all tested sealers had exceeded the clinically acceptable limit for color variation. When comparing values throughout the experiment, the Endofill sealer groups were the only ones that did not show significant differences between the 7- and 180-day evaluations (</w:t>
      </w:r>
      <w:r w:rsidRPr="00416543">
        <w:rPr>
          <w:rFonts w:ascii="Arial" w:hAnsi="Arial" w:cs="Arial"/>
          <w:i/>
          <w:iCs/>
          <w:color w:val="000000" w:themeColor="text1"/>
        </w:rPr>
        <w:t>P</w:t>
      </w:r>
      <w:r w:rsidRPr="00F63F2A">
        <w:rPr>
          <w:rFonts w:ascii="Arial" w:hAnsi="Arial" w:cs="Arial"/>
          <w:color w:val="000000" w:themeColor="text1"/>
        </w:rPr>
        <w:t xml:space="preserve"> &gt; 0.05), possibly due to their already high values at 7 days. </w:t>
      </w:r>
      <w:r w:rsidR="001A06A3" w:rsidRPr="001A06A3">
        <w:rPr>
          <w:rFonts w:ascii="Arial" w:hAnsi="Arial" w:cs="Arial"/>
          <w:color w:val="000000" w:themeColor="text1"/>
        </w:rPr>
        <w:t>All other sealants also showed a significant increase in discoloration over time (</w:t>
      </w:r>
      <w:r w:rsidR="001A06A3" w:rsidRPr="001A06A3">
        <w:rPr>
          <w:rFonts w:ascii="Arial" w:hAnsi="Arial" w:cs="Arial"/>
          <w:i/>
          <w:iCs/>
          <w:color w:val="000000" w:themeColor="text1"/>
        </w:rPr>
        <w:t>P</w:t>
      </w:r>
      <w:r w:rsidR="001A06A3" w:rsidRPr="001A06A3">
        <w:rPr>
          <w:rFonts w:ascii="Arial" w:hAnsi="Arial" w:cs="Arial"/>
          <w:color w:val="000000" w:themeColor="text1"/>
        </w:rPr>
        <w:t xml:space="preserve"> &lt; 0.05). To date, there are no published studies that provide direct comparison parameters</w:t>
      </w:r>
      <w:r w:rsidR="001A06A3">
        <w:rPr>
          <w:rFonts w:ascii="Arial" w:hAnsi="Arial" w:cs="Arial"/>
          <w:color w:val="000000" w:themeColor="text1"/>
        </w:rPr>
        <w:t xml:space="preserve">, </w:t>
      </w:r>
      <w:r w:rsidRPr="00F63F2A">
        <w:rPr>
          <w:rFonts w:ascii="Arial" w:hAnsi="Arial" w:cs="Arial"/>
          <w:color w:val="000000" w:themeColor="text1"/>
        </w:rPr>
        <w:t>for comparison with the values found in this study.</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Considering that the discoloration caused by endodontic sealers has been attributed to radiopacifying agents present in these materials, it is relevant to observe the behavior of the tested materials, particularly given their different radiopacifying components (</w:t>
      </w:r>
      <w:r w:rsidR="00416543">
        <w:rPr>
          <w:rFonts w:ascii="Arial" w:hAnsi="Arial" w:cs="Arial"/>
          <w:color w:val="000000" w:themeColor="text1"/>
        </w:rPr>
        <w:t>Richman 195</w:t>
      </w:r>
      <w:r w:rsidR="00D33F96">
        <w:rPr>
          <w:rFonts w:ascii="Arial" w:hAnsi="Arial" w:cs="Arial"/>
          <w:color w:val="000000" w:themeColor="text1"/>
        </w:rPr>
        <w:t>7</w:t>
      </w:r>
      <w:r w:rsidR="00416543">
        <w:rPr>
          <w:rFonts w:ascii="Arial" w:hAnsi="Arial" w:cs="Arial"/>
          <w:color w:val="000000" w:themeColor="text1"/>
        </w:rPr>
        <w:t>)</w:t>
      </w:r>
      <w:r w:rsidRPr="00F63F2A">
        <w:rPr>
          <w:rFonts w:ascii="Arial" w:hAnsi="Arial" w:cs="Arial"/>
          <w:color w:val="000000" w:themeColor="text1"/>
        </w:rPr>
        <w:t>. Endofill contains three substances capable of providing radiopacity: zinc oxide, barium sulfate, and bismuth subcarbonate. Sealer 26 exclusively uses bismuth trioxide, while MTA Fillapex employs calcium tungstate.</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Bismuth has been identified as responsible for the discoloration of endodontic repair materials (</w:t>
      </w:r>
      <w:r w:rsidR="007E6A08">
        <w:rPr>
          <w:rFonts w:ascii="Arial" w:hAnsi="Arial" w:cs="Arial"/>
          <w:color w:val="000000" w:themeColor="text1"/>
        </w:rPr>
        <w:t>Al-Fouzan et al., 2012</w:t>
      </w:r>
      <w:r w:rsidRPr="00F63F2A">
        <w:rPr>
          <w:rFonts w:ascii="Arial" w:hAnsi="Arial" w:cs="Arial"/>
          <w:color w:val="000000" w:themeColor="text1"/>
        </w:rPr>
        <w:t>). Authors have discussed the instability of this chemical element and its possible interaction with moisture and collagen in dentin (</w:t>
      </w:r>
      <w:r w:rsidR="007E6A08">
        <w:rPr>
          <w:rFonts w:ascii="Arial" w:hAnsi="Arial" w:cs="Arial"/>
          <w:color w:val="000000" w:themeColor="text1"/>
        </w:rPr>
        <w:t>Luna-Cruz et al., 2024; Marciano et al., 2017</w:t>
      </w:r>
      <w:r w:rsidRPr="00F63F2A">
        <w:rPr>
          <w:rFonts w:ascii="Arial" w:hAnsi="Arial" w:cs="Arial"/>
          <w:color w:val="000000" w:themeColor="text1"/>
        </w:rPr>
        <w:t xml:space="preserve">). This information may explain the discoloration observed in both Endofill and Sealer 26. </w:t>
      </w:r>
      <w:r w:rsidR="0025552F" w:rsidRPr="0025552F">
        <w:rPr>
          <w:rFonts w:ascii="Arial" w:hAnsi="Arial" w:cs="Arial"/>
          <w:color w:val="000000" w:themeColor="text1"/>
        </w:rPr>
        <w:t>On the other hand, previous studies also indicate that repair materials containing calcium tungstate as a radiopacifier can cause tooth discoloration</w:t>
      </w:r>
      <w:r w:rsidR="0025552F">
        <w:rPr>
          <w:rFonts w:ascii="Arial" w:hAnsi="Arial" w:cs="Arial"/>
          <w:color w:val="000000" w:themeColor="text1"/>
        </w:rPr>
        <w:t xml:space="preserve"> </w:t>
      </w:r>
      <w:r w:rsidRPr="00F63F2A">
        <w:rPr>
          <w:rFonts w:ascii="Arial" w:hAnsi="Arial" w:cs="Arial"/>
          <w:color w:val="000000" w:themeColor="text1"/>
        </w:rPr>
        <w:t>(</w:t>
      </w:r>
      <w:r w:rsidR="00C652A5">
        <w:rPr>
          <w:rFonts w:ascii="Arial" w:hAnsi="Arial" w:cs="Arial"/>
          <w:color w:val="000000" w:themeColor="text1"/>
        </w:rPr>
        <w:t>Luna-Cruz et al., 2024; Marques et al., 2021</w:t>
      </w:r>
      <w:r w:rsidRPr="00F63F2A">
        <w:rPr>
          <w:rFonts w:ascii="Arial" w:hAnsi="Arial" w:cs="Arial"/>
          <w:color w:val="000000" w:themeColor="text1"/>
        </w:rPr>
        <w:t>). Additionally, the presence of other components in MTA Fillapex, such as salicylate resin and mineral trioxide aggregate, may lead to reactions that alter the element or cause discoloration themselves</w:t>
      </w:r>
      <w:r w:rsidR="00674A42">
        <w:rPr>
          <w:rFonts w:ascii="Arial" w:hAnsi="Arial" w:cs="Arial"/>
          <w:color w:val="000000" w:themeColor="text1"/>
        </w:rPr>
        <w:t xml:space="preserve"> (Gonçalves et al., 2021).</w:t>
      </w:r>
    </w:p>
    <w:p w:rsidR="00F63F2A" w:rsidRPr="00F63F2A" w:rsidRDefault="00F63F2A" w:rsidP="00F63F2A">
      <w:pPr>
        <w:jc w:val="both"/>
        <w:rPr>
          <w:rFonts w:ascii="Arial" w:hAnsi="Arial" w:cs="Arial"/>
          <w:color w:val="000000" w:themeColor="text1"/>
        </w:rPr>
      </w:pPr>
      <w:r w:rsidRPr="00F63F2A">
        <w:rPr>
          <w:rFonts w:ascii="Arial" w:hAnsi="Arial" w:cs="Arial"/>
          <w:color w:val="000000" w:themeColor="text1"/>
        </w:rPr>
        <w:t>Thus, considering the existing literature indicating that ultrasonic agitation can enhance penetration into dentinal tubules and marginal adaptation (</w:t>
      </w:r>
      <w:r w:rsidR="00674A42">
        <w:rPr>
          <w:rFonts w:ascii="Arial" w:hAnsi="Arial" w:cs="Arial"/>
          <w:color w:val="000000" w:themeColor="text1"/>
        </w:rPr>
        <w:t>Carneiro et al., 2023</w:t>
      </w:r>
      <w:r w:rsidRPr="00F63F2A">
        <w:rPr>
          <w:rFonts w:ascii="Arial" w:hAnsi="Arial" w:cs="Arial"/>
          <w:color w:val="000000" w:themeColor="text1"/>
        </w:rPr>
        <w:t>) as well as antimicrobial capacity (</w:t>
      </w:r>
      <w:r w:rsidR="00674A42">
        <w:rPr>
          <w:rFonts w:ascii="Arial" w:hAnsi="Arial" w:cs="Arial"/>
          <w:color w:val="000000" w:themeColor="text1"/>
        </w:rPr>
        <w:t>Alcalde et al., 2017</w:t>
      </w:r>
      <w:r w:rsidRPr="00F63F2A">
        <w:rPr>
          <w:rFonts w:ascii="Arial" w:hAnsi="Arial" w:cs="Arial"/>
          <w:color w:val="000000" w:themeColor="text1"/>
        </w:rPr>
        <w:t>), the present study supports that, regarding dental discoloration, the use of ultrasonic agitation is safe.</w:t>
      </w:r>
    </w:p>
    <w:p w:rsidR="00376BBE" w:rsidRDefault="00376BBE" w:rsidP="00441B6F">
      <w:pPr>
        <w:pStyle w:val="Body"/>
        <w:spacing w:after="0"/>
        <w:rPr>
          <w:rFonts w:ascii="Arial" w:hAnsi="Arial" w:cs="Arial"/>
        </w:rPr>
      </w:pPr>
    </w:p>
    <w:p w:rsidR="00927834" w:rsidRDefault="00927834" w:rsidP="00441B6F">
      <w:pPr>
        <w:autoSpaceDE w:val="0"/>
        <w:autoSpaceDN w:val="0"/>
        <w:adjustRightInd w:val="0"/>
        <w:jc w:val="both"/>
        <w:rPr>
          <w:rFonts w:ascii="Arial" w:hAnsi="Arial" w:cs="Arial"/>
          <w:b/>
          <w:bCs/>
          <w:sz w:val="22"/>
          <w:szCs w:val="22"/>
        </w:rPr>
      </w:pPr>
    </w:p>
    <w:p w:rsidR="00927834" w:rsidRDefault="00927834" w:rsidP="00441B6F">
      <w:pPr>
        <w:autoSpaceDE w:val="0"/>
        <w:autoSpaceDN w:val="0"/>
        <w:adjustRightInd w:val="0"/>
        <w:jc w:val="both"/>
        <w:rPr>
          <w:rFonts w:ascii="Arial" w:hAnsi="Arial" w:cs="Arial"/>
          <w:b/>
          <w:bCs/>
          <w:szCs w:val="22"/>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B644B8" w:rsidRDefault="00100488" w:rsidP="00B644B8">
      <w:pPr>
        <w:jc w:val="both"/>
        <w:rPr>
          <w:rFonts w:ascii="Arial" w:hAnsi="Arial" w:cs="Arial"/>
          <w:color w:val="000000" w:themeColor="text1"/>
        </w:rPr>
      </w:pPr>
      <w:r w:rsidRPr="00100488">
        <w:rPr>
          <w:rFonts w:ascii="Arial" w:hAnsi="Arial" w:cs="Arial"/>
          <w:color w:val="000000" w:themeColor="text1"/>
        </w:rPr>
        <w:t>Taking into account the results obtained and the limitations of this study, it can be concluded that all endodontic cements evaluated caused clinically perceptible discoloration over time. Additionally, the application of ultrasonic agitation did not have a significant effect on the level of discoloration observed</w:t>
      </w:r>
      <w:r w:rsidR="00B644B8" w:rsidRPr="00B644B8">
        <w:rPr>
          <w:rFonts w:ascii="Arial" w:hAnsi="Arial" w:cs="Arial"/>
          <w:color w:val="000000" w:themeColor="text1"/>
        </w:rPr>
        <w:t>, indicating that its use does not compromise the aesthetics of endodontic treatment.</w:t>
      </w:r>
    </w:p>
    <w:p w:rsidR="00AA4D0A" w:rsidRDefault="00AA4D0A" w:rsidP="00B644B8">
      <w:pPr>
        <w:jc w:val="both"/>
        <w:rPr>
          <w:rFonts w:ascii="Arial" w:hAnsi="Arial" w:cs="Arial"/>
          <w:color w:val="000000" w:themeColor="text1"/>
        </w:rPr>
      </w:pPr>
    </w:p>
    <w:p w:rsidR="00AA4D0A" w:rsidRDefault="00AA4D0A" w:rsidP="00B644B8">
      <w:pPr>
        <w:jc w:val="both"/>
        <w:rPr>
          <w:rFonts w:ascii="Arial" w:hAnsi="Arial" w:cs="Arial"/>
          <w:color w:val="000000" w:themeColor="text1"/>
        </w:rPr>
      </w:pPr>
    </w:p>
    <w:p w:rsidR="00AA4D0A" w:rsidRPr="00AA4D0A" w:rsidRDefault="00AA4D0A" w:rsidP="00B644B8">
      <w:pPr>
        <w:jc w:val="both"/>
        <w:rPr>
          <w:rFonts w:ascii="Arial" w:hAnsi="Arial" w:cs="Arial"/>
          <w:b/>
          <w:bCs/>
          <w:sz w:val="22"/>
          <w:szCs w:val="22"/>
        </w:rPr>
      </w:pPr>
      <w:r w:rsidRPr="00AA4D0A">
        <w:rPr>
          <w:rFonts w:ascii="Arial" w:hAnsi="Arial" w:cs="Arial"/>
          <w:b/>
          <w:bCs/>
          <w:sz w:val="22"/>
          <w:szCs w:val="22"/>
        </w:rPr>
        <w:t xml:space="preserve">DISCLAIMER (ARTIFICIAL INTELLIGENCE) </w:t>
      </w:r>
    </w:p>
    <w:p w:rsidR="00AA4D0A" w:rsidRDefault="00AA4D0A" w:rsidP="00B644B8">
      <w:pPr>
        <w:jc w:val="both"/>
      </w:pPr>
    </w:p>
    <w:p w:rsidR="00AA4D0A" w:rsidRPr="00AA4D0A" w:rsidRDefault="00AA4D0A" w:rsidP="00B644B8">
      <w:pPr>
        <w:jc w:val="both"/>
        <w:rPr>
          <w:rFonts w:ascii="Arial" w:hAnsi="Arial" w:cs="Arial"/>
        </w:rPr>
      </w:pPr>
      <w:r w:rsidRPr="00AA4D0A">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rsidR="00AA4D0A" w:rsidRDefault="00AA4D0A" w:rsidP="00B644B8">
      <w:pPr>
        <w:jc w:val="both"/>
      </w:pPr>
    </w:p>
    <w:p w:rsidR="00AA4D0A" w:rsidRDefault="00AA4D0A" w:rsidP="00B644B8">
      <w:pPr>
        <w:jc w:val="both"/>
      </w:pPr>
    </w:p>
    <w:p w:rsidR="00B64E14" w:rsidRPr="00B64E14" w:rsidRDefault="00B64E14" w:rsidP="00441B6F">
      <w:pPr>
        <w:pStyle w:val="ReferHead"/>
        <w:spacing w:after="0"/>
        <w:jc w:val="both"/>
        <w:rPr>
          <w:rFonts w:ascii="Arial" w:hAnsi="Arial" w:cs="Arial"/>
          <w:b w:val="0"/>
          <w:caps w:val="0"/>
          <w:sz w:val="20"/>
          <w:highlight w:val="yellow"/>
        </w:rPr>
      </w:pPr>
      <w:r w:rsidRPr="00B64E14">
        <w:rPr>
          <w:highlight w:val="yellow"/>
        </w:rPr>
        <w:lastRenderedPageBreak/>
        <w:t>ETHICAL APPROVAL</w:t>
      </w:r>
    </w:p>
    <w:p w:rsidR="00B64E14" w:rsidRPr="00B64E14" w:rsidRDefault="00B64E14" w:rsidP="00441B6F">
      <w:pPr>
        <w:pStyle w:val="ReferHead"/>
        <w:spacing w:after="0"/>
        <w:jc w:val="both"/>
        <w:rPr>
          <w:rFonts w:ascii="Arial" w:hAnsi="Arial" w:cs="Arial"/>
          <w:b w:val="0"/>
          <w:caps w:val="0"/>
          <w:sz w:val="20"/>
          <w:highlight w:val="yellow"/>
        </w:rPr>
      </w:pPr>
    </w:p>
    <w:p w:rsidR="00AA4D0A" w:rsidRPr="00AA4D0A" w:rsidRDefault="00B64E14" w:rsidP="00441B6F">
      <w:pPr>
        <w:pStyle w:val="ReferHead"/>
        <w:spacing w:after="0"/>
        <w:jc w:val="both"/>
        <w:rPr>
          <w:rFonts w:ascii="Arial" w:hAnsi="Arial" w:cs="Arial"/>
          <w:b w:val="0"/>
          <w:caps w:val="0"/>
          <w:sz w:val="20"/>
        </w:rPr>
      </w:pPr>
      <w:r w:rsidRPr="00B64E14">
        <w:rPr>
          <w:rFonts w:ascii="Arial" w:hAnsi="Arial" w:cs="Arial"/>
          <w:b w:val="0"/>
          <w:caps w:val="0"/>
          <w:sz w:val="20"/>
          <w:highlight w:val="yellow"/>
        </w:rPr>
        <w:t>The project does not require approval from an animal ethics committee, since the bovine teeth were acquired from official slaughterhouses that employ animal cruelty-free slaughter practices.</w:t>
      </w:r>
    </w:p>
    <w:p w:rsidR="002B685A" w:rsidRDefault="002B685A" w:rsidP="00441B6F">
      <w:pPr>
        <w:pStyle w:val="ReferHead"/>
        <w:spacing w:after="0"/>
        <w:jc w:val="both"/>
        <w:rPr>
          <w:rFonts w:ascii="Arial" w:hAnsi="Arial" w:cs="Arial"/>
          <w:b w:val="0"/>
          <w:caps w:val="0"/>
          <w:sz w:val="20"/>
        </w:rPr>
      </w:pPr>
    </w:p>
    <w:p w:rsidR="001A29D8" w:rsidRDefault="001A29D8"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044F69" w:rsidRPr="00664AF7" w:rsidRDefault="000B5C55" w:rsidP="00664AF7">
      <w:pPr>
        <w:pStyle w:val="Body"/>
        <w:numPr>
          <w:ilvl w:val="0"/>
          <w:numId w:val="32"/>
        </w:numPr>
        <w:spacing w:after="0"/>
        <w:rPr>
          <w:rFonts w:ascii="Arial" w:hAnsi="Arial" w:cs="Arial"/>
        </w:rPr>
      </w:pPr>
      <w:r w:rsidRPr="00664AF7">
        <w:rPr>
          <w:rFonts w:ascii="Arial" w:hAnsi="Arial" w:cs="Arial"/>
          <w:color w:val="222222"/>
          <w:shd w:val="clear" w:color="auto" w:fill="FFFFFF"/>
        </w:rPr>
        <w:t>Aguiar, B. A., Frota, L. M., Taguatinga, D. T., Vivan, R. R., Camilleri, J., Duarte, M. A., de Vasconcelos, B. C. (2019). Influence of ultrasonic agitation on bond strength, marginal adaptation, and tooth discoloration provided by three coronary barrier endodontic materials. </w:t>
      </w:r>
      <w:r w:rsidRPr="00664AF7">
        <w:rPr>
          <w:rFonts w:ascii="Arial" w:hAnsi="Arial" w:cs="Arial"/>
          <w:i/>
          <w:iCs/>
          <w:color w:val="222222"/>
          <w:shd w:val="clear" w:color="auto" w:fill="FFFFFF"/>
        </w:rPr>
        <w:t>Clinical oral investigations</w:t>
      </w:r>
      <w:r w:rsidRPr="00664AF7">
        <w:rPr>
          <w:rFonts w:ascii="Arial" w:hAnsi="Arial" w:cs="Arial"/>
          <w:color w:val="222222"/>
          <w:shd w:val="clear" w:color="auto" w:fill="FFFFFF"/>
        </w:rPr>
        <w:t>, </w:t>
      </w:r>
      <w:r w:rsidRPr="00664AF7">
        <w:rPr>
          <w:rFonts w:ascii="Arial" w:hAnsi="Arial" w:cs="Arial"/>
          <w:i/>
          <w:iCs/>
          <w:color w:val="222222"/>
          <w:shd w:val="clear" w:color="auto" w:fill="FFFFFF"/>
        </w:rPr>
        <w:t>23</w:t>
      </w:r>
      <w:r w:rsidRPr="00664AF7">
        <w:rPr>
          <w:rFonts w:ascii="Arial" w:hAnsi="Arial" w:cs="Arial"/>
          <w:color w:val="222222"/>
          <w:shd w:val="clear" w:color="auto" w:fill="FFFFFF"/>
        </w:rPr>
        <w:t>(11), 4113-4122.</w:t>
      </w:r>
    </w:p>
    <w:p w:rsidR="00CB78C3" w:rsidRPr="00664AF7" w:rsidRDefault="00CB78C3"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Al-Fouzan, K., Al-Garawi, Z., Al-Hezaimi, K., Javed, F., Al-Shalan, T., Rotstein, I. (2012). Effect of acid etching on marginal adaptation of mineral trioxide aggregate to apical dentin: microcomputed tomography and scanning electron microscopy analysis. </w:t>
      </w:r>
      <w:r w:rsidRPr="00664AF7">
        <w:rPr>
          <w:rFonts w:ascii="Arial" w:hAnsi="Arial" w:cs="Arial"/>
          <w:i/>
          <w:iCs/>
          <w:color w:val="222222"/>
          <w:sz w:val="20"/>
          <w:szCs w:val="20"/>
          <w:shd w:val="clear" w:color="auto" w:fill="FFFFFF"/>
        </w:rPr>
        <w:t>International Journal of Oral Science</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w:t>
      </w:r>
      <w:r w:rsidRPr="00664AF7">
        <w:rPr>
          <w:rFonts w:ascii="Arial" w:hAnsi="Arial" w:cs="Arial"/>
          <w:color w:val="222222"/>
          <w:sz w:val="20"/>
          <w:szCs w:val="20"/>
          <w:shd w:val="clear" w:color="auto" w:fill="FFFFFF"/>
        </w:rPr>
        <w:t>(4), 202-207.</w:t>
      </w:r>
    </w:p>
    <w:p w:rsidR="000B5C55" w:rsidRPr="00664AF7" w:rsidRDefault="000B5C55"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Alcalde, M. P., Bramante, C. M., Vivan, R. R., Amorso-Silva, P. A., Andrade, F. B. D., Duarte, M. A. H. (2017). Intradentinal antimicrobial action and filling quality promoted by ultrasonic agitation of epoxy resin-based sealer in endodontic obturation. </w:t>
      </w:r>
      <w:r w:rsidRPr="00664AF7">
        <w:rPr>
          <w:rFonts w:ascii="Arial" w:hAnsi="Arial" w:cs="Arial"/>
          <w:i/>
          <w:iCs/>
          <w:color w:val="222222"/>
          <w:sz w:val="20"/>
          <w:szCs w:val="20"/>
          <w:shd w:val="clear" w:color="auto" w:fill="FFFFFF"/>
        </w:rPr>
        <w:t>Journal of applied oral science</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25</w:t>
      </w:r>
      <w:r w:rsidRPr="00664AF7">
        <w:rPr>
          <w:rFonts w:ascii="Arial" w:hAnsi="Arial" w:cs="Arial"/>
          <w:color w:val="222222"/>
          <w:sz w:val="20"/>
          <w:szCs w:val="20"/>
          <w:shd w:val="clear" w:color="auto" w:fill="FFFFFF"/>
        </w:rPr>
        <w:t>(6), 641-649</w:t>
      </w:r>
      <w:r w:rsidRPr="00664AF7">
        <w:rPr>
          <w:rFonts w:ascii="Arial" w:hAnsi="Arial" w:cs="Arial"/>
          <w:color w:val="000000" w:themeColor="text1"/>
          <w:sz w:val="20"/>
          <w:szCs w:val="20"/>
        </w:rPr>
        <w:t>.</w:t>
      </w:r>
    </w:p>
    <w:p w:rsidR="000B5C55" w:rsidRPr="00664AF7" w:rsidRDefault="000B5C55"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Assmann, E., Scarparo, R. K., Böttcher, D. E., Grecca, F. S. (2012). Dentin bond strength of two mineral trioxide aggregate–based and one epoxy resin–based sealers.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38</w:t>
      </w:r>
      <w:r w:rsidRPr="00664AF7">
        <w:rPr>
          <w:rFonts w:ascii="Arial" w:hAnsi="Arial" w:cs="Arial"/>
          <w:color w:val="222222"/>
          <w:sz w:val="20"/>
          <w:szCs w:val="20"/>
          <w:shd w:val="clear" w:color="auto" w:fill="FFFFFF"/>
        </w:rPr>
        <w:t>(2), 219-221.</w:t>
      </w:r>
    </w:p>
    <w:p w:rsidR="000B5C55" w:rsidRPr="00664AF7" w:rsidRDefault="000B5C55"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Avancini, B. S., Maria, L. C., Botacin, W. G., Santos, P. B. D., Miotto, M. H. M. D. B. (2025). Demand for Endodontic Treatment and its Impact on Quality of Life. </w:t>
      </w:r>
      <w:r w:rsidRPr="00664AF7">
        <w:rPr>
          <w:rFonts w:ascii="Arial" w:hAnsi="Arial" w:cs="Arial"/>
          <w:i/>
          <w:iCs/>
          <w:color w:val="222222"/>
          <w:sz w:val="20"/>
          <w:szCs w:val="20"/>
          <w:shd w:val="clear" w:color="auto" w:fill="FFFFFF"/>
        </w:rPr>
        <w:t>Pesquisa Brasileira em Odontopediatria e Clínica Integrada</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25</w:t>
      </w:r>
      <w:r w:rsidRPr="00664AF7">
        <w:rPr>
          <w:rFonts w:ascii="Arial" w:hAnsi="Arial" w:cs="Arial"/>
          <w:color w:val="222222"/>
          <w:sz w:val="20"/>
          <w:szCs w:val="20"/>
          <w:shd w:val="clear" w:color="auto" w:fill="FFFFFF"/>
        </w:rPr>
        <w:t>, e240020</w:t>
      </w:r>
      <w:r w:rsidRPr="00664AF7">
        <w:rPr>
          <w:rFonts w:ascii="Arial" w:hAnsi="Arial" w:cs="Arial"/>
          <w:color w:val="000000" w:themeColor="text1"/>
          <w:sz w:val="20"/>
          <w:szCs w:val="20"/>
        </w:rPr>
        <w:t>.</w:t>
      </w:r>
    </w:p>
    <w:p w:rsidR="000B5C55" w:rsidRPr="00664AF7" w:rsidRDefault="000B5C55"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Bernabé, P. F. E., Gomes-Filho, J. E., Bernabé, D. G., Nery, M. J., Otoboni-Filho, J. A., Dezan-Jr, E., Cintra, L. T. A. (2013). Sealing ability of MTA used as a root end filling material: effect of the sonic and ultrasonic condensation. </w:t>
      </w:r>
      <w:r w:rsidRPr="00664AF7">
        <w:rPr>
          <w:rFonts w:ascii="Arial" w:hAnsi="Arial" w:cs="Arial"/>
          <w:i/>
          <w:iCs/>
          <w:color w:val="222222"/>
          <w:sz w:val="20"/>
          <w:szCs w:val="20"/>
          <w:shd w:val="clear" w:color="auto" w:fill="FFFFFF"/>
        </w:rPr>
        <w:t>Brazilian Dental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24</w:t>
      </w:r>
      <w:r w:rsidRPr="00664AF7">
        <w:rPr>
          <w:rFonts w:ascii="Arial" w:hAnsi="Arial" w:cs="Arial"/>
          <w:color w:val="222222"/>
          <w:sz w:val="20"/>
          <w:szCs w:val="20"/>
          <w:shd w:val="clear" w:color="auto" w:fill="FFFFFF"/>
        </w:rPr>
        <w:t>, 107-110</w:t>
      </w:r>
      <w:r w:rsidRPr="00664AF7">
        <w:rPr>
          <w:rFonts w:ascii="Arial" w:hAnsi="Arial" w:cs="Arial"/>
          <w:color w:val="000000" w:themeColor="text1"/>
          <w:sz w:val="20"/>
          <w:szCs w:val="20"/>
        </w:rPr>
        <w:t>.</w:t>
      </w:r>
    </w:p>
    <w:p w:rsidR="00CB78C3" w:rsidRPr="00664AF7" w:rsidRDefault="00CB78C3"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Camilleri, J. (2015). Staining potential of Neo MTA Plus, MTA Plus, and Biodentine used for pulpotomy procedures.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41</w:t>
      </w:r>
      <w:r w:rsidRPr="00664AF7">
        <w:rPr>
          <w:rFonts w:ascii="Arial" w:hAnsi="Arial" w:cs="Arial"/>
          <w:color w:val="222222"/>
          <w:sz w:val="20"/>
          <w:szCs w:val="20"/>
          <w:shd w:val="clear" w:color="auto" w:fill="FFFFFF"/>
        </w:rPr>
        <w:t>(7), 1139-1145.</w:t>
      </w:r>
    </w:p>
    <w:p w:rsidR="00CB78C3" w:rsidRPr="00664AF7" w:rsidRDefault="00CB78C3"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Camilleri, J., Sorrentino, F., Damidot, D. (2013). Investigation of the hydration and bioactivity of radiopacified tricalcium silicate cement, Biodentine and MTA Angelus. </w:t>
      </w:r>
      <w:r w:rsidRPr="00664AF7">
        <w:rPr>
          <w:rFonts w:ascii="Arial" w:hAnsi="Arial" w:cs="Arial"/>
          <w:i/>
          <w:iCs/>
          <w:color w:val="222222"/>
          <w:sz w:val="20"/>
          <w:szCs w:val="20"/>
          <w:shd w:val="clear" w:color="auto" w:fill="FFFFFF"/>
        </w:rPr>
        <w:t>Dental materials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29</w:t>
      </w:r>
      <w:r w:rsidRPr="00664AF7">
        <w:rPr>
          <w:rFonts w:ascii="Arial" w:hAnsi="Arial" w:cs="Arial"/>
          <w:color w:val="222222"/>
          <w:sz w:val="20"/>
          <w:szCs w:val="20"/>
          <w:shd w:val="clear" w:color="auto" w:fill="FFFFFF"/>
        </w:rPr>
        <w:t>(5), 580-593.</w:t>
      </w:r>
    </w:p>
    <w:p w:rsidR="00CB78C3" w:rsidRPr="00664AF7" w:rsidRDefault="00CB78C3"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Carneiro, V. F., Alcalde, M. P., do Vale, M. S., Vivan, R. R., Duarte, M. A. H., Vasconcelos, B. C. D. (2023). Effect of ultrasonic agitation on marginal adaptation, intratubular penetration and bonding strength of calcium</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silicate</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based endodontic sealers: A laboratory study. </w:t>
      </w:r>
      <w:r w:rsidRPr="00664AF7">
        <w:rPr>
          <w:rFonts w:ascii="Arial" w:hAnsi="Arial" w:cs="Arial"/>
          <w:i/>
          <w:iCs/>
          <w:color w:val="222222"/>
          <w:sz w:val="20"/>
          <w:szCs w:val="20"/>
          <w:shd w:val="clear" w:color="auto" w:fill="FFFFFF"/>
        </w:rPr>
        <w:t>Australian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49</w:t>
      </w:r>
      <w:r w:rsidRPr="00664AF7">
        <w:rPr>
          <w:rFonts w:ascii="Arial" w:hAnsi="Arial" w:cs="Arial"/>
          <w:color w:val="222222"/>
          <w:sz w:val="20"/>
          <w:szCs w:val="20"/>
          <w:shd w:val="clear" w:color="auto" w:fill="FFFFFF"/>
        </w:rPr>
        <w:t>(3), 690-699</w:t>
      </w:r>
      <w:r w:rsidRPr="00664AF7">
        <w:rPr>
          <w:rFonts w:ascii="Arial" w:hAnsi="Arial" w:cs="Arial"/>
          <w:color w:val="000000" w:themeColor="text1"/>
          <w:sz w:val="20"/>
          <w:szCs w:val="20"/>
        </w:rPr>
        <w:t>.</w:t>
      </w:r>
    </w:p>
    <w:p w:rsidR="00EE0184" w:rsidRPr="00664AF7" w:rsidRDefault="00EE0184"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Chen, H., Zhao, X., Qiu, Y., Xu, D., Cui, L., Wu, B. (2017). The tubular penetration depth and adaption of four sealers: a scanning electron microscopic study. </w:t>
      </w:r>
      <w:r w:rsidRPr="00664AF7">
        <w:rPr>
          <w:rFonts w:ascii="Arial" w:hAnsi="Arial" w:cs="Arial"/>
          <w:i/>
          <w:iCs/>
          <w:color w:val="222222"/>
          <w:sz w:val="20"/>
          <w:szCs w:val="20"/>
          <w:shd w:val="clear" w:color="auto" w:fill="FFFFFF"/>
        </w:rPr>
        <w:t>BioMed research international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2017</w:t>
      </w:r>
      <w:r w:rsidRPr="00664AF7">
        <w:rPr>
          <w:rFonts w:ascii="Arial" w:hAnsi="Arial" w:cs="Arial"/>
          <w:color w:val="222222"/>
          <w:sz w:val="20"/>
          <w:szCs w:val="20"/>
          <w:shd w:val="clear" w:color="auto" w:fill="FFFFFF"/>
        </w:rPr>
        <w:t>(1), 2946524.</w:t>
      </w:r>
    </w:p>
    <w:p w:rsidR="00EE0184" w:rsidRPr="00664AF7" w:rsidRDefault="00EE0184"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Cintra, L. T. A., Benetti, F., de Azevedo Queiroz, Í. O., de Araújo Lopes, J. M., de Oliveira, S. H. P., Araújo, G. S., Gomes-Filho, J. E. (2017). Cytotoxicity, biocompatibility, and biomineralization of the new high-plasticity MTA material.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43</w:t>
      </w:r>
      <w:r w:rsidRPr="00664AF7">
        <w:rPr>
          <w:rFonts w:ascii="Arial" w:hAnsi="Arial" w:cs="Arial"/>
          <w:color w:val="222222"/>
          <w:sz w:val="20"/>
          <w:szCs w:val="20"/>
          <w:shd w:val="clear" w:color="auto" w:fill="FFFFFF"/>
        </w:rPr>
        <w:t>(5), 774-778.</w:t>
      </w:r>
    </w:p>
    <w:p w:rsidR="00EE0184" w:rsidRPr="00664AF7" w:rsidRDefault="00EE0184"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lastRenderedPageBreak/>
        <w:t>Dettwiler, C. A., Walter, M., Zaugg, L. K., Lenherr, P., Weiger, R., Krastl, G. (2016). In vitro assessment of the tooth staining potential of endodontic materials in a bovine tooth model. </w:t>
      </w:r>
      <w:r w:rsidRPr="00664AF7">
        <w:rPr>
          <w:rFonts w:ascii="Arial" w:hAnsi="Arial" w:cs="Arial"/>
          <w:i/>
          <w:iCs/>
          <w:color w:val="222222"/>
          <w:sz w:val="20"/>
          <w:szCs w:val="20"/>
          <w:shd w:val="clear" w:color="auto" w:fill="FFFFFF"/>
        </w:rPr>
        <w:t>Dental Traumatology</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32</w:t>
      </w:r>
      <w:r w:rsidRPr="00664AF7">
        <w:rPr>
          <w:rFonts w:ascii="Arial" w:hAnsi="Arial" w:cs="Arial"/>
          <w:color w:val="222222"/>
          <w:sz w:val="20"/>
          <w:szCs w:val="20"/>
          <w:shd w:val="clear" w:color="auto" w:fill="FFFFFF"/>
        </w:rPr>
        <w:t>(6), 480-487.</w:t>
      </w:r>
    </w:p>
    <w:p w:rsidR="00C45241" w:rsidRPr="00664AF7" w:rsidRDefault="00C45241"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Eramo, S., Natali, A., Pinna, R., Milia, E. (2018). Dental pulp regeneration via cell homing.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51</w:t>
      </w:r>
      <w:r w:rsidRPr="00664AF7">
        <w:rPr>
          <w:rFonts w:ascii="Arial" w:hAnsi="Arial" w:cs="Arial"/>
          <w:color w:val="222222"/>
          <w:sz w:val="20"/>
          <w:szCs w:val="20"/>
          <w:shd w:val="clear" w:color="auto" w:fill="FFFFFF"/>
        </w:rPr>
        <w:t>(4), 405-419</w:t>
      </w:r>
      <w:r w:rsidRPr="00664AF7">
        <w:rPr>
          <w:rFonts w:ascii="Arial" w:hAnsi="Arial" w:cs="Arial"/>
          <w:color w:val="000000" w:themeColor="text1"/>
          <w:sz w:val="20"/>
          <w:szCs w:val="20"/>
        </w:rPr>
        <w:t>.</w:t>
      </w:r>
    </w:p>
    <w:p w:rsidR="00C45241" w:rsidRPr="00664AF7" w:rsidRDefault="00C45241"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Gonçalves, N. B., Luna-Cruz, S. M., Pinheiro Jr, E. C., Gomes, N. V., De Vasconcelos, B. C. (2021). Evaluation of dentin discoloration caused by endodontic root canal sealers due to ultrasonic agitat. </w:t>
      </w:r>
      <w:r w:rsidRPr="00664AF7">
        <w:rPr>
          <w:rFonts w:ascii="Arial" w:hAnsi="Arial" w:cs="Arial"/>
          <w:i/>
          <w:iCs/>
          <w:color w:val="222222"/>
          <w:sz w:val="20"/>
          <w:szCs w:val="20"/>
          <w:shd w:val="clear" w:color="auto" w:fill="FFFFFF"/>
        </w:rPr>
        <w:t>Dental Press Endodont</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11</w:t>
      </w:r>
      <w:r w:rsidRPr="00664AF7">
        <w:rPr>
          <w:rFonts w:ascii="Arial" w:hAnsi="Arial" w:cs="Arial"/>
          <w:color w:val="222222"/>
          <w:sz w:val="20"/>
          <w:szCs w:val="20"/>
          <w:shd w:val="clear" w:color="auto" w:fill="FFFFFF"/>
        </w:rPr>
        <w:t>, 46-51.</w:t>
      </w:r>
    </w:p>
    <w:p w:rsidR="00C45241" w:rsidRPr="00664AF7" w:rsidRDefault="00C45241"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Guimarães, B. M., Amoroso-Silva, P. A., Alcalde, M. P., Marciano, M. A., de Andrade, F. B., Duarte, M. A. H. (2014). Influence of ultrasonic activation of 4 root canal sealers on the filling quality.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40</w:t>
      </w:r>
      <w:r w:rsidRPr="00664AF7">
        <w:rPr>
          <w:rFonts w:ascii="Arial" w:hAnsi="Arial" w:cs="Arial"/>
          <w:color w:val="222222"/>
          <w:sz w:val="20"/>
          <w:szCs w:val="20"/>
          <w:shd w:val="clear" w:color="auto" w:fill="FFFFFF"/>
        </w:rPr>
        <w:t>(7), 964-968.</w:t>
      </w:r>
    </w:p>
    <w:p w:rsidR="004C5AD0" w:rsidRPr="00664AF7" w:rsidRDefault="004C5AD0"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Kalantar Motamedi, M. R., Mortaheb, A., Zare Jahromi, M., Gilbert, B. E. (2021). Micro</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CT evaluation of four root canal obturation techniques. </w:t>
      </w:r>
      <w:r w:rsidRPr="00664AF7">
        <w:rPr>
          <w:rFonts w:ascii="Arial" w:hAnsi="Arial" w:cs="Arial"/>
          <w:i/>
          <w:iCs/>
          <w:color w:val="222222"/>
          <w:sz w:val="20"/>
          <w:szCs w:val="20"/>
          <w:shd w:val="clear" w:color="auto" w:fill="FFFFFF"/>
        </w:rPr>
        <w:t>Scanning</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2021</w:t>
      </w:r>
      <w:r w:rsidRPr="00664AF7">
        <w:rPr>
          <w:rFonts w:ascii="Arial" w:hAnsi="Arial" w:cs="Arial"/>
          <w:color w:val="222222"/>
          <w:sz w:val="20"/>
          <w:szCs w:val="20"/>
          <w:shd w:val="clear" w:color="auto" w:fill="FFFFFF"/>
        </w:rPr>
        <w:t>(1), 6632822.</w:t>
      </w:r>
    </w:p>
    <w:p w:rsidR="004C5AD0" w:rsidRPr="00664AF7" w:rsidRDefault="004C5AD0"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Komabayashi, T., Colmenar, D., Cvach, N., Bhat, A., Primus, C., Imai, Y. (2020). Comprehensive review of current endodontic sealers. </w:t>
      </w:r>
      <w:r w:rsidRPr="00664AF7">
        <w:rPr>
          <w:rFonts w:ascii="Arial" w:hAnsi="Arial" w:cs="Arial"/>
          <w:i/>
          <w:iCs/>
          <w:color w:val="222222"/>
          <w:sz w:val="20"/>
          <w:szCs w:val="20"/>
          <w:shd w:val="clear" w:color="auto" w:fill="FFFFFF"/>
        </w:rPr>
        <w:t>Dental materials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39</w:t>
      </w:r>
      <w:r w:rsidRPr="00664AF7">
        <w:rPr>
          <w:rFonts w:ascii="Arial" w:hAnsi="Arial" w:cs="Arial"/>
          <w:color w:val="222222"/>
          <w:sz w:val="20"/>
          <w:szCs w:val="20"/>
          <w:shd w:val="clear" w:color="auto" w:fill="FFFFFF"/>
        </w:rPr>
        <w:t>(5), 703-720</w:t>
      </w:r>
      <w:r w:rsidRPr="00664AF7">
        <w:rPr>
          <w:rFonts w:ascii="Arial" w:hAnsi="Arial" w:cs="Arial"/>
          <w:color w:val="000000" w:themeColor="text1"/>
          <w:sz w:val="20"/>
          <w:szCs w:val="20"/>
        </w:rPr>
        <w:t>.</w:t>
      </w:r>
    </w:p>
    <w:p w:rsidR="004C5AD0" w:rsidRPr="00664AF7" w:rsidRDefault="004C5AD0"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Lenherr, P., Allgayer, N., Weiger, R., Filippi, A., Attin, T., Krastl, G. (2012). Tooth discoloration induced by endodontic materials: a laboratory study.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45</w:t>
      </w:r>
      <w:r w:rsidRPr="00664AF7">
        <w:rPr>
          <w:rFonts w:ascii="Arial" w:hAnsi="Arial" w:cs="Arial"/>
          <w:color w:val="222222"/>
          <w:sz w:val="20"/>
          <w:szCs w:val="20"/>
          <w:shd w:val="clear" w:color="auto" w:fill="FFFFFF"/>
        </w:rPr>
        <w:t>(10), 942-949.</w:t>
      </w:r>
    </w:p>
    <w:p w:rsidR="004C5AD0" w:rsidRPr="00664AF7" w:rsidRDefault="004C5AD0"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Luna-Cruz, S. M., Aguiar, B. A., Limoeiro, A. G., Duarte, M. A. H., de VASCONCELOS, B. C., Mendonça, J. S. (2024). Ex vivo tooth discoloration induced by calcium silicate-based materials: analysis of an experimental cement. </w:t>
      </w:r>
      <w:r w:rsidRPr="00664AF7">
        <w:rPr>
          <w:rFonts w:ascii="Arial" w:hAnsi="Arial" w:cs="Arial"/>
          <w:i/>
          <w:iCs/>
          <w:color w:val="222222"/>
          <w:sz w:val="20"/>
          <w:szCs w:val="20"/>
          <w:shd w:val="clear" w:color="auto" w:fill="FFFFFF"/>
        </w:rPr>
        <w:t>Brazilian Dental Science</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27</w:t>
      </w:r>
      <w:r w:rsidRPr="00664AF7">
        <w:rPr>
          <w:rFonts w:ascii="Arial" w:hAnsi="Arial" w:cs="Arial"/>
          <w:color w:val="222222"/>
          <w:sz w:val="20"/>
          <w:szCs w:val="20"/>
          <w:shd w:val="clear" w:color="auto" w:fill="FFFFFF"/>
        </w:rPr>
        <w:t>(2).</w:t>
      </w:r>
    </w:p>
    <w:p w:rsidR="008D47CF" w:rsidRPr="00664AF7" w:rsidRDefault="008D47CF"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Marciano, M. A., Camilleri, J., Costa, R. M., Matsumoto, M. A., Guimaraes, B. M., Duarte, M. A. H. (2017). Zinc oxide inhibits dental discoloration caused by white mineral trioxide aggregate angelus.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43</w:t>
      </w:r>
      <w:r w:rsidRPr="00664AF7">
        <w:rPr>
          <w:rFonts w:ascii="Arial" w:hAnsi="Arial" w:cs="Arial"/>
          <w:color w:val="222222"/>
          <w:sz w:val="20"/>
          <w:szCs w:val="20"/>
          <w:shd w:val="clear" w:color="auto" w:fill="FFFFFF"/>
        </w:rPr>
        <w:t>(6), 1001-1007.</w:t>
      </w:r>
    </w:p>
    <w:p w:rsidR="008D47CF" w:rsidRPr="00664AF7" w:rsidRDefault="008D47CF"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Marciano, M. A., Duarte, M. A. H., Camilleri, J. (2015). Dental discoloration caused by bismuth oxide in MTA in the presence of sodium hypochlorite. </w:t>
      </w:r>
      <w:r w:rsidRPr="00664AF7">
        <w:rPr>
          <w:rFonts w:ascii="Arial" w:hAnsi="Arial" w:cs="Arial"/>
          <w:i/>
          <w:iCs/>
          <w:color w:val="222222"/>
          <w:sz w:val="20"/>
          <w:szCs w:val="20"/>
          <w:shd w:val="clear" w:color="auto" w:fill="FFFFFF"/>
        </w:rPr>
        <w:t>Clinical oral investigations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19</w:t>
      </w:r>
      <w:r w:rsidRPr="00664AF7">
        <w:rPr>
          <w:rFonts w:ascii="Arial" w:hAnsi="Arial" w:cs="Arial"/>
          <w:color w:val="222222"/>
          <w:sz w:val="20"/>
          <w:szCs w:val="20"/>
          <w:shd w:val="clear" w:color="auto" w:fill="FFFFFF"/>
        </w:rPr>
        <w:t>(9), 2201-2209.</w:t>
      </w:r>
    </w:p>
    <w:p w:rsidR="008D47CF" w:rsidRPr="00664AF7" w:rsidRDefault="008D47CF"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Marciano, M. A., Costa, R. M., Camilleri, J., Mondelli, R. F. L., Guimarães, B. M., Duarte, M. A. H. (2014). Assessment of color stability of white mineral trioxide aggregate angelus and bismuth oxide in contact with tooth structure.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40</w:t>
      </w:r>
      <w:r w:rsidRPr="00664AF7">
        <w:rPr>
          <w:rFonts w:ascii="Arial" w:hAnsi="Arial" w:cs="Arial"/>
          <w:color w:val="222222"/>
          <w:sz w:val="20"/>
          <w:szCs w:val="20"/>
          <w:shd w:val="clear" w:color="auto" w:fill="FFFFFF"/>
        </w:rPr>
        <w:t>(8), 1235-1240.</w:t>
      </w:r>
    </w:p>
    <w:p w:rsidR="004C5AD0" w:rsidRPr="00664AF7" w:rsidRDefault="00D07B37"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Marques, R. B., Baroudi, K., Santos, A. F. C. D., Pontes, D., Amaral, M. (2021). Tooth discoloration using calcium silicate-based cements for simulated revascularization in vitro. </w:t>
      </w:r>
      <w:r w:rsidRPr="00664AF7">
        <w:rPr>
          <w:rFonts w:ascii="Arial" w:hAnsi="Arial" w:cs="Arial"/>
          <w:i/>
          <w:iCs/>
          <w:color w:val="222222"/>
          <w:sz w:val="20"/>
          <w:szCs w:val="20"/>
          <w:shd w:val="clear" w:color="auto" w:fill="FFFFFF"/>
        </w:rPr>
        <w:t>Brazilian Dental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32</w:t>
      </w:r>
      <w:r w:rsidRPr="00664AF7">
        <w:rPr>
          <w:rFonts w:ascii="Arial" w:hAnsi="Arial" w:cs="Arial"/>
          <w:color w:val="222222"/>
          <w:sz w:val="20"/>
          <w:szCs w:val="20"/>
          <w:shd w:val="clear" w:color="auto" w:fill="FFFFFF"/>
        </w:rPr>
        <w:t>(1), 53-58.</w:t>
      </w:r>
    </w:p>
    <w:p w:rsidR="00D07B37" w:rsidRPr="00664AF7" w:rsidRDefault="00D07B37"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Richman, MJ. (1957). The use of ultrasonics in root canal therapy and root resection. </w:t>
      </w:r>
      <w:r w:rsidRPr="00664AF7">
        <w:rPr>
          <w:rFonts w:ascii="Arial" w:hAnsi="Arial" w:cs="Arial"/>
          <w:i/>
          <w:iCs/>
          <w:color w:val="222222"/>
          <w:sz w:val="20"/>
          <w:szCs w:val="20"/>
          <w:shd w:val="clear" w:color="auto" w:fill="FFFFFF"/>
        </w:rPr>
        <w:t>J Dent Med</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12</w:t>
      </w:r>
      <w:r w:rsidRPr="00664AF7">
        <w:rPr>
          <w:rFonts w:ascii="Arial" w:hAnsi="Arial" w:cs="Arial"/>
          <w:color w:val="222222"/>
          <w:sz w:val="20"/>
          <w:szCs w:val="20"/>
          <w:shd w:val="clear" w:color="auto" w:fill="FFFFFF"/>
        </w:rPr>
        <w:t>, 12-18.</w:t>
      </w:r>
    </w:p>
    <w:p w:rsidR="00D07B37" w:rsidRPr="00664AF7" w:rsidRDefault="00D07B37"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Savaris, J. M., Czornobay, L. F. M., Dotto, M. E. P., Santos, P. S., Garcia, L. D. F. R., Vitali, F. C., Teixeira, C. D. S. (2024). Tooth discoloration induced by endodontic sealers of different chemical bases: A systematic review. </w:t>
      </w:r>
      <w:r w:rsidRPr="00664AF7">
        <w:rPr>
          <w:rFonts w:ascii="Arial" w:hAnsi="Arial" w:cs="Arial"/>
          <w:i/>
          <w:iCs/>
          <w:color w:val="222222"/>
          <w:sz w:val="20"/>
          <w:szCs w:val="20"/>
          <w:shd w:val="clear" w:color="auto" w:fill="FFFFFF"/>
        </w:rPr>
        <w:t>Brazilian Dental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35</w:t>
      </w:r>
      <w:r w:rsidRPr="00664AF7">
        <w:rPr>
          <w:rFonts w:ascii="Arial" w:hAnsi="Arial" w:cs="Arial"/>
          <w:color w:val="222222"/>
          <w:sz w:val="20"/>
          <w:szCs w:val="20"/>
          <w:shd w:val="clear" w:color="auto" w:fill="FFFFFF"/>
        </w:rPr>
        <w:t>, e24-6021.</w:t>
      </w:r>
    </w:p>
    <w:p w:rsidR="00D07B37" w:rsidRPr="00664AF7" w:rsidRDefault="00D07B37"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 xml:space="preserve">Tabatabaian, F., Beyabanaki, E., Alirezaei, P., Epakchi, S. (2021). Visual and digital tooth shade selection methods, related effective factors and conditions, and their </w:t>
      </w:r>
      <w:r w:rsidRPr="00664AF7">
        <w:rPr>
          <w:rFonts w:ascii="Arial" w:hAnsi="Arial" w:cs="Arial"/>
          <w:color w:val="222222"/>
          <w:sz w:val="20"/>
          <w:szCs w:val="20"/>
          <w:shd w:val="clear" w:color="auto" w:fill="FFFFFF"/>
        </w:rPr>
        <w:lastRenderedPageBreak/>
        <w:t>accuracy and precision: A literature review. </w:t>
      </w:r>
      <w:r w:rsidRPr="00664AF7">
        <w:rPr>
          <w:rFonts w:ascii="Arial" w:hAnsi="Arial" w:cs="Arial"/>
          <w:i/>
          <w:iCs/>
          <w:color w:val="222222"/>
          <w:sz w:val="20"/>
          <w:szCs w:val="20"/>
          <w:shd w:val="clear" w:color="auto" w:fill="FFFFFF"/>
        </w:rPr>
        <w:t>Journal of Esthetic and Restorative Dentistry</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33</w:t>
      </w:r>
      <w:r w:rsidRPr="00664AF7">
        <w:rPr>
          <w:rFonts w:ascii="Arial" w:hAnsi="Arial" w:cs="Arial"/>
          <w:color w:val="222222"/>
          <w:sz w:val="20"/>
          <w:szCs w:val="20"/>
          <w:shd w:val="clear" w:color="auto" w:fill="FFFFFF"/>
        </w:rPr>
        <w:t>(8), 1084-1104.</w:t>
      </w:r>
    </w:p>
    <w:p w:rsidR="00D07B37" w:rsidRPr="00664AF7" w:rsidRDefault="00D07B37"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Tomás</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Catalá, C. J., Collado</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González, M., García</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Bernal, D., Oñate</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 xml:space="preserve">Sánchez, R. E., Forner, L., Llena, C., ... </w:t>
      </w:r>
      <w:r w:rsidR="00090B64">
        <w:rPr>
          <w:rFonts w:ascii="Arial" w:hAnsi="Arial" w:cs="Arial"/>
          <w:color w:val="222222"/>
          <w:sz w:val="20"/>
          <w:szCs w:val="20"/>
          <w:shd w:val="clear" w:color="auto" w:fill="FFFFFF"/>
        </w:rPr>
        <w:t>and</w:t>
      </w:r>
      <w:r w:rsidRPr="00664AF7">
        <w:rPr>
          <w:rFonts w:ascii="Arial" w:hAnsi="Arial" w:cs="Arial"/>
          <w:color w:val="222222"/>
          <w:sz w:val="20"/>
          <w:szCs w:val="20"/>
          <w:shd w:val="clear" w:color="auto" w:fill="FFFFFF"/>
        </w:rPr>
        <w:t xml:space="preserve"> Rodríguez</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Lozano, F. J. (2017). Comparative analysis of the biological effects of the endodontic bioactive cements MTA</w:t>
      </w:r>
      <w:r w:rsidRPr="00664AF7">
        <w:rPr>
          <w:rFonts w:ascii="Cambria Math" w:hAnsi="Cambria Math" w:cs="Cambria Math"/>
          <w:color w:val="222222"/>
          <w:sz w:val="20"/>
          <w:szCs w:val="20"/>
          <w:shd w:val="clear" w:color="auto" w:fill="FFFFFF"/>
        </w:rPr>
        <w:t>‐</w:t>
      </w:r>
      <w:r w:rsidRPr="00664AF7">
        <w:rPr>
          <w:rFonts w:ascii="Arial" w:hAnsi="Arial" w:cs="Arial"/>
          <w:color w:val="222222"/>
          <w:sz w:val="20"/>
          <w:szCs w:val="20"/>
          <w:shd w:val="clear" w:color="auto" w:fill="FFFFFF"/>
        </w:rPr>
        <w:t>Angelus, MTA Repair HP and NeoMTA Plus on human dental pulp stem cells.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50</w:t>
      </w:r>
      <w:r w:rsidRPr="00664AF7">
        <w:rPr>
          <w:rFonts w:ascii="Arial" w:hAnsi="Arial" w:cs="Arial"/>
          <w:color w:val="222222"/>
          <w:sz w:val="20"/>
          <w:szCs w:val="20"/>
          <w:shd w:val="clear" w:color="auto" w:fill="FFFFFF"/>
        </w:rPr>
        <w:t>, e63-e72.</w:t>
      </w:r>
    </w:p>
    <w:p w:rsidR="00D07B37" w:rsidRPr="00664AF7" w:rsidRDefault="00D07B37" w:rsidP="00664AF7">
      <w:pPr>
        <w:pStyle w:val="PargrafodaLista"/>
        <w:numPr>
          <w:ilvl w:val="0"/>
          <w:numId w:val="32"/>
        </w:numPr>
        <w:jc w:val="both"/>
        <w:rPr>
          <w:rFonts w:ascii="Arial" w:hAnsi="Arial" w:cs="Arial"/>
          <w:color w:val="000000" w:themeColor="text1"/>
          <w:sz w:val="20"/>
          <w:szCs w:val="20"/>
        </w:rPr>
      </w:pPr>
      <w:r w:rsidRPr="00664AF7">
        <w:rPr>
          <w:rFonts w:ascii="Arial" w:hAnsi="Arial" w:cs="Arial"/>
          <w:color w:val="222222"/>
          <w:sz w:val="20"/>
          <w:szCs w:val="20"/>
          <w:shd w:val="clear" w:color="auto" w:fill="FFFFFF"/>
        </w:rPr>
        <w:t>Torabinejad, M., Parirokh, M., Dummer, P. M. (2018). Mineral trioxide aggregate and other bioactive endodontic cements: an updated overview–part II: other clinical applications and complications. </w:t>
      </w:r>
      <w:r w:rsidRPr="00664AF7">
        <w:rPr>
          <w:rFonts w:ascii="Arial" w:hAnsi="Arial" w:cs="Arial"/>
          <w:i/>
          <w:iCs/>
          <w:color w:val="222222"/>
          <w:sz w:val="20"/>
          <w:szCs w:val="20"/>
          <w:shd w:val="clear" w:color="auto" w:fill="FFFFFF"/>
        </w:rPr>
        <w:t>International endodontic journal</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51</w:t>
      </w:r>
      <w:r w:rsidRPr="00664AF7">
        <w:rPr>
          <w:rFonts w:ascii="Arial" w:hAnsi="Arial" w:cs="Arial"/>
          <w:color w:val="222222"/>
          <w:sz w:val="20"/>
          <w:szCs w:val="20"/>
          <w:shd w:val="clear" w:color="auto" w:fill="FFFFFF"/>
        </w:rPr>
        <w:t>(3), 284-317.</w:t>
      </w:r>
    </w:p>
    <w:p w:rsidR="004D4277" w:rsidRPr="00664AF7" w:rsidRDefault="00D07B37" w:rsidP="00664AF7">
      <w:pPr>
        <w:pStyle w:val="PargrafodaLista"/>
        <w:numPr>
          <w:ilvl w:val="0"/>
          <w:numId w:val="32"/>
        </w:numPr>
        <w:spacing w:after="0"/>
        <w:jc w:val="both"/>
        <w:rPr>
          <w:rFonts w:ascii="Arial" w:hAnsi="Arial" w:cs="Arial"/>
          <w:b/>
          <w:sz w:val="20"/>
          <w:szCs w:val="20"/>
        </w:rPr>
        <w:sectPr w:rsidR="004D4277" w:rsidRPr="00664AF7" w:rsidSect="000B1E33">
          <w:headerReference w:type="even" r:id="rId14"/>
          <w:headerReference w:type="default" r:id="rId15"/>
          <w:footerReference w:type="default" r:id="rId16"/>
          <w:headerReference w:type="first" r:id="rId17"/>
          <w:type w:val="continuous"/>
          <w:pgSz w:w="12240" w:h="15840"/>
          <w:pgMar w:top="1440" w:right="2016" w:bottom="2016" w:left="2016" w:header="720" w:footer="1123" w:gutter="0"/>
          <w:lnNumType w:countBy="1" w:restart="continuous"/>
          <w:cols w:space="720"/>
          <w:docGrid w:linePitch="272"/>
        </w:sectPr>
      </w:pPr>
      <w:r w:rsidRPr="00664AF7">
        <w:rPr>
          <w:rFonts w:ascii="Arial" w:hAnsi="Arial" w:cs="Arial"/>
          <w:color w:val="222222"/>
          <w:sz w:val="20"/>
          <w:szCs w:val="20"/>
          <w:shd w:val="clear" w:color="auto" w:fill="FFFFFF"/>
        </w:rPr>
        <w:t>Yoldaş, S. E., Bani, M., Atabek, D., Bodur, H. (2016). Comparison of the potential discoloration effect of bioaggregate, biodentine, and white mineral trioxide aggregate on bovine teeth: in vitro research. </w:t>
      </w:r>
      <w:r w:rsidRPr="00664AF7">
        <w:rPr>
          <w:rFonts w:ascii="Arial" w:hAnsi="Arial" w:cs="Arial"/>
          <w:i/>
          <w:iCs/>
          <w:color w:val="222222"/>
          <w:sz w:val="20"/>
          <w:szCs w:val="20"/>
          <w:shd w:val="clear" w:color="auto" w:fill="FFFFFF"/>
        </w:rPr>
        <w:t>Journal of endodontics</w:t>
      </w:r>
      <w:r w:rsidRPr="00664AF7">
        <w:rPr>
          <w:rFonts w:ascii="Arial" w:hAnsi="Arial" w:cs="Arial"/>
          <w:color w:val="222222"/>
          <w:sz w:val="20"/>
          <w:szCs w:val="20"/>
          <w:shd w:val="clear" w:color="auto" w:fill="FFFFFF"/>
        </w:rPr>
        <w:t>, </w:t>
      </w:r>
      <w:r w:rsidRPr="00664AF7">
        <w:rPr>
          <w:rFonts w:ascii="Arial" w:hAnsi="Arial" w:cs="Arial"/>
          <w:i/>
          <w:iCs/>
          <w:color w:val="222222"/>
          <w:sz w:val="20"/>
          <w:szCs w:val="20"/>
          <w:shd w:val="clear" w:color="auto" w:fill="FFFFFF"/>
        </w:rPr>
        <w:t>42</w:t>
      </w:r>
      <w:r w:rsidRPr="00664AF7">
        <w:rPr>
          <w:rFonts w:ascii="Arial" w:hAnsi="Arial" w:cs="Arial"/>
          <w:color w:val="222222"/>
          <w:sz w:val="20"/>
          <w:szCs w:val="20"/>
          <w:shd w:val="clear" w:color="auto" w:fill="FFFFFF"/>
        </w:rPr>
        <w:t>(12), 1815-1818.</w:t>
      </w: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022C" w:rsidRDefault="00B5022C" w:rsidP="00C37E61">
      <w:r>
        <w:separator/>
      </w:r>
    </w:p>
  </w:endnote>
  <w:endnote w:type="continuationSeparator" w:id="0">
    <w:p w:rsidR="00B5022C" w:rsidRDefault="00B502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4F69" w:rsidRDefault="00044F69">
    <w:pPr>
      <w:pStyle w:val="Rodap"/>
      <w:rPr>
        <w:rFonts w:ascii="Arial" w:hAnsi="Arial" w:cs="Arial"/>
        <w:sz w:val="16"/>
      </w:rPr>
    </w:pPr>
  </w:p>
  <w:p w:rsidR="00044F69" w:rsidRDefault="00044F69" w:rsidP="009E048A">
    <w:pPr>
      <w:pStyle w:val="Rodap"/>
      <w:jc w:val="center"/>
      <w:rPr>
        <w:rFonts w:ascii="Arial" w:hAnsi="Arial" w:cs="Arial"/>
        <w:sz w:val="16"/>
      </w:rPr>
    </w:pPr>
    <w:r>
      <w:rPr>
        <w:rFonts w:ascii="Arial" w:hAnsi="Arial" w:cs="Arial"/>
        <w:sz w:val="16"/>
      </w:rPr>
      <w:t>____________________________________________________________________________________________</w:t>
    </w:r>
  </w:p>
  <w:p w:rsidR="00044F69" w:rsidRDefault="00044F69">
    <w:pPr>
      <w:pStyle w:val="Rodap"/>
      <w:rPr>
        <w:rFonts w:ascii="Arial" w:hAnsi="Arial" w:cs="Arial"/>
        <w:sz w:val="16"/>
      </w:rPr>
    </w:pPr>
  </w:p>
  <w:p w:rsidR="00044F69" w:rsidRPr="009E048A" w:rsidRDefault="00044F69">
    <w:pPr>
      <w:pStyle w:val="Rodap"/>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4F69" w:rsidRPr="00C37E61" w:rsidRDefault="00044F69"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022C" w:rsidRDefault="00B5022C" w:rsidP="00C37E61">
      <w:r>
        <w:separator/>
      </w:r>
    </w:p>
  </w:footnote>
  <w:footnote w:type="continuationSeparator" w:id="0">
    <w:p w:rsidR="00B5022C" w:rsidRDefault="00B502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3E" w:rsidRDefault="00B502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3E" w:rsidRDefault="00B502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4F69" w:rsidRPr="00296529" w:rsidRDefault="00B5022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44F69" w:rsidRPr="00296529" w:rsidRDefault="00044F6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44F69" w:rsidRPr="00296529" w:rsidRDefault="00044F69" w:rsidP="00296529">
    <w:pPr>
      <w:jc w:val="center"/>
      <w:rPr>
        <w:rFonts w:ascii="Times New Roman" w:eastAsia="Calibri" w:hAnsi="Times New Roman"/>
        <w:i/>
        <w:sz w:val="18"/>
        <w:szCs w:val="22"/>
      </w:rPr>
    </w:pPr>
    <w:r>
      <w:rPr>
        <w:rFonts w:ascii="Times New Roman" w:eastAsia="Calibri" w:hAnsi="Times New Roman"/>
        <w:i/>
        <w:sz w:val="18"/>
        <w:szCs w:val="22"/>
      </w:rPr>
      <w:t>.</w:t>
    </w:r>
  </w:p>
  <w:p w:rsidR="00044F69" w:rsidRPr="00296529" w:rsidRDefault="00044F6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44F69" w:rsidRDefault="00044F6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44F69" w:rsidRDefault="00044F6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44F69" w:rsidRDefault="00044F69">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3E" w:rsidRDefault="00B502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3E" w:rsidRDefault="00B502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3E" w:rsidRDefault="00B5022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8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AD60BA"/>
    <w:multiLevelType w:val="hybridMultilevel"/>
    <w:tmpl w:val="E0443714"/>
    <w:lvl w:ilvl="0" w:tplc="47562314">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63650"/>
    <w:multiLevelType w:val="hybridMultilevel"/>
    <w:tmpl w:val="D8F4A1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D37A7C"/>
    <w:multiLevelType w:val="hybridMultilevel"/>
    <w:tmpl w:val="E9062C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1"/>
  </w:num>
  <w:num w:numId="31">
    <w:abstractNumId w:val="18"/>
  </w:num>
  <w:num w:numId="32">
    <w:abstractNumId w:val="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66B"/>
    <w:rsid w:val="00000F8F"/>
    <w:rsid w:val="00030174"/>
    <w:rsid w:val="00037B07"/>
    <w:rsid w:val="00044F69"/>
    <w:rsid w:val="0004579C"/>
    <w:rsid w:val="00045B7E"/>
    <w:rsid w:val="00057CAF"/>
    <w:rsid w:val="0007770F"/>
    <w:rsid w:val="00090B64"/>
    <w:rsid w:val="000A1A7C"/>
    <w:rsid w:val="000A47FA"/>
    <w:rsid w:val="000A65D3"/>
    <w:rsid w:val="000B1E33"/>
    <w:rsid w:val="000B204E"/>
    <w:rsid w:val="000B5C55"/>
    <w:rsid w:val="000D689F"/>
    <w:rsid w:val="000E7B7B"/>
    <w:rsid w:val="000E7D62"/>
    <w:rsid w:val="000F0DEF"/>
    <w:rsid w:val="00100488"/>
    <w:rsid w:val="00103357"/>
    <w:rsid w:val="001203A1"/>
    <w:rsid w:val="00121751"/>
    <w:rsid w:val="00123C9F"/>
    <w:rsid w:val="00126190"/>
    <w:rsid w:val="00130F17"/>
    <w:rsid w:val="001320BF"/>
    <w:rsid w:val="00136FD9"/>
    <w:rsid w:val="00163BC4"/>
    <w:rsid w:val="00191062"/>
    <w:rsid w:val="00192B72"/>
    <w:rsid w:val="001A06A3"/>
    <w:rsid w:val="001A29D8"/>
    <w:rsid w:val="001A5CAA"/>
    <w:rsid w:val="001B0427"/>
    <w:rsid w:val="001D3A51"/>
    <w:rsid w:val="001D3CCA"/>
    <w:rsid w:val="001E10D2"/>
    <w:rsid w:val="001E25B4"/>
    <w:rsid w:val="001E44FE"/>
    <w:rsid w:val="001F4857"/>
    <w:rsid w:val="00200595"/>
    <w:rsid w:val="00204835"/>
    <w:rsid w:val="00217E82"/>
    <w:rsid w:val="00231920"/>
    <w:rsid w:val="0023195C"/>
    <w:rsid w:val="0024282C"/>
    <w:rsid w:val="002460DC"/>
    <w:rsid w:val="00250985"/>
    <w:rsid w:val="0025552F"/>
    <w:rsid w:val="002556F6"/>
    <w:rsid w:val="00283105"/>
    <w:rsid w:val="002833EA"/>
    <w:rsid w:val="00284C4C"/>
    <w:rsid w:val="00287E68"/>
    <w:rsid w:val="00290D4E"/>
    <w:rsid w:val="00296529"/>
    <w:rsid w:val="002B27FB"/>
    <w:rsid w:val="002B685A"/>
    <w:rsid w:val="002C57D2"/>
    <w:rsid w:val="002C763E"/>
    <w:rsid w:val="002E0D56"/>
    <w:rsid w:val="002E5B12"/>
    <w:rsid w:val="0031139F"/>
    <w:rsid w:val="00315186"/>
    <w:rsid w:val="00317D4F"/>
    <w:rsid w:val="0032320A"/>
    <w:rsid w:val="0033343E"/>
    <w:rsid w:val="003512C2"/>
    <w:rsid w:val="003612EE"/>
    <w:rsid w:val="00371FB6"/>
    <w:rsid w:val="003763C1"/>
    <w:rsid w:val="00376BBE"/>
    <w:rsid w:val="0039224F"/>
    <w:rsid w:val="00393E6E"/>
    <w:rsid w:val="003A43A4"/>
    <w:rsid w:val="003A7E18"/>
    <w:rsid w:val="003C4C86"/>
    <w:rsid w:val="003C6258"/>
    <w:rsid w:val="003C7197"/>
    <w:rsid w:val="003D1F14"/>
    <w:rsid w:val="003E2904"/>
    <w:rsid w:val="003E6643"/>
    <w:rsid w:val="00401927"/>
    <w:rsid w:val="0041027F"/>
    <w:rsid w:val="00412475"/>
    <w:rsid w:val="00412E88"/>
    <w:rsid w:val="00416543"/>
    <w:rsid w:val="00420081"/>
    <w:rsid w:val="00423789"/>
    <w:rsid w:val="00440F43"/>
    <w:rsid w:val="00441B6F"/>
    <w:rsid w:val="00446221"/>
    <w:rsid w:val="00450E62"/>
    <w:rsid w:val="004539DB"/>
    <w:rsid w:val="00471A80"/>
    <w:rsid w:val="00490397"/>
    <w:rsid w:val="004B7456"/>
    <w:rsid w:val="004C1894"/>
    <w:rsid w:val="004C5AD0"/>
    <w:rsid w:val="004C5D82"/>
    <w:rsid w:val="004D305E"/>
    <w:rsid w:val="004D4277"/>
    <w:rsid w:val="004D66A9"/>
    <w:rsid w:val="00502516"/>
    <w:rsid w:val="00505F06"/>
    <w:rsid w:val="00506828"/>
    <w:rsid w:val="00520987"/>
    <w:rsid w:val="00522671"/>
    <w:rsid w:val="0053056E"/>
    <w:rsid w:val="00554FDA"/>
    <w:rsid w:val="005B0F1A"/>
    <w:rsid w:val="005C784C"/>
    <w:rsid w:val="005D17F6"/>
    <w:rsid w:val="005E5539"/>
    <w:rsid w:val="005E564B"/>
    <w:rsid w:val="005F4268"/>
    <w:rsid w:val="00602BF5"/>
    <w:rsid w:val="0061617C"/>
    <w:rsid w:val="00616B38"/>
    <w:rsid w:val="00617FDD"/>
    <w:rsid w:val="00633614"/>
    <w:rsid w:val="00633F68"/>
    <w:rsid w:val="00636EB2"/>
    <w:rsid w:val="006375B8"/>
    <w:rsid w:val="00651333"/>
    <w:rsid w:val="00664AF7"/>
    <w:rsid w:val="0066510A"/>
    <w:rsid w:val="00673F9F"/>
    <w:rsid w:val="00674A42"/>
    <w:rsid w:val="00686953"/>
    <w:rsid w:val="00687DEA"/>
    <w:rsid w:val="00687E67"/>
    <w:rsid w:val="006967F7"/>
    <w:rsid w:val="006A250C"/>
    <w:rsid w:val="006B21D3"/>
    <w:rsid w:val="006B57D0"/>
    <w:rsid w:val="006D30FF"/>
    <w:rsid w:val="006D41AE"/>
    <w:rsid w:val="006D6940"/>
    <w:rsid w:val="006F11EC"/>
    <w:rsid w:val="0070082C"/>
    <w:rsid w:val="007015CE"/>
    <w:rsid w:val="0072251C"/>
    <w:rsid w:val="007369E6"/>
    <w:rsid w:val="00741C8C"/>
    <w:rsid w:val="00746E59"/>
    <w:rsid w:val="00754C9A"/>
    <w:rsid w:val="0075599A"/>
    <w:rsid w:val="00757854"/>
    <w:rsid w:val="00761D52"/>
    <w:rsid w:val="0077749E"/>
    <w:rsid w:val="00790ADA"/>
    <w:rsid w:val="007D2288"/>
    <w:rsid w:val="007D5380"/>
    <w:rsid w:val="007E088F"/>
    <w:rsid w:val="007E6A08"/>
    <w:rsid w:val="007F7B32"/>
    <w:rsid w:val="00804BC2"/>
    <w:rsid w:val="008069B9"/>
    <w:rsid w:val="0081431A"/>
    <w:rsid w:val="0083216F"/>
    <w:rsid w:val="00860000"/>
    <w:rsid w:val="00863BD3"/>
    <w:rsid w:val="008641ED"/>
    <w:rsid w:val="00866D66"/>
    <w:rsid w:val="008671C6"/>
    <w:rsid w:val="00875803"/>
    <w:rsid w:val="008878FA"/>
    <w:rsid w:val="008B459E"/>
    <w:rsid w:val="008D47CF"/>
    <w:rsid w:val="008E13AE"/>
    <w:rsid w:val="008E1506"/>
    <w:rsid w:val="008E710C"/>
    <w:rsid w:val="008F5660"/>
    <w:rsid w:val="008F69D6"/>
    <w:rsid w:val="00902823"/>
    <w:rsid w:val="00915CA6"/>
    <w:rsid w:val="00917C8D"/>
    <w:rsid w:val="0092466D"/>
    <w:rsid w:val="00927834"/>
    <w:rsid w:val="009418CD"/>
    <w:rsid w:val="009500A6"/>
    <w:rsid w:val="00957C18"/>
    <w:rsid w:val="009614B0"/>
    <w:rsid w:val="009659BA"/>
    <w:rsid w:val="00971B31"/>
    <w:rsid w:val="0097355D"/>
    <w:rsid w:val="00983040"/>
    <w:rsid w:val="009B122F"/>
    <w:rsid w:val="009B3FB9"/>
    <w:rsid w:val="009C2465"/>
    <w:rsid w:val="009C5D42"/>
    <w:rsid w:val="009D2E40"/>
    <w:rsid w:val="009D35A0"/>
    <w:rsid w:val="009D7EB7"/>
    <w:rsid w:val="009E048A"/>
    <w:rsid w:val="009E08E9"/>
    <w:rsid w:val="009E3DB9"/>
    <w:rsid w:val="009E6E35"/>
    <w:rsid w:val="009F0EDA"/>
    <w:rsid w:val="009F7F93"/>
    <w:rsid w:val="00A03B96"/>
    <w:rsid w:val="00A05B19"/>
    <w:rsid w:val="00A1134E"/>
    <w:rsid w:val="00A11BD0"/>
    <w:rsid w:val="00A12F41"/>
    <w:rsid w:val="00A24E7E"/>
    <w:rsid w:val="00A258C3"/>
    <w:rsid w:val="00A27BFC"/>
    <w:rsid w:val="00A33BBF"/>
    <w:rsid w:val="00A347C0"/>
    <w:rsid w:val="00A35B0D"/>
    <w:rsid w:val="00A51431"/>
    <w:rsid w:val="00A539AD"/>
    <w:rsid w:val="00A55526"/>
    <w:rsid w:val="00A567B4"/>
    <w:rsid w:val="00A613FF"/>
    <w:rsid w:val="00A94063"/>
    <w:rsid w:val="00AA4D0A"/>
    <w:rsid w:val="00AA6219"/>
    <w:rsid w:val="00AA74E0"/>
    <w:rsid w:val="00AB4181"/>
    <w:rsid w:val="00AB703F"/>
    <w:rsid w:val="00AC6BB8"/>
    <w:rsid w:val="00AD7817"/>
    <w:rsid w:val="00AE008F"/>
    <w:rsid w:val="00B0040C"/>
    <w:rsid w:val="00B01FCD"/>
    <w:rsid w:val="00B1776C"/>
    <w:rsid w:val="00B17C13"/>
    <w:rsid w:val="00B34640"/>
    <w:rsid w:val="00B43D79"/>
    <w:rsid w:val="00B5022C"/>
    <w:rsid w:val="00B52583"/>
    <w:rsid w:val="00B52896"/>
    <w:rsid w:val="00B63A5B"/>
    <w:rsid w:val="00B644B8"/>
    <w:rsid w:val="00B64E14"/>
    <w:rsid w:val="00B879A3"/>
    <w:rsid w:val="00B908EE"/>
    <w:rsid w:val="00B95236"/>
    <w:rsid w:val="00B96BD9"/>
    <w:rsid w:val="00BA1B01"/>
    <w:rsid w:val="00BA2641"/>
    <w:rsid w:val="00BB37AA"/>
    <w:rsid w:val="00BB6C79"/>
    <w:rsid w:val="00BC53A0"/>
    <w:rsid w:val="00BD5C74"/>
    <w:rsid w:val="00BD6780"/>
    <w:rsid w:val="00BE62AD"/>
    <w:rsid w:val="00BF121F"/>
    <w:rsid w:val="00BF1F80"/>
    <w:rsid w:val="00BF5801"/>
    <w:rsid w:val="00C02E90"/>
    <w:rsid w:val="00C166EF"/>
    <w:rsid w:val="00C17EB0"/>
    <w:rsid w:val="00C20BA4"/>
    <w:rsid w:val="00C27F5F"/>
    <w:rsid w:val="00C30A0F"/>
    <w:rsid w:val="00C37E61"/>
    <w:rsid w:val="00C45241"/>
    <w:rsid w:val="00C652A5"/>
    <w:rsid w:val="00C70F1B"/>
    <w:rsid w:val="00C71A47"/>
    <w:rsid w:val="00C7464C"/>
    <w:rsid w:val="00C85588"/>
    <w:rsid w:val="00C85FB9"/>
    <w:rsid w:val="00C95014"/>
    <w:rsid w:val="00CB78C3"/>
    <w:rsid w:val="00CC3F94"/>
    <w:rsid w:val="00CD6755"/>
    <w:rsid w:val="00CD6856"/>
    <w:rsid w:val="00CE0089"/>
    <w:rsid w:val="00CE793C"/>
    <w:rsid w:val="00CF193C"/>
    <w:rsid w:val="00D07B37"/>
    <w:rsid w:val="00D173F1"/>
    <w:rsid w:val="00D33F96"/>
    <w:rsid w:val="00D74CB0"/>
    <w:rsid w:val="00D82379"/>
    <w:rsid w:val="00D8295D"/>
    <w:rsid w:val="00D82D1C"/>
    <w:rsid w:val="00D87824"/>
    <w:rsid w:val="00D96E2E"/>
    <w:rsid w:val="00DC2A65"/>
    <w:rsid w:val="00DC673B"/>
    <w:rsid w:val="00DE15F0"/>
    <w:rsid w:val="00DE5240"/>
    <w:rsid w:val="00DE5663"/>
    <w:rsid w:val="00DE78AA"/>
    <w:rsid w:val="00E053D0"/>
    <w:rsid w:val="00E15994"/>
    <w:rsid w:val="00E274E8"/>
    <w:rsid w:val="00E3114E"/>
    <w:rsid w:val="00E31A70"/>
    <w:rsid w:val="00E35B02"/>
    <w:rsid w:val="00E36BCF"/>
    <w:rsid w:val="00E44FCF"/>
    <w:rsid w:val="00E66496"/>
    <w:rsid w:val="00E66B35"/>
    <w:rsid w:val="00E66E10"/>
    <w:rsid w:val="00E769F6"/>
    <w:rsid w:val="00E8407C"/>
    <w:rsid w:val="00E84F3C"/>
    <w:rsid w:val="00EA012C"/>
    <w:rsid w:val="00EC25AA"/>
    <w:rsid w:val="00EC6A55"/>
    <w:rsid w:val="00ED0288"/>
    <w:rsid w:val="00ED31FD"/>
    <w:rsid w:val="00EE0184"/>
    <w:rsid w:val="00EE2EF6"/>
    <w:rsid w:val="00EE52CB"/>
    <w:rsid w:val="00EF581D"/>
    <w:rsid w:val="00EF7FD8"/>
    <w:rsid w:val="00F06F59"/>
    <w:rsid w:val="00F17988"/>
    <w:rsid w:val="00F23FD3"/>
    <w:rsid w:val="00F311D5"/>
    <w:rsid w:val="00F42B62"/>
    <w:rsid w:val="00F469F0"/>
    <w:rsid w:val="00F53273"/>
    <w:rsid w:val="00F63F2A"/>
    <w:rsid w:val="00F755E4"/>
    <w:rsid w:val="00F77D02"/>
    <w:rsid w:val="00FB3A86"/>
    <w:rsid w:val="00FC59B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CBA9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2">
    <w:name w:val="heading 2"/>
    <w:basedOn w:val="Normal"/>
    <w:next w:val="Normal"/>
    <w:link w:val="Ttulo2Char"/>
    <w:semiHidden/>
    <w:unhideWhenUsed/>
    <w:qFormat/>
    <w:rsid w:val="00CC3F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287E68"/>
    <w:rPr>
      <w:color w:val="605E5C"/>
      <w:shd w:val="clear" w:color="auto" w:fill="E1DFDD"/>
    </w:rPr>
  </w:style>
  <w:style w:type="character" w:customStyle="1" w:styleId="Ttulo2Char">
    <w:name w:val="Título 2 Char"/>
    <w:basedOn w:val="Fontepargpadro"/>
    <w:link w:val="Ttulo2"/>
    <w:semiHidden/>
    <w:rsid w:val="00CC3F94"/>
    <w:rPr>
      <w:rFonts w:asciiTheme="majorHAnsi" w:eastAsiaTheme="majorEastAsia" w:hAnsiTheme="majorHAnsi" w:cstheme="majorBidi"/>
      <w:color w:val="365F91" w:themeColor="accent1" w:themeShade="BF"/>
      <w:sz w:val="26"/>
      <w:szCs w:val="26"/>
    </w:rPr>
  </w:style>
  <w:style w:type="table" w:customStyle="1" w:styleId="TabelaSimples21">
    <w:name w:val="Tabela Simples 21"/>
    <w:basedOn w:val="Tabelanormal"/>
    <w:uiPriority w:val="42"/>
    <w:rsid w:val="00E44FCF"/>
    <w:rPr>
      <w:rFonts w:asciiTheme="minorHAnsi" w:eastAsiaTheme="minorHAnsi" w:hAnsiTheme="minorHAnsi" w:cstheme="minorBidi"/>
      <w:sz w:val="22"/>
      <w:szCs w:val="22"/>
      <w:lang w:val="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0B5C5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2008-7737-4119-A894-3A42A932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347</TotalTime>
  <Pages>10</Pages>
  <Words>4192</Words>
  <Characters>22640</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Yana Araújo</cp:lastModifiedBy>
  <cp:revision>39</cp:revision>
  <cp:lastPrinted>1999-07-06T11:00:00Z</cp:lastPrinted>
  <dcterms:created xsi:type="dcterms:W3CDTF">2025-10-31T14:16:00Z</dcterms:created>
  <dcterms:modified xsi:type="dcterms:W3CDTF">2025-10-31T22:51:00Z</dcterms:modified>
</cp:coreProperties>
</file>