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26A45" w14:textId="6303BC93" w:rsidR="000B4427" w:rsidRDefault="000B4427" w:rsidP="007F2E0A">
      <w:pPr>
        <w:spacing w:after="0" w:line="360" w:lineRule="auto"/>
        <w:ind w:firstLine="284"/>
        <w:jc w:val="right"/>
        <w:rPr>
          <w:rFonts w:ascii="Arial" w:hAnsi="Arial" w:cs="Arial"/>
          <w:b/>
          <w:bCs/>
          <w:sz w:val="36"/>
          <w:szCs w:val="36"/>
        </w:rPr>
      </w:pPr>
      <w:r w:rsidRPr="000B4427">
        <w:rPr>
          <w:rFonts w:ascii="Arial" w:hAnsi="Arial" w:cs="Arial"/>
          <w:b/>
          <w:bCs/>
          <w:sz w:val="36"/>
          <w:szCs w:val="36"/>
        </w:rPr>
        <w:t>Original Research Article</w:t>
      </w:r>
    </w:p>
    <w:p w14:paraId="251DAF66" w14:textId="74D3CA4A" w:rsidR="000B4427" w:rsidRPr="00C46ECA" w:rsidRDefault="00C46ECA" w:rsidP="00C46ECA">
      <w:pPr>
        <w:spacing w:after="0" w:line="360" w:lineRule="auto"/>
        <w:ind w:firstLine="284"/>
        <w:jc w:val="right"/>
        <w:rPr>
          <w:rFonts w:ascii="Arial" w:hAnsi="Arial" w:cs="Arial"/>
          <w:b/>
          <w:bCs/>
          <w:sz w:val="36"/>
          <w:szCs w:val="36"/>
        </w:rPr>
      </w:pPr>
      <w:r>
        <w:rPr>
          <w:rFonts w:ascii="Arial" w:hAnsi="Arial" w:cs="Arial"/>
          <w:b/>
          <w:bCs/>
          <w:sz w:val="36"/>
          <w:szCs w:val="36"/>
        </w:rPr>
        <w:t>Assessing Preschool Teachers’ Knowledge of Gender Education: A Medium-Based Comparison in Assamese and English Schools in Assam</w:t>
      </w:r>
    </w:p>
    <w:p w14:paraId="0FD4B638" w14:textId="77777777" w:rsidR="006A4ADB" w:rsidRPr="007F2E0A" w:rsidRDefault="006A4ADB" w:rsidP="007F2E0A">
      <w:pPr>
        <w:spacing w:line="360" w:lineRule="auto"/>
        <w:jc w:val="right"/>
        <w:rPr>
          <w:rFonts w:ascii="Arial" w:hAnsi="Arial" w:cs="Arial"/>
          <w:i/>
          <w:iCs/>
          <w:sz w:val="20"/>
          <w:szCs w:val="20"/>
        </w:rPr>
      </w:pPr>
    </w:p>
    <w:p w14:paraId="60DA716C" w14:textId="3CB64DAC" w:rsidR="00205E1E" w:rsidRDefault="00205E1E" w:rsidP="003D38B5">
      <w:pPr>
        <w:spacing w:after="0" w:line="360" w:lineRule="auto"/>
        <w:jc w:val="both"/>
        <w:rPr>
          <w:rFonts w:ascii="Arial" w:hAnsi="Arial" w:cs="Arial"/>
          <w:b/>
          <w:bCs/>
          <w:color w:val="000000" w:themeColor="text1"/>
        </w:rPr>
      </w:pPr>
      <w:r w:rsidRPr="00205E1E">
        <w:rPr>
          <w:rFonts w:ascii="Arial" w:hAnsi="Arial" w:cs="Arial"/>
          <w:b/>
          <w:bCs/>
          <w:color w:val="000000" w:themeColor="text1"/>
        </w:rPr>
        <w:t>ABSTRACT</w:t>
      </w:r>
    </w:p>
    <w:p w14:paraId="7EB52A59" w14:textId="395369AF" w:rsidR="00205E1E" w:rsidRDefault="00205E1E" w:rsidP="003D38B5">
      <w:pPr>
        <w:spacing w:after="0" w:line="360" w:lineRule="auto"/>
        <w:jc w:val="both"/>
        <w:rPr>
          <w:rFonts w:ascii="Arial" w:hAnsi="Arial" w:cs="Arial"/>
          <w:color w:val="000000" w:themeColor="text1"/>
          <w:sz w:val="20"/>
          <w:szCs w:val="20"/>
        </w:rPr>
      </w:pPr>
      <w:r>
        <w:rPr>
          <w:rFonts w:ascii="Arial" w:hAnsi="Arial" w:cs="Arial"/>
          <w:b/>
          <w:bCs/>
          <w:color w:val="000000" w:themeColor="text1"/>
          <w:sz w:val="20"/>
          <w:szCs w:val="20"/>
        </w:rPr>
        <w:t xml:space="preserve">Aim: </w:t>
      </w:r>
      <w:r w:rsidR="00240C48">
        <w:rPr>
          <w:rFonts w:ascii="Arial" w:hAnsi="Arial" w:cs="Arial"/>
          <w:color w:val="000000" w:themeColor="text1"/>
          <w:sz w:val="20"/>
          <w:szCs w:val="20"/>
        </w:rPr>
        <w:t>The present study</w:t>
      </w:r>
      <w:r>
        <w:rPr>
          <w:rFonts w:ascii="Arial" w:hAnsi="Arial" w:cs="Arial"/>
          <w:color w:val="000000" w:themeColor="text1"/>
          <w:sz w:val="20"/>
          <w:szCs w:val="20"/>
        </w:rPr>
        <w:t xml:space="preserve"> </w:t>
      </w:r>
      <w:r w:rsidR="00240C48">
        <w:rPr>
          <w:rFonts w:ascii="Arial" w:hAnsi="Arial" w:cs="Arial"/>
          <w:color w:val="000000" w:themeColor="text1"/>
          <w:sz w:val="20"/>
          <w:szCs w:val="20"/>
        </w:rPr>
        <w:t>assesses</w:t>
      </w:r>
      <w:r>
        <w:rPr>
          <w:rFonts w:ascii="Arial" w:hAnsi="Arial" w:cs="Arial"/>
          <w:color w:val="000000" w:themeColor="text1"/>
          <w:sz w:val="20"/>
          <w:szCs w:val="20"/>
        </w:rPr>
        <w:t xml:space="preserve"> the </w:t>
      </w:r>
      <w:bookmarkStart w:id="0" w:name="_Hlk212106591"/>
      <w:r>
        <w:rPr>
          <w:rFonts w:ascii="Arial" w:hAnsi="Arial" w:cs="Arial"/>
          <w:color w:val="000000" w:themeColor="text1"/>
          <w:sz w:val="20"/>
          <w:szCs w:val="20"/>
        </w:rPr>
        <w:t xml:space="preserve">knowledge of Assamese and English preschool teachers </w:t>
      </w:r>
      <w:bookmarkEnd w:id="0"/>
      <w:r>
        <w:rPr>
          <w:rFonts w:ascii="Arial" w:hAnsi="Arial" w:cs="Arial"/>
          <w:color w:val="000000" w:themeColor="text1"/>
          <w:sz w:val="20"/>
          <w:szCs w:val="20"/>
        </w:rPr>
        <w:t>on gender education</w:t>
      </w:r>
      <w:r w:rsidR="001800AB">
        <w:rPr>
          <w:rFonts w:ascii="Arial" w:hAnsi="Arial" w:cs="Arial"/>
          <w:color w:val="000000" w:themeColor="text1"/>
          <w:sz w:val="20"/>
          <w:szCs w:val="20"/>
        </w:rPr>
        <w:t>.</w:t>
      </w:r>
      <w:bookmarkStart w:id="1" w:name="_GoBack"/>
      <w:bookmarkEnd w:id="1"/>
    </w:p>
    <w:p w14:paraId="28B03667" w14:textId="260C7EB7" w:rsidR="001800AB" w:rsidRDefault="001800AB" w:rsidP="003D38B5">
      <w:pPr>
        <w:spacing w:after="0" w:line="360" w:lineRule="auto"/>
        <w:jc w:val="both"/>
        <w:rPr>
          <w:rFonts w:ascii="Arial" w:hAnsi="Arial" w:cs="Arial"/>
          <w:color w:val="000000" w:themeColor="text1"/>
          <w:sz w:val="20"/>
          <w:szCs w:val="20"/>
        </w:rPr>
      </w:pPr>
      <w:r>
        <w:rPr>
          <w:rFonts w:ascii="Arial" w:hAnsi="Arial" w:cs="Arial"/>
          <w:b/>
          <w:bCs/>
          <w:color w:val="000000" w:themeColor="text1"/>
          <w:sz w:val="20"/>
          <w:szCs w:val="20"/>
        </w:rPr>
        <w:t xml:space="preserve">Study design: </w:t>
      </w:r>
      <w:r>
        <w:rPr>
          <w:rFonts w:ascii="Arial" w:hAnsi="Arial" w:cs="Arial"/>
          <w:color w:val="000000" w:themeColor="text1"/>
          <w:sz w:val="20"/>
          <w:szCs w:val="20"/>
        </w:rPr>
        <w:t>Exploratory research design</w:t>
      </w:r>
    </w:p>
    <w:p w14:paraId="0C24AC49" w14:textId="4EF34A6F" w:rsidR="001800AB" w:rsidRDefault="001800AB" w:rsidP="003D38B5">
      <w:pPr>
        <w:spacing w:after="0" w:line="360" w:lineRule="auto"/>
        <w:jc w:val="both"/>
        <w:rPr>
          <w:rFonts w:ascii="Arial" w:hAnsi="Arial" w:cs="Arial"/>
          <w:color w:val="000000" w:themeColor="text1"/>
          <w:sz w:val="20"/>
          <w:szCs w:val="20"/>
        </w:rPr>
      </w:pPr>
      <w:r>
        <w:rPr>
          <w:rFonts w:ascii="Arial" w:hAnsi="Arial" w:cs="Arial"/>
          <w:b/>
          <w:bCs/>
          <w:color w:val="000000" w:themeColor="text1"/>
          <w:sz w:val="20"/>
          <w:szCs w:val="20"/>
        </w:rPr>
        <w:t xml:space="preserve">Place and Duration of Study: </w:t>
      </w:r>
      <w:r w:rsidR="009D6ABD">
        <w:rPr>
          <w:rFonts w:ascii="Arial" w:hAnsi="Arial" w:cs="Arial"/>
          <w:color w:val="000000" w:themeColor="text1"/>
          <w:sz w:val="20"/>
          <w:szCs w:val="20"/>
        </w:rPr>
        <w:t>Conducted among preschool teachers from Assamese and English medium private schools in Jorhat, Assam, during the academic year 2023-2024.</w:t>
      </w:r>
    </w:p>
    <w:p w14:paraId="2468537C" w14:textId="74FE5336" w:rsidR="009D6ABD" w:rsidRDefault="009D6ABD" w:rsidP="003D38B5">
      <w:pPr>
        <w:spacing w:after="0" w:line="360" w:lineRule="auto"/>
        <w:jc w:val="both"/>
        <w:rPr>
          <w:rFonts w:ascii="Arial" w:hAnsi="Arial" w:cs="Arial"/>
          <w:color w:val="000000" w:themeColor="text1"/>
          <w:sz w:val="20"/>
          <w:szCs w:val="20"/>
        </w:rPr>
      </w:pPr>
      <w:r>
        <w:rPr>
          <w:rFonts w:ascii="Arial" w:hAnsi="Arial" w:cs="Arial"/>
          <w:b/>
          <w:bCs/>
          <w:color w:val="000000" w:themeColor="text1"/>
          <w:sz w:val="20"/>
          <w:szCs w:val="20"/>
        </w:rPr>
        <w:t xml:space="preserve">Methodology: </w:t>
      </w:r>
      <w:r w:rsidRPr="009D6ABD">
        <w:rPr>
          <w:rFonts w:ascii="Arial" w:hAnsi="Arial" w:cs="Arial"/>
          <w:color w:val="000000" w:themeColor="text1"/>
          <w:sz w:val="20"/>
          <w:szCs w:val="20"/>
        </w:rPr>
        <w:t>The study included</w:t>
      </w:r>
      <w:r>
        <w:rPr>
          <w:rFonts w:ascii="Arial" w:hAnsi="Arial" w:cs="Arial"/>
          <w:color w:val="000000" w:themeColor="text1"/>
          <w:sz w:val="20"/>
          <w:szCs w:val="20"/>
        </w:rPr>
        <w:t xml:space="preserve"> 100 preschool teachers</w:t>
      </w:r>
      <w:r w:rsidR="00C46ECA">
        <w:rPr>
          <w:rFonts w:ascii="Arial" w:hAnsi="Arial" w:cs="Arial"/>
          <w:color w:val="000000" w:themeColor="text1"/>
          <w:sz w:val="20"/>
          <w:szCs w:val="20"/>
        </w:rPr>
        <w:t xml:space="preserve"> with 50 teachers from both Assamese and English medium schools,</w:t>
      </w:r>
      <w:r>
        <w:rPr>
          <w:rFonts w:ascii="Arial" w:hAnsi="Arial" w:cs="Arial"/>
          <w:color w:val="000000" w:themeColor="text1"/>
          <w:sz w:val="20"/>
          <w:szCs w:val="20"/>
        </w:rPr>
        <w:t xml:space="preserve"> and a self-developed scale, “Knowledge of Preschool Teachers on Gender Education” was administered</w:t>
      </w:r>
      <w:r w:rsidR="00C46ECA">
        <w:rPr>
          <w:rFonts w:ascii="Arial" w:hAnsi="Arial" w:cs="Arial"/>
          <w:color w:val="000000" w:themeColor="text1"/>
          <w:sz w:val="20"/>
          <w:szCs w:val="20"/>
        </w:rPr>
        <w:t xml:space="preserve"> with various sub-dimensions assessing the knowledge regarding gender education</w:t>
      </w:r>
      <w:r>
        <w:rPr>
          <w:rFonts w:ascii="Arial" w:hAnsi="Arial" w:cs="Arial"/>
          <w:color w:val="000000" w:themeColor="text1"/>
          <w:sz w:val="20"/>
          <w:szCs w:val="20"/>
        </w:rPr>
        <w:t>. Data were analyzed using descriptive statistics to determine the mean, standard deviation, and levels of knowledge.</w:t>
      </w:r>
    </w:p>
    <w:p w14:paraId="3656722C" w14:textId="3297EA7A" w:rsidR="009D6ABD" w:rsidRDefault="009D6ABD" w:rsidP="003D38B5">
      <w:pPr>
        <w:spacing w:after="0" w:line="360" w:lineRule="auto"/>
        <w:jc w:val="both"/>
        <w:rPr>
          <w:rFonts w:ascii="Arial" w:hAnsi="Arial" w:cs="Arial"/>
          <w:color w:val="000000" w:themeColor="text1"/>
        </w:rPr>
      </w:pPr>
      <w:r>
        <w:rPr>
          <w:rFonts w:ascii="Arial" w:hAnsi="Arial" w:cs="Arial"/>
          <w:b/>
          <w:bCs/>
          <w:color w:val="000000" w:themeColor="text1"/>
          <w:sz w:val="20"/>
          <w:szCs w:val="20"/>
        </w:rPr>
        <w:t xml:space="preserve">Results: </w:t>
      </w:r>
      <w:r w:rsidRPr="009D6ABD">
        <w:rPr>
          <w:rFonts w:ascii="Arial" w:hAnsi="Arial" w:cs="Arial"/>
          <w:color w:val="000000" w:themeColor="text1"/>
        </w:rPr>
        <w:t xml:space="preserve">Both </w:t>
      </w:r>
      <w:r>
        <w:rPr>
          <w:rFonts w:ascii="Arial" w:hAnsi="Arial" w:cs="Arial"/>
          <w:color w:val="000000" w:themeColor="text1"/>
        </w:rPr>
        <w:t>Assamese</w:t>
      </w:r>
      <w:r w:rsidR="00C46ECA">
        <w:rPr>
          <w:rFonts w:ascii="Arial" w:hAnsi="Arial" w:cs="Arial"/>
          <w:color w:val="000000" w:themeColor="text1"/>
        </w:rPr>
        <w:t xml:space="preserve"> (Mean = 64.32)</w:t>
      </w:r>
      <w:r>
        <w:rPr>
          <w:rFonts w:ascii="Arial" w:hAnsi="Arial" w:cs="Arial"/>
          <w:color w:val="000000" w:themeColor="text1"/>
        </w:rPr>
        <w:t xml:space="preserve"> and English</w:t>
      </w:r>
      <w:r w:rsidR="00C46ECA">
        <w:rPr>
          <w:rFonts w:ascii="Arial" w:hAnsi="Arial" w:cs="Arial"/>
          <w:color w:val="000000" w:themeColor="text1"/>
        </w:rPr>
        <w:t xml:space="preserve"> (Mean = 63.7)</w:t>
      </w:r>
      <w:r w:rsidRPr="009D6ABD">
        <w:rPr>
          <w:rFonts w:ascii="Arial" w:hAnsi="Arial" w:cs="Arial"/>
          <w:color w:val="000000" w:themeColor="text1"/>
        </w:rPr>
        <w:t xml:space="preserve"> preschool teachers demonstrate</w:t>
      </w:r>
      <w:r w:rsidR="00CE4D3B">
        <w:rPr>
          <w:rFonts w:ascii="Arial" w:hAnsi="Arial" w:cs="Arial"/>
          <w:color w:val="000000" w:themeColor="text1"/>
        </w:rPr>
        <w:t xml:space="preserve">d a </w:t>
      </w:r>
      <w:r w:rsidR="00C46ECA">
        <w:rPr>
          <w:rFonts w:ascii="Arial" w:hAnsi="Arial" w:cs="Arial"/>
          <w:color w:val="000000" w:themeColor="text1"/>
        </w:rPr>
        <w:t>good</w:t>
      </w:r>
      <w:r w:rsidR="00CE4D3B">
        <w:rPr>
          <w:rFonts w:ascii="Arial" w:hAnsi="Arial" w:cs="Arial"/>
          <w:color w:val="000000" w:themeColor="text1"/>
        </w:rPr>
        <w:t xml:space="preserve"> knowledge regarding gender education, with no major difference between the groups. However, they demonstrate different</w:t>
      </w:r>
      <w:r w:rsidRPr="009D6ABD">
        <w:rPr>
          <w:rFonts w:ascii="Arial" w:hAnsi="Arial" w:cs="Arial"/>
          <w:color w:val="000000" w:themeColor="text1"/>
        </w:rPr>
        <w:t xml:space="preserve"> </w:t>
      </w:r>
      <w:r w:rsidR="001B58A4">
        <w:rPr>
          <w:rFonts w:ascii="Arial" w:hAnsi="Arial" w:cs="Arial"/>
          <w:color w:val="000000" w:themeColor="text1"/>
        </w:rPr>
        <w:t>understandings</w:t>
      </w:r>
      <w:r w:rsidR="00CE4D3B">
        <w:rPr>
          <w:rFonts w:ascii="Arial" w:hAnsi="Arial" w:cs="Arial"/>
          <w:color w:val="000000" w:themeColor="text1"/>
        </w:rPr>
        <w:t xml:space="preserve"> in the sub-dimensions regarding gender.</w:t>
      </w:r>
    </w:p>
    <w:p w14:paraId="4CE537A7" w14:textId="77777777" w:rsidR="00CE4D3B" w:rsidRDefault="00CE4D3B" w:rsidP="003D38B5">
      <w:pPr>
        <w:spacing w:after="0" w:line="360" w:lineRule="auto"/>
        <w:jc w:val="both"/>
        <w:rPr>
          <w:rFonts w:ascii="Arial" w:hAnsi="Arial" w:cs="Arial"/>
          <w:b/>
          <w:bCs/>
          <w:color w:val="000000" w:themeColor="text1"/>
          <w:sz w:val="20"/>
          <w:szCs w:val="20"/>
        </w:rPr>
      </w:pPr>
      <w:r>
        <w:rPr>
          <w:rFonts w:ascii="Arial" w:hAnsi="Arial" w:cs="Arial"/>
          <w:b/>
          <w:bCs/>
          <w:color w:val="000000" w:themeColor="text1"/>
        </w:rPr>
        <w:t xml:space="preserve">Conclusion: </w:t>
      </w:r>
      <w:r w:rsidRPr="00CE4D3B">
        <w:rPr>
          <w:rFonts w:ascii="Arial" w:hAnsi="Arial" w:cs="Arial"/>
          <w:color w:val="000000" w:themeColor="text1"/>
        </w:rPr>
        <w:t>The study highlights the need for professional training to enhance teachers’ confidence in imparting gender education. This study underscores the importance of foundational gender education in shaping individual identities as well as accelerating gender equity and inclusive human capital development by strengthening gender education in preschool curricula to foster equitable learning experiences for young children.</w:t>
      </w:r>
      <w:r w:rsidRPr="00CE4D3B">
        <w:rPr>
          <w:rFonts w:ascii="Arial" w:hAnsi="Arial" w:cs="Arial"/>
          <w:b/>
          <w:bCs/>
          <w:color w:val="000000" w:themeColor="text1"/>
        </w:rPr>
        <w:t xml:space="preserve"> </w:t>
      </w:r>
    </w:p>
    <w:p w14:paraId="581F8554" w14:textId="554B82C9" w:rsidR="00C37F4C" w:rsidRPr="00CE4D3B" w:rsidRDefault="00244535" w:rsidP="003D38B5">
      <w:pPr>
        <w:spacing w:after="0" w:line="360" w:lineRule="auto"/>
        <w:jc w:val="both"/>
        <w:rPr>
          <w:rFonts w:ascii="Arial" w:hAnsi="Arial" w:cs="Arial"/>
          <w:b/>
          <w:bCs/>
          <w:color w:val="000000" w:themeColor="text1"/>
          <w:sz w:val="20"/>
          <w:szCs w:val="20"/>
        </w:rPr>
      </w:pPr>
      <w:r w:rsidRPr="007F2E0A">
        <w:rPr>
          <w:rFonts w:ascii="Arial" w:hAnsi="Arial" w:cs="Arial"/>
          <w:i/>
          <w:iCs/>
          <w:sz w:val="20"/>
          <w:szCs w:val="20"/>
        </w:rPr>
        <w:t>Keywords: Early childhood, medium of instruction, teacher training, gender-inclusive learning, pedagogy</w:t>
      </w:r>
    </w:p>
    <w:p w14:paraId="1B4CF4F1" w14:textId="77F6320C" w:rsidR="00AE2636" w:rsidRPr="007F2E0A" w:rsidRDefault="007F2E0A" w:rsidP="007F2E0A">
      <w:pPr>
        <w:pStyle w:val="ListParagraph"/>
        <w:numPr>
          <w:ilvl w:val="0"/>
          <w:numId w:val="2"/>
        </w:numPr>
        <w:spacing w:after="0" w:line="360" w:lineRule="auto"/>
        <w:jc w:val="both"/>
        <w:rPr>
          <w:rFonts w:ascii="Arial" w:hAnsi="Arial" w:cs="Arial"/>
        </w:rPr>
      </w:pPr>
      <w:r w:rsidRPr="007F2E0A">
        <w:rPr>
          <w:rFonts w:ascii="Arial" w:hAnsi="Arial" w:cs="Arial"/>
          <w:b/>
          <w:bCs/>
        </w:rPr>
        <w:t>INTRODUCTION</w:t>
      </w:r>
    </w:p>
    <w:p w14:paraId="725D73E6" w14:textId="186C1731" w:rsidR="00AE2636" w:rsidRPr="007F2E0A" w:rsidRDefault="00AE2636" w:rsidP="00473811">
      <w:pPr>
        <w:spacing w:after="0" w:line="360" w:lineRule="auto"/>
        <w:jc w:val="both"/>
        <w:rPr>
          <w:rFonts w:ascii="Arial" w:hAnsi="Arial" w:cs="Arial"/>
          <w:sz w:val="20"/>
          <w:szCs w:val="20"/>
        </w:rPr>
      </w:pPr>
      <w:r w:rsidRPr="007F2E0A">
        <w:rPr>
          <w:rFonts w:ascii="Arial" w:hAnsi="Arial" w:cs="Arial"/>
          <w:sz w:val="20"/>
          <w:szCs w:val="20"/>
        </w:rPr>
        <w:t xml:space="preserve">Gender encompasses the social, psychological, cultural, and behavioral traits associated with being male, female, or identifying as another gender. Understanding gender and related roles is deemed necessary for children’s development, as it contributes to promoting gender equality and the creation of an inclusive community. Gender roles are the social norms that define how an individual should act based on their gender, often categorized into masculine and feminine roles. These roles often reinforce rigid stereotypes that shape societal expectations. The early childhood years of a child’s life are pivotal for his or her cognitive, emotional, and social development. More than 85% of total brain development occurs before the age six, which presents the important role of giving the brain proper care and </w:t>
      </w:r>
      <w:r w:rsidRPr="007F2E0A">
        <w:rPr>
          <w:rFonts w:ascii="Arial" w:hAnsi="Arial" w:cs="Arial"/>
          <w:sz w:val="20"/>
          <w:szCs w:val="20"/>
        </w:rPr>
        <w:lastRenderedPageBreak/>
        <w:t xml:space="preserve">stimulation during formative years to facilitate normal brain development and growth (MHRD, 2020). This underscores the importance of providing a nurturing and stimulating environment during these formative years to support holistic growth and development of the child. Jean Piaget’s theory of cognitive development describes the preschool years as the pre-operational stage, characterized by egocentric thinking and a limited ability to manipulate and combine ideas logically. During this stage, children absorb information from their surroundings without considering between right and wrong. This underscores how the preschool environment can impact children’s understanding of gender roles. Despite efforts to incorporate gender sensitivity in preschool education, research by Muasya and Kazungu (2018) indicates that stereotypes continue to shape children’s roles, influenced by prevailing notions of masculinity and femininity. </w:t>
      </w:r>
    </w:p>
    <w:p w14:paraId="06344129" w14:textId="73FD5CF5" w:rsidR="00AE2636" w:rsidRPr="007F2E0A" w:rsidRDefault="00AE2636" w:rsidP="003D38B5">
      <w:pPr>
        <w:spacing w:after="0" w:line="360" w:lineRule="auto"/>
        <w:ind w:firstLine="284"/>
        <w:jc w:val="both"/>
        <w:rPr>
          <w:rFonts w:ascii="Arial" w:hAnsi="Arial" w:cs="Arial"/>
          <w:sz w:val="20"/>
          <w:szCs w:val="20"/>
        </w:rPr>
      </w:pPr>
      <w:r w:rsidRPr="007F2E0A">
        <w:rPr>
          <w:rFonts w:ascii="Arial" w:hAnsi="Arial" w:cs="Arial"/>
          <w:sz w:val="20"/>
          <w:szCs w:val="20"/>
        </w:rPr>
        <w:t xml:space="preserve">India is a country rich in a tapestry of diverse cultures and having their own cultural norms related to gender. These cultural beliefs present in the nation contribute to the significant gender disparities across various sectors, including education, employment, and wage gaps, despite the existence of legal frameworks advocating for gender equality. Historically, women in </w:t>
      </w:r>
      <w:r w:rsidR="00070297" w:rsidRPr="007F2E0A">
        <w:rPr>
          <w:rFonts w:ascii="Arial" w:hAnsi="Arial" w:cs="Arial"/>
          <w:sz w:val="20"/>
          <w:szCs w:val="20"/>
        </w:rPr>
        <w:t xml:space="preserve">the </w:t>
      </w:r>
      <w:r w:rsidRPr="007F2E0A">
        <w:rPr>
          <w:rFonts w:ascii="Arial" w:hAnsi="Arial" w:cs="Arial"/>
          <w:sz w:val="20"/>
          <w:szCs w:val="20"/>
        </w:rPr>
        <w:t xml:space="preserve">Northeastern part of India have enjoyed a relatively higher status compared to their counterparts in other regions, for </w:t>
      </w:r>
      <w:r w:rsidR="00070297" w:rsidRPr="007F2E0A">
        <w:rPr>
          <w:rFonts w:ascii="Arial" w:hAnsi="Arial" w:cs="Arial"/>
          <w:sz w:val="20"/>
          <w:szCs w:val="20"/>
        </w:rPr>
        <w:t>instance</w:t>
      </w:r>
      <w:r w:rsidRPr="007F2E0A">
        <w:rPr>
          <w:rFonts w:ascii="Arial" w:hAnsi="Arial" w:cs="Arial"/>
          <w:sz w:val="20"/>
          <w:szCs w:val="20"/>
        </w:rPr>
        <w:t xml:space="preserve">, the unique gender dynamics of </w:t>
      </w:r>
      <w:r w:rsidR="00070297" w:rsidRPr="007F2E0A">
        <w:rPr>
          <w:rFonts w:ascii="Arial" w:hAnsi="Arial" w:cs="Arial"/>
          <w:sz w:val="20"/>
          <w:szCs w:val="20"/>
        </w:rPr>
        <w:t xml:space="preserve">the </w:t>
      </w:r>
      <w:r w:rsidRPr="007F2E0A">
        <w:rPr>
          <w:rFonts w:ascii="Arial" w:hAnsi="Arial" w:cs="Arial"/>
          <w:sz w:val="20"/>
          <w:szCs w:val="20"/>
        </w:rPr>
        <w:t xml:space="preserve">matrilineal communities of Khasis in Meghalaya. Although the challenges remained, as patriarchal structures still exert their influence over many aspects of life, particularly in social and professional scenarios where gender biases continue to impact career opportunities (Choudhary and Kumar, 2022). Persistence of gendered professional settings, including farm activities as a male-dominated profession and household chores as females, may later lead to the continuation of these roles by children. Addressing these issues requires instilling foundational knowledge in children to shape their attitudes toward gender roles in professional settings. Research suggests that educators’ understanding of gender education significantly impacts its application in early childhood settings. Effective implementation of gender education can provide children with essential knowledge to protect themselves from adverse influences in their surroundings (Islamiyah and Suparno, 2019). A lack of structured gender education during early childhood contributes to the persistence of harmful stereotypes, which manifest in various forms, including gender-based violence, discrimination, and social inequality. Gender inequality and stereotyping remain persuasive issues among societies, deeply rooted within cultural norms, beliefs, and socialization processes (Bian </w:t>
      </w:r>
      <w:r w:rsidRPr="007F2E0A">
        <w:rPr>
          <w:rFonts w:ascii="Arial" w:hAnsi="Arial" w:cs="Arial"/>
          <w:i/>
          <w:iCs/>
          <w:sz w:val="20"/>
          <w:szCs w:val="20"/>
        </w:rPr>
        <w:t xml:space="preserve">et al., </w:t>
      </w:r>
      <w:r w:rsidRPr="007F2E0A">
        <w:rPr>
          <w:rFonts w:ascii="Arial" w:hAnsi="Arial" w:cs="Arial"/>
          <w:sz w:val="20"/>
          <w:szCs w:val="20"/>
        </w:rPr>
        <w:t xml:space="preserve">2017; Nosek </w:t>
      </w:r>
      <w:r w:rsidRPr="007F2E0A">
        <w:rPr>
          <w:rFonts w:ascii="Arial" w:hAnsi="Arial" w:cs="Arial"/>
          <w:i/>
          <w:iCs/>
          <w:sz w:val="20"/>
          <w:szCs w:val="20"/>
        </w:rPr>
        <w:t xml:space="preserve">et al., </w:t>
      </w:r>
      <w:r w:rsidRPr="007F2E0A">
        <w:rPr>
          <w:rFonts w:ascii="Arial" w:hAnsi="Arial" w:cs="Arial"/>
          <w:sz w:val="20"/>
          <w:szCs w:val="20"/>
        </w:rPr>
        <w:t xml:space="preserve">2009). Without proper interventions, these stereotypes may be deeply embedded in children’s identities, shaping their interactions, aspirations, and self-esteem. There is a growing awareness regarding gender-sensitive education, although practical challenges such as a lack of training, insufficient resources, and deeply ingrained cultural beliefs continue to obstruct progress. Addressing these gaps requires the implementation of gender-sensitive curricula, revision of teaching materials, and increased efforts to foster inclusivity in educational settings. The inclusion of diverse narratives, the representation of both male and female role models in learning materials, and the avoidance of gender-biased language are crucial steps toward gender-sensitive pedagogy. This could help the preschool teachers to cultivate an environment where children feel free to explore interests and abilities beyond societal and cultural expectations. Teachers’ perceptions, knowledge, and biases can profoundly impact their pedagogical practices, curriculum delivery, and interactions with children (Kollmayer </w:t>
      </w:r>
      <w:r w:rsidRPr="007F2E0A">
        <w:rPr>
          <w:rFonts w:ascii="Arial" w:hAnsi="Arial" w:cs="Arial"/>
          <w:i/>
          <w:iCs/>
          <w:sz w:val="20"/>
          <w:szCs w:val="20"/>
        </w:rPr>
        <w:t>et al.,</w:t>
      </w:r>
      <w:r w:rsidRPr="007F2E0A">
        <w:rPr>
          <w:rFonts w:ascii="Arial" w:hAnsi="Arial" w:cs="Arial"/>
          <w:sz w:val="20"/>
          <w:szCs w:val="20"/>
        </w:rPr>
        <w:t xml:space="preserve"> 2018). These </w:t>
      </w:r>
      <w:r w:rsidRPr="007F2E0A">
        <w:rPr>
          <w:rFonts w:ascii="Arial" w:hAnsi="Arial" w:cs="Arial"/>
          <w:sz w:val="20"/>
          <w:szCs w:val="20"/>
        </w:rPr>
        <w:lastRenderedPageBreak/>
        <w:t xml:space="preserve">findings highlight the necessity of challenging existing stereotypes and adopting a more inclusive perspective on gender education, further affecting the knowledge regarding it. Gender stereotypes can undermine female students’ self-confidence, influencing their academic choices and career aspirations (Jin, 2023). Additionally, some educators may unknowingly perpetuate gender inequalities by holding different expectations for students based on their gender, which can affect academic performance, and self-esteem, while contributing to the continuation of gender discrimination (Berekashvili, 2012; Yang, 2024). To address this issue, implementing gender-neutral education from the earliest stages of childhood is essential for dismantling gender biases and stereotypes. The language, behavior, and resources provided by preschool teachers and adults play a crucial role in shaping children’s perceptions of gender. Addressing these aspects through educational and social programs is an important step toward fostering positive and inclusive perceptions of gender roles (Wenyao, 2023). </w:t>
      </w:r>
    </w:p>
    <w:p w14:paraId="1DB46616" w14:textId="2C491302" w:rsidR="00AE2636" w:rsidRPr="007F2E0A" w:rsidRDefault="00AE2636" w:rsidP="003D38B5">
      <w:pPr>
        <w:spacing w:after="0" w:line="360" w:lineRule="auto"/>
        <w:ind w:firstLine="284"/>
        <w:jc w:val="both"/>
        <w:rPr>
          <w:rFonts w:ascii="Arial" w:hAnsi="Arial" w:cs="Arial"/>
          <w:sz w:val="20"/>
          <w:szCs w:val="20"/>
        </w:rPr>
      </w:pPr>
      <w:r w:rsidRPr="007F2E0A">
        <w:rPr>
          <w:rFonts w:ascii="Arial" w:hAnsi="Arial" w:cs="Arial"/>
          <w:sz w:val="20"/>
          <w:szCs w:val="20"/>
        </w:rPr>
        <w:t xml:space="preserve">The National Education Policy 2020 of India </w:t>
      </w:r>
      <w:r w:rsidR="00070297" w:rsidRPr="007F2E0A">
        <w:rPr>
          <w:rFonts w:ascii="Arial" w:hAnsi="Arial" w:cs="Arial"/>
          <w:sz w:val="20"/>
          <w:szCs w:val="20"/>
        </w:rPr>
        <w:t>emphasizes</w:t>
      </w:r>
      <w:r w:rsidRPr="007F2E0A">
        <w:rPr>
          <w:rFonts w:ascii="Arial" w:hAnsi="Arial" w:cs="Arial"/>
          <w:sz w:val="20"/>
          <w:szCs w:val="20"/>
        </w:rPr>
        <w:t xml:space="preserve"> strong early childhood care and education with the pedagogical structure 5+3+3+4.</w:t>
      </w:r>
      <w:r w:rsidR="007F2E0A">
        <w:rPr>
          <w:rFonts w:ascii="Arial" w:hAnsi="Arial" w:cs="Arial"/>
          <w:sz w:val="20"/>
          <w:szCs w:val="20"/>
        </w:rPr>
        <w:t xml:space="preserve"> </w:t>
      </w:r>
      <w:r w:rsidRPr="007F2E0A">
        <w:rPr>
          <w:rFonts w:ascii="Arial" w:hAnsi="Arial" w:cs="Arial"/>
          <w:sz w:val="20"/>
          <w:szCs w:val="20"/>
        </w:rPr>
        <w:t xml:space="preserve">The policy seeks the advancement of improved general growth, learning, and </w:t>
      </w:r>
      <w:r w:rsidR="00070297" w:rsidRPr="007F2E0A">
        <w:rPr>
          <w:rFonts w:ascii="Arial" w:hAnsi="Arial" w:cs="Arial"/>
          <w:sz w:val="20"/>
          <w:szCs w:val="20"/>
        </w:rPr>
        <w:t>well-being</w:t>
      </w:r>
      <w:r w:rsidRPr="007F2E0A">
        <w:rPr>
          <w:rFonts w:ascii="Arial" w:hAnsi="Arial" w:cs="Arial"/>
          <w:sz w:val="20"/>
          <w:szCs w:val="20"/>
        </w:rPr>
        <w:t xml:space="preserve"> of the foundational stage of children, which extends from 3 to 8 years. All children should attend pre-primary/ preschool/ Anganwadi until grade 2 (MHRD, 2020). In addition, the NEP 2020 highlights that educational settings should foster gender awareness and equity. Thus, there is a need to free oneself of gender stereotypes</w:t>
      </w:r>
      <w:r w:rsidR="00070297" w:rsidRPr="007F2E0A">
        <w:rPr>
          <w:rFonts w:ascii="Arial" w:hAnsi="Arial" w:cs="Arial"/>
          <w:sz w:val="20"/>
          <w:szCs w:val="20"/>
        </w:rPr>
        <w:t>,</w:t>
      </w:r>
      <w:r w:rsidRPr="007F2E0A">
        <w:rPr>
          <w:rFonts w:ascii="Arial" w:hAnsi="Arial" w:cs="Arial"/>
          <w:sz w:val="20"/>
          <w:szCs w:val="20"/>
        </w:rPr>
        <w:t xml:space="preserve"> </w:t>
      </w:r>
      <w:r w:rsidR="00070297" w:rsidRPr="007F2E0A">
        <w:rPr>
          <w:rFonts w:ascii="Arial" w:hAnsi="Arial" w:cs="Arial"/>
          <w:sz w:val="20"/>
          <w:szCs w:val="20"/>
        </w:rPr>
        <w:t>especially</w:t>
      </w:r>
      <w:r w:rsidRPr="007F2E0A">
        <w:rPr>
          <w:rFonts w:ascii="Arial" w:hAnsi="Arial" w:cs="Arial"/>
          <w:sz w:val="20"/>
          <w:szCs w:val="20"/>
        </w:rPr>
        <w:t xml:space="preserve"> those who belong to schools and educational institutions</w:t>
      </w:r>
      <w:r w:rsidR="00070297" w:rsidRPr="007F2E0A">
        <w:rPr>
          <w:rFonts w:ascii="Arial" w:hAnsi="Arial" w:cs="Arial"/>
          <w:sz w:val="20"/>
          <w:szCs w:val="20"/>
        </w:rPr>
        <w:t>,</w:t>
      </w:r>
      <w:r w:rsidRPr="007F2E0A">
        <w:rPr>
          <w:rFonts w:ascii="Arial" w:hAnsi="Arial" w:cs="Arial"/>
          <w:sz w:val="20"/>
          <w:szCs w:val="20"/>
        </w:rPr>
        <w:t xml:space="preserve"> so that they can implement complete gender education.</w:t>
      </w:r>
      <w:r w:rsidR="00070297" w:rsidRPr="007F2E0A">
        <w:rPr>
          <w:rFonts w:ascii="Arial" w:hAnsi="Arial" w:cs="Arial"/>
          <w:sz w:val="20"/>
          <w:szCs w:val="20"/>
        </w:rPr>
        <w:t xml:space="preserve"> Early and inclusive education supports lifelong learning and lays the groundwork for gender-equitable societies (UNESCO, 2016). The World Bank’s Human Capital Project, 2020 also highlights the economic imperative of gender equity in foundational education, framing it as essential for cultivating a productive and inclusive labor force.</w:t>
      </w:r>
      <w:r w:rsidRPr="007F2E0A">
        <w:rPr>
          <w:rFonts w:ascii="Arial" w:hAnsi="Arial" w:cs="Arial"/>
          <w:sz w:val="20"/>
          <w:szCs w:val="20"/>
        </w:rPr>
        <w:t xml:space="preserve"> Further, the Sustainable Development Goals (SDG) 4 and 5 viz., quality education and gender equality, respectively, are interlinked in a way that gender equality cannot be achieved without equal access to quality education. These goals focus on providing access to inclusive and equitable quality education for everyone. The focus should be made at the early childhood level on gender equality in education</w:t>
      </w:r>
      <w:r w:rsidR="00070297" w:rsidRPr="007F2E0A">
        <w:rPr>
          <w:rFonts w:ascii="Arial" w:hAnsi="Arial" w:cs="Arial"/>
          <w:sz w:val="20"/>
          <w:szCs w:val="20"/>
        </w:rPr>
        <w:t>,</w:t>
      </w:r>
      <w:r w:rsidRPr="007F2E0A">
        <w:rPr>
          <w:rFonts w:ascii="Arial" w:hAnsi="Arial" w:cs="Arial"/>
          <w:sz w:val="20"/>
          <w:szCs w:val="20"/>
        </w:rPr>
        <w:t xml:space="preserve"> eliminating disparities between females and males, and providing access to quality education at all levels. In developing countries such as India, gender-related issues, including cases of rape and domestic violence, remain widespread. This is partly due to the existence of persistent gender stereotypes embedded within various levels of our societal framework, as well as a limited understanding of gender issues stemming from insufficient educational resources. Despite the growing emphasis on gender-sensitive pedagogy, preschool teachers in Assam demonstrate inconsistencies in their application of gender-inclusive training. Existing studies highlight the significance of early education in shaping gender knowledge; however, little research has examined the specific knowledge levels of Assamese and English medium preschool teachers regarding gender education. This study aims to address this gap by assessing their understanding and identifying areas requiring intervention to foster equitable educational practices and to impart the right type of gender education to the children for a just society.</w:t>
      </w:r>
    </w:p>
    <w:p w14:paraId="2DBBD9B6" w14:textId="4798497C" w:rsidR="009F40E0" w:rsidRPr="007F2E0A" w:rsidRDefault="007F2E0A" w:rsidP="007F2E0A">
      <w:pPr>
        <w:pStyle w:val="ListParagraph"/>
        <w:numPr>
          <w:ilvl w:val="0"/>
          <w:numId w:val="2"/>
        </w:numPr>
        <w:spacing w:after="0" w:line="360" w:lineRule="auto"/>
        <w:jc w:val="both"/>
        <w:rPr>
          <w:rFonts w:ascii="Arial" w:hAnsi="Arial" w:cs="Arial"/>
          <w:b/>
          <w:bCs/>
        </w:rPr>
      </w:pPr>
      <w:r w:rsidRPr="007F2E0A">
        <w:rPr>
          <w:rFonts w:ascii="Arial" w:hAnsi="Arial" w:cs="Arial"/>
          <w:b/>
          <w:bCs/>
        </w:rPr>
        <w:t>METHODOLOGY</w:t>
      </w:r>
    </w:p>
    <w:p w14:paraId="1A9BEA52" w14:textId="1152BB82" w:rsidR="009F40E0" w:rsidRPr="007F2E0A" w:rsidRDefault="009F40E0" w:rsidP="00473811">
      <w:pPr>
        <w:spacing w:after="0" w:line="360" w:lineRule="auto"/>
        <w:jc w:val="both"/>
        <w:rPr>
          <w:rFonts w:ascii="Arial" w:hAnsi="Arial" w:cs="Arial"/>
          <w:sz w:val="20"/>
          <w:szCs w:val="20"/>
        </w:rPr>
      </w:pPr>
      <w:r w:rsidRPr="007F2E0A">
        <w:rPr>
          <w:rFonts w:ascii="Arial" w:hAnsi="Arial" w:cs="Arial"/>
          <w:sz w:val="20"/>
          <w:szCs w:val="20"/>
        </w:rPr>
        <w:t xml:space="preserve">This study adopted an exploratory research model to explore the knowledge of Assamese and English medium preschool teachers on gender education. It involved participants of 100 preschool teachers </w:t>
      </w:r>
      <w:r w:rsidRPr="007F2E0A">
        <w:rPr>
          <w:rFonts w:ascii="Arial" w:hAnsi="Arial" w:cs="Arial"/>
          <w:sz w:val="20"/>
          <w:szCs w:val="20"/>
        </w:rPr>
        <w:lastRenderedPageBreak/>
        <w:t>from Assamese and English medium private schools in the Jorhat educational block of Jorhat district, Assam, India, during the academic year 2023-2024. Using a mixed multi-stage sampling method and complete enumeration, 50 teachers were selected from each medium of instruction. Prior to the research, a pilot study was conducted to ensure the availability of the participants and to check the reliability of the data collection tool.</w:t>
      </w:r>
    </w:p>
    <w:p w14:paraId="6A78FF0A" w14:textId="0192F388" w:rsidR="009F40E0" w:rsidRPr="007F2E0A" w:rsidRDefault="007F2E0A" w:rsidP="003D38B5">
      <w:pPr>
        <w:spacing w:after="0" w:line="360" w:lineRule="auto"/>
        <w:jc w:val="both"/>
        <w:rPr>
          <w:rFonts w:ascii="Arial" w:hAnsi="Arial" w:cs="Arial"/>
        </w:rPr>
      </w:pPr>
      <w:r w:rsidRPr="007F2E0A">
        <w:rPr>
          <w:rFonts w:ascii="Arial" w:hAnsi="Arial" w:cs="Arial"/>
          <w:b/>
          <w:bCs/>
        </w:rPr>
        <w:t xml:space="preserve">2.1 </w:t>
      </w:r>
      <w:r w:rsidR="009F40E0" w:rsidRPr="007F2E0A">
        <w:rPr>
          <w:rFonts w:ascii="Arial" w:hAnsi="Arial" w:cs="Arial"/>
          <w:b/>
          <w:bCs/>
        </w:rPr>
        <w:t>Data collection tools</w:t>
      </w:r>
    </w:p>
    <w:p w14:paraId="3EDD05C3" w14:textId="7D96A74C" w:rsidR="009F40E0" w:rsidRPr="007F2E0A" w:rsidRDefault="009F40E0" w:rsidP="00473811">
      <w:pPr>
        <w:spacing w:after="0" w:line="360" w:lineRule="auto"/>
        <w:jc w:val="both"/>
        <w:rPr>
          <w:rFonts w:ascii="Arial" w:hAnsi="Arial" w:cs="Arial"/>
          <w:sz w:val="20"/>
          <w:szCs w:val="20"/>
        </w:rPr>
      </w:pPr>
      <w:r w:rsidRPr="007F2E0A">
        <w:rPr>
          <w:rFonts w:ascii="Arial" w:hAnsi="Arial" w:cs="Arial"/>
          <w:sz w:val="20"/>
          <w:szCs w:val="20"/>
        </w:rPr>
        <w:t xml:space="preserve">The data collection process was conducted utilizing a self-developed instrument titled "Knowledge of Preschool Teachers on Gender Education." This instrument is in three-point Likert-type scale, encompassing a total of 25 knowledge items. The scale is in bilingual format viz., English and Assamese. This scale presents both positive and negative statements. The scores in this scale are assigned as: “agree” 3 points, “undecided” 2 points, and “disagree” 1 point. For negative items, the scores are altered. The scale consists of five sub-dimensions: the “Gender Concept” sub-dimension includes 6 items, the “Gender-Specific Stereotypes” sub-dimension contains 5 items, the “Curriculum and Pedagogy” sub-dimension comprises 8 items, the “Gender-Neutral Language” sub-dimension consists of 3 items, and the “Institutional Policies and Practices” sub-dimension includes 3 items. The </w:t>
      </w:r>
      <w:r w:rsidR="00884F7E">
        <w:rPr>
          <w:rFonts w:ascii="Arial" w:hAnsi="Arial" w:cs="Arial"/>
          <w:sz w:val="20"/>
          <w:szCs w:val="20"/>
        </w:rPr>
        <w:t xml:space="preserve">content validity was evaluated by experts and the </w:t>
      </w:r>
      <w:r w:rsidRPr="007F2E0A">
        <w:rPr>
          <w:rFonts w:ascii="Arial" w:hAnsi="Arial" w:cs="Arial"/>
          <w:sz w:val="20"/>
          <w:szCs w:val="20"/>
        </w:rPr>
        <w:t xml:space="preserve">reliability of </w:t>
      </w:r>
      <w:r w:rsidR="00884F7E">
        <w:rPr>
          <w:rFonts w:ascii="Arial" w:hAnsi="Arial" w:cs="Arial"/>
          <w:sz w:val="20"/>
          <w:szCs w:val="20"/>
        </w:rPr>
        <w:t>the</w:t>
      </w:r>
      <w:r w:rsidRPr="007F2E0A">
        <w:rPr>
          <w:rFonts w:ascii="Arial" w:hAnsi="Arial" w:cs="Arial"/>
          <w:sz w:val="20"/>
          <w:szCs w:val="20"/>
        </w:rPr>
        <w:t xml:space="preserve"> scale, as indicated by Cronbach’s alpha, is 0.701. Higher scores on this instrument reflect a greater level of knowledge among teachers regarding gender education, suggesting the presence of egalitarian views on the subject. Conversely, lower scores indicate a diminished level of knowledge concerning gender education.</w:t>
      </w:r>
    </w:p>
    <w:p w14:paraId="730E6CE1" w14:textId="0F9A37E2" w:rsidR="00045E75" w:rsidRPr="007F2E0A" w:rsidRDefault="007F2E0A" w:rsidP="007F2E0A">
      <w:pPr>
        <w:pStyle w:val="ListParagraph"/>
        <w:numPr>
          <w:ilvl w:val="0"/>
          <w:numId w:val="2"/>
        </w:numPr>
        <w:spacing w:after="0" w:line="360" w:lineRule="auto"/>
        <w:jc w:val="both"/>
        <w:rPr>
          <w:rFonts w:ascii="Arial" w:hAnsi="Arial" w:cs="Arial"/>
          <w:b/>
          <w:bCs/>
        </w:rPr>
      </w:pPr>
      <w:r w:rsidRPr="007F2E0A">
        <w:rPr>
          <w:rFonts w:ascii="Arial" w:hAnsi="Arial" w:cs="Arial"/>
          <w:b/>
          <w:bCs/>
        </w:rPr>
        <w:t>RESULTS AND DISCUSSION</w:t>
      </w:r>
    </w:p>
    <w:p w14:paraId="1F49FD64" w14:textId="6EE1DCBE" w:rsidR="006055CF" w:rsidRPr="007F2E0A" w:rsidRDefault="007F2E0A" w:rsidP="003D38B5">
      <w:pPr>
        <w:spacing w:after="0" w:line="360" w:lineRule="auto"/>
        <w:jc w:val="both"/>
        <w:rPr>
          <w:rFonts w:ascii="Arial" w:hAnsi="Arial" w:cs="Arial"/>
          <w:b/>
          <w:bCs/>
        </w:rPr>
      </w:pPr>
      <w:r w:rsidRPr="007F2E0A">
        <w:rPr>
          <w:rFonts w:ascii="Arial" w:hAnsi="Arial" w:cs="Arial"/>
          <w:b/>
          <w:bCs/>
        </w:rPr>
        <w:t xml:space="preserve">3.1 </w:t>
      </w:r>
      <w:r w:rsidR="006055CF" w:rsidRPr="007F2E0A">
        <w:rPr>
          <w:rFonts w:ascii="Arial" w:hAnsi="Arial" w:cs="Arial"/>
          <w:b/>
          <w:bCs/>
        </w:rPr>
        <w:t xml:space="preserve">Knowledge of Assamese and English </w:t>
      </w:r>
      <w:r w:rsidR="002F2203" w:rsidRPr="007F2E0A">
        <w:rPr>
          <w:rFonts w:ascii="Arial" w:hAnsi="Arial" w:cs="Arial"/>
          <w:b/>
          <w:bCs/>
        </w:rPr>
        <w:t>medium preschool teachers</w:t>
      </w:r>
      <w:r w:rsidR="00E703DC" w:rsidRPr="007F2E0A">
        <w:rPr>
          <w:rFonts w:ascii="Arial" w:hAnsi="Arial" w:cs="Arial"/>
          <w:b/>
          <w:bCs/>
        </w:rPr>
        <w:t xml:space="preserve"> regarding gender education</w:t>
      </w:r>
    </w:p>
    <w:p w14:paraId="3BE41A9F" w14:textId="77777777" w:rsidR="00C90948" w:rsidRPr="007F2E0A" w:rsidRDefault="00B44D54" w:rsidP="00473811">
      <w:pPr>
        <w:spacing w:after="0" w:line="360" w:lineRule="auto"/>
        <w:jc w:val="both"/>
        <w:rPr>
          <w:rFonts w:ascii="Arial" w:hAnsi="Arial" w:cs="Arial"/>
          <w:sz w:val="20"/>
          <w:szCs w:val="20"/>
        </w:rPr>
      </w:pPr>
      <w:r w:rsidRPr="007F2E0A">
        <w:rPr>
          <w:rFonts w:ascii="Arial" w:hAnsi="Arial" w:cs="Arial"/>
          <w:sz w:val="20"/>
          <w:szCs w:val="20"/>
        </w:rPr>
        <w:t xml:space="preserve">The analysis of the preschool teachers’ knowledge regarding gender education in both the Assamese and English medium settings exhibits similar views and subtle distinctions across the sub-dimensions (Tables 1 and 2). </w:t>
      </w:r>
      <w:r w:rsidR="00BB2C5D" w:rsidRPr="007F2E0A">
        <w:rPr>
          <w:rFonts w:ascii="Arial" w:hAnsi="Arial" w:cs="Arial"/>
          <w:sz w:val="20"/>
          <w:szCs w:val="20"/>
        </w:rPr>
        <w:t>The findings indicate a strong understanding of gender education among the p</w:t>
      </w:r>
      <w:r w:rsidRPr="007F2E0A">
        <w:rPr>
          <w:rFonts w:ascii="Arial" w:hAnsi="Arial" w:cs="Arial"/>
          <w:sz w:val="20"/>
          <w:szCs w:val="20"/>
        </w:rPr>
        <w:t>reschool teachers from both mediums</w:t>
      </w:r>
      <w:r w:rsidR="00BB2C5D" w:rsidRPr="007F2E0A">
        <w:rPr>
          <w:rFonts w:ascii="Arial" w:hAnsi="Arial" w:cs="Arial"/>
          <w:sz w:val="20"/>
          <w:szCs w:val="20"/>
        </w:rPr>
        <w:t xml:space="preserve"> in the “Curriculum and Pedagogy” sub-dimension, where Assamese medium teachers achieved the highest mean score of 21.18 (SD = 2.71), and English medium teachers scored slightly higher at 22.08 (SD = 1.93),</w:t>
      </w:r>
      <w:r w:rsidRPr="007F2E0A">
        <w:rPr>
          <w:rFonts w:ascii="Arial" w:hAnsi="Arial" w:cs="Arial"/>
          <w:sz w:val="20"/>
          <w:szCs w:val="20"/>
        </w:rPr>
        <w:t xml:space="preserve"> </w:t>
      </w:r>
      <w:r w:rsidR="00BB2C5D" w:rsidRPr="007F2E0A">
        <w:rPr>
          <w:rFonts w:ascii="Arial" w:hAnsi="Arial" w:cs="Arial"/>
          <w:sz w:val="20"/>
          <w:szCs w:val="20"/>
        </w:rPr>
        <w:t xml:space="preserve">demonstrating their ability to integrate gender-sensitive practices into their teaching. This reflects a deliberate effort to integrate gender perspectives into educational frameworks, creating a more inclusive learning environment. Strong knowledge in curriculum and pedagogy aligns with studies emphasizing gender-responsive materials (Pradhan and Dewan, 2024; Li and Yang, 2022). </w:t>
      </w:r>
      <w:r w:rsidR="00CA564A" w:rsidRPr="007F2E0A">
        <w:rPr>
          <w:rFonts w:ascii="Arial" w:hAnsi="Arial" w:cs="Arial"/>
          <w:sz w:val="20"/>
          <w:szCs w:val="20"/>
        </w:rPr>
        <w:t xml:space="preserve">Educators in both mediums of instruction demonstrate a strong understanding of the fundamental concepts related to gender, particularly in the </w:t>
      </w:r>
      <w:r w:rsidR="00BF0C67" w:rsidRPr="007F2E0A">
        <w:rPr>
          <w:rFonts w:ascii="Arial" w:hAnsi="Arial" w:cs="Arial"/>
          <w:sz w:val="20"/>
          <w:szCs w:val="20"/>
        </w:rPr>
        <w:t>sub-dimensions</w:t>
      </w:r>
      <w:r w:rsidR="00CA564A" w:rsidRPr="007F2E0A">
        <w:rPr>
          <w:rFonts w:ascii="Arial" w:hAnsi="Arial" w:cs="Arial"/>
          <w:sz w:val="20"/>
          <w:szCs w:val="20"/>
        </w:rPr>
        <w:t xml:space="preserve"> of “Gender concept”</w:t>
      </w:r>
      <w:r w:rsidR="00BF0C67" w:rsidRPr="007F2E0A">
        <w:rPr>
          <w:rFonts w:ascii="Arial" w:hAnsi="Arial" w:cs="Arial"/>
          <w:sz w:val="20"/>
          <w:szCs w:val="20"/>
        </w:rPr>
        <w:t xml:space="preserve"> (Assamese-medium: mean = 15.9, SD = 2.13; English-medium: mean = 15.78, SD = 2.12)</w:t>
      </w:r>
      <w:r w:rsidR="00CA564A" w:rsidRPr="007F2E0A">
        <w:rPr>
          <w:rFonts w:ascii="Arial" w:hAnsi="Arial" w:cs="Arial"/>
          <w:sz w:val="20"/>
          <w:szCs w:val="20"/>
        </w:rPr>
        <w:t xml:space="preserve"> and “Gender-specific stereotypes”</w:t>
      </w:r>
      <w:r w:rsidR="00BF0C67" w:rsidRPr="007F2E0A">
        <w:rPr>
          <w:rFonts w:ascii="Arial" w:hAnsi="Arial" w:cs="Arial"/>
          <w:sz w:val="20"/>
          <w:szCs w:val="20"/>
        </w:rPr>
        <w:t xml:space="preserve"> (Assamese-medium: mean = 13.58, SD = 1.49; English-medium: mean = 13.52, SD = 1.40). This indicates their ability to recognize how gender norms shape early childhood experiences for children. </w:t>
      </w:r>
    </w:p>
    <w:p w14:paraId="449F23E4" w14:textId="77777777" w:rsidR="00093BD7" w:rsidRPr="007F2E0A" w:rsidRDefault="00093BD7" w:rsidP="00093BD7">
      <w:pPr>
        <w:spacing w:after="0" w:line="360" w:lineRule="auto"/>
        <w:jc w:val="both"/>
        <w:rPr>
          <w:rFonts w:ascii="Arial" w:hAnsi="Arial" w:cs="Arial"/>
          <w:b/>
          <w:bCs/>
          <w:sz w:val="20"/>
          <w:szCs w:val="20"/>
        </w:rPr>
      </w:pPr>
      <w:r w:rsidRPr="007F2E0A">
        <w:rPr>
          <w:rFonts w:ascii="Arial" w:hAnsi="Arial" w:cs="Arial"/>
          <w:b/>
          <w:bCs/>
          <w:sz w:val="20"/>
          <w:szCs w:val="20"/>
        </w:rPr>
        <w:t>Table 1. Distribution of respondents of Assamese medium preschools according to their knowledge on gender education</w:t>
      </w:r>
    </w:p>
    <w:tbl>
      <w:tblPr>
        <w:tblStyle w:val="TableGrid"/>
        <w:tblW w:w="9067" w:type="dxa"/>
        <w:tblLook w:val="04A0" w:firstRow="1" w:lastRow="0" w:firstColumn="1" w:lastColumn="0" w:noHBand="0" w:noVBand="1"/>
      </w:tblPr>
      <w:tblGrid>
        <w:gridCol w:w="2595"/>
        <w:gridCol w:w="1474"/>
        <w:gridCol w:w="1230"/>
        <w:gridCol w:w="1217"/>
        <w:gridCol w:w="1134"/>
        <w:gridCol w:w="1417"/>
      </w:tblGrid>
      <w:tr w:rsidR="00093BD7" w:rsidRPr="007F2E0A" w14:paraId="0C0EB119" w14:textId="77777777" w:rsidTr="005D6AB7">
        <w:tc>
          <w:tcPr>
            <w:tcW w:w="2595" w:type="dxa"/>
            <w:vMerge w:val="restart"/>
            <w:vAlign w:val="center"/>
          </w:tcPr>
          <w:p w14:paraId="2830B0F4"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Dimensions</w:t>
            </w:r>
          </w:p>
        </w:tc>
        <w:tc>
          <w:tcPr>
            <w:tcW w:w="6472" w:type="dxa"/>
            <w:gridSpan w:val="5"/>
            <w:vAlign w:val="center"/>
          </w:tcPr>
          <w:p w14:paraId="6F015349"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Number of respondents of Assamese medium preschools</w:t>
            </w:r>
          </w:p>
          <w:p w14:paraId="20E4FEC6"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lastRenderedPageBreak/>
              <w:t>(n=50)</w:t>
            </w:r>
          </w:p>
        </w:tc>
      </w:tr>
      <w:tr w:rsidR="00093BD7" w:rsidRPr="007F2E0A" w14:paraId="75BC36F0" w14:textId="77777777" w:rsidTr="005D6AB7">
        <w:tc>
          <w:tcPr>
            <w:tcW w:w="2595" w:type="dxa"/>
            <w:vMerge/>
            <w:vAlign w:val="center"/>
          </w:tcPr>
          <w:p w14:paraId="2AACC448" w14:textId="77777777" w:rsidR="00093BD7" w:rsidRPr="007F2E0A" w:rsidRDefault="00093BD7" w:rsidP="00093BD7">
            <w:pPr>
              <w:spacing w:line="360" w:lineRule="auto"/>
              <w:jc w:val="both"/>
              <w:rPr>
                <w:rFonts w:ascii="Arial" w:hAnsi="Arial" w:cs="Arial"/>
                <w:b/>
                <w:bCs/>
                <w:sz w:val="20"/>
                <w:szCs w:val="20"/>
              </w:rPr>
            </w:pPr>
          </w:p>
        </w:tc>
        <w:tc>
          <w:tcPr>
            <w:tcW w:w="1474" w:type="dxa"/>
            <w:vAlign w:val="center"/>
          </w:tcPr>
          <w:p w14:paraId="40F2BA79"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No. of items</w:t>
            </w:r>
          </w:p>
        </w:tc>
        <w:tc>
          <w:tcPr>
            <w:tcW w:w="1230" w:type="dxa"/>
            <w:vAlign w:val="center"/>
          </w:tcPr>
          <w:p w14:paraId="3AE89643"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Total score</w:t>
            </w:r>
          </w:p>
        </w:tc>
        <w:tc>
          <w:tcPr>
            <w:tcW w:w="1217" w:type="dxa"/>
            <w:vAlign w:val="center"/>
          </w:tcPr>
          <w:p w14:paraId="07D96E2C"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Neutral score</w:t>
            </w:r>
          </w:p>
        </w:tc>
        <w:tc>
          <w:tcPr>
            <w:tcW w:w="1134" w:type="dxa"/>
            <w:vAlign w:val="center"/>
          </w:tcPr>
          <w:p w14:paraId="3B643BB1"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Mean</w:t>
            </w:r>
          </w:p>
        </w:tc>
        <w:tc>
          <w:tcPr>
            <w:tcW w:w="1417" w:type="dxa"/>
            <w:vAlign w:val="center"/>
          </w:tcPr>
          <w:p w14:paraId="0F52C780"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Standard deviation</w:t>
            </w:r>
          </w:p>
        </w:tc>
      </w:tr>
      <w:tr w:rsidR="00093BD7" w:rsidRPr="007F2E0A" w14:paraId="6964BDFF" w14:textId="77777777" w:rsidTr="005D6AB7">
        <w:tc>
          <w:tcPr>
            <w:tcW w:w="2595" w:type="dxa"/>
            <w:vAlign w:val="center"/>
          </w:tcPr>
          <w:p w14:paraId="5094934B"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 concept</w:t>
            </w:r>
          </w:p>
        </w:tc>
        <w:tc>
          <w:tcPr>
            <w:tcW w:w="1474" w:type="dxa"/>
            <w:vAlign w:val="center"/>
          </w:tcPr>
          <w:p w14:paraId="6EE372B2"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6</w:t>
            </w:r>
          </w:p>
        </w:tc>
        <w:tc>
          <w:tcPr>
            <w:tcW w:w="1230" w:type="dxa"/>
            <w:vAlign w:val="center"/>
          </w:tcPr>
          <w:p w14:paraId="26B3F753"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18</w:t>
            </w:r>
          </w:p>
        </w:tc>
        <w:tc>
          <w:tcPr>
            <w:tcW w:w="1217" w:type="dxa"/>
            <w:vAlign w:val="center"/>
          </w:tcPr>
          <w:p w14:paraId="6123EAEA"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1</w:t>
            </w:r>
            <w:r w:rsidRPr="007F2E0A">
              <w:rPr>
                <w:rFonts w:ascii="Arial" w:hAnsi="Arial" w:cs="Arial"/>
                <w:sz w:val="20"/>
                <w:szCs w:val="20"/>
              </w:rPr>
              <w:t>2</w:t>
            </w:r>
          </w:p>
        </w:tc>
        <w:tc>
          <w:tcPr>
            <w:tcW w:w="1134" w:type="dxa"/>
            <w:vAlign w:val="center"/>
          </w:tcPr>
          <w:p w14:paraId="39F802F4"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15.9</w:t>
            </w:r>
          </w:p>
        </w:tc>
        <w:tc>
          <w:tcPr>
            <w:tcW w:w="1417" w:type="dxa"/>
            <w:vAlign w:val="center"/>
          </w:tcPr>
          <w:p w14:paraId="7A960C59"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2.131</w:t>
            </w:r>
          </w:p>
        </w:tc>
      </w:tr>
      <w:tr w:rsidR="00093BD7" w:rsidRPr="007F2E0A" w14:paraId="242972E2" w14:textId="77777777" w:rsidTr="005D6AB7">
        <w:tc>
          <w:tcPr>
            <w:tcW w:w="2595" w:type="dxa"/>
            <w:vAlign w:val="center"/>
          </w:tcPr>
          <w:p w14:paraId="58D9CFA7"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Gender-specific stereotypes</w:t>
            </w:r>
          </w:p>
        </w:tc>
        <w:tc>
          <w:tcPr>
            <w:tcW w:w="1474" w:type="dxa"/>
            <w:vAlign w:val="center"/>
          </w:tcPr>
          <w:p w14:paraId="370028B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5</w:t>
            </w:r>
          </w:p>
        </w:tc>
        <w:tc>
          <w:tcPr>
            <w:tcW w:w="1230" w:type="dxa"/>
            <w:vAlign w:val="center"/>
          </w:tcPr>
          <w:p w14:paraId="1C26AF4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15</w:t>
            </w:r>
          </w:p>
        </w:tc>
        <w:tc>
          <w:tcPr>
            <w:tcW w:w="1217" w:type="dxa"/>
            <w:vAlign w:val="center"/>
          </w:tcPr>
          <w:p w14:paraId="131FE701"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1</w:t>
            </w:r>
            <w:r w:rsidRPr="007F2E0A">
              <w:rPr>
                <w:rFonts w:ascii="Arial" w:hAnsi="Arial" w:cs="Arial"/>
                <w:sz w:val="20"/>
                <w:szCs w:val="20"/>
              </w:rPr>
              <w:t>0</w:t>
            </w:r>
          </w:p>
        </w:tc>
        <w:tc>
          <w:tcPr>
            <w:tcW w:w="1134" w:type="dxa"/>
            <w:vAlign w:val="center"/>
          </w:tcPr>
          <w:p w14:paraId="49EDD68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13.58</w:t>
            </w:r>
          </w:p>
        </w:tc>
        <w:tc>
          <w:tcPr>
            <w:tcW w:w="1417" w:type="dxa"/>
            <w:vAlign w:val="center"/>
          </w:tcPr>
          <w:p w14:paraId="444B9F42"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1.499</w:t>
            </w:r>
          </w:p>
        </w:tc>
      </w:tr>
      <w:tr w:rsidR="00093BD7" w:rsidRPr="007F2E0A" w14:paraId="7ECD3A41" w14:textId="77777777" w:rsidTr="005D6AB7">
        <w:tc>
          <w:tcPr>
            <w:tcW w:w="2595" w:type="dxa"/>
            <w:vAlign w:val="center"/>
          </w:tcPr>
          <w:p w14:paraId="6528FBA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Curriculum and Pedagogy</w:t>
            </w:r>
          </w:p>
        </w:tc>
        <w:tc>
          <w:tcPr>
            <w:tcW w:w="1474" w:type="dxa"/>
            <w:vAlign w:val="center"/>
          </w:tcPr>
          <w:p w14:paraId="704B0E4E"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w:t>
            </w:r>
          </w:p>
        </w:tc>
        <w:tc>
          <w:tcPr>
            <w:tcW w:w="1230" w:type="dxa"/>
            <w:vAlign w:val="center"/>
          </w:tcPr>
          <w:p w14:paraId="0A70C1F9"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24</w:t>
            </w:r>
          </w:p>
        </w:tc>
        <w:tc>
          <w:tcPr>
            <w:tcW w:w="1217" w:type="dxa"/>
            <w:vAlign w:val="center"/>
          </w:tcPr>
          <w:p w14:paraId="22CE15D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16</w:t>
            </w:r>
          </w:p>
        </w:tc>
        <w:tc>
          <w:tcPr>
            <w:tcW w:w="1134" w:type="dxa"/>
            <w:vAlign w:val="center"/>
          </w:tcPr>
          <w:p w14:paraId="5728D5A3"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21.18</w:t>
            </w:r>
          </w:p>
        </w:tc>
        <w:tc>
          <w:tcPr>
            <w:tcW w:w="1417" w:type="dxa"/>
            <w:vAlign w:val="center"/>
          </w:tcPr>
          <w:p w14:paraId="5498A3B5"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2.716</w:t>
            </w:r>
          </w:p>
        </w:tc>
      </w:tr>
      <w:tr w:rsidR="00093BD7" w:rsidRPr="007F2E0A" w14:paraId="4056E1C1" w14:textId="77777777" w:rsidTr="005D6AB7">
        <w:tc>
          <w:tcPr>
            <w:tcW w:w="2595" w:type="dxa"/>
            <w:vAlign w:val="center"/>
          </w:tcPr>
          <w:p w14:paraId="2240D83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Gender-neutral language</w:t>
            </w:r>
          </w:p>
        </w:tc>
        <w:tc>
          <w:tcPr>
            <w:tcW w:w="1474" w:type="dxa"/>
            <w:vAlign w:val="center"/>
          </w:tcPr>
          <w:p w14:paraId="2CB34831"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3</w:t>
            </w:r>
          </w:p>
        </w:tc>
        <w:tc>
          <w:tcPr>
            <w:tcW w:w="1230" w:type="dxa"/>
            <w:vAlign w:val="center"/>
          </w:tcPr>
          <w:p w14:paraId="74E5389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9</w:t>
            </w:r>
          </w:p>
        </w:tc>
        <w:tc>
          <w:tcPr>
            <w:tcW w:w="1217" w:type="dxa"/>
            <w:vAlign w:val="center"/>
          </w:tcPr>
          <w:p w14:paraId="18B91349"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6</w:t>
            </w:r>
          </w:p>
        </w:tc>
        <w:tc>
          <w:tcPr>
            <w:tcW w:w="1134" w:type="dxa"/>
            <w:vAlign w:val="center"/>
          </w:tcPr>
          <w:p w14:paraId="0F2598EF"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8.54</w:t>
            </w:r>
          </w:p>
        </w:tc>
        <w:tc>
          <w:tcPr>
            <w:tcW w:w="1417" w:type="dxa"/>
            <w:vAlign w:val="center"/>
          </w:tcPr>
          <w:p w14:paraId="3068D241"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1.147</w:t>
            </w:r>
          </w:p>
        </w:tc>
      </w:tr>
      <w:tr w:rsidR="00093BD7" w:rsidRPr="007F2E0A" w14:paraId="6AE7EB5A" w14:textId="77777777" w:rsidTr="005D6AB7">
        <w:tc>
          <w:tcPr>
            <w:tcW w:w="2595" w:type="dxa"/>
            <w:vAlign w:val="center"/>
          </w:tcPr>
          <w:p w14:paraId="601F704B"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Institutional policies &amp; practices</w:t>
            </w:r>
          </w:p>
        </w:tc>
        <w:tc>
          <w:tcPr>
            <w:tcW w:w="1474" w:type="dxa"/>
            <w:vAlign w:val="center"/>
          </w:tcPr>
          <w:p w14:paraId="3123DC84"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3</w:t>
            </w:r>
          </w:p>
        </w:tc>
        <w:tc>
          <w:tcPr>
            <w:tcW w:w="1230" w:type="dxa"/>
            <w:vAlign w:val="center"/>
          </w:tcPr>
          <w:p w14:paraId="47CF83A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9</w:t>
            </w:r>
          </w:p>
        </w:tc>
        <w:tc>
          <w:tcPr>
            <w:tcW w:w="1217" w:type="dxa"/>
            <w:vAlign w:val="center"/>
          </w:tcPr>
          <w:p w14:paraId="7EFB67E0" w14:textId="77777777" w:rsidR="00093BD7" w:rsidRPr="007F2E0A" w:rsidRDefault="00093BD7" w:rsidP="00093BD7">
            <w:pPr>
              <w:spacing w:line="360" w:lineRule="auto"/>
              <w:jc w:val="both"/>
              <w:rPr>
                <w:rFonts w:ascii="Arial" w:hAnsi="Arial" w:cs="Arial"/>
                <w:sz w:val="20"/>
                <w:szCs w:val="20"/>
                <w:lang w:val="en-US"/>
              </w:rPr>
            </w:pPr>
            <w:r w:rsidRPr="007F2E0A">
              <w:rPr>
                <w:rFonts w:ascii="Arial" w:hAnsi="Arial" w:cs="Arial"/>
                <w:sz w:val="20"/>
                <w:szCs w:val="20"/>
                <w:lang w:val="en-US"/>
              </w:rPr>
              <w:t>6</w:t>
            </w:r>
          </w:p>
        </w:tc>
        <w:tc>
          <w:tcPr>
            <w:tcW w:w="1134" w:type="dxa"/>
            <w:vAlign w:val="center"/>
          </w:tcPr>
          <w:p w14:paraId="0DCCE90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8.6</w:t>
            </w:r>
          </w:p>
        </w:tc>
        <w:tc>
          <w:tcPr>
            <w:tcW w:w="1417" w:type="dxa"/>
            <w:vAlign w:val="center"/>
          </w:tcPr>
          <w:p w14:paraId="09144D5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0.782</w:t>
            </w:r>
          </w:p>
        </w:tc>
      </w:tr>
    </w:tbl>
    <w:p w14:paraId="3E71B178" w14:textId="77777777" w:rsidR="00C90948" w:rsidRPr="007F2E0A" w:rsidRDefault="00C90948" w:rsidP="00C0665A">
      <w:pPr>
        <w:spacing w:after="0" w:line="360" w:lineRule="auto"/>
        <w:jc w:val="both"/>
        <w:rPr>
          <w:rFonts w:ascii="Arial" w:hAnsi="Arial" w:cs="Arial"/>
          <w:sz w:val="20"/>
          <w:szCs w:val="20"/>
        </w:rPr>
      </w:pPr>
    </w:p>
    <w:p w14:paraId="41DC255D" w14:textId="77777777" w:rsidR="00093BD7" w:rsidRPr="007F2E0A" w:rsidRDefault="00093BD7" w:rsidP="00093BD7">
      <w:pPr>
        <w:spacing w:after="0" w:line="360" w:lineRule="auto"/>
        <w:jc w:val="both"/>
        <w:rPr>
          <w:rFonts w:ascii="Arial" w:hAnsi="Arial" w:cs="Arial"/>
          <w:b/>
          <w:bCs/>
          <w:sz w:val="20"/>
          <w:szCs w:val="20"/>
        </w:rPr>
      </w:pPr>
      <w:r w:rsidRPr="007F2E0A">
        <w:rPr>
          <w:rFonts w:ascii="Arial" w:hAnsi="Arial" w:cs="Arial"/>
          <w:b/>
          <w:bCs/>
          <w:sz w:val="20"/>
          <w:szCs w:val="20"/>
        </w:rPr>
        <w:t>Table 2. Distribution of respondents of English medium preschools according to their knowledge on gender education</w:t>
      </w:r>
    </w:p>
    <w:tbl>
      <w:tblPr>
        <w:tblStyle w:val="TableGrid"/>
        <w:tblW w:w="0" w:type="auto"/>
        <w:tblLook w:val="04A0" w:firstRow="1" w:lastRow="0" w:firstColumn="1" w:lastColumn="0" w:noHBand="0" w:noVBand="1"/>
      </w:tblPr>
      <w:tblGrid>
        <w:gridCol w:w="2830"/>
        <w:gridCol w:w="1560"/>
        <w:gridCol w:w="992"/>
        <w:gridCol w:w="1134"/>
        <w:gridCol w:w="1279"/>
        <w:gridCol w:w="1221"/>
      </w:tblGrid>
      <w:tr w:rsidR="00093BD7" w:rsidRPr="007F2E0A" w14:paraId="1833EC02" w14:textId="77777777" w:rsidTr="005D6AB7">
        <w:tc>
          <w:tcPr>
            <w:tcW w:w="2830" w:type="dxa"/>
            <w:vMerge w:val="restart"/>
            <w:vAlign w:val="center"/>
          </w:tcPr>
          <w:p w14:paraId="35922725"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Dimensions</w:t>
            </w:r>
          </w:p>
        </w:tc>
        <w:tc>
          <w:tcPr>
            <w:tcW w:w="6186" w:type="dxa"/>
            <w:gridSpan w:val="5"/>
            <w:vAlign w:val="center"/>
          </w:tcPr>
          <w:p w14:paraId="42F47F6C"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Number of respondents of English medium preschools</w:t>
            </w:r>
          </w:p>
          <w:p w14:paraId="38C928ED"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(n=50)</w:t>
            </w:r>
          </w:p>
        </w:tc>
      </w:tr>
      <w:tr w:rsidR="00093BD7" w:rsidRPr="007F2E0A" w14:paraId="021CD0DE" w14:textId="77777777" w:rsidTr="005D6AB7">
        <w:trPr>
          <w:trHeight w:val="758"/>
        </w:trPr>
        <w:tc>
          <w:tcPr>
            <w:tcW w:w="2830" w:type="dxa"/>
            <w:vMerge/>
            <w:vAlign w:val="center"/>
          </w:tcPr>
          <w:p w14:paraId="1AF1CF63" w14:textId="77777777" w:rsidR="00093BD7" w:rsidRPr="007F2E0A" w:rsidRDefault="00093BD7" w:rsidP="00093BD7">
            <w:pPr>
              <w:spacing w:line="360" w:lineRule="auto"/>
              <w:jc w:val="both"/>
              <w:rPr>
                <w:rFonts w:ascii="Arial" w:hAnsi="Arial" w:cs="Arial"/>
                <w:b/>
                <w:bCs/>
                <w:sz w:val="20"/>
                <w:szCs w:val="20"/>
              </w:rPr>
            </w:pPr>
          </w:p>
        </w:tc>
        <w:tc>
          <w:tcPr>
            <w:tcW w:w="1560" w:type="dxa"/>
            <w:vAlign w:val="center"/>
          </w:tcPr>
          <w:p w14:paraId="49ADC774"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No. of items</w:t>
            </w:r>
          </w:p>
        </w:tc>
        <w:tc>
          <w:tcPr>
            <w:tcW w:w="992" w:type="dxa"/>
            <w:vAlign w:val="center"/>
          </w:tcPr>
          <w:p w14:paraId="2AC999B7"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Total score</w:t>
            </w:r>
          </w:p>
        </w:tc>
        <w:tc>
          <w:tcPr>
            <w:tcW w:w="1134" w:type="dxa"/>
            <w:vAlign w:val="center"/>
          </w:tcPr>
          <w:p w14:paraId="131ABC87"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Neutral score</w:t>
            </w:r>
          </w:p>
        </w:tc>
        <w:tc>
          <w:tcPr>
            <w:tcW w:w="1279" w:type="dxa"/>
            <w:vAlign w:val="center"/>
          </w:tcPr>
          <w:p w14:paraId="03BF3F9E"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Mean</w:t>
            </w:r>
          </w:p>
        </w:tc>
        <w:tc>
          <w:tcPr>
            <w:tcW w:w="1221" w:type="dxa"/>
            <w:vAlign w:val="center"/>
          </w:tcPr>
          <w:p w14:paraId="5AF84931" w14:textId="7777777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Standard deviation</w:t>
            </w:r>
          </w:p>
        </w:tc>
      </w:tr>
      <w:tr w:rsidR="00093BD7" w:rsidRPr="007F2E0A" w14:paraId="0E44D1E6" w14:textId="77777777" w:rsidTr="005D6AB7">
        <w:tc>
          <w:tcPr>
            <w:tcW w:w="2830" w:type="dxa"/>
            <w:vAlign w:val="center"/>
          </w:tcPr>
          <w:p w14:paraId="268595F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 concept</w:t>
            </w:r>
          </w:p>
        </w:tc>
        <w:tc>
          <w:tcPr>
            <w:tcW w:w="1560" w:type="dxa"/>
            <w:vAlign w:val="center"/>
          </w:tcPr>
          <w:p w14:paraId="6DD7CD5F"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6</w:t>
            </w:r>
          </w:p>
        </w:tc>
        <w:tc>
          <w:tcPr>
            <w:tcW w:w="992" w:type="dxa"/>
            <w:vAlign w:val="center"/>
          </w:tcPr>
          <w:p w14:paraId="0AEEAAC7"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18</w:t>
            </w:r>
          </w:p>
        </w:tc>
        <w:tc>
          <w:tcPr>
            <w:tcW w:w="1134" w:type="dxa"/>
            <w:vAlign w:val="center"/>
          </w:tcPr>
          <w:p w14:paraId="011A521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1</w:t>
            </w:r>
            <w:r w:rsidRPr="007F2E0A">
              <w:rPr>
                <w:rFonts w:ascii="Arial" w:hAnsi="Arial" w:cs="Arial"/>
                <w:sz w:val="20"/>
                <w:szCs w:val="20"/>
              </w:rPr>
              <w:t>2</w:t>
            </w:r>
          </w:p>
        </w:tc>
        <w:tc>
          <w:tcPr>
            <w:tcW w:w="1279" w:type="dxa"/>
            <w:vAlign w:val="center"/>
          </w:tcPr>
          <w:p w14:paraId="69CCD064"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15.78</w:t>
            </w:r>
          </w:p>
        </w:tc>
        <w:tc>
          <w:tcPr>
            <w:tcW w:w="1221" w:type="dxa"/>
            <w:vAlign w:val="center"/>
          </w:tcPr>
          <w:p w14:paraId="71636C76"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2.122</w:t>
            </w:r>
          </w:p>
        </w:tc>
      </w:tr>
      <w:tr w:rsidR="00093BD7" w:rsidRPr="007F2E0A" w14:paraId="2ADE1D0C" w14:textId="77777777" w:rsidTr="005D6AB7">
        <w:tc>
          <w:tcPr>
            <w:tcW w:w="2830" w:type="dxa"/>
            <w:vAlign w:val="center"/>
          </w:tcPr>
          <w:p w14:paraId="01350EBE"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Gender-specific stereotypes</w:t>
            </w:r>
          </w:p>
        </w:tc>
        <w:tc>
          <w:tcPr>
            <w:tcW w:w="1560" w:type="dxa"/>
            <w:vAlign w:val="center"/>
          </w:tcPr>
          <w:p w14:paraId="6B834C9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5</w:t>
            </w:r>
          </w:p>
        </w:tc>
        <w:tc>
          <w:tcPr>
            <w:tcW w:w="992" w:type="dxa"/>
            <w:vAlign w:val="center"/>
          </w:tcPr>
          <w:p w14:paraId="271F08B7"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15</w:t>
            </w:r>
          </w:p>
        </w:tc>
        <w:tc>
          <w:tcPr>
            <w:tcW w:w="1134" w:type="dxa"/>
            <w:vAlign w:val="center"/>
          </w:tcPr>
          <w:p w14:paraId="6C9E263A"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1</w:t>
            </w:r>
            <w:r w:rsidRPr="007F2E0A">
              <w:rPr>
                <w:rFonts w:ascii="Arial" w:hAnsi="Arial" w:cs="Arial"/>
                <w:sz w:val="20"/>
                <w:szCs w:val="20"/>
              </w:rPr>
              <w:t>0</w:t>
            </w:r>
          </w:p>
        </w:tc>
        <w:tc>
          <w:tcPr>
            <w:tcW w:w="1279" w:type="dxa"/>
            <w:vAlign w:val="center"/>
          </w:tcPr>
          <w:p w14:paraId="0A2D5F6F"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13.52</w:t>
            </w:r>
          </w:p>
        </w:tc>
        <w:tc>
          <w:tcPr>
            <w:tcW w:w="1221" w:type="dxa"/>
            <w:vAlign w:val="center"/>
          </w:tcPr>
          <w:p w14:paraId="09B2C93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1.403</w:t>
            </w:r>
          </w:p>
        </w:tc>
      </w:tr>
      <w:tr w:rsidR="00093BD7" w:rsidRPr="007F2E0A" w14:paraId="553C5F67" w14:textId="77777777" w:rsidTr="005D6AB7">
        <w:tc>
          <w:tcPr>
            <w:tcW w:w="2830" w:type="dxa"/>
            <w:vAlign w:val="center"/>
          </w:tcPr>
          <w:p w14:paraId="260D1593"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Curriculum and Pedagogy</w:t>
            </w:r>
          </w:p>
        </w:tc>
        <w:tc>
          <w:tcPr>
            <w:tcW w:w="1560" w:type="dxa"/>
            <w:vAlign w:val="center"/>
          </w:tcPr>
          <w:p w14:paraId="5F01756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w:t>
            </w:r>
          </w:p>
        </w:tc>
        <w:tc>
          <w:tcPr>
            <w:tcW w:w="992" w:type="dxa"/>
            <w:vAlign w:val="center"/>
          </w:tcPr>
          <w:p w14:paraId="5602CC4F"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24</w:t>
            </w:r>
          </w:p>
        </w:tc>
        <w:tc>
          <w:tcPr>
            <w:tcW w:w="1134" w:type="dxa"/>
            <w:vAlign w:val="center"/>
          </w:tcPr>
          <w:p w14:paraId="4464DA40"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16</w:t>
            </w:r>
          </w:p>
        </w:tc>
        <w:tc>
          <w:tcPr>
            <w:tcW w:w="1279" w:type="dxa"/>
            <w:vAlign w:val="center"/>
          </w:tcPr>
          <w:p w14:paraId="6C15A423"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22.08</w:t>
            </w:r>
          </w:p>
        </w:tc>
        <w:tc>
          <w:tcPr>
            <w:tcW w:w="1221" w:type="dxa"/>
            <w:vAlign w:val="center"/>
          </w:tcPr>
          <w:p w14:paraId="1546B93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1.936</w:t>
            </w:r>
          </w:p>
        </w:tc>
      </w:tr>
      <w:tr w:rsidR="00093BD7" w:rsidRPr="007F2E0A" w14:paraId="240D3774" w14:textId="77777777" w:rsidTr="005D6AB7">
        <w:tc>
          <w:tcPr>
            <w:tcW w:w="2830" w:type="dxa"/>
            <w:vAlign w:val="center"/>
          </w:tcPr>
          <w:p w14:paraId="0824C5E4"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Gender-neutral language</w:t>
            </w:r>
          </w:p>
        </w:tc>
        <w:tc>
          <w:tcPr>
            <w:tcW w:w="1560" w:type="dxa"/>
            <w:vAlign w:val="center"/>
          </w:tcPr>
          <w:p w14:paraId="05C87CA5"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3</w:t>
            </w:r>
          </w:p>
        </w:tc>
        <w:tc>
          <w:tcPr>
            <w:tcW w:w="992" w:type="dxa"/>
            <w:vAlign w:val="center"/>
          </w:tcPr>
          <w:p w14:paraId="77627DFC"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9</w:t>
            </w:r>
          </w:p>
        </w:tc>
        <w:tc>
          <w:tcPr>
            <w:tcW w:w="1134" w:type="dxa"/>
            <w:vAlign w:val="center"/>
          </w:tcPr>
          <w:p w14:paraId="188827A8"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6</w:t>
            </w:r>
          </w:p>
        </w:tc>
        <w:tc>
          <w:tcPr>
            <w:tcW w:w="1279" w:type="dxa"/>
            <w:vAlign w:val="center"/>
          </w:tcPr>
          <w:p w14:paraId="3A661C4B"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8.24</w:t>
            </w:r>
          </w:p>
        </w:tc>
        <w:tc>
          <w:tcPr>
            <w:tcW w:w="1221" w:type="dxa"/>
            <w:vAlign w:val="center"/>
          </w:tcPr>
          <w:p w14:paraId="7A582EE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1.222</w:t>
            </w:r>
          </w:p>
        </w:tc>
      </w:tr>
      <w:tr w:rsidR="00093BD7" w:rsidRPr="007F2E0A" w14:paraId="12D1A195" w14:textId="77777777" w:rsidTr="005D6AB7">
        <w:trPr>
          <w:trHeight w:val="422"/>
        </w:trPr>
        <w:tc>
          <w:tcPr>
            <w:tcW w:w="2830" w:type="dxa"/>
            <w:vAlign w:val="center"/>
          </w:tcPr>
          <w:p w14:paraId="2A1532A3"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Institutional policies &amp; practices</w:t>
            </w:r>
          </w:p>
        </w:tc>
        <w:tc>
          <w:tcPr>
            <w:tcW w:w="1560" w:type="dxa"/>
            <w:vAlign w:val="center"/>
          </w:tcPr>
          <w:p w14:paraId="0A44545C"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3</w:t>
            </w:r>
          </w:p>
        </w:tc>
        <w:tc>
          <w:tcPr>
            <w:tcW w:w="992" w:type="dxa"/>
            <w:vAlign w:val="center"/>
          </w:tcPr>
          <w:p w14:paraId="7A650949"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9</w:t>
            </w:r>
          </w:p>
        </w:tc>
        <w:tc>
          <w:tcPr>
            <w:tcW w:w="1134" w:type="dxa"/>
            <w:vAlign w:val="center"/>
          </w:tcPr>
          <w:p w14:paraId="11223ABF"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lang w:val="en-US"/>
              </w:rPr>
              <w:t>6</w:t>
            </w:r>
          </w:p>
        </w:tc>
        <w:tc>
          <w:tcPr>
            <w:tcW w:w="1279" w:type="dxa"/>
            <w:vAlign w:val="center"/>
          </w:tcPr>
          <w:p w14:paraId="6934635D"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8.24</w:t>
            </w:r>
          </w:p>
        </w:tc>
        <w:tc>
          <w:tcPr>
            <w:tcW w:w="1221" w:type="dxa"/>
            <w:vAlign w:val="center"/>
          </w:tcPr>
          <w:p w14:paraId="19D4C68C" w14:textId="77777777" w:rsidR="00093BD7" w:rsidRPr="007F2E0A" w:rsidRDefault="00093BD7" w:rsidP="00093BD7">
            <w:pPr>
              <w:spacing w:line="360" w:lineRule="auto"/>
              <w:jc w:val="both"/>
              <w:rPr>
                <w:rFonts w:ascii="Arial" w:hAnsi="Arial" w:cs="Arial"/>
                <w:sz w:val="20"/>
                <w:szCs w:val="20"/>
              </w:rPr>
            </w:pPr>
            <w:r w:rsidRPr="007F2E0A">
              <w:rPr>
                <w:rFonts w:ascii="Arial" w:hAnsi="Arial" w:cs="Arial"/>
                <w:sz w:val="20"/>
                <w:szCs w:val="20"/>
              </w:rPr>
              <w:t>0.916</w:t>
            </w:r>
          </w:p>
        </w:tc>
      </w:tr>
    </w:tbl>
    <w:p w14:paraId="6B2503ED" w14:textId="38DE2D03" w:rsidR="00C0665A" w:rsidRPr="007F2E0A" w:rsidRDefault="00BF0C67" w:rsidP="00747A87">
      <w:pPr>
        <w:spacing w:after="0" w:line="360" w:lineRule="auto"/>
        <w:ind w:firstLine="426"/>
        <w:jc w:val="both"/>
        <w:rPr>
          <w:rFonts w:ascii="Arial" w:hAnsi="Arial" w:cs="Arial"/>
          <w:sz w:val="20"/>
          <w:szCs w:val="20"/>
        </w:rPr>
      </w:pPr>
      <w:r w:rsidRPr="007F2E0A">
        <w:rPr>
          <w:rFonts w:ascii="Arial" w:hAnsi="Arial" w:cs="Arial"/>
          <w:sz w:val="20"/>
          <w:szCs w:val="20"/>
        </w:rPr>
        <w:t xml:space="preserve">However, notable gaps were identified in the sub-dimension of “Gender-neutral language” and “Institutional Policies and Practices”, where both the group displayed lower knowledge. </w:t>
      </w:r>
      <w:r w:rsidR="00F13AD8" w:rsidRPr="007F2E0A">
        <w:rPr>
          <w:rFonts w:ascii="Arial" w:hAnsi="Arial" w:cs="Arial"/>
          <w:sz w:val="20"/>
          <w:szCs w:val="20"/>
        </w:rPr>
        <w:t xml:space="preserve">For the sub-dimension “Institutional Policies and Practices”, Assamese medium teachers achieved a mean of 8.6 (SD = 0.78), and English medium teachers achieved a mean of 8.24 (SD = 0.91). The lowest mean scores were recorded in the sub-dimension “Gender-neutral language”, with Assamese medium teachers achieved a mean score of 8.54 (SD = 1.14), and English medium teachers scored 8.24 (SD = 1.22). </w:t>
      </w:r>
      <w:r w:rsidR="00FB7BEB" w:rsidRPr="007F2E0A">
        <w:rPr>
          <w:rFonts w:ascii="Arial" w:hAnsi="Arial" w:cs="Arial"/>
          <w:sz w:val="20"/>
          <w:szCs w:val="20"/>
        </w:rPr>
        <w:t xml:space="preserve">This finding suggests that, although there is recognition of broader gender-related issues, a significant gap remains in the implementation of gender-inclusive frameworks that effectively promote gender equity. Lower awareness of gender-neutral language reinforces findings on traditional gendered expressions affecting children’s perceptions (Rubio, 2018; Qiu and Yoke, 2024). The alignment in knowledge among preschool teachers in both Assamese and English mediums reflects a collective commitment to gender education. </w:t>
      </w:r>
      <w:r w:rsidR="00C0665A" w:rsidRPr="007F2E0A">
        <w:rPr>
          <w:rFonts w:ascii="Arial" w:hAnsi="Arial" w:cs="Arial"/>
          <w:sz w:val="20"/>
          <w:szCs w:val="20"/>
        </w:rPr>
        <w:t>However, the comparatively lower comprehension of gender-neutral language underscores an area that requires further professional development. Addressing these deficiencies has the potential to foster a more progressive approach to gender education, enabling educators to challenge traditional norms and cultivate a more equitable learning environment for all students. A thorough analysis of the statements within each sub-dimension offers additional insights and invites a critical discourse that is consistent with contemporary research on gender education.</w:t>
      </w:r>
    </w:p>
    <w:p w14:paraId="06147D42" w14:textId="77777777" w:rsidR="00C0665A" w:rsidRPr="007F2E0A" w:rsidRDefault="00C0665A" w:rsidP="00C0665A">
      <w:pPr>
        <w:spacing w:after="0" w:line="360" w:lineRule="auto"/>
        <w:jc w:val="both"/>
        <w:rPr>
          <w:rFonts w:ascii="Arial" w:hAnsi="Arial" w:cs="Arial"/>
          <w:b/>
          <w:bCs/>
          <w:sz w:val="20"/>
          <w:szCs w:val="20"/>
        </w:rPr>
      </w:pPr>
      <w:r w:rsidRPr="007F2E0A">
        <w:rPr>
          <w:rFonts w:ascii="Arial" w:hAnsi="Arial" w:cs="Arial"/>
          <w:b/>
          <w:bCs/>
          <w:sz w:val="20"/>
          <w:szCs w:val="20"/>
        </w:rPr>
        <w:lastRenderedPageBreak/>
        <w:t>First sub-dimension: a) Gender concept</w:t>
      </w:r>
    </w:p>
    <w:p w14:paraId="5B15FEA7"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STATEMENT 1:</w:t>
      </w:r>
      <w:r w:rsidRPr="007F2E0A">
        <w:rPr>
          <w:rFonts w:ascii="Arial" w:hAnsi="Arial" w:cs="Arial"/>
          <w:sz w:val="20"/>
          <w:szCs w:val="20"/>
        </w:rPr>
        <w:t xml:space="preserve"> I understand that gender is a social construct.</w:t>
      </w:r>
    </w:p>
    <w:p w14:paraId="75D736EA"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preschools (84%) and English medium preschools (72%) agreed with this statement. However, a notable proportion of Assamese medium preschool teachers (22%) and English medium preschool teachers (12%) remain undecided. This suggests that while knowledge of gender as a societal construct is widespread, there is slightly greater ambiguity in understanding about it among the Assamese medium respondents. Another reason may be that the respondents did not receive gender-specific training, therefore, they couldn’t grasp that gender is a social construct.</w:t>
      </w:r>
    </w:p>
    <w:p w14:paraId="5C629E9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STATEMENT 2:</w:t>
      </w:r>
      <w:r w:rsidRPr="007F2E0A">
        <w:rPr>
          <w:rFonts w:ascii="Arial" w:hAnsi="Arial" w:cs="Arial"/>
          <w:sz w:val="20"/>
          <w:szCs w:val="20"/>
        </w:rPr>
        <w:t xml:space="preserve"> I know the importance of including gender education in the early childhood curriculum.</w:t>
      </w:r>
    </w:p>
    <w:p w14:paraId="4E6A591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majority of the respondents of both Assamese medium preschools (84%) and English medium preschools (72%) agreed with this statement. Interestingly, the percentage of disagreement is higher among English medium respondents (14%) than among Assamese medium respondents (10%). This difference could point to variation in exposure to or prioritization of gender education based on the mediums of instruction. Studies suggest that incorporating gender education in the early childhood curriculum fosters individual identity, freedom of choice, and self-realization. It also encourages youngsters to make decisions based on their interests rather than societal expectations, resulting in a sense of joy and confidence (</w:t>
      </w:r>
      <w:proofErr w:type="spellStart"/>
      <w:r w:rsidRPr="007F2E0A">
        <w:rPr>
          <w:rFonts w:ascii="Arial" w:hAnsi="Arial" w:cs="Arial"/>
          <w:sz w:val="20"/>
          <w:szCs w:val="20"/>
        </w:rPr>
        <w:t>Machynska</w:t>
      </w:r>
      <w:proofErr w:type="spellEnd"/>
      <w:r w:rsidRPr="007F2E0A">
        <w:rPr>
          <w:rFonts w:ascii="Arial" w:hAnsi="Arial" w:cs="Arial"/>
          <w:sz w:val="20"/>
          <w:szCs w:val="20"/>
        </w:rPr>
        <w:t>, 2024; Benham, 2024).</w:t>
      </w:r>
    </w:p>
    <w:p w14:paraId="60E8086A"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3: </w:t>
      </w:r>
      <w:r w:rsidRPr="007F2E0A">
        <w:rPr>
          <w:rFonts w:ascii="Arial" w:hAnsi="Arial" w:cs="Arial"/>
          <w:sz w:val="20"/>
          <w:szCs w:val="20"/>
        </w:rPr>
        <w:t>I agree that gender identity refers to an individual's self-perception as either male or female, distinct from their biological sex.</w:t>
      </w:r>
    </w:p>
    <w:p w14:paraId="4097B488"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preschools (60%) and English medium preschools (74%) agreed with this statement. However, Assamese medium preschool teachers (26%) exhibit higher levels of indecision compared to English medium preschool teachers (16%). This may indicate that preschool teachers lack an in-depth understanding of gender identity and biological sex.</w:t>
      </w:r>
    </w:p>
    <w:p w14:paraId="16F5A01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4: </w:t>
      </w:r>
      <w:r w:rsidRPr="007F2E0A">
        <w:rPr>
          <w:rFonts w:ascii="Arial" w:hAnsi="Arial" w:cs="Arial"/>
          <w:sz w:val="20"/>
          <w:szCs w:val="20"/>
        </w:rPr>
        <w:t>I know that gender identity is typically formed by age three.</w:t>
      </w:r>
    </w:p>
    <w:p w14:paraId="680AA422"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results reflect that Assamese medium respondents have a higher agreement rate (62%) than their English medium counterparts (52%) regarding the formation of gender identity by age three among children. However, a notable proportion, 18 percent of Assamese medium respondents and 28 percent of English medium respondents remain undecided.</w:t>
      </w:r>
    </w:p>
    <w:p w14:paraId="7B47A522"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5: </w:t>
      </w:r>
      <w:r w:rsidRPr="007F2E0A">
        <w:rPr>
          <w:rFonts w:ascii="Arial" w:hAnsi="Arial" w:cs="Arial"/>
          <w:sz w:val="20"/>
          <w:szCs w:val="20"/>
        </w:rPr>
        <w:t>Teaching about gender can decrease instances of bullying and discrimination.</w:t>
      </w:r>
    </w:p>
    <w:p w14:paraId="0697021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Most of the respondents of both the Assamese medium preschools (78%) and English medium preschools (66%) agreed that gender education could potentially help reduce bullying and discrimination. However, a noteworthy percentage of English medium respondents disagree (24%) compared to Assamese medium respondents (10%). This could indicate </w:t>
      </w:r>
      <w:proofErr w:type="spellStart"/>
      <w:r w:rsidRPr="007F2E0A">
        <w:rPr>
          <w:rFonts w:ascii="Arial" w:hAnsi="Arial" w:cs="Arial"/>
          <w:sz w:val="20"/>
          <w:szCs w:val="20"/>
        </w:rPr>
        <w:t>skepticism</w:t>
      </w:r>
      <w:proofErr w:type="spellEnd"/>
      <w:r w:rsidRPr="007F2E0A">
        <w:rPr>
          <w:rFonts w:ascii="Arial" w:hAnsi="Arial" w:cs="Arial"/>
          <w:sz w:val="20"/>
          <w:szCs w:val="20"/>
        </w:rPr>
        <w:t xml:space="preserve"> about the efficacy of such interventions, possibly influenced by different social, educational experiences and exposure to diverse mass media. </w:t>
      </w:r>
      <w:proofErr w:type="spellStart"/>
      <w:r w:rsidRPr="007F2E0A">
        <w:rPr>
          <w:rFonts w:ascii="Arial" w:hAnsi="Arial" w:cs="Arial"/>
          <w:sz w:val="20"/>
          <w:szCs w:val="20"/>
        </w:rPr>
        <w:t>Mytakou</w:t>
      </w:r>
      <w:proofErr w:type="spellEnd"/>
      <w:r w:rsidRPr="007F2E0A">
        <w:rPr>
          <w:rFonts w:ascii="Arial" w:hAnsi="Arial" w:cs="Arial"/>
          <w:sz w:val="20"/>
          <w:szCs w:val="20"/>
        </w:rPr>
        <w:t xml:space="preserve"> and Murtagh (2024) emphasize that education about gender promotes understanding and challenges traditional stereotypes, hence reducing bullying and discrimination. Similarly, Theodore and Stoker (2021) found that affirming classroom environments minimize heterosexist and cisgender biases, which are major determinants of bullying.</w:t>
      </w:r>
    </w:p>
    <w:p w14:paraId="6A36EB4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6: </w:t>
      </w:r>
      <w:r w:rsidRPr="007F2E0A">
        <w:rPr>
          <w:rFonts w:ascii="Arial" w:hAnsi="Arial" w:cs="Arial"/>
          <w:sz w:val="20"/>
          <w:szCs w:val="20"/>
        </w:rPr>
        <w:t>I know how to integrate gender education in early childhood curriculum.</w:t>
      </w:r>
    </w:p>
    <w:p w14:paraId="57EC662B"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lastRenderedPageBreak/>
        <w:t>The statement reveals a balanced agreement across both Assamese medium preschool teachers (62%) and English medium preschool teachers (64%). However, the disagreement percentage is higher among Assamese medium respondents (18%) compared to English medium respondents (10%), while English medium respondents show higher indecision (26%). This may reflect differences in curriculum resources or familiarity with pedagogical strategies related to gender education.</w:t>
      </w:r>
    </w:p>
    <w:p w14:paraId="231870FD" w14:textId="77777777" w:rsidR="00C0665A" w:rsidRPr="007F2E0A" w:rsidRDefault="00C0665A" w:rsidP="00C0665A">
      <w:pPr>
        <w:spacing w:after="0" w:line="360" w:lineRule="auto"/>
        <w:jc w:val="both"/>
        <w:rPr>
          <w:rFonts w:ascii="Arial" w:hAnsi="Arial" w:cs="Arial"/>
          <w:b/>
          <w:bCs/>
          <w:sz w:val="20"/>
          <w:szCs w:val="20"/>
        </w:rPr>
      </w:pPr>
      <w:r w:rsidRPr="007F2E0A">
        <w:rPr>
          <w:rFonts w:ascii="Arial" w:hAnsi="Arial" w:cs="Arial"/>
          <w:b/>
          <w:bCs/>
          <w:sz w:val="20"/>
          <w:szCs w:val="20"/>
        </w:rPr>
        <w:t>Second sub-dimension: b) Gender-specific stereotypes</w:t>
      </w:r>
    </w:p>
    <w:p w14:paraId="7BB36CED"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7: </w:t>
      </w:r>
      <w:r w:rsidRPr="007F2E0A">
        <w:rPr>
          <w:rFonts w:ascii="Arial" w:hAnsi="Arial" w:cs="Arial"/>
          <w:sz w:val="20"/>
          <w:szCs w:val="20"/>
        </w:rPr>
        <w:t>Children should be discouraged from exploring activities traditionally associated with the opposite gender.</w:t>
      </w:r>
    </w:p>
    <w:p w14:paraId="2D66CA3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majority of the respondents in both Assamese medium (56%) and English medium (58%) disagree with this statement indicating a general rejection of gender-specific activity restrictions. However, 30 percent of Assamese medium preschool teachers and 24 percent of English medium preschool teachers agreed, suggesting that the respondents may still hold traditional views about gender roles. Another reason might be due to a lack of awareness about how to introduce opposite gender roles and activities safely. Encouraging children to explore diverse activities regardless of gender can foster holistic development and counteract restrictive gender norms.</w:t>
      </w:r>
    </w:p>
    <w:p w14:paraId="5B678AA6"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8: </w:t>
      </w:r>
      <w:r w:rsidRPr="007F2E0A">
        <w:rPr>
          <w:rFonts w:ascii="Arial" w:hAnsi="Arial" w:cs="Arial"/>
          <w:sz w:val="20"/>
          <w:szCs w:val="20"/>
        </w:rPr>
        <w:t>I understand that gender stereotypes and biases in education can impact children's self-esteem, aspirations, and overall growth.</w:t>
      </w:r>
    </w:p>
    <w:p w14:paraId="2E3EDBC5"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have the awareness of the detrimental effects of gender stereotypes in education with 78 percent of Assamese medium and 72 percent of English medium. However, there is slightly higher percentage of undecided percentage among the English medium respondents (20%) compared to Assamese medium respondents (10%) indicating potential differences in exposure and understanding of these issues. Addressing this gap through professional development could further enhance teachers’ awareness of the impact of gender biases on children’s developmental outcomes. Miao (2024) revealed that gender stereotypes and biases in education inhibit children’s enthusiasm, particularly among girls, for academic pursuits and professional development, stifling their overall progress and perpetuating educational inequalities.</w:t>
      </w:r>
    </w:p>
    <w:p w14:paraId="3C81E9C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9: </w:t>
      </w:r>
      <w:r w:rsidRPr="007F2E0A">
        <w:rPr>
          <w:rFonts w:ascii="Arial" w:hAnsi="Arial" w:cs="Arial"/>
          <w:sz w:val="20"/>
          <w:szCs w:val="20"/>
        </w:rPr>
        <w:t>Teaching girls to be independent might lead to disobedience and defiance.</w:t>
      </w:r>
    </w:p>
    <w:p w14:paraId="5EF1A578"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This statement is overwhelmingly disagreed by majority of respondents of both the Assamese medium preschools (92%) and English medium preschools (86%). This highlights an encouraging shift towards recognizing the importance of fostering independence in girls. The small percentage of agreement with 6 percent in both the mediums of instruction reflects lingering traditional attitudes, possibly rooted in cultural or societal norms. Such beliefs could hinder efforts to promote gender equity and empowerment among children.</w:t>
      </w:r>
    </w:p>
    <w:p w14:paraId="7765DF4E"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10: </w:t>
      </w:r>
      <w:r w:rsidRPr="007F2E0A">
        <w:rPr>
          <w:rFonts w:ascii="Arial" w:hAnsi="Arial" w:cs="Arial"/>
          <w:sz w:val="20"/>
          <w:szCs w:val="20"/>
        </w:rPr>
        <w:t>I agree that engaging boys in domestic chores can promote important life skills.</w:t>
      </w:r>
    </w:p>
    <w:p w14:paraId="1A34B710"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The majority of the respondents of both Assamese medium preschools (78%) and English medium preschools (70%) agreed with this statement, indicating a growing recognition of the importance of promoting gender-equitable practices that prepare children for balanced roles in adulthood. However, 14 percent of Assamese medium respondents and 18 percent of English medium respondents disagree with it reflecting resistance to challenging traditional norms. Educational intervention can further reinforce the value of boys’ participation in domestic responsibilities for their overall development. </w:t>
      </w:r>
      <w:r w:rsidRPr="007F2E0A">
        <w:rPr>
          <w:rFonts w:ascii="Arial" w:hAnsi="Arial" w:cs="Arial"/>
          <w:sz w:val="20"/>
          <w:szCs w:val="20"/>
        </w:rPr>
        <w:lastRenderedPageBreak/>
        <w:t>Roberts (2018) found that boys who participate in domestic duties improve their organizational and collaborative abilities, increasing their general competence.</w:t>
      </w:r>
    </w:p>
    <w:p w14:paraId="735FA0E0"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11: </w:t>
      </w:r>
      <w:r w:rsidRPr="007F2E0A">
        <w:rPr>
          <w:rFonts w:ascii="Arial" w:hAnsi="Arial" w:cs="Arial"/>
          <w:sz w:val="20"/>
          <w:szCs w:val="20"/>
        </w:rPr>
        <w:t>Boys' social and academic development does not require the same level of assistance as that of girls.</w:t>
      </w:r>
    </w:p>
    <w:p w14:paraId="36AB96D4"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majority of the respondents of both Assamese medium preschools (74%) and English medium preschools (66%) disagreed with the statement, rejecting the notion that boys require less support than girls. This response underscores an understanding of the need for equitable support tailored to individual needs rather than stereotypical assumptions. However, higher indecision among English medium respondents (22%) compared to Assamese medium respondents (10%) highlights lingering biases. This may be due to that some teachers may still unconsciously adhere to gender-based expectations, emphasizing the importance of targeted training to challenge such biases.</w:t>
      </w:r>
    </w:p>
    <w:p w14:paraId="6FC61AC1" w14:textId="77777777" w:rsidR="00C0665A" w:rsidRPr="007F2E0A" w:rsidRDefault="00C0665A" w:rsidP="00C0665A">
      <w:pPr>
        <w:spacing w:after="0" w:line="360" w:lineRule="auto"/>
        <w:jc w:val="both"/>
        <w:rPr>
          <w:rFonts w:ascii="Arial" w:hAnsi="Arial" w:cs="Arial"/>
          <w:b/>
          <w:bCs/>
          <w:sz w:val="20"/>
          <w:szCs w:val="20"/>
        </w:rPr>
      </w:pPr>
      <w:r w:rsidRPr="007F2E0A">
        <w:rPr>
          <w:rFonts w:ascii="Arial" w:hAnsi="Arial" w:cs="Arial"/>
          <w:b/>
          <w:bCs/>
          <w:sz w:val="20"/>
          <w:szCs w:val="20"/>
        </w:rPr>
        <w:t>Third sub-dimension: c) Curriculum and Pedagogy</w:t>
      </w:r>
    </w:p>
    <w:p w14:paraId="1DFD52DB"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12: </w:t>
      </w:r>
      <w:r w:rsidRPr="007F2E0A">
        <w:rPr>
          <w:rFonts w:ascii="Arial" w:hAnsi="Arial" w:cs="Arial"/>
          <w:sz w:val="20"/>
          <w:szCs w:val="20"/>
        </w:rPr>
        <w:t>I am aware that role-playing games can be used to teach children about gender diversity and inclusion.</w:t>
      </w:r>
    </w:p>
    <w:p w14:paraId="1A604F09"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The majority of the respondents from both Assamese medium preschools (66%) and English medium preschools (68%) agreed with this statement reflecting a general awareness of creative pedagogical strategies. However, a notable portion of Assamese medium respondents (20%) disagree, possibly due to a lack of exposure to such techniques to implement them. English medium respondents show higher indecision (18%) indicating a potential need for more clarity on how role-playing can address gender concepts effectively. Teachers can direct role-playing games to incorporate joint activities for boys and girls, helping children comprehend and respect gender differences (Orjonikidze </w:t>
      </w:r>
      <w:r w:rsidRPr="007F2E0A">
        <w:rPr>
          <w:rFonts w:ascii="Arial" w:hAnsi="Arial" w:cs="Arial"/>
          <w:i/>
          <w:iCs/>
          <w:sz w:val="20"/>
          <w:szCs w:val="20"/>
        </w:rPr>
        <w:t>et al.</w:t>
      </w:r>
      <w:r w:rsidRPr="007F2E0A">
        <w:rPr>
          <w:rFonts w:ascii="Arial" w:hAnsi="Arial" w:cs="Arial"/>
          <w:sz w:val="20"/>
          <w:szCs w:val="20"/>
        </w:rPr>
        <w:t>, 2023).</w:t>
      </w:r>
    </w:p>
    <w:p w14:paraId="7BC4DDF0"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13: </w:t>
      </w:r>
      <w:r w:rsidRPr="007F2E0A">
        <w:rPr>
          <w:rFonts w:ascii="Arial" w:hAnsi="Arial" w:cs="Arial"/>
          <w:sz w:val="20"/>
          <w:szCs w:val="20"/>
        </w:rPr>
        <w:t>I incorporate activities that respect all genders in my teaching process.</w:t>
      </w:r>
    </w:p>
    <w:p w14:paraId="4A833FF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majority of the respondents of both Assamese medium preschools (82%) and English medium preschools (86%) agreed with this statement, suggesting a progressive attitude toward fostering an inclusive environment. The minimal disagreement with 8 percent of Assamese medium preschools and 6 percent of English medium preschools implies that most teachers are either aware of or actively practicing inclusive teaching methods.</w:t>
      </w:r>
    </w:p>
    <w:p w14:paraId="2838CEDA"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14: </w:t>
      </w:r>
      <w:r w:rsidRPr="007F2E0A">
        <w:rPr>
          <w:rFonts w:ascii="Arial" w:hAnsi="Arial" w:cs="Arial"/>
          <w:sz w:val="20"/>
          <w:szCs w:val="20"/>
        </w:rPr>
        <w:t>I integrate gender-sensitive content in my teaching-learning process.</w:t>
      </w:r>
    </w:p>
    <w:p w14:paraId="266453EB"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results showed striking divergence with 42 percent of Assamese medium respondents and 44 percent of English medium respondents agreeing with this statement. A significant portion of Assamese medium respondents (44%) and English medium respondents (18%) disagree potentially indicating challenges in accessing gender-sensitive materials and a lack of training. A study by Pradhan and Dewan (2024) shows that gender-sensitive education models emphasize the integration of gender-positive materials into the curriculum, promoting awareness of gender equality concerns.</w:t>
      </w:r>
    </w:p>
    <w:p w14:paraId="71F42639"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15: </w:t>
      </w:r>
      <w:r w:rsidRPr="007F2E0A">
        <w:rPr>
          <w:rFonts w:ascii="Arial" w:hAnsi="Arial" w:cs="Arial"/>
          <w:sz w:val="20"/>
          <w:szCs w:val="20"/>
        </w:rPr>
        <w:t>I provide equal opportunities and encouragement for all children, regardless of gender, to participate in various activities.</w:t>
      </w:r>
    </w:p>
    <w:p w14:paraId="3E6B6054"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Most of the respondents of both Assamese medium preschools (82%) and English medium preschools (78%) agreed with the statement. However, the slightly higher disagreement rate among English medium respondents (12%) than among Assamese medium respondents (4%) could point to either </w:t>
      </w:r>
      <w:r w:rsidRPr="007F2E0A">
        <w:rPr>
          <w:rFonts w:ascii="Arial" w:hAnsi="Arial" w:cs="Arial"/>
          <w:sz w:val="20"/>
          <w:szCs w:val="20"/>
        </w:rPr>
        <w:lastRenderedPageBreak/>
        <w:t>institutional constraints or differing interpretations of equal opportunity. The overall high level of agreement demonstrates a commitment to inclusive participation in activities.</w:t>
      </w:r>
    </w:p>
    <w:p w14:paraId="385B47AA"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16: </w:t>
      </w:r>
      <w:r w:rsidRPr="007F2E0A">
        <w:rPr>
          <w:rFonts w:ascii="Arial" w:hAnsi="Arial" w:cs="Arial"/>
          <w:sz w:val="20"/>
          <w:szCs w:val="20"/>
        </w:rPr>
        <w:t>I select and use teaching-learning materials that present non-stereotypical gender roles.</w:t>
      </w:r>
    </w:p>
    <w:p w14:paraId="20D913BC"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results reveal that 68 percent of Assamese medium respondents and 60 percent of English medium respondents agree with the statement. However, the indecisiveness of 30 percent of English medium respondents and 10 percent of Assamese medium respondents may suggest a lack of familiarity with identifying and sourcing such materials.</w:t>
      </w:r>
    </w:p>
    <w:p w14:paraId="42D6D802"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17: </w:t>
      </w:r>
      <w:r w:rsidRPr="007F2E0A">
        <w:rPr>
          <w:rFonts w:ascii="Arial" w:hAnsi="Arial" w:cs="Arial"/>
          <w:sz w:val="20"/>
          <w:szCs w:val="20"/>
        </w:rPr>
        <w:t>Gendered teaching materials have an impact on children’s perceptions of themselves and others.</w:t>
      </w:r>
    </w:p>
    <w:p w14:paraId="47298DDB"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(68%) and English medium preschools (66%) agreed that gendered teaching materials influence children’s perceptions. This reflects an understanding of the role of materials in shaping social attitudes. Indecision is more pronounced among English medium respondents (26%) than Assamese medium respondents (14%), which may stem from a lack of recognition of this concept. Research revealed that gendered discourses in picture books and textbooks that reflect conventional gender norms frequently go unrecognized by educators, impeding children’s self-actualization and social relationships (Qiu and Yoke, 2024; Kostas, 2023).</w:t>
      </w:r>
    </w:p>
    <w:p w14:paraId="2033EF3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18: </w:t>
      </w:r>
      <w:r w:rsidRPr="007F2E0A">
        <w:rPr>
          <w:rFonts w:ascii="Arial" w:hAnsi="Arial" w:cs="Arial"/>
          <w:sz w:val="20"/>
          <w:szCs w:val="20"/>
        </w:rPr>
        <w:t>Children’s literature should feature diverse characters with various gender roles and identities.</w:t>
      </w:r>
    </w:p>
    <w:p w14:paraId="036BDC1C"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preschools (68%) and English medium preschools (64%) agreed with the statement. However, 20 percent of respondents of English medium preschools and 14 percent of Assamese medium preschools present indecisiveness highlighting areas for improvement in sensitization and access to diverse literature.</w:t>
      </w:r>
    </w:p>
    <w:p w14:paraId="5BE7BF37"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19: </w:t>
      </w:r>
      <w:r w:rsidRPr="007F2E0A">
        <w:rPr>
          <w:rFonts w:ascii="Arial" w:hAnsi="Arial" w:cs="Arial"/>
          <w:sz w:val="20"/>
          <w:szCs w:val="20"/>
        </w:rPr>
        <w:t>I actively promote positive representations of diverse gender roles and identities in the classroom.</w:t>
      </w:r>
    </w:p>
    <w:p w14:paraId="649F7ECA"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An equal proportion of the respondents from both Assamese and English medium preschools, accounting for 64 percent each agreed with the statement. The disagreement is higher among Assamese medium respondents (28%) compared to English medium respondents (20%), possibly due to cultural challenges. The overall alignment of this statement underscores a willingness to address stereotypes but also signals a need for professional development to enhance this practice further. Elorza (2023) found that gender-inclusive picture books may give students with diverse portrayals of gender identities, assisting them in understanding non-normative roles and promoting critical thinking about gender norms. </w:t>
      </w:r>
    </w:p>
    <w:p w14:paraId="55CFF51B" w14:textId="77777777" w:rsidR="00C0665A" w:rsidRPr="007F2E0A" w:rsidRDefault="00C0665A" w:rsidP="00C0665A">
      <w:pPr>
        <w:spacing w:after="0" w:line="360" w:lineRule="auto"/>
        <w:jc w:val="both"/>
        <w:rPr>
          <w:rFonts w:ascii="Arial" w:hAnsi="Arial" w:cs="Arial"/>
          <w:b/>
          <w:bCs/>
          <w:sz w:val="20"/>
          <w:szCs w:val="20"/>
        </w:rPr>
      </w:pPr>
      <w:r w:rsidRPr="007F2E0A">
        <w:rPr>
          <w:rFonts w:ascii="Arial" w:hAnsi="Arial" w:cs="Arial"/>
          <w:b/>
          <w:bCs/>
          <w:sz w:val="20"/>
          <w:szCs w:val="20"/>
        </w:rPr>
        <w:t>Fourth sub-dimension: d) Gender-neutral language</w:t>
      </w:r>
    </w:p>
    <w:p w14:paraId="25FAF1F7"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20: </w:t>
      </w:r>
      <w:r w:rsidRPr="007F2E0A">
        <w:rPr>
          <w:rFonts w:ascii="Arial" w:hAnsi="Arial" w:cs="Arial"/>
          <w:sz w:val="20"/>
          <w:szCs w:val="20"/>
        </w:rPr>
        <w:t>I consciously choose inclusive language and avoid gender-biased terminology in my teaching.</w:t>
      </w:r>
    </w:p>
    <w:p w14:paraId="27214C7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 xml:space="preserve">Most of the respondents of both Assamese medium preschools (74%) and English medium preschools (62%) agreed with the statement. However, disagreement is notably higher among English medium respondents (24%) than Assamese medium respondents (12%). This suggests that while a majority of </w:t>
      </w:r>
      <w:r w:rsidRPr="007F2E0A">
        <w:rPr>
          <w:rFonts w:ascii="Arial" w:hAnsi="Arial" w:cs="Arial"/>
          <w:sz w:val="20"/>
          <w:szCs w:val="20"/>
        </w:rPr>
        <w:lastRenderedPageBreak/>
        <w:t>teachers are mindful of gender-neutral language, there is room for improvement, particularly in English medium settings where traditional language norms may persist more strongly.</w:t>
      </w:r>
    </w:p>
    <w:p w14:paraId="437EA8B3"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21: </w:t>
      </w:r>
      <w:r w:rsidRPr="007F2E0A">
        <w:rPr>
          <w:rFonts w:ascii="Arial" w:hAnsi="Arial" w:cs="Arial"/>
          <w:sz w:val="20"/>
          <w:szCs w:val="20"/>
        </w:rPr>
        <w:t>I actively avoid using phrases like ‘boys are strong’, and ‘girls are good at art’.</w:t>
      </w:r>
    </w:p>
    <w:p w14:paraId="6D1ABB75"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preschools (74%) and English medium preschools (72%) agreed with this statement, endorsing the avoidance of stereotypical phrases. Interestingly, more Assamese medium respondents (16%) disagree compared to their English medium counterparts (12%), indicating that while the general trend is positive, the challenge of unlearning entrenched gender stereotypes remains. Research revealed that common expressions tend to reflect and promote gender stereotypes, emphasizing the importance of cautiously using language (Rubio, 2018).</w:t>
      </w:r>
    </w:p>
    <w:p w14:paraId="35966EF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22: </w:t>
      </w:r>
      <w:r w:rsidRPr="007F2E0A">
        <w:rPr>
          <w:rFonts w:ascii="Arial" w:hAnsi="Arial" w:cs="Arial"/>
          <w:sz w:val="20"/>
          <w:szCs w:val="20"/>
        </w:rPr>
        <w:t>While resolving conflict between children, I use statements like “boys don’t cry”.</w:t>
      </w:r>
    </w:p>
    <w:p w14:paraId="672ADBB4"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The majority of the respondents in both Assamese medium preschools (84%) and English medium preschools (76%) disagreed the statement. However, the slightly higher agreement rate among English medium respondents (16%) compared to Assamese medium respondents (6%) points to a lingering tendency in some English medium teachers to use traditional and culturally ingrained phrases, possibly reflecting less awareness of their psychological impact on children.</w:t>
      </w:r>
    </w:p>
    <w:p w14:paraId="723B8585" w14:textId="77777777" w:rsidR="00C0665A" w:rsidRPr="007F2E0A" w:rsidRDefault="00C0665A" w:rsidP="00C0665A">
      <w:pPr>
        <w:spacing w:after="0" w:line="360" w:lineRule="auto"/>
        <w:jc w:val="both"/>
        <w:rPr>
          <w:rFonts w:ascii="Arial" w:hAnsi="Arial" w:cs="Arial"/>
          <w:b/>
          <w:bCs/>
          <w:sz w:val="20"/>
          <w:szCs w:val="20"/>
        </w:rPr>
      </w:pPr>
      <w:r w:rsidRPr="007F2E0A">
        <w:rPr>
          <w:rFonts w:ascii="Arial" w:hAnsi="Arial" w:cs="Arial"/>
          <w:b/>
          <w:bCs/>
          <w:sz w:val="20"/>
          <w:szCs w:val="20"/>
        </w:rPr>
        <w:t>Fifth sub-dimension: e) Institutional policies and practices</w:t>
      </w:r>
    </w:p>
    <w:p w14:paraId="707E2631"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23: </w:t>
      </w:r>
      <w:r w:rsidRPr="007F2E0A">
        <w:rPr>
          <w:rFonts w:ascii="Arial" w:hAnsi="Arial" w:cs="Arial"/>
          <w:sz w:val="20"/>
          <w:szCs w:val="20"/>
        </w:rPr>
        <w:t>I have encountered circumstances when the school considers subjects based on the teacher’s gender.</w:t>
      </w:r>
    </w:p>
    <w:p w14:paraId="328C0EC7"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of the respondents of both Assamese medium preschools (76%) and English medium preschools (58%) disagreed with this statement reporting that their schools do not assign subjects based on teacher’s gender. However, a higher agreement rate among English medium respondents (12%) compared to Assamese medium respondents (4%) indicates that this bias may still persist in some English medium institutions.</w:t>
      </w:r>
    </w:p>
    <w:p w14:paraId="421FAE34"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24: </w:t>
      </w:r>
      <w:r w:rsidRPr="007F2E0A">
        <w:rPr>
          <w:rFonts w:ascii="Arial" w:hAnsi="Arial" w:cs="Arial"/>
          <w:sz w:val="20"/>
          <w:szCs w:val="20"/>
        </w:rPr>
        <w:t>I am familiar with the National Education Policy 2020 on gender equality in early childhood education.</w:t>
      </w:r>
    </w:p>
    <w:p w14:paraId="546AC66C"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sz w:val="20"/>
          <w:szCs w:val="20"/>
        </w:rPr>
        <w:t>Most respondents are familiar with the NEP 2020, as reflected by the agreement percentage in both Assamese medium preschool teachers (74%) and English medium preschool teachers (68%). However, 26 percent of Assamese medium respondents and 22 percent of English medium respondents are undecided. This suggests that while awareness of NEP 2020 is high, its detailed implications may not be fully understood by all the teachers.</w:t>
      </w:r>
    </w:p>
    <w:p w14:paraId="1F4B0CA8" w14:textId="77777777" w:rsidR="00C0665A" w:rsidRPr="007F2E0A" w:rsidRDefault="00C0665A" w:rsidP="00C0665A">
      <w:pPr>
        <w:spacing w:after="0" w:line="360" w:lineRule="auto"/>
        <w:jc w:val="both"/>
        <w:rPr>
          <w:rFonts w:ascii="Arial" w:hAnsi="Arial" w:cs="Arial"/>
          <w:sz w:val="20"/>
          <w:szCs w:val="20"/>
        </w:rPr>
      </w:pPr>
      <w:r w:rsidRPr="007F2E0A">
        <w:rPr>
          <w:rFonts w:ascii="Arial" w:hAnsi="Arial" w:cs="Arial"/>
          <w:b/>
          <w:bCs/>
          <w:sz w:val="20"/>
          <w:szCs w:val="20"/>
        </w:rPr>
        <w:t xml:space="preserve">STATEMENT 25: </w:t>
      </w:r>
      <w:r w:rsidRPr="007F2E0A">
        <w:rPr>
          <w:rFonts w:ascii="Arial" w:hAnsi="Arial" w:cs="Arial"/>
          <w:sz w:val="20"/>
          <w:szCs w:val="20"/>
        </w:rPr>
        <w:t>I collaborate with colleagues, parents, and the community to promote gender equality.</w:t>
      </w:r>
    </w:p>
    <w:p w14:paraId="520A430F" w14:textId="1D314055" w:rsidR="00FB7BEB" w:rsidRPr="007F2E0A" w:rsidRDefault="00C0665A" w:rsidP="00C0665A">
      <w:pPr>
        <w:spacing w:after="0" w:line="360" w:lineRule="auto"/>
        <w:jc w:val="both"/>
        <w:rPr>
          <w:rFonts w:ascii="Arial" w:hAnsi="Arial" w:cs="Arial"/>
          <w:b/>
          <w:bCs/>
          <w:sz w:val="20"/>
          <w:szCs w:val="20"/>
        </w:rPr>
      </w:pPr>
      <w:r w:rsidRPr="007F2E0A">
        <w:rPr>
          <w:rFonts w:ascii="Arial" w:hAnsi="Arial" w:cs="Arial"/>
          <w:sz w:val="20"/>
          <w:szCs w:val="20"/>
        </w:rPr>
        <w:t>Collaboration is strong among both the mediums of instruction with 80 percent of Assamese medium respondents and 76 percent of English medium respondents agreeing to active collaboration. However, the slight indecision among Assamese medium respondents (18%) and English medium respondents (20%) highlights that not all the teachers may feel equipped to engage in such collaboration. This underscores the need for structured professional development and community involvement practices.</w:t>
      </w:r>
    </w:p>
    <w:p w14:paraId="4EC46C18" w14:textId="3C0560F3" w:rsidR="00045E75" w:rsidRPr="007F2E0A" w:rsidRDefault="007F2E0A" w:rsidP="00045E75">
      <w:pPr>
        <w:spacing w:after="0" w:line="360" w:lineRule="auto"/>
        <w:jc w:val="both"/>
        <w:rPr>
          <w:rFonts w:ascii="Arial" w:hAnsi="Arial" w:cs="Arial"/>
          <w:b/>
          <w:bCs/>
        </w:rPr>
      </w:pPr>
      <w:r w:rsidRPr="007F2E0A">
        <w:rPr>
          <w:rFonts w:ascii="Arial" w:hAnsi="Arial" w:cs="Arial"/>
          <w:b/>
          <w:bCs/>
        </w:rPr>
        <w:t xml:space="preserve">3.2 </w:t>
      </w:r>
      <w:r w:rsidR="00045E75" w:rsidRPr="007F2E0A">
        <w:rPr>
          <w:rFonts w:ascii="Arial" w:hAnsi="Arial" w:cs="Arial"/>
          <w:b/>
          <w:bCs/>
        </w:rPr>
        <w:t>Knowledge levels of preschool teachers on gender education</w:t>
      </w:r>
    </w:p>
    <w:p w14:paraId="0BD36631" w14:textId="77777777" w:rsidR="00093BD7" w:rsidRPr="007F2E0A" w:rsidRDefault="00045E75" w:rsidP="00473811">
      <w:pPr>
        <w:spacing w:after="0" w:line="360" w:lineRule="auto"/>
        <w:jc w:val="both"/>
        <w:rPr>
          <w:rFonts w:ascii="Arial" w:hAnsi="Arial" w:cs="Arial"/>
          <w:sz w:val="20"/>
          <w:szCs w:val="20"/>
        </w:rPr>
      </w:pPr>
      <w:r w:rsidRPr="007F2E0A">
        <w:rPr>
          <w:rFonts w:ascii="Arial" w:hAnsi="Arial" w:cs="Arial"/>
          <w:sz w:val="20"/>
          <w:szCs w:val="20"/>
        </w:rPr>
        <w:t xml:space="preserve">The levels of knowledge of both Assamese and English medium preschool teachers are illustrated in Table 3. The results indicate that teachers from Assamese medium preschools (74%) had a higher knowledge level as compared to their counterparts in English medium preschools (72%), indicating a </w:t>
      </w:r>
      <w:r w:rsidRPr="007F2E0A">
        <w:rPr>
          <w:rFonts w:ascii="Arial" w:hAnsi="Arial" w:cs="Arial"/>
          <w:sz w:val="20"/>
          <w:szCs w:val="20"/>
        </w:rPr>
        <w:lastRenderedPageBreak/>
        <w:t>marginally greater emphasis on gender education in Assamese medium preschools. On the medium level of knowledge, respondents of English medium preschools (22%) comprised a slightly higher percentage than those from Assamese medium preschools (18%). This might be because the English-medium preschools possibly have more extensive access to varied resources and teaching techniques.</w:t>
      </w:r>
      <w:r w:rsidR="00093BD7" w:rsidRPr="007F2E0A">
        <w:rPr>
          <w:rFonts w:ascii="Arial" w:hAnsi="Arial" w:cs="Arial"/>
          <w:sz w:val="20"/>
          <w:szCs w:val="20"/>
        </w:rPr>
        <w:t xml:space="preserve"> </w:t>
      </w:r>
    </w:p>
    <w:p w14:paraId="04D7AFBC" w14:textId="617D7F22" w:rsidR="00946E42" w:rsidRDefault="00946E42" w:rsidP="00946E42">
      <w:pPr>
        <w:spacing w:after="0" w:line="360" w:lineRule="auto"/>
        <w:jc w:val="center"/>
        <w:rPr>
          <w:rFonts w:ascii="Arial" w:hAnsi="Arial" w:cs="Arial"/>
          <w:b/>
          <w:bCs/>
          <w:sz w:val="20"/>
          <w:szCs w:val="20"/>
        </w:rPr>
      </w:pPr>
      <w:r>
        <w:rPr>
          <w:noProof/>
        </w:rPr>
        <w:drawing>
          <wp:inline distT="0" distB="0" distL="0" distR="0" wp14:anchorId="26833244" wp14:editId="4AADE906">
            <wp:extent cx="4526280" cy="3520855"/>
            <wp:effectExtent l="19050" t="19050" r="26670" b="22860"/>
            <wp:docPr id="631814995" name="Chart 1">
              <a:extLst xmlns:a="http://schemas.openxmlformats.org/drawingml/2006/main">
                <a:ext uri="{FF2B5EF4-FFF2-40B4-BE49-F238E27FC236}">
                  <a16:creationId xmlns:a16="http://schemas.microsoft.com/office/drawing/2014/main" id="{F6D38ADA-24A1-2CB7-75FB-602EB190C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9D1A8D" w14:textId="3B14E729" w:rsidR="00F961B9" w:rsidRDefault="00946E42" w:rsidP="00F961B9">
      <w:pPr>
        <w:spacing w:after="0" w:line="360" w:lineRule="auto"/>
        <w:jc w:val="center"/>
        <w:rPr>
          <w:rFonts w:ascii="Arial" w:hAnsi="Arial" w:cs="Arial"/>
          <w:b/>
          <w:bCs/>
          <w:sz w:val="20"/>
          <w:szCs w:val="20"/>
        </w:rPr>
      </w:pPr>
      <w:r>
        <w:rPr>
          <w:rFonts w:ascii="Arial" w:hAnsi="Arial" w:cs="Arial"/>
          <w:b/>
          <w:bCs/>
          <w:sz w:val="20"/>
          <w:szCs w:val="20"/>
        </w:rPr>
        <w:t xml:space="preserve">Fig 1. </w:t>
      </w:r>
      <w:r w:rsidR="00F961B9" w:rsidRPr="00F961B9">
        <w:rPr>
          <w:rFonts w:ascii="Arial" w:hAnsi="Arial" w:cs="Arial"/>
          <w:b/>
          <w:bCs/>
          <w:sz w:val="20"/>
          <w:szCs w:val="20"/>
        </w:rPr>
        <w:t>Distribution of respondents of Assamese and English medium preschools according to their knowledge levels on gender education</w:t>
      </w:r>
    </w:p>
    <w:p w14:paraId="44D33C1F" w14:textId="660C66FC" w:rsidR="00093BD7" w:rsidRPr="007F2E0A" w:rsidRDefault="00093BD7" w:rsidP="00093BD7">
      <w:pPr>
        <w:spacing w:after="0" w:line="360" w:lineRule="auto"/>
        <w:jc w:val="both"/>
        <w:rPr>
          <w:rFonts w:ascii="Arial" w:hAnsi="Arial" w:cs="Arial"/>
          <w:b/>
          <w:bCs/>
          <w:sz w:val="20"/>
          <w:szCs w:val="20"/>
        </w:rPr>
      </w:pPr>
      <w:r w:rsidRPr="007F2E0A">
        <w:rPr>
          <w:rFonts w:ascii="Arial" w:hAnsi="Arial" w:cs="Arial"/>
          <w:b/>
          <w:bCs/>
          <w:sz w:val="20"/>
          <w:szCs w:val="20"/>
        </w:rPr>
        <w:t>Table 3. Distribution of respondents of Assamese and English medium preschools according to their knowledge levels</w:t>
      </w:r>
    </w:p>
    <w:tbl>
      <w:tblPr>
        <w:tblStyle w:val="TableGrid"/>
        <w:tblW w:w="0" w:type="auto"/>
        <w:tblLook w:val="04A0" w:firstRow="1" w:lastRow="0" w:firstColumn="1" w:lastColumn="0" w:noHBand="0" w:noVBand="1"/>
      </w:tblPr>
      <w:tblGrid>
        <w:gridCol w:w="1284"/>
        <w:gridCol w:w="852"/>
        <w:gridCol w:w="989"/>
        <w:gridCol w:w="1037"/>
        <w:gridCol w:w="835"/>
        <w:gridCol w:w="957"/>
        <w:gridCol w:w="1131"/>
        <w:gridCol w:w="1132"/>
        <w:gridCol w:w="799"/>
      </w:tblGrid>
      <w:tr w:rsidR="00093BD7" w:rsidRPr="007F2E0A" w14:paraId="356BC999" w14:textId="77777777" w:rsidTr="00093BD7">
        <w:tc>
          <w:tcPr>
            <w:tcW w:w="1268" w:type="dxa"/>
            <w:vMerge w:val="restart"/>
          </w:tcPr>
          <w:p w14:paraId="437BB101" w14:textId="4964B6BA"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Knowledge levels of preschool teachers on gender education</w:t>
            </w:r>
          </w:p>
        </w:tc>
        <w:tc>
          <w:tcPr>
            <w:tcW w:w="7748" w:type="dxa"/>
            <w:gridSpan w:val="8"/>
          </w:tcPr>
          <w:p w14:paraId="1EB8DFBB" w14:textId="2695EC32"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Number of respondents (n=100)</w:t>
            </w:r>
          </w:p>
        </w:tc>
      </w:tr>
      <w:tr w:rsidR="00093BD7" w:rsidRPr="007F2E0A" w14:paraId="0432DD68" w14:textId="77777777" w:rsidTr="00F933DF">
        <w:tc>
          <w:tcPr>
            <w:tcW w:w="1268" w:type="dxa"/>
            <w:vMerge/>
          </w:tcPr>
          <w:p w14:paraId="0321C30F" w14:textId="77777777" w:rsidR="00093BD7" w:rsidRPr="007F2E0A" w:rsidRDefault="00093BD7" w:rsidP="00093BD7">
            <w:pPr>
              <w:spacing w:line="360" w:lineRule="auto"/>
              <w:jc w:val="both"/>
              <w:rPr>
                <w:rFonts w:ascii="Arial" w:hAnsi="Arial" w:cs="Arial"/>
                <w:b/>
                <w:bCs/>
                <w:sz w:val="20"/>
                <w:szCs w:val="20"/>
              </w:rPr>
            </w:pPr>
          </w:p>
        </w:tc>
        <w:tc>
          <w:tcPr>
            <w:tcW w:w="3721" w:type="dxa"/>
            <w:gridSpan w:val="4"/>
          </w:tcPr>
          <w:p w14:paraId="7294F60A" w14:textId="41458509"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Respondents of Assamese medium preschools (n=50)</w:t>
            </w:r>
          </w:p>
        </w:tc>
        <w:tc>
          <w:tcPr>
            <w:tcW w:w="4027" w:type="dxa"/>
            <w:gridSpan w:val="4"/>
          </w:tcPr>
          <w:p w14:paraId="7D997BE4" w14:textId="230D86CF"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Respondents of English medium preschools (n=50)</w:t>
            </w:r>
          </w:p>
        </w:tc>
      </w:tr>
      <w:tr w:rsidR="00093BD7" w:rsidRPr="007F2E0A" w14:paraId="6B3AF564" w14:textId="77777777" w:rsidTr="00093BD7">
        <w:tc>
          <w:tcPr>
            <w:tcW w:w="1268" w:type="dxa"/>
            <w:vMerge/>
          </w:tcPr>
          <w:p w14:paraId="2E6490C3" w14:textId="77777777" w:rsidR="00093BD7" w:rsidRPr="007F2E0A" w:rsidRDefault="00093BD7" w:rsidP="00093BD7">
            <w:pPr>
              <w:spacing w:line="360" w:lineRule="auto"/>
              <w:jc w:val="both"/>
              <w:rPr>
                <w:rFonts w:ascii="Arial" w:hAnsi="Arial" w:cs="Arial"/>
                <w:b/>
                <w:bCs/>
                <w:sz w:val="20"/>
                <w:szCs w:val="20"/>
              </w:rPr>
            </w:pPr>
          </w:p>
        </w:tc>
        <w:tc>
          <w:tcPr>
            <w:tcW w:w="854" w:type="dxa"/>
          </w:tcPr>
          <w:p w14:paraId="6312423C" w14:textId="1C59524D" w:rsidR="00093BD7" w:rsidRPr="007F2E0A" w:rsidRDefault="00093BD7" w:rsidP="00093BD7">
            <w:pPr>
              <w:spacing w:line="360" w:lineRule="auto"/>
              <w:jc w:val="both"/>
              <w:rPr>
                <w:rFonts w:ascii="Arial" w:hAnsi="Arial" w:cs="Arial"/>
                <w:b/>
                <w:bCs/>
                <w:i/>
                <w:iCs/>
                <w:sz w:val="20"/>
                <w:szCs w:val="20"/>
              </w:rPr>
            </w:pPr>
            <w:r w:rsidRPr="007F2E0A">
              <w:rPr>
                <w:rFonts w:ascii="Arial" w:hAnsi="Arial" w:cs="Arial"/>
                <w:b/>
                <w:bCs/>
                <w:i/>
                <w:iCs/>
                <w:sz w:val="20"/>
                <w:szCs w:val="20"/>
              </w:rPr>
              <w:t>f</w:t>
            </w:r>
          </w:p>
        </w:tc>
        <w:tc>
          <w:tcPr>
            <w:tcW w:w="992" w:type="dxa"/>
          </w:tcPr>
          <w:p w14:paraId="4E83D6E1" w14:textId="723A63AE"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w:t>
            </w:r>
          </w:p>
        </w:tc>
        <w:tc>
          <w:tcPr>
            <w:tcW w:w="1039" w:type="dxa"/>
          </w:tcPr>
          <w:p w14:paraId="32D762D6" w14:textId="7B384072"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Mean</w:t>
            </w:r>
          </w:p>
        </w:tc>
        <w:tc>
          <w:tcPr>
            <w:tcW w:w="836" w:type="dxa"/>
          </w:tcPr>
          <w:p w14:paraId="0BF77134" w14:textId="637B3DED"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S.D.</w:t>
            </w:r>
          </w:p>
        </w:tc>
        <w:tc>
          <w:tcPr>
            <w:tcW w:w="960" w:type="dxa"/>
          </w:tcPr>
          <w:p w14:paraId="2EBE99FB" w14:textId="3474D3FD"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i/>
                <w:iCs/>
                <w:sz w:val="20"/>
                <w:szCs w:val="20"/>
              </w:rPr>
              <w:t>f</w:t>
            </w:r>
          </w:p>
        </w:tc>
        <w:tc>
          <w:tcPr>
            <w:tcW w:w="1134" w:type="dxa"/>
          </w:tcPr>
          <w:p w14:paraId="6125ED9A" w14:textId="62943357"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w:t>
            </w:r>
          </w:p>
        </w:tc>
        <w:tc>
          <w:tcPr>
            <w:tcW w:w="1134" w:type="dxa"/>
          </w:tcPr>
          <w:p w14:paraId="0719085D" w14:textId="6D2510D5"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Mean</w:t>
            </w:r>
          </w:p>
        </w:tc>
        <w:tc>
          <w:tcPr>
            <w:tcW w:w="799" w:type="dxa"/>
          </w:tcPr>
          <w:p w14:paraId="66627BF9" w14:textId="20AB1E0F"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S.D.</w:t>
            </w:r>
          </w:p>
        </w:tc>
      </w:tr>
      <w:tr w:rsidR="00093BD7" w:rsidRPr="007F2E0A" w14:paraId="1EFF84DA" w14:textId="77777777" w:rsidTr="00093BD7">
        <w:tc>
          <w:tcPr>
            <w:tcW w:w="1268" w:type="dxa"/>
          </w:tcPr>
          <w:p w14:paraId="4FE4F9C9" w14:textId="493B19D5"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High</w:t>
            </w:r>
          </w:p>
        </w:tc>
        <w:tc>
          <w:tcPr>
            <w:tcW w:w="854" w:type="dxa"/>
          </w:tcPr>
          <w:p w14:paraId="1E4F629F" w14:textId="496A3EDB"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37</w:t>
            </w:r>
          </w:p>
        </w:tc>
        <w:tc>
          <w:tcPr>
            <w:tcW w:w="992" w:type="dxa"/>
          </w:tcPr>
          <w:p w14:paraId="668735FE" w14:textId="0BFA3B97"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74</w:t>
            </w:r>
          </w:p>
        </w:tc>
        <w:tc>
          <w:tcPr>
            <w:tcW w:w="1039" w:type="dxa"/>
            <w:vMerge w:val="restart"/>
          </w:tcPr>
          <w:p w14:paraId="6C2F2F02" w14:textId="468BD4C4"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64.32</w:t>
            </w:r>
          </w:p>
        </w:tc>
        <w:tc>
          <w:tcPr>
            <w:tcW w:w="836" w:type="dxa"/>
            <w:vMerge w:val="restart"/>
          </w:tcPr>
          <w:p w14:paraId="692B427B" w14:textId="7D6E2BF4"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9.931</w:t>
            </w:r>
          </w:p>
        </w:tc>
        <w:tc>
          <w:tcPr>
            <w:tcW w:w="960" w:type="dxa"/>
          </w:tcPr>
          <w:p w14:paraId="3BA2521C" w14:textId="75FD7BD9"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36</w:t>
            </w:r>
          </w:p>
        </w:tc>
        <w:tc>
          <w:tcPr>
            <w:tcW w:w="1134" w:type="dxa"/>
          </w:tcPr>
          <w:p w14:paraId="5D34C573" w14:textId="18852A5F"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72</w:t>
            </w:r>
          </w:p>
        </w:tc>
        <w:tc>
          <w:tcPr>
            <w:tcW w:w="1134" w:type="dxa"/>
            <w:vMerge w:val="restart"/>
          </w:tcPr>
          <w:p w14:paraId="4C87BF58" w14:textId="3AD020E5"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63.7</w:t>
            </w:r>
          </w:p>
        </w:tc>
        <w:tc>
          <w:tcPr>
            <w:tcW w:w="799" w:type="dxa"/>
            <w:vMerge w:val="restart"/>
          </w:tcPr>
          <w:p w14:paraId="0EC46265" w14:textId="5D8AC748"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8.331</w:t>
            </w:r>
          </w:p>
        </w:tc>
      </w:tr>
      <w:tr w:rsidR="00093BD7" w:rsidRPr="007F2E0A" w14:paraId="0E9395B1" w14:textId="77777777" w:rsidTr="00093BD7">
        <w:tc>
          <w:tcPr>
            <w:tcW w:w="1268" w:type="dxa"/>
          </w:tcPr>
          <w:p w14:paraId="4B984F99" w14:textId="3FD1013E"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Medium</w:t>
            </w:r>
          </w:p>
        </w:tc>
        <w:tc>
          <w:tcPr>
            <w:tcW w:w="854" w:type="dxa"/>
          </w:tcPr>
          <w:p w14:paraId="2D328776" w14:textId="19CCD624"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9</w:t>
            </w:r>
          </w:p>
        </w:tc>
        <w:tc>
          <w:tcPr>
            <w:tcW w:w="992" w:type="dxa"/>
          </w:tcPr>
          <w:p w14:paraId="06837C68" w14:textId="623FE517"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18</w:t>
            </w:r>
          </w:p>
        </w:tc>
        <w:tc>
          <w:tcPr>
            <w:tcW w:w="1039" w:type="dxa"/>
            <w:vMerge/>
          </w:tcPr>
          <w:p w14:paraId="7D4860A5" w14:textId="77777777" w:rsidR="00093BD7" w:rsidRPr="007F2E0A" w:rsidRDefault="00093BD7" w:rsidP="00093BD7">
            <w:pPr>
              <w:spacing w:line="360" w:lineRule="auto"/>
              <w:jc w:val="both"/>
              <w:rPr>
                <w:rFonts w:ascii="Arial" w:hAnsi="Arial" w:cs="Arial"/>
                <w:b/>
                <w:bCs/>
                <w:sz w:val="20"/>
                <w:szCs w:val="20"/>
              </w:rPr>
            </w:pPr>
          </w:p>
        </w:tc>
        <w:tc>
          <w:tcPr>
            <w:tcW w:w="836" w:type="dxa"/>
            <w:vMerge/>
          </w:tcPr>
          <w:p w14:paraId="5CB082FD" w14:textId="77777777" w:rsidR="00093BD7" w:rsidRPr="007F2E0A" w:rsidRDefault="00093BD7" w:rsidP="00093BD7">
            <w:pPr>
              <w:spacing w:line="360" w:lineRule="auto"/>
              <w:jc w:val="both"/>
              <w:rPr>
                <w:rFonts w:ascii="Arial" w:hAnsi="Arial" w:cs="Arial"/>
                <w:b/>
                <w:bCs/>
                <w:sz w:val="20"/>
                <w:szCs w:val="20"/>
              </w:rPr>
            </w:pPr>
          </w:p>
        </w:tc>
        <w:tc>
          <w:tcPr>
            <w:tcW w:w="960" w:type="dxa"/>
          </w:tcPr>
          <w:p w14:paraId="7A9E1739" w14:textId="47B73FC6"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11</w:t>
            </w:r>
          </w:p>
        </w:tc>
        <w:tc>
          <w:tcPr>
            <w:tcW w:w="1134" w:type="dxa"/>
          </w:tcPr>
          <w:p w14:paraId="1DEDD474" w14:textId="5C1670C9"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22</w:t>
            </w:r>
          </w:p>
        </w:tc>
        <w:tc>
          <w:tcPr>
            <w:tcW w:w="1134" w:type="dxa"/>
            <w:vMerge/>
          </w:tcPr>
          <w:p w14:paraId="47FC2B99" w14:textId="77777777" w:rsidR="00093BD7" w:rsidRPr="007F2E0A" w:rsidRDefault="00093BD7" w:rsidP="00093BD7">
            <w:pPr>
              <w:spacing w:line="360" w:lineRule="auto"/>
              <w:jc w:val="both"/>
              <w:rPr>
                <w:rFonts w:ascii="Arial" w:hAnsi="Arial" w:cs="Arial"/>
                <w:b/>
                <w:bCs/>
                <w:sz w:val="20"/>
                <w:szCs w:val="20"/>
              </w:rPr>
            </w:pPr>
          </w:p>
        </w:tc>
        <w:tc>
          <w:tcPr>
            <w:tcW w:w="799" w:type="dxa"/>
            <w:vMerge/>
          </w:tcPr>
          <w:p w14:paraId="30217509" w14:textId="77777777" w:rsidR="00093BD7" w:rsidRPr="007F2E0A" w:rsidRDefault="00093BD7" w:rsidP="00093BD7">
            <w:pPr>
              <w:spacing w:line="360" w:lineRule="auto"/>
              <w:jc w:val="both"/>
              <w:rPr>
                <w:rFonts w:ascii="Arial" w:hAnsi="Arial" w:cs="Arial"/>
                <w:b/>
                <w:bCs/>
                <w:sz w:val="20"/>
                <w:szCs w:val="20"/>
              </w:rPr>
            </w:pPr>
          </w:p>
        </w:tc>
      </w:tr>
      <w:tr w:rsidR="00093BD7" w:rsidRPr="007F2E0A" w14:paraId="545F95D4" w14:textId="77777777" w:rsidTr="00093BD7">
        <w:tc>
          <w:tcPr>
            <w:tcW w:w="1268" w:type="dxa"/>
          </w:tcPr>
          <w:p w14:paraId="4EE25C59" w14:textId="2EB54EE4" w:rsidR="00093BD7" w:rsidRPr="007F2E0A" w:rsidRDefault="00093BD7" w:rsidP="00093BD7">
            <w:pPr>
              <w:spacing w:line="360" w:lineRule="auto"/>
              <w:jc w:val="both"/>
              <w:rPr>
                <w:rFonts w:ascii="Arial" w:hAnsi="Arial" w:cs="Arial"/>
                <w:b/>
                <w:bCs/>
                <w:sz w:val="20"/>
                <w:szCs w:val="20"/>
              </w:rPr>
            </w:pPr>
            <w:r w:rsidRPr="007F2E0A">
              <w:rPr>
                <w:rFonts w:ascii="Arial" w:hAnsi="Arial" w:cs="Arial"/>
                <w:b/>
                <w:bCs/>
                <w:sz w:val="20"/>
                <w:szCs w:val="20"/>
              </w:rPr>
              <w:t>Low</w:t>
            </w:r>
          </w:p>
        </w:tc>
        <w:tc>
          <w:tcPr>
            <w:tcW w:w="854" w:type="dxa"/>
          </w:tcPr>
          <w:p w14:paraId="5CFDB33F" w14:textId="48447E2B"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4</w:t>
            </w:r>
          </w:p>
        </w:tc>
        <w:tc>
          <w:tcPr>
            <w:tcW w:w="992" w:type="dxa"/>
          </w:tcPr>
          <w:p w14:paraId="0BD26DD4" w14:textId="06A91729"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8</w:t>
            </w:r>
          </w:p>
        </w:tc>
        <w:tc>
          <w:tcPr>
            <w:tcW w:w="1039" w:type="dxa"/>
            <w:vMerge/>
          </w:tcPr>
          <w:p w14:paraId="22CC0DBF" w14:textId="77777777" w:rsidR="00093BD7" w:rsidRPr="007F2E0A" w:rsidRDefault="00093BD7" w:rsidP="00093BD7">
            <w:pPr>
              <w:spacing w:line="360" w:lineRule="auto"/>
              <w:jc w:val="both"/>
              <w:rPr>
                <w:rFonts w:ascii="Arial" w:hAnsi="Arial" w:cs="Arial"/>
                <w:b/>
                <w:bCs/>
                <w:sz w:val="20"/>
                <w:szCs w:val="20"/>
              </w:rPr>
            </w:pPr>
          </w:p>
        </w:tc>
        <w:tc>
          <w:tcPr>
            <w:tcW w:w="836" w:type="dxa"/>
            <w:vMerge/>
          </w:tcPr>
          <w:p w14:paraId="093826EA" w14:textId="77777777" w:rsidR="00093BD7" w:rsidRPr="007F2E0A" w:rsidRDefault="00093BD7" w:rsidP="00093BD7">
            <w:pPr>
              <w:spacing w:line="360" w:lineRule="auto"/>
              <w:jc w:val="both"/>
              <w:rPr>
                <w:rFonts w:ascii="Arial" w:hAnsi="Arial" w:cs="Arial"/>
                <w:b/>
                <w:bCs/>
                <w:sz w:val="20"/>
                <w:szCs w:val="20"/>
              </w:rPr>
            </w:pPr>
          </w:p>
        </w:tc>
        <w:tc>
          <w:tcPr>
            <w:tcW w:w="960" w:type="dxa"/>
          </w:tcPr>
          <w:p w14:paraId="4A39A045" w14:textId="63F1B166"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3</w:t>
            </w:r>
          </w:p>
        </w:tc>
        <w:tc>
          <w:tcPr>
            <w:tcW w:w="1134" w:type="dxa"/>
          </w:tcPr>
          <w:p w14:paraId="1FC658ED" w14:textId="4A2F82DA" w:rsidR="00093BD7" w:rsidRPr="007F2E0A" w:rsidRDefault="00093BD7" w:rsidP="00093BD7">
            <w:pPr>
              <w:spacing w:line="360" w:lineRule="auto"/>
              <w:jc w:val="both"/>
              <w:rPr>
                <w:rFonts w:ascii="Arial" w:hAnsi="Arial" w:cs="Arial"/>
                <w:b/>
                <w:bCs/>
                <w:sz w:val="20"/>
                <w:szCs w:val="20"/>
              </w:rPr>
            </w:pPr>
            <w:r w:rsidRPr="007F2E0A">
              <w:rPr>
                <w:rFonts w:ascii="Arial" w:hAnsi="Arial" w:cs="Arial"/>
                <w:sz w:val="20"/>
                <w:szCs w:val="20"/>
              </w:rPr>
              <w:t>6</w:t>
            </w:r>
          </w:p>
        </w:tc>
        <w:tc>
          <w:tcPr>
            <w:tcW w:w="1134" w:type="dxa"/>
            <w:vMerge/>
          </w:tcPr>
          <w:p w14:paraId="174E381E" w14:textId="77777777" w:rsidR="00093BD7" w:rsidRPr="007F2E0A" w:rsidRDefault="00093BD7" w:rsidP="00093BD7">
            <w:pPr>
              <w:spacing w:line="360" w:lineRule="auto"/>
              <w:jc w:val="both"/>
              <w:rPr>
                <w:rFonts w:ascii="Arial" w:hAnsi="Arial" w:cs="Arial"/>
                <w:b/>
                <w:bCs/>
                <w:sz w:val="20"/>
                <w:szCs w:val="20"/>
              </w:rPr>
            </w:pPr>
          </w:p>
        </w:tc>
        <w:tc>
          <w:tcPr>
            <w:tcW w:w="799" w:type="dxa"/>
            <w:vMerge/>
          </w:tcPr>
          <w:p w14:paraId="2ECB9D55" w14:textId="77777777" w:rsidR="00093BD7" w:rsidRPr="007F2E0A" w:rsidRDefault="00093BD7" w:rsidP="00093BD7">
            <w:pPr>
              <w:spacing w:line="360" w:lineRule="auto"/>
              <w:jc w:val="both"/>
              <w:rPr>
                <w:rFonts w:ascii="Arial" w:hAnsi="Arial" w:cs="Arial"/>
                <w:b/>
                <w:bCs/>
                <w:sz w:val="20"/>
                <w:szCs w:val="20"/>
              </w:rPr>
            </w:pPr>
          </w:p>
        </w:tc>
      </w:tr>
    </w:tbl>
    <w:p w14:paraId="636C8662" w14:textId="77777777" w:rsidR="00093BD7" w:rsidRPr="007F2E0A" w:rsidRDefault="00093BD7" w:rsidP="00093BD7">
      <w:pPr>
        <w:spacing w:after="0" w:line="360" w:lineRule="auto"/>
        <w:jc w:val="both"/>
        <w:rPr>
          <w:rFonts w:ascii="Arial" w:hAnsi="Arial" w:cs="Arial"/>
          <w:sz w:val="20"/>
          <w:szCs w:val="20"/>
        </w:rPr>
      </w:pPr>
    </w:p>
    <w:p w14:paraId="6456A6DB" w14:textId="48042E2E" w:rsidR="00045E75" w:rsidRPr="007F2E0A" w:rsidRDefault="00045E75" w:rsidP="00093BD7">
      <w:pPr>
        <w:spacing w:after="0" w:line="360" w:lineRule="auto"/>
        <w:jc w:val="both"/>
        <w:rPr>
          <w:rFonts w:ascii="Arial" w:hAnsi="Arial" w:cs="Arial"/>
          <w:sz w:val="20"/>
          <w:szCs w:val="20"/>
        </w:rPr>
      </w:pPr>
      <w:r w:rsidRPr="007F2E0A">
        <w:rPr>
          <w:rFonts w:ascii="Arial" w:hAnsi="Arial" w:cs="Arial"/>
          <w:sz w:val="20"/>
          <w:szCs w:val="20"/>
        </w:rPr>
        <w:t xml:space="preserve">Contrary to this, respondents with a low level of knowledge on gender education are greater in Assamese medium preschools (8%) compared to English medium preschools (6%), indicating possible inconsistencies in the effectiveness of gender education among the Assamese medium preschool respondents. Research suggests that teachers are getting more knowledge about gender-related topics and concerns. Early childhood educators have lately begun to recognize the complexities of gender </w:t>
      </w:r>
      <w:r w:rsidRPr="007F2E0A">
        <w:rPr>
          <w:rFonts w:ascii="Arial" w:hAnsi="Arial" w:cs="Arial"/>
          <w:sz w:val="20"/>
          <w:szCs w:val="20"/>
        </w:rPr>
        <w:lastRenderedPageBreak/>
        <w:t>identity and expression, reflecting shifts in society (Begum, 2011; Islamiyah &amp; Suparno, 2019; Li, 2023). The need for policy intervention influence on gender-sensitive teaching practices (Subramanian, 2019; Waters, 2019).</w:t>
      </w:r>
    </w:p>
    <w:p w14:paraId="6B3CE729" w14:textId="246F871B" w:rsidR="0043558C" w:rsidRPr="007F2E0A" w:rsidRDefault="007F2E0A" w:rsidP="007F2E0A">
      <w:pPr>
        <w:pStyle w:val="ListParagraph"/>
        <w:numPr>
          <w:ilvl w:val="0"/>
          <w:numId w:val="2"/>
        </w:numPr>
        <w:spacing w:after="0" w:line="360" w:lineRule="auto"/>
        <w:jc w:val="both"/>
        <w:rPr>
          <w:rFonts w:ascii="Arial" w:hAnsi="Arial" w:cs="Arial"/>
          <w:b/>
          <w:bCs/>
        </w:rPr>
      </w:pPr>
      <w:r w:rsidRPr="007F2E0A">
        <w:rPr>
          <w:rFonts w:ascii="Arial" w:hAnsi="Arial" w:cs="Arial"/>
          <w:b/>
          <w:bCs/>
        </w:rPr>
        <w:t>CONCLUSION</w:t>
      </w:r>
    </w:p>
    <w:p w14:paraId="27DFE758" w14:textId="66119208" w:rsidR="0043558C" w:rsidRPr="007F2E0A" w:rsidRDefault="0043558C" w:rsidP="00473811">
      <w:pPr>
        <w:spacing w:after="0" w:line="360" w:lineRule="auto"/>
        <w:jc w:val="both"/>
        <w:rPr>
          <w:rFonts w:ascii="Arial" w:hAnsi="Arial" w:cs="Arial"/>
          <w:sz w:val="20"/>
          <w:szCs w:val="20"/>
        </w:rPr>
      </w:pPr>
      <w:r w:rsidRPr="007F2E0A">
        <w:rPr>
          <w:rFonts w:ascii="Arial" w:hAnsi="Arial" w:cs="Arial"/>
          <w:sz w:val="20"/>
          <w:szCs w:val="20"/>
        </w:rPr>
        <w:t>The study findings indicate that both Assamese and English medium preschool teachers exhibit a robust understanding of gender-related concepts, particularly in</w:t>
      </w:r>
      <w:r w:rsidR="006434AD" w:rsidRPr="007F2E0A">
        <w:rPr>
          <w:rFonts w:ascii="Arial" w:hAnsi="Arial" w:cs="Arial"/>
          <w:sz w:val="20"/>
          <w:szCs w:val="20"/>
        </w:rPr>
        <w:t xml:space="preserve"> </w:t>
      </w:r>
      <w:r w:rsidRPr="007F2E0A">
        <w:rPr>
          <w:rFonts w:ascii="Arial" w:hAnsi="Arial" w:cs="Arial"/>
          <w:sz w:val="20"/>
          <w:szCs w:val="20"/>
        </w:rPr>
        <w:t>curriculum and pedagogy. However, certain areas, including gender-neutral language and institutional policies and practices</w:t>
      </w:r>
      <w:r w:rsidR="006434AD" w:rsidRPr="007F2E0A">
        <w:rPr>
          <w:rFonts w:ascii="Arial" w:hAnsi="Arial" w:cs="Arial"/>
          <w:sz w:val="20"/>
          <w:szCs w:val="20"/>
        </w:rPr>
        <w:t>,</w:t>
      </w:r>
      <w:r w:rsidRPr="007F2E0A">
        <w:rPr>
          <w:rFonts w:ascii="Arial" w:hAnsi="Arial" w:cs="Arial"/>
          <w:sz w:val="20"/>
          <w:szCs w:val="20"/>
        </w:rPr>
        <w:t xml:space="preserve"> necessitate further improvement. The study revealed that the level of knowledge of preschool teachers of both the mediums </w:t>
      </w:r>
      <w:r w:rsidR="006434AD" w:rsidRPr="007F2E0A">
        <w:rPr>
          <w:rFonts w:ascii="Arial" w:hAnsi="Arial" w:cs="Arial"/>
          <w:sz w:val="20"/>
          <w:szCs w:val="20"/>
        </w:rPr>
        <w:t>has</w:t>
      </w:r>
      <w:r w:rsidRPr="007F2E0A">
        <w:rPr>
          <w:rFonts w:ascii="Arial" w:hAnsi="Arial" w:cs="Arial"/>
          <w:sz w:val="20"/>
          <w:szCs w:val="20"/>
        </w:rPr>
        <w:t xml:space="preserve"> </w:t>
      </w:r>
      <w:r w:rsidR="006434AD" w:rsidRPr="007F2E0A">
        <w:rPr>
          <w:rFonts w:ascii="Arial" w:hAnsi="Arial" w:cs="Arial"/>
          <w:sz w:val="20"/>
          <w:szCs w:val="20"/>
        </w:rPr>
        <w:t xml:space="preserve">a </w:t>
      </w:r>
      <w:r w:rsidRPr="007F2E0A">
        <w:rPr>
          <w:rFonts w:ascii="Arial" w:hAnsi="Arial" w:cs="Arial"/>
          <w:sz w:val="20"/>
          <w:szCs w:val="20"/>
        </w:rPr>
        <w:t>similar knowledge level</w:t>
      </w:r>
      <w:r w:rsidR="006434AD" w:rsidRPr="007F2E0A">
        <w:rPr>
          <w:rFonts w:ascii="Arial" w:hAnsi="Arial" w:cs="Arial"/>
          <w:sz w:val="20"/>
          <w:szCs w:val="20"/>
        </w:rPr>
        <w:t>,</w:t>
      </w:r>
      <w:r w:rsidRPr="007F2E0A">
        <w:rPr>
          <w:rFonts w:ascii="Arial" w:hAnsi="Arial" w:cs="Arial"/>
          <w:sz w:val="20"/>
          <w:szCs w:val="20"/>
        </w:rPr>
        <w:t xml:space="preserve"> indicating that language medium does not </w:t>
      </w:r>
      <w:r w:rsidR="006434AD" w:rsidRPr="007F2E0A">
        <w:rPr>
          <w:rFonts w:ascii="Arial" w:hAnsi="Arial" w:cs="Arial"/>
          <w:sz w:val="20"/>
          <w:szCs w:val="20"/>
        </w:rPr>
        <w:t>have</w:t>
      </w:r>
      <w:r w:rsidRPr="007F2E0A">
        <w:rPr>
          <w:rFonts w:ascii="Arial" w:hAnsi="Arial" w:cs="Arial"/>
          <w:sz w:val="20"/>
          <w:szCs w:val="20"/>
        </w:rPr>
        <w:t xml:space="preserve"> any </w:t>
      </w:r>
      <w:r w:rsidR="006434AD" w:rsidRPr="007F2E0A">
        <w:rPr>
          <w:rFonts w:ascii="Arial" w:hAnsi="Arial" w:cs="Arial"/>
          <w:sz w:val="20"/>
          <w:szCs w:val="20"/>
        </w:rPr>
        <w:t>basis</w:t>
      </w:r>
      <w:r w:rsidRPr="007F2E0A">
        <w:rPr>
          <w:rFonts w:ascii="Arial" w:hAnsi="Arial" w:cs="Arial"/>
          <w:sz w:val="20"/>
          <w:szCs w:val="20"/>
        </w:rPr>
        <w:t xml:space="preserve"> in knowledge level regarding gender education. Interpreting the statements and knowledge levels, it can be assumed that the preschool teachers of both the mediums of instruction have adequate knowledge regarding gender education, but regarding the practices, they may tend to express their ingrained biases while imparting gender education to children. This underscores the need to implement professional training and sensitization programs to bolster teachers’ confidence and capacity to cultivate gender-inclusive classrooms. </w:t>
      </w:r>
      <w:r w:rsidR="006434AD" w:rsidRPr="007F2E0A">
        <w:rPr>
          <w:rFonts w:ascii="Arial" w:hAnsi="Arial" w:cs="Arial"/>
          <w:sz w:val="20"/>
          <w:szCs w:val="20"/>
        </w:rPr>
        <w:t>By</w:t>
      </w:r>
      <w:r w:rsidRPr="007F2E0A">
        <w:rPr>
          <w:rFonts w:ascii="Arial" w:hAnsi="Arial" w:cs="Arial"/>
          <w:sz w:val="20"/>
          <w:szCs w:val="20"/>
        </w:rPr>
        <w:t xml:space="preserve"> addressing these gaps through comprehensive training and curriculum reforms,</w:t>
      </w:r>
      <w:r w:rsidR="00207D3F" w:rsidRPr="007F2E0A">
        <w:rPr>
          <w:rFonts w:ascii="Arial" w:hAnsi="Arial" w:cs="Arial"/>
          <w:sz w:val="20"/>
          <w:szCs w:val="20"/>
        </w:rPr>
        <w:t xml:space="preserve"> early childhood educational practices can</w:t>
      </w:r>
      <w:r w:rsidR="006434AD" w:rsidRPr="007F2E0A">
        <w:rPr>
          <w:rFonts w:ascii="Arial" w:hAnsi="Arial" w:cs="Arial"/>
          <w:sz w:val="20"/>
          <w:szCs w:val="20"/>
        </w:rPr>
        <w:t xml:space="preserve"> </w:t>
      </w:r>
      <w:r w:rsidR="00207D3F" w:rsidRPr="007F2E0A">
        <w:rPr>
          <w:rFonts w:ascii="Arial" w:hAnsi="Arial" w:cs="Arial"/>
          <w:sz w:val="20"/>
          <w:szCs w:val="20"/>
        </w:rPr>
        <w:t xml:space="preserve">contribute to the advancement of gender </w:t>
      </w:r>
      <w:r w:rsidR="006434AD" w:rsidRPr="007F2E0A">
        <w:rPr>
          <w:rFonts w:ascii="Arial" w:hAnsi="Arial" w:cs="Arial"/>
          <w:sz w:val="20"/>
          <w:szCs w:val="20"/>
        </w:rPr>
        <w:t>equity, inclusive</w:t>
      </w:r>
      <w:r w:rsidR="00207D3F" w:rsidRPr="007F2E0A">
        <w:rPr>
          <w:rFonts w:ascii="Arial" w:hAnsi="Arial" w:cs="Arial"/>
          <w:sz w:val="20"/>
          <w:szCs w:val="20"/>
        </w:rPr>
        <w:t xml:space="preserve"> education systems</w:t>
      </w:r>
      <w:r w:rsidR="006434AD" w:rsidRPr="007F2E0A">
        <w:rPr>
          <w:rFonts w:ascii="Arial" w:hAnsi="Arial" w:cs="Arial"/>
          <w:sz w:val="20"/>
          <w:szCs w:val="20"/>
        </w:rPr>
        <w:t>,</w:t>
      </w:r>
      <w:r w:rsidR="00207D3F" w:rsidRPr="007F2E0A">
        <w:rPr>
          <w:rFonts w:ascii="Arial" w:hAnsi="Arial" w:cs="Arial"/>
          <w:sz w:val="20"/>
          <w:szCs w:val="20"/>
        </w:rPr>
        <w:t xml:space="preserve"> and promote equitable social and economic development outcomes at the societal level.</w:t>
      </w:r>
    </w:p>
    <w:p w14:paraId="53BAE6F2" w14:textId="39B537A3" w:rsidR="0043558C" w:rsidRPr="007F2E0A" w:rsidRDefault="007F2E0A" w:rsidP="007F2E0A">
      <w:pPr>
        <w:spacing w:after="0" w:line="360" w:lineRule="auto"/>
        <w:jc w:val="both"/>
        <w:rPr>
          <w:rFonts w:ascii="Arial" w:hAnsi="Arial" w:cs="Arial"/>
          <w:b/>
          <w:bCs/>
        </w:rPr>
      </w:pPr>
      <w:r w:rsidRPr="007F2E0A">
        <w:rPr>
          <w:rFonts w:ascii="Arial" w:hAnsi="Arial" w:cs="Arial"/>
          <w:b/>
          <w:bCs/>
        </w:rPr>
        <w:t>RECOMMENDATIONS</w:t>
      </w:r>
    </w:p>
    <w:p w14:paraId="28F471D4" w14:textId="11692407" w:rsidR="00207D3F" w:rsidRPr="007F2E0A" w:rsidRDefault="00021BF1" w:rsidP="00473811">
      <w:pPr>
        <w:spacing w:after="0" w:line="360" w:lineRule="auto"/>
        <w:jc w:val="both"/>
        <w:rPr>
          <w:rFonts w:ascii="Arial" w:hAnsi="Arial" w:cs="Arial"/>
          <w:sz w:val="20"/>
          <w:szCs w:val="20"/>
        </w:rPr>
      </w:pPr>
      <w:r w:rsidRPr="007F2E0A">
        <w:rPr>
          <w:rFonts w:ascii="Arial" w:hAnsi="Arial" w:cs="Arial"/>
          <w:sz w:val="20"/>
          <w:szCs w:val="20"/>
        </w:rPr>
        <w:t>It is essential to d</w:t>
      </w:r>
      <w:r w:rsidR="00207D3F" w:rsidRPr="007F2E0A">
        <w:rPr>
          <w:rFonts w:ascii="Arial" w:hAnsi="Arial" w:cs="Arial"/>
          <w:sz w:val="20"/>
          <w:szCs w:val="20"/>
        </w:rPr>
        <w:t>evelop and disseminate resources that support gender-sensitive pedagogy, particularly focusing on institutional policies, gender-neutral language, and inclusive materials</w:t>
      </w:r>
      <w:r w:rsidR="0043558C" w:rsidRPr="007F2E0A">
        <w:rPr>
          <w:rFonts w:ascii="Arial" w:hAnsi="Arial" w:cs="Arial"/>
          <w:sz w:val="20"/>
          <w:szCs w:val="20"/>
        </w:rPr>
        <w:t xml:space="preserve">. </w:t>
      </w:r>
      <w:r w:rsidRPr="007F2E0A">
        <w:rPr>
          <w:rFonts w:ascii="Arial" w:hAnsi="Arial" w:cs="Arial"/>
          <w:sz w:val="20"/>
          <w:szCs w:val="20"/>
        </w:rPr>
        <w:t xml:space="preserve">Schools should actively engage families and communities as collaborative partners </w:t>
      </w:r>
      <w:r w:rsidR="00207D3F" w:rsidRPr="007F2E0A">
        <w:rPr>
          <w:rFonts w:ascii="Arial" w:hAnsi="Arial" w:cs="Arial"/>
          <w:sz w:val="20"/>
          <w:szCs w:val="20"/>
        </w:rPr>
        <w:t xml:space="preserve">to reinforce gender-equitable values, fostering a collective investment in long-term human development. </w:t>
      </w:r>
      <w:r w:rsidRPr="007F2E0A">
        <w:rPr>
          <w:rFonts w:ascii="Arial" w:hAnsi="Arial" w:cs="Arial"/>
          <w:sz w:val="20"/>
          <w:szCs w:val="20"/>
        </w:rPr>
        <w:t>Additionally, c</w:t>
      </w:r>
      <w:r w:rsidR="00207D3F" w:rsidRPr="007F2E0A">
        <w:rPr>
          <w:rFonts w:ascii="Arial" w:hAnsi="Arial" w:cs="Arial"/>
          <w:sz w:val="20"/>
          <w:szCs w:val="20"/>
        </w:rPr>
        <w:t xml:space="preserve">onducting longitudinal studies to assess </w:t>
      </w:r>
      <w:r w:rsidRPr="007F2E0A">
        <w:rPr>
          <w:rFonts w:ascii="Arial" w:hAnsi="Arial" w:cs="Arial"/>
          <w:sz w:val="20"/>
          <w:szCs w:val="20"/>
        </w:rPr>
        <w:t>the impact of</w:t>
      </w:r>
      <w:r w:rsidR="00207D3F" w:rsidRPr="007F2E0A">
        <w:rPr>
          <w:rFonts w:ascii="Arial" w:hAnsi="Arial" w:cs="Arial"/>
          <w:sz w:val="20"/>
          <w:szCs w:val="20"/>
        </w:rPr>
        <w:t xml:space="preserve"> early gender education practices </w:t>
      </w:r>
      <w:r w:rsidRPr="007F2E0A">
        <w:rPr>
          <w:rFonts w:ascii="Arial" w:hAnsi="Arial" w:cs="Arial"/>
          <w:sz w:val="20"/>
          <w:szCs w:val="20"/>
        </w:rPr>
        <w:t>on</w:t>
      </w:r>
      <w:r w:rsidR="00207D3F" w:rsidRPr="007F2E0A">
        <w:rPr>
          <w:rFonts w:ascii="Arial" w:hAnsi="Arial" w:cs="Arial"/>
          <w:sz w:val="20"/>
          <w:szCs w:val="20"/>
        </w:rPr>
        <w:t xml:space="preserve"> students’ academic, professional and social trajectories, thus informing future interventions. </w:t>
      </w:r>
    </w:p>
    <w:p w14:paraId="1AEA10A2" w14:textId="517791A1" w:rsidR="0043558C" w:rsidRPr="007F2E0A" w:rsidRDefault="007F2E0A" w:rsidP="007F2E0A">
      <w:pPr>
        <w:spacing w:after="0" w:line="360" w:lineRule="auto"/>
        <w:jc w:val="both"/>
        <w:rPr>
          <w:rFonts w:ascii="Arial" w:hAnsi="Arial" w:cs="Arial"/>
        </w:rPr>
      </w:pPr>
      <w:r w:rsidRPr="007F2E0A">
        <w:rPr>
          <w:rFonts w:ascii="Arial" w:hAnsi="Arial" w:cs="Arial"/>
          <w:b/>
          <w:bCs/>
        </w:rPr>
        <w:t>LIMITATIONS</w:t>
      </w:r>
    </w:p>
    <w:p w14:paraId="208CC622" w14:textId="28FEF279" w:rsidR="0043558C" w:rsidRPr="007F2E0A" w:rsidRDefault="0043558C" w:rsidP="009F548D">
      <w:pPr>
        <w:spacing w:after="0" w:line="360" w:lineRule="auto"/>
        <w:jc w:val="both"/>
        <w:rPr>
          <w:rFonts w:ascii="Arial" w:hAnsi="Arial" w:cs="Arial"/>
          <w:sz w:val="20"/>
          <w:szCs w:val="20"/>
        </w:rPr>
      </w:pPr>
      <w:r w:rsidRPr="007F2E0A">
        <w:rPr>
          <w:rFonts w:ascii="Arial" w:hAnsi="Arial" w:cs="Arial"/>
          <w:sz w:val="20"/>
          <w:szCs w:val="20"/>
        </w:rPr>
        <w:t>All respondents were female, with no male or non-binary participants included in the study, as only female teachers were considered in the foundational level of education. This lack of representation limits the diversity of the sample in terms of gender.</w:t>
      </w:r>
      <w:r w:rsidRPr="007F2E0A">
        <w:rPr>
          <w:rFonts w:ascii="Arial" w:hAnsi="Arial" w:cs="Arial"/>
          <w:sz w:val="20"/>
          <w:szCs w:val="20"/>
        </w:rPr>
        <w:tab/>
      </w:r>
    </w:p>
    <w:p w14:paraId="5399D16E" w14:textId="28D369C1" w:rsidR="0043558C" w:rsidRPr="007F2E0A" w:rsidRDefault="007F2E0A" w:rsidP="007F2E0A">
      <w:pPr>
        <w:spacing w:after="0" w:line="360" w:lineRule="auto"/>
        <w:jc w:val="both"/>
        <w:rPr>
          <w:rFonts w:ascii="Arial" w:hAnsi="Arial" w:cs="Arial"/>
          <w:b/>
          <w:bCs/>
        </w:rPr>
      </w:pPr>
      <w:r w:rsidRPr="007F2E0A">
        <w:rPr>
          <w:rFonts w:ascii="Arial" w:hAnsi="Arial" w:cs="Arial"/>
          <w:b/>
          <w:bCs/>
        </w:rPr>
        <w:t>ETHICAL APPROVAL STATEMENT</w:t>
      </w:r>
    </w:p>
    <w:p w14:paraId="4F0442F3" w14:textId="77777777" w:rsidR="0043558C" w:rsidRPr="007F2E0A" w:rsidRDefault="0043558C" w:rsidP="00907191">
      <w:pPr>
        <w:spacing w:after="0" w:line="360" w:lineRule="auto"/>
        <w:jc w:val="both"/>
        <w:rPr>
          <w:rFonts w:ascii="Arial" w:hAnsi="Arial" w:cs="Arial"/>
          <w:sz w:val="20"/>
          <w:szCs w:val="20"/>
        </w:rPr>
      </w:pPr>
      <w:r w:rsidRPr="007F2E0A">
        <w:rPr>
          <w:rFonts w:ascii="Arial" w:hAnsi="Arial" w:cs="Arial"/>
          <w:sz w:val="20"/>
          <w:szCs w:val="20"/>
        </w:rPr>
        <w:t>Informed consent was obtained from all the participants who agreed to participate in this study. Additionally, the participants were duly informed about the confidentiality of the research findings, ensuring their privacy was protected. It was explicitly communicated to the participants that they retain the privilege to withdraw from the study at any point. The data collected was solely used for academic purposes.</w:t>
      </w:r>
    </w:p>
    <w:p w14:paraId="06B6122A" w14:textId="673BD796" w:rsidR="00277A84" w:rsidRPr="00C81754" w:rsidRDefault="00C81754" w:rsidP="00C81754">
      <w:pPr>
        <w:jc w:val="both"/>
        <w:rPr>
          <w:rFonts w:ascii="Arial" w:eastAsia="Calibri" w:hAnsi="Arial" w:cs="Arial"/>
          <w:b/>
          <w:bCs/>
          <w:lang w:val="en-US"/>
        </w:rPr>
      </w:pPr>
      <w:bookmarkStart w:id="2" w:name="_Hlk204003461"/>
      <w:bookmarkStart w:id="3" w:name="_Hlk212284750"/>
      <w:r w:rsidRPr="00C81754">
        <w:rPr>
          <w:rFonts w:ascii="Arial" w:eastAsia="Calibri" w:hAnsi="Arial" w:cs="Arial"/>
          <w:b/>
          <w:bCs/>
          <w:lang w:val="en-US"/>
        </w:rPr>
        <w:t>DISCLAIMER (ARTIFICIAL INTELLIGENCE)</w:t>
      </w:r>
    </w:p>
    <w:p w14:paraId="5927402A" w14:textId="404D7C8B" w:rsidR="00277A84" w:rsidRPr="00C81754" w:rsidRDefault="00277A84" w:rsidP="00C81754">
      <w:pPr>
        <w:jc w:val="both"/>
        <w:rPr>
          <w:rFonts w:ascii="Arial" w:eastAsia="Calibri" w:hAnsi="Arial" w:cs="Arial"/>
          <w:sz w:val="20"/>
          <w:szCs w:val="20"/>
          <w:lang w:val="en-US"/>
        </w:rPr>
      </w:pPr>
      <w:r w:rsidRPr="00C81754">
        <w:rPr>
          <w:rFonts w:ascii="Arial" w:eastAsia="Calibri"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bookmarkEnd w:id="2"/>
      <w:bookmarkEnd w:id="3"/>
    </w:p>
    <w:p w14:paraId="67025215" w14:textId="6E5F4541" w:rsidR="0043558C" w:rsidRPr="007F2E0A" w:rsidRDefault="009F548D" w:rsidP="0043558C">
      <w:pPr>
        <w:spacing w:after="0" w:line="360" w:lineRule="auto"/>
        <w:jc w:val="both"/>
        <w:rPr>
          <w:rFonts w:ascii="Arial" w:hAnsi="Arial" w:cs="Arial"/>
          <w:b/>
          <w:bCs/>
        </w:rPr>
      </w:pPr>
      <w:r w:rsidRPr="007F2E0A">
        <w:rPr>
          <w:rFonts w:ascii="Arial" w:hAnsi="Arial" w:cs="Arial"/>
          <w:b/>
          <w:bCs/>
        </w:rPr>
        <w:t>REFERENCES</w:t>
      </w:r>
    </w:p>
    <w:p w14:paraId="5F13E1AB"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lastRenderedPageBreak/>
        <w:t>Begum, Z. (2011). </w:t>
      </w:r>
      <w:r w:rsidRPr="007F2E0A">
        <w:rPr>
          <w:rFonts w:ascii="Arial" w:hAnsi="Arial" w:cs="Arial"/>
          <w:i/>
          <w:iCs/>
          <w:sz w:val="20"/>
          <w:szCs w:val="20"/>
        </w:rPr>
        <w:t>Gender-related knowledge and practice in pre-school education: the case of succeed</w:t>
      </w:r>
      <w:r w:rsidRPr="007F2E0A">
        <w:rPr>
          <w:rFonts w:ascii="Arial" w:hAnsi="Arial" w:cs="Arial"/>
          <w:sz w:val="20"/>
          <w:szCs w:val="20"/>
        </w:rPr>
        <w:t> (Doctoral dissertation, BRAC University).</w:t>
      </w:r>
    </w:p>
    <w:p w14:paraId="18C5487F"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Bem, S. L. (1981). Gender schema theory: A cognitive account of sex typing. </w:t>
      </w:r>
      <w:r w:rsidRPr="007F2E0A">
        <w:rPr>
          <w:rFonts w:ascii="Arial" w:hAnsi="Arial" w:cs="Arial"/>
          <w:i/>
          <w:iCs/>
          <w:sz w:val="20"/>
          <w:szCs w:val="20"/>
        </w:rPr>
        <w:t>Psychological review</w:t>
      </w:r>
      <w:r w:rsidRPr="007F2E0A">
        <w:rPr>
          <w:rFonts w:ascii="Arial" w:hAnsi="Arial" w:cs="Arial"/>
          <w:sz w:val="20"/>
          <w:szCs w:val="20"/>
        </w:rPr>
        <w:t xml:space="preserve">, </w:t>
      </w:r>
      <w:r w:rsidRPr="007F2E0A">
        <w:rPr>
          <w:rFonts w:ascii="Arial" w:hAnsi="Arial" w:cs="Arial"/>
          <w:i/>
          <w:iCs/>
          <w:sz w:val="20"/>
          <w:szCs w:val="20"/>
        </w:rPr>
        <w:t>88</w:t>
      </w:r>
      <w:r w:rsidRPr="007F2E0A">
        <w:rPr>
          <w:rFonts w:ascii="Arial" w:hAnsi="Arial" w:cs="Arial"/>
          <w:sz w:val="20"/>
          <w:szCs w:val="20"/>
        </w:rPr>
        <w:t>(4), 354-364.</w:t>
      </w:r>
    </w:p>
    <w:p w14:paraId="637AEEC6"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Benham, F. (2024). </w:t>
      </w:r>
      <w:r w:rsidRPr="007F2E0A">
        <w:rPr>
          <w:rFonts w:ascii="Arial" w:hAnsi="Arial" w:cs="Arial"/>
          <w:i/>
          <w:iCs/>
          <w:sz w:val="20"/>
          <w:szCs w:val="20"/>
        </w:rPr>
        <w:t>Supporting Wellbeing through Gender-Inclusive Practices: A Practical Guide for Early Years Educators</w:t>
      </w:r>
      <w:r w:rsidRPr="007F2E0A">
        <w:rPr>
          <w:rFonts w:ascii="Arial" w:hAnsi="Arial" w:cs="Arial"/>
          <w:sz w:val="20"/>
          <w:szCs w:val="20"/>
        </w:rPr>
        <w:t>. Taylor &amp; Francis.</w:t>
      </w:r>
    </w:p>
    <w:p w14:paraId="7E271C6F"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Berekashvili, N. (2012). The role of gender-biased perceptions in teacher-student interaction. </w:t>
      </w:r>
      <w:r w:rsidRPr="007F2E0A">
        <w:rPr>
          <w:rFonts w:ascii="Arial" w:hAnsi="Arial" w:cs="Arial"/>
          <w:i/>
          <w:iCs/>
          <w:sz w:val="20"/>
          <w:szCs w:val="20"/>
        </w:rPr>
        <w:t>Psychology of language and communication</w:t>
      </w:r>
      <w:r w:rsidRPr="007F2E0A">
        <w:rPr>
          <w:rFonts w:ascii="Arial" w:hAnsi="Arial" w:cs="Arial"/>
          <w:sz w:val="20"/>
          <w:szCs w:val="20"/>
        </w:rPr>
        <w:t xml:space="preserve">, </w:t>
      </w:r>
      <w:r w:rsidRPr="007F2E0A">
        <w:rPr>
          <w:rFonts w:ascii="Arial" w:hAnsi="Arial" w:cs="Arial"/>
          <w:i/>
          <w:iCs/>
          <w:sz w:val="20"/>
          <w:szCs w:val="20"/>
        </w:rPr>
        <w:t>16</w:t>
      </w:r>
      <w:r w:rsidRPr="007F2E0A">
        <w:rPr>
          <w:rFonts w:ascii="Arial" w:hAnsi="Arial" w:cs="Arial"/>
          <w:sz w:val="20"/>
          <w:szCs w:val="20"/>
        </w:rPr>
        <w:t>(1), 39-51.</w:t>
      </w:r>
    </w:p>
    <w:p w14:paraId="3D7ACDDA"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Bussey, K., &amp; Bandura, A. (1999). Social cognitive theory of gender development and differentiation. </w:t>
      </w:r>
      <w:r w:rsidRPr="007F2E0A">
        <w:rPr>
          <w:rFonts w:ascii="Arial" w:hAnsi="Arial" w:cs="Arial"/>
          <w:i/>
          <w:iCs/>
          <w:sz w:val="20"/>
          <w:szCs w:val="20"/>
        </w:rPr>
        <w:t>Psychological review, 106</w:t>
      </w:r>
      <w:r w:rsidRPr="007F2E0A">
        <w:rPr>
          <w:rFonts w:ascii="Arial" w:hAnsi="Arial" w:cs="Arial"/>
          <w:sz w:val="20"/>
          <w:szCs w:val="20"/>
        </w:rPr>
        <w:t>(4), 676-713.</w:t>
      </w:r>
    </w:p>
    <w:p w14:paraId="2B380408"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Bian, L., Leslie, S. J., &amp; </w:t>
      </w:r>
      <w:proofErr w:type="spellStart"/>
      <w:r w:rsidRPr="007F2E0A">
        <w:rPr>
          <w:rFonts w:ascii="Arial" w:hAnsi="Arial" w:cs="Arial"/>
          <w:sz w:val="20"/>
          <w:szCs w:val="20"/>
        </w:rPr>
        <w:t>Cimpian</w:t>
      </w:r>
      <w:proofErr w:type="spellEnd"/>
      <w:r w:rsidRPr="007F2E0A">
        <w:rPr>
          <w:rFonts w:ascii="Arial" w:hAnsi="Arial" w:cs="Arial"/>
          <w:sz w:val="20"/>
          <w:szCs w:val="20"/>
        </w:rPr>
        <w:t xml:space="preserve">, A. (2017). Gender stereotypes about intellectual ability emerge early and influence children’s interests. </w:t>
      </w:r>
      <w:r w:rsidRPr="007F2E0A">
        <w:rPr>
          <w:rFonts w:ascii="Arial" w:hAnsi="Arial" w:cs="Arial"/>
          <w:i/>
          <w:iCs/>
          <w:sz w:val="20"/>
          <w:szCs w:val="20"/>
        </w:rPr>
        <w:t>Science, 355</w:t>
      </w:r>
      <w:r w:rsidRPr="007F2E0A">
        <w:rPr>
          <w:rFonts w:ascii="Arial" w:hAnsi="Arial" w:cs="Arial"/>
          <w:sz w:val="20"/>
          <w:szCs w:val="20"/>
        </w:rPr>
        <w:t>(6323), 389-391.</w:t>
      </w:r>
    </w:p>
    <w:p w14:paraId="1EFF6699"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Choudhury, S., &amp; Kumar, S. (2022). Gender discrimination and marginalization of women in North</w:t>
      </w:r>
      <w:r w:rsidRPr="007F2E0A">
        <w:rPr>
          <w:rFonts w:ascii="Cambria Math" w:hAnsi="Cambria Math" w:cs="Cambria Math"/>
          <w:sz w:val="20"/>
          <w:szCs w:val="20"/>
        </w:rPr>
        <w:t>‐</w:t>
      </w:r>
      <w:r w:rsidRPr="007F2E0A">
        <w:rPr>
          <w:rFonts w:ascii="Arial" w:hAnsi="Arial" w:cs="Arial"/>
          <w:sz w:val="20"/>
          <w:szCs w:val="20"/>
        </w:rPr>
        <w:t>East India. </w:t>
      </w:r>
      <w:r w:rsidRPr="007F2E0A">
        <w:rPr>
          <w:rFonts w:ascii="Arial" w:hAnsi="Arial" w:cs="Arial"/>
          <w:i/>
          <w:iCs/>
          <w:sz w:val="20"/>
          <w:szCs w:val="20"/>
        </w:rPr>
        <w:t>Journal of Public Affairs</w:t>
      </w:r>
      <w:r w:rsidRPr="007F2E0A">
        <w:rPr>
          <w:rFonts w:ascii="Arial" w:hAnsi="Arial" w:cs="Arial"/>
          <w:sz w:val="20"/>
          <w:szCs w:val="20"/>
        </w:rPr>
        <w:t>, </w:t>
      </w:r>
      <w:r w:rsidRPr="007F2E0A">
        <w:rPr>
          <w:rFonts w:ascii="Arial" w:hAnsi="Arial" w:cs="Arial"/>
          <w:i/>
          <w:iCs/>
          <w:sz w:val="20"/>
          <w:szCs w:val="20"/>
        </w:rPr>
        <w:t>22</w:t>
      </w:r>
      <w:r w:rsidRPr="007F2E0A">
        <w:rPr>
          <w:rFonts w:ascii="Arial" w:hAnsi="Arial" w:cs="Arial"/>
          <w:sz w:val="20"/>
          <w:szCs w:val="20"/>
        </w:rPr>
        <w:t>(4), e2625.</w:t>
      </w:r>
    </w:p>
    <w:p w14:paraId="470FBE31"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Elorza, I. (2023). Gender-inclusive picture books in the classroom: A multimodal analysis of male subjective agencies. </w:t>
      </w:r>
      <w:r w:rsidRPr="007F2E0A">
        <w:rPr>
          <w:rFonts w:ascii="Arial" w:hAnsi="Arial" w:cs="Arial"/>
          <w:i/>
          <w:iCs/>
          <w:sz w:val="20"/>
          <w:szCs w:val="20"/>
        </w:rPr>
        <w:t>Linguistics and Education</w:t>
      </w:r>
      <w:r w:rsidRPr="007F2E0A">
        <w:rPr>
          <w:rFonts w:ascii="Arial" w:hAnsi="Arial" w:cs="Arial"/>
          <w:sz w:val="20"/>
          <w:szCs w:val="20"/>
        </w:rPr>
        <w:t>, </w:t>
      </w:r>
      <w:r w:rsidRPr="007F2E0A">
        <w:rPr>
          <w:rFonts w:ascii="Arial" w:hAnsi="Arial" w:cs="Arial"/>
          <w:i/>
          <w:iCs/>
          <w:sz w:val="20"/>
          <w:szCs w:val="20"/>
        </w:rPr>
        <w:t>78</w:t>
      </w:r>
      <w:r w:rsidRPr="007F2E0A">
        <w:rPr>
          <w:rFonts w:ascii="Arial" w:hAnsi="Arial" w:cs="Arial"/>
          <w:sz w:val="20"/>
          <w:szCs w:val="20"/>
        </w:rPr>
        <w:t>, 1-13.</w:t>
      </w:r>
    </w:p>
    <w:p w14:paraId="420049FF"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Islamiyah, R., &amp; Suparno. (2019). Teacher Knowledge in Early Childhood Gender Education. </w:t>
      </w:r>
      <w:proofErr w:type="spellStart"/>
      <w:r w:rsidRPr="007F2E0A">
        <w:rPr>
          <w:rFonts w:ascii="Arial" w:hAnsi="Arial" w:cs="Arial"/>
          <w:sz w:val="20"/>
          <w:szCs w:val="20"/>
        </w:rPr>
        <w:t>Jurnal</w:t>
      </w:r>
      <w:proofErr w:type="spellEnd"/>
      <w:r w:rsidRPr="007F2E0A">
        <w:rPr>
          <w:rFonts w:ascii="Arial" w:hAnsi="Arial" w:cs="Arial"/>
          <w:sz w:val="20"/>
          <w:szCs w:val="20"/>
        </w:rPr>
        <w:t xml:space="preserve"> Pendidikan </w:t>
      </w:r>
      <w:proofErr w:type="spellStart"/>
      <w:r w:rsidRPr="007F2E0A">
        <w:rPr>
          <w:rFonts w:ascii="Arial" w:hAnsi="Arial" w:cs="Arial"/>
          <w:sz w:val="20"/>
          <w:szCs w:val="20"/>
        </w:rPr>
        <w:t>Usia</w:t>
      </w:r>
      <w:proofErr w:type="spellEnd"/>
      <w:r w:rsidRPr="007F2E0A">
        <w:rPr>
          <w:rFonts w:ascii="Arial" w:hAnsi="Arial" w:cs="Arial"/>
          <w:sz w:val="20"/>
          <w:szCs w:val="20"/>
        </w:rPr>
        <w:t xml:space="preserve"> Dini, 13(2), 327 - 340. </w:t>
      </w:r>
    </w:p>
    <w:p w14:paraId="2023A091"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Jin, X. (2023). How gender stereotype in education impact female students’ development in secondary school. </w:t>
      </w:r>
      <w:r w:rsidRPr="007F2E0A">
        <w:rPr>
          <w:rFonts w:ascii="Arial" w:hAnsi="Arial" w:cs="Arial"/>
          <w:i/>
          <w:iCs/>
          <w:sz w:val="20"/>
          <w:szCs w:val="20"/>
        </w:rPr>
        <w:t>Journal of Education, Humanities and Social Sciences, 12</w:t>
      </w:r>
      <w:r w:rsidRPr="007F2E0A">
        <w:rPr>
          <w:rFonts w:ascii="Arial" w:hAnsi="Arial" w:cs="Arial"/>
          <w:sz w:val="20"/>
          <w:szCs w:val="20"/>
        </w:rPr>
        <w:t>, 229-234.</w:t>
      </w:r>
    </w:p>
    <w:p w14:paraId="11D3A7DB"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Kollmayer, M., Schober, B., &amp; Spiel, C. (2018). Gender stereotypes in education: Development, consequences, and interventions. </w:t>
      </w:r>
      <w:r w:rsidRPr="007F2E0A">
        <w:rPr>
          <w:rFonts w:ascii="Arial" w:hAnsi="Arial" w:cs="Arial"/>
          <w:i/>
          <w:iCs/>
          <w:sz w:val="20"/>
          <w:szCs w:val="20"/>
        </w:rPr>
        <w:t>European Journal of Developmental Psychology, 15</w:t>
      </w:r>
      <w:r w:rsidRPr="007F2E0A">
        <w:rPr>
          <w:rFonts w:ascii="Arial" w:hAnsi="Arial" w:cs="Arial"/>
          <w:sz w:val="20"/>
          <w:szCs w:val="20"/>
        </w:rPr>
        <w:t>(4), 361-377.</w:t>
      </w:r>
    </w:p>
    <w:p w14:paraId="7FDB337A"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Kostas, M. (2023). Textbooks, students and teachers talk around gender: A new materialist approach to children's agency. </w:t>
      </w:r>
      <w:r w:rsidRPr="007F2E0A">
        <w:rPr>
          <w:rFonts w:ascii="Arial" w:hAnsi="Arial" w:cs="Arial"/>
          <w:i/>
          <w:iCs/>
          <w:sz w:val="20"/>
          <w:szCs w:val="20"/>
        </w:rPr>
        <w:t>Teaching and Teacher Education</w:t>
      </w:r>
      <w:r w:rsidRPr="007F2E0A">
        <w:rPr>
          <w:rFonts w:ascii="Arial" w:hAnsi="Arial" w:cs="Arial"/>
          <w:sz w:val="20"/>
          <w:szCs w:val="20"/>
        </w:rPr>
        <w:t>, </w:t>
      </w:r>
      <w:r w:rsidRPr="007F2E0A">
        <w:rPr>
          <w:rFonts w:ascii="Arial" w:hAnsi="Arial" w:cs="Arial"/>
          <w:i/>
          <w:iCs/>
          <w:sz w:val="20"/>
          <w:szCs w:val="20"/>
        </w:rPr>
        <w:t>125</w:t>
      </w:r>
      <w:r w:rsidRPr="007F2E0A">
        <w:rPr>
          <w:rFonts w:ascii="Arial" w:hAnsi="Arial" w:cs="Arial"/>
          <w:sz w:val="20"/>
          <w:szCs w:val="20"/>
        </w:rPr>
        <w:t xml:space="preserve">, 1-11. </w:t>
      </w:r>
    </w:p>
    <w:p w14:paraId="1752D4FF"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Li, J. (2023). Gender never defines me: A study on preschool teachers' do and don't about gender. </w:t>
      </w:r>
      <w:r w:rsidRPr="007F2E0A">
        <w:rPr>
          <w:rFonts w:ascii="Arial" w:hAnsi="Arial" w:cs="Arial"/>
          <w:i/>
          <w:iCs/>
          <w:sz w:val="20"/>
          <w:szCs w:val="20"/>
        </w:rPr>
        <w:t>Social Sciences &amp; Humanities Open, 7</w:t>
      </w:r>
      <w:r w:rsidRPr="007F2E0A">
        <w:rPr>
          <w:rFonts w:ascii="Arial" w:hAnsi="Arial" w:cs="Arial"/>
          <w:sz w:val="20"/>
          <w:szCs w:val="20"/>
        </w:rPr>
        <w:t xml:space="preserve">(1), 1-6. </w:t>
      </w:r>
    </w:p>
    <w:p w14:paraId="5FC1EFE9"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Li, J., &amp; Yang, M. (2022). Analysis of the Educational Environment in Kindergartens for Gender Equality and Preschoolers’ Gender-Role Development. </w:t>
      </w:r>
      <w:r w:rsidRPr="007F2E0A">
        <w:rPr>
          <w:rFonts w:ascii="Arial" w:hAnsi="Arial" w:cs="Arial"/>
          <w:i/>
          <w:iCs/>
          <w:sz w:val="20"/>
          <w:szCs w:val="20"/>
        </w:rPr>
        <w:t>Creative Education, 13</w:t>
      </w:r>
      <w:r w:rsidRPr="007F2E0A">
        <w:rPr>
          <w:rFonts w:ascii="Arial" w:hAnsi="Arial" w:cs="Arial"/>
          <w:sz w:val="20"/>
          <w:szCs w:val="20"/>
        </w:rPr>
        <w:t>(12), 3981-3995.</w:t>
      </w:r>
    </w:p>
    <w:p w14:paraId="2E1D9D1B" w14:textId="77777777" w:rsidR="0043558C" w:rsidRPr="007F2E0A" w:rsidRDefault="0043558C" w:rsidP="0043558C">
      <w:pPr>
        <w:spacing w:after="0" w:line="360" w:lineRule="auto"/>
        <w:ind w:left="720" w:hanging="720"/>
        <w:jc w:val="both"/>
        <w:rPr>
          <w:rFonts w:ascii="Arial" w:hAnsi="Arial" w:cs="Arial"/>
          <w:sz w:val="20"/>
          <w:szCs w:val="20"/>
        </w:rPr>
      </w:pPr>
      <w:proofErr w:type="spellStart"/>
      <w:r w:rsidRPr="007F2E0A">
        <w:rPr>
          <w:rFonts w:ascii="Arial" w:hAnsi="Arial" w:cs="Arial"/>
          <w:sz w:val="20"/>
          <w:szCs w:val="20"/>
        </w:rPr>
        <w:t>Machynska</w:t>
      </w:r>
      <w:proofErr w:type="spellEnd"/>
      <w:r w:rsidRPr="007F2E0A">
        <w:rPr>
          <w:rFonts w:ascii="Arial" w:hAnsi="Arial" w:cs="Arial"/>
          <w:sz w:val="20"/>
          <w:szCs w:val="20"/>
        </w:rPr>
        <w:t>, N. (2024). Gender education of preschool children: theoretical and practical aspects. </w:t>
      </w:r>
      <w:r w:rsidRPr="007F2E0A">
        <w:rPr>
          <w:rFonts w:ascii="Arial" w:hAnsi="Arial" w:cs="Arial"/>
          <w:i/>
          <w:iCs/>
          <w:sz w:val="20"/>
          <w:szCs w:val="20"/>
        </w:rPr>
        <w:t>Continuing Professional Education: Theory &amp; Practice</w:t>
      </w:r>
      <w:r w:rsidRPr="007F2E0A">
        <w:rPr>
          <w:rFonts w:ascii="Arial" w:hAnsi="Arial" w:cs="Arial"/>
          <w:sz w:val="20"/>
          <w:szCs w:val="20"/>
        </w:rPr>
        <w:t>, </w:t>
      </w:r>
      <w:r w:rsidRPr="007F2E0A">
        <w:rPr>
          <w:rFonts w:ascii="Arial" w:hAnsi="Arial" w:cs="Arial"/>
          <w:i/>
          <w:iCs/>
          <w:sz w:val="20"/>
          <w:szCs w:val="20"/>
        </w:rPr>
        <w:t>80</w:t>
      </w:r>
      <w:r w:rsidRPr="007F2E0A">
        <w:rPr>
          <w:rFonts w:ascii="Arial" w:hAnsi="Arial" w:cs="Arial"/>
          <w:sz w:val="20"/>
          <w:szCs w:val="20"/>
        </w:rPr>
        <w:t>(3).</w:t>
      </w:r>
    </w:p>
    <w:p w14:paraId="4120D805"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Martin, C. L., &amp; Halverson Jr, C. F. (1981). A schematic processing model of sex typing and stereotyping in children. </w:t>
      </w:r>
      <w:r w:rsidRPr="007F2E0A">
        <w:rPr>
          <w:rFonts w:ascii="Arial" w:hAnsi="Arial" w:cs="Arial"/>
          <w:i/>
          <w:iCs/>
          <w:sz w:val="20"/>
          <w:szCs w:val="20"/>
        </w:rPr>
        <w:t>Child development, 52</w:t>
      </w:r>
      <w:r w:rsidRPr="007F2E0A">
        <w:rPr>
          <w:rFonts w:ascii="Arial" w:hAnsi="Arial" w:cs="Arial"/>
          <w:sz w:val="20"/>
          <w:szCs w:val="20"/>
        </w:rPr>
        <w:t>, 1119-1134.</w:t>
      </w:r>
    </w:p>
    <w:p w14:paraId="240C0F09"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Martin, C. L., Ruble, D. N., &amp; </w:t>
      </w:r>
      <w:proofErr w:type="spellStart"/>
      <w:r w:rsidRPr="007F2E0A">
        <w:rPr>
          <w:rFonts w:ascii="Arial" w:hAnsi="Arial" w:cs="Arial"/>
          <w:sz w:val="20"/>
          <w:szCs w:val="20"/>
        </w:rPr>
        <w:t>Szkrybalo</w:t>
      </w:r>
      <w:proofErr w:type="spellEnd"/>
      <w:r w:rsidRPr="007F2E0A">
        <w:rPr>
          <w:rFonts w:ascii="Arial" w:hAnsi="Arial" w:cs="Arial"/>
          <w:sz w:val="20"/>
          <w:szCs w:val="20"/>
        </w:rPr>
        <w:t xml:space="preserve">, J. (2002). Cognitive theories of early gender development. </w:t>
      </w:r>
      <w:r w:rsidRPr="007F2E0A">
        <w:rPr>
          <w:rFonts w:ascii="Arial" w:hAnsi="Arial" w:cs="Arial"/>
          <w:i/>
          <w:iCs/>
          <w:sz w:val="20"/>
          <w:szCs w:val="20"/>
        </w:rPr>
        <w:t>Psychological bulletin, 128</w:t>
      </w:r>
      <w:r w:rsidRPr="007F2E0A">
        <w:rPr>
          <w:rFonts w:ascii="Arial" w:hAnsi="Arial" w:cs="Arial"/>
          <w:sz w:val="20"/>
          <w:szCs w:val="20"/>
        </w:rPr>
        <w:t>(6), 903-933.</w:t>
      </w:r>
    </w:p>
    <w:p w14:paraId="7DA9903A"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Miao, W. (2024). Analysis of Gender-bias in the Current State of American Education. </w:t>
      </w:r>
      <w:r w:rsidRPr="007F2E0A">
        <w:rPr>
          <w:rFonts w:ascii="Arial" w:hAnsi="Arial" w:cs="Arial"/>
          <w:i/>
          <w:iCs/>
          <w:sz w:val="20"/>
          <w:szCs w:val="20"/>
        </w:rPr>
        <w:t>Communications in Humanities Research</w:t>
      </w:r>
      <w:r w:rsidRPr="007F2E0A">
        <w:rPr>
          <w:rFonts w:ascii="Arial" w:hAnsi="Arial" w:cs="Arial"/>
          <w:sz w:val="20"/>
          <w:szCs w:val="20"/>
        </w:rPr>
        <w:t>, </w:t>
      </w:r>
      <w:r w:rsidRPr="007F2E0A">
        <w:rPr>
          <w:rFonts w:ascii="Arial" w:hAnsi="Arial" w:cs="Arial"/>
          <w:i/>
          <w:iCs/>
          <w:sz w:val="20"/>
          <w:szCs w:val="20"/>
        </w:rPr>
        <w:t>43</w:t>
      </w:r>
      <w:r w:rsidRPr="007F2E0A">
        <w:rPr>
          <w:rFonts w:ascii="Arial" w:hAnsi="Arial" w:cs="Arial"/>
          <w:sz w:val="20"/>
          <w:szCs w:val="20"/>
        </w:rPr>
        <w:t>, 57-61.</w:t>
      </w:r>
    </w:p>
    <w:p w14:paraId="6D0EF79B" w14:textId="53164E3F"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Ministry of Human Resource Development, Government of India. (2020). National Educational Policy 2020.</w:t>
      </w:r>
      <w:r w:rsidR="005F1AFC" w:rsidRPr="007F2E0A">
        <w:rPr>
          <w:rFonts w:ascii="Arial" w:hAnsi="Arial" w:cs="Arial"/>
          <w:sz w:val="20"/>
          <w:szCs w:val="20"/>
        </w:rPr>
        <w:t xml:space="preserve"> </w:t>
      </w:r>
      <w:r w:rsidRPr="007F2E0A">
        <w:rPr>
          <w:rFonts w:ascii="Arial" w:hAnsi="Arial" w:cs="Arial"/>
          <w:sz w:val="20"/>
          <w:szCs w:val="20"/>
        </w:rPr>
        <w:t>Retrieved from [</w:t>
      </w:r>
      <w:proofErr w:type="gramStart"/>
      <w:r w:rsidRPr="007F2E0A">
        <w:rPr>
          <w:rFonts w:ascii="Arial" w:hAnsi="Arial" w:cs="Arial"/>
          <w:sz w:val="20"/>
          <w:szCs w:val="20"/>
        </w:rPr>
        <w:t>https://www.education.gov.in/sites/upload_files/mhrd/files/NEP_Final_English.pdf ]</w:t>
      </w:r>
      <w:proofErr w:type="gramEnd"/>
      <w:r w:rsidRPr="007F2E0A">
        <w:rPr>
          <w:rFonts w:ascii="Arial" w:hAnsi="Arial" w:cs="Arial"/>
          <w:sz w:val="20"/>
          <w:szCs w:val="20"/>
        </w:rPr>
        <w:t xml:space="preserve"> </w:t>
      </w:r>
    </w:p>
    <w:p w14:paraId="723DDCEF"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lastRenderedPageBreak/>
        <w:t xml:space="preserve">Muasya, J. N., &amp; Kazungu, T. W. (2018). 'The Unfinished Business': Exploring Teachers' Views on Gender and Pedagogical Practices in Public Preschools in Nairobi County, Kenya. </w:t>
      </w:r>
      <w:r w:rsidRPr="007F2E0A">
        <w:rPr>
          <w:rFonts w:ascii="Arial" w:hAnsi="Arial" w:cs="Arial"/>
          <w:i/>
          <w:iCs/>
          <w:sz w:val="20"/>
          <w:szCs w:val="20"/>
        </w:rPr>
        <w:t>African educational research journal, 6</w:t>
      </w:r>
      <w:r w:rsidRPr="007F2E0A">
        <w:rPr>
          <w:rFonts w:ascii="Arial" w:hAnsi="Arial" w:cs="Arial"/>
          <w:sz w:val="20"/>
          <w:szCs w:val="20"/>
        </w:rPr>
        <w:t xml:space="preserve">(1), 10-19. </w:t>
      </w:r>
    </w:p>
    <w:p w14:paraId="4A519EC1" w14:textId="77777777" w:rsidR="0043558C" w:rsidRPr="007F2E0A" w:rsidRDefault="0043558C" w:rsidP="0043558C">
      <w:pPr>
        <w:spacing w:after="0" w:line="360" w:lineRule="auto"/>
        <w:ind w:left="720" w:hanging="720"/>
        <w:jc w:val="both"/>
        <w:rPr>
          <w:rFonts w:ascii="Arial" w:hAnsi="Arial" w:cs="Arial"/>
          <w:sz w:val="20"/>
          <w:szCs w:val="20"/>
        </w:rPr>
      </w:pPr>
      <w:proofErr w:type="spellStart"/>
      <w:r w:rsidRPr="007F2E0A">
        <w:rPr>
          <w:rFonts w:ascii="Arial" w:hAnsi="Arial" w:cs="Arial"/>
          <w:sz w:val="20"/>
          <w:szCs w:val="20"/>
        </w:rPr>
        <w:t>Mytakou</w:t>
      </w:r>
      <w:proofErr w:type="spellEnd"/>
      <w:r w:rsidRPr="007F2E0A">
        <w:rPr>
          <w:rFonts w:ascii="Arial" w:hAnsi="Arial" w:cs="Arial"/>
          <w:sz w:val="20"/>
          <w:szCs w:val="20"/>
        </w:rPr>
        <w:t>, T., &amp; Murtagh, E. (2024). Teaching about gender: Feminist hope and praxis for the future (SDG 5). In </w:t>
      </w:r>
      <w:r w:rsidRPr="007F2E0A">
        <w:rPr>
          <w:rFonts w:ascii="Arial" w:hAnsi="Arial" w:cs="Arial"/>
          <w:i/>
          <w:iCs/>
          <w:sz w:val="20"/>
          <w:szCs w:val="20"/>
        </w:rPr>
        <w:t>Teaching the Sustainable Development Goals to Young Citizens (10-16 years)</w:t>
      </w:r>
      <w:r w:rsidRPr="007F2E0A">
        <w:rPr>
          <w:rFonts w:ascii="Arial" w:hAnsi="Arial" w:cs="Arial"/>
          <w:sz w:val="20"/>
          <w:szCs w:val="20"/>
        </w:rPr>
        <w:t> (pp. 169-193). Routledge.</w:t>
      </w:r>
    </w:p>
    <w:p w14:paraId="38443B8A"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Nosek, B. A., Smyth, F. L., Sriram, N., Lindner, N. M., Devos, T., Ayala, A., ... &amp; Greenwald, A. G. (2009). National differences in gender–science stereotypes predict national sex differences in science and math achievement. </w:t>
      </w:r>
      <w:r w:rsidRPr="007F2E0A">
        <w:rPr>
          <w:rFonts w:ascii="Arial" w:hAnsi="Arial" w:cs="Arial"/>
          <w:i/>
          <w:iCs/>
          <w:sz w:val="20"/>
          <w:szCs w:val="20"/>
        </w:rPr>
        <w:t>Proceedings of the National Academy of Sciences, 106</w:t>
      </w:r>
      <w:r w:rsidRPr="007F2E0A">
        <w:rPr>
          <w:rFonts w:ascii="Arial" w:hAnsi="Arial" w:cs="Arial"/>
          <w:sz w:val="20"/>
          <w:szCs w:val="20"/>
        </w:rPr>
        <w:t>(26), 10593-10597.</w:t>
      </w:r>
    </w:p>
    <w:p w14:paraId="2CACE66A"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Orjonikidze, N., Akhvlediani, M., &amp; Abdaladze, L. (2023). Educator's readiness for gender approaches in leading the game in preschool institutions. </w:t>
      </w:r>
      <w:r w:rsidRPr="007F2E0A">
        <w:rPr>
          <w:rFonts w:ascii="Arial" w:hAnsi="Arial" w:cs="Arial"/>
          <w:i/>
          <w:iCs/>
          <w:sz w:val="20"/>
          <w:szCs w:val="20"/>
        </w:rPr>
        <w:t>" Intercultural Dialogues" Transactions</w:t>
      </w:r>
      <w:r w:rsidRPr="007F2E0A">
        <w:rPr>
          <w:rFonts w:ascii="Arial" w:hAnsi="Arial" w:cs="Arial"/>
          <w:sz w:val="20"/>
          <w:szCs w:val="20"/>
        </w:rPr>
        <w:t>, </w:t>
      </w:r>
      <w:r w:rsidRPr="007F2E0A">
        <w:rPr>
          <w:rFonts w:ascii="Arial" w:hAnsi="Arial" w:cs="Arial"/>
          <w:i/>
          <w:iCs/>
          <w:sz w:val="20"/>
          <w:szCs w:val="20"/>
        </w:rPr>
        <w:t>7</w:t>
      </w:r>
      <w:r w:rsidRPr="007F2E0A">
        <w:rPr>
          <w:rFonts w:ascii="Arial" w:hAnsi="Arial" w:cs="Arial"/>
          <w:sz w:val="20"/>
          <w:szCs w:val="20"/>
        </w:rPr>
        <w:t>.</w:t>
      </w:r>
    </w:p>
    <w:p w14:paraId="00103CB7"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Pradhan, S., Dewan, V. (2024). Gender Sensitization and Gender Inclusivity with Respect to Role in Education. </w:t>
      </w:r>
      <w:r w:rsidRPr="007F2E0A">
        <w:rPr>
          <w:rFonts w:ascii="Arial" w:hAnsi="Arial" w:cs="Arial"/>
          <w:i/>
          <w:iCs/>
          <w:sz w:val="20"/>
          <w:szCs w:val="20"/>
        </w:rPr>
        <w:t>International Journal For Multidisciplinary Research</w:t>
      </w:r>
      <w:r w:rsidRPr="007F2E0A">
        <w:rPr>
          <w:rFonts w:ascii="Arial" w:hAnsi="Arial" w:cs="Arial"/>
          <w:sz w:val="20"/>
          <w:szCs w:val="20"/>
        </w:rPr>
        <w:t xml:space="preserve">, </w:t>
      </w:r>
      <w:proofErr w:type="spellStart"/>
      <w:r w:rsidRPr="007F2E0A">
        <w:rPr>
          <w:rFonts w:ascii="Arial" w:hAnsi="Arial" w:cs="Arial"/>
          <w:sz w:val="20"/>
          <w:szCs w:val="20"/>
        </w:rPr>
        <w:t>doi</w:t>
      </w:r>
      <w:proofErr w:type="spellEnd"/>
      <w:r w:rsidRPr="007F2E0A">
        <w:rPr>
          <w:rFonts w:ascii="Arial" w:hAnsi="Arial" w:cs="Arial"/>
          <w:sz w:val="20"/>
          <w:szCs w:val="20"/>
        </w:rPr>
        <w:t>: 10.36948/</w:t>
      </w:r>
      <w:proofErr w:type="gramStart"/>
      <w:r w:rsidRPr="007F2E0A">
        <w:rPr>
          <w:rFonts w:ascii="Arial" w:hAnsi="Arial" w:cs="Arial"/>
          <w:sz w:val="20"/>
          <w:szCs w:val="20"/>
        </w:rPr>
        <w:t>ijfmr.2024.v</w:t>
      </w:r>
      <w:proofErr w:type="gramEnd"/>
      <w:r w:rsidRPr="007F2E0A">
        <w:rPr>
          <w:rFonts w:ascii="Arial" w:hAnsi="Arial" w:cs="Arial"/>
          <w:sz w:val="20"/>
          <w:szCs w:val="20"/>
        </w:rPr>
        <w:t>06i01.12188</w:t>
      </w:r>
    </w:p>
    <w:p w14:paraId="09F5E18B"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Qiu, Z. Y., and Yoke, S. K. (2024) The Impact of Gender Stereotypes in Children’s Picture Books on Children: A Review. I</w:t>
      </w:r>
      <w:r w:rsidRPr="007F2E0A">
        <w:rPr>
          <w:rFonts w:ascii="Arial" w:hAnsi="Arial" w:cs="Arial"/>
          <w:i/>
          <w:iCs/>
          <w:sz w:val="20"/>
          <w:szCs w:val="20"/>
        </w:rPr>
        <w:t>nternational journal of academic research in business &amp; social sciences</w:t>
      </w:r>
      <w:r w:rsidRPr="007F2E0A">
        <w:rPr>
          <w:rFonts w:ascii="Arial" w:hAnsi="Arial" w:cs="Arial"/>
          <w:sz w:val="20"/>
          <w:szCs w:val="20"/>
        </w:rPr>
        <w:t xml:space="preserve">, </w:t>
      </w:r>
      <w:r w:rsidRPr="007F2E0A">
        <w:rPr>
          <w:rFonts w:ascii="Arial" w:hAnsi="Arial" w:cs="Arial"/>
          <w:i/>
          <w:iCs/>
          <w:sz w:val="20"/>
          <w:szCs w:val="20"/>
        </w:rPr>
        <w:t>14</w:t>
      </w:r>
      <w:r w:rsidRPr="007F2E0A">
        <w:rPr>
          <w:rFonts w:ascii="Arial" w:hAnsi="Arial" w:cs="Arial"/>
          <w:sz w:val="20"/>
          <w:szCs w:val="20"/>
        </w:rPr>
        <w:t>(8): 2118-2130</w:t>
      </w:r>
    </w:p>
    <w:p w14:paraId="38DA59A7"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Roberts, S. (2018). Domestic labour, masculinity and social change: Insights from working-class young men’s transitions to adulthood. </w:t>
      </w:r>
      <w:r w:rsidRPr="007F2E0A">
        <w:rPr>
          <w:rFonts w:ascii="Arial" w:hAnsi="Arial" w:cs="Arial"/>
          <w:i/>
          <w:iCs/>
          <w:sz w:val="20"/>
          <w:szCs w:val="20"/>
        </w:rPr>
        <w:t>Journal of Gender Studies</w:t>
      </w:r>
      <w:r w:rsidRPr="007F2E0A">
        <w:rPr>
          <w:rFonts w:ascii="Arial" w:hAnsi="Arial" w:cs="Arial"/>
          <w:sz w:val="20"/>
          <w:szCs w:val="20"/>
        </w:rPr>
        <w:t>, </w:t>
      </w:r>
      <w:r w:rsidRPr="007F2E0A">
        <w:rPr>
          <w:rFonts w:ascii="Arial" w:hAnsi="Arial" w:cs="Arial"/>
          <w:i/>
          <w:iCs/>
          <w:sz w:val="20"/>
          <w:szCs w:val="20"/>
        </w:rPr>
        <w:t>27</w:t>
      </w:r>
      <w:r w:rsidRPr="007F2E0A">
        <w:rPr>
          <w:rFonts w:ascii="Arial" w:hAnsi="Arial" w:cs="Arial"/>
          <w:sz w:val="20"/>
          <w:szCs w:val="20"/>
        </w:rPr>
        <w:t>(3), 274-287.</w:t>
      </w:r>
    </w:p>
    <w:p w14:paraId="2BAE4018"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Rubio, E. G. (2018). Gender stereotypes in Spanish phraseology. </w:t>
      </w:r>
      <w:r w:rsidRPr="007F2E0A">
        <w:rPr>
          <w:rFonts w:ascii="Arial" w:hAnsi="Arial" w:cs="Arial"/>
          <w:i/>
          <w:iCs/>
          <w:sz w:val="20"/>
          <w:szCs w:val="20"/>
        </w:rPr>
        <w:t>Multidisciplinary Journal of Gender Studies</w:t>
      </w:r>
      <w:r w:rsidRPr="007F2E0A">
        <w:rPr>
          <w:rFonts w:ascii="Arial" w:hAnsi="Arial" w:cs="Arial"/>
          <w:sz w:val="20"/>
          <w:szCs w:val="20"/>
        </w:rPr>
        <w:t>, </w:t>
      </w:r>
      <w:r w:rsidRPr="007F2E0A">
        <w:rPr>
          <w:rFonts w:ascii="Arial" w:hAnsi="Arial" w:cs="Arial"/>
          <w:i/>
          <w:iCs/>
          <w:sz w:val="20"/>
          <w:szCs w:val="20"/>
        </w:rPr>
        <w:t>7</w:t>
      </w:r>
      <w:r w:rsidRPr="007F2E0A">
        <w:rPr>
          <w:rFonts w:ascii="Arial" w:hAnsi="Arial" w:cs="Arial"/>
          <w:sz w:val="20"/>
          <w:szCs w:val="20"/>
        </w:rPr>
        <w:t>(3), 1709-1735.</w:t>
      </w:r>
    </w:p>
    <w:p w14:paraId="56DD939C"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Subramanian, S. (2019). India’s policy on early childhood education: Lessons for a gender-transformative early childhood in India. </w:t>
      </w:r>
      <w:r w:rsidRPr="007F2E0A">
        <w:rPr>
          <w:rFonts w:ascii="Arial" w:hAnsi="Arial" w:cs="Arial"/>
          <w:i/>
          <w:iCs/>
          <w:sz w:val="20"/>
          <w:szCs w:val="20"/>
        </w:rPr>
        <w:t>Echidna Global Scholars Program, New Delhi</w:t>
      </w:r>
      <w:r w:rsidRPr="007F2E0A">
        <w:rPr>
          <w:rFonts w:ascii="Arial" w:hAnsi="Arial" w:cs="Arial"/>
          <w:sz w:val="20"/>
          <w:szCs w:val="20"/>
        </w:rPr>
        <w:t>.</w:t>
      </w:r>
    </w:p>
    <w:p w14:paraId="0D74BF09"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Theodore, P. S., &amp; Stoker, A. (2021). How teachers can reduce bullying of sexual and gender diverse students. In </w:t>
      </w:r>
      <w:r w:rsidRPr="007F2E0A">
        <w:rPr>
          <w:rFonts w:ascii="Arial" w:hAnsi="Arial" w:cs="Arial"/>
          <w:i/>
          <w:iCs/>
          <w:sz w:val="20"/>
          <w:szCs w:val="20"/>
        </w:rPr>
        <w:t>Violence against LGBTQ+ persons</w:t>
      </w:r>
      <w:r w:rsidRPr="007F2E0A">
        <w:rPr>
          <w:rFonts w:ascii="Arial" w:hAnsi="Arial" w:cs="Arial"/>
          <w:sz w:val="20"/>
          <w:szCs w:val="20"/>
        </w:rPr>
        <w:t> (pp. 39-49). Springer, Cham.</w:t>
      </w:r>
    </w:p>
    <w:p w14:paraId="52D17D4E"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UNESCO. (2016). </w:t>
      </w:r>
      <w:r w:rsidRPr="007F2E0A">
        <w:rPr>
          <w:rFonts w:ascii="Arial" w:hAnsi="Arial" w:cs="Arial"/>
          <w:i/>
          <w:iCs/>
          <w:sz w:val="20"/>
          <w:szCs w:val="20"/>
        </w:rPr>
        <w:t>Education 2030: Incheon Declaration and Framework for Action: Towards inclusive and equitable quality education and lifelong learning for all</w:t>
      </w:r>
      <w:r w:rsidRPr="007F2E0A">
        <w:rPr>
          <w:rFonts w:ascii="Arial" w:hAnsi="Arial" w:cs="Arial"/>
          <w:sz w:val="20"/>
          <w:szCs w:val="20"/>
        </w:rPr>
        <w:t>. United Nations Educational, Scientific and Cultural Organization. https://unesdoc.unesco.org/ark:/48223/pf0000243278</w:t>
      </w:r>
    </w:p>
    <w:p w14:paraId="49C10CA6"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Waters, C. (2019). Moving toward gender fluid discourses in early childhood settings: ECEs share their experiences and ideas (Doctoral dissertation, Toronto Metropolitan University). </w:t>
      </w:r>
    </w:p>
    <w:p w14:paraId="0E0F2B0D" w14:textId="77777777" w:rsidR="0043558C" w:rsidRPr="007F2E0A" w:rsidRDefault="0043558C" w:rsidP="0043558C">
      <w:pPr>
        <w:spacing w:after="0" w:line="360" w:lineRule="auto"/>
        <w:ind w:left="720" w:hanging="720"/>
        <w:jc w:val="both"/>
        <w:rPr>
          <w:rFonts w:ascii="Arial" w:hAnsi="Arial" w:cs="Arial"/>
          <w:sz w:val="20"/>
          <w:szCs w:val="20"/>
        </w:rPr>
      </w:pPr>
      <w:proofErr w:type="spellStart"/>
      <w:r w:rsidRPr="007F2E0A">
        <w:rPr>
          <w:rFonts w:ascii="Arial" w:hAnsi="Arial" w:cs="Arial"/>
          <w:sz w:val="20"/>
          <w:szCs w:val="20"/>
        </w:rPr>
        <w:t>Wenyao</w:t>
      </w:r>
      <w:proofErr w:type="spellEnd"/>
      <w:r w:rsidRPr="007F2E0A">
        <w:rPr>
          <w:rFonts w:ascii="Arial" w:hAnsi="Arial" w:cs="Arial"/>
          <w:sz w:val="20"/>
          <w:szCs w:val="20"/>
        </w:rPr>
        <w:t xml:space="preserve">, S. (2023). The influencing factors of gender stereotypes-based on early childhood education. </w:t>
      </w:r>
      <w:r w:rsidRPr="007F2E0A">
        <w:rPr>
          <w:rFonts w:ascii="Arial" w:hAnsi="Arial" w:cs="Arial"/>
          <w:i/>
          <w:iCs/>
          <w:sz w:val="20"/>
          <w:szCs w:val="20"/>
        </w:rPr>
        <w:t>Lecture Notes in Education Psychology and Public Media, 18</w:t>
      </w:r>
      <w:r w:rsidRPr="007F2E0A">
        <w:rPr>
          <w:rFonts w:ascii="Arial" w:hAnsi="Arial" w:cs="Arial"/>
          <w:sz w:val="20"/>
          <w:szCs w:val="20"/>
        </w:rPr>
        <w:t>(1), 54-62.</w:t>
      </w:r>
    </w:p>
    <w:p w14:paraId="76F35707"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World Bank. (2020). </w:t>
      </w:r>
      <w:r w:rsidRPr="007F2E0A">
        <w:rPr>
          <w:rFonts w:ascii="Arial" w:hAnsi="Arial" w:cs="Arial"/>
          <w:i/>
          <w:iCs/>
          <w:sz w:val="20"/>
          <w:szCs w:val="20"/>
        </w:rPr>
        <w:t>The Human Capital Project: Frequently asked questions</w:t>
      </w:r>
      <w:r w:rsidRPr="007F2E0A">
        <w:rPr>
          <w:rFonts w:ascii="Arial" w:hAnsi="Arial" w:cs="Arial"/>
          <w:sz w:val="20"/>
          <w:szCs w:val="20"/>
        </w:rPr>
        <w:t>. https://www.worldbank.org/en/publication/human-capital/brief/the-human-capital-project-frequently-asked-questions</w:t>
      </w:r>
    </w:p>
    <w:p w14:paraId="705EA86B" w14:textId="77777777" w:rsidR="0043558C" w:rsidRPr="007F2E0A" w:rsidRDefault="0043558C" w:rsidP="0043558C">
      <w:pPr>
        <w:spacing w:after="0" w:line="360" w:lineRule="auto"/>
        <w:ind w:left="720" w:hanging="720"/>
        <w:jc w:val="both"/>
        <w:rPr>
          <w:rFonts w:ascii="Arial" w:hAnsi="Arial" w:cs="Arial"/>
          <w:sz w:val="20"/>
          <w:szCs w:val="20"/>
        </w:rPr>
      </w:pPr>
      <w:r w:rsidRPr="007F2E0A">
        <w:rPr>
          <w:rFonts w:ascii="Arial" w:hAnsi="Arial" w:cs="Arial"/>
          <w:sz w:val="20"/>
          <w:szCs w:val="20"/>
        </w:rPr>
        <w:t xml:space="preserve">Yang, Z. (2024). Causes of Gender Bias in Chinas Education and Its Countermeasures. </w:t>
      </w:r>
      <w:r w:rsidRPr="007F2E0A">
        <w:rPr>
          <w:rFonts w:ascii="Arial" w:hAnsi="Arial" w:cs="Arial"/>
          <w:i/>
          <w:iCs/>
          <w:sz w:val="20"/>
          <w:szCs w:val="20"/>
        </w:rPr>
        <w:t>Lecture Notes in Education Psychology and Public Media, 52</w:t>
      </w:r>
      <w:r w:rsidRPr="007F2E0A">
        <w:rPr>
          <w:rFonts w:ascii="Arial" w:hAnsi="Arial" w:cs="Arial"/>
          <w:sz w:val="20"/>
          <w:szCs w:val="20"/>
        </w:rPr>
        <w:t>(1), 115-119.</w:t>
      </w:r>
    </w:p>
    <w:p w14:paraId="24D83618" w14:textId="77777777" w:rsidR="007320EA" w:rsidRPr="007F2E0A" w:rsidRDefault="007320EA" w:rsidP="0043558C">
      <w:pPr>
        <w:spacing w:after="0" w:line="360" w:lineRule="auto"/>
        <w:ind w:left="720" w:hanging="720"/>
        <w:jc w:val="both"/>
        <w:rPr>
          <w:rFonts w:ascii="Arial" w:hAnsi="Arial" w:cs="Arial"/>
          <w:sz w:val="20"/>
          <w:szCs w:val="20"/>
        </w:rPr>
      </w:pPr>
    </w:p>
    <w:p w14:paraId="7A6FFAE4" w14:textId="77777777" w:rsidR="0043558C" w:rsidRPr="007F2E0A" w:rsidRDefault="0043558C" w:rsidP="0043558C">
      <w:pPr>
        <w:spacing w:after="0" w:line="360" w:lineRule="auto"/>
        <w:jc w:val="both"/>
        <w:rPr>
          <w:rFonts w:ascii="Arial" w:hAnsi="Arial" w:cs="Arial"/>
          <w:b/>
          <w:bCs/>
          <w:sz w:val="20"/>
          <w:szCs w:val="20"/>
        </w:rPr>
      </w:pPr>
    </w:p>
    <w:p w14:paraId="34F8FDEE" w14:textId="77777777" w:rsidR="0043558C" w:rsidRPr="007F2E0A" w:rsidRDefault="0043558C" w:rsidP="0043558C">
      <w:pPr>
        <w:spacing w:after="0" w:line="360" w:lineRule="auto"/>
        <w:jc w:val="both"/>
        <w:rPr>
          <w:rFonts w:ascii="Arial" w:hAnsi="Arial" w:cs="Arial"/>
          <w:b/>
          <w:bCs/>
          <w:sz w:val="20"/>
          <w:szCs w:val="20"/>
        </w:rPr>
      </w:pPr>
    </w:p>
    <w:p w14:paraId="4F326C1A" w14:textId="77777777" w:rsidR="0043558C" w:rsidRPr="007F2E0A" w:rsidRDefault="0043558C" w:rsidP="0043558C">
      <w:pPr>
        <w:spacing w:after="0" w:line="360" w:lineRule="auto"/>
        <w:jc w:val="both"/>
        <w:rPr>
          <w:rFonts w:ascii="Arial" w:hAnsi="Arial" w:cs="Arial"/>
          <w:b/>
          <w:bCs/>
          <w:sz w:val="20"/>
          <w:szCs w:val="20"/>
        </w:rPr>
      </w:pPr>
    </w:p>
    <w:p w14:paraId="5C69F6B6" w14:textId="77777777" w:rsidR="0043558C" w:rsidRPr="007F2E0A" w:rsidRDefault="0043558C" w:rsidP="0043558C">
      <w:pPr>
        <w:spacing w:after="0" w:line="360" w:lineRule="auto"/>
        <w:jc w:val="both"/>
        <w:rPr>
          <w:rFonts w:ascii="Arial" w:hAnsi="Arial" w:cs="Arial"/>
          <w:b/>
          <w:bCs/>
          <w:sz w:val="20"/>
          <w:szCs w:val="20"/>
        </w:rPr>
      </w:pPr>
    </w:p>
    <w:p w14:paraId="68C0CC3B" w14:textId="77777777" w:rsidR="0043558C" w:rsidRPr="007F2E0A" w:rsidRDefault="0043558C" w:rsidP="00093BD7">
      <w:pPr>
        <w:spacing w:after="0" w:line="360" w:lineRule="auto"/>
        <w:jc w:val="both"/>
        <w:rPr>
          <w:rFonts w:ascii="Arial" w:hAnsi="Arial" w:cs="Arial"/>
          <w:b/>
          <w:bCs/>
          <w:sz w:val="20"/>
          <w:szCs w:val="20"/>
        </w:rPr>
      </w:pPr>
    </w:p>
    <w:p w14:paraId="6073B1B4" w14:textId="6B4C1797" w:rsidR="00045E75" w:rsidRPr="007F2E0A" w:rsidRDefault="00045E75" w:rsidP="00045E75">
      <w:pPr>
        <w:spacing w:after="0" w:line="480" w:lineRule="auto"/>
        <w:ind w:firstLine="284"/>
        <w:jc w:val="both"/>
        <w:rPr>
          <w:rFonts w:ascii="Arial" w:hAnsi="Arial" w:cs="Arial"/>
          <w:sz w:val="20"/>
          <w:szCs w:val="20"/>
        </w:rPr>
      </w:pPr>
    </w:p>
    <w:p w14:paraId="74B0563D" w14:textId="77777777" w:rsidR="00045E75" w:rsidRPr="007F2E0A" w:rsidRDefault="00045E75" w:rsidP="00045E75">
      <w:pPr>
        <w:spacing w:after="0" w:line="480" w:lineRule="auto"/>
        <w:ind w:firstLine="284"/>
        <w:jc w:val="both"/>
        <w:rPr>
          <w:rFonts w:ascii="Arial" w:hAnsi="Arial" w:cs="Arial"/>
          <w:sz w:val="20"/>
          <w:szCs w:val="20"/>
        </w:rPr>
      </w:pPr>
    </w:p>
    <w:p w14:paraId="56D692BE" w14:textId="6131FB9B" w:rsidR="00045E75" w:rsidRPr="007F2E0A" w:rsidRDefault="00045E75" w:rsidP="00045E75">
      <w:pPr>
        <w:spacing w:after="0" w:line="480" w:lineRule="auto"/>
        <w:jc w:val="both"/>
        <w:rPr>
          <w:rFonts w:ascii="Arial" w:hAnsi="Arial" w:cs="Arial"/>
          <w:sz w:val="20"/>
          <w:szCs w:val="20"/>
        </w:rPr>
      </w:pPr>
    </w:p>
    <w:p w14:paraId="53CF322B" w14:textId="77777777" w:rsidR="00045E75" w:rsidRPr="007F2E0A" w:rsidRDefault="00045E75" w:rsidP="003D38B5">
      <w:pPr>
        <w:spacing w:after="0" w:line="360" w:lineRule="auto"/>
        <w:jc w:val="both"/>
        <w:rPr>
          <w:rFonts w:ascii="Arial" w:hAnsi="Arial" w:cs="Arial"/>
          <w:sz w:val="20"/>
          <w:szCs w:val="20"/>
        </w:rPr>
      </w:pPr>
    </w:p>
    <w:p w14:paraId="00445552" w14:textId="77777777" w:rsidR="003D38B5" w:rsidRPr="007F2E0A" w:rsidRDefault="003D38B5" w:rsidP="003D38B5">
      <w:pPr>
        <w:spacing w:after="0" w:line="360" w:lineRule="auto"/>
        <w:jc w:val="both"/>
        <w:rPr>
          <w:rFonts w:ascii="Arial" w:hAnsi="Arial" w:cs="Arial"/>
          <w:sz w:val="20"/>
          <w:szCs w:val="20"/>
        </w:rPr>
      </w:pPr>
    </w:p>
    <w:p w14:paraId="60FA3265" w14:textId="77777777" w:rsidR="0071515A" w:rsidRPr="007F2E0A" w:rsidRDefault="0071515A" w:rsidP="003D38B5">
      <w:pPr>
        <w:spacing w:after="0" w:line="360" w:lineRule="auto"/>
        <w:jc w:val="both"/>
        <w:rPr>
          <w:rFonts w:ascii="Arial" w:hAnsi="Arial" w:cs="Arial"/>
          <w:sz w:val="20"/>
          <w:szCs w:val="20"/>
        </w:rPr>
      </w:pPr>
    </w:p>
    <w:p w14:paraId="6A1DFBAC" w14:textId="77777777" w:rsidR="00AE2636" w:rsidRPr="007F2E0A" w:rsidRDefault="00AE2636" w:rsidP="003D38B5">
      <w:pPr>
        <w:spacing w:after="0" w:line="360" w:lineRule="auto"/>
        <w:jc w:val="both"/>
        <w:rPr>
          <w:rFonts w:ascii="Arial" w:hAnsi="Arial" w:cs="Arial"/>
          <w:sz w:val="20"/>
          <w:szCs w:val="20"/>
        </w:rPr>
      </w:pPr>
    </w:p>
    <w:p w14:paraId="21C2EAE4" w14:textId="77D400BC" w:rsidR="00E37944" w:rsidRPr="007F2E0A" w:rsidRDefault="00E37944" w:rsidP="003D38B5">
      <w:pPr>
        <w:spacing w:line="360" w:lineRule="auto"/>
        <w:rPr>
          <w:rFonts w:ascii="Arial" w:hAnsi="Arial" w:cs="Arial"/>
          <w:sz w:val="20"/>
          <w:szCs w:val="20"/>
        </w:rPr>
      </w:pPr>
    </w:p>
    <w:sectPr w:rsidR="00E37944" w:rsidRPr="007F2E0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674E9" w14:textId="77777777" w:rsidR="005806E2" w:rsidRDefault="005806E2" w:rsidP="00ED2B0B">
      <w:pPr>
        <w:spacing w:after="0" w:line="240" w:lineRule="auto"/>
      </w:pPr>
      <w:r>
        <w:separator/>
      </w:r>
    </w:p>
  </w:endnote>
  <w:endnote w:type="continuationSeparator" w:id="0">
    <w:p w14:paraId="2F52E07F" w14:textId="77777777" w:rsidR="005806E2" w:rsidRDefault="005806E2" w:rsidP="00ED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8BCB" w14:textId="77777777" w:rsidR="006A4ADB" w:rsidRDefault="006A4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EA46" w14:textId="77777777" w:rsidR="00ED2B0B" w:rsidRDefault="00ED2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000F" w14:textId="77777777" w:rsidR="006A4ADB" w:rsidRDefault="006A4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0B4B1" w14:textId="77777777" w:rsidR="005806E2" w:rsidRDefault="005806E2" w:rsidP="00ED2B0B">
      <w:pPr>
        <w:spacing w:after="0" w:line="240" w:lineRule="auto"/>
      </w:pPr>
      <w:r>
        <w:separator/>
      </w:r>
    </w:p>
  </w:footnote>
  <w:footnote w:type="continuationSeparator" w:id="0">
    <w:p w14:paraId="204667A6" w14:textId="77777777" w:rsidR="005806E2" w:rsidRDefault="005806E2" w:rsidP="00ED2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E279" w14:textId="5311DEDC" w:rsidR="006A4ADB" w:rsidRDefault="005806E2">
    <w:pPr>
      <w:pStyle w:val="Header"/>
    </w:pPr>
    <w:r>
      <w:rPr>
        <w:noProof/>
      </w:rPr>
      <w:pict w14:anchorId="624D8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99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D726" w14:textId="4E8D4364" w:rsidR="006A4ADB" w:rsidRDefault="005806E2">
    <w:pPr>
      <w:pStyle w:val="Header"/>
    </w:pPr>
    <w:r>
      <w:rPr>
        <w:noProof/>
      </w:rPr>
      <w:pict w14:anchorId="4C6B6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99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D626" w14:textId="35FA1F80" w:rsidR="006A4ADB" w:rsidRDefault="005806E2">
    <w:pPr>
      <w:pStyle w:val="Header"/>
    </w:pPr>
    <w:r>
      <w:rPr>
        <w:noProof/>
      </w:rPr>
      <w:pict w14:anchorId="09810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99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9C9"/>
    <w:multiLevelType w:val="hybridMultilevel"/>
    <w:tmpl w:val="F6945292"/>
    <w:lvl w:ilvl="0" w:tplc="FFFFFFFF">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AC326E"/>
    <w:multiLevelType w:val="hybridMultilevel"/>
    <w:tmpl w:val="5CF6C99E"/>
    <w:lvl w:ilvl="0" w:tplc="8AC8B90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03"/>
    <w:rsid w:val="00007876"/>
    <w:rsid w:val="0001010F"/>
    <w:rsid w:val="00021BF1"/>
    <w:rsid w:val="0002478E"/>
    <w:rsid w:val="00045E75"/>
    <w:rsid w:val="0006304E"/>
    <w:rsid w:val="00070297"/>
    <w:rsid w:val="00093BD7"/>
    <w:rsid w:val="000B4427"/>
    <w:rsid w:val="001800AB"/>
    <w:rsid w:val="001B58A4"/>
    <w:rsid w:val="00205E1E"/>
    <w:rsid w:val="00207D3F"/>
    <w:rsid w:val="00212B42"/>
    <w:rsid w:val="00240C48"/>
    <w:rsid w:val="00244535"/>
    <w:rsid w:val="00277A84"/>
    <w:rsid w:val="002D7605"/>
    <w:rsid w:val="002F2203"/>
    <w:rsid w:val="00314322"/>
    <w:rsid w:val="00320AB1"/>
    <w:rsid w:val="00331979"/>
    <w:rsid w:val="00395729"/>
    <w:rsid w:val="003D38B5"/>
    <w:rsid w:val="00407D4E"/>
    <w:rsid w:val="0043558C"/>
    <w:rsid w:val="00462FC2"/>
    <w:rsid w:val="00473811"/>
    <w:rsid w:val="004E13C9"/>
    <w:rsid w:val="005109E5"/>
    <w:rsid w:val="00532077"/>
    <w:rsid w:val="005806E2"/>
    <w:rsid w:val="005F1AFC"/>
    <w:rsid w:val="006055CF"/>
    <w:rsid w:val="006434AD"/>
    <w:rsid w:val="006A4ADB"/>
    <w:rsid w:val="006E26F1"/>
    <w:rsid w:val="00706084"/>
    <w:rsid w:val="0071515A"/>
    <w:rsid w:val="00730D2B"/>
    <w:rsid w:val="007320EA"/>
    <w:rsid w:val="00747A87"/>
    <w:rsid w:val="007618A8"/>
    <w:rsid w:val="007F2E0A"/>
    <w:rsid w:val="00823459"/>
    <w:rsid w:val="00884F7E"/>
    <w:rsid w:val="00907191"/>
    <w:rsid w:val="00925A90"/>
    <w:rsid w:val="00946E42"/>
    <w:rsid w:val="009D6ABD"/>
    <w:rsid w:val="009F40E0"/>
    <w:rsid w:val="009F548D"/>
    <w:rsid w:val="00A035F2"/>
    <w:rsid w:val="00AD0CE7"/>
    <w:rsid w:val="00AE241A"/>
    <w:rsid w:val="00AE2636"/>
    <w:rsid w:val="00B01999"/>
    <w:rsid w:val="00B44D54"/>
    <w:rsid w:val="00B52988"/>
    <w:rsid w:val="00B627FE"/>
    <w:rsid w:val="00B96F03"/>
    <w:rsid w:val="00BB2C5D"/>
    <w:rsid w:val="00BF0C67"/>
    <w:rsid w:val="00C0665A"/>
    <w:rsid w:val="00C37F4C"/>
    <w:rsid w:val="00C46ECA"/>
    <w:rsid w:val="00C81754"/>
    <w:rsid w:val="00C90948"/>
    <w:rsid w:val="00CA564A"/>
    <w:rsid w:val="00CE4D3B"/>
    <w:rsid w:val="00CF2028"/>
    <w:rsid w:val="00D02E8E"/>
    <w:rsid w:val="00D21149"/>
    <w:rsid w:val="00DC53F9"/>
    <w:rsid w:val="00DC6E36"/>
    <w:rsid w:val="00E37944"/>
    <w:rsid w:val="00E703DC"/>
    <w:rsid w:val="00ED2B0B"/>
    <w:rsid w:val="00ED7B3C"/>
    <w:rsid w:val="00F13AD8"/>
    <w:rsid w:val="00F65B05"/>
    <w:rsid w:val="00F961B9"/>
    <w:rsid w:val="00FB0FE1"/>
    <w:rsid w:val="00FB7B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D302A2"/>
  <w15:chartTrackingRefBased/>
  <w15:docId w15:val="{8C1C8D9B-9A38-4334-B927-672ED1E9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535"/>
  </w:style>
  <w:style w:type="paragraph" w:styleId="Heading1">
    <w:name w:val="heading 1"/>
    <w:basedOn w:val="Normal"/>
    <w:next w:val="Normal"/>
    <w:link w:val="Heading1Char"/>
    <w:uiPriority w:val="9"/>
    <w:qFormat/>
    <w:rsid w:val="00B96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F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F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F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F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F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F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F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F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F03"/>
    <w:rPr>
      <w:rFonts w:eastAsiaTheme="majorEastAsia" w:cstheme="majorBidi"/>
      <w:color w:val="272727" w:themeColor="text1" w:themeTint="D8"/>
    </w:rPr>
  </w:style>
  <w:style w:type="paragraph" w:styleId="Title">
    <w:name w:val="Title"/>
    <w:basedOn w:val="Normal"/>
    <w:next w:val="Normal"/>
    <w:link w:val="TitleChar"/>
    <w:uiPriority w:val="10"/>
    <w:qFormat/>
    <w:rsid w:val="00B96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F03"/>
    <w:pPr>
      <w:spacing w:before="160"/>
      <w:jc w:val="center"/>
    </w:pPr>
    <w:rPr>
      <w:i/>
      <w:iCs/>
      <w:color w:val="404040" w:themeColor="text1" w:themeTint="BF"/>
    </w:rPr>
  </w:style>
  <w:style w:type="character" w:customStyle="1" w:styleId="QuoteChar">
    <w:name w:val="Quote Char"/>
    <w:basedOn w:val="DefaultParagraphFont"/>
    <w:link w:val="Quote"/>
    <w:uiPriority w:val="29"/>
    <w:rsid w:val="00B96F03"/>
    <w:rPr>
      <w:i/>
      <w:iCs/>
      <w:color w:val="404040" w:themeColor="text1" w:themeTint="BF"/>
    </w:rPr>
  </w:style>
  <w:style w:type="paragraph" w:styleId="ListParagraph">
    <w:name w:val="List Paragraph"/>
    <w:basedOn w:val="Normal"/>
    <w:uiPriority w:val="34"/>
    <w:qFormat/>
    <w:rsid w:val="00B96F03"/>
    <w:pPr>
      <w:ind w:left="720"/>
      <w:contextualSpacing/>
    </w:pPr>
  </w:style>
  <w:style w:type="character" w:styleId="IntenseEmphasis">
    <w:name w:val="Intense Emphasis"/>
    <w:basedOn w:val="DefaultParagraphFont"/>
    <w:uiPriority w:val="21"/>
    <w:qFormat/>
    <w:rsid w:val="00B96F03"/>
    <w:rPr>
      <w:i/>
      <w:iCs/>
      <w:color w:val="2F5496" w:themeColor="accent1" w:themeShade="BF"/>
    </w:rPr>
  </w:style>
  <w:style w:type="paragraph" w:styleId="IntenseQuote">
    <w:name w:val="Intense Quote"/>
    <w:basedOn w:val="Normal"/>
    <w:next w:val="Normal"/>
    <w:link w:val="IntenseQuoteChar"/>
    <w:uiPriority w:val="30"/>
    <w:qFormat/>
    <w:rsid w:val="00B96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F03"/>
    <w:rPr>
      <w:i/>
      <w:iCs/>
      <w:color w:val="2F5496" w:themeColor="accent1" w:themeShade="BF"/>
    </w:rPr>
  </w:style>
  <w:style w:type="character" w:styleId="IntenseReference">
    <w:name w:val="Intense Reference"/>
    <w:basedOn w:val="DefaultParagraphFont"/>
    <w:uiPriority w:val="32"/>
    <w:qFormat/>
    <w:rsid w:val="00B96F03"/>
    <w:rPr>
      <w:b/>
      <w:bCs/>
      <w:smallCaps/>
      <w:color w:val="2F5496" w:themeColor="accent1" w:themeShade="BF"/>
      <w:spacing w:val="5"/>
    </w:rPr>
  </w:style>
  <w:style w:type="character" w:styleId="Hyperlink">
    <w:name w:val="Hyperlink"/>
    <w:basedOn w:val="DefaultParagraphFont"/>
    <w:uiPriority w:val="99"/>
    <w:unhideWhenUsed/>
    <w:rsid w:val="00244535"/>
    <w:rPr>
      <w:color w:val="0563C1" w:themeColor="hyperlink"/>
      <w:u w:val="single"/>
    </w:rPr>
  </w:style>
  <w:style w:type="character" w:styleId="UnresolvedMention">
    <w:name w:val="Unresolved Mention"/>
    <w:basedOn w:val="DefaultParagraphFont"/>
    <w:uiPriority w:val="99"/>
    <w:semiHidden/>
    <w:unhideWhenUsed/>
    <w:rsid w:val="00244535"/>
    <w:rPr>
      <w:color w:val="605E5C"/>
      <w:shd w:val="clear" w:color="auto" w:fill="E1DFDD"/>
    </w:rPr>
  </w:style>
  <w:style w:type="table" w:styleId="TableGrid">
    <w:name w:val="Table Grid"/>
    <w:basedOn w:val="TableNormal"/>
    <w:uiPriority w:val="39"/>
    <w:rsid w:val="00045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B0B"/>
  </w:style>
  <w:style w:type="paragraph" w:styleId="Footer">
    <w:name w:val="footer"/>
    <w:basedOn w:val="Normal"/>
    <w:link w:val="FooterChar"/>
    <w:uiPriority w:val="99"/>
    <w:unhideWhenUsed/>
    <w:rsid w:val="00ED2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26277">
      <w:bodyDiv w:val="1"/>
      <w:marLeft w:val="0"/>
      <w:marRight w:val="0"/>
      <w:marTop w:val="0"/>
      <w:marBottom w:val="0"/>
      <w:divBdr>
        <w:top w:val="none" w:sz="0" w:space="0" w:color="auto"/>
        <w:left w:val="none" w:sz="0" w:space="0" w:color="auto"/>
        <w:bottom w:val="none" w:sz="0" w:space="0" w:color="auto"/>
        <w:right w:val="none" w:sz="0" w:space="0" w:color="auto"/>
      </w:divBdr>
    </w:div>
    <w:div w:id="559680103">
      <w:bodyDiv w:val="1"/>
      <w:marLeft w:val="0"/>
      <w:marRight w:val="0"/>
      <w:marTop w:val="0"/>
      <w:marBottom w:val="0"/>
      <w:divBdr>
        <w:top w:val="none" w:sz="0" w:space="0" w:color="auto"/>
        <w:left w:val="none" w:sz="0" w:space="0" w:color="auto"/>
        <w:bottom w:val="none" w:sz="0" w:space="0" w:color="auto"/>
        <w:right w:val="none" w:sz="0" w:space="0" w:color="auto"/>
      </w:divBdr>
    </w:div>
    <w:div w:id="15085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nay\OneDrive\Desktop\Research\For%20thesis\Layout\finding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22230752666023"/>
          <c:y val="0.16185694822721214"/>
          <c:w val="0.86561835834729939"/>
          <c:h val="0.76226162432078792"/>
        </c:manualLayout>
      </c:layout>
      <c:barChart>
        <c:barDir val="col"/>
        <c:grouping val="clustered"/>
        <c:varyColors val="0"/>
        <c:ser>
          <c:idx val="0"/>
          <c:order val="0"/>
          <c:tx>
            <c:strRef>
              <c:f>Sheet1!$B$155</c:f>
              <c:strCache>
                <c:ptCount val="1"/>
                <c:pt idx="0">
                  <c:v>Assamese medium preschool teachers</c:v>
                </c:pt>
              </c:strCache>
            </c:strRef>
          </c:tx>
          <c:spPr>
            <a:solidFill>
              <a:schemeClr val="accent6"/>
            </a:solidFill>
            <a:ln>
              <a:noFill/>
            </a:ln>
            <a:effectLst>
              <a:outerShdw blurRad="50800" dist="101600" dir="5400000" algn="ctr" rotWithShape="0">
                <a:srgbClr val="000000">
                  <a:alpha val="43137"/>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Sheet1!$A$156:$A$158</c:f>
              <c:strCache>
                <c:ptCount val="3"/>
                <c:pt idx="0">
                  <c:v>High</c:v>
                </c:pt>
                <c:pt idx="1">
                  <c:v>Medium</c:v>
                </c:pt>
                <c:pt idx="2">
                  <c:v>Low</c:v>
                </c:pt>
              </c:strCache>
            </c:strRef>
          </c:cat>
          <c:val>
            <c:numRef>
              <c:f>Sheet1!$B$156:$B$158</c:f>
              <c:numCache>
                <c:formatCode>General</c:formatCode>
                <c:ptCount val="3"/>
                <c:pt idx="0">
                  <c:v>74</c:v>
                </c:pt>
                <c:pt idx="1">
                  <c:v>18</c:v>
                </c:pt>
                <c:pt idx="2">
                  <c:v>8</c:v>
                </c:pt>
              </c:numCache>
            </c:numRef>
          </c:val>
          <c:extLst>
            <c:ext xmlns:c16="http://schemas.microsoft.com/office/drawing/2014/chart" uri="{C3380CC4-5D6E-409C-BE32-E72D297353CC}">
              <c16:uniqueId val="{00000000-CFCA-4D64-A282-5497CE77F5F0}"/>
            </c:ext>
          </c:extLst>
        </c:ser>
        <c:ser>
          <c:idx val="1"/>
          <c:order val="1"/>
          <c:tx>
            <c:strRef>
              <c:f>Sheet1!$C$155</c:f>
              <c:strCache>
                <c:ptCount val="1"/>
                <c:pt idx="0">
                  <c:v>English medium preschool teachers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Sheet1!$A$156:$A$158</c:f>
              <c:strCache>
                <c:ptCount val="3"/>
                <c:pt idx="0">
                  <c:v>High</c:v>
                </c:pt>
                <c:pt idx="1">
                  <c:v>Medium</c:v>
                </c:pt>
                <c:pt idx="2">
                  <c:v>Low</c:v>
                </c:pt>
              </c:strCache>
            </c:strRef>
          </c:cat>
          <c:val>
            <c:numRef>
              <c:f>Sheet1!$C$156:$C$158</c:f>
              <c:numCache>
                <c:formatCode>General</c:formatCode>
                <c:ptCount val="3"/>
                <c:pt idx="0">
                  <c:v>72</c:v>
                </c:pt>
                <c:pt idx="1">
                  <c:v>22</c:v>
                </c:pt>
                <c:pt idx="2">
                  <c:v>6</c:v>
                </c:pt>
              </c:numCache>
            </c:numRef>
          </c:val>
          <c:extLst>
            <c:ext xmlns:c16="http://schemas.microsoft.com/office/drawing/2014/chart" uri="{C3380CC4-5D6E-409C-BE32-E72D297353CC}">
              <c16:uniqueId val="{00000001-CFCA-4D64-A282-5497CE77F5F0}"/>
            </c:ext>
          </c:extLst>
        </c:ser>
        <c:dLbls>
          <c:dLblPos val="outEnd"/>
          <c:showLegendKey val="0"/>
          <c:showVal val="1"/>
          <c:showCatName val="0"/>
          <c:showSerName val="0"/>
          <c:showPercent val="0"/>
          <c:showBubbleSize val="0"/>
        </c:dLbls>
        <c:gapWidth val="199"/>
        <c:axId val="540810800"/>
        <c:axId val="540806960"/>
      </c:barChart>
      <c:catAx>
        <c:axId val="54081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0806960"/>
        <c:crosses val="autoZero"/>
        <c:auto val="1"/>
        <c:lblAlgn val="ctr"/>
        <c:lblOffset val="100"/>
        <c:noMultiLvlLbl val="0"/>
      </c:catAx>
      <c:valAx>
        <c:axId val="54080696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1" i="0" u="none" strike="noStrike" kern="1200" cap="none" baseline="0">
                    <a:solidFill>
                      <a:schemeClr val="tx1"/>
                    </a:solidFill>
                    <a:latin typeface="Times New Roman" panose="02020603050405020304" pitchFamily="18" charset="0"/>
                    <a:ea typeface="+mn-ea"/>
                    <a:cs typeface="Times New Roman" panose="02020603050405020304" pitchFamily="18" charset="0"/>
                  </a:defRPr>
                </a:pPr>
                <a:r>
                  <a:rPr lang="en-IN" sz="1000" b="1" cap="none">
                    <a:solidFill>
                      <a:schemeClr val="tx1"/>
                    </a:solidFill>
                    <a:latin typeface="Times New Roman" panose="02020603050405020304" pitchFamily="18" charset="0"/>
                    <a:cs typeface="Times New Roman" panose="02020603050405020304" pitchFamily="18" charset="0"/>
                  </a:rPr>
                  <a:t>Percentage</a:t>
                </a:r>
                <a:r>
                  <a:rPr lang="en-IN" sz="1000" b="1" cap="none" baseline="0">
                    <a:solidFill>
                      <a:schemeClr val="tx1"/>
                    </a:solidFill>
                    <a:latin typeface="Times New Roman" panose="02020603050405020304" pitchFamily="18" charset="0"/>
                    <a:cs typeface="Times New Roman" panose="02020603050405020304" pitchFamily="18" charset="0"/>
                  </a:rPr>
                  <a:t> of respondents</a:t>
                </a:r>
                <a:endParaRPr lang="en-IN" sz="1000" b="1" cap="none">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cap="none"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0810800"/>
        <c:crosses val="autoZero"/>
        <c:crossBetween val="between"/>
      </c:valAx>
      <c:spPr>
        <a:noFill/>
        <a:ln>
          <a:noFill/>
        </a:ln>
        <a:effectLst/>
      </c:spPr>
    </c:plotArea>
    <c:legend>
      <c:legendPos val="t"/>
      <c:layout>
        <c:manualLayout>
          <c:xMode val="edge"/>
          <c:yMode val="edge"/>
          <c:x val="0.25761289054088216"/>
          <c:y val="2.1543985637342909E-2"/>
          <c:w val="0.49666463808551875"/>
          <c:h val="0.11643930505096199"/>
        </c:manualLayout>
      </c:layout>
      <c:overlay val="0"/>
      <c:spPr>
        <a:noFill/>
        <a:ln w="12700">
          <a:solidFill>
            <a:schemeClr val="tx1"/>
          </a:solid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Pages>
  <Words>6521</Words>
  <Characters>37171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Sunayana Gogoi</dc:creator>
  <cp:keywords/>
  <dc:description/>
  <cp:lastModifiedBy>SDI PC New 16</cp:lastModifiedBy>
  <cp:revision>53</cp:revision>
  <dcterms:created xsi:type="dcterms:W3CDTF">2025-07-06T11:32:00Z</dcterms:created>
  <dcterms:modified xsi:type="dcterms:W3CDTF">2025-10-27T09:08:00Z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888846c2-bb34-4529-973c-4fe55a222b43</vt:lpwstr>
  </property>
</Properties>
</file>