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843E" w14:textId="77777777" w:rsidR="00B423CE" w:rsidRPr="00B423CE" w:rsidRDefault="00B423CE" w:rsidP="0081162C">
      <w:pPr>
        <w:ind w:firstLine="720"/>
        <w:jc w:val="center"/>
        <w:rPr>
          <w:rFonts w:ascii="Times New Roman" w:hAnsi="Times New Roman" w:cs="Times New Roman"/>
          <w:b/>
          <w:bCs/>
          <w:i/>
          <w:sz w:val="32"/>
          <w:u w:val="single"/>
        </w:rPr>
      </w:pPr>
      <w:r w:rsidRPr="00B423CE">
        <w:rPr>
          <w:rFonts w:ascii="Times New Roman" w:hAnsi="Times New Roman" w:cs="Times New Roman"/>
          <w:b/>
          <w:bCs/>
          <w:i/>
          <w:sz w:val="32"/>
          <w:u w:val="single"/>
        </w:rPr>
        <w:t>Review Article</w:t>
      </w:r>
    </w:p>
    <w:p w14:paraId="169451ED" w14:textId="2E1598B0" w:rsidR="008A71E4" w:rsidRPr="0068799F" w:rsidRDefault="008A71E4" w:rsidP="0079339C">
      <w:pPr>
        <w:jc w:val="both"/>
        <w:rPr>
          <w:rFonts w:ascii="Times New Roman" w:hAnsi="Times New Roman" w:cs="Times New Roman"/>
          <w:b/>
          <w:bCs/>
          <w:sz w:val="24"/>
        </w:rPr>
      </w:pPr>
      <w:r w:rsidRPr="00096FD2">
        <w:rPr>
          <w:rFonts w:ascii="Times New Roman" w:hAnsi="Times New Roman" w:cs="Times New Roman"/>
          <w:b/>
          <w:bCs/>
          <w:sz w:val="28"/>
          <w:szCs w:val="24"/>
          <w:highlight w:val="yellow"/>
        </w:rPr>
        <w:t xml:space="preserve">Soil Carbon Sequestration Strategies and </w:t>
      </w:r>
      <w:r w:rsidR="0021228F" w:rsidRPr="00096FD2">
        <w:rPr>
          <w:rFonts w:ascii="Times New Roman" w:hAnsi="Times New Roman" w:cs="Times New Roman"/>
          <w:b/>
          <w:bCs/>
          <w:sz w:val="28"/>
          <w:szCs w:val="24"/>
          <w:highlight w:val="yellow"/>
        </w:rPr>
        <w:t xml:space="preserve">Carbon Crediting </w:t>
      </w:r>
      <w:r w:rsidRPr="00096FD2">
        <w:rPr>
          <w:rFonts w:ascii="Times New Roman" w:hAnsi="Times New Roman" w:cs="Times New Roman"/>
          <w:b/>
          <w:bCs/>
          <w:sz w:val="28"/>
          <w:szCs w:val="24"/>
          <w:highlight w:val="yellow"/>
        </w:rPr>
        <w:t>for Mitigating Climate Change: A Review of Recent Developments</w:t>
      </w:r>
    </w:p>
    <w:p w14:paraId="379A4BD2" w14:textId="77777777" w:rsidR="005E72E8" w:rsidRDefault="005E72E8" w:rsidP="005E72E8">
      <w:pPr>
        <w:jc w:val="both"/>
        <w:rPr>
          <w:rFonts w:ascii="Times New Roman" w:hAnsi="Times New Roman" w:cs="Times New Roman"/>
          <w:b/>
          <w:bCs/>
          <w:sz w:val="24"/>
          <w:szCs w:val="24"/>
        </w:rPr>
      </w:pPr>
    </w:p>
    <w:p w14:paraId="50F5FB75" w14:textId="0A0A77D6" w:rsidR="006E2CFE" w:rsidRDefault="006E2CFE" w:rsidP="00304398">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7BCA9EC" w14:textId="77777777" w:rsidR="00304398" w:rsidRDefault="00304398" w:rsidP="00304398">
      <w:pPr>
        <w:ind w:firstLine="720"/>
        <w:jc w:val="both"/>
        <w:rPr>
          <w:rFonts w:ascii="Times New Roman" w:hAnsi="Times New Roman" w:cs="Times New Roman"/>
          <w:sz w:val="24"/>
          <w:szCs w:val="24"/>
        </w:rPr>
      </w:pPr>
    </w:p>
    <w:p w14:paraId="6BCF8438"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Abstract</w:t>
      </w:r>
    </w:p>
    <w:p w14:paraId="13104F1C" w14:textId="76D40A49"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Soil carbon sequestration represents a critical natural climate solution for mitigating atmospheric CO₂ concentrations while simultaneously enhancing soil health and agricultural productivity. This comprehensive review examines recent developments in soil carbon sequestration strategies, </w:t>
      </w:r>
      <w:proofErr w:type="spellStart"/>
      <w:r w:rsidR="00D26692" w:rsidRPr="00096FD2">
        <w:rPr>
          <w:rFonts w:ascii="Times New Roman" w:hAnsi="Times New Roman" w:cs="Times New Roman"/>
          <w:sz w:val="24"/>
          <w:szCs w:val="24"/>
          <w:highlight w:val="yellow"/>
        </w:rPr>
        <w:t>analysing</w:t>
      </w:r>
      <w:proofErr w:type="spellEnd"/>
      <w:r w:rsidR="00D26692" w:rsidRPr="007C57AA">
        <w:rPr>
          <w:rFonts w:ascii="Times New Roman" w:hAnsi="Times New Roman" w:cs="Times New Roman"/>
          <w:sz w:val="24"/>
          <w:szCs w:val="24"/>
        </w:rPr>
        <w:t xml:space="preserve"> </w:t>
      </w:r>
      <w:r w:rsidRPr="007C57AA">
        <w:rPr>
          <w:rFonts w:ascii="Times New Roman" w:hAnsi="Times New Roman" w:cs="Times New Roman"/>
          <w:sz w:val="24"/>
          <w:szCs w:val="24"/>
        </w:rPr>
        <w:t xml:space="preserve">mechanisms, quantification methods, and implementation approaches across diverse ecosystems. Recent studies demonstrate that </w:t>
      </w:r>
      <w:proofErr w:type="spellStart"/>
      <w:r w:rsidR="00D26692" w:rsidRPr="00096FD2">
        <w:rPr>
          <w:rFonts w:ascii="Times New Roman" w:hAnsi="Times New Roman" w:cs="Times New Roman"/>
          <w:sz w:val="24"/>
          <w:szCs w:val="24"/>
          <w:highlight w:val="yellow"/>
        </w:rPr>
        <w:t>optimised</w:t>
      </w:r>
      <w:proofErr w:type="spellEnd"/>
      <w:r w:rsidR="00D26692" w:rsidRPr="007C57AA">
        <w:rPr>
          <w:rFonts w:ascii="Times New Roman" w:hAnsi="Times New Roman" w:cs="Times New Roman"/>
          <w:sz w:val="24"/>
          <w:szCs w:val="24"/>
        </w:rPr>
        <w:t xml:space="preserve"> </w:t>
      </w:r>
      <w:r w:rsidRPr="007C57AA">
        <w:rPr>
          <w:rFonts w:ascii="Times New Roman" w:hAnsi="Times New Roman" w:cs="Times New Roman"/>
          <w:sz w:val="24"/>
          <w:szCs w:val="24"/>
        </w:rPr>
        <w:t xml:space="preserve">agricultural practices can increase soil organic carbon stocks by 0.4-1.2 Mg C ha⁻¹ yr⁻¹, contributing significantly to climate mitigation goals. Key strategies include conservation agriculture, cover cropping, biochar application, agroforestry systems, and enhanced weathering techniques. However, permanence challenges, measurement uncertainties, and socioeconomic barriers remain significant constraints. Advanced monitoring technologies, including remote sensing and machine learning approaches, show promise for improving carbon stock assessments. </w:t>
      </w:r>
      <w:r w:rsidR="008C2D0D" w:rsidRPr="00D26692">
        <w:rPr>
          <w:rFonts w:ascii="Times New Roman" w:hAnsi="Times New Roman" w:cs="Times New Roman"/>
          <w:sz w:val="24"/>
          <w:szCs w:val="24"/>
          <w:highlight w:val="yellow"/>
        </w:rPr>
        <w:t xml:space="preserve">Emerging </w:t>
      </w:r>
      <w:r w:rsidR="000E3571" w:rsidRPr="00D26692">
        <w:rPr>
          <w:rFonts w:ascii="Times New Roman" w:hAnsi="Times New Roman" w:cs="Times New Roman"/>
          <w:sz w:val="24"/>
          <w:szCs w:val="24"/>
          <w:highlight w:val="yellow"/>
        </w:rPr>
        <w:t>credit carbon markets create financial incentives for soil carbon sequestration, with voluntary markets currently dominating transactions</w:t>
      </w:r>
      <w:r w:rsidR="008C2D0D" w:rsidRPr="00D26692">
        <w:rPr>
          <w:rFonts w:ascii="Times New Roman" w:hAnsi="Times New Roman" w:cs="Times New Roman"/>
          <w:sz w:val="24"/>
          <w:szCs w:val="24"/>
          <w:highlight w:val="yellow"/>
        </w:rPr>
        <w:t>.</w:t>
      </w:r>
      <w:r w:rsidR="008C2D0D">
        <w:rPr>
          <w:rFonts w:ascii="Times New Roman" w:hAnsi="Times New Roman" w:cs="Times New Roman"/>
          <w:sz w:val="24"/>
          <w:szCs w:val="24"/>
        </w:rPr>
        <w:t xml:space="preserve"> </w:t>
      </w:r>
      <w:r w:rsidRPr="007C57AA">
        <w:rPr>
          <w:rFonts w:ascii="Times New Roman" w:hAnsi="Times New Roman" w:cs="Times New Roman"/>
          <w:sz w:val="24"/>
          <w:szCs w:val="24"/>
        </w:rPr>
        <w:t xml:space="preserve">Policy frameworks incorporating carbon credits and incentive mechanisms are </w:t>
      </w:r>
      <w:proofErr w:type="spellStart"/>
      <w:r w:rsidRPr="007C57AA">
        <w:rPr>
          <w:rFonts w:ascii="Times New Roman" w:hAnsi="Times New Roman" w:cs="Times New Roman"/>
          <w:sz w:val="24"/>
          <w:szCs w:val="24"/>
        </w:rPr>
        <w:t>emering</w:t>
      </w:r>
      <w:proofErr w:type="spellEnd"/>
      <w:r w:rsidRPr="007C57AA">
        <w:rPr>
          <w:rFonts w:ascii="Times New Roman" w:hAnsi="Times New Roman" w:cs="Times New Roman"/>
          <w:sz w:val="24"/>
          <w:szCs w:val="24"/>
        </w:rPr>
        <w:t xml:space="preserve"> globally to promote adoption. This </w:t>
      </w:r>
      <w:r w:rsidRPr="00096FD2">
        <w:rPr>
          <w:rFonts w:ascii="Times New Roman" w:hAnsi="Times New Roman" w:cs="Times New Roman"/>
          <w:sz w:val="24"/>
          <w:szCs w:val="24"/>
          <w:highlight w:val="yellow"/>
        </w:rPr>
        <w:t xml:space="preserve">review </w:t>
      </w:r>
      <w:proofErr w:type="spellStart"/>
      <w:r w:rsidR="006535AB" w:rsidRPr="00096FD2">
        <w:rPr>
          <w:rFonts w:ascii="Times New Roman" w:hAnsi="Times New Roman" w:cs="Times New Roman"/>
          <w:sz w:val="24"/>
          <w:szCs w:val="24"/>
          <w:highlight w:val="yellow"/>
        </w:rPr>
        <w:t>synthesises</w:t>
      </w:r>
      <w:proofErr w:type="spellEnd"/>
      <w:r w:rsidR="006535AB" w:rsidRPr="007C57AA">
        <w:rPr>
          <w:rFonts w:ascii="Times New Roman" w:hAnsi="Times New Roman" w:cs="Times New Roman"/>
          <w:sz w:val="24"/>
          <w:szCs w:val="24"/>
        </w:rPr>
        <w:t xml:space="preserve"> </w:t>
      </w:r>
      <w:r w:rsidRPr="007C57AA">
        <w:rPr>
          <w:rFonts w:ascii="Times New Roman" w:hAnsi="Times New Roman" w:cs="Times New Roman"/>
          <w:sz w:val="24"/>
          <w:szCs w:val="24"/>
        </w:rPr>
        <w:t xml:space="preserve">current knowledge on sequestration potential across different soil types and climatic zones, evaluates technological innovations, and identifies research priorities. Future </w:t>
      </w:r>
      <w:r w:rsidRPr="00096FD2">
        <w:rPr>
          <w:rFonts w:ascii="Times New Roman" w:hAnsi="Times New Roman" w:cs="Times New Roman"/>
          <w:sz w:val="24"/>
          <w:szCs w:val="24"/>
          <w:highlight w:val="yellow"/>
        </w:rPr>
        <w:t xml:space="preserve">directions </w:t>
      </w:r>
      <w:proofErr w:type="spellStart"/>
      <w:r w:rsidR="006535AB" w:rsidRPr="00096FD2">
        <w:rPr>
          <w:rFonts w:ascii="Times New Roman" w:hAnsi="Times New Roman" w:cs="Times New Roman"/>
          <w:sz w:val="24"/>
          <w:szCs w:val="24"/>
          <w:highlight w:val="yellow"/>
        </w:rPr>
        <w:t>emphasise</w:t>
      </w:r>
      <w:proofErr w:type="spellEnd"/>
      <w:r w:rsidR="006535AB"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in</w:t>
      </w:r>
      <w:r w:rsidRPr="007C57AA">
        <w:rPr>
          <w:rFonts w:ascii="Times New Roman" w:hAnsi="Times New Roman" w:cs="Times New Roman"/>
          <w:sz w:val="24"/>
          <w:szCs w:val="24"/>
        </w:rPr>
        <w:t xml:space="preserve">tegrated landscape management, precision agriculture technologies, and nature-based solutions. Achieving substantial climate mitigation through soil carbon sequestration requires coordinated efforts combining scientific advancement, policy support, and stakeholder engagement </w:t>
      </w:r>
      <w:r w:rsidRPr="00096FD2">
        <w:rPr>
          <w:rFonts w:ascii="Times New Roman" w:hAnsi="Times New Roman" w:cs="Times New Roman"/>
          <w:sz w:val="24"/>
          <w:szCs w:val="24"/>
          <w:highlight w:val="yellow"/>
        </w:rPr>
        <w:t xml:space="preserve">to </w:t>
      </w:r>
      <w:proofErr w:type="spellStart"/>
      <w:r w:rsidR="006535AB" w:rsidRPr="00096FD2">
        <w:rPr>
          <w:rFonts w:ascii="Times New Roman" w:hAnsi="Times New Roman" w:cs="Times New Roman"/>
          <w:sz w:val="24"/>
          <w:szCs w:val="24"/>
          <w:highlight w:val="yellow"/>
        </w:rPr>
        <w:t>realise</w:t>
      </w:r>
      <w:proofErr w:type="spellEnd"/>
      <w:r w:rsidR="006535AB" w:rsidRPr="007C57AA">
        <w:rPr>
          <w:rFonts w:ascii="Times New Roman" w:hAnsi="Times New Roman" w:cs="Times New Roman"/>
          <w:sz w:val="24"/>
          <w:szCs w:val="24"/>
        </w:rPr>
        <w:t xml:space="preserve"> </w:t>
      </w:r>
      <w:r w:rsidRPr="007C57AA">
        <w:rPr>
          <w:rFonts w:ascii="Times New Roman" w:hAnsi="Times New Roman" w:cs="Times New Roman"/>
          <w:sz w:val="24"/>
          <w:szCs w:val="24"/>
        </w:rPr>
        <w:t>the full potential of soils as carbon sinks.</w:t>
      </w:r>
      <w:r w:rsidR="00F450C9">
        <w:rPr>
          <w:rFonts w:ascii="Times New Roman" w:hAnsi="Times New Roman" w:cs="Times New Roman"/>
          <w:sz w:val="24"/>
          <w:szCs w:val="24"/>
        </w:rPr>
        <w:t xml:space="preserve"> </w:t>
      </w:r>
    </w:p>
    <w:p w14:paraId="73B794E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b/>
          <w:bCs/>
          <w:sz w:val="24"/>
          <w:szCs w:val="24"/>
        </w:rPr>
        <w:t>Keywords:</w:t>
      </w:r>
      <w:r w:rsidRPr="007C57AA">
        <w:rPr>
          <w:rFonts w:ascii="Times New Roman" w:hAnsi="Times New Roman" w:cs="Times New Roman"/>
          <w:sz w:val="24"/>
          <w:szCs w:val="24"/>
        </w:rPr>
        <w:t xml:space="preserve"> </w:t>
      </w:r>
      <w:r w:rsidR="003C38D6" w:rsidRPr="003C38D6">
        <w:rPr>
          <w:rFonts w:ascii="Times New Roman" w:hAnsi="Times New Roman" w:cs="Times New Roman"/>
          <w:sz w:val="24"/>
          <w:szCs w:val="24"/>
        </w:rPr>
        <w:t>Soil Carbon, Climate Mitigation, Sequestration Strategies, Agricultural Practices, Carbon Stocks</w:t>
      </w:r>
    </w:p>
    <w:p w14:paraId="54C746AD" w14:textId="77777777" w:rsidR="003C38D6" w:rsidRDefault="003C38D6" w:rsidP="007C57AA">
      <w:pPr>
        <w:jc w:val="both"/>
        <w:rPr>
          <w:rFonts w:ascii="Times New Roman" w:hAnsi="Times New Roman" w:cs="Times New Roman"/>
          <w:b/>
          <w:bCs/>
          <w:sz w:val="24"/>
          <w:szCs w:val="24"/>
        </w:rPr>
      </w:pPr>
    </w:p>
    <w:p w14:paraId="7BEF3CB3"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Introduction</w:t>
      </w:r>
    </w:p>
    <w:p w14:paraId="23F8A7C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The escalating climate crisis demands urgent implementation of carbon dioxide removal strategies to complement emission reduction efforts. Among natural climate solutions, soil carbon sequestration emerges as a particularly promising approach, offering the potential to remove substantial atmospheric CO₂ while delivering co-benefits for agricultural productivity, biodiversity conservation, and ecosystem resilience. Global soils contain approximately 2,500 Pg of carbon in the top meter, representing three times the atmospheric carbon pool and four times the biotic </w:t>
      </w:r>
      <w:r w:rsidRPr="007C57AA">
        <w:rPr>
          <w:rFonts w:ascii="Times New Roman" w:hAnsi="Times New Roman" w:cs="Times New Roman"/>
          <w:sz w:val="24"/>
          <w:szCs w:val="24"/>
        </w:rPr>
        <w:lastRenderedPageBreak/>
        <w:t>carbon pool. This vast reservoir positions soils as critical components in global carbon cycling and climate regulation.</w:t>
      </w:r>
    </w:p>
    <w:p w14:paraId="15491D71" w14:textId="3D8476F4" w:rsidR="007C57AA" w:rsidRPr="00096FD2" w:rsidRDefault="00CA06A3" w:rsidP="007C57AA">
      <w:pPr>
        <w:jc w:val="both"/>
        <w:rPr>
          <w:rFonts w:ascii="Times New Roman" w:hAnsi="Times New Roman" w:cs="Times New Roman"/>
          <w:sz w:val="24"/>
          <w:szCs w:val="24"/>
          <w:highlight w:val="yellow"/>
        </w:rPr>
      </w:pPr>
      <w:r w:rsidRPr="00096FD2">
        <w:rPr>
          <w:rFonts w:ascii="Times New Roman" w:hAnsi="Times New Roman" w:cs="Times New Roman"/>
          <w:sz w:val="24"/>
          <w:szCs w:val="24"/>
          <w:highlight w:val="yellow"/>
        </w:rPr>
        <w:t>Soil organic matter is the largest terrestrial carbon pool (</w:t>
      </w:r>
      <w:proofErr w:type="spellStart"/>
      <w:r w:rsidRPr="00096FD2">
        <w:rPr>
          <w:rFonts w:ascii="Times New Roman" w:hAnsi="Times New Roman" w:cs="Times New Roman"/>
          <w:sz w:val="24"/>
          <w:szCs w:val="24"/>
          <w:highlight w:val="yellow"/>
        </w:rPr>
        <w:t>Poeplau</w:t>
      </w:r>
      <w:proofErr w:type="spellEnd"/>
      <w:r w:rsidRPr="00096FD2">
        <w:rPr>
          <w:rFonts w:ascii="Times New Roman" w:hAnsi="Times New Roman" w:cs="Times New Roman"/>
          <w:sz w:val="24"/>
          <w:szCs w:val="24"/>
          <w:highlight w:val="yellow"/>
        </w:rPr>
        <w:t xml:space="preserve">, 2021). </w:t>
      </w:r>
      <w:r w:rsidR="007C57AA" w:rsidRPr="007C57AA">
        <w:rPr>
          <w:rFonts w:ascii="Times New Roman" w:hAnsi="Times New Roman" w:cs="Times New Roman"/>
          <w:sz w:val="24"/>
          <w:szCs w:val="24"/>
        </w:rPr>
        <w:t>Historical agricultural practices have depleted soil organic carbon (SOC) stocks by 50-70% in cultivated lands, releasing 133 Pg C to the atmosphere since the advent of agriculture. However, this depletion creates opportunities for carbon restoration through improved management practices. Recent assessments suggest global agricultural soils could sequester 0.9-1.85 Pg C yr⁻¹, offsetting 10-20% of annual anthropogenic emissions. India, with 142 million hectares of agricultural land experiencing severe SOC depletion, presents substantial sequestration potential through targeted interventions.</w:t>
      </w:r>
      <w:r w:rsidR="00A0533F">
        <w:rPr>
          <w:rFonts w:ascii="Times New Roman" w:hAnsi="Times New Roman" w:cs="Times New Roman"/>
          <w:sz w:val="24"/>
          <w:szCs w:val="24"/>
        </w:rPr>
        <w:t xml:space="preserve"> </w:t>
      </w:r>
      <w:r w:rsidR="00A0533F" w:rsidRPr="00096FD2">
        <w:rPr>
          <w:rFonts w:ascii="Times New Roman" w:hAnsi="Times New Roman" w:cs="Times New Roman"/>
          <w:sz w:val="24"/>
          <w:szCs w:val="24"/>
          <w:highlight w:val="yellow"/>
        </w:rPr>
        <w:t>Carbon</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sequestration</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involves</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the</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long-term storage</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of</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carbon</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dioxide</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or</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other</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forms</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of carbon</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in</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the oceans,</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soils,</w:t>
      </w:r>
      <w:r w:rsidR="008510F8" w:rsidRPr="00096FD2">
        <w:rPr>
          <w:rFonts w:ascii="Times New Roman" w:hAnsi="Times New Roman" w:cs="Times New Roman"/>
          <w:sz w:val="24"/>
          <w:szCs w:val="24"/>
          <w:highlight w:val="yellow"/>
        </w:rPr>
        <w:t xml:space="preserve"> vegetation (particularly</w:t>
      </w:r>
      <w:r w:rsidR="00A0533F" w:rsidRPr="00096FD2">
        <w:rPr>
          <w:rFonts w:ascii="Times New Roman" w:hAnsi="Times New Roman" w:cs="Times New Roman"/>
          <w:sz w:val="24"/>
          <w:szCs w:val="24"/>
          <w:highlight w:val="yellow"/>
        </w:rPr>
        <w:t xml:space="preserve"> forests),</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and</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geologic</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formations</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in order</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to</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prevent</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or</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delay</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global</w:t>
      </w:r>
      <w:r w:rsidR="008510F8" w:rsidRPr="00096FD2">
        <w:rPr>
          <w:rFonts w:ascii="Times New Roman" w:hAnsi="Times New Roman" w:cs="Times New Roman"/>
          <w:sz w:val="24"/>
          <w:szCs w:val="24"/>
          <w:highlight w:val="yellow"/>
        </w:rPr>
        <w:t xml:space="preserve"> </w:t>
      </w:r>
      <w:r w:rsidR="00A0533F" w:rsidRPr="00096FD2">
        <w:rPr>
          <w:rFonts w:ascii="Times New Roman" w:hAnsi="Times New Roman" w:cs="Times New Roman"/>
          <w:sz w:val="24"/>
          <w:szCs w:val="24"/>
          <w:highlight w:val="yellow"/>
        </w:rPr>
        <w:t>warming</w:t>
      </w:r>
      <w:r w:rsidR="005E3F5D" w:rsidRPr="00096FD2">
        <w:rPr>
          <w:rFonts w:ascii="Times New Roman" w:hAnsi="Times New Roman" w:cs="Times New Roman"/>
          <w:sz w:val="24"/>
          <w:szCs w:val="24"/>
          <w:highlight w:val="yellow"/>
        </w:rPr>
        <w:t xml:space="preserve"> (Kaushal et al., 2023)</w:t>
      </w:r>
      <w:r w:rsidR="00A0533F" w:rsidRPr="00096FD2">
        <w:rPr>
          <w:rFonts w:ascii="Times New Roman" w:hAnsi="Times New Roman" w:cs="Times New Roman"/>
          <w:sz w:val="24"/>
          <w:szCs w:val="24"/>
          <w:highlight w:val="yellow"/>
        </w:rPr>
        <w:t>.</w:t>
      </w:r>
      <w:r w:rsidR="008510F8" w:rsidRPr="00096FD2">
        <w:rPr>
          <w:rFonts w:ascii="Times New Roman" w:hAnsi="Times New Roman" w:cs="Times New Roman"/>
          <w:sz w:val="24"/>
          <w:szCs w:val="24"/>
          <w:highlight w:val="yellow"/>
        </w:rPr>
        <w:t xml:space="preserve"> </w:t>
      </w:r>
    </w:p>
    <w:p w14:paraId="30FB289B" w14:textId="579097AA"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The mechanisms underlying soil carbon sequestration involve complex interactions between biological, chemical, and physical processes. </w:t>
      </w:r>
      <w:r w:rsidR="00812073" w:rsidRPr="00096FD2">
        <w:rPr>
          <w:rFonts w:ascii="Times New Roman" w:hAnsi="Times New Roman" w:cs="Times New Roman"/>
          <w:sz w:val="24"/>
          <w:szCs w:val="24"/>
          <w:highlight w:val="yellow"/>
        </w:rPr>
        <w:t>The</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net</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removal</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of</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carbon dioxide (CO2)</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from</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the</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atmosphere</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or</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the</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prevention</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of emission</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of</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carbon</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dioxide</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(CO2)</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into</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the atmosphere</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by</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terrestrial</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ecosystems</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is</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referred to</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as</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carbon</w:t>
      </w:r>
      <w:r w:rsidR="008510F8" w:rsidRPr="00096FD2">
        <w:rPr>
          <w:rFonts w:ascii="Times New Roman" w:hAnsi="Times New Roman" w:cs="Times New Roman"/>
          <w:sz w:val="24"/>
          <w:szCs w:val="24"/>
          <w:highlight w:val="yellow"/>
        </w:rPr>
        <w:t xml:space="preserve"> </w:t>
      </w:r>
      <w:r w:rsidR="00812073" w:rsidRPr="00096FD2">
        <w:rPr>
          <w:rFonts w:ascii="Times New Roman" w:hAnsi="Times New Roman" w:cs="Times New Roman"/>
          <w:sz w:val="24"/>
          <w:szCs w:val="24"/>
          <w:highlight w:val="yellow"/>
        </w:rPr>
        <w:t xml:space="preserve">sequestration (Das et al., 2025; </w:t>
      </w:r>
      <w:proofErr w:type="spellStart"/>
      <w:r w:rsidR="00812073" w:rsidRPr="00096FD2">
        <w:rPr>
          <w:rFonts w:ascii="Times New Roman" w:hAnsi="Times New Roman" w:cs="Times New Roman"/>
          <w:sz w:val="24"/>
          <w:szCs w:val="24"/>
          <w:highlight w:val="yellow"/>
        </w:rPr>
        <w:t>Enebe</w:t>
      </w:r>
      <w:proofErr w:type="spellEnd"/>
      <w:r w:rsidR="00812073" w:rsidRPr="00096FD2">
        <w:rPr>
          <w:rFonts w:ascii="Times New Roman" w:hAnsi="Times New Roman" w:cs="Times New Roman"/>
          <w:sz w:val="24"/>
          <w:szCs w:val="24"/>
          <w:highlight w:val="yellow"/>
        </w:rPr>
        <w:t xml:space="preserve"> et al., 2025).</w:t>
      </w:r>
      <w:r w:rsidR="00C80F37" w:rsidRPr="00096FD2">
        <w:rPr>
          <w:rFonts w:ascii="Times New Roman" w:hAnsi="Times New Roman" w:cs="Times New Roman"/>
          <w:sz w:val="24"/>
          <w:szCs w:val="24"/>
          <w:highlight w:val="yellow"/>
        </w:rPr>
        <w:t xml:space="preserve"> </w:t>
      </w:r>
      <w:r w:rsidRPr="007C57AA">
        <w:rPr>
          <w:rFonts w:ascii="Times New Roman" w:hAnsi="Times New Roman" w:cs="Times New Roman"/>
          <w:sz w:val="24"/>
          <w:szCs w:val="24"/>
        </w:rPr>
        <w:t xml:space="preserve">Plant photosynthesis captures atmospheric CO₂, transferring carbon to soils through root exudates, biomass decomposition, and microbial transformations. </w:t>
      </w:r>
      <w:proofErr w:type="spellStart"/>
      <w:r w:rsidR="00717B11" w:rsidRPr="00096FD2">
        <w:rPr>
          <w:rFonts w:ascii="Times New Roman" w:hAnsi="Times New Roman" w:cs="Times New Roman"/>
          <w:sz w:val="24"/>
          <w:szCs w:val="24"/>
          <w:highlight w:val="yellow"/>
        </w:rPr>
        <w:t>Stabilisation</w:t>
      </w:r>
      <w:proofErr w:type="spellEnd"/>
      <w:r w:rsidR="00717B11"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mechanisms</w:t>
      </w:r>
      <w:r w:rsidRPr="007C57AA">
        <w:rPr>
          <w:rFonts w:ascii="Times New Roman" w:hAnsi="Times New Roman" w:cs="Times New Roman"/>
          <w:sz w:val="24"/>
          <w:szCs w:val="24"/>
        </w:rPr>
        <w:t xml:space="preserve"> include physical protection within aggregates, chemical association with mineral surfaces, and biochemical recalcitrance of organic compounds. Understanding these mechanisms </w:t>
      </w:r>
      <w:r w:rsidRPr="00096FD2">
        <w:rPr>
          <w:rFonts w:ascii="Times New Roman" w:hAnsi="Times New Roman" w:cs="Times New Roman"/>
          <w:sz w:val="24"/>
          <w:szCs w:val="24"/>
          <w:highlight w:val="yellow"/>
        </w:rPr>
        <w:t xml:space="preserve">enables </w:t>
      </w:r>
      <w:r w:rsidR="008064C6" w:rsidRPr="00096FD2">
        <w:rPr>
          <w:rFonts w:ascii="Times New Roman" w:hAnsi="Times New Roman" w:cs="Times New Roman"/>
          <w:sz w:val="24"/>
          <w:szCs w:val="24"/>
          <w:highlight w:val="yellow"/>
        </w:rPr>
        <w:t xml:space="preserve">the </w:t>
      </w:r>
      <w:r w:rsidRPr="00096FD2">
        <w:rPr>
          <w:rFonts w:ascii="Times New Roman" w:hAnsi="Times New Roman" w:cs="Times New Roman"/>
          <w:sz w:val="24"/>
          <w:szCs w:val="24"/>
          <w:highlight w:val="yellow"/>
        </w:rPr>
        <w:t>development</w:t>
      </w:r>
      <w:r w:rsidRPr="007C57AA">
        <w:rPr>
          <w:rFonts w:ascii="Times New Roman" w:hAnsi="Times New Roman" w:cs="Times New Roman"/>
          <w:sz w:val="24"/>
          <w:szCs w:val="24"/>
        </w:rPr>
        <w:t xml:space="preserve"> of management strategies that enhance carbon inputs </w:t>
      </w:r>
      <w:r w:rsidRPr="00096FD2">
        <w:rPr>
          <w:rFonts w:ascii="Times New Roman" w:hAnsi="Times New Roman" w:cs="Times New Roman"/>
          <w:sz w:val="24"/>
          <w:szCs w:val="24"/>
          <w:highlight w:val="yellow"/>
        </w:rPr>
        <w:t xml:space="preserve">while </w:t>
      </w:r>
      <w:proofErr w:type="spellStart"/>
      <w:r w:rsidR="008064C6" w:rsidRPr="00096FD2">
        <w:rPr>
          <w:rFonts w:ascii="Times New Roman" w:hAnsi="Times New Roman" w:cs="Times New Roman"/>
          <w:sz w:val="24"/>
          <w:szCs w:val="24"/>
          <w:highlight w:val="yellow"/>
        </w:rPr>
        <w:t>minimising</w:t>
      </w:r>
      <w:proofErr w:type="spellEnd"/>
      <w:r w:rsidR="008064C6" w:rsidRPr="007C57AA">
        <w:rPr>
          <w:rFonts w:ascii="Times New Roman" w:hAnsi="Times New Roman" w:cs="Times New Roman"/>
          <w:sz w:val="24"/>
          <w:szCs w:val="24"/>
        </w:rPr>
        <w:t xml:space="preserve"> </w:t>
      </w:r>
      <w:r w:rsidRPr="007C57AA">
        <w:rPr>
          <w:rFonts w:ascii="Times New Roman" w:hAnsi="Times New Roman" w:cs="Times New Roman"/>
          <w:sz w:val="24"/>
          <w:szCs w:val="24"/>
        </w:rPr>
        <w:t>losses through decomposition and erosion.</w:t>
      </w:r>
    </w:p>
    <w:p w14:paraId="2E5190C3" w14:textId="5149966B"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This </w:t>
      </w:r>
      <w:r w:rsidRPr="00096FD2">
        <w:rPr>
          <w:rFonts w:ascii="Times New Roman" w:hAnsi="Times New Roman" w:cs="Times New Roman"/>
          <w:sz w:val="24"/>
          <w:szCs w:val="24"/>
          <w:highlight w:val="yellow"/>
        </w:rPr>
        <w:t xml:space="preserve">review </w:t>
      </w:r>
      <w:proofErr w:type="spellStart"/>
      <w:r w:rsidR="00BF0D55" w:rsidRPr="00096FD2">
        <w:rPr>
          <w:rFonts w:ascii="Times New Roman" w:hAnsi="Times New Roman" w:cs="Times New Roman"/>
          <w:sz w:val="24"/>
          <w:szCs w:val="24"/>
          <w:highlight w:val="yellow"/>
        </w:rPr>
        <w:t>synthesises</w:t>
      </w:r>
      <w:proofErr w:type="spellEnd"/>
      <w:r w:rsidR="00BF0D55" w:rsidRPr="007C57AA">
        <w:rPr>
          <w:rFonts w:ascii="Times New Roman" w:hAnsi="Times New Roman" w:cs="Times New Roman"/>
          <w:sz w:val="24"/>
          <w:szCs w:val="24"/>
        </w:rPr>
        <w:t xml:space="preserve"> </w:t>
      </w:r>
      <w:r w:rsidRPr="007C57AA">
        <w:rPr>
          <w:rFonts w:ascii="Times New Roman" w:hAnsi="Times New Roman" w:cs="Times New Roman"/>
          <w:sz w:val="24"/>
          <w:szCs w:val="24"/>
        </w:rPr>
        <w:t xml:space="preserve">recent advances in soil carbon sequestration science, evaluating strategies across agricultural, grassland, and forest ecosystems. We examine technological innovations in measurement and monitoring, </w:t>
      </w:r>
      <w:proofErr w:type="spellStart"/>
      <w:r w:rsidR="00BF0D55" w:rsidRPr="00096FD2">
        <w:rPr>
          <w:rFonts w:ascii="Times New Roman" w:hAnsi="Times New Roman" w:cs="Times New Roman"/>
          <w:sz w:val="24"/>
          <w:szCs w:val="24"/>
          <w:highlight w:val="yellow"/>
        </w:rPr>
        <w:t>analyse</w:t>
      </w:r>
      <w:proofErr w:type="spellEnd"/>
      <w:r w:rsidR="00BF0D55" w:rsidRPr="007C57AA">
        <w:rPr>
          <w:rFonts w:ascii="Times New Roman" w:hAnsi="Times New Roman" w:cs="Times New Roman"/>
          <w:sz w:val="24"/>
          <w:szCs w:val="24"/>
        </w:rPr>
        <w:t xml:space="preserve"> </w:t>
      </w:r>
      <w:r w:rsidRPr="007C57AA">
        <w:rPr>
          <w:rFonts w:ascii="Times New Roman" w:hAnsi="Times New Roman" w:cs="Times New Roman"/>
          <w:sz w:val="24"/>
          <w:szCs w:val="24"/>
        </w:rPr>
        <w:t>policy frameworks and economic incentives, and identify barriers to large-scale implementation. By integrating multidisciplinary perspectives, this review aims to provide comprehensive guidance for researchers, policymakers, and practitioners working to harness soil carbon sequestration for climate mitigation while advancing sustainable land management objectives.</w:t>
      </w:r>
    </w:p>
    <w:p w14:paraId="0A2B4323"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Table 1: Global Soil Carbon Stocks and Sequestration Potential</w:t>
      </w:r>
    </w:p>
    <w:tbl>
      <w:tblPr>
        <w:tblStyle w:val="TableGrid"/>
        <w:tblW w:w="0" w:type="auto"/>
        <w:tblLook w:val="04A0" w:firstRow="1" w:lastRow="0" w:firstColumn="1" w:lastColumn="0" w:noHBand="0" w:noVBand="1"/>
      </w:tblPr>
      <w:tblGrid>
        <w:gridCol w:w="1367"/>
        <w:gridCol w:w="926"/>
        <w:gridCol w:w="1290"/>
        <w:gridCol w:w="1336"/>
        <w:gridCol w:w="1892"/>
        <w:gridCol w:w="1087"/>
        <w:gridCol w:w="1452"/>
      </w:tblGrid>
      <w:tr w:rsidR="007C57AA" w:rsidRPr="007C57AA" w14:paraId="332DC56A" w14:textId="77777777" w:rsidTr="007A62FD">
        <w:tc>
          <w:tcPr>
            <w:tcW w:w="0" w:type="auto"/>
            <w:hideMark/>
          </w:tcPr>
          <w:p w14:paraId="38BB5554"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Ecosystem Type</w:t>
            </w:r>
          </w:p>
        </w:tc>
        <w:tc>
          <w:tcPr>
            <w:tcW w:w="0" w:type="auto"/>
            <w:hideMark/>
          </w:tcPr>
          <w:p w14:paraId="05C55987"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Area (</w:t>
            </w:r>
            <w:proofErr w:type="spellStart"/>
            <w:r w:rsidRPr="007C57AA">
              <w:rPr>
                <w:rFonts w:ascii="Times New Roman" w:hAnsi="Times New Roman" w:cs="Times New Roman"/>
                <w:b/>
                <w:bCs/>
                <w:sz w:val="24"/>
                <w:szCs w:val="24"/>
              </w:rPr>
              <w:t>Mha</w:t>
            </w:r>
            <w:proofErr w:type="spellEnd"/>
            <w:r w:rsidRPr="007C57AA">
              <w:rPr>
                <w:rFonts w:ascii="Times New Roman" w:hAnsi="Times New Roman" w:cs="Times New Roman"/>
                <w:b/>
                <w:bCs/>
                <w:sz w:val="24"/>
                <w:szCs w:val="24"/>
              </w:rPr>
              <w:t>)</w:t>
            </w:r>
          </w:p>
        </w:tc>
        <w:tc>
          <w:tcPr>
            <w:tcW w:w="0" w:type="auto"/>
            <w:hideMark/>
          </w:tcPr>
          <w:p w14:paraId="7F0833A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Current SOC Stock (Pg C)</w:t>
            </w:r>
          </w:p>
        </w:tc>
        <w:tc>
          <w:tcPr>
            <w:tcW w:w="0" w:type="auto"/>
            <w:hideMark/>
          </w:tcPr>
          <w:p w14:paraId="78B1B267"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Depletion Level (%)</w:t>
            </w:r>
          </w:p>
        </w:tc>
        <w:tc>
          <w:tcPr>
            <w:tcW w:w="0" w:type="auto"/>
            <w:hideMark/>
          </w:tcPr>
          <w:p w14:paraId="541610A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Sequestration Potential (Pg C yr⁻¹)</w:t>
            </w:r>
          </w:p>
        </w:tc>
        <w:tc>
          <w:tcPr>
            <w:tcW w:w="0" w:type="auto"/>
            <w:hideMark/>
          </w:tcPr>
          <w:p w14:paraId="6D88CA06"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Time Frame (years)</w:t>
            </w:r>
          </w:p>
        </w:tc>
        <w:tc>
          <w:tcPr>
            <w:tcW w:w="0" w:type="auto"/>
            <w:hideMark/>
          </w:tcPr>
          <w:p w14:paraId="33BB4AB5"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Confidence Level</w:t>
            </w:r>
          </w:p>
        </w:tc>
      </w:tr>
      <w:tr w:rsidR="007C57AA" w:rsidRPr="007C57AA" w14:paraId="2C046D83" w14:textId="77777777" w:rsidTr="007A62FD">
        <w:tc>
          <w:tcPr>
            <w:tcW w:w="0" w:type="auto"/>
            <w:hideMark/>
          </w:tcPr>
          <w:p w14:paraId="7DFB4E2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Croplands</w:t>
            </w:r>
          </w:p>
        </w:tc>
        <w:tc>
          <w:tcPr>
            <w:tcW w:w="0" w:type="auto"/>
            <w:hideMark/>
          </w:tcPr>
          <w:p w14:paraId="2CF2BF9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1,550</w:t>
            </w:r>
          </w:p>
        </w:tc>
        <w:tc>
          <w:tcPr>
            <w:tcW w:w="0" w:type="auto"/>
            <w:hideMark/>
          </w:tcPr>
          <w:p w14:paraId="77AC899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160</w:t>
            </w:r>
          </w:p>
        </w:tc>
        <w:tc>
          <w:tcPr>
            <w:tcW w:w="0" w:type="auto"/>
            <w:hideMark/>
          </w:tcPr>
          <w:p w14:paraId="3128987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50-70</w:t>
            </w:r>
          </w:p>
        </w:tc>
        <w:tc>
          <w:tcPr>
            <w:tcW w:w="0" w:type="auto"/>
            <w:hideMark/>
          </w:tcPr>
          <w:p w14:paraId="7D6CEE4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0.4-0.8</w:t>
            </w:r>
          </w:p>
        </w:tc>
        <w:tc>
          <w:tcPr>
            <w:tcW w:w="0" w:type="auto"/>
            <w:hideMark/>
          </w:tcPr>
          <w:p w14:paraId="56FF1C9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20-50</w:t>
            </w:r>
          </w:p>
        </w:tc>
        <w:tc>
          <w:tcPr>
            <w:tcW w:w="0" w:type="auto"/>
            <w:hideMark/>
          </w:tcPr>
          <w:p w14:paraId="13F7FF2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High</w:t>
            </w:r>
          </w:p>
        </w:tc>
      </w:tr>
      <w:tr w:rsidR="007C57AA" w:rsidRPr="007C57AA" w14:paraId="3572130E" w14:textId="77777777" w:rsidTr="007A62FD">
        <w:tc>
          <w:tcPr>
            <w:tcW w:w="0" w:type="auto"/>
            <w:hideMark/>
          </w:tcPr>
          <w:p w14:paraId="40E9F51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Grasslands</w:t>
            </w:r>
          </w:p>
        </w:tc>
        <w:tc>
          <w:tcPr>
            <w:tcW w:w="0" w:type="auto"/>
            <w:hideMark/>
          </w:tcPr>
          <w:p w14:paraId="6A6D07B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3,400</w:t>
            </w:r>
          </w:p>
        </w:tc>
        <w:tc>
          <w:tcPr>
            <w:tcW w:w="0" w:type="auto"/>
            <w:hideMark/>
          </w:tcPr>
          <w:p w14:paraId="73CCE6F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470</w:t>
            </w:r>
          </w:p>
        </w:tc>
        <w:tc>
          <w:tcPr>
            <w:tcW w:w="0" w:type="auto"/>
            <w:hideMark/>
          </w:tcPr>
          <w:p w14:paraId="16C49CF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10-30</w:t>
            </w:r>
          </w:p>
        </w:tc>
        <w:tc>
          <w:tcPr>
            <w:tcW w:w="0" w:type="auto"/>
            <w:hideMark/>
          </w:tcPr>
          <w:p w14:paraId="0FC7966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0.2-0.5</w:t>
            </w:r>
          </w:p>
        </w:tc>
        <w:tc>
          <w:tcPr>
            <w:tcW w:w="0" w:type="auto"/>
            <w:hideMark/>
          </w:tcPr>
          <w:p w14:paraId="76E227B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30-60</w:t>
            </w:r>
          </w:p>
        </w:tc>
        <w:tc>
          <w:tcPr>
            <w:tcW w:w="0" w:type="auto"/>
            <w:hideMark/>
          </w:tcPr>
          <w:p w14:paraId="5D197A3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C57AA" w:rsidRPr="007C57AA" w14:paraId="671A21E2" w14:textId="77777777" w:rsidTr="007A62FD">
        <w:tc>
          <w:tcPr>
            <w:tcW w:w="0" w:type="auto"/>
            <w:hideMark/>
          </w:tcPr>
          <w:p w14:paraId="7451C4B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Degraded lands</w:t>
            </w:r>
          </w:p>
        </w:tc>
        <w:tc>
          <w:tcPr>
            <w:tcW w:w="0" w:type="auto"/>
            <w:hideMark/>
          </w:tcPr>
          <w:p w14:paraId="7FF4AF5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2,000</w:t>
            </w:r>
          </w:p>
        </w:tc>
        <w:tc>
          <w:tcPr>
            <w:tcW w:w="0" w:type="auto"/>
            <w:hideMark/>
          </w:tcPr>
          <w:p w14:paraId="68F891F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120</w:t>
            </w:r>
          </w:p>
        </w:tc>
        <w:tc>
          <w:tcPr>
            <w:tcW w:w="0" w:type="auto"/>
            <w:hideMark/>
          </w:tcPr>
          <w:p w14:paraId="2304DBC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60-80</w:t>
            </w:r>
          </w:p>
        </w:tc>
        <w:tc>
          <w:tcPr>
            <w:tcW w:w="0" w:type="auto"/>
            <w:hideMark/>
          </w:tcPr>
          <w:p w14:paraId="0C70C88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0.3-0.6</w:t>
            </w:r>
          </w:p>
        </w:tc>
        <w:tc>
          <w:tcPr>
            <w:tcW w:w="0" w:type="auto"/>
            <w:hideMark/>
          </w:tcPr>
          <w:p w14:paraId="5DC984F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25-40</w:t>
            </w:r>
          </w:p>
        </w:tc>
        <w:tc>
          <w:tcPr>
            <w:tcW w:w="0" w:type="auto"/>
            <w:hideMark/>
          </w:tcPr>
          <w:p w14:paraId="16FF9C4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C57AA" w:rsidRPr="007C57AA" w14:paraId="13A12DDC" w14:textId="77777777" w:rsidTr="007A62FD">
        <w:tc>
          <w:tcPr>
            <w:tcW w:w="0" w:type="auto"/>
            <w:hideMark/>
          </w:tcPr>
          <w:p w14:paraId="7092C4B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Paddy soils</w:t>
            </w:r>
          </w:p>
        </w:tc>
        <w:tc>
          <w:tcPr>
            <w:tcW w:w="0" w:type="auto"/>
            <w:hideMark/>
          </w:tcPr>
          <w:p w14:paraId="4992D7E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160</w:t>
            </w:r>
          </w:p>
        </w:tc>
        <w:tc>
          <w:tcPr>
            <w:tcW w:w="0" w:type="auto"/>
            <w:hideMark/>
          </w:tcPr>
          <w:p w14:paraId="2172D21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35</w:t>
            </w:r>
          </w:p>
        </w:tc>
        <w:tc>
          <w:tcPr>
            <w:tcW w:w="0" w:type="auto"/>
            <w:hideMark/>
          </w:tcPr>
          <w:p w14:paraId="4CF306F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40-60</w:t>
            </w:r>
          </w:p>
        </w:tc>
        <w:tc>
          <w:tcPr>
            <w:tcW w:w="0" w:type="auto"/>
            <w:hideMark/>
          </w:tcPr>
          <w:p w14:paraId="225EEB3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0.05-0.15</w:t>
            </w:r>
          </w:p>
        </w:tc>
        <w:tc>
          <w:tcPr>
            <w:tcW w:w="0" w:type="auto"/>
            <w:hideMark/>
          </w:tcPr>
          <w:p w14:paraId="2E71E99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20-30</w:t>
            </w:r>
          </w:p>
        </w:tc>
        <w:tc>
          <w:tcPr>
            <w:tcW w:w="0" w:type="auto"/>
            <w:hideMark/>
          </w:tcPr>
          <w:p w14:paraId="631ABBB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High</w:t>
            </w:r>
          </w:p>
        </w:tc>
      </w:tr>
      <w:tr w:rsidR="007C57AA" w:rsidRPr="007C57AA" w14:paraId="17B0C89C" w14:textId="77777777" w:rsidTr="007A62FD">
        <w:tc>
          <w:tcPr>
            <w:tcW w:w="0" w:type="auto"/>
            <w:hideMark/>
          </w:tcPr>
          <w:p w14:paraId="29690F7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Peatlands</w:t>
            </w:r>
          </w:p>
        </w:tc>
        <w:tc>
          <w:tcPr>
            <w:tcW w:w="0" w:type="auto"/>
            <w:hideMark/>
          </w:tcPr>
          <w:p w14:paraId="3E83FB9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400</w:t>
            </w:r>
          </w:p>
        </w:tc>
        <w:tc>
          <w:tcPr>
            <w:tcW w:w="0" w:type="auto"/>
            <w:hideMark/>
          </w:tcPr>
          <w:p w14:paraId="685786C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550</w:t>
            </w:r>
          </w:p>
        </w:tc>
        <w:tc>
          <w:tcPr>
            <w:tcW w:w="0" w:type="auto"/>
            <w:hideMark/>
          </w:tcPr>
          <w:p w14:paraId="00DA5F9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20-40</w:t>
            </w:r>
          </w:p>
        </w:tc>
        <w:tc>
          <w:tcPr>
            <w:tcW w:w="0" w:type="auto"/>
            <w:hideMark/>
          </w:tcPr>
          <w:p w14:paraId="5492729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0.1-0.3</w:t>
            </w:r>
          </w:p>
        </w:tc>
        <w:tc>
          <w:tcPr>
            <w:tcW w:w="0" w:type="auto"/>
            <w:hideMark/>
          </w:tcPr>
          <w:p w14:paraId="11429D9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50-100</w:t>
            </w:r>
          </w:p>
        </w:tc>
        <w:tc>
          <w:tcPr>
            <w:tcW w:w="0" w:type="auto"/>
            <w:hideMark/>
          </w:tcPr>
          <w:p w14:paraId="43A4788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Low</w:t>
            </w:r>
          </w:p>
        </w:tc>
      </w:tr>
      <w:tr w:rsidR="007C57AA" w:rsidRPr="007C57AA" w14:paraId="5D429E1F" w14:textId="77777777" w:rsidTr="007A62FD">
        <w:tc>
          <w:tcPr>
            <w:tcW w:w="0" w:type="auto"/>
            <w:hideMark/>
          </w:tcPr>
          <w:p w14:paraId="740CBBE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Forest soils</w:t>
            </w:r>
          </w:p>
        </w:tc>
        <w:tc>
          <w:tcPr>
            <w:tcW w:w="0" w:type="auto"/>
            <w:hideMark/>
          </w:tcPr>
          <w:p w14:paraId="27922FD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4,000</w:t>
            </w:r>
          </w:p>
        </w:tc>
        <w:tc>
          <w:tcPr>
            <w:tcW w:w="0" w:type="auto"/>
            <w:hideMark/>
          </w:tcPr>
          <w:p w14:paraId="2E43171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780</w:t>
            </w:r>
          </w:p>
        </w:tc>
        <w:tc>
          <w:tcPr>
            <w:tcW w:w="0" w:type="auto"/>
            <w:hideMark/>
          </w:tcPr>
          <w:p w14:paraId="5EDA879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10-25</w:t>
            </w:r>
          </w:p>
        </w:tc>
        <w:tc>
          <w:tcPr>
            <w:tcW w:w="0" w:type="auto"/>
            <w:hideMark/>
          </w:tcPr>
          <w:p w14:paraId="0091178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0.2-0.4</w:t>
            </w:r>
          </w:p>
        </w:tc>
        <w:tc>
          <w:tcPr>
            <w:tcW w:w="0" w:type="auto"/>
            <w:hideMark/>
          </w:tcPr>
          <w:p w14:paraId="593F93A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40-80</w:t>
            </w:r>
          </w:p>
        </w:tc>
        <w:tc>
          <w:tcPr>
            <w:tcW w:w="0" w:type="auto"/>
            <w:hideMark/>
          </w:tcPr>
          <w:p w14:paraId="7710DED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C57AA" w:rsidRPr="007C57AA" w14:paraId="6E8AE378" w14:textId="77777777" w:rsidTr="007A62FD">
        <w:tc>
          <w:tcPr>
            <w:tcW w:w="0" w:type="auto"/>
            <w:hideMark/>
          </w:tcPr>
          <w:p w14:paraId="5FB9035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lastRenderedPageBreak/>
              <w:t>Urban soils</w:t>
            </w:r>
          </w:p>
        </w:tc>
        <w:tc>
          <w:tcPr>
            <w:tcW w:w="0" w:type="auto"/>
            <w:hideMark/>
          </w:tcPr>
          <w:p w14:paraId="57C333D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250</w:t>
            </w:r>
          </w:p>
        </w:tc>
        <w:tc>
          <w:tcPr>
            <w:tcW w:w="0" w:type="auto"/>
            <w:hideMark/>
          </w:tcPr>
          <w:p w14:paraId="76A9BC1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w:t>
            </w:r>
          </w:p>
        </w:tc>
        <w:tc>
          <w:tcPr>
            <w:tcW w:w="0" w:type="auto"/>
            <w:hideMark/>
          </w:tcPr>
          <w:p w14:paraId="68A2970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70-90</w:t>
            </w:r>
          </w:p>
        </w:tc>
        <w:tc>
          <w:tcPr>
            <w:tcW w:w="0" w:type="auto"/>
            <w:hideMark/>
          </w:tcPr>
          <w:p w14:paraId="4088B00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0.02-0.05</w:t>
            </w:r>
          </w:p>
        </w:tc>
        <w:tc>
          <w:tcPr>
            <w:tcW w:w="0" w:type="auto"/>
            <w:hideMark/>
          </w:tcPr>
          <w:p w14:paraId="56D4BC4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15-25</w:t>
            </w:r>
          </w:p>
        </w:tc>
        <w:tc>
          <w:tcPr>
            <w:tcW w:w="0" w:type="auto"/>
            <w:hideMark/>
          </w:tcPr>
          <w:p w14:paraId="3A47C63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Low</w:t>
            </w:r>
          </w:p>
        </w:tc>
      </w:tr>
    </w:tbl>
    <w:p w14:paraId="0679682F" w14:textId="2131260C" w:rsidR="006C2347" w:rsidRDefault="006C2347" w:rsidP="007C57AA">
      <w:pPr>
        <w:jc w:val="both"/>
        <w:rPr>
          <w:rFonts w:ascii="Times New Roman" w:hAnsi="Times New Roman" w:cs="Times New Roman"/>
          <w:b/>
          <w:bCs/>
          <w:sz w:val="24"/>
          <w:szCs w:val="24"/>
        </w:rPr>
      </w:pPr>
    </w:p>
    <w:p w14:paraId="61457019" w14:textId="0F1C5EFD" w:rsidR="007A62FD"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 xml:space="preserve">Figure 1: Soil </w:t>
      </w:r>
      <w:r w:rsidRPr="00096FD2">
        <w:rPr>
          <w:rFonts w:ascii="Times New Roman" w:hAnsi="Times New Roman" w:cs="Times New Roman"/>
          <w:b/>
          <w:bCs/>
          <w:sz w:val="24"/>
          <w:szCs w:val="24"/>
          <w:highlight w:val="yellow"/>
        </w:rPr>
        <w:t xml:space="preserve">Carbon </w:t>
      </w:r>
      <w:proofErr w:type="spellStart"/>
      <w:r w:rsidR="00DD0F35" w:rsidRPr="00096FD2">
        <w:rPr>
          <w:rFonts w:ascii="Times New Roman" w:hAnsi="Times New Roman" w:cs="Times New Roman"/>
          <w:b/>
          <w:bCs/>
          <w:sz w:val="24"/>
          <w:szCs w:val="24"/>
          <w:highlight w:val="yellow"/>
        </w:rPr>
        <w:t>Stabilisation</w:t>
      </w:r>
      <w:proofErr w:type="spellEnd"/>
      <w:r w:rsidR="00DD0F35" w:rsidRPr="00096FD2">
        <w:rPr>
          <w:rFonts w:ascii="Times New Roman" w:hAnsi="Times New Roman" w:cs="Times New Roman"/>
          <w:b/>
          <w:bCs/>
          <w:sz w:val="24"/>
          <w:szCs w:val="24"/>
          <w:highlight w:val="yellow"/>
        </w:rPr>
        <w:t xml:space="preserve"> </w:t>
      </w:r>
      <w:r w:rsidRPr="00096FD2">
        <w:rPr>
          <w:rFonts w:ascii="Times New Roman" w:hAnsi="Times New Roman" w:cs="Times New Roman"/>
          <w:b/>
          <w:bCs/>
          <w:sz w:val="24"/>
          <w:szCs w:val="24"/>
          <w:highlight w:val="yellow"/>
        </w:rPr>
        <w:t>Mechanisms</w:t>
      </w:r>
    </w:p>
    <w:p w14:paraId="3FEA5283" w14:textId="77777777" w:rsidR="007A62FD" w:rsidRDefault="007A62FD" w:rsidP="007A62FD">
      <w:pPr>
        <w:jc w:val="center"/>
        <w:rPr>
          <w:rFonts w:ascii="Times New Roman" w:hAnsi="Times New Roman" w:cs="Times New Roman"/>
          <w:b/>
          <w:bCs/>
          <w:sz w:val="24"/>
          <w:szCs w:val="24"/>
        </w:rPr>
      </w:pPr>
      <w:r>
        <w:rPr>
          <w:noProof/>
        </w:rPr>
        <w:drawing>
          <wp:inline distT="0" distB="0" distL="0" distR="0" wp14:anchorId="0FFE0582" wp14:editId="1F260DCB">
            <wp:extent cx="4105275" cy="3181588"/>
            <wp:effectExtent l="0" t="0" r="0" b="0"/>
            <wp:docPr id="24" name="Picture 24" descr="BG - Mechanisms of soil organic carbon and nitrogen stabilization in  mineral-associated organic matter – insights from modeling in phase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G - Mechanisms of soil organic carbon and nitrogen stabilization in  mineral-associated organic matter – insights from modeling in phase spa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0961" cy="3185994"/>
                    </a:xfrm>
                    <a:prstGeom prst="rect">
                      <a:avLst/>
                    </a:prstGeom>
                    <a:noFill/>
                    <a:ln>
                      <a:noFill/>
                    </a:ln>
                  </pic:spPr>
                </pic:pic>
              </a:graphicData>
            </a:graphic>
          </wp:inline>
        </w:drawing>
      </w:r>
    </w:p>
    <w:p w14:paraId="1B6C46DB" w14:textId="77777777" w:rsidR="00937CED"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Mechanisms of Soil Carbon Sequestration</w:t>
      </w:r>
    </w:p>
    <w:p w14:paraId="23E6FC2D"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Carbon Input Pathways</w:t>
      </w:r>
    </w:p>
    <w:p w14:paraId="6F65222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Soil carbon accumulation fundamentally depends on the balance between carbon inputs and outputs. Primary input pathways include above-ground plant residues, root biomass and exudates, microbial </w:t>
      </w:r>
      <w:proofErr w:type="spellStart"/>
      <w:r w:rsidRPr="007C57AA">
        <w:rPr>
          <w:rFonts w:ascii="Times New Roman" w:hAnsi="Times New Roman" w:cs="Times New Roman"/>
          <w:sz w:val="24"/>
          <w:szCs w:val="24"/>
        </w:rPr>
        <w:t>necromass</w:t>
      </w:r>
      <w:proofErr w:type="spellEnd"/>
      <w:r w:rsidRPr="007C57AA">
        <w:rPr>
          <w:rFonts w:ascii="Times New Roman" w:hAnsi="Times New Roman" w:cs="Times New Roman"/>
          <w:sz w:val="24"/>
          <w:szCs w:val="24"/>
        </w:rPr>
        <w:t>, and organic amendments. Recent isotopic studies reveal that root-derived carbon contributes 2-3 times more to stable SOC formation than shoot residues, highlighting the importance of deep-rooting species and perennial vegetation. Mycorrhizal fungi, particularly arbuscular mycorrhizae, contribute significantly through hyphal biomass and glomalin production, accounting for 15-20% of total SOC in agricultural systems.</w:t>
      </w:r>
    </w:p>
    <w:p w14:paraId="15DC7A9B"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Stabilization Mechanisms</w:t>
      </w:r>
    </w:p>
    <w:p w14:paraId="46583B97" w14:textId="3F701A7E"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Modern understanding of </w:t>
      </w:r>
      <w:r w:rsidRPr="00096FD2">
        <w:rPr>
          <w:rFonts w:ascii="Times New Roman" w:hAnsi="Times New Roman" w:cs="Times New Roman"/>
          <w:sz w:val="24"/>
          <w:szCs w:val="24"/>
          <w:highlight w:val="yellow"/>
        </w:rPr>
        <w:t xml:space="preserve">SOC </w:t>
      </w:r>
      <w:proofErr w:type="spellStart"/>
      <w:r w:rsidR="007573D1" w:rsidRPr="00096FD2">
        <w:rPr>
          <w:rFonts w:ascii="Times New Roman" w:hAnsi="Times New Roman" w:cs="Times New Roman"/>
          <w:sz w:val="24"/>
          <w:szCs w:val="24"/>
          <w:highlight w:val="yellow"/>
        </w:rPr>
        <w:t>stabilisation</w:t>
      </w:r>
      <w:proofErr w:type="spellEnd"/>
      <w:r w:rsidR="007573D1" w:rsidRPr="007C57AA">
        <w:rPr>
          <w:rFonts w:ascii="Times New Roman" w:hAnsi="Times New Roman" w:cs="Times New Roman"/>
          <w:sz w:val="24"/>
          <w:szCs w:val="24"/>
        </w:rPr>
        <w:t xml:space="preserve"> </w:t>
      </w:r>
      <w:r w:rsidRPr="007C57AA">
        <w:rPr>
          <w:rFonts w:ascii="Times New Roman" w:hAnsi="Times New Roman" w:cs="Times New Roman"/>
          <w:sz w:val="24"/>
          <w:szCs w:val="24"/>
        </w:rPr>
        <w:t xml:space="preserve">has shifted from recalcitrance-based models to </w:t>
      </w:r>
      <w:proofErr w:type="spellStart"/>
      <w:r w:rsidR="00294087" w:rsidRPr="00096FD2">
        <w:rPr>
          <w:rFonts w:ascii="Times New Roman" w:hAnsi="Times New Roman" w:cs="Times New Roman"/>
          <w:sz w:val="24"/>
          <w:szCs w:val="24"/>
          <w:highlight w:val="yellow"/>
        </w:rPr>
        <w:t>emphasise</w:t>
      </w:r>
      <w:proofErr w:type="spellEnd"/>
      <w:r w:rsidR="00294087"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organo</w:t>
      </w:r>
      <w:r w:rsidRPr="007C57AA">
        <w:rPr>
          <w:rFonts w:ascii="Times New Roman" w:hAnsi="Times New Roman" w:cs="Times New Roman"/>
          <w:sz w:val="24"/>
          <w:szCs w:val="24"/>
        </w:rPr>
        <w:t xml:space="preserve">-mineral interactions and physical protection. Mineral-associated organic matter (MAOM) represents 50-80% of total SOC in agricultural soils, formed </w:t>
      </w:r>
      <w:r w:rsidRPr="00096FD2">
        <w:rPr>
          <w:rFonts w:ascii="Times New Roman" w:hAnsi="Times New Roman" w:cs="Times New Roman"/>
          <w:sz w:val="24"/>
          <w:szCs w:val="24"/>
          <w:highlight w:val="yellow"/>
        </w:rPr>
        <w:t xml:space="preserve">through </w:t>
      </w:r>
      <w:r w:rsidR="00294087" w:rsidRPr="00096FD2">
        <w:rPr>
          <w:rFonts w:ascii="Times New Roman" w:hAnsi="Times New Roman" w:cs="Times New Roman"/>
          <w:sz w:val="24"/>
          <w:szCs w:val="24"/>
          <w:highlight w:val="yellow"/>
        </w:rPr>
        <w:t xml:space="preserve">the </w:t>
      </w:r>
      <w:r w:rsidRPr="00096FD2">
        <w:rPr>
          <w:rFonts w:ascii="Times New Roman" w:hAnsi="Times New Roman" w:cs="Times New Roman"/>
          <w:sz w:val="24"/>
          <w:szCs w:val="24"/>
          <w:highlight w:val="yellow"/>
        </w:rPr>
        <w:t>adsorption of</w:t>
      </w:r>
      <w:r w:rsidRPr="007C57AA">
        <w:rPr>
          <w:rFonts w:ascii="Times New Roman" w:hAnsi="Times New Roman" w:cs="Times New Roman"/>
          <w:sz w:val="24"/>
          <w:szCs w:val="24"/>
        </w:rPr>
        <w:t xml:space="preserve"> dissolved organic compounds onto clay minerals and metal oxides. Fe and Al oxides demonstrate particularly </w:t>
      </w:r>
      <w:r w:rsidRPr="00096FD2">
        <w:rPr>
          <w:rFonts w:ascii="Times New Roman" w:hAnsi="Times New Roman" w:cs="Times New Roman"/>
          <w:sz w:val="24"/>
          <w:szCs w:val="24"/>
          <w:highlight w:val="yellow"/>
        </w:rPr>
        <w:t xml:space="preserve">strong </w:t>
      </w:r>
      <w:proofErr w:type="spellStart"/>
      <w:r w:rsidR="00294087" w:rsidRPr="00096FD2">
        <w:rPr>
          <w:rFonts w:ascii="Times New Roman" w:hAnsi="Times New Roman" w:cs="Times New Roman"/>
          <w:sz w:val="24"/>
          <w:szCs w:val="24"/>
          <w:highlight w:val="yellow"/>
        </w:rPr>
        <w:t>stabilisation</w:t>
      </w:r>
      <w:proofErr w:type="spellEnd"/>
      <w:r w:rsidR="00294087"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capacity</w:t>
      </w:r>
      <w:r w:rsidRPr="007C57AA">
        <w:rPr>
          <w:rFonts w:ascii="Times New Roman" w:hAnsi="Times New Roman" w:cs="Times New Roman"/>
          <w:sz w:val="24"/>
          <w:szCs w:val="24"/>
        </w:rPr>
        <w:t xml:space="preserve">, protecting organic matter from microbial decomposition for decades to centuries. Aggregate formation creates physical barriers limiting enzyme and microbial access, with microaggregates (&lt;250 </w:t>
      </w:r>
      <w:proofErr w:type="spellStart"/>
      <w:r w:rsidRPr="007C57AA">
        <w:rPr>
          <w:rFonts w:ascii="Times New Roman" w:hAnsi="Times New Roman" w:cs="Times New Roman"/>
          <w:sz w:val="24"/>
          <w:szCs w:val="24"/>
        </w:rPr>
        <w:t>μm</w:t>
      </w:r>
      <w:proofErr w:type="spellEnd"/>
      <w:r w:rsidRPr="007C57AA">
        <w:rPr>
          <w:rFonts w:ascii="Times New Roman" w:hAnsi="Times New Roman" w:cs="Times New Roman"/>
          <w:sz w:val="24"/>
          <w:szCs w:val="24"/>
        </w:rPr>
        <w:t xml:space="preserve">) </w:t>
      </w:r>
      <w:r w:rsidRPr="00096FD2">
        <w:rPr>
          <w:rFonts w:ascii="Times New Roman" w:hAnsi="Times New Roman" w:cs="Times New Roman"/>
          <w:sz w:val="24"/>
          <w:szCs w:val="24"/>
          <w:highlight w:val="yellow"/>
        </w:rPr>
        <w:t xml:space="preserve">providing </w:t>
      </w:r>
      <w:r w:rsidR="00294087" w:rsidRPr="00096FD2">
        <w:rPr>
          <w:rFonts w:ascii="Times New Roman" w:hAnsi="Times New Roman" w:cs="Times New Roman"/>
          <w:sz w:val="24"/>
          <w:szCs w:val="24"/>
          <w:highlight w:val="yellow"/>
        </w:rPr>
        <w:t xml:space="preserve">the </w:t>
      </w:r>
      <w:r w:rsidRPr="00096FD2">
        <w:rPr>
          <w:rFonts w:ascii="Times New Roman" w:hAnsi="Times New Roman" w:cs="Times New Roman"/>
          <w:sz w:val="24"/>
          <w:szCs w:val="24"/>
          <w:highlight w:val="yellow"/>
        </w:rPr>
        <w:t>greatest protection</w:t>
      </w:r>
      <w:r w:rsidRPr="007C57AA">
        <w:rPr>
          <w:rFonts w:ascii="Times New Roman" w:hAnsi="Times New Roman" w:cs="Times New Roman"/>
          <w:sz w:val="24"/>
          <w:szCs w:val="24"/>
        </w:rPr>
        <w:t>. Recent research identifies pyrogenic carbon from incomplete combustion as highly stable, persisting for centuries to millennia.</w:t>
      </w:r>
    </w:p>
    <w:p w14:paraId="41F2DAEF" w14:textId="77777777" w:rsidR="007C57AA" w:rsidRPr="007C57AA" w:rsidRDefault="007C57AA" w:rsidP="007C57AA">
      <w:pPr>
        <w:jc w:val="both"/>
        <w:rPr>
          <w:rFonts w:ascii="Times New Roman" w:hAnsi="Times New Roman" w:cs="Times New Roman"/>
          <w:b/>
          <w:bCs/>
          <w:sz w:val="24"/>
          <w:szCs w:val="24"/>
        </w:rPr>
      </w:pPr>
    </w:p>
    <w:p w14:paraId="1CC5DCD1" w14:textId="4AB523DF" w:rsidR="007C57AA" w:rsidRPr="007C57AA" w:rsidRDefault="007C57AA" w:rsidP="007C57AA">
      <w:pPr>
        <w:jc w:val="both"/>
        <w:rPr>
          <w:rFonts w:ascii="Times New Roman" w:hAnsi="Times New Roman" w:cs="Times New Roman"/>
          <w:b/>
          <w:bCs/>
          <w:sz w:val="24"/>
          <w:szCs w:val="24"/>
        </w:rPr>
      </w:pPr>
      <w:r w:rsidRPr="00096FD2">
        <w:rPr>
          <w:rFonts w:ascii="Times New Roman" w:hAnsi="Times New Roman" w:cs="Times New Roman"/>
          <w:b/>
          <w:bCs/>
          <w:sz w:val="24"/>
          <w:szCs w:val="24"/>
          <w:highlight w:val="yellow"/>
        </w:rPr>
        <w:t xml:space="preserve">Table 2: Carbon </w:t>
      </w:r>
      <w:proofErr w:type="spellStart"/>
      <w:r w:rsidR="00294087" w:rsidRPr="00096FD2">
        <w:rPr>
          <w:rFonts w:ascii="Times New Roman" w:hAnsi="Times New Roman" w:cs="Times New Roman"/>
          <w:b/>
          <w:bCs/>
          <w:sz w:val="24"/>
          <w:szCs w:val="24"/>
          <w:highlight w:val="yellow"/>
        </w:rPr>
        <w:t>Stabilisation</w:t>
      </w:r>
      <w:proofErr w:type="spellEnd"/>
      <w:r w:rsidR="00294087" w:rsidRPr="00096FD2">
        <w:rPr>
          <w:rFonts w:ascii="Times New Roman" w:hAnsi="Times New Roman" w:cs="Times New Roman"/>
          <w:b/>
          <w:bCs/>
          <w:sz w:val="24"/>
          <w:szCs w:val="24"/>
          <w:highlight w:val="yellow"/>
        </w:rPr>
        <w:t xml:space="preserve"> </w:t>
      </w:r>
      <w:r w:rsidRPr="00096FD2">
        <w:rPr>
          <w:rFonts w:ascii="Times New Roman" w:hAnsi="Times New Roman" w:cs="Times New Roman"/>
          <w:b/>
          <w:bCs/>
          <w:sz w:val="24"/>
          <w:szCs w:val="24"/>
          <w:highlight w:val="yellow"/>
        </w:rPr>
        <w:t>Mechanisms</w:t>
      </w:r>
      <w:r w:rsidRPr="007C57AA">
        <w:rPr>
          <w:rFonts w:ascii="Times New Roman" w:hAnsi="Times New Roman" w:cs="Times New Roman"/>
          <w:b/>
          <w:bCs/>
          <w:sz w:val="24"/>
          <w:szCs w:val="24"/>
        </w:rPr>
        <w:t xml:space="preserve"> and Residence Times</w:t>
      </w:r>
    </w:p>
    <w:tbl>
      <w:tblPr>
        <w:tblStyle w:val="TableGrid"/>
        <w:tblW w:w="0" w:type="auto"/>
        <w:tblLook w:val="04A0" w:firstRow="1" w:lastRow="0" w:firstColumn="1" w:lastColumn="0" w:noHBand="0" w:noVBand="1"/>
      </w:tblPr>
      <w:tblGrid>
        <w:gridCol w:w="2496"/>
        <w:gridCol w:w="1581"/>
        <w:gridCol w:w="1375"/>
        <w:gridCol w:w="1712"/>
        <w:gridCol w:w="2186"/>
      </w:tblGrid>
      <w:tr w:rsidR="007A62FD" w:rsidRPr="007C57AA" w14:paraId="5437855C" w14:textId="77777777" w:rsidTr="007A62FD">
        <w:tc>
          <w:tcPr>
            <w:tcW w:w="0" w:type="auto"/>
            <w:hideMark/>
          </w:tcPr>
          <w:p w14:paraId="6DB4F72B"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Stabilization Mechanism</w:t>
            </w:r>
          </w:p>
        </w:tc>
        <w:tc>
          <w:tcPr>
            <w:tcW w:w="0" w:type="auto"/>
            <w:hideMark/>
          </w:tcPr>
          <w:p w14:paraId="527B2422"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Carbon Pool</w:t>
            </w:r>
          </w:p>
        </w:tc>
        <w:tc>
          <w:tcPr>
            <w:tcW w:w="0" w:type="auto"/>
            <w:hideMark/>
          </w:tcPr>
          <w:p w14:paraId="5925FB66"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Typical Size</w:t>
            </w:r>
          </w:p>
        </w:tc>
        <w:tc>
          <w:tcPr>
            <w:tcW w:w="0" w:type="auto"/>
            <w:hideMark/>
          </w:tcPr>
          <w:p w14:paraId="212A6A19"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Residence Time</w:t>
            </w:r>
          </w:p>
        </w:tc>
        <w:tc>
          <w:tcPr>
            <w:tcW w:w="0" w:type="auto"/>
            <w:hideMark/>
          </w:tcPr>
          <w:p w14:paraId="73350617"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Controlling Factors</w:t>
            </w:r>
          </w:p>
        </w:tc>
      </w:tr>
      <w:tr w:rsidR="007A62FD" w:rsidRPr="007C57AA" w14:paraId="762D0E8C" w14:textId="77777777" w:rsidTr="007A62FD">
        <w:tc>
          <w:tcPr>
            <w:tcW w:w="0" w:type="auto"/>
            <w:hideMark/>
          </w:tcPr>
          <w:p w14:paraId="7103EE90"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Mineral association</w:t>
            </w:r>
          </w:p>
        </w:tc>
        <w:tc>
          <w:tcPr>
            <w:tcW w:w="0" w:type="auto"/>
            <w:hideMark/>
          </w:tcPr>
          <w:p w14:paraId="3EE409D7"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MAOM</w:t>
            </w:r>
          </w:p>
        </w:tc>
        <w:tc>
          <w:tcPr>
            <w:tcW w:w="0" w:type="auto"/>
            <w:hideMark/>
          </w:tcPr>
          <w:p w14:paraId="4D5A5CF0"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&lt;53 </w:t>
            </w:r>
            <w:proofErr w:type="spellStart"/>
            <w:r w:rsidRPr="007C57AA">
              <w:rPr>
                <w:rFonts w:ascii="Times New Roman" w:hAnsi="Times New Roman" w:cs="Times New Roman"/>
                <w:sz w:val="24"/>
                <w:szCs w:val="24"/>
              </w:rPr>
              <w:t>μm</w:t>
            </w:r>
            <w:proofErr w:type="spellEnd"/>
          </w:p>
        </w:tc>
        <w:tc>
          <w:tcPr>
            <w:tcW w:w="0" w:type="auto"/>
            <w:hideMark/>
          </w:tcPr>
          <w:p w14:paraId="1EAC493E"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50-1000 years</w:t>
            </w:r>
          </w:p>
        </w:tc>
        <w:tc>
          <w:tcPr>
            <w:tcW w:w="0" w:type="auto"/>
            <w:hideMark/>
          </w:tcPr>
          <w:p w14:paraId="5282922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Clay content, pH</w:t>
            </w:r>
          </w:p>
        </w:tc>
      </w:tr>
      <w:tr w:rsidR="007A62FD" w:rsidRPr="007C57AA" w14:paraId="029E0A07" w14:textId="77777777" w:rsidTr="007A62FD">
        <w:tc>
          <w:tcPr>
            <w:tcW w:w="0" w:type="auto"/>
            <w:hideMark/>
          </w:tcPr>
          <w:p w14:paraId="3993F5CA"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Aggregate occlusion</w:t>
            </w:r>
          </w:p>
        </w:tc>
        <w:tc>
          <w:tcPr>
            <w:tcW w:w="0" w:type="auto"/>
            <w:hideMark/>
          </w:tcPr>
          <w:p w14:paraId="7C4913A1" w14:textId="77777777" w:rsidR="007A62FD" w:rsidRPr="007C57AA" w:rsidRDefault="007A62FD" w:rsidP="007C57AA">
            <w:pPr>
              <w:jc w:val="both"/>
              <w:rPr>
                <w:rFonts w:ascii="Times New Roman" w:hAnsi="Times New Roman" w:cs="Times New Roman"/>
                <w:sz w:val="24"/>
                <w:szCs w:val="24"/>
              </w:rPr>
            </w:pPr>
            <w:proofErr w:type="spellStart"/>
            <w:r w:rsidRPr="007C57AA">
              <w:rPr>
                <w:rFonts w:ascii="Times New Roman" w:hAnsi="Times New Roman" w:cs="Times New Roman"/>
                <w:sz w:val="24"/>
                <w:szCs w:val="24"/>
              </w:rPr>
              <w:t>iPOM</w:t>
            </w:r>
            <w:proofErr w:type="spellEnd"/>
          </w:p>
        </w:tc>
        <w:tc>
          <w:tcPr>
            <w:tcW w:w="0" w:type="auto"/>
            <w:hideMark/>
          </w:tcPr>
          <w:p w14:paraId="1A83121C"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53-250 </w:t>
            </w:r>
            <w:proofErr w:type="spellStart"/>
            <w:r w:rsidRPr="007C57AA">
              <w:rPr>
                <w:rFonts w:ascii="Times New Roman" w:hAnsi="Times New Roman" w:cs="Times New Roman"/>
                <w:sz w:val="24"/>
                <w:szCs w:val="24"/>
              </w:rPr>
              <w:t>μm</w:t>
            </w:r>
            <w:proofErr w:type="spellEnd"/>
          </w:p>
        </w:tc>
        <w:tc>
          <w:tcPr>
            <w:tcW w:w="0" w:type="auto"/>
            <w:hideMark/>
          </w:tcPr>
          <w:p w14:paraId="315A7126"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10-100 years</w:t>
            </w:r>
          </w:p>
        </w:tc>
        <w:tc>
          <w:tcPr>
            <w:tcW w:w="0" w:type="auto"/>
            <w:hideMark/>
          </w:tcPr>
          <w:p w14:paraId="75B3826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Aggregate stability</w:t>
            </w:r>
          </w:p>
        </w:tc>
      </w:tr>
      <w:tr w:rsidR="007A62FD" w:rsidRPr="007C57AA" w14:paraId="1260B430" w14:textId="77777777" w:rsidTr="007A62FD">
        <w:tc>
          <w:tcPr>
            <w:tcW w:w="0" w:type="auto"/>
            <w:hideMark/>
          </w:tcPr>
          <w:p w14:paraId="03F35DFA"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Biochemical recalcitrance</w:t>
            </w:r>
          </w:p>
        </w:tc>
        <w:tc>
          <w:tcPr>
            <w:tcW w:w="0" w:type="auto"/>
            <w:hideMark/>
          </w:tcPr>
          <w:p w14:paraId="2A68F27A"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Plant polymers</w:t>
            </w:r>
          </w:p>
        </w:tc>
        <w:tc>
          <w:tcPr>
            <w:tcW w:w="0" w:type="auto"/>
            <w:hideMark/>
          </w:tcPr>
          <w:p w14:paraId="172AF4B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Variable</w:t>
            </w:r>
          </w:p>
        </w:tc>
        <w:tc>
          <w:tcPr>
            <w:tcW w:w="0" w:type="auto"/>
            <w:hideMark/>
          </w:tcPr>
          <w:p w14:paraId="65FA3F1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5-50 years</w:t>
            </w:r>
          </w:p>
        </w:tc>
        <w:tc>
          <w:tcPr>
            <w:tcW w:w="0" w:type="auto"/>
            <w:hideMark/>
          </w:tcPr>
          <w:p w14:paraId="4C527509"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Chemical composition</w:t>
            </w:r>
          </w:p>
        </w:tc>
      </w:tr>
      <w:tr w:rsidR="007A62FD" w:rsidRPr="007C57AA" w14:paraId="673C1F22" w14:textId="77777777" w:rsidTr="007A62FD">
        <w:tc>
          <w:tcPr>
            <w:tcW w:w="0" w:type="auto"/>
            <w:hideMark/>
          </w:tcPr>
          <w:p w14:paraId="22ED47B7"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Pyrogenic carbon</w:t>
            </w:r>
          </w:p>
        </w:tc>
        <w:tc>
          <w:tcPr>
            <w:tcW w:w="0" w:type="auto"/>
            <w:hideMark/>
          </w:tcPr>
          <w:p w14:paraId="03E50CC1"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Biochar</w:t>
            </w:r>
          </w:p>
        </w:tc>
        <w:tc>
          <w:tcPr>
            <w:tcW w:w="0" w:type="auto"/>
            <w:hideMark/>
          </w:tcPr>
          <w:p w14:paraId="0526F05B"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&gt;250 </w:t>
            </w:r>
            <w:proofErr w:type="spellStart"/>
            <w:r w:rsidRPr="007C57AA">
              <w:rPr>
                <w:rFonts w:ascii="Times New Roman" w:hAnsi="Times New Roman" w:cs="Times New Roman"/>
                <w:sz w:val="24"/>
                <w:szCs w:val="24"/>
              </w:rPr>
              <w:t>μm</w:t>
            </w:r>
            <w:proofErr w:type="spellEnd"/>
          </w:p>
        </w:tc>
        <w:tc>
          <w:tcPr>
            <w:tcW w:w="0" w:type="auto"/>
            <w:hideMark/>
          </w:tcPr>
          <w:p w14:paraId="41DF74ED"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100-1000 years</w:t>
            </w:r>
          </w:p>
        </w:tc>
        <w:tc>
          <w:tcPr>
            <w:tcW w:w="0" w:type="auto"/>
            <w:hideMark/>
          </w:tcPr>
          <w:p w14:paraId="349585D5"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Pyrolysis temperature</w:t>
            </w:r>
          </w:p>
        </w:tc>
      </w:tr>
      <w:tr w:rsidR="007A62FD" w:rsidRPr="007C57AA" w14:paraId="747C0618" w14:textId="77777777" w:rsidTr="007A62FD">
        <w:tc>
          <w:tcPr>
            <w:tcW w:w="0" w:type="auto"/>
            <w:hideMark/>
          </w:tcPr>
          <w:p w14:paraId="088344A1"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Deep soil burial</w:t>
            </w:r>
          </w:p>
        </w:tc>
        <w:tc>
          <w:tcPr>
            <w:tcW w:w="0" w:type="auto"/>
            <w:hideMark/>
          </w:tcPr>
          <w:p w14:paraId="2EEC8FD5"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Subsoil SOC</w:t>
            </w:r>
          </w:p>
        </w:tc>
        <w:tc>
          <w:tcPr>
            <w:tcW w:w="0" w:type="auto"/>
            <w:hideMark/>
          </w:tcPr>
          <w:p w14:paraId="4456B2D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Variable</w:t>
            </w:r>
          </w:p>
        </w:tc>
        <w:tc>
          <w:tcPr>
            <w:tcW w:w="0" w:type="auto"/>
            <w:hideMark/>
          </w:tcPr>
          <w:p w14:paraId="4D171754"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100-500 years</w:t>
            </w:r>
          </w:p>
        </w:tc>
        <w:tc>
          <w:tcPr>
            <w:tcW w:w="0" w:type="auto"/>
            <w:hideMark/>
          </w:tcPr>
          <w:p w14:paraId="09E6C0B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Soil depth</w:t>
            </w:r>
          </w:p>
        </w:tc>
      </w:tr>
      <w:tr w:rsidR="007A62FD" w:rsidRPr="007C57AA" w14:paraId="070EDD2A" w14:textId="77777777" w:rsidTr="007A62FD">
        <w:tc>
          <w:tcPr>
            <w:tcW w:w="0" w:type="auto"/>
            <w:hideMark/>
          </w:tcPr>
          <w:p w14:paraId="5502A9D9"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Anaerobic preservation</w:t>
            </w:r>
          </w:p>
        </w:tc>
        <w:tc>
          <w:tcPr>
            <w:tcW w:w="0" w:type="auto"/>
            <w:hideMark/>
          </w:tcPr>
          <w:p w14:paraId="623ACFA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Wetland SOC</w:t>
            </w:r>
          </w:p>
        </w:tc>
        <w:tc>
          <w:tcPr>
            <w:tcW w:w="0" w:type="auto"/>
            <w:hideMark/>
          </w:tcPr>
          <w:p w14:paraId="053D5A7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Variable</w:t>
            </w:r>
          </w:p>
        </w:tc>
        <w:tc>
          <w:tcPr>
            <w:tcW w:w="0" w:type="auto"/>
            <w:hideMark/>
          </w:tcPr>
          <w:p w14:paraId="1DC4596E"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50-200 years</w:t>
            </w:r>
          </w:p>
        </w:tc>
        <w:tc>
          <w:tcPr>
            <w:tcW w:w="0" w:type="auto"/>
            <w:hideMark/>
          </w:tcPr>
          <w:p w14:paraId="10A78E6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Water saturation</w:t>
            </w:r>
          </w:p>
        </w:tc>
      </w:tr>
      <w:tr w:rsidR="007A62FD" w:rsidRPr="007C57AA" w14:paraId="10B1715F" w14:textId="77777777" w:rsidTr="007A62FD">
        <w:tc>
          <w:tcPr>
            <w:tcW w:w="0" w:type="auto"/>
            <w:hideMark/>
          </w:tcPr>
          <w:p w14:paraId="60473C45"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Cryogenic protection</w:t>
            </w:r>
          </w:p>
        </w:tc>
        <w:tc>
          <w:tcPr>
            <w:tcW w:w="0" w:type="auto"/>
            <w:hideMark/>
          </w:tcPr>
          <w:p w14:paraId="27DFFCC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Permafrost C</w:t>
            </w:r>
          </w:p>
        </w:tc>
        <w:tc>
          <w:tcPr>
            <w:tcW w:w="0" w:type="auto"/>
            <w:hideMark/>
          </w:tcPr>
          <w:p w14:paraId="56F06236"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Variable</w:t>
            </w:r>
          </w:p>
        </w:tc>
        <w:tc>
          <w:tcPr>
            <w:tcW w:w="0" w:type="auto"/>
            <w:hideMark/>
          </w:tcPr>
          <w:p w14:paraId="5EF4933F"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1000+ years</w:t>
            </w:r>
          </w:p>
        </w:tc>
        <w:tc>
          <w:tcPr>
            <w:tcW w:w="0" w:type="auto"/>
            <w:hideMark/>
          </w:tcPr>
          <w:p w14:paraId="67C1CBB9"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Temperature</w:t>
            </w:r>
          </w:p>
        </w:tc>
      </w:tr>
    </w:tbl>
    <w:p w14:paraId="0256F1FA" w14:textId="77777777" w:rsidR="00937CED"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Soil Carbon Sequestration Strategies</w:t>
      </w:r>
    </w:p>
    <w:p w14:paraId="5C8DBA97"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Conservation Agriculture Practices</w:t>
      </w:r>
    </w:p>
    <w:p w14:paraId="443C2A98" w14:textId="222E0286"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Conservation agriculture, encompassing minimal soil disturbance, permanent soil cover, and crop diversification, demonstrates substantial carbon sequestration potential. No-till systems reduce </w:t>
      </w:r>
      <w:r w:rsidRPr="00096FD2">
        <w:rPr>
          <w:rFonts w:ascii="Times New Roman" w:hAnsi="Times New Roman" w:cs="Times New Roman"/>
          <w:sz w:val="24"/>
          <w:szCs w:val="24"/>
          <w:highlight w:val="yellow"/>
        </w:rPr>
        <w:t xml:space="preserve">SOC </w:t>
      </w:r>
      <w:proofErr w:type="spellStart"/>
      <w:r w:rsidR="00A626DE" w:rsidRPr="00096FD2">
        <w:rPr>
          <w:rFonts w:ascii="Times New Roman" w:hAnsi="Times New Roman" w:cs="Times New Roman"/>
          <w:sz w:val="24"/>
          <w:szCs w:val="24"/>
          <w:highlight w:val="yellow"/>
        </w:rPr>
        <w:t>mineralisation</w:t>
      </w:r>
      <w:proofErr w:type="spellEnd"/>
      <w:r w:rsidR="00A626DE"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by maintaining</w:t>
      </w:r>
      <w:r w:rsidRPr="007C57AA">
        <w:rPr>
          <w:rFonts w:ascii="Times New Roman" w:hAnsi="Times New Roman" w:cs="Times New Roman"/>
          <w:sz w:val="24"/>
          <w:szCs w:val="24"/>
        </w:rPr>
        <w:t xml:space="preserve"> aggregate structure and limiting oxygen exposure. Meta-analyses indicate no-till practices sequester 0.3-0.6 Mg C ha⁻¹ yr⁻¹ compared to conventional tillage, </w:t>
      </w:r>
      <w:r w:rsidRPr="00096FD2">
        <w:rPr>
          <w:rFonts w:ascii="Times New Roman" w:hAnsi="Times New Roman" w:cs="Times New Roman"/>
          <w:sz w:val="24"/>
          <w:szCs w:val="24"/>
          <w:highlight w:val="yellow"/>
        </w:rPr>
        <w:t xml:space="preserve">with </w:t>
      </w:r>
      <w:r w:rsidR="00A626DE" w:rsidRPr="00096FD2">
        <w:rPr>
          <w:rFonts w:ascii="Times New Roman" w:hAnsi="Times New Roman" w:cs="Times New Roman"/>
          <w:sz w:val="24"/>
          <w:szCs w:val="24"/>
          <w:highlight w:val="yellow"/>
        </w:rPr>
        <w:t xml:space="preserve">the </w:t>
      </w:r>
      <w:r w:rsidRPr="00096FD2">
        <w:rPr>
          <w:rFonts w:ascii="Times New Roman" w:hAnsi="Times New Roman" w:cs="Times New Roman"/>
          <w:sz w:val="24"/>
          <w:szCs w:val="24"/>
          <w:highlight w:val="yellow"/>
        </w:rPr>
        <w:t>greatest benefits in humid</w:t>
      </w:r>
      <w:r w:rsidRPr="007C57AA">
        <w:rPr>
          <w:rFonts w:ascii="Times New Roman" w:hAnsi="Times New Roman" w:cs="Times New Roman"/>
          <w:sz w:val="24"/>
          <w:szCs w:val="24"/>
        </w:rPr>
        <w:t xml:space="preserve"> climates. However, carbon accumulation often concentrates in surface layers (0-10 cm), with limited changes at depth. Combining no-till with cover crops enhances sequestration to 0.5-1.0 Mg C ha⁻¹ yr⁻¹ through increased carbon inputs and year-round soil coverage.</w:t>
      </w:r>
    </w:p>
    <w:p w14:paraId="533ADDBD"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Cover Cropping and Green Manures</w:t>
      </w:r>
    </w:p>
    <w:p w14:paraId="1459714E" w14:textId="5A23805B"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Integration of cover crops provides multiple carbon sequestration pathways through biomass inputs, enhanced root production, and nitrogen fixation by leguminous species. Winter cover crops in temperate systems contribute 1-4 Mg C ha⁻¹ yr⁻¹ of biomass carbon, with 10-20% retained as SOC after decomposition. Legume-grass </w:t>
      </w:r>
      <w:r w:rsidRPr="00096FD2">
        <w:rPr>
          <w:rFonts w:ascii="Times New Roman" w:hAnsi="Times New Roman" w:cs="Times New Roman"/>
          <w:sz w:val="24"/>
          <w:szCs w:val="24"/>
          <w:highlight w:val="yellow"/>
        </w:rPr>
        <w:t xml:space="preserve">mixtures </w:t>
      </w:r>
      <w:proofErr w:type="spellStart"/>
      <w:r w:rsidR="00A626DE" w:rsidRPr="00096FD2">
        <w:rPr>
          <w:rFonts w:ascii="Times New Roman" w:hAnsi="Times New Roman" w:cs="Times New Roman"/>
          <w:sz w:val="24"/>
          <w:szCs w:val="24"/>
          <w:highlight w:val="yellow"/>
        </w:rPr>
        <w:t>optimise</w:t>
      </w:r>
      <w:proofErr w:type="spellEnd"/>
      <w:r w:rsidR="00A626DE"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carbon</w:t>
      </w:r>
      <w:r w:rsidRPr="007C57AA">
        <w:rPr>
          <w:rFonts w:ascii="Times New Roman" w:hAnsi="Times New Roman" w:cs="Times New Roman"/>
          <w:sz w:val="24"/>
          <w:szCs w:val="24"/>
        </w:rPr>
        <w:t xml:space="preserve">-nitrogen dynamics, promoting microbial biomass and aggregate formation. </w:t>
      </w:r>
      <w:r w:rsidRPr="007C57AA">
        <w:rPr>
          <w:rFonts w:ascii="Times New Roman" w:hAnsi="Times New Roman" w:cs="Times New Roman"/>
          <w:i/>
          <w:iCs/>
          <w:sz w:val="24"/>
          <w:szCs w:val="24"/>
        </w:rPr>
        <w:t>Crotalaria juncea</w:t>
      </w:r>
      <w:r w:rsidRPr="007C57AA">
        <w:rPr>
          <w:rFonts w:ascii="Times New Roman" w:hAnsi="Times New Roman" w:cs="Times New Roman"/>
          <w:sz w:val="24"/>
          <w:szCs w:val="24"/>
        </w:rPr>
        <w:t xml:space="preserve">, </w:t>
      </w:r>
      <w:r w:rsidRPr="007C57AA">
        <w:rPr>
          <w:rFonts w:ascii="Times New Roman" w:hAnsi="Times New Roman" w:cs="Times New Roman"/>
          <w:i/>
          <w:iCs/>
          <w:sz w:val="24"/>
          <w:szCs w:val="24"/>
        </w:rPr>
        <w:t>Sesbania aculeata</w:t>
      </w:r>
      <w:r w:rsidRPr="007C57AA">
        <w:rPr>
          <w:rFonts w:ascii="Times New Roman" w:hAnsi="Times New Roman" w:cs="Times New Roman"/>
          <w:sz w:val="24"/>
          <w:szCs w:val="24"/>
        </w:rPr>
        <w:t xml:space="preserve">, and </w:t>
      </w:r>
      <w:r w:rsidRPr="007C57AA">
        <w:rPr>
          <w:rFonts w:ascii="Times New Roman" w:hAnsi="Times New Roman" w:cs="Times New Roman"/>
          <w:i/>
          <w:iCs/>
          <w:sz w:val="24"/>
          <w:szCs w:val="24"/>
        </w:rPr>
        <w:t>Vigna radiata</w:t>
      </w:r>
      <w:r w:rsidRPr="007C57AA">
        <w:rPr>
          <w:rFonts w:ascii="Times New Roman" w:hAnsi="Times New Roman" w:cs="Times New Roman"/>
          <w:sz w:val="24"/>
          <w:szCs w:val="24"/>
        </w:rPr>
        <w:t xml:space="preserve"> demonstrate particular effectiveness in tropical systems, contributing 2-5 Mg biomass ha⁻¹ while fixing 50-150 kg N ha⁻¹.</w:t>
      </w:r>
    </w:p>
    <w:p w14:paraId="2BF35F8C" w14:textId="77777777" w:rsidR="006C2347" w:rsidRDefault="006C2347">
      <w:pPr>
        <w:rPr>
          <w:rFonts w:ascii="Times New Roman" w:hAnsi="Times New Roman" w:cs="Times New Roman"/>
          <w:b/>
          <w:bCs/>
          <w:sz w:val="24"/>
          <w:szCs w:val="24"/>
        </w:rPr>
      </w:pPr>
      <w:r>
        <w:rPr>
          <w:rFonts w:ascii="Times New Roman" w:hAnsi="Times New Roman" w:cs="Times New Roman"/>
          <w:b/>
          <w:bCs/>
          <w:sz w:val="24"/>
          <w:szCs w:val="24"/>
        </w:rPr>
        <w:br w:type="page"/>
      </w:r>
    </w:p>
    <w:p w14:paraId="465C886A" w14:textId="1F000D4F" w:rsid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lastRenderedPageBreak/>
        <w:t>Figure 2: Cover Crop Carbon Sequestration Pathways</w:t>
      </w:r>
    </w:p>
    <w:p w14:paraId="66EA247F" w14:textId="77777777" w:rsidR="007A62FD" w:rsidRDefault="007A62FD" w:rsidP="007A62FD">
      <w:pPr>
        <w:pStyle w:val="NormalWeb"/>
        <w:jc w:val="center"/>
      </w:pPr>
      <w:r>
        <w:rPr>
          <w:noProof/>
          <w:lang w:bidi="ar-SA"/>
        </w:rPr>
        <w:drawing>
          <wp:inline distT="0" distB="0" distL="0" distR="0" wp14:anchorId="11EBD5C1" wp14:editId="1F73F8A6">
            <wp:extent cx="5466820" cy="2238181"/>
            <wp:effectExtent l="0" t="0" r="635" b="0"/>
            <wp:docPr id="23" name="Picture 23" descr="C:\Users\Lenovo\Downloads\Full-life-cycle-Pathways-associated-with-industrial-carbon-removal-ICR-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Lenovo\Downloads\Full-life-cycle-Pathways-associated-with-industrial-carbon-removal-ICR-Image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5685" cy="2245905"/>
                    </a:xfrm>
                    <a:prstGeom prst="rect">
                      <a:avLst/>
                    </a:prstGeom>
                    <a:noFill/>
                    <a:ln>
                      <a:noFill/>
                    </a:ln>
                  </pic:spPr>
                </pic:pic>
              </a:graphicData>
            </a:graphic>
          </wp:inline>
        </w:drawing>
      </w:r>
    </w:p>
    <w:p w14:paraId="3F86FBBF"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Biochar Application</w:t>
      </w:r>
    </w:p>
    <w:p w14:paraId="38749F89" w14:textId="600B58E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Biochar represents a targeted approach for introducing recalcitrant carbon into soils while improving fertility and water retention. Pyrolysis temperatures of 400-700°</w:t>
      </w:r>
      <w:r w:rsidRPr="00096FD2">
        <w:rPr>
          <w:rFonts w:ascii="Times New Roman" w:hAnsi="Times New Roman" w:cs="Times New Roman"/>
          <w:sz w:val="24"/>
          <w:szCs w:val="24"/>
          <w:highlight w:val="yellow"/>
        </w:rPr>
        <w:t xml:space="preserve">C </w:t>
      </w:r>
      <w:proofErr w:type="spellStart"/>
      <w:r w:rsidR="004859BB" w:rsidRPr="00096FD2">
        <w:rPr>
          <w:rFonts w:ascii="Times New Roman" w:hAnsi="Times New Roman" w:cs="Times New Roman"/>
          <w:sz w:val="24"/>
          <w:szCs w:val="24"/>
          <w:highlight w:val="yellow"/>
        </w:rPr>
        <w:t>optimise</w:t>
      </w:r>
      <w:proofErr w:type="spellEnd"/>
      <w:r w:rsidR="004859BB" w:rsidRPr="007C57AA">
        <w:rPr>
          <w:rFonts w:ascii="Times New Roman" w:hAnsi="Times New Roman" w:cs="Times New Roman"/>
          <w:sz w:val="24"/>
          <w:szCs w:val="24"/>
        </w:rPr>
        <w:t xml:space="preserve"> </w:t>
      </w:r>
      <w:r w:rsidRPr="007C57AA">
        <w:rPr>
          <w:rFonts w:ascii="Times New Roman" w:hAnsi="Times New Roman" w:cs="Times New Roman"/>
          <w:sz w:val="24"/>
          <w:szCs w:val="24"/>
        </w:rPr>
        <w:t>carbon stability and surface functionality. Application rates of 10-30 Mg ha⁻¹ increase SOC stocks by 10-30%, with 70-90% of added carbon persisting beyond 100 years. Co-benefits include enhanced cation exchange capacity, improved water holding capacity, and reduced greenhouse gas emissions. Economic constraints currently limit large-scale adoption, though integrated biochar-bioenergy systems show promise for improving feasibility.</w:t>
      </w:r>
    </w:p>
    <w:p w14:paraId="6D1919BE"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Table 3: Biochar Properties and Carbon Sequestration Potential</w:t>
      </w:r>
    </w:p>
    <w:tbl>
      <w:tblPr>
        <w:tblStyle w:val="TableGrid"/>
        <w:tblW w:w="0" w:type="auto"/>
        <w:tblLook w:val="04A0" w:firstRow="1" w:lastRow="0" w:firstColumn="1" w:lastColumn="0" w:noHBand="0" w:noVBand="1"/>
      </w:tblPr>
      <w:tblGrid>
        <w:gridCol w:w="1296"/>
        <w:gridCol w:w="1667"/>
        <w:gridCol w:w="1120"/>
        <w:gridCol w:w="1151"/>
        <w:gridCol w:w="1466"/>
        <w:gridCol w:w="1134"/>
        <w:gridCol w:w="1516"/>
      </w:tblGrid>
      <w:tr w:rsidR="007C57AA" w:rsidRPr="007C57AA" w14:paraId="5D781C47" w14:textId="77777777" w:rsidTr="007A62FD">
        <w:tc>
          <w:tcPr>
            <w:tcW w:w="0" w:type="auto"/>
            <w:hideMark/>
          </w:tcPr>
          <w:p w14:paraId="76FD7918"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Feedstock Type</w:t>
            </w:r>
          </w:p>
        </w:tc>
        <w:tc>
          <w:tcPr>
            <w:tcW w:w="0" w:type="auto"/>
            <w:hideMark/>
          </w:tcPr>
          <w:p w14:paraId="751B7D49"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Pyrolysis Temperature</w:t>
            </w:r>
          </w:p>
        </w:tc>
        <w:tc>
          <w:tcPr>
            <w:tcW w:w="0" w:type="auto"/>
            <w:hideMark/>
          </w:tcPr>
          <w:p w14:paraId="3AA2453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Carbon Content</w:t>
            </w:r>
          </w:p>
        </w:tc>
        <w:tc>
          <w:tcPr>
            <w:tcW w:w="0" w:type="auto"/>
            <w:hideMark/>
          </w:tcPr>
          <w:p w14:paraId="7E454363"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Stability Factor</w:t>
            </w:r>
          </w:p>
        </w:tc>
        <w:tc>
          <w:tcPr>
            <w:tcW w:w="0" w:type="auto"/>
            <w:hideMark/>
          </w:tcPr>
          <w:p w14:paraId="42371DF5"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Application Rate</w:t>
            </w:r>
          </w:p>
        </w:tc>
        <w:tc>
          <w:tcPr>
            <w:tcW w:w="0" w:type="auto"/>
            <w:hideMark/>
          </w:tcPr>
          <w:p w14:paraId="5785168C"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SOC Increase</w:t>
            </w:r>
          </w:p>
        </w:tc>
        <w:tc>
          <w:tcPr>
            <w:tcW w:w="0" w:type="auto"/>
            <w:hideMark/>
          </w:tcPr>
          <w:p w14:paraId="27BECAD5"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Co-benefits</w:t>
            </w:r>
          </w:p>
        </w:tc>
      </w:tr>
      <w:tr w:rsidR="007C57AA" w:rsidRPr="007C57AA" w14:paraId="1D2FA02A" w14:textId="77777777" w:rsidTr="007A62FD">
        <w:tc>
          <w:tcPr>
            <w:tcW w:w="0" w:type="auto"/>
            <w:hideMark/>
          </w:tcPr>
          <w:p w14:paraId="63E1B3E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Wood residues</w:t>
            </w:r>
          </w:p>
        </w:tc>
        <w:tc>
          <w:tcPr>
            <w:tcW w:w="0" w:type="auto"/>
            <w:hideMark/>
          </w:tcPr>
          <w:p w14:paraId="64BF4BC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500-700°C</w:t>
            </w:r>
          </w:p>
        </w:tc>
        <w:tc>
          <w:tcPr>
            <w:tcW w:w="0" w:type="auto"/>
            <w:hideMark/>
          </w:tcPr>
          <w:p w14:paraId="19CC021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75-85%</w:t>
            </w:r>
          </w:p>
        </w:tc>
        <w:tc>
          <w:tcPr>
            <w:tcW w:w="0" w:type="auto"/>
            <w:hideMark/>
          </w:tcPr>
          <w:p w14:paraId="4279078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0.85-0.95</w:t>
            </w:r>
          </w:p>
        </w:tc>
        <w:tc>
          <w:tcPr>
            <w:tcW w:w="0" w:type="auto"/>
            <w:hideMark/>
          </w:tcPr>
          <w:p w14:paraId="38233B8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20-40 Mg ha⁻¹</w:t>
            </w:r>
          </w:p>
        </w:tc>
        <w:tc>
          <w:tcPr>
            <w:tcW w:w="0" w:type="auto"/>
            <w:hideMark/>
          </w:tcPr>
          <w:p w14:paraId="3AAEC62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15-25%</w:t>
            </w:r>
          </w:p>
        </w:tc>
        <w:tc>
          <w:tcPr>
            <w:tcW w:w="0" w:type="auto"/>
            <w:hideMark/>
          </w:tcPr>
          <w:p w14:paraId="5DF50E3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High porosity</w:t>
            </w:r>
          </w:p>
        </w:tc>
      </w:tr>
      <w:tr w:rsidR="007C57AA" w:rsidRPr="007C57AA" w14:paraId="2D2394FC" w14:textId="77777777" w:rsidTr="007A62FD">
        <w:tc>
          <w:tcPr>
            <w:tcW w:w="0" w:type="auto"/>
            <w:hideMark/>
          </w:tcPr>
          <w:p w14:paraId="47201D9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Crop residues</w:t>
            </w:r>
          </w:p>
        </w:tc>
        <w:tc>
          <w:tcPr>
            <w:tcW w:w="0" w:type="auto"/>
            <w:hideMark/>
          </w:tcPr>
          <w:p w14:paraId="361CC5E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400-600°C</w:t>
            </w:r>
          </w:p>
        </w:tc>
        <w:tc>
          <w:tcPr>
            <w:tcW w:w="0" w:type="auto"/>
            <w:hideMark/>
          </w:tcPr>
          <w:p w14:paraId="08E1462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60-75%</w:t>
            </w:r>
          </w:p>
        </w:tc>
        <w:tc>
          <w:tcPr>
            <w:tcW w:w="0" w:type="auto"/>
            <w:hideMark/>
          </w:tcPr>
          <w:p w14:paraId="454C023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0.70-0.85</w:t>
            </w:r>
          </w:p>
        </w:tc>
        <w:tc>
          <w:tcPr>
            <w:tcW w:w="0" w:type="auto"/>
            <w:hideMark/>
          </w:tcPr>
          <w:p w14:paraId="0FFE6BA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10-30 Mg ha⁻¹</w:t>
            </w:r>
          </w:p>
        </w:tc>
        <w:tc>
          <w:tcPr>
            <w:tcW w:w="0" w:type="auto"/>
            <w:hideMark/>
          </w:tcPr>
          <w:p w14:paraId="2E748D7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10-20%</w:t>
            </w:r>
          </w:p>
        </w:tc>
        <w:tc>
          <w:tcPr>
            <w:tcW w:w="0" w:type="auto"/>
            <w:hideMark/>
          </w:tcPr>
          <w:p w14:paraId="4863864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Nutrient retention</w:t>
            </w:r>
          </w:p>
        </w:tc>
      </w:tr>
      <w:tr w:rsidR="007C57AA" w:rsidRPr="007C57AA" w14:paraId="1581FD0F" w14:textId="77777777" w:rsidTr="007A62FD">
        <w:tc>
          <w:tcPr>
            <w:tcW w:w="0" w:type="auto"/>
            <w:hideMark/>
          </w:tcPr>
          <w:p w14:paraId="491741B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Manure</w:t>
            </w:r>
          </w:p>
        </w:tc>
        <w:tc>
          <w:tcPr>
            <w:tcW w:w="0" w:type="auto"/>
            <w:hideMark/>
          </w:tcPr>
          <w:p w14:paraId="1C3FFB5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350-500°C</w:t>
            </w:r>
          </w:p>
        </w:tc>
        <w:tc>
          <w:tcPr>
            <w:tcW w:w="0" w:type="auto"/>
            <w:hideMark/>
          </w:tcPr>
          <w:p w14:paraId="5D9A22D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40-60%</w:t>
            </w:r>
          </w:p>
        </w:tc>
        <w:tc>
          <w:tcPr>
            <w:tcW w:w="0" w:type="auto"/>
            <w:hideMark/>
          </w:tcPr>
          <w:p w14:paraId="7D37F4C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0.60-0.75</w:t>
            </w:r>
          </w:p>
        </w:tc>
        <w:tc>
          <w:tcPr>
            <w:tcW w:w="0" w:type="auto"/>
            <w:hideMark/>
          </w:tcPr>
          <w:p w14:paraId="66B5C86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15-25 Mg ha⁻¹</w:t>
            </w:r>
          </w:p>
        </w:tc>
        <w:tc>
          <w:tcPr>
            <w:tcW w:w="0" w:type="auto"/>
            <w:hideMark/>
          </w:tcPr>
          <w:p w14:paraId="66D7443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8-15%</w:t>
            </w:r>
          </w:p>
        </w:tc>
        <w:tc>
          <w:tcPr>
            <w:tcW w:w="0" w:type="auto"/>
            <w:hideMark/>
          </w:tcPr>
          <w:p w14:paraId="6B61799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 availability</w:t>
            </w:r>
          </w:p>
        </w:tc>
      </w:tr>
      <w:tr w:rsidR="007C57AA" w:rsidRPr="007C57AA" w14:paraId="160D8515" w14:textId="77777777" w:rsidTr="007A62FD">
        <w:tc>
          <w:tcPr>
            <w:tcW w:w="0" w:type="auto"/>
            <w:hideMark/>
          </w:tcPr>
          <w:p w14:paraId="36D5D74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Rice husk</w:t>
            </w:r>
          </w:p>
        </w:tc>
        <w:tc>
          <w:tcPr>
            <w:tcW w:w="0" w:type="auto"/>
            <w:hideMark/>
          </w:tcPr>
          <w:p w14:paraId="44B0ACC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450-650°C</w:t>
            </w:r>
          </w:p>
        </w:tc>
        <w:tc>
          <w:tcPr>
            <w:tcW w:w="0" w:type="auto"/>
            <w:hideMark/>
          </w:tcPr>
          <w:p w14:paraId="48E18DB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65-80%</w:t>
            </w:r>
          </w:p>
        </w:tc>
        <w:tc>
          <w:tcPr>
            <w:tcW w:w="0" w:type="auto"/>
            <w:hideMark/>
          </w:tcPr>
          <w:p w14:paraId="100742A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0.75-0.90</w:t>
            </w:r>
          </w:p>
        </w:tc>
        <w:tc>
          <w:tcPr>
            <w:tcW w:w="0" w:type="auto"/>
            <w:hideMark/>
          </w:tcPr>
          <w:p w14:paraId="01950D5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10-20 Mg ha⁻¹</w:t>
            </w:r>
          </w:p>
        </w:tc>
        <w:tc>
          <w:tcPr>
            <w:tcW w:w="0" w:type="auto"/>
            <w:hideMark/>
          </w:tcPr>
          <w:p w14:paraId="4E2C673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12-22%</w:t>
            </w:r>
          </w:p>
        </w:tc>
        <w:tc>
          <w:tcPr>
            <w:tcW w:w="0" w:type="auto"/>
            <w:hideMark/>
          </w:tcPr>
          <w:p w14:paraId="188088D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Si supplement</w:t>
            </w:r>
          </w:p>
        </w:tc>
      </w:tr>
      <w:tr w:rsidR="007C57AA" w:rsidRPr="007C57AA" w14:paraId="35462251" w14:textId="77777777" w:rsidTr="007A62FD">
        <w:tc>
          <w:tcPr>
            <w:tcW w:w="0" w:type="auto"/>
            <w:hideMark/>
          </w:tcPr>
          <w:p w14:paraId="1FB7313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Bamboo</w:t>
            </w:r>
          </w:p>
        </w:tc>
        <w:tc>
          <w:tcPr>
            <w:tcW w:w="0" w:type="auto"/>
            <w:hideMark/>
          </w:tcPr>
          <w:p w14:paraId="51E8333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550-750°C</w:t>
            </w:r>
          </w:p>
        </w:tc>
        <w:tc>
          <w:tcPr>
            <w:tcW w:w="0" w:type="auto"/>
            <w:hideMark/>
          </w:tcPr>
          <w:p w14:paraId="5400D6A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80-90%</w:t>
            </w:r>
          </w:p>
        </w:tc>
        <w:tc>
          <w:tcPr>
            <w:tcW w:w="0" w:type="auto"/>
            <w:hideMark/>
          </w:tcPr>
          <w:p w14:paraId="3F38E96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0.90-0.98</w:t>
            </w:r>
          </w:p>
        </w:tc>
        <w:tc>
          <w:tcPr>
            <w:tcW w:w="0" w:type="auto"/>
            <w:hideMark/>
          </w:tcPr>
          <w:p w14:paraId="055E77C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25-45 Mg ha⁻¹</w:t>
            </w:r>
          </w:p>
        </w:tc>
        <w:tc>
          <w:tcPr>
            <w:tcW w:w="0" w:type="auto"/>
            <w:hideMark/>
          </w:tcPr>
          <w:p w14:paraId="1426981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20-30%</w:t>
            </w:r>
          </w:p>
        </w:tc>
        <w:tc>
          <w:tcPr>
            <w:tcW w:w="0" w:type="auto"/>
            <w:hideMark/>
          </w:tcPr>
          <w:p w14:paraId="27A6638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High stability</w:t>
            </w:r>
          </w:p>
        </w:tc>
      </w:tr>
      <w:tr w:rsidR="007C57AA" w:rsidRPr="007C57AA" w14:paraId="5487964A" w14:textId="77777777" w:rsidTr="007A62FD">
        <w:tc>
          <w:tcPr>
            <w:tcW w:w="0" w:type="auto"/>
            <w:hideMark/>
          </w:tcPr>
          <w:p w14:paraId="5E9F4E3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Municipal waste</w:t>
            </w:r>
          </w:p>
        </w:tc>
        <w:tc>
          <w:tcPr>
            <w:tcW w:w="0" w:type="auto"/>
            <w:hideMark/>
          </w:tcPr>
          <w:p w14:paraId="2087CD0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400-550°C</w:t>
            </w:r>
          </w:p>
        </w:tc>
        <w:tc>
          <w:tcPr>
            <w:tcW w:w="0" w:type="auto"/>
            <w:hideMark/>
          </w:tcPr>
          <w:p w14:paraId="14D1387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45-65%</w:t>
            </w:r>
          </w:p>
        </w:tc>
        <w:tc>
          <w:tcPr>
            <w:tcW w:w="0" w:type="auto"/>
            <w:hideMark/>
          </w:tcPr>
          <w:p w14:paraId="3971276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0.65-0.80</w:t>
            </w:r>
          </w:p>
        </w:tc>
        <w:tc>
          <w:tcPr>
            <w:tcW w:w="0" w:type="auto"/>
            <w:hideMark/>
          </w:tcPr>
          <w:p w14:paraId="45011D9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20-35 Mg ha⁻¹</w:t>
            </w:r>
          </w:p>
        </w:tc>
        <w:tc>
          <w:tcPr>
            <w:tcW w:w="0" w:type="auto"/>
            <w:hideMark/>
          </w:tcPr>
          <w:p w14:paraId="56D80F4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10-18%</w:t>
            </w:r>
          </w:p>
        </w:tc>
        <w:tc>
          <w:tcPr>
            <w:tcW w:w="0" w:type="auto"/>
            <w:hideMark/>
          </w:tcPr>
          <w:p w14:paraId="39CEFB3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Waste management</w:t>
            </w:r>
          </w:p>
        </w:tc>
      </w:tr>
      <w:tr w:rsidR="007C57AA" w:rsidRPr="007C57AA" w14:paraId="203C4F9C" w14:textId="77777777" w:rsidTr="007A62FD">
        <w:tc>
          <w:tcPr>
            <w:tcW w:w="0" w:type="auto"/>
            <w:hideMark/>
          </w:tcPr>
          <w:p w14:paraId="709D68A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Sewage sludge</w:t>
            </w:r>
          </w:p>
        </w:tc>
        <w:tc>
          <w:tcPr>
            <w:tcW w:w="0" w:type="auto"/>
            <w:hideMark/>
          </w:tcPr>
          <w:p w14:paraId="61C4AB5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300-450°C</w:t>
            </w:r>
          </w:p>
        </w:tc>
        <w:tc>
          <w:tcPr>
            <w:tcW w:w="0" w:type="auto"/>
            <w:hideMark/>
          </w:tcPr>
          <w:p w14:paraId="50EE900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35-55%</w:t>
            </w:r>
          </w:p>
        </w:tc>
        <w:tc>
          <w:tcPr>
            <w:tcW w:w="0" w:type="auto"/>
            <w:hideMark/>
          </w:tcPr>
          <w:p w14:paraId="6B196CA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0.55-0.70</w:t>
            </w:r>
          </w:p>
        </w:tc>
        <w:tc>
          <w:tcPr>
            <w:tcW w:w="0" w:type="auto"/>
            <w:hideMark/>
          </w:tcPr>
          <w:p w14:paraId="496A67B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15-30 Mg ha⁻¹</w:t>
            </w:r>
          </w:p>
        </w:tc>
        <w:tc>
          <w:tcPr>
            <w:tcW w:w="0" w:type="auto"/>
            <w:hideMark/>
          </w:tcPr>
          <w:p w14:paraId="121A772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7-12%</w:t>
            </w:r>
          </w:p>
        </w:tc>
        <w:tc>
          <w:tcPr>
            <w:tcW w:w="0" w:type="auto"/>
            <w:hideMark/>
          </w:tcPr>
          <w:p w14:paraId="1C59130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Heavy metal fixation</w:t>
            </w:r>
          </w:p>
        </w:tc>
      </w:tr>
    </w:tbl>
    <w:p w14:paraId="44C6D981" w14:textId="77777777" w:rsidR="00937CED"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Agroforestry Systems</w:t>
      </w:r>
    </w:p>
    <w:p w14:paraId="1B930ECB" w14:textId="59290731"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lastRenderedPageBreak/>
        <w:t xml:space="preserve">Agroforestry integrates trees with crops or livestock, substantially enhancing carbon storage above and below ground. Systems sequester 0.5-3.0 Mg C ha⁻¹ yr⁻¹ in soils, with additional biomass carbon in woody vegetation. Deep tree roots access subsoil layers, depositing carbon beyond typical crop rooting zones. Leaf litter provides continuous organic inputs while modifying microclimate </w:t>
      </w:r>
      <w:r w:rsidRPr="00096FD2">
        <w:rPr>
          <w:rFonts w:ascii="Times New Roman" w:hAnsi="Times New Roman" w:cs="Times New Roman"/>
          <w:sz w:val="24"/>
          <w:szCs w:val="24"/>
          <w:highlight w:val="yellow"/>
        </w:rPr>
        <w:t xml:space="preserve">conditions </w:t>
      </w:r>
      <w:proofErr w:type="spellStart"/>
      <w:r w:rsidRPr="00096FD2">
        <w:rPr>
          <w:rFonts w:ascii="Times New Roman" w:hAnsi="Times New Roman" w:cs="Times New Roman"/>
          <w:sz w:val="24"/>
          <w:szCs w:val="24"/>
          <w:highlight w:val="yellow"/>
        </w:rPr>
        <w:t>favo</w:t>
      </w:r>
      <w:r w:rsidR="004859BB" w:rsidRPr="00096FD2">
        <w:rPr>
          <w:rFonts w:ascii="Times New Roman" w:hAnsi="Times New Roman" w:cs="Times New Roman"/>
          <w:sz w:val="24"/>
          <w:szCs w:val="24"/>
          <w:highlight w:val="yellow"/>
        </w:rPr>
        <w:t>u</w:t>
      </w:r>
      <w:r w:rsidRPr="00096FD2">
        <w:rPr>
          <w:rFonts w:ascii="Times New Roman" w:hAnsi="Times New Roman" w:cs="Times New Roman"/>
          <w:sz w:val="24"/>
          <w:szCs w:val="24"/>
          <w:highlight w:val="yellow"/>
        </w:rPr>
        <w:t>rable</w:t>
      </w:r>
      <w:proofErr w:type="spellEnd"/>
      <w:r w:rsidRPr="00096FD2">
        <w:rPr>
          <w:rFonts w:ascii="Times New Roman" w:hAnsi="Times New Roman" w:cs="Times New Roman"/>
          <w:sz w:val="24"/>
          <w:szCs w:val="24"/>
          <w:highlight w:val="yellow"/>
        </w:rPr>
        <w:t xml:space="preserve"> for SOC accumulation</w:t>
      </w:r>
      <w:r w:rsidRPr="007C57AA">
        <w:rPr>
          <w:rFonts w:ascii="Times New Roman" w:hAnsi="Times New Roman" w:cs="Times New Roman"/>
          <w:sz w:val="24"/>
          <w:szCs w:val="24"/>
        </w:rPr>
        <w:t xml:space="preserve">. </w:t>
      </w:r>
      <w:r w:rsidRPr="007C57AA">
        <w:rPr>
          <w:rFonts w:ascii="Times New Roman" w:hAnsi="Times New Roman" w:cs="Times New Roman"/>
          <w:i/>
          <w:iCs/>
          <w:sz w:val="24"/>
          <w:szCs w:val="24"/>
        </w:rPr>
        <w:t>Leucaena leucocephala</w:t>
      </w:r>
      <w:r w:rsidRPr="007C57AA">
        <w:rPr>
          <w:rFonts w:ascii="Times New Roman" w:hAnsi="Times New Roman" w:cs="Times New Roman"/>
          <w:sz w:val="24"/>
          <w:szCs w:val="24"/>
        </w:rPr>
        <w:t xml:space="preserve">, </w:t>
      </w:r>
      <w:r w:rsidRPr="007C57AA">
        <w:rPr>
          <w:rFonts w:ascii="Times New Roman" w:hAnsi="Times New Roman" w:cs="Times New Roman"/>
          <w:i/>
          <w:iCs/>
          <w:sz w:val="24"/>
          <w:szCs w:val="24"/>
        </w:rPr>
        <w:t xml:space="preserve">Gliricidia </w:t>
      </w:r>
      <w:proofErr w:type="spellStart"/>
      <w:r w:rsidRPr="007C57AA">
        <w:rPr>
          <w:rFonts w:ascii="Times New Roman" w:hAnsi="Times New Roman" w:cs="Times New Roman"/>
          <w:i/>
          <w:iCs/>
          <w:sz w:val="24"/>
          <w:szCs w:val="24"/>
        </w:rPr>
        <w:t>sepium</w:t>
      </w:r>
      <w:proofErr w:type="spellEnd"/>
      <w:r w:rsidRPr="007C57AA">
        <w:rPr>
          <w:rFonts w:ascii="Times New Roman" w:hAnsi="Times New Roman" w:cs="Times New Roman"/>
          <w:sz w:val="24"/>
          <w:szCs w:val="24"/>
        </w:rPr>
        <w:t xml:space="preserve">, and </w:t>
      </w:r>
      <w:r w:rsidRPr="007C57AA">
        <w:rPr>
          <w:rFonts w:ascii="Times New Roman" w:hAnsi="Times New Roman" w:cs="Times New Roman"/>
          <w:i/>
          <w:iCs/>
          <w:sz w:val="24"/>
          <w:szCs w:val="24"/>
        </w:rPr>
        <w:t xml:space="preserve">Acacia </w:t>
      </w:r>
      <w:proofErr w:type="spellStart"/>
      <w:r w:rsidRPr="007C57AA">
        <w:rPr>
          <w:rFonts w:ascii="Times New Roman" w:hAnsi="Times New Roman" w:cs="Times New Roman"/>
          <w:i/>
          <w:iCs/>
          <w:sz w:val="24"/>
          <w:szCs w:val="24"/>
        </w:rPr>
        <w:t>mangium</w:t>
      </w:r>
      <w:proofErr w:type="spellEnd"/>
      <w:r w:rsidRPr="007C57AA">
        <w:rPr>
          <w:rFonts w:ascii="Times New Roman" w:hAnsi="Times New Roman" w:cs="Times New Roman"/>
          <w:sz w:val="24"/>
          <w:szCs w:val="24"/>
        </w:rPr>
        <w:t xml:space="preserve"> demonstrate exceptional performance in tropical agroforestry, fixing nitrogen while contributing high-quality organic matter.</w:t>
      </w:r>
    </w:p>
    <w:p w14:paraId="73AB4EEB" w14:textId="77777777" w:rsid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Figure 3: Agroforestry Carbon Pools Distribution</w:t>
      </w:r>
    </w:p>
    <w:p w14:paraId="0DFF9106" w14:textId="77777777" w:rsidR="007A62FD" w:rsidRDefault="007A62FD" w:rsidP="007A62FD">
      <w:pPr>
        <w:pStyle w:val="NormalWeb"/>
        <w:jc w:val="center"/>
      </w:pPr>
      <w:r>
        <w:rPr>
          <w:noProof/>
          <w:lang w:bidi="ar-SA"/>
        </w:rPr>
        <w:drawing>
          <wp:inline distT="0" distB="0" distL="0" distR="0" wp14:anchorId="3F16C03C" wp14:editId="66D9A605">
            <wp:extent cx="4800600" cy="2802038"/>
            <wp:effectExtent l="0" t="0" r="0" b="0"/>
            <wp:docPr id="21" name="Picture 21" descr="C:\Users\Lenovo\Downloads\Distribution-of-carbon-pools-t-C-ha-1-for-planted-hedgerows-PH-remnant-hedgero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Lenovo\Downloads\Distribution-of-carbon-pools-t-C-ha-1-for-planted-hedgerows-PH-remnant-hedgerow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6339" cy="2805387"/>
                    </a:xfrm>
                    <a:prstGeom prst="rect">
                      <a:avLst/>
                    </a:prstGeom>
                    <a:noFill/>
                    <a:ln>
                      <a:noFill/>
                    </a:ln>
                  </pic:spPr>
                </pic:pic>
              </a:graphicData>
            </a:graphic>
          </wp:inline>
        </w:drawing>
      </w:r>
    </w:p>
    <w:p w14:paraId="206B4C34"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Integrated Nutrient Management</w:t>
      </w:r>
    </w:p>
    <w:p w14:paraId="4F572322" w14:textId="0E721735"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Balanced nutrient </w:t>
      </w:r>
      <w:r w:rsidRPr="00096FD2">
        <w:rPr>
          <w:rFonts w:ascii="Times New Roman" w:hAnsi="Times New Roman" w:cs="Times New Roman"/>
          <w:sz w:val="24"/>
          <w:szCs w:val="24"/>
          <w:highlight w:val="yellow"/>
        </w:rPr>
        <w:t xml:space="preserve">management </w:t>
      </w:r>
      <w:proofErr w:type="spellStart"/>
      <w:r w:rsidR="00B25F7F" w:rsidRPr="00096FD2">
        <w:rPr>
          <w:rFonts w:ascii="Times New Roman" w:hAnsi="Times New Roman" w:cs="Times New Roman"/>
          <w:sz w:val="24"/>
          <w:szCs w:val="24"/>
          <w:highlight w:val="yellow"/>
        </w:rPr>
        <w:t>optimises</w:t>
      </w:r>
      <w:proofErr w:type="spellEnd"/>
      <w:r w:rsidR="00B25F7F"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 xml:space="preserve">plant </w:t>
      </w:r>
      <w:r w:rsidRPr="007C57AA">
        <w:rPr>
          <w:rFonts w:ascii="Times New Roman" w:hAnsi="Times New Roman" w:cs="Times New Roman"/>
          <w:sz w:val="24"/>
          <w:szCs w:val="24"/>
        </w:rPr>
        <w:t xml:space="preserve">productivity and carbon inputs while </w:t>
      </w:r>
      <w:proofErr w:type="spellStart"/>
      <w:r w:rsidR="00B25F7F" w:rsidRPr="00096FD2">
        <w:rPr>
          <w:rFonts w:ascii="Times New Roman" w:hAnsi="Times New Roman" w:cs="Times New Roman"/>
          <w:sz w:val="24"/>
          <w:szCs w:val="24"/>
          <w:highlight w:val="yellow"/>
        </w:rPr>
        <w:t>minimising</w:t>
      </w:r>
      <w:proofErr w:type="spellEnd"/>
      <w:r w:rsidR="00B25F7F"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 xml:space="preserve">losses </w:t>
      </w:r>
      <w:r w:rsidRPr="007C57AA">
        <w:rPr>
          <w:rFonts w:ascii="Times New Roman" w:hAnsi="Times New Roman" w:cs="Times New Roman"/>
          <w:sz w:val="24"/>
          <w:szCs w:val="24"/>
        </w:rPr>
        <w:t xml:space="preserve">through enhanced decomposition. Combining organic and inorganic </w:t>
      </w:r>
      <w:proofErr w:type="spellStart"/>
      <w:r w:rsidR="00B25F7F" w:rsidRPr="00096FD2">
        <w:rPr>
          <w:rFonts w:ascii="Times New Roman" w:hAnsi="Times New Roman" w:cs="Times New Roman"/>
          <w:sz w:val="24"/>
          <w:szCs w:val="24"/>
          <w:highlight w:val="yellow"/>
        </w:rPr>
        <w:t>fertilisers</w:t>
      </w:r>
      <w:proofErr w:type="spellEnd"/>
      <w:r w:rsidR="00B25F7F"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 xml:space="preserve">promotes </w:t>
      </w:r>
      <w:r w:rsidRPr="007C57AA">
        <w:rPr>
          <w:rFonts w:ascii="Times New Roman" w:hAnsi="Times New Roman" w:cs="Times New Roman"/>
          <w:sz w:val="24"/>
          <w:szCs w:val="24"/>
        </w:rPr>
        <w:t xml:space="preserve">microbial activity and aggregate formation. Farmyard manure applications of 10-15 Mg ha⁻¹ yr⁻¹ increase SOC by 0.3-0.7 Mg C ha⁻¹ yr⁻¹ while improving soil structure. Precision nutrient management using soil testing and variable rate technology reduces </w:t>
      </w:r>
      <w:r w:rsidRPr="00096FD2">
        <w:rPr>
          <w:rFonts w:ascii="Times New Roman" w:hAnsi="Times New Roman" w:cs="Times New Roman"/>
          <w:sz w:val="24"/>
          <w:szCs w:val="24"/>
          <w:highlight w:val="yellow"/>
        </w:rPr>
        <w:t>over-</w:t>
      </w:r>
      <w:proofErr w:type="spellStart"/>
      <w:r w:rsidR="00B25F7F" w:rsidRPr="00096FD2">
        <w:rPr>
          <w:rFonts w:ascii="Times New Roman" w:hAnsi="Times New Roman" w:cs="Times New Roman"/>
          <w:sz w:val="24"/>
          <w:szCs w:val="24"/>
          <w:highlight w:val="yellow"/>
        </w:rPr>
        <w:t>fertilisation</w:t>
      </w:r>
      <w:proofErr w:type="spellEnd"/>
      <w:r w:rsidR="00B25F7F" w:rsidRPr="00096FD2">
        <w:rPr>
          <w:rFonts w:ascii="Times New Roman" w:hAnsi="Times New Roman" w:cs="Times New Roman"/>
          <w:sz w:val="24"/>
          <w:szCs w:val="24"/>
          <w:highlight w:val="yellow"/>
        </w:rPr>
        <w:t xml:space="preserve"> which </w:t>
      </w:r>
      <w:r w:rsidRPr="00096FD2">
        <w:rPr>
          <w:rFonts w:ascii="Times New Roman" w:hAnsi="Times New Roman" w:cs="Times New Roman"/>
          <w:sz w:val="24"/>
          <w:szCs w:val="24"/>
          <w:highlight w:val="yellow"/>
        </w:rPr>
        <w:t xml:space="preserve">accelerates SOC </w:t>
      </w:r>
      <w:proofErr w:type="spellStart"/>
      <w:r w:rsidR="00B25F7F" w:rsidRPr="00096FD2">
        <w:rPr>
          <w:rFonts w:ascii="Times New Roman" w:hAnsi="Times New Roman" w:cs="Times New Roman"/>
          <w:sz w:val="24"/>
          <w:szCs w:val="24"/>
          <w:highlight w:val="yellow"/>
        </w:rPr>
        <w:t>mineralisation</w:t>
      </w:r>
      <w:proofErr w:type="spellEnd"/>
      <w:r w:rsidRPr="007C57AA">
        <w:rPr>
          <w:rFonts w:ascii="Times New Roman" w:hAnsi="Times New Roman" w:cs="Times New Roman"/>
          <w:sz w:val="24"/>
          <w:szCs w:val="24"/>
        </w:rPr>
        <w:t xml:space="preserve">. Silicon and calcium amendments enhance </w:t>
      </w:r>
      <w:r w:rsidRPr="00096FD2">
        <w:rPr>
          <w:rFonts w:ascii="Times New Roman" w:hAnsi="Times New Roman" w:cs="Times New Roman"/>
          <w:sz w:val="24"/>
          <w:szCs w:val="24"/>
          <w:highlight w:val="yellow"/>
        </w:rPr>
        <w:t xml:space="preserve">carbon </w:t>
      </w:r>
      <w:proofErr w:type="spellStart"/>
      <w:r w:rsidR="00B25F7F" w:rsidRPr="00096FD2">
        <w:rPr>
          <w:rFonts w:ascii="Times New Roman" w:hAnsi="Times New Roman" w:cs="Times New Roman"/>
          <w:sz w:val="24"/>
          <w:szCs w:val="24"/>
          <w:highlight w:val="yellow"/>
        </w:rPr>
        <w:t>stabilisation</w:t>
      </w:r>
      <w:proofErr w:type="spellEnd"/>
      <w:r w:rsidR="00B25F7F"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 xml:space="preserve">through </w:t>
      </w:r>
      <w:r w:rsidRPr="007C57AA">
        <w:rPr>
          <w:rFonts w:ascii="Times New Roman" w:hAnsi="Times New Roman" w:cs="Times New Roman"/>
          <w:sz w:val="24"/>
          <w:szCs w:val="24"/>
        </w:rPr>
        <w:t>organo-mineral complex formation.</w:t>
      </w:r>
    </w:p>
    <w:p w14:paraId="5CEBAAB0"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Table 4: Nutrient Management Effects on Soil Carbon</w:t>
      </w:r>
    </w:p>
    <w:tbl>
      <w:tblPr>
        <w:tblStyle w:val="TableGrid"/>
        <w:tblW w:w="0" w:type="auto"/>
        <w:tblLook w:val="04A0" w:firstRow="1" w:lastRow="0" w:firstColumn="1" w:lastColumn="0" w:noHBand="0" w:noVBand="1"/>
      </w:tblPr>
      <w:tblGrid>
        <w:gridCol w:w="1826"/>
        <w:gridCol w:w="1594"/>
        <w:gridCol w:w="1191"/>
        <w:gridCol w:w="1694"/>
        <w:gridCol w:w="1389"/>
        <w:gridCol w:w="1656"/>
      </w:tblGrid>
      <w:tr w:rsidR="007A62FD" w:rsidRPr="007C57AA" w14:paraId="0134AFE4" w14:textId="77777777" w:rsidTr="007A62FD">
        <w:tc>
          <w:tcPr>
            <w:tcW w:w="0" w:type="auto"/>
            <w:hideMark/>
          </w:tcPr>
          <w:p w14:paraId="58000BE3"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Management Practice</w:t>
            </w:r>
          </w:p>
        </w:tc>
        <w:tc>
          <w:tcPr>
            <w:tcW w:w="0" w:type="auto"/>
            <w:hideMark/>
          </w:tcPr>
          <w:p w14:paraId="14D4D72A"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Application Rate</w:t>
            </w:r>
          </w:p>
        </w:tc>
        <w:tc>
          <w:tcPr>
            <w:tcW w:w="0" w:type="auto"/>
            <w:hideMark/>
          </w:tcPr>
          <w:p w14:paraId="444F159D"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SOC Change</w:t>
            </w:r>
          </w:p>
        </w:tc>
        <w:tc>
          <w:tcPr>
            <w:tcW w:w="0" w:type="auto"/>
            <w:hideMark/>
          </w:tcPr>
          <w:p w14:paraId="28FCFA15"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Mechanism</w:t>
            </w:r>
          </w:p>
        </w:tc>
        <w:tc>
          <w:tcPr>
            <w:tcW w:w="0" w:type="auto"/>
            <w:hideMark/>
          </w:tcPr>
          <w:p w14:paraId="0C12CD80"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Duration</w:t>
            </w:r>
          </w:p>
        </w:tc>
        <w:tc>
          <w:tcPr>
            <w:tcW w:w="0" w:type="auto"/>
            <w:hideMark/>
          </w:tcPr>
          <w:p w14:paraId="4862611F" w14:textId="77777777" w:rsidR="007A62FD" w:rsidRPr="007C57AA" w:rsidRDefault="007A62FD"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Cost-effectiveness</w:t>
            </w:r>
          </w:p>
        </w:tc>
      </w:tr>
      <w:tr w:rsidR="007A62FD" w:rsidRPr="007C57AA" w14:paraId="1B753E9B" w14:textId="77777777" w:rsidTr="007A62FD">
        <w:tc>
          <w:tcPr>
            <w:tcW w:w="0" w:type="auto"/>
            <w:hideMark/>
          </w:tcPr>
          <w:p w14:paraId="5D4C783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FYM application</w:t>
            </w:r>
          </w:p>
        </w:tc>
        <w:tc>
          <w:tcPr>
            <w:tcW w:w="0" w:type="auto"/>
            <w:hideMark/>
          </w:tcPr>
          <w:p w14:paraId="59AC031C"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10-15 Mg ha⁻¹ yr⁻¹</w:t>
            </w:r>
          </w:p>
        </w:tc>
        <w:tc>
          <w:tcPr>
            <w:tcW w:w="0" w:type="auto"/>
            <w:hideMark/>
          </w:tcPr>
          <w:p w14:paraId="37003286"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+0.4-0.8% yr⁻¹</w:t>
            </w:r>
          </w:p>
        </w:tc>
        <w:tc>
          <w:tcPr>
            <w:tcW w:w="0" w:type="auto"/>
            <w:hideMark/>
          </w:tcPr>
          <w:p w14:paraId="1D9F00FE"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Direct C input</w:t>
            </w:r>
          </w:p>
        </w:tc>
        <w:tc>
          <w:tcPr>
            <w:tcW w:w="0" w:type="auto"/>
            <w:hideMark/>
          </w:tcPr>
          <w:p w14:paraId="77F5E09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Long-term</w:t>
            </w:r>
          </w:p>
        </w:tc>
        <w:tc>
          <w:tcPr>
            <w:tcW w:w="0" w:type="auto"/>
            <w:hideMark/>
          </w:tcPr>
          <w:p w14:paraId="2EB61CA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High</w:t>
            </w:r>
          </w:p>
        </w:tc>
      </w:tr>
      <w:tr w:rsidR="007A62FD" w:rsidRPr="007C57AA" w14:paraId="65D7F0C0" w14:textId="77777777" w:rsidTr="007A62FD">
        <w:tc>
          <w:tcPr>
            <w:tcW w:w="0" w:type="auto"/>
            <w:hideMark/>
          </w:tcPr>
          <w:p w14:paraId="7BEF8C4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Compost addition</w:t>
            </w:r>
          </w:p>
        </w:tc>
        <w:tc>
          <w:tcPr>
            <w:tcW w:w="0" w:type="auto"/>
            <w:hideMark/>
          </w:tcPr>
          <w:p w14:paraId="2FE5AD67"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5-10 Mg ha⁻¹ yr⁻¹</w:t>
            </w:r>
          </w:p>
        </w:tc>
        <w:tc>
          <w:tcPr>
            <w:tcW w:w="0" w:type="auto"/>
            <w:hideMark/>
          </w:tcPr>
          <w:p w14:paraId="193A1D04"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+0.3-0.6% yr⁻¹</w:t>
            </w:r>
          </w:p>
        </w:tc>
        <w:tc>
          <w:tcPr>
            <w:tcW w:w="0" w:type="auto"/>
            <w:hideMark/>
          </w:tcPr>
          <w:p w14:paraId="6577D8B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Stable C input</w:t>
            </w:r>
          </w:p>
        </w:tc>
        <w:tc>
          <w:tcPr>
            <w:tcW w:w="0" w:type="auto"/>
            <w:hideMark/>
          </w:tcPr>
          <w:p w14:paraId="41C13859"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Long-term</w:t>
            </w:r>
          </w:p>
        </w:tc>
        <w:tc>
          <w:tcPr>
            <w:tcW w:w="0" w:type="auto"/>
            <w:hideMark/>
          </w:tcPr>
          <w:p w14:paraId="2C9B88B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A62FD" w:rsidRPr="007C57AA" w14:paraId="0C96D0AF" w14:textId="77777777" w:rsidTr="007A62FD">
        <w:tc>
          <w:tcPr>
            <w:tcW w:w="0" w:type="auto"/>
            <w:hideMark/>
          </w:tcPr>
          <w:p w14:paraId="283BD8A8"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Green manuring</w:t>
            </w:r>
          </w:p>
        </w:tc>
        <w:tc>
          <w:tcPr>
            <w:tcW w:w="0" w:type="auto"/>
            <w:hideMark/>
          </w:tcPr>
          <w:p w14:paraId="1AF375E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20-30 Mg ha⁻¹</w:t>
            </w:r>
          </w:p>
        </w:tc>
        <w:tc>
          <w:tcPr>
            <w:tcW w:w="0" w:type="auto"/>
            <w:hideMark/>
          </w:tcPr>
          <w:p w14:paraId="08FE1235"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+0.2-0.5% yr⁻¹</w:t>
            </w:r>
          </w:p>
        </w:tc>
        <w:tc>
          <w:tcPr>
            <w:tcW w:w="0" w:type="auto"/>
            <w:hideMark/>
          </w:tcPr>
          <w:p w14:paraId="160D2A16"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Fresh biomass</w:t>
            </w:r>
          </w:p>
        </w:tc>
        <w:tc>
          <w:tcPr>
            <w:tcW w:w="0" w:type="auto"/>
            <w:hideMark/>
          </w:tcPr>
          <w:p w14:paraId="121455A0"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Seasonal</w:t>
            </w:r>
          </w:p>
        </w:tc>
        <w:tc>
          <w:tcPr>
            <w:tcW w:w="0" w:type="auto"/>
            <w:hideMark/>
          </w:tcPr>
          <w:p w14:paraId="3125A77A"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High</w:t>
            </w:r>
          </w:p>
        </w:tc>
      </w:tr>
      <w:tr w:rsidR="007A62FD" w:rsidRPr="007C57AA" w14:paraId="58FF6827" w14:textId="77777777" w:rsidTr="007A62FD">
        <w:tc>
          <w:tcPr>
            <w:tcW w:w="0" w:type="auto"/>
            <w:hideMark/>
          </w:tcPr>
          <w:p w14:paraId="10D0897E"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lastRenderedPageBreak/>
              <w:t>Biosolids</w:t>
            </w:r>
          </w:p>
        </w:tc>
        <w:tc>
          <w:tcPr>
            <w:tcW w:w="0" w:type="auto"/>
            <w:hideMark/>
          </w:tcPr>
          <w:p w14:paraId="2B3757EE"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10-20 Mg ha⁻¹ yr⁻¹</w:t>
            </w:r>
          </w:p>
        </w:tc>
        <w:tc>
          <w:tcPr>
            <w:tcW w:w="0" w:type="auto"/>
            <w:hideMark/>
          </w:tcPr>
          <w:p w14:paraId="0534FEEF"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+0.5-0.9% yr⁻¹</w:t>
            </w:r>
          </w:p>
        </w:tc>
        <w:tc>
          <w:tcPr>
            <w:tcW w:w="0" w:type="auto"/>
            <w:hideMark/>
          </w:tcPr>
          <w:p w14:paraId="5D24D68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Organic matter</w:t>
            </w:r>
          </w:p>
        </w:tc>
        <w:tc>
          <w:tcPr>
            <w:tcW w:w="0" w:type="auto"/>
            <w:hideMark/>
          </w:tcPr>
          <w:p w14:paraId="69464890"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Medium-term</w:t>
            </w:r>
          </w:p>
        </w:tc>
        <w:tc>
          <w:tcPr>
            <w:tcW w:w="0" w:type="auto"/>
            <w:hideMark/>
          </w:tcPr>
          <w:p w14:paraId="485AA88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A62FD" w:rsidRPr="007C57AA" w14:paraId="09717150" w14:textId="77777777" w:rsidTr="007A62FD">
        <w:tc>
          <w:tcPr>
            <w:tcW w:w="0" w:type="auto"/>
            <w:hideMark/>
          </w:tcPr>
          <w:p w14:paraId="594B93B5"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Integrated NPK+OM</w:t>
            </w:r>
          </w:p>
        </w:tc>
        <w:tc>
          <w:tcPr>
            <w:tcW w:w="0" w:type="auto"/>
            <w:hideMark/>
          </w:tcPr>
          <w:p w14:paraId="436E640A"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Balanced doses</w:t>
            </w:r>
          </w:p>
        </w:tc>
        <w:tc>
          <w:tcPr>
            <w:tcW w:w="0" w:type="auto"/>
            <w:hideMark/>
          </w:tcPr>
          <w:p w14:paraId="7D00B2F0"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+0.3-0.7% yr⁻¹</w:t>
            </w:r>
          </w:p>
        </w:tc>
        <w:tc>
          <w:tcPr>
            <w:tcW w:w="0" w:type="auto"/>
            <w:hideMark/>
          </w:tcPr>
          <w:p w14:paraId="1EDDA331"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Enhanced productivity</w:t>
            </w:r>
          </w:p>
        </w:tc>
        <w:tc>
          <w:tcPr>
            <w:tcW w:w="0" w:type="auto"/>
            <w:hideMark/>
          </w:tcPr>
          <w:p w14:paraId="37CA47F9"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Long-term</w:t>
            </w:r>
          </w:p>
        </w:tc>
        <w:tc>
          <w:tcPr>
            <w:tcW w:w="0" w:type="auto"/>
            <w:hideMark/>
          </w:tcPr>
          <w:p w14:paraId="6637E5A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High</w:t>
            </w:r>
          </w:p>
        </w:tc>
      </w:tr>
      <w:tr w:rsidR="007A62FD" w:rsidRPr="007C57AA" w14:paraId="05C898FB" w14:textId="77777777" w:rsidTr="007A62FD">
        <w:tc>
          <w:tcPr>
            <w:tcW w:w="0" w:type="auto"/>
            <w:hideMark/>
          </w:tcPr>
          <w:p w14:paraId="6014CE65"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Biofertilizers</w:t>
            </w:r>
          </w:p>
        </w:tc>
        <w:tc>
          <w:tcPr>
            <w:tcW w:w="0" w:type="auto"/>
            <w:hideMark/>
          </w:tcPr>
          <w:p w14:paraId="193EEBB6"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20-30 kg ha⁻¹</w:t>
            </w:r>
          </w:p>
        </w:tc>
        <w:tc>
          <w:tcPr>
            <w:tcW w:w="0" w:type="auto"/>
            <w:hideMark/>
          </w:tcPr>
          <w:p w14:paraId="1DE551A1"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+0.1-0.3% yr⁻¹</w:t>
            </w:r>
          </w:p>
        </w:tc>
        <w:tc>
          <w:tcPr>
            <w:tcW w:w="0" w:type="auto"/>
            <w:hideMark/>
          </w:tcPr>
          <w:p w14:paraId="01793CEC"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Microbial activity</w:t>
            </w:r>
          </w:p>
        </w:tc>
        <w:tc>
          <w:tcPr>
            <w:tcW w:w="0" w:type="auto"/>
            <w:hideMark/>
          </w:tcPr>
          <w:p w14:paraId="2322DC6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Short-term</w:t>
            </w:r>
          </w:p>
        </w:tc>
        <w:tc>
          <w:tcPr>
            <w:tcW w:w="0" w:type="auto"/>
            <w:hideMark/>
          </w:tcPr>
          <w:p w14:paraId="0B6D93B7"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Very high</w:t>
            </w:r>
          </w:p>
        </w:tc>
      </w:tr>
      <w:tr w:rsidR="007A62FD" w:rsidRPr="007C57AA" w14:paraId="375F8A66" w14:textId="77777777" w:rsidTr="007A62FD">
        <w:tc>
          <w:tcPr>
            <w:tcW w:w="0" w:type="auto"/>
            <w:hideMark/>
          </w:tcPr>
          <w:p w14:paraId="7BA18792"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Crop residue retention</w:t>
            </w:r>
          </w:p>
        </w:tc>
        <w:tc>
          <w:tcPr>
            <w:tcW w:w="0" w:type="auto"/>
            <w:hideMark/>
          </w:tcPr>
          <w:p w14:paraId="7EDADEF0"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5-8 Mg ha⁻¹ yr⁻¹</w:t>
            </w:r>
          </w:p>
        </w:tc>
        <w:tc>
          <w:tcPr>
            <w:tcW w:w="0" w:type="auto"/>
            <w:hideMark/>
          </w:tcPr>
          <w:p w14:paraId="2DA79F31"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+0.2-0.4% yr⁻¹</w:t>
            </w:r>
          </w:p>
        </w:tc>
        <w:tc>
          <w:tcPr>
            <w:tcW w:w="0" w:type="auto"/>
            <w:hideMark/>
          </w:tcPr>
          <w:p w14:paraId="1292D3F9"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Surface mulch</w:t>
            </w:r>
          </w:p>
        </w:tc>
        <w:tc>
          <w:tcPr>
            <w:tcW w:w="0" w:type="auto"/>
            <w:hideMark/>
          </w:tcPr>
          <w:p w14:paraId="25DAC1A3"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Continuous</w:t>
            </w:r>
          </w:p>
        </w:tc>
        <w:tc>
          <w:tcPr>
            <w:tcW w:w="0" w:type="auto"/>
            <w:hideMark/>
          </w:tcPr>
          <w:p w14:paraId="54435D4F" w14:textId="77777777" w:rsidR="007A62FD" w:rsidRPr="007C57AA" w:rsidRDefault="007A62FD" w:rsidP="007C57AA">
            <w:pPr>
              <w:jc w:val="both"/>
              <w:rPr>
                <w:rFonts w:ascii="Times New Roman" w:hAnsi="Times New Roman" w:cs="Times New Roman"/>
                <w:sz w:val="24"/>
                <w:szCs w:val="24"/>
              </w:rPr>
            </w:pPr>
            <w:r w:rsidRPr="007C57AA">
              <w:rPr>
                <w:rFonts w:ascii="Times New Roman" w:hAnsi="Times New Roman" w:cs="Times New Roman"/>
                <w:sz w:val="24"/>
                <w:szCs w:val="24"/>
              </w:rPr>
              <w:t>Very high</w:t>
            </w:r>
          </w:p>
        </w:tc>
      </w:tr>
    </w:tbl>
    <w:p w14:paraId="674D37B4" w14:textId="77777777" w:rsidR="00937CED"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Measurement and Monitoring Technologies</w:t>
      </w:r>
    </w:p>
    <w:p w14:paraId="185EEDA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Traditional and Advanced Sampling Methods</w:t>
      </w:r>
    </w:p>
    <w:p w14:paraId="0CCEE8EC" w14:textId="6C7D79A0"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Accurate quantification of SOC stocks requires representative sampling accounting for spatial heterogeneity and depth distribution. Traditional grid sampling with 20-50 points per hectare provides baseline accuracy, </w:t>
      </w:r>
      <w:r w:rsidRPr="00096FD2">
        <w:rPr>
          <w:rFonts w:ascii="Times New Roman" w:hAnsi="Times New Roman" w:cs="Times New Roman"/>
          <w:sz w:val="24"/>
          <w:szCs w:val="24"/>
          <w:highlight w:val="yellow"/>
        </w:rPr>
        <w:t xml:space="preserve">though </w:t>
      </w:r>
      <w:proofErr w:type="spellStart"/>
      <w:r w:rsidRPr="00096FD2">
        <w:rPr>
          <w:rFonts w:ascii="Times New Roman" w:hAnsi="Times New Roman" w:cs="Times New Roman"/>
          <w:sz w:val="24"/>
          <w:szCs w:val="24"/>
          <w:highlight w:val="yellow"/>
        </w:rPr>
        <w:t>labo</w:t>
      </w:r>
      <w:r w:rsidR="006D2EB1" w:rsidRPr="00096FD2">
        <w:rPr>
          <w:rFonts w:ascii="Times New Roman" w:hAnsi="Times New Roman" w:cs="Times New Roman"/>
          <w:sz w:val="24"/>
          <w:szCs w:val="24"/>
          <w:highlight w:val="yellow"/>
        </w:rPr>
        <w:t>u</w:t>
      </w:r>
      <w:r w:rsidRPr="00096FD2">
        <w:rPr>
          <w:rFonts w:ascii="Times New Roman" w:hAnsi="Times New Roman" w:cs="Times New Roman"/>
          <w:sz w:val="24"/>
          <w:szCs w:val="24"/>
          <w:highlight w:val="yellow"/>
        </w:rPr>
        <w:t>r</w:t>
      </w:r>
      <w:proofErr w:type="spellEnd"/>
      <w:r w:rsidRPr="00096FD2">
        <w:rPr>
          <w:rFonts w:ascii="Times New Roman" w:hAnsi="Times New Roman" w:cs="Times New Roman"/>
          <w:sz w:val="24"/>
          <w:szCs w:val="24"/>
          <w:highlight w:val="yellow"/>
        </w:rPr>
        <w:t xml:space="preserve"> costs limit</w:t>
      </w:r>
      <w:r w:rsidRPr="007C57AA">
        <w:rPr>
          <w:rFonts w:ascii="Times New Roman" w:hAnsi="Times New Roman" w:cs="Times New Roman"/>
          <w:sz w:val="24"/>
          <w:szCs w:val="24"/>
        </w:rPr>
        <w:t xml:space="preserve"> frequency. Stratified random sampling based on soil maps and terrain attributes improves efficiency. Recent advances in electromagnetic induction and ground-penetrating radar enable rapid field-scale carbon mapping. Portable spectrometers using visible near-infrared reflectance (VNIR) provide real-time SOC estimates with 85-95% accuracy compared to laboratory analysis.</w:t>
      </w:r>
    </w:p>
    <w:p w14:paraId="78CA5862" w14:textId="77777777" w:rsid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Figure 4: Soil Carbon Monitoring Technologies</w:t>
      </w:r>
    </w:p>
    <w:p w14:paraId="05AD9FB7" w14:textId="77777777" w:rsidR="007A62FD" w:rsidRPr="007C57AA" w:rsidRDefault="007A62FD" w:rsidP="007A62FD">
      <w:pPr>
        <w:jc w:val="center"/>
        <w:rPr>
          <w:rFonts w:ascii="Times New Roman" w:hAnsi="Times New Roman" w:cs="Times New Roman"/>
          <w:b/>
          <w:bCs/>
          <w:sz w:val="24"/>
          <w:szCs w:val="24"/>
        </w:rPr>
      </w:pPr>
      <w:r>
        <w:rPr>
          <w:noProof/>
        </w:rPr>
        <w:drawing>
          <wp:inline distT="0" distB="0" distL="0" distR="0" wp14:anchorId="46C3010E" wp14:editId="420C5DDD">
            <wp:extent cx="5190266" cy="3056377"/>
            <wp:effectExtent l="0" t="0" r="0" b="0"/>
            <wp:docPr id="19" name="Picture 19" descr="Carbon Monitoring | Satellite based Precision Agriculture | Soil Testing |  Pest and Disease Diagn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rbon Monitoring | Satellite based Precision Agriculture | Soil Testing |  Pest and Disease Diagnos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4591" cy="3058924"/>
                    </a:xfrm>
                    <a:prstGeom prst="rect">
                      <a:avLst/>
                    </a:prstGeom>
                    <a:noFill/>
                    <a:ln>
                      <a:noFill/>
                    </a:ln>
                  </pic:spPr>
                </pic:pic>
              </a:graphicData>
            </a:graphic>
          </wp:inline>
        </w:drawing>
      </w:r>
    </w:p>
    <w:p w14:paraId="70D4E98C"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Remote Sensing Applications</w:t>
      </w:r>
    </w:p>
    <w:p w14:paraId="3310974C" w14:textId="49F0FBD5"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Satellite and aerial remote sensing increasingly support large-scale SOC monitoring. </w:t>
      </w:r>
      <w:r w:rsidR="004A2008" w:rsidRPr="00096FD2">
        <w:rPr>
          <w:rFonts w:ascii="Times New Roman" w:hAnsi="Times New Roman" w:cs="Times New Roman"/>
          <w:sz w:val="24"/>
          <w:szCs w:val="24"/>
          <w:highlight w:val="yellow"/>
        </w:rPr>
        <w:t xml:space="preserve">Remote Sensing </w:t>
      </w:r>
      <w:r w:rsidR="00F800AB" w:rsidRPr="00096FD2">
        <w:rPr>
          <w:rFonts w:ascii="Times New Roman" w:hAnsi="Times New Roman" w:cs="Times New Roman"/>
          <w:sz w:val="24"/>
          <w:szCs w:val="24"/>
          <w:highlight w:val="yellow"/>
        </w:rPr>
        <w:t>platforms, including Synthetic Aperture Radar and Multispectral Imager, offer high-resolution data for assessing soil and vegetation characteristics</w:t>
      </w:r>
      <w:r w:rsidR="00F704A8" w:rsidRPr="00096FD2">
        <w:rPr>
          <w:rFonts w:ascii="Times New Roman" w:hAnsi="Times New Roman" w:cs="Times New Roman"/>
          <w:sz w:val="24"/>
          <w:szCs w:val="24"/>
          <w:highlight w:val="yellow"/>
        </w:rPr>
        <w:t xml:space="preserve"> (</w:t>
      </w:r>
      <w:proofErr w:type="spellStart"/>
      <w:r w:rsidR="00F704A8" w:rsidRPr="00096FD2">
        <w:rPr>
          <w:rFonts w:ascii="Times New Roman" w:hAnsi="Times New Roman" w:cs="Times New Roman"/>
          <w:sz w:val="24"/>
          <w:szCs w:val="24"/>
          <w:highlight w:val="yellow"/>
        </w:rPr>
        <w:t>Beisekenov</w:t>
      </w:r>
      <w:proofErr w:type="spellEnd"/>
      <w:r w:rsidR="00F704A8" w:rsidRPr="00096FD2">
        <w:rPr>
          <w:rFonts w:ascii="Times New Roman" w:hAnsi="Times New Roman" w:cs="Times New Roman"/>
          <w:sz w:val="24"/>
          <w:szCs w:val="24"/>
          <w:highlight w:val="yellow"/>
        </w:rPr>
        <w:t xml:space="preserve"> et al., 2025)</w:t>
      </w:r>
      <w:r w:rsidR="00F800AB" w:rsidRPr="00096FD2">
        <w:rPr>
          <w:rFonts w:ascii="Times New Roman" w:hAnsi="Times New Roman" w:cs="Times New Roman"/>
          <w:sz w:val="24"/>
          <w:szCs w:val="24"/>
          <w:highlight w:val="yellow"/>
        </w:rPr>
        <w:t>.</w:t>
      </w:r>
      <w:r w:rsidR="00F800AB">
        <w:rPr>
          <w:rFonts w:ascii="Times New Roman" w:hAnsi="Times New Roman" w:cs="Times New Roman"/>
          <w:sz w:val="24"/>
          <w:szCs w:val="24"/>
        </w:rPr>
        <w:t xml:space="preserve"> </w:t>
      </w:r>
      <w:r w:rsidRPr="007C57AA">
        <w:rPr>
          <w:rFonts w:ascii="Times New Roman" w:hAnsi="Times New Roman" w:cs="Times New Roman"/>
          <w:sz w:val="24"/>
          <w:szCs w:val="24"/>
        </w:rPr>
        <w:t xml:space="preserve">Multispectral indices correlate with surface SOC content, particularly in bare soil conditions. Machine learning algorithms integrating Sentinel-2 imagery, digital elevation models, and climate </w:t>
      </w:r>
      <w:r w:rsidRPr="007C57AA">
        <w:rPr>
          <w:rFonts w:ascii="Times New Roman" w:hAnsi="Times New Roman" w:cs="Times New Roman"/>
          <w:sz w:val="24"/>
          <w:szCs w:val="24"/>
        </w:rPr>
        <w:lastRenderedPageBreak/>
        <w:t xml:space="preserve">data predict SOC stocks with R² values of 0.65-0.85. Hyperspectral sensors demonstrate enhanced capability for SOC mapping, though costs remain prohibitive for routine monitoring. Unmanned aerial vehicles equipped with multispectral cameras enable field-scale assessment with </w:t>
      </w:r>
      <w:proofErr w:type="spellStart"/>
      <w:r w:rsidR="00662482" w:rsidRPr="00096FD2">
        <w:rPr>
          <w:rFonts w:ascii="Times New Roman" w:hAnsi="Times New Roman" w:cs="Times New Roman"/>
          <w:sz w:val="24"/>
          <w:szCs w:val="24"/>
          <w:highlight w:val="yellow"/>
        </w:rPr>
        <w:t>centimetre</w:t>
      </w:r>
      <w:proofErr w:type="spellEnd"/>
      <w:r w:rsidRPr="00096FD2">
        <w:rPr>
          <w:rFonts w:ascii="Times New Roman" w:hAnsi="Times New Roman" w:cs="Times New Roman"/>
          <w:sz w:val="24"/>
          <w:szCs w:val="24"/>
          <w:highlight w:val="yellow"/>
        </w:rPr>
        <w:t>-level resolution</w:t>
      </w:r>
      <w:r w:rsidRPr="007C57AA">
        <w:rPr>
          <w:rFonts w:ascii="Times New Roman" w:hAnsi="Times New Roman" w:cs="Times New Roman"/>
          <w:sz w:val="24"/>
          <w:szCs w:val="24"/>
        </w:rPr>
        <w:t>.</w:t>
      </w:r>
    </w:p>
    <w:p w14:paraId="1E8906C5"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Modeling Approaches</w:t>
      </w:r>
    </w:p>
    <w:p w14:paraId="09D563F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Process-based models simulate SOC dynamics under different management scenarios, supporting decision-making and carbon credit verification. RothC, CENTURY, and </w:t>
      </w:r>
      <w:proofErr w:type="spellStart"/>
      <w:r w:rsidRPr="007C57AA">
        <w:rPr>
          <w:rFonts w:ascii="Times New Roman" w:hAnsi="Times New Roman" w:cs="Times New Roman"/>
          <w:sz w:val="24"/>
          <w:szCs w:val="24"/>
        </w:rPr>
        <w:t>DayCent</w:t>
      </w:r>
      <w:proofErr w:type="spellEnd"/>
      <w:r w:rsidRPr="007C57AA">
        <w:rPr>
          <w:rFonts w:ascii="Times New Roman" w:hAnsi="Times New Roman" w:cs="Times New Roman"/>
          <w:sz w:val="24"/>
          <w:szCs w:val="24"/>
        </w:rPr>
        <w:t xml:space="preserve"> models represent established tools, though parameter uncertainty limits accuracy. Machine learning approaches using random forests and neural networks show promise for improving predictions by capturing non-linear relationships. Integration of remote sensing data with process models through data assimilation techniques reduces uncertainty in regional carbon assessments.</w:t>
      </w:r>
    </w:p>
    <w:p w14:paraId="5A6907F8"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Table 5: Comparison of SOC Measurement Methods</w:t>
      </w:r>
    </w:p>
    <w:tbl>
      <w:tblPr>
        <w:tblStyle w:val="TableGrid"/>
        <w:tblW w:w="0" w:type="auto"/>
        <w:tblLook w:val="04A0" w:firstRow="1" w:lastRow="0" w:firstColumn="1" w:lastColumn="0" w:noHBand="0" w:noVBand="1"/>
      </w:tblPr>
      <w:tblGrid>
        <w:gridCol w:w="1479"/>
        <w:gridCol w:w="1286"/>
        <w:gridCol w:w="1189"/>
        <w:gridCol w:w="1143"/>
        <w:gridCol w:w="1329"/>
        <w:gridCol w:w="1508"/>
        <w:gridCol w:w="1416"/>
      </w:tblGrid>
      <w:tr w:rsidR="007C57AA" w:rsidRPr="007C57AA" w14:paraId="1B056D8F" w14:textId="77777777" w:rsidTr="007A62FD">
        <w:tc>
          <w:tcPr>
            <w:tcW w:w="0" w:type="auto"/>
            <w:hideMark/>
          </w:tcPr>
          <w:p w14:paraId="0A639DFF"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Method</w:t>
            </w:r>
          </w:p>
        </w:tc>
        <w:tc>
          <w:tcPr>
            <w:tcW w:w="0" w:type="auto"/>
            <w:hideMark/>
          </w:tcPr>
          <w:p w14:paraId="2AB0FE8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Spatial Scale</w:t>
            </w:r>
          </w:p>
        </w:tc>
        <w:tc>
          <w:tcPr>
            <w:tcW w:w="0" w:type="auto"/>
            <w:hideMark/>
          </w:tcPr>
          <w:p w14:paraId="63205D8C"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Accuracy</w:t>
            </w:r>
          </w:p>
        </w:tc>
        <w:tc>
          <w:tcPr>
            <w:tcW w:w="0" w:type="auto"/>
            <w:hideMark/>
          </w:tcPr>
          <w:p w14:paraId="6BB1B706"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Cost per Sample</w:t>
            </w:r>
          </w:p>
        </w:tc>
        <w:tc>
          <w:tcPr>
            <w:tcW w:w="0" w:type="auto"/>
            <w:hideMark/>
          </w:tcPr>
          <w:p w14:paraId="1BC741FD"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Time Required</w:t>
            </w:r>
          </w:p>
        </w:tc>
        <w:tc>
          <w:tcPr>
            <w:tcW w:w="0" w:type="auto"/>
            <w:hideMark/>
          </w:tcPr>
          <w:p w14:paraId="463B5476"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Advantages</w:t>
            </w:r>
          </w:p>
        </w:tc>
        <w:tc>
          <w:tcPr>
            <w:tcW w:w="0" w:type="auto"/>
            <w:hideMark/>
          </w:tcPr>
          <w:p w14:paraId="6D240CA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Limitations</w:t>
            </w:r>
          </w:p>
        </w:tc>
      </w:tr>
      <w:tr w:rsidR="007C57AA" w:rsidRPr="007C57AA" w14:paraId="67FEEFE3" w14:textId="77777777" w:rsidTr="007A62FD">
        <w:tc>
          <w:tcPr>
            <w:tcW w:w="0" w:type="auto"/>
            <w:hideMark/>
          </w:tcPr>
          <w:p w14:paraId="3A48BE2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Dry combustion</w:t>
            </w:r>
          </w:p>
        </w:tc>
        <w:tc>
          <w:tcPr>
            <w:tcW w:w="0" w:type="auto"/>
            <w:hideMark/>
          </w:tcPr>
          <w:p w14:paraId="13B472C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Point</w:t>
            </w:r>
          </w:p>
        </w:tc>
        <w:tc>
          <w:tcPr>
            <w:tcW w:w="0" w:type="auto"/>
            <w:hideMark/>
          </w:tcPr>
          <w:p w14:paraId="0CA513F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±2-5%</w:t>
            </w:r>
          </w:p>
        </w:tc>
        <w:tc>
          <w:tcPr>
            <w:tcW w:w="0" w:type="auto"/>
            <w:hideMark/>
          </w:tcPr>
          <w:p w14:paraId="33FCB1D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$15-30</w:t>
            </w:r>
          </w:p>
        </w:tc>
        <w:tc>
          <w:tcPr>
            <w:tcW w:w="0" w:type="auto"/>
            <w:hideMark/>
          </w:tcPr>
          <w:p w14:paraId="00406D2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2-4 hours</w:t>
            </w:r>
          </w:p>
        </w:tc>
        <w:tc>
          <w:tcPr>
            <w:tcW w:w="0" w:type="auto"/>
            <w:hideMark/>
          </w:tcPr>
          <w:p w14:paraId="42A7A93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Gold standard</w:t>
            </w:r>
          </w:p>
        </w:tc>
        <w:tc>
          <w:tcPr>
            <w:tcW w:w="0" w:type="auto"/>
            <w:hideMark/>
          </w:tcPr>
          <w:p w14:paraId="3514549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Destructive</w:t>
            </w:r>
          </w:p>
        </w:tc>
      </w:tr>
      <w:tr w:rsidR="007C57AA" w:rsidRPr="007C57AA" w14:paraId="03F4137A" w14:textId="77777777" w:rsidTr="007A62FD">
        <w:tc>
          <w:tcPr>
            <w:tcW w:w="0" w:type="auto"/>
            <w:hideMark/>
          </w:tcPr>
          <w:p w14:paraId="3A45C40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Wet oxidation</w:t>
            </w:r>
          </w:p>
        </w:tc>
        <w:tc>
          <w:tcPr>
            <w:tcW w:w="0" w:type="auto"/>
            <w:hideMark/>
          </w:tcPr>
          <w:p w14:paraId="217E6EA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Point</w:t>
            </w:r>
          </w:p>
        </w:tc>
        <w:tc>
          <w:tcPr>
            <w:tcW w:w="0" w:type="auto"/>
            <w:hideMark/>
          </w:tcPr>
          <w:p w14:paraId="0A68C1C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±5-10%</w:t>
            </w:r>
          </w:p>
        </w:tc>
        <w:tc>
          <w:tcPr>
            <w:tcW w:w="0" w:type="auto"/>
            <w:hideMark/>
          </w:tcPr>
          <w:p w14:paraId="6FDEF4D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$5-15</w:t>
            </w:r>
          </w:p>
        </w:tc>
        <w:tc>
          <w:tcPr>
            <w:tcW w:w="0" w:type="auto"/>
            <w:hideMark/>
          </w:tcPr>
          <w:p w14:paraId="5762C3A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1-2 hours</w:t>
            </w:r>
          </w:p>
        </w:tc>
        <w:tc>
          <w:tcPr>
            <w:tcW w:w="0" w:type="auto"/>
            <w:hideMark/>
          </w:tcPr>
          <w:p w14:paraId="02F7B8E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Low cost</w:t>
            </w:r>
          </w:p>
        </w:tc>
        <w:tc>
          <w:tcPr>
            <w:tcW w:w="0" w:type="auto"/>
            <w:hideMark/>
          </w:tcPr>
          <w:p w14:paraId="747D3F5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Incomplete oxidation</w:t>
            </w:r>
          </w:p>
        </w:tc>
      </w:tr>
      <w:tr w:rsidR="007C57AA" w:rsidRPr="007C57AA" w14:paraId="3E43E9AE" w14:textId="77777777" w:rsidTr="007A62FD">
        <w:tc>
          <w:tcPr>
            <w:tcW w:w="0" w:type="auto"/>
            <w:hideMark/>
          </w:tcPr>
          <w:p w14:paraId="459BE72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VNIR spectroscopy</w:t>
            </w:r>
          </w:p>
        </w:tc>
        <w:tc>
          <w:tcPr>
            <w:tcW w:w="0" w:type="auto"/>
            <w:hideMark/>
          </w:tcPr>
          <w:p w14:paraId="08FF364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Point/Field</w:t>
            </w:r>
          </w:p>
        </w:tc>
        <w:tc>
          <w:tcPr>
            <w:tcW w:w="0" w:type="auto"/>
            <w:hideMark/>
          </w:tcPr>
          <w:p w14:paraId="41D238B4"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±10-15%</w:t>
            </w:r>
          </w:p>
        </w:tc>
        <w:tc>
          <w:tcPr>
            <w:tcW w:w="0" w:type="auto"/>
            <w:hideMark/>
          </w:tcPr>
          <w:p w14:paraId="38D6355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$2-10</w:t>
            </w:r>
          </w:p>
        </w:tc>
        <w:tc>
          <w:tcPr>
            <w:tcW w:w="0" w:type="auto"/>
            <w:hideMark/>
          </w:tcPr>
          <w:p w14:paraId="0CC956A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Minutes</w:t>
            </w:r>
          </w:p>
        </w:tc>
        <w:tc>
          <w:tcPr>
            <w:tcW w:w="0" w:type="auto"/>
            <w:hideMark/>
          </w:tcPr>
          <w:p w14:paraId="230DE47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Rapid, portable</w:t>
            </w:r>
          </w:p>
        </w:tc>
        <w:tc>
          <w:tcPr>
            <w:tcW w:w="0" w:type="auto"/>
            <w:hideMark/>
          </w:tcPr>
          <w:p w14:paraId="6701772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Calibration needed</w:t>
            </w:r>
          </w:p>
        </w:tc>
      </w:tr>
      <w:tr w:rsidR="007C57AA" w:rsidRPr="007C57AA" w14:paraId="0320C07A" w14:textId="77777777" w:rsidTr="007A62FD">
        <w:tc>
          <w:tcPr>
            <w:tcW w:w="0" w:type="auto"/>
            <w:hideMark/>
          </w:tcPr>
          <w:p w14:paraId="4E6896FF"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Eddy covariance</w:t>
            </w:r>
          </w:p>
        </w:tc>
        <w:tc>
          <w:tcPr>
            <w:tcW w:w="0" w:type="auto"/>
            <w:hideMark/>
          </w:tcPr>
          <w:p w14:paraId="1D7585D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Ecosystem</w:t>
            </w:r>
          </w:p>
        </w:tc>
        <w:tc>
          <w:tcPr>
            <w:tcW w:w="0" w:type="auto"/>
            <w:hideMark/>
          </w:tcPr>
          <w:p w14:paraId="409D1ED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±15-20%</w:t>
            </w:r>
          </w:p>
        </w:tc>
        <w:tc>
          <w:tcPr>
            <w:tcW w:w="0" w:type="auto"/>
            <w:hideMark/>
          </w:tcPr>
          <w:p w14:paraId="66B5EB3C"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$50,000+ setup</w:t>
            </w:r>
          </w:p>
        </w:tc>
        <w:tc>
          <w:tcPr>
            <w:tcW w:w="0" w:type="auto"/>
            <w:hideMark/>
          </w:tcPr>
          <w:p w14:paraId="6C0E4CA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Continuous</w:t>
            </w:r>
          </w:p>
        </w:tc>
        <w:tc>
          <w:tcPr>
            <w:tcW w:w="0" w:type="auto"/>
            <w:hideMark/>
          </w:tcPr>
          <w:p w14:paraId="7B9FF6DD"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Net flux measurement</w:t>
            </w:r>
          </w:p>
        </w:tc>
        <w:tc>
          <w:tcPr>
            <w:tcW w:w="0" w:type="auto"/>
            <w:hideMark/>
          </w:tcPr>
          <w:p w14:paraId="42CE65B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High cost</w:t>
            </w:r>
          </w:p>
        </w:tc>
      </w:tr>
      <w:tr w:rsidR="007C57AA" w:rsidRPr="007C57AA" w14:paraId="4F977EA1" w14:textId="77777777" w:rsidTr="007A62FD">
        <w:tc>
          <w:tcPr>
            <w:tcW w:w="0" w:type="auto"/>
            <w:hideMark/>
          </w:tcPr>
          <w:p w14:paraId="1A84B52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Remote sensing</w:t>
            </w:r>
          </w:p>
        </w:tc>
        <w:tc>
          <w:tcPr>
            <w:tcW w:w="0" w:type="auto"/>
            <w:hideMark/>
          </w:tcPr>
          <w:p w14:paraId="70257E4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Landscape</w:t>
            </w:r>
          </w:p>
        </w:tc>
        <w:tc>
          <w:tcPr>
            <w:tcW w:w="0" w:type="auto"/>
            <w:hideMark/>
          </w:tcPr>
          <w:p w14:paraId="696AE2C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±20-30%</w:t>
            </w:r>
          </w:p>
        </w:tc>
        <w:tc>
          <w:tcPr>
            <w:tcW w:w="0" w:type="auto"/>
            <w:hideMark/>
          </w:tcPr>
          <w:p w14:paraId="448ADCE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$0.1-1/ha</w:t>
            </w:r>
          </w:p>
        </w:tc>
        <w:tc>
          <w:tcPr>
            <w:tcW w:w="0" w:type="auto"/>
            <w:hideMark/>
          </w:tcPr>
          <w:p w14:paraId="1E49B0B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Days</w:t>
            </w:r>
          </w:p>
        </w:tc>
        <w:tc>
          <w:tcPr>
            <w:tcW w:w="0" w:type="auto"/>
            <w:hideMark/>
          </w:tcPr>
          <w:p w14:paraId="0C0CF65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Large area coverage</w:t>
            </w:r>
          </w:p>
        </w:tc>
        <w:tc>
          <w:tcPr>
            <w:tcW w:w="0" w:type="auto"/>
            <w:hideMark/>
          </w:tcPr>
          <w:p w14:paraId="6852E7E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Surface only</w:t>
            </w:r>
          </w:p>
        </w:tc>
      </w:tr>
      <w:tr w:rsidR="007C57AA" w:rsidRPr="007C57AA" w14:paraId="6B7E63FC" w14:textId="77777777" w:rsidTr="007A62FD">
        <w:tc>
          <w:tcPr>
            <w:tcW w:w="0" w:type="auto"/>
            <w:hideMark/>
          </w:tcPr>
          <w:p w14:paraId="01E1CE0B"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Modeling</w:t>
            </w:r>
          </w:p>
        </w:tc>
        <w:tc>
          <w:tcPr>
            <w:tcW w:w="0" w:type="auto"/>
            <w:hideMark/>
          </w:tcPr>
          <w:p w14:paraId="4EAA3085"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Regional</w:t>
            </w:r>
          </w:p>
        </w:tc>
        <w:tc>
          <w:tcPr>
            <w:tcW w:w="0" w:type="auto"/>
            <w:hideMark/>
          </w:tcPr>
          <w:p w14:paraId="721444D1"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±25-40%</w:t>
            </w:r>
          </w:p>
        </w:tc>
        <w:tc>
          <w:tcPr>
            <w:tcW w:w="0" w:type="auto"/>
            <w:hideMark/>
          </w:tcPr>
          <w:p w14:paraId="0EA1095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$0.01-0.1/ha</w:t>
            </w:r>
          </w:p>
        </w:tc>
        <w:tc>
          <w:tcPr>
            <w:tcW w:w="0" w:type="auto"/>
            <w:hideMark/>
          </w:tcPr>
          <w:p w14:paraId="52F08C4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Hours-days</w:t>
            </w:r>
          </w:p>
        </w:tc>
        <w:tc>
          <w:tcPr>
            <w:tcW w:w="0" w:type="auto"/>
            <w:hideMark/>
          </w:tcPr>
          <w:p w14:paraId="714142D2"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Scenario testing</w:t>
            </w:r>
          </w:p>
        </w:tc>
        <w:tc>
          <w:tcPr>
            <w:tcW w:w="0" w:type="auto"/>
            <w:hideMark/>
          </w:tcPr>
          <w:p w14:paraId="6FAD6EBE"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Parameter uncertainty</w:t>
            </w:r>
          </w:p>
        </w:tc>
      </w:tr>
      <w:tr w:rsidR="007C57AA" w:rsidRPr="007C57AA" w14:paraId="2FADB236" w14:textId="77777777" w:rsidTr="007A62FD">
        <w:tc>
          <w:tcPr>
            <w:tcW w:w="0" w:type="auto"/>
            <w:hideMark/>
          </w:tcPr>
          <w:p w14:paraId="6ACEA937"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Isotopic analysis</w:t>
            </w:r>
          </w:p>
        </w:tc>
        <w:tc>
          <w:tcPr>
            <w:tcW w:w="0" w:type="auto"/>
            <w:hideMark/>
          </w:tcPr>
          <w:p w14:paraId="153E87C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Point</w:t>
            </w:r>
          </w:p>
        </w:tc>
        <w:tc>
          <w:tcPr>
            <w:tcW w:w="0" w:type="auto"/>
            <w:hideMark/>
          </w:tcPr>
          <w:p w14:paraId="1AEB0328"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±3-5%</w:t>
            </w:r>
          </w:p>
        </w:tc>
        <w:tc>
          <w:tcPr>
            <w:tcW w:w="0" w:type="auto"/>
            <w:hideMark/>
          </w:tcPr>
          <w:p w14:paraId="44E4DBAA"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$50-100</w:t>
            </w:r>
          </w:p>
        </w:tc>
        <w:tc>
          <w:tcPr>
            <w:tcW w:w="0" w:type="auto"/>
            <w:hideMark/>
          </w:tcPr>
          <w:p w14:paraId="1ACBE33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1-2 weeks</w:t>
            </w:r>
          </w:p>
        </w:tc>
        <w:tc>
          <w:tcPr>
            <w:tcW w:w="0" w:type="auto"/>
            <w:hideMark/>
          </w:tcPr>
          <w:p w14:paraId="1AD7D839"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Source partitioning</w:t>
            </w:r>
          </w:p>
        </w:tc>
        <w:tc>
          <w:tcPr>
            <w:tcW w:w="0" w:type="auto"/>
            <w:hideMark/>
          </w:tcPr>
          <w:p w14:paraId="658EBB20"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Expensive</w:t>
            </w:r>
          </w:p>
        </w:tc>
      </w:tr>
    </w:tbl>
    <w:p w14:paraId="359A9790" w14:textId="77777777" w:rsidR="00937CED"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Figure 5: Global Soil Carbon Monitoring Network</w:t>
      </w:r>
    </w:p>
    <w:p w14:paraId="06B52FE8" w14:textId="77777777" w:rsidR="007A62FD" w:rsidRDefault="007A62FD" w:rsidP="007A62FD">
      <w:pPr>
        <w:pStyle w:val="NormalWeb"/>
      </w:pPr>
      <w:r>
        <w:rPr>
          <w:noProof/>
          <w:lang w:bidi="ar-SA"/>
        </w:rPr>
        <w:drawing>
          <wp:inline distT="0" distB="0" distL="0" distR="0" wp14:anchorId="6F79B0B6" wp14:editId="2A7D369F">
            <wp:extent cx="4829175" cy="1472898"/>
            <wp:effectExtent l="0" t="0" r="0" b="0"/>
            <wp:docPr id="18" name="Picture 18" descr="C:\Users\Lenovo\Downloads\A-regional-soil-carbon-monitoring-network-could-serve-to-1-coordinate-dive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enovo\Downloads\A-regional-soil-carbon-monitoring-network-could-serve-to-1-coordinate-divers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5877" cy="1477992"/>
                    </a:xfrm>
                    <a:prstGeom prst="rect">
                      <a:avLst/>
                    </a:prstGeom>
                    <a:noFill/>
                    <a:ln>
                      <a:noFill/>
                    </a:ln>
                  </pic:spPr>
                </pic:pic>
              </a:graphicData>
            </a:graphic>
          </wp:inline>
        </w:drawing>
      </w:r>
    </w:p>
    <w:p w14:paraId="6FFB7A6C" w14:textId="77777777" w:rsidR="007A62FD" w:rsidRPr="007C57AA" w:rsidRDefault="007A62FD" w:rsidP="007A62FD">
      <w:pPr>
        <w:jc w:val="both"/>
        <w:rPr>
          <w:rFonts w:ascii="Times New Roman" w:hAnsi="Times New Roman" w:cs="Times New Roman"/>
          <w:b/>
          <w:bCs/>
          <w:sz w:val="24"/>
          <w:szCs w:val="24"/>
        </w:rPr>
      </w:pPr>
      <w:r w:rsidRPr="007C57AA">
        <w:rPr>
          <w:rFonts w:ascii="Times New Roman" w:hAnsi="Times New Roman" w:cs="Times New Roman"/>
          <w:b/>
          <w:bCs/>
          <w:sz w:val="24"/>
          <w:szCs w:val="24"/>
        </w:rPr>
        <w:t>Figure 6: Global Carbon Credit Projects</w:t>
      </w:r>
    </w:p>
    <w:p w14:paraId="1D946258" w14:textId="5BBD422E" w:rsidR="007A62FD" w:rsidRDefault="007A62FD" w:rsidP="007A62FD">
      <w:pPr>
        <w:jc w:val="center"/>
        <w:rPr>
          <w:rFonts w:ascii="Times New Roman" w:hAnsi="Times New Roman" w:cs="Times New Roman"/>
          <w:b/>
          <w:bCs/>
          <w:sz w:val="24"/>
          <w:szCs w:val="24"/>
        </w:rPr>
      </w:pPr>
      <w:r>
        <w:rPr>
          <w:noProof/>
        </w:rPr>
        <w:lastRenderedPageBreak/>
        <w:drawing>
          <wp:inline distT="0" distB="0" distL="0" distR="0" wp14:anchorId="20A53905" wp14:editId="7D8944B0">
            <wp:extent cx="5076825" cy="3807619"/>
            <wp:effectExtent l="0" t="0" r="0" b="2540"/>
            <wp:docPr id="16" name="Picture 16" descr="Carbon Credit Market Insights, Drivers Report 2025 - 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rbon Credit Market Insights, Drivers Report 2025 - 20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9086" cy="3809315"/>
                    </a:xfrm>
                    <a:prstGeom prst="rect">
                      <a:avLst/>
                    </a:prstGeom>
                    <a:noFill/>
                    <a:ln>
                      <a:noFill/>
                    </a:ln>
                  </pic:spPr>
                </pic:pic>
              </a:graphicData>
            </a:graphic>
          </wp:inline>
        </w:drawing>
      </w:r>
    </w:p>
    <w:p w14:paraId="06A0D733" w14:textId="398C35A2" w:rsidR="0014433A" w:rsidRDefault="0014433A" w:rsidP="007A62FD">
      <w:pPr>
        <w:jc w:val="center"/>
        <w:rPr>
          <w:rFonts w:ascii="Times New Roman" w:hAnsi="Times New Roman" w:cs="Times New Roman"/>
          <w:b/>
          <w:bCs/>
          <w:sz w:val="24"/>
          <w:szCs w:val="24"/>
        </w:rPr>
      </w:pPr>
      <w:r w:rsidRPr="00096FD2">
        <w:rPr>
          <w:rFonts w:ascii="Times New Roman" w:hAnsi="Times New Roman" w:cs="Times New Roman"/>
          <w:b/>
          <w:bCs/>
          <w:sz w:val="24"/>
          <w:szCs w:val="24"/>
          <w:highlight w:val="yellow"/>
        </w:rPr>
        <w:t xml:space="preserve">Fig 7: </w:t>
      </w:r>
      <w:r w:rsidR="00705824" w:rsidRPr="00096FD2">
        <w:rPr>
          <w:rFonts w:ascii="Times New Roman" w:hAnsi="Times New Roman" w:cs="Times New Roman"/>
          <w:b/>
          <w:bCs/>
          <w:sz w:val="24"/>
          <w:szCs w:val="24"/>
          <w:highlight w:val="yellow"/>
        </w:rPr>
        <w:t>Growth of Carbon Credit Global Market</w:t>
      </w:r>
      <w:r w:rsidR="00705824">
        <w:rPr>
          <w:rFonts w:ascii="Times New Roman" w:hAnsi="Times New Roman" w:cs="Times New Roman"/>
          <w:b/>
          <w:bCs/>
          <w:sz w:val="24"/>
          <w:szCs w:val="24"/>
        </w:rPr>
        <w:t xml:space="preserve"> </w:t>
      </w:r>
    </w:p>
    <w:p w14:paraId="608D8D07"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Economic and Policy Dimensions</w:t>
      </w:r>
    </w:p>
    <w:p w14:paraId="31683530"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Carbon Credit Markets</w:t>
      </w:r>
    </w:p>
    <w:p w14:paraId="05CD3EA5" w14:textId="6F48B4A6" w:rsidR="007C57AA" w:rsidRPr="007C57AA" w:rsidRDefault="00830DA7" w:rsidP="007C57AA">
      <w:pPr>
        <w:jc w:val="both"/>
        <w:rPr>
          <w:rFonts w:ascii="Times New Roman" w:hAnsi="Times New Roman" w:cs="Times New Roman"/>
          <w:sz w:val="24"/>
          <w:szCs w:val="24"/>
        </w:rPr>
      </w:pPr>
      <w:r w:rsidRPr="00096FD2">
        <w:rPr>
          <w:rFonts w:ascii="Times New Roman" w:hAnsi="Times New Roman" w:cs="Times New Roman"/>
          <w:sz w:val="24"/>
          <w:szCs w:val="24"/>
          <w:highlight w:val="yellow"/>
        </w:rPr>
        <w:t xml:space="preserve">Carbon markets, </w:t>
      </w:r>
      <w:proofErr w:type="spellStart"/>
      <w:r w:rsidRPr="00096FD2">
        <w:rPr>
          <w:rFonts w:ascii="Times New Roman" w:hAnsi="Times New Roman" w:cs="Times New Roman"/>
          <w:sz w:val="24"/>
          <w:szCs w:val="24"/>
          <w:highlight w:val="yellow"/>
        </w:rPr>
        <w:t>epitomi</w:t>
      </w:r>
      <w:r w:rsidR="005734B2" w:rsidRPr="00096FD2">
        <w:rPr>
          <w:rFonts w:ascii="Times New Roman" w:hAnsi="Times New Roman" w:cs="Times New Roman"/>
          <w:sz w:val="24"/>
          <w:szCs w:val="24"/>
          <w:highlight w:val="yellow"/>
        </w:rPr>
        <w:t>s</w:t>
      </w:r>
      <w:r w:rsidRPr="00096FD2">
        <w:rPr>
          <w:rFonts w:ascii="Times New Roman" w:hAnsi="Times New Roman" w:cs="Times New Roman"/>
          <w:sz w:val="24"/>
          <w:szCs w:val="24"/>
          <w:highlight w:val="yellow"/>
        </w:rPr>
        <w:t>ed</w:t>
      </w:r>
      <w:proofErr w:type="spellEnd"/>
      <w:r w:rsidRPr="00096FD2">
        <w:rPr>
          <w:rFonts w:ascii="Times New Roman" w:hAnsi="Times New Roman" w:cs="Times New Roman"/>
          <w:sz w:val="24"/>
          <w:szCs w:val="24"/>
          <w:highlight w:val="yellow"/>
        </w:rPr>
        <w:t xml:space="preserve"> by emissions trading systems and carbon offset mechanisms, have witnessed rapid expansion and evolution</w:t>
      </w:r>
      <w:r w:rsidR="008D36AC" w:rsidRPr="00096FD2">
        <w:rPr>
          <w:rFonts w:ascii="Times New Roman" w:hAnsi="Times New Roman" w:cs="Times New Roman"/>
          <w:sz w:val="24"/>
          <w:szCs w:val="24"/>
          <w:highlight w:val="yellow"/>
        </w:rPr>
        <w:t xml:space="preserve"> (</w:t>
      </w:r>
      <w:proofErr w:type="spellStart"/>
      <w:r w:rsidR="008D36AC" w:rsidRPr="00096FD2">
        <w:rPr>
          <w:rFonts w:ascii="Times New Roman" w:hAnsi="Times New Roman" w:cs="Times New Roman"/>
          <w:sz w:val="24"/>
          <w:szCs w:val="24"/>
          <w:highlight w:val="yellow"/>
        </w:rPr>
        <w:t>Kristjanpoller</w:t>
      </w:r>
      <w:proofErr w:type="spellEnd"/>
      <w:r w:rsidR="008D36AC" w:rsidRPr="00096FD2">
        <w:rPr>
          <w:rFonts w:ascii="Times New Roman" w:hAnsi="Times New Roman" w:cs="Times New Roman"/>
          <w:sz w:val="24"/>
          <w:szCs w:val="24"/>
          <w:highlight w:val="yellow"/>
        </w:rPr>
        <w:t xml:space="preserve"> &amp; Minutolo, 2025)</w:t>
      </w:r>
      <w:r w:rsidRPr="00096FD2">
        <w:rPr>
          <w:rFonts w:ascii="Times New Roman" w:hAnsi="Times New Roman" w:cs="Times New Roman"/>
          <w:sz w:val="24"/>
          <w:szCs w:val="24"/>
          <w:highlight w:val="yellow"/>
        </w:rPr>
        <w:t>.</w:t>
      </w:r>
      <w:r w:rsidR="00572B00"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To</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mitigate</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global</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greenhouse</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emissions</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and climate</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change,</w:t>
      </w:r>
      <w:r w:rsidR="008510F8" w:rsidRPr="00096FD2">
        <w:rPr>
          <w:rFonts w:ascii="Times New Roman" w:hAnsi="Times New Roman" w:cs="Times New Roman"/>
          <w:sz w:val="24"/>
          <w:szCs w:val="24"/>
          <w:highlight w:val="yellow"/>
        </w:rPr>
        <w:t xml:space="preserve"> </w:t>
      </w:r>
      <w:r w:rsidR="005734B2">
        <w:rPr>
          <w:rFonts w:ascii="Times New Roman" w:hAnsi="Times New Roman" w:cs="Times New Roman"/>
          <w:sz w:val="24"/>
          <w:szCs w:val="24"/>
          <w:highlight w:val="yellow"/>
        </w:rPr>
        <w:t xml:space="preserve">the </w:t>
      </w:r>
      <w:r w:rsidR="00D17189" w:rsidRPr="00096FD2">
        <w:rPr>
          <w:rFonts w:ascii="Times New Roman" w:hAnsi="Times New Roman" w:cs="Times New Roman"/>
          <w:sz w:val="24"/>
          <w:szCs w:val="24"/>
          <w:highlight w:val="yellow"/>
        </w:rPr>
        <w:t>Kyoto</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Protocol</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was</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ratified</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in 1997</w:t>
      </w:r>
      <w:r w:rsidR="005734B2">
        <w:rPr>
          <w:rFonts w:ascii="Times New Roman" w:hAnsi="Times New Roman" w:cs="Times New Roman"/>
          <w:sz w:val="24"/>
          <w:szCs w:val="24"/>
          <w:highlight w:val="yellow"/>
        </w:rPr>
        <w:t>,</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which</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proposed</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the</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concept</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of</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carbon credits</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and</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carbon</w:t>
      </w:r>
      <w:r w:rsidR="008510F8" w:rsidRPr="00096FD2">
        <w:rPr>
          <w:rFonts w:ascii="Times New Roman" w:hAnsi="Times New Roman" w:cs="Times New Roman"/>
          <w:sz w:val="24"/>
          <w:szCs w:val="24"/>
          <w:highlight w:val="yellow"/>
        </w:rPr>
        <w:t xml:space="preserve"> </w:t>
      </w:r>
      <w:r w:rsidR="00D17189" w:rsidRPr="00096FD2">
        <w:rPr>
          <w:rFonts w:ascii="Times New Roman" w:hAnsi="Times New Roman" w:cs="Times New Roman"/>
          <w:sz w:val="24"/>
          <w:szCs w:val="24"/>
          <w:highlight w:val="yellow"/>
        </w:rPr>
        <w:t>market</w:t>
      </w:r>
      <w:r w:rsidR="00723BDD" w:rsidRPr="00096FD2">
        <w:rPr>
          <w:rFonts w:ascii="Times New Roman" w:hAnsi="Times New Roman" w:cs="Times New Roman"/>
          <w:sz w:val="24"/>
          <w:szCs w:val="24"/>
          <w:highlight w:val="yellow"/>
        </w:rPr>
        <w:t xml:space="preserve"> (</w:t>
      </w:r>
      <w:proofErr w:type="spellStart"/>
      <w:r w:rsidR="00723BDD" w:rsidRPr="00096FD2">
        <w:rPr>
          <w:rFonts w:ascii="Times New Roman" w:hAnsi="Times New Roman" w:cs="Times New Roman"/>
          <w:sz w:val="24"/>
          <w:szCs w:val="24"/>
          <w:highlight w:val="yellow"/>
        </w:rPr>
        <w:t>Gorain</w:t>
      </w:r>
      <w:proofErr w:type="spellEnd"/>
      <w:r w:rsidR="00723BDD" w:rsidRPr="00096FD2">
        <w:rPr>
          <w:rFonts w:ascii="Times New Roman" w:hAnsi="Times New Roman" w:cs="Times New Roman"/>
          <w:sz w:val="24"/>
          <w:szCs w:val="24"/>
          <w:highlight w:val="yellow"/>
        </w:rPr>
        <w:t xml:space="preserve"> et al., 2021)</w:t>
      </w:r>
      <w:r w:rsidR="00D17189" w:rsidRPr="00096FD2">
        <w:rPr>
          <w:rFonts w:ascii="Times New Roman" w:hAnsi="Times New Roman" w:cs="Times New Roman"/>
          <w:sz w:val="24"/>
          <w:szCs w:val="24"/>
          <w:highlight w:val="yellow"/>
        </w:rPr>
        <w:t>.</w:t>
      </w:r>
      <w:r w:rsidR="00D17189" w:rsidRPr="00D17189">
        <w:rPr>
          <w:rFonts w:ascii="Times New Roman" w:hAnsi="Times New Roman" w:cs="Times New Roman"/>
          <w:sz w:val="24"/>
          <w:szCs w:val="24"/>
        </w:rPr>
        <w:t xml:space="preserve"> </w:t>
      </w:r>
      <w:r w:rsidR="007C57AA" w:rsidRPr="007C57AA">
        <w:rPr>
          <w:rFonts w:ascii="Times New Roman" w:hAnsi="Times New Roman" w:cs="Times New Roman"/>
          <w:sz w:val="24"/>
          <w:szCs w:val="24"/>
        </w:rPr>
        <w:t>Emerging carbon markets create financial incentives for soil carbon sequestration, with voluntary markets currently dominating transactions. Carbon credit prices range from $5-50 per Mg CO₂, depending on verification standards and co-benefits. However, high transaction costs and measurement uncertainties limit smallholder participation. Blockchain technology shows promise for reducing verification costs and improving transparency. Aggregation models enabling collective participation of small farmers demonstrate success in Kenya and India.</w:t>
      </w:r>
    </w:p>
    <w:p w14:paraId="2DE8E90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Policy Frameworks and Incentives</w:t>
      </w:r>
    </w:p>
    <w:p w14:paraId="5B3F9385" w14:textId="3CFA0155"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National and international policies </w:t>
      </w:r>
      <w:r w:rsidRPr="00096FD2">
        <w:rPr>
          <w:rFonts w:ascii="Times New Roman" w:hAnsi="Times New Roman" w:cs="Times New Roman"/>
          <w:sz w:val="24"/>
          <w:szCs w:val="24"/>
          <w:highlight w:val="yellow"/>
        </w:rPr>
        <w:t xml:space="preserve">increasingly </w:t>
      </w:r>
      <w:proofErr w:type="spellStart"/>
      <w:r w:rsidR="00852B08" w:rsidRPr="00096FD2">
        <w:rPr>
          <w:rFonts w:ascii="Times New Roman" w:hAnsi="Times New Roman" w:cs="Times New Roman"/>
          <w:sz w:val="24"/>
          <w:szCs w:val="24"/>
          <w:highlight w:val="yellow"/>
        </w:rPr>
        <w:t>recognise</w:t>
      </w:r>
      <w:proofErr w:type="spellEnd"/>
      <w:r w:rsidR="00852B08"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 xml:space="preserve">soil carbon's </w:t>
      </w:r>
      <w:r w:rsidRPr="007C57AA">
        <w:rPr>
          <w:rFonts w:ascii="Times New Roman" w:hAnsi="Times New Roman" w:cs="Times New Roman"/>
          <w:sz w:val="24"/>
          <w:szCs w:val="24"/>
        </w:rPr>
        <w:t xml:space="preserve">mitigation potential. The "4 per 1000" initiative targets annual SOC increases of 0.4% to offset anthropogenic emissions. India's National Mission for Sustainable Agriculture promotes soil health cards and organic farming to enhance carbon stocks. Payment for ecosystem services schemes in Costa Rica and Mexico include soil carbon in benefit calculations. However, policy coherence remains challenging, with agricultural subsidies </w:t>
      </w:r>
      <w:r w:rsidRPr="00096FD2">
        <w:rPr>
          <w:rFonts w:ascii="Times New Roman" w:hAnsi="Times New Roman" w:cs="Times New Roman"/>
          <w:sz w:val="24"/>
          <w:szCs w:val="24"/>
          <w:highlight w:val="yellow"/>
        </w:rPr>
        <w:t xml:space="preserve">often </w:t>
      </w:r>
      <w:proofErr w:type="spellStart"/>
      <w:r w:rsidRPr="00096FD2">
        <w:rPr>
          <w:rFonts w:ascii="Times New Roman" w:hAnsi="Times New Roman" w:cs="Times New Roman"/>
          <w:sz w:val="24"/>
          <w:szCs w:val="24"/>
          <w:highlight w:val="yellow"/>
        </w:rPr>
        <w:t>favo</w:t>
      </w:r>
      <w:r w:rsidR="00AD7301" w:rsidRPr="00096FD2">
        <w:rPr>
          <w:rFonts w:ascii="Times New Roman" w:hAnsi="Times New Roman" w:cs="Times New Roman"/>
          <w:sz w:val="24"/>
          <w:szCs w:val="24"/>
          <w:highlight w:val="yellow"/>
        </w:rPr>
        <w:t>u</w:t>
      </w:r>
      <w:r w:rsidRPr="00096FD2">
        <w:rPr>
          <w:rFonts w:ascii="Times New Roman" w:hAnsi="Times New Roman" w:cs="Times New Roman"/>
          <w:sz w:val="24"/>
          <w:szCs w:val="24"/>
          <w:highlight w:val="yellow"/>
        </w:rPr>
        <w:t>ring</w:t>
      </w:r>
      <w:proofErr w:type="spellEnd"/>
      <w:r w:rsidRPr="00096FD2">
        <w:rPr>
          <w:rFonts w:ascii="Times New Roman" w:hAnsi="Times New Roman" w:cs="Times New Roman"/>
          <w:sz w:val="24"/>
          <w:szCs w:val="24"/>
          <w:highlight w:val="yellow"/>
        </w:rPr>
        <w:t xml:space="preserve"> intensive </w:t>
      </w:r>
      <w:r w:rsidRPr="007C57AA">
        <w:rPr>
          <w:rFonts w:ascii="Times New Roman" w:hAnsi="Times New Roman" w:cs="Times New Roman"/>
          <w:sz w:val="24"/>
          <w:szCs w:val="24"/>
        </w:rPr>
        <w:t>practices that deplete SOC.</w:t>
      </w:r>
    </w:p>
    <w:p w14:paraId="310B2C16"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lastRenderedPageBreak/>
        <w:t>Table 6: Economic Analysis of Carbon Sequestration Practices</w:t>
      </w:r>
    </w:p>
    <w:tbl>
      <w:tblPr>
        <w:tblStyle w:val="TableGrid"/>
        <w:tblW w:w="0" w:type="auto"/>
        <w:tblLook w:val="04A0" w:firstRow="1" w:lastRow="0" w:firstColumn="1" w:lastColumn="0" w:noHBand="0" w:noVBand="1"/>
      </w:tblPr>
      <w:tblGrid>
        <w:gridCol w:w="1521"/>
        <w:gridCol w:w="1902"/>
        <w:gridCol w:w="1621"/>
        <w:gridCol w:w="1126"/>
        <w:gridCol w:w="1015"/>
        <w:gridCol w:w="1111"/>
        <w:gridCol w:w="1054"/>
      </w:tblGrid>
      <w:tr w:rsidR="007C57AA" w:rsidRPr="007C57AA" w14:paraId="0BE45EE0" w14:textId="77777777" w:rsidTr="00937CED">
        <w:tc>
          <w:tcPr>
            <w:tcW w:w="0" w:type="auto"/>
            <w:hideMark/>
          </w:tcPr>
          <w:p w14:paraId="14A70882"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Practice</w:t>
            </w:r>
          </w:p>
        </w:tc>
        <w:tc>
          <w:tcPr>
            <w:tcW w:w="0" w:type="auto"/>
            <w:hideMark/>
          </w:tcPr>
          <w:p w14:paraId="66FE25C3"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Implementation Cost</w:t>
            </w:r>
          </w:p>
        </w:tc>
        <w:tc>
          <w:tcPr>
            <w:tcW w:w="0" w:type="auto"/>
            <w:hideMark/>
          </w:tcPr>
          <w:p w14:paraId="3EFB8F11"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Annual Maintenance</w:t>
            </w:r>
          </w:p>
        </w:tc>
        <w:tc>
          <w:tcPr>
            <w:tcW w:w="0" w:type="auto"/>
            <w:hideMark/>
          </w:tcPr>
          <w:p w14:paraId="53AC6839"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Carbon Price Needed</w:t>
            </w:r>
          </w:p>
        </w:tc>
        <w:tc>
          <w:tcPr>
            <w:tcW w:w="0" w:type="auto"/>
            <w:hideMark/>
          </w:tcPr>
          <w:p w14:paraId="182745E0"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Break-even Time</w:t>
            </w:r>
          </w:p>
        </w:tc>
        <w:tc>
          <w:tcPr>
            <w:tcW w:w="0" w:type="auto"/>
            <w:hideMark/>
          </w:tcPr>
          <w:p w14:paraId="35B05CD2"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Co-benefit Value</w:t>
            </w:r>
          </w:p>
        </w:tc>
        <w:tc>
          <w:tcPr>
            <w:tcW w:w="0" w:type="auto"/>
            <w:hideMark/>
          </w:tcPr>
          <w:p w14:paraId="49E5B1D7" w14:textId="77777777" w:rsidR="007C57AA" w:rsidRPr="007C57AA" w:rsidRDefault="007C57AA"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Risk Level</w:t>
            </w:r>
          </w:p>
        </w:tc>
      </w:tr>
      <w:tr w:rsidR="007C57AA" w:rsidRPr="007C57AA" w14:paraId="508BC4D2" w14:textId="77777777" w:rsidTr="00937CED">
        <w:tc>
          <w:tcPr>
            <w:tcW w:w="0" w:type="auto"/>
            <w:hideMark/>
          </w:tcPr>
          <w:p w14:paraId="53185BB7"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No-till adoption</w:t>
            </w:r>
          </w:p>
        </w:tc>
        <w:tc>
          <w:tcPr>
            <w:tcW w:w="0" w:type="auto"/>
            <w:hideMark/>
          </w:tcPr>
          <w:p w14:paraId="688358FD"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$50-150/ha</w:t>
            </w:r>
          </w:p>
        </w:tc>
        <w:tc>
          <w:tcPr>
            <w:tcW w:w="0" w:type="auto"/>
            <w:hideMark/>
          </w:tcPr>
          <w:p w14:paraId="11F9D621"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$20-40/ha</w:t>
            </w:r>
          </w:p>
        </w:tc>
        <w:tc>
          <w:tcPr>
            <w:tcW w:w="0" w:type="auto"/>
            <w:hideMark/>
          </w:tcPr>
          <w:p w14:paraId="389858E6"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$15-25/Mg CO₂</w:t>
            </w:r>
          </w:p>
        </w:tc>
        <w:tc>
          <w:tcPr>
            <w:tcW w:w="0" w:type="auto"/>
            <w:hideMark/>
          </w:tcPr>
          <w:p w14:paraId="47975023"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3-5 years</w:t>
            </w:r>
          </w:p>
        </w:tc>
        <w:tc>
          <w:tcPr>
            <w:tcW w:w="0" w:type="auto"/>
            <w:hideMark/>
          </w:tcPr>
          <w:p w14:paraId="12EA2DBA"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w:t>
            </w:r>
          </w:p>
        </w:tc>
        <w:tc>
          <w:tcPr>
            <w:tcW w:w="0" w:type="auto"/>
            <w:hideMark/>
          </w:tcPr>
          <w:p w14:paraId="3CE8F856"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Low</w:t>
            </w:r>
          </w:p>
        </w:tc>
      </w:tr>
      <w:tr w:rsidR="007C57AA" w:rsidRPr="007C57AA" w14:paraId="10EC54E9" w14:textId="77777777" w:rsidTr="00937CED">
        <w:tc>
          <w:tcPr>
            <w:tcW w:w="0" w:type="auto"/>
            <w:hideMark/>
          </w:tcPr>
          <w:p w14:paraId="1D0A945E"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Cover cropping</w:t>
            </w:r>
          </w:p>
        </w:tc>
        <w:tc>
          <w:tcPr>
            <w:tcW w:w="0" w:type="auto"/>
            <w:hideMark/>
          </w:tcPr>
          <w:p w14:paraId="39EA9917"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$80-200/ha</w:t>
            </w:r>
          </w:p>
        </w:tc>
        <w:tc>
          <w:tcPr>
            <w:tcW w:w="0" w:type="auto"/>
            <w:hideMark/>
          </w:tcPr>
          <w:p w14:paraId="77FFD102"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$60-120/ha</w:t>
            </w:r>
          </w:p>
        </w:tc>
        <w:tc>
          <w:tcPr>
            <w:tcW w:w="0" w:type="auto"/>
            <w:hideMark/>
          </w:tcPr>
          <w:p w14:paraId="2C0228C6"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$20-35/Mg CO₂</w:t>
            </w:r>
          </w:p>
        </w:tc>
        <w:tc>
          <w:tcPr>
            <w:tcW w:w="0" w:type="auto"/>
            <w:hideMark/>
          </w:tcPr>
          <w:p w14:paraId="69E2EEE5"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4-7 years</w:t>
            </w:r>
          </w:p>
        </w:tc>
        <w:tc>
          <w:tcPr>
            <w:tcW w:w="0" w:type="auto"/>
            <w:hideMark/>
          </w:tcPr>
          <w:p w14:paraId="41F3C585"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c>
          <w:tcPr>
            <w:tcW w:w="0" w:type="auto"/>
            <w:hideMark/>
          </w:tcPr>
          <w:p w14:paraId="3FED6299"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C57AA" w:rsidRPr="007C57AA" w14:paraId="197A187B" w14:textId="77777777" w:rsidTr="00937CED">
        <w:tc>
          <w:tcPr>
            <w:tcW w:w="0" w:type="auto"/>
            <w:hideMark/>
          </w:tcPr>
          <w:p w14:paraId="55823381"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Biochar application</w:t>
            </w:r>
          </w:p>
        </w:tc>
        <w:tc>
          <w:tcPr>
            <w:tcW w:w="0" w:type="auto"/>
            <w:hideMark/>
          </w:tcPr>
          <w:p w14:paraId="7EFEB2ED"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$500-1500/ha</w:t>
            </w:r>
          </w:p>
        </w:tc>
        <w:tc>
          <w:tcPr>
            <w:tcW w:w="0" w:type="auto"/>
            <w:hideMark/>
          </w:tcPr>
          <w:p w14:paraId="0C2330DA"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$50-100/ha</w:t>
            </w:r>
          </w:p>
        </w:tc>
        <w:tc>
          <w:tcPr>
            <w:tcW w:w="0" w:type="auto"/>
            <w:hideMark/>
          </w:tcPr>
          <w:p w14:paraId="3D15CD53"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$40-80/Mg CO₂</w:t>
            </w:r>
          </w:p>
        </w:tc>
        <w:tc>
          <w:tcPr>
            <w:tcW w:w="0" w:type="auto"/>
            <w:hideMark/>
          </w:tcPr>
          <w:p w14:paraId="0872B07D"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8-15 years</w:t>
            </w:r>
          </w:p>
        </w:tc>
        <w:tc>
          <w:tcPr>
            <w:tcW w:w="0" w:type="auto"/>
            <w:hideMark/>
          </w:tcPr>
          <w:p w14:paraId="32E95BE4"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w:t>
            </w:r>
          </w:p>
        </w:tc>
        <w:tc>
          <w:tcPr>
            <w:tcW w:w="0" w:type="auto"/>
            <w:hideMark/>
          </w:tcPr>
          <w:p w14:paraId="3D77014F"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Low</w:t>
            </w:r>
          </w:p>
        </w:tc>
      </w:tr>
      <w:tr w:rsidR="007C57AA" w:rsidRPr="007C57AA" w14:paraId="0795099B" w14:textId="77777777" w:rsidTr="00937CED">
        <w:tc>
          <w:tcPr>
            <w:tcW w:w="0" w:type="auto"/>
            <w:hideMark/>
          </w:tcPr>
          <w:p w14:paraId="7C09E5EB"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Agroforestry</w:t>
            </w:r>
          </w:p>
        </w:tc>
        <w:tc>
          <w:tcPr>
            <w:tcW w:w="0" w:type="auto"/>
            <w:hideMark/>
          </w:tcPr>
          <w:p w14:paraId="22C67444"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$300-800/ha</w:t>
            </w:r>
          </w:p>
        </w:tc>
        <w:tc>
          <w:tcPr>
            <w:tcW w:w="0" w:type="auto"/>
            <w:hideMark/>
          </w:tcPr>
          <w:p w14:paraId="32670CFA"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$50-150/ha</w:t>
            </w:r>
          </w:p>
        </w:tc>
        <w:tc>
          <w:tcPr>
            <w:tcW w:w="0" w:type="auto"/>
            <w:hideMark/>
          </w:tcPr>
          <w:p w14:paraId="3669961B"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$10-20/Mg CO₂</w:t>
            </w:r>
          </w:p>
        </w:tc>
        <w:tc>
          <w:tcPr>
            <w:tcW w:w="0" w:type="auto"/>
            <w:hideMark/>
          </w:tcPr>
          <w:p w14:paraId="0BB067FF"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5-10 years</w:t>
            </w:r>
          </w:p>
        </w:tc>
        <w:tc>
          <w:tcPr>
            <w:tcW w:w="0" w:type="auto"/>
            <w:hideMark/>
          </w:tcPr>
          <w:p w14:paraId="0992617B"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Very high</w:t>
            </w:r>
          </w:p>
        </w:tc>
        <w:tc>
          <w:tcPr>
            <w:tcW w:w="0" w:type="auto"/>
            <w:hideMark/>
          </w:tcPr>
          <w:p w14:paraId="4FB255DE"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r>
      <w:tr w:rsidR="007C57AA" w:rsidRPr="007C57AA" w14:paraId="7303BFEE" w14:textId="77777777" w:rsidTr="00937CED">
        <w:tc>
          <w:tcPr>
            <w:tcW w:w="0" w:type="auto"/>
            <w:hideMark/>
          </w:tcPr>
          <w:p w14:paraId="7B9E3E9F"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Rotational grazing</w:t>
            </w:r>
          </w:p>
        </w:tc>
        <w:tc>
          <w:tcPr>
            <w:tcW w:w="0" w:type="auto"/>
            <w:hideMark/>
          </w:tcPr>
          <w:p w14:paraId="00D54643"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$100-300/ha</w:t>
            </w:r>
          </w:p>
        </w:tc>
        <w:tc>
          <w:tcPr>
            <w:tcW w:w="0" w:type="auto"/>
            <w:hideMark/>
          </w:tcPr>
          <w:p w14:paraId="10F52C6B"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$30-80/ha</w:t>
            </w:r>
          </w:p>
        </w:tc>
        <w:tc>
          <w:tcPr>
            <w:tcW w:w="0" w:type="auto"/>
            <w:hideMark/>
          </w:tcPr>
          <w:p w14:paraId="28B5C191"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$12-22/Mg CO₂</w:t>
            </w:r>
          </w:p>
        </w:tc>
        <w:tc>
          <w:tcPr>
            <w:tcW w:w="0" w:type="auto"/>
            <w:hideMark/>
          </w:tcPr>
          <w:p w14:paraId="5FCF9B99"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3-6 years</w:t>
            </w:r>
          </w:p>
        </w:tc>
        <w:tc>
          <w:tcPr>
            <w:tcW w:w="0" w:type="auto"/>
            <w:hideMark/>
          </w:tcPr>
          <w:p w14:paraId="3A911C74"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w:t>
            </w:r>
          </w:p>
        </w:tc>
        <w:tc>
          <w:tcPr>
            <w:tcW w:w="0" w:type="auto"/>
            <w:hideMark/>
          </w:tcPr>
          <w:p w14:paraId="6BFD6475"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Low</w:t>
            </w:r>
          </w:p>
        </w:tc>
      </w:tr>
      <w:tr w:rsidR="007C57AA" w:rsidRPr="007C57AA" w14:paraId="23AF522C" w14:textId="77777777" w:rsidTr="00937CED">
        <w:tc>
          <w:tcPr>
            <w:tcW w:w="0" w:type="auto"/>
            <w:hideMark/>
          </w:tcPr>
          <w:p w14:paraId="71E70F29"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Wetland restoration</w:t>
            </w:r>
          </w:p>
        </w:tc>
        <w:tc>
          <w:tcPr>
            <w:tcW w:w="0" w:type="auto"/>
            <w:hideMark/>
          </w:tcPr>
          <w:p w14:paraId="483D81EB"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$1000-5000/ha</w:t>
            </w:r>
          </w:p>
        </w:tc>
        <w:tc>
          <w:tcPr>
            <w:tcW w:w="0" w:type="auto"/>
            <w:hideMark/>
          </w:tcPr>
          <w:p w14:paraId="7AADEF1B"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$100-300/ha</w:t>
            </w:r>
          </w:p>
        </w:tc>
        <w:tc>
          <w:tcPr>
            <w:tcW w:w="0" w:type="auto"/>
            <w:hideMark/>
          </w:tcPr>
          <w:p w14:paraId="7DBADDBC"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$25-50/Mg CO₂</w:t>
            </w:r>
          </w:p>
        </w:tc>
        <w:tc>
          <w:tcPr>
            <w:tcW w:w="0" w:type="auto"/>
            <w:hideMark/>
          </w:tcPr>
          <w:p w14:paraId="04D96A1D"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10-20 years</w:t>
            </w:r>
          </w:p>
        </w:tc>
        <w:tc>
          <w:tcPr>
            <w:tcW w:w="0" w:type="auto"/>
            <w:hideMark/>
          </w:tcPr>
          <w:p w14:paraId="23C894E8"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Very high</w:t>
            </w:r>
          </w:p>
        </w:tc>
        <w:tc>
          <w:tcPr>
            <w:tcW w:w="0" w:type="auto"/>
            <w:hideMark/>
          </w:tcPr>
          <w:p w14:paraId="61054EDD"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w:t>
            </w:r>
          </w:p>
        </w:tc>
      </w:tr>
      <w:tr w:rsidR="007C57AA" w:rsidRPr="007C57AA" w14:paraId="03300E60" w14:textId="77777777" w:rsidTr="00937CED">
        <w:tc>
          <w:tcPr>
            <w:tcW w:w="0" w:type="auto"/>
            <w:hideMark/>
          </w:tcPr>
          <w:p w14:paraId="17F02C51"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Precision agriculture</w:t>
            </w:r>
          </w:p>
        </w:tc>
        <w:tc>
          <w:tcPr>
            <w:tcW w:w="0" w:type="auto"/>
            <w:hideMark/>
          </w:tcPr>
          <w:p w14:paraId="73E0DA17"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$200-500/ha</w:t>
            </w:r>
          </w:p>
        </w:tc>
        <w:tc>
          <w:tcPr>
            <w:tcW w:w="0" w:type="auto"/>
            <w:hideMark/>
          </w:tcPr>
          <w:p w14:paraId="141BAD2D"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$50-150/ha</w:t>
            </w:r>
          </w:p>
        </w:tc>
        <w:tc>
          <w:tcPr>
            <w:tcW w:w="0" w:type="auto"/>
            <w:hideMark/>
          </w:tcPr>
          <w:p w14:paraId="04CF64E7"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$18-30/Mg CO₂</w:t>
            </w:r>
          </w:p>
        </w:tc>
        <w:tc>
          <w:tcPr>
            <w:tcW w:w="0" w:type="auto"/>
            <w:hideMark/>
          </w:tcPr>
          <w:p w14:paraId="235EA552"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4-8 years</w:t>
            </w:r>
          </w:p>
        </w:tc>
        <w:tc>
          <w:tcPr>
            <w:tcW w:w="0" w:type="auto"/>
            <w:hideMark/>
          </w:tcPr>
          <w:p w14:paraId="00F9057F"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c>
          <w:tcPr>
            <w:tcW w:w="0" w:type="auto"/>
            <w:hideMark/>
          </w:tcPr>
          <w:p w14:paraId="6C549048" w14:textId="77777777" w:rsidR="007C57AA" w:rsidRPr="007C57AA" w:rsidRDefault="007C57AA"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r>
    </w:tbl>
    <w:p w14:paraId="65A42D66" w14:textId="77777777" w:rsidR="00937CED"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Challenges and Limitations</w:t>
      </w:r>
    </w:p>
    <w:p w14:paraId="666E888F"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Permanence and Reversibility</w:t>
      </w:r>
    </w:p>
    <w:p w14:paraId="3979B303"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Soil carbon sequestration faces inherent permanence challenges, as stored carbon remains vulnerable to release through land-use change, climate extremes, or management shifts. Drought and warming accelerate decomposition, potentially converting soils from sinks to sources. Contracts ensuring 20-100 year permanence struggle with enforcement and farmer commitment. Insurance mechanisms and buffer pools provide partial solutions, though costs reduce economic viability.</w:t>
      </w:r>
    </w:p>
    <w:p w14:paraId="0CD5447F"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Saturation and Sink Capacity</w:t>
      </w:r>
    </w:p>
    <w:p w14:paraId="6CB17DC6" w14:textId="77777777"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Soils exhibit finite capacity for carbon storage, reaching new equilibria after 20-50 years of improved management. Saturation levels depend on clay content, climate, and management </w:t>
      </w:r>
      <w:r w:rsidRPr="007C57AA">
        <w:rPr>
          <w:rFonts w:ascii="Times New Roman" w:hAnsi="Times New Roman" w:cs="Times New Roman"/>
          <w:sz w:val="24"/>
          <w:szCs w:val="24"/>
        </w:rPr>
        <w:lastRenderedPageBreak/>
        <w:t>intensity. Fine-textured soils approach saturation at 50-80 Mg C ha⁻¹, while sandy soils saturate at 20-40 Mg C ha⁻¹. Continued carbon inputs maintain stocks but don't increase sequestration rates, limiting long-term mitigation potential.</w:t>
      </w:r>
    </w:p>
    <w:p w14:paraId="7032F343" w14:textId="5E11E362" w:rsid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 xml:space="preserve">Figure </w:t>
      </w:r>
      <w:r w:rsidR="008053C7">
        <w:rPr>
          <w:rFonts w:ascii="Times New Roman" w:hAnsi="Times New Roman" w:cs="Times New Roman"/>
          <w:b/>
          <w:bCs/>
          <w:sz w:val="24"/>
          <w:szCs w:val="24"/>
        </w:rPr>
        <w:t>8</w:t>
      </w:r>
      <w:r w:rsidRPr="007C57AA">
        <w:rPr>
          <w:rFonts w:ascii="Times New Roman" w:hAnsi="Times New Roman" w:cs="Times New Roman"/>
          <w:b/>
          <w:bCs/>
          <w:sz w:val="24"/>
          <w:szCs w:val="24"/>
        </w:rPr>
        <w:t>: Soil Carbon Saturation Curves</w:t>
      </w:r>
    </w:p>
    <w:p w14:paraId="6DAB458D" w14:textId="77777777" w:rsidR="00937CED" w:rsidRPr="007C57AA" w:rsidRDefault="00937CED" w:rsidP="00937CED">
      <w:pPr>
        <w:jc w:val="center"/>
        <w:rPr>
          <w:rFonts w:ascii="Times New Roman" w:hAnsi="Times New Roman" w:cs="Times New Roman"/>
          <w:b/>
          <w:bCs/>
          <w:sz w:val="24"/>
          <w:szCs w:val="24"/>
        </w:rPr>
      </w:pPr>
      <w:r>
        <w:rPr>
          <w:noProof/>
        </w:rPr>
        <w:drawing>
          <wp:inline distT="0" distB="0" distL="0" distR="0" wp14:anchorId="161D05E8" wp14:editId="72785365">
            <wp:extent cx="3333750" cy="2362200"/>
            <wp:effectExtent l="0" t="0" r="0" b="0"/>
            <wp:docPr id="15" name="Picture 15" descr="Soil carbon saturation: concept, evidence and evaluation | Biogeo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il carbon saturation: concept, evidence and evaluation | Biogeochemist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2362200"/>
                    </a:xfrm>
                    <a:prstGeom prst="rect">
                      <a:avLst/>
                    </a:prstGeom>
                    <a:noFill/>
                    <a:ln>
                      <a:noFill/>
                    </a:ln>
                  </pic:spPr>
                </pic:pic>
              </a:graphicData>
            </a:graphic>
          </wp:inline>
        </w:drawing>
      </w:r>
    </w:p>
    <w:p w14:paraId="5E9827EF"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Socioeconomic Barriers</w:t>
      </w:r>
    </w:p>
    <w:p w14:paraId="0E40E374" w14:textId="74546F34"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Adoption barriers include high initial costs, technical knowledge requirements, and cultural resistance to practice changes. Smallholder farmers, managing 80% of global farms, face particular </w:t>
      </w:r>
      <w:r w:rsidRPr="00096FD2">
        <w:rPr>
          <w:rFonts w:ascii="Times New Roman" w:hAnsi="Times New Roman" w:cs="Times New Roman"/>
          <w:sz w:val="24"/>
          <w:szCs w:val="24"/>
          <w:highlight w:val="yellow"/>
        </w:rPr>
        <w:t xml:space="preserve">constraints </w:t>
      </w:r>
      <w:r w:rsidR="00AC1720" w:rsidRPr="00096FD2">
        <w:rPr>
          <w:rFonts w:ascii="Times New Roman" w:hAnsi="Times New Roman" w:cs="Times New Roman"/>
          <w:sz w:val="24"/>
          <w:szCs w:val="24"/>
          <w:highlight w:val="yellow"/>
        </w:rPr>
        <w:t xml:space="preserve">in </w:t>
      </w:r>
      <w:r w:rsidRPr="00096FD2">
        <w:rPr>
          <w:rFonts w:ascii="Times New Roman" w:hAnsi="Times New Roman" w:cs="Times New Roman"/>
          <w:sz w:val="24"/>
          <w:szCs w:val="24"/>
          <w:highlight w:val="yellow"/>
        </w:rPr>
        <w:t>accessing capital</w:t>
      </w:r>
      <w:r w:rsidRPr="007C57AA">
        <w:rPr>
          <w:rFonts w:ascii="Times New Roman" w:hAnsi="Times New Roman" w:cs="Times New Roman"/>
          <w:sz w:val="24"/>
          <w:szCs w:val="24"/>
        </w:rPr>
        <w:t xml:space="preserve"> and information. Gender disparities in land tenure and decision-making authority limit women's participation despite their dominant role in </w:t>
      </w:r>
      <w:r w:rsidRPr="00096FD2">
        <w:rPr>
          <w:rFonts w:ascii="Times New Roman" w:hAnsi="Times New Roman" w:cs="Times New Roman"/>
          <w:sz w:val="24"/>
          <w:szCs w:val="24"/>
          <w:highlight w:val="yellow"/>
        </w:rPr>
        <w:t xml:space="preserve">agricultural </w:t>
      </w:r>
      <w:proofErr w:type="spellStart"/>
      <w:r w:rsidRPr="00096FD2">
        <w:rPr>
          <w:rFonts w:ascii="Times New Roman" w:hAnsi="Times New Roman" w:cs="Times New Roman"/>
          <w:sz w:val="24"/>
          <w:szCs w:val="24"/>
          <w:highlight w:val="yellow"/>
        </w:rPr>
        <w:t>labo</w:t>
      </w:r>
      <w:r w:rsidR="00927F2C" w:rsidRPr="00096FD2">
        <w:rPr>
          <w:rFonts w:ascii="Times New Roman" w:hAnsi="Times New Roman" w:cs="Times New Roman"/>
          <w:sz w:val="24"/>
          <w:szCs w:val="24"/>
          <w:highlight w:val="yellow"/>
        </w:rPr>
        <w:t>u</w:t>
      </w:r>
      <w:r w:rsidRPr="00096FD2">
        <w:rPr>
          <w:rFonts w:ascii="Times New Roman" w:hAnsi="Times New Roman" w:cs="Times New Roman"/>
          <w:sz w:val="24"/>
          <w:szCs w:val="24"/>
          <w:highlight w:val="yellow"/>
        </w:rPr>
        <w:t>r</w:t>
      </w:r>
      <w:proofErr w:type="spellEnd"/>
      <w:r w:rsidRPr="00096FD2">
        <w:rPr>
          <w:rFonts w:ascii="Times New Roman" w:hAnsi="Times New Roman" w:cs="Times New Roman"/>
          <w:sz w:val="24"/>
          <w:szCs w:val="24"/>
          <w:highlight w:val="yellow"/>
        </w:rPr>
        <w:t xml:space="preserve">. </w:t>
      </w:r>
      <w:r w:rsidRPr="007C57AA">
        <w:rPr>
          <w:rFonts w:ascii="Times New Roman" w:hAnsi="Times New Roman" w:cs="Times New Roman"/>
          <w:sz w:val="24"/>
          <w:szCs w:val="24"/>
        </w:rPr>
        <w:t xml:space="preserve">Extension services </w:t>
      </w:r>
      <w:r w:rsidRPr="00096FD2">
        <w:rPr>
          <w:rFonts w:ascii="Times New Roman" w:hAnsi="Times New Roman" w:cs="Times New Roman"/>
          <w:sz w:val="24"/>
          <w:szCs w:val="24"/>
          <w:highlight w:val="yellow"/>
        </w:rPr>
        <w:t xml:space="preserve">often lack </w:t>
      </w:r>
      <w:r w:rsidR="00927F2C" w:rsidRPr="00096FD2">
        <w:rPr>
          <w:rFonts w:ascii="Times New Roman" w:hAnsi="Times New Roman" w:cs="Times New Roman"/>
          <w:sz w:val="24"/>
          <w:szCs w:val="24"/>
          <w:highlight w:val="yellow"/>
        </w:rPr>
        <w:t xml:space="preserve">the </w:t>
      </w:r>
      <w:r w:rsidRPr="00096FD2">
        <w:rPr>
          <w:rFonts w:ascii="Times New Roman" w:hAnsi="Times New Roman" w:cs="Times New Roman"/>
          <w:sz w:val="24"/>
          <w:szCs w:val="24"/>
          <w:highlight w:val="yellow"/>
        </w:rPr>
        <w:t xml:space="preserve">capacity </w:t>
      </w:r>
      <w:r w:rsidRPr="007C57AA">
        <w:rPr>
          <w:rFonts w:ascii="Times New Roman" w:hAnsi="Times New Roman" w:cs="Times New Roman"/>
          <w:sz w:val="24"/>
          <w:szCs w:val="24"/>
        </w:rPr>
        <w:t>to support soil carbon management, requiring substantial investment in training and infrastructure.</w:t>
      </w:r>
    </w:p>
    <w:p w14:paraId="6A6294A2"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Table 7: Barriers to Soil Carbon Sequestration Adoption</w:t>
      </w:r>
    </w:p>
    <w:tbl>
      <w:tblPr>
        <w:tblStyle w:val="TableGrid"/>
        <w:tblW w:w="0" w:type="auto"/>
        <w:tblLook w:val="04A0" w:firstRow="1" w:lastRow="0" w:firstColumn="1" w:lastColumn="0" w:noHBand="0" w:noVBand="1"/>
      </w:tblPr>
      <w:tblGrid>
        <w:gridCol w:w="1350"/>
        <w:gridCol w:w="1624"/>
        <w:gridCol w:w="1216"/>
        <w:gridCol w:w="1543"/>
        <w:gridCol w:w="1684"/>
        <w:gridCol w:w="1933"/>
      </w:tblGrid>
      <w:tr w:rsidR="003C38D6" w:rsidRPr="007C57AA" w14:paraId="79F7BF23" w14:textId="77777777" w:rsidTr="00937CED">
        <w:tc>
          <w:tcPr>
            <w:tcW w:w="0" w:type="auto"/>
            <w:hideMark/>
          </w:tcPr>
          <w:p w14:paraId="62ECED3B" w14:textId="77777777" w:rsidR="003C38D6" w:rsidRPr="007C57AA" w:rsidRDefault="003C38D6"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Barrier Type</w:t>
            </w:r>
          </w:p>
        </w:tc>
        <w:tc>
          <w:tcPr>
            <w:tcW w:w="0" w:type="auto"/>
            <w:hideMark/>
          </w:tcPr>
          <w:p w14:paraId="3655DD3B" w14:textId="77777777" w:rsidR="003C38D6" w:rsidRPr="007C57AA" w:rsidRDefault="003C38D6"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Affected Stakeholders</w:t>
            </w:r>
          </w:p>
        </w:tc>
        <w:tc>
          <w:tcPr>
            <w:tcW w:w="0" w:type="auto"/>
            <w:hideMark/>
          </w:tcPr>
          <w:p w14:paraId="1714F063" w14:textId="77777777" w:rsidR="003C38D6" w:rsidRPr="007C57AA" w:rsidRDefault="003C38D6"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Severity</w:t>
            </w:r>
          </w:p>
        </w:tc>
        <w:tc>
          <w:tcPr>
            <w:tcW w:w="0" w:type="auto"/>
            <w:hideMark/>
          </w:tcPr>
          <w:p w14:paraId="1956B22D" w14:textId="77777777" w:rsidR="003C38D6" w:rsidRPr="007C57AA" w:rsidRDefault="003C38D6"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Geographic Variation</w:t>
            </w:r>
          </w:p>
        </w:tc>
        <w:tc>
          <w:tcPr>
            <w:tcW w:w="0" w:type="auto"/>
            <w:hideMark/>
          </w:tcPr>
          <w:p w14:paraId="2DFE2245" w14:textId="77777777" w:rsidR="003C38D6" w:rsidRPr="007C57AA" w:rsidRDefault="003C38D6"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Potential Solutions</w:t>
            </w:r>
          </w:p>
        </w:tc>
        <w:tc>
          <w:tcPr>
            <w:tcW w:w="0" w:type="auto"/>
            <w:hideMark/>
          </w:tcPr>
          <w:p w14:paraId="09757435" w14:textId="77777777" w:rsidR="003C38D6" w:rsidRPr="007C57AA" w:rsidRDefault="003C38D6" w:rsidP="007C57AA">
            <w:pPr>
              <w:spacing w:after="160" w:line="259" w:lineRule="auto"/>
              <w:jc w:val="both"/>
              <w:rPr>
                <w:rFonts w:ascii="Times New Roman" w:hAnsi="Times New Roman" w:cs="Times New Roman"/>
                <w:b/>
                <w:bCs/>
                <w:sz w:val="24"/>
                <w:szCs w:val="24"/>
              </w:rPr>
            </w:pPr>
            <w:r w:rsidRPr="007C57AA">
              <w:rPr>
                <w:rFonts w:ascii="Times New Roman" w:hAnsi="Times New Roman" w:cs="Times New Roman"/>
                <w:b/>
                <w:bCs/>
                <w:sz w:val="24"/>
                <w:szCs w:val="24"/>
              </w:rPr>
              <w:t>Implementation Timeline</w:t>
            </w:r>
          </w:p>
        </w:tc>
      </w:tr>
      <w:tr w:rsidR="003C38D6" w:rsidRPr="007C57AA" w14:paraId="2BAB697A" w14:textId="77777777" w:rsidTr="00937CED">
        <w:tc>
          <w:tcPr>
            <w:tcW w:w="0" w:type="auto"/>
            <w:hideMark/>
          </w:tcPr>
          <w:p w14:paraId="306C9029"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Economic costs</w:t>
            </w:r>
          </w:p>
        </w:tc>
        <w:tc>
          <w:tcPr>
            <w:tcW w:w="0" w:type="auto"/>
            <w:hideMark/>
          </w:tcPr>
          <w:p w14:paraId="4FE344D8"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Smallholder farmers</w:t>
            </w:r>
          </w:p>
        </w:tc>
        <w:tc>
          <w:tcPr>
            <w:tcW w:w="0" w:type="auto"/>
            <w:hideMark/>
          </w:tcPr>
          <w:p w14:paraId="5CD4E50A"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w:t>
            </w:r>
          </w:p>
        </w:tc>
        <w:tc>
          <w:tcPr>
            <w:tcW w:w="0" w:type="auto"/>
            <w:hideMark/>
          </w:tcPr>
          <w:p w14:paraId="6E6390EA"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Higher in developing nations</w:t>
            </w:r>
          </w:p>
        </w:tc>
        <w:tc>
          <w:tcPr>
            <w:tcW w:w="0" w:type="auto"/>
            <w:hideMark/>
          </w:tcPr>
          <w:p w14:paraId="7CBB4A81"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Subsidies, carbon credits</w:t>
            </w:r>
          </w:p>
        </w:tc>
        <w:tc>
          <w:tcPr>
            <w:tcW w:w="0" w:type="auto"/>
            <w:hideMark/>
          </w:tcPr>
          <w:p w14:paraId="38262D7A"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2-5 years</w:t>
            </w:r>
          </w:p>
        </w:tc>
      </w:tr>
      <w:tr w:rsidR="003C38D6" w:rsidRPr="007C57AA" w14:paraId="4D1544A8" w14:textId="77777777" w:rsidTr="00937CED">
        <w:tc>
          <w:tcPr>
            <w:tcW w:w="0" w:type="auto"/>
            <w:hideMark/>
          </w:tcPr>
          <w:p w14:paraId="69FA4416"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Technical knowledge</w:t>
            </w:r>
          </w:p>
        </w:tc>
        <w:tc>
          <w:tcPr>
            <w:tcW w:w="0" w:type="auto"/>
            <w:hideMark/>
          </w:tcPr>
          <w:p w14:paraId="4112E6DE"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All farmers</w:t>
            </w:r>
          </w:p>
        </w:tc>
        <w:tc>
          <w:tcPr>
            <w:tcW w:w="0" w:type="auto"/>
            <w:hideMark/>
          </w:tcPr>
          <w:p w14:paraId="0D2FBB8D"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c>
          <w:tcPr>
            <w:tcW w:w="0" w:type="auto"/>
            <w:hideMark/>
          </w:tcPr>
          <w:p w14:paraId="7B3ACF16"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Variable</w:t>
            </w:r>
          </w:p>
        </w:tc>
        <w:tc>
          <w:tcPr>
            <w:tcW w:w="0" w:type="auto"/>
            <w:hideMark/>
          </w:tcPr>
          <w:p w14:paraId="1A27680B"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Extension services</w:t>
            </w:r>
          </w:p>
        </w:tc>
        <w:tc>
          <w:tcPr>
            <w:tcW w:w="0" w:type="auto"/>
            <w:hideMark/>
          </w:tcPr>
          <w:p w14:paraId="74CF3AF2"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1-3 years</w:t>
            </w:r>
          </w:p>
        </w:tc>
      </w:tr>
      <w:tr w:rsidR="003C38D6" w:rsidRPr="007C57AA" w14:paraId="44289D18" w14:textId="77777777" w:rsidTr="00937CED">
        <w:tc>
          <w:tcPr>
            <w:tcW w:w="0" w:type="auto"/>
            <w:hideMark/>
          </w:tcPr>
          <w:p w14:paraId="43F7CCDA"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Land tenure</w:t>
            </w:r>
          </w:p>
        </w:tc>
        <w:tc>
          <w:tcPr>
            <w:tcW w:w="0" w:type="auto"/>
            <w:hideMark/>
          </w:tcPr>
          <w:p w14:paraId="147AAFA6"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Tenant farmers</w:t>
            </w:r>
          </w:p>
        </w:tc>
        <w:tc>
          <w:tcPr>
            <w:tcW w:w="0" w:type="auto"/>
            <w:hideMark/>
          </w:tcPr>
          <w:p w14:paraId="41B12EB9"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Very high</w:t>
            </w:r>
          </w:p>
        </w:tc>
        <w:tc>
          <w:tcPr>
            <w:tcW w:w="0" w:type="auto"/>
            <w:hideMark/>
          </w:tcPr>
          <w:p w14:paraId="455A4A9F"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Critical in Asia, Africa</w:t>
            </w:r>
          </w:p>
        </w:tc>
        <w:tc>
          <w:tcPr>
            <w:tcW w:w="0" w:type="auto"/>
            <w:hideMark/>
          </w:tcPr>
          <w:p w14:paraId="33ED8051"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Policy reform</w:t>
            </w:r>
          </w:p>
        </w:tc>
        <w:tc>
          <w:tcPr>
            <w:tcW w:w="0" w:type="auto"/>
            <w:hideMark/>
          </w:tcPr>
          <w:p w14:paraId="39607300"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5-10 years</w:t>
            </w:r>
          </w:p>
        </w:tc>
      </w:tr>
      <w:tr w:rsidR="003C38D6" w:rsidRPr="007C57AA" w14:paraId="6AC8F9D2" w14:textId="77777777" w:rsidTr="00937CED">
        <w:tc>
          <w:tcPr>
            <w:tcW w:w="0" w:type="auto"/>
            <w:hideMark/>
          </w:tcPr>
          <w:p w14:paraId="651F703E"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Market access</w:t>
            </w:r>
          </w:p>
        </w:tc>
        <w:tc>
          <w:tcPr>
            <w:tcW w:w="0" w:type="auto"/>
            <w:hideMark/>
          </w:tcPr>
          <w:p w14:paraId="0221E227"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Remote communities</w:t>
            </w:r>
          </w:p>
        </w:tc>
        <w:tc>
          <w:tcPr>
            <w:tcW w:w="0" w:type="auto"/>
            <w:hideMark/>
          </w:tcPr>
          <w:p w14:paraId="68EDADA9"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w:t>
            </w:r>
          </w:p>
        </w:tc>
        <w:tc>
          <w:tcPr>
            <w:tcW w:w="0" w:type="auto"/>
            <w:hideMark/>
          </w:tcPr>
          <w:p w14:paraId="012C0EC8"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Severe in isolated regions</w:t>
            </w:r>
          </w:p>
        </w:tc>
        <w:tc>
          <w:tcPr>
            <w:tcW w:w="0" w:type="auto"/>
            <w:hideMark/>
          </w:tcPr>
          <w:p w14:paraId="123FC5BB"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Infrastructure, cooperatives</w:t>
            </w:r>
          </w:p>
        </w:tc>
        <w:tc>
          <w:tcPr>
            <w:tcW w:w="0" w:type="auto"/>
            <w:hideMark/>
          </w:tcPr>
          <w:p w14:paraId="33915DD1"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3-7 years</w:t>
            </w:r>
          </w:p>
        </w:tc>
      </w:tr>
      <w:tr w:rsidR="003C38D6" w:rsidRPr="007C57AA" w14:paraId="03134103" w14:textId="77777777" w:rsidTr="00937CED">
        <w:tc>
          <w:tcPr>
            <w:tcW w:w="0" w:type="auto"/>
            <w:hideMark/>
          </w:tcPr>
          <w:p w14:paraId="3B24DC25"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lastRenderedPageBreak/>
              <w:t>Cultural practices</w:t>
            </w:r>
          </w:p>
        </w:tc>
        <w:tc>
          <w:tcPr>
            <w:tcW w:w="0" w:type="auto"/>
            <w:hideMark/>
          </w:tcPr>
          <w:p w14:paraId="101E5A6D"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Traditional farmers</w:t>
            </w:r>
          </w:p>
        </w:tc>
        <w:tc>
          <w:tcPr>
            <w:tcW w:w="0" w:type="auto"/>
            <w:hideMark/>
          </w:tcPr>
          <w:p w14:paraId="777FB90C"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Medium</w:t>
            </w:r>
          </w:p>
        </w:tc>
        <w:tc>
          <w:tcPr>
            <w:tcW w:w="0" w:type="auto"/>
            <w:hideMark/>
          </w:tcPr>
          <w:p w14:paraId="79EAFD10"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Strong in indigenous areas</w:t>
            </w:r>
          </w:p>
        </w:tc>
        <w:tc>
          <w:tcPr>
            <w:tcW w:w="0" w:type="auto"/>
            <w:hideMark/>
          </w:tcPr>
          <w:p w14:paraId="46FB4AD2"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Participatory approaches</w:t>
            </w:r>
          </w:p>
        </w:tc>
        <w:tc>
          <w:tcPr>
            <w:tcW w:w="0" w:type="auto"/>
            <w:hideMark/>
          </w:tcPr>
          <w:p w14:paraId="31722571"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2-4 years</w:t>
            </w:r>
          </w:p>
        </w:tc>
      </w:tr>
      <w:tr w:rsidR="003C38D6" w:rsidRPr="007C57AA" w14:paraId="7DBBD654" w14:textId="77777777" w:rsidTr="00937CED">
        <w:tc>
          <w:tcPr>
            <w:tcW w:w="0" w:type="auto"/>
            <w:hideMark/>
          </w:tcPr>
          <w:p w14:paraId="14B1C538"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Policy support</w:t>
            </w:r>
          </w:p>
        </w:tc>
        <w:tc>
          <w:tcPr>
            <w:tcW w:w="0" w:type="auto"/>
            <w:hideMark/>
          </w:tcPr>
          <w:p w14:paraId="02E7A082"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Large-scale farmers</w:t>
            </w:r>
          </w:p>
        </w:tc>
        <w:tc>
          <w:tcPr>
            <w:tcW w:w="0" w:type="auto"/>
            <w:hideMark/>
          </w:tcPr>
          <w:p w14:paraId="0B055753"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Low</w:t>
            </w:r>
          </w:p>
        </w:tc>
        <w:tc>
          <w:tcPr>
            <w:tcW w:w="0" w:type="auto"/>
            <w:hideMark/>
          </w:tcPr>
          <w:p w14:paraId="66F3B231"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Limited in some regions</w:t>
            </w:r>
          </w:p>
        </w:tc>
        <w:tc>
          <w:tcPr>
            <w:tcW w:w="0" w:type="auto"/>
            <w:hideMark/>
          </w:tcPr>
          <w:p w14:paraId="2E07E4A0"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Advocacy, lobbying</w:t>
            </w:r>
          </w:p>
        </w:tc>
        <w:tc>
          <w:tcPr>
            <w:tcW w:w="0" w:type="auto"/>
            <w:hideMark/>
          </w:tcPr>
          <w:p w14:paraId="7FDA88B7"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1-2 years</w:t>
            </w:r>
          </w:p>
        </w:tc>
      </w:tr>
      <w:tr w:rsidR="003C38D6" w:rsidRPr="007C57AA" w14:paraId="364E8035" w14:textId="77777777" w:rsidTr="00937CED">
        <w:tc>
          <w:tcPr>
            <w:tcW w:w="0" w:type="auto"/>
            <w:hideMark/>
          </w:tcPr>
          <w:p w14:paraId="2A1A4C7A"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Climate risks</w:t>
            </w:r>
          </w:p>
        </w:tc>
        <w:tc>
          <w:tcPr>
            <w:tcW w:w="0" w:type="auto"/>
            <w:hideMark/>
          </w:tcPr>
          <w:p w14:paraId="4DF4B6D1"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All farmers</w:t>
            </w:r>
          </w:p>
        </w:tc>
        <w:tc>
          <w:tcPr>
            <w:tcW w:w="0" w:type="auto"/>
            <w:hideMark/>
          </w:tcPr>
          <w:p w14:paraId="4016493E"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Increasing</w:t>
            </w:r>
          </w:p>
        </w:tc>
        <w:tc>
          <w:tcPr>
            <w:tcW w:w="0" w:type="auto"/>
            <w:hideMark/>
          </w:tcPr>
          <w:p w14:paraId="320496C8"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Higher in vulnerable zones</w:t>
            </w:r>
          </w:p>
        </w:tc>
        <w:tc>
          <w:tcPr>
            <w:tcW w:w="0" w:type="auto"/>
            <w:hideMark/>
          </w:tcPr>
          <w:p w14:paraId="75194687"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Insurance, adaptation</w:t>
            </w:r>
          </w:p>
        </w:tc>
        <w:tc>
          <w:tcPr>
            <w:tcW w:w="0" w:type="auto"/>
            <w:hideMark/>
          </w:tcPr>
          <w:p w14:paraId="65B39B02" w14:textId="77777777" w:rsidR="003C38D6" w:rsidRPr="007C57AA" w:rsidRDefault="003C38D6" w:rsidP="007C57AA">
            <w:pPr>
              <w:spacing w:after="160" w:line="259" w:lineRule="auto"/>
              <w:jc w:val="both"/>
              <w:rPr>
                <w:rFonts w:ascii="Times New Roman" w:hAnsi="Times New Roman" w:cs="Times New Roman"/>
                <w:sz w:val="24"/>
                <w:szCs w:val="24"/>
              </w:rPr>
            </w:pPr>
            <w:r w:rsidRPr="007C57AA">
              <w:rPr>
                <w:rFonts w:ascii="Times New Roman" w:hAnsi="Times New Roman" w:cs="Times New Roman"/>
                <w:sz w:val="24"/>
                <w:szCs w:val="24"/>
              </w:rPr>
              <w:t>Ongoing</w:t>
            </w:r>
          </w:p>
        </w:tc>
      </w:tr>
    </w:tbl>
    <w:p w14:paraId="7C993AFB" w14:textId="6F4D07B5" w:rsidR="00937CED"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 xml:space="preserve">Figure </w:t>
      </w:r>
      <w:r w:rsidR="00305CC3">
        <w:rPr>
          <w:rFonts w:ascii="Times New Roman" w:hAnsi="Times New Roman" w:cs="Times New Roman"/>
          <w:b/>
          <w:bCs/>
          <w:sz w:val="24"/>
          <w:szCs w:val="24"/>
        </w:rPr>
        <w:t>9</w:t>
      </w:r>
      <w:r w:rsidRPr="007C57AA">
        <w:rPr>
          <w:rFonts w:ascii="Times New Roman" w:hAnsi="Times New Roman" w:cs="Times New Roman"/>
          <w:b/>
          <w:bCs/>
          <w:sz w:val="24"/>
          <w:szCs w:val="24"/>
        </w:rPr>
        <w:t>: Adoption Barriers and Solutions</w:t>
      </w:r>
    </w:p>
    <w:p w14:paraId="1D78A533" w14:textId="77777777" w:rsidR="00937CED" w:rsidRPr="007C57AA" w:rsidRDefault="00937CED" w:rsidP="00937CED">
      <w:pPr>
        <w:jc w:val="center"/>
        <w:rPr>
          <w:rFonts w:ascii="Times New Roman" w:hAnsi="Times New Roman" w:cs="Times New Roman"/>
          <w:b/>
          <w:bCs/>
          <w:sz w:val="24"/>
          <w:szCs w:val="24"/>
        </w:rPr>
      </w:pPr>
      <w:r>
        <w:rPr>
          <w:noProof/>
        </w:rPr>
        <w:drawing>
          <wp:inline distT="0" distB="0" distL="0" distR="0" wp14:anchorId="0D2439CA" wp14:editId="41C9A3AB">
            <wp:extent cx="4552950" cy="1905000"/>
            <wp:effectExtent l="0" t="0" r="0" b="0"/>
            <wp:docPr id="13" name="Picture 13" descr="EV adoption in India: barriers and policy solutions from manufacturers' and  consumers' perspective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V adoption in India: barriers and policy solutions from manufacturers' and  consumers' perspectives - ScienceDi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2950" cy="1905000"/>
                    </a:xfrm>
                    <a:prstGeom prst="rect">
                      <a:avLst/>
                    </a:prstGeom>
                    <a:noFill/>
                    <a:ln>
                      <a:noFill/>
                    </a:ln>
                  </pic:spPr>
                </pic:pic>
              </a:graphicData>
            </a:graphic>
          </wp:inline>
        </w:drawing>
      </w:r>
    </w:p>
    <w:p w14:paraId="38664C4D"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Future Perspectives and Research Priorities</w:t>
      </w:r>
    </w:p>
    <w:p w14:paraId="4789F758"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Emerging Technologies</w:t>
      </w:r>
    </w:p>
    <w:p w14:paraId="12E2CEDA" w14:textId="649A7210"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Artificial intelligence and Internet of Things (IoT) technologies </w:t>
      </w:r>
      <w:r w:rsidRPr="00096FD2">
        <w:rPr>
          <w:rFonts w:ascii="Times New Roman" w:hAnsi="Times New Roman" w:cs="Times New Roman"/>
          <w:sz w:val="24"/>
          <w:szCs w:val="24"/>
          <w:highlight w:val="yellow"/>
        </w:rPr>
        <w:t xml:space="preserve">promise to </w:t>
      </w:r>
      <w:proofErr w:type="spellStart"/>
      <w:r w:rsidR="00313AE8" w:rsidRPr="00096FD2">
        <w:rPr>
          <w:rFonts w:ascii="Times New Roman" w:hAnsi="Times New Roman" w:cs="Times New Roman"/>
          <w:sz w:val="24"/>
          <w:szCs w:val="24"/>
          <w:highlight w:val="yellow"/>
        </w:rPr>
        <w:t>revolutionise</w:t>
      </w:r>
      <w:proofErr w:type="spellEnd"/>
      <w:r w:rsidR="00313AE8"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soil</w:t>
      </w:r>
      <w:r w:rsidRPr="007C57AA">
        <w:rPr>
          <w:rFonts w:ascii="Times New Roman" w:hAnsi="Times New Roman" w:cs="Times New Roman"/>
          <w:sz w:val="24"/>
          <w:szCs w:val="24"/>
        </w:rPr>
        <w:t xml:space="preserve"> carbon management. Smart sensors continuously monitor soil conditions, enabling precision interventions. Gene editing techniques develop crops with enhanced root biomass and exudate production. Microbial inoculants </w:t>
      </w:r>
      <w:r w:rsidRPr="00096FD2">
        <w:rPr>
          <w:rFonts w:ascii="Times New Roman" w:hAnsi="Times New Roman" w:cs="Times New Roman"/>
          <w:sz w:val="24"/>
          <w:szCs w:val="24"/>
          <w:highlight w:val="yellow"/>
        </w:rPr>
        <w:t xml:space="preserve">engineered for carbon </w:t>
      </w:r>
      <w:proofErr w:type="spellStart"/>
      <w:r w:rsidR="00313AE8" w:rsidRPr="00096FD2">
        <w:rPr>
          <w:rFonts w:ascii="Times New Roman" w:hAnsi="Times New Roman" w:cs="Times New Roman"/>
          <w:sz w:val="24"/>
          <w:szCs w:val="24"/>
          <w:highlight w:val="yellow"/>
        </w:rPr>
        <w:t>stabilisation</w:t>
      </w:r>
      <w:proofErr w:type="spellEnd"/>
      <w:r w:rsidR="00313AE8"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show early</w:t>
      </w:r>
      <w:r w:rsidRPr="007C57AA">
        <w:rPr>
          <w:rFonts w:ascii="Times New Roman" w:hAnsi="Times New Roman" w:cs="Times New Roman"/>
          <w:sz w:val="24"/>
          <w:szCs w:val="24"/>
        </w:rPr>
        <w:t xml:space="preserve"> promise. Blockchain-based measurement, reporting, and verification systems reduce transaction costs while ensuring transparency.</w:t>
      </w:r>
    </w:p>
    <w:p w14:paraId="2226398B"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Integrated Landscape Approaches</w:t>
      </w:r>
    </w:p>
    <w:p w14:paraId="2F7A53C0" w14:textId="52186DA3"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Future </w:t>
      </w:r>
      <w:r w:rsidRPr="00096FD2">
        <w:rPr>
          <w:rFonts w:ascii="Times New Roman" w:hAnsi="Times New Roman" w:cs="Times New Roman"/>
          <w:sz w:val="24"/>
          <w:szCs w:val="24"/>
          <w:highlight w:val="yellow"/>
        </w:rPr>
        <w:t xml:space="preserve">strategies </w:t>
      </w:r>
      <w:proofErr w:type="spellStart"/>
      <w:r w:rsidR="00C77068" w:rsidRPr="00096FD2">
        <w:rPr>
          <w:rFonts w:ascii="Times New Roman" w:hAnsi="Times New Roman" w:cs="Times New Roman"/>
          <w:sz w:val="24"/>
          <w:szCs w:val="24"/>
          <w:highlight w:val="yellow"/>
        </w:rPr>
        <w:t>emphasise</w:t>
      </w:r>
      <w:proofErr w:type="spellEnd"/>
      <w:r w:rsidR="00C77068"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 xml:space="preserve">landscape-scale management </w:t>
      </w:r>
      <w:proofErr w:type="spellStart"/>
      <w:r w:rsidR="00C77068" w:rsidRPr="00096FD2">
        <w:rPr>
          <w:rFonts w:ascii="Times New Roman" w:hAnsi="Times New Roman" w:cs="Times New Roman"/>
          <w:sz w:val="24"/>
          <w:szCs w:val="24"/>
          <w:highlight w:val="yellow"/>
        </w:rPr>
        <w:t>recognising</w:t>
      </w:r>
      <w:proofErr w:type="spellEnd"/>
      <w:r w:rsidR="00C77068" w:rsidRPr="007C57AA">
        <w:rPr>
          <w:rFonts w:ascii="Times New Roman" w:hAnsi="Times New Roman" w:cs="Times New Roman"/>
          <w:sz w:val="24"/>
          <w:szCs w:val="24"/>
        </w:rPr>
        <w:t xml:space="preserve"> </w:t>
      </w:r>
      <w:r w:rsidRPr="007C57AA">
        <w:rPr>
          <w:rFonts w:ascii="Times New Roman" w:hAnsi="Times New Roman" w:cs="Times New Roman"/>
          <w:sz w:val="24"/>
          <w:szCs w:val="24"/>
        </w:rPr>
        <w:t xml:space="preserve">interconnections between agricultural lands, forests, wetlands, and urban areas. Watershed-based </w:t>
      </w:r>
      <w:r w:rsidRPr="00096FD2">
        <w:rPr>
          <w:rFonts w:ascii="Times New Roman" w:hAnsi="Times New Roman" w:cs="Times New Roman"/>
          <w:sz w:val="24"/>
          <w:szCs w:val="24"/>
          <w:highlight w:val="yellow"/>
        </w:rPr>
        <w:t xml:space="preserve">planning </w:t>
      </w:r>
      <w:proofErr w:type="spellStart"/>
      <w:r w:rsidR="00C77068" w:rsidRPr="00096FD2">
        <w:rPr>
          <w:rFonts w:ascii="Times New Roman" w:hAnsi="Times New Roman" w:cs="Times New Roman"/>
          <w:sz w:val="24"/>
          <w:szCs w:val="24"/>
          <w:highlight w:val="yellow"/>
        </w:rPr>
        <w:t>optimises</w:t>
      </w:r>
      <w:proofErr w:type="spellEnd"/>
      <w:r w:rsidR="00C77068"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carbon</w:t>
      </w:r>
      <w:r w:rsidRPr="007C57AA">
        <w:rPr>
          <w:rFonts w:ascii="Times New Roman" w:hAnsi="Times New Roman" w:cs="Times New Roman"/>
          <w:sz w:val="24"/>
          <w:szCs w:val="24"/>
        </w:rPr>
        <w:t xml:space="preserve"> sequestration while managing water resources and biodiversity. Circular economy principles integrate urban organic waste into agricultural carbon cycles. Climate-smart agriculture bundles adaptation and mitigation practices, building resilience while sequestering carbon.</w:t>
      </w:r>
    </w:p>
    <w:p w14:paraId="02EBC6D1"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Research Priorities</w:t>
      </w:r>
    </w:p>
    <w:p w14:paraId="2A370024" w14:textId="3ACE78F1" w:rsidR="007C57AA" w:rsidRP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Critical knowledge gaps require targeted research investment. Understanding deep soil carbon dynamics below 30 cm remains limited despite representing 50-70% of total stocks. Microbial mechanisms governing </w:t>
      </w:r>
      <w:r w:rsidRPr="00096FD2">
        <w:rPr>
          <w:rFonts w:ascii="Times New Roman" w:hAnsi="Times New Roman" w:cs="Times New Roman"/>
          <w:sz w:val="24"/>
          <w:szCs w:val="24"/>
          <w:highlight w:val="yellow"/>
        </w:rPr>
        <w:t xml:space="preserve">carbon </w:t>
      </w:r>
      <w:proofErr w:type="spellStart"/>
      <w:r w:rsidR="00E85672" w:rsidRPr="00096FD2">
        <w:rPr>
          <w:rFonts w:ascii="Times New Roman" w:hAnsi="Times New Roman" w:cs="Times New Roman"/>
          <w:sz w:val="24"/>
          <w:szCs w:val="24"/>
          <w:highlight w:val="yellow"/>
        </w:rPr>
        <w:t>stabilisation</w:t>
      </w:r>
      <w:proofErr w:type="spellEnd"/>
      <w:r w:rsidR="00E85672"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 xml:space="preserve">need elucidation to </w:t>
      </w:r>
      <w:proofErr w:type="spellStart"/>
      <w:r w:rsidR="00E85672" w:rsidRPr="007C57AA">
        <w:rPr>
          <w:rFonts w:ascii="Times New Roman" w:hAnsi="Times New Roman" w:cs="Times New Roman"/>
          <w:sz w:val="24"/>
          <w:szCs w:val="24"/>
        </w:rPr>
        <w:t>optimi</w:t>
      </w:r>
      <w:r w:rsidR="00E85672">
        <w:rPr>
          <w:rFonts w:ascii="Times New Roman" w:hAnsi="Times New Roman" w:cs="Times New Roman"/>
          <w:sz w:val="24"/>
          <w:szCs w:val="24"/>
        </w:rPr>
        <w:t>s</w:t>
      </w:r>
      <w:r w:rsidR="00E85672" w:rsidRPr="007C57AA">
        <w:rPr>
          <w:rFonts w:ascii="Times New Roman" w:hAnsi="Times New Roman" w:cs="Times New Roman"/>
          <w:sz w:val="24"/>
          <w:szCs w:val="24"/>
        </w:rPr>
        <w:t>e</w:t>
      </w:r>
      <w:proofErr w:type="spellEnd"/>
      <w:r w:rsidR="00E85672" w:rsidRPr="007C57AA">
        <w:rPr>
          <w:rFonts w:ascii="Times New Roman" w:hAnsi="Times New Roman" w:cs="Times New Roman"/>
          <w:sz w:val="24"/>
          <w:szCs w:val="24"/>
        </w:rPr>
        <w:t xml:space="preserve"> </w:t>
      </w:r>
      <w:r w:rsidRPr="007C57AA">
        <w:rPr>
          <w:rFonts w:ascii="Times New Roman" w:hAnsi="Times New Roman" w:cs="Times New Roman"/>
          <w:sz w:val="24"/>
          <w:szCs w:val="24"/>
        </w:rPr>
        <w:t xml:space="preserve">management. Developing </w:t>
      </w:r>
      <w:r w:rsidRPr="007C57AA">
        <w:rPr>
          <w:rFonts w:ascii="Times New Roman" w:hAnsi="Times New Roman" w:cs="Times New Roman"/>
          <w:sz w:val="24"/>
          <w:szCs w:val="24"/>
        </w:rPr>
        <w:lastRenderedPageBreak/>
        <w:t xml:space="preserve">region-specific sequestration factors improves carbon credit accuracy. Social science </w:t>
      </w:r>
      <w:r w:rsidRPr="00096FD2">
        <w:rPr>
          <w:rFonts w:ascii="Times New Roman" w:hAnsi="Times New Roman" w:cs="Times New Roman"/>
          <w:sz w:val="24"/>
          <w:szCs w:val="24"/>
          <w:highlight w:val="yellow"/>
        </w:rPr>
        <w:t xml:space="preserve">research on adoption </w:t>
      </w:r>
      <w:proofErr w:type="spellStart"/>
      <w:r w:rsidRPr="00096FD2">
        <w:rPr>
          <w:rFonts w:ascii="Times New Roman" w:hAnsi="Times New Roman" w:cs="Times New Roman"/>
          <w:sz w:val="24"/>
          <w:szCs w:val="24"/>
          <w:highlight w:val="yellow"/>
        </w:rPr>
        <w:t>behavio</w:t>
      </w:r>
      <w:r w:rsidR="00E85672" w:rsidRPr="00096FD2">
        <w:rPr>
          <w:rFonts w:ascii="Times New Roman" w:hAnsi="Times New Roman" w:cs="Times New Roman"/>
          <w:sz w:val="24"/>
          <w:szCs w:val="24"/>
          <w:highlight w:val="yellow"/>
        </w:rPr>
        <w:t>u</w:t>
      </w:r>
      <w:r w:rsidRPr="00096FD2">
        <w:rPr>
          <w:rFonts w:ascii="Times New Roman" w:hAnsi="Times New Roman" w:cs="Times New Roman"/>
          <w:sz w:val="24"/>
          <w:szCs w:val="24"/>
          <w:highlight w:val="yellow"/>
        </w:rPr>
        <w:t>rs</w:t>
      </w:r>
      <w:proofErr w:type="spellEnd"/>
      <w:r w:rsidRPr="00096FD2">
        <w:rPr>
          <w:rFonts w:ascii="Times New Roman" w:hAnsi="Times New Roman" w:cs="Times New Roman"/>
          <w:sz w:val="24"/>
          <w:szCs w:val="24"/>
          <w:highlight w:val="yellow"/>
        </w:rPr>
        <w:t xml:space="preserve"> and policy</w:t>
      </w:r>
      <w:r w:rsidRPr="007C57AA">
        <w:rPr>
          <w:rFonts w:ascii="Times New Roman" w:hAnsi="Times New Roman" w:cs="Times New Roman"/>
          <w:sz w:val="24"/>
          <w:szCs w:val="24"/>
        </w:rPr>
        <w:t xml:space="preserve"> effectiveness guides implementation strategies. Long-term experiments tracking carbon permanence under climate change provide essential data for model validation.</w:t>
      </w:r>
    </w:p>
    <w:p w14:paraId="1B0D321C" w14:textId="1E028B0C" w:rsid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 xml:space="preserve">Figure </w:t>
      </w:r>
      <w:r w:rsidR="00FD506C">
        <w:rPr>
          <w:rFonts w:ascii="Times New Roman" w:hAnsi="Times New Roman" w:cs="Times New Roman"/>
          <w:b/>
          <w:bCs/>
          <w:sz w:val="24"/>
          <w:szCs w:val="24"/>
        </w:rPr>
        <w:t>10</w:t>
      </w:r>
      <w:r w:rsidRPr="007C57AA">
        <w:rPr>
          <w:rFonts w:ascii="Times New Roman" w:hAnsi="Times New Roman" w:cs="Times New Roman"/>
          <w:b/>
          <w:bCs/>
          <w:sz w:val="24"/>
          <w:szCs w:val="24"/>
        </w:rPr>
        <w:t>: Future Research Framework</w:t>
      </w:r>
    </w:p>
    <w:p w14:paraId="64481C29" w14:textId="77777777" w:rsidR="00937CED" w:rsidRPr="007C57AA" w:rsidRDefault="00937CED" w:rsidP="00937CED">
      <w:pPr>
        <w:jc w:val="center"/>
        <w:rPr>
          <w:rFonts w:ascii="Times New Roman" w:hAnsi="Times New Roman" w:cs="Times New Roman"/>
          <w:b/>
          <w:bCs/>
          <w:sz w:val="24"/>
          <w:szCs w:val="24"/>
        </w:rPr>
      </w:pPr>
      <w:r>
        <w:rPr>
          <w:noProof/>
        </w:rPr>
        <w:drawing>
          <wp:inline distT="0" distB="0" distL="0" distR="0" wp14:anchorId="6F98B42E" wp14:editId="5045397A">
            <wp:extent cx="5750871" cy="2619375"/>
            <wp:effectExtent l="0" t="0" r="2540" b="0"/>
            <wp:docPr id="10" name="Picture 10" descr="Towards a comprehensive analytical framework and future research agenda for  research on sharing economy business models: thematic analyses approach |  Information Systems and e-Business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wards a comprehensive analytical framework and future research agenda for  research on sharing economy business models: thematic analyses approach |  Information Systems and e-Business Manag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5603" cy="2621530"/>
                    </a:xfrm>
                    <a:prstGeom prst="rect">
                      <a:avLst/>
                    </a:prstGeom>
                    <a:noFill/>
                    <a:ln>
                      <a:noFill/>
                    </a:ln>
                  </pic:spPr>
                </pic:pic>
              </a:graphicData>
            </a:graphic>
          </wp:inline>
        </w:drawing>
      </w:r>
    </w:p>
    <w:p w14:paraId="3D6D2F61" w14:textId="629D0880" w:rsid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Figure 1</w:t>
      </w:r>
      <w:r w:rsidR="00FD506C">
        <w:rPr>
          <w:rFonts w:ascii="Times New Roman" w:hAnsi="Times New Roman" w:cs="Times New Roman"/>
          <w:b/>
          <w:bCs/>
          <w:sz w:val="24"/>
          <w:szCs w:val="24"/>
        </w:rPr>
        <w:t>1</w:t>
      </w:r>
      <w:r w:rsidRPr="007C57AA">
        <w:rPr>
          <w:rFonts w:ascii="Times New Roman" w:hAnsi="Times New Roman" w:cs="Times New Roman"/>
          <w:b/>
          <w:bCs/>
          <w:sz w:val="24"/>
          <w:szCs w:val="24"/>
        </w:rPr>
        <w:t>: Integrated Landscape Carbon Management</w:t>
      </w:r>
    </w:p>
    <w:p w14:paraId="20BF77F4" w14:textId="77777777" w:rsidR="00937CED" w:rsidRPr="007C57AA" w:rsidRDefault="00937CED" w:rsidP="00937CED">
      <w:pPr>
        <w:jc w:val="center"/>
        <w:rPr>
          <w:rFonts w:ascii="Times New Roman" w:hAnsi="Times New Roman" w:cs="Times New Roman"/>
          <w:b/>
          <w:bCs/>
          <w:sz w:val="24"/>
          <w:szCs w:val="24"/>
        </w:rPr>
      </w:pPr>
      <w:r>
        <w:rPr>
          <w:noProof/>
        </w:rPr>
        <w:lastRenderedPageBreak/>
        <w:drawing>
          <wp:inline distT="0" distB="0" distL="0" distR="0" wp14:anchorId="0ABAE566" wp14:editId="3EFF38FF">
            <wp:extent cx="4257675" cy="4250852"/>
            <wp:effectExtent l="0" t="0" r="0" b="0"/>
            <wp:docPr id="9" name="Picture 9" descr="Framework for Integrated Land and Landscape Management - An Fóram Uis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mework for Integrated Land and Landscape Management - An Fóram Uis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1282" cy="4254453"/>
                    </a:xfrm>
                    <a:prstGeom prst="rect">
                      <a:avLst/>
                    </a:prstGeom>
                    <a:noFill/>
                    <a:ln>
                      <a:noFill/>
                    </a:ln>
                  </pic:spPr>
                </pic:pic>
              </a:graphicData>
            </a:graphic>
          </wp:inline>
        </w:drawing>
      </w:r>
    </w:p>
    <w:p w14:paraId="6C698BB4"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Conclusion</w:t>
      </w:r>
    </w:p>
    <w:p w14:paraId="28215DD8" w14:textId="262BCFF0" w:rsidR="007C57AA" w:rsidRDefault="007C57AA" w:rsidP="007C57AA">
      <w:pPr>
        <w:jc w:val="both"/>
        <w:rPr>
          <w:rFonts w:ascii="Times New Roman" w:hAnsi="Times New Roman" w:cs="Times New Roman"/>
          <w:sz w:val="24"/>
          <w:szCs w:val="24"/>
        </w:rPr>
      </w:pPr>
      <w:r w:rsidRPr="007C57AA">
        <w:rPr>
          <w:rFonts w:ascii="Times New Roman" w:hAnsi="Times New Roman" w:cs="Times New Roman"/>
          <w:sz w:val="24"/>
          <w:szCs w:val="24"/>
        </w:rPr>
        <w:t xml:space="preserve">Soil carbon sequestration represents a </w:t>
      </w:r>
      <w:r w:rsidRPr="00096FD2">
        <w:rPr>
          <w:rFonts w:ascii="Times New Roman" w:hAnsi="Times New Roman" w:cs="Times New Roman"/>
          <w:sz w:val="24"/>
          <w:szCs w:val="24"/>
          <w:highlight w:val="yellow"/>
        </w:rPr>
        <w:t xml:space="preserve">critical yet </w:t>
      </w:r>
      <w:proofErr w:type="spellStart"/>
      <w:r w:rsidR="00D26C42" w:rsidRPr="00096FD2">
        <w:rPr>
          <w:rFonts w:ascii="Times New Roman" w:hAnsi="Times New Roman" w:cs="Times New Roman"/>
          <w:sz w:val="24"/>
          <w:szCs w:val="24"/>
          <w:highlight w:val="yellow"/>
        </w:rPr>
        <w:t>underutilised</w:t>
      </w:r>
      <w:proofErr w:type="spellEnd"/>
      <w:r w:rsidR="00D26C42"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 xml:space="preserve">strategy </w:t>
      </w:r>
      <w:r w:rsidRPr="007C57AA">
        <w:rPr>
          <w:rFonts w:ascii="Times New Roman" w:hAnsi="Times New Roman" w:cs="Times New Roman"/>
          <w:sz w:val="24"/>
          <w:szCs w:val="24"/>
        </w:rPr>
        <w:t xml:space="preserve">for climate change mitigation, offering substantial potential while delivering multiple co-benefits. This review demonstrates that implementing optimal management practices across global agricultural lands could sequester 0.9-1.85 Pg C annually, significantly contributing to climate targets. However, </w:t>
      </w:r>
      <w:proofErr w:type="spellStart"/>
      <w:r w:rsidR="00D26C42" w:rsidRPr="00096FD2">
        <w:rPr>
          <w:rFonts w:ascii="Times New Roman" w:hAnsi="Times New Roman" w:cs="Times New Roman"/>
          <w:sz w:val="24"/>
          <w:szCs w:val="24"/>
          <w:highlight w:val="yellow"/>
        </w:rPr>
        <w:t>realising</w:t>
      </w:r>
      <w:proofErr w:type="spellEnd"/>
      <w:r w:rsidR="00D26C42" w:rsidRPr="00096FD2">
        <w:rPr>
          <w:rFonts w:ascii="Times New Roman" w:hAnsi="Times New Roman" w:cs="Times New Roman"/>
          <w:sz w:val="24"/>
          <w:szCs w:val="24"/>
          <w:highlight w:val="yellow"/>
        </w:rPr>
        <w:t xml:space="preserve"> </w:t>
      </w:r>
      <w:r w:rsidRPr="00096FD2">
        <w:rPr>
          <w:rFonts w:ascii="Times New Roman" w:hAnsi="Times New Roman" w:cs="Times New Roman"/>
          <w:sz w:val="24"/>
          <w:szCs w:val="24"/>
          <w:highlight w:val="yellow"/>
        </w:rPr>
        <w:t xml:space="preserve">this potential </w:t>
      </w:r>
      <w:r w:rsidRPr="007C57AA">
        <w:rPr>
          <w:rFonts w:ascii="Times New Roman" w:hAnsi="Times New Roman" w:cs="Times New Roman"/>
          <w:sz w:val="24"/>
          <w:szCs w:val="24"/>
        </w:rPr>
        <w:t xml:space="preserve">requires overcoming technical, economic, and social barriers through integrated approaches combining scientific innovation, supportive policies, and stakeholder engagement. Future success depends on developing robust monitoring systems, creating viable economic incentives, and building capacity among land managers. As climate urgency intensifies, soil carbon sequestration must </w:t>
      </w:r>
      <w:r w:rsidRPr="00096FD2">
        <w:rPr>
          <w:rFonts w:ascii="Times New Roman" w:hAnsi="Times New Roman" w:cs="Times New Roman"/>
          <w:sz w:val="24"/>
          <w:szCs w:val="24"/>
          <w:highlight w:val="yellow"/>
        </w:rPr>
        <w:t xml:space="preserve">transition from </w:t>
      </w:r>
      <w:r w:rsidR="00D26C42" w:rsidRPr="00096FD2">
        <w:rPr>
          <w:rFonts w:ascii="Times New Roman" w:hAnsi="Times New Roman" w:cs="Times New Roman"/>
          <w:sz w:val="24"/>
          <w:szCs w:val="24"/>
          <w:highlight w:val="yellow"/>
        </w:rPr>
        <w:t xml:space="preserve">a </w:t>
      </w:r>
      <w:r w:rsidRPr="00096FD2">
        <w:rPr>
          <w:rFonts w:ascii="Times New Roman" w:hAnsi="Times New Roman" w:cs="Times New Roman"/>
          <w:sz w:val="24"/>
          <w:szCs w:val="24"/>
          <w:highlight w:val="yellow"/>
        </w:rPr>
        <w:t xml:space="preserve">promising </w:t>
      </w:r>
      <w:r w:rsidRPr="007C57AA">
        <w:rPr>
          <w:rFonts w:ascii="Times New Roman" w:hAnsi="Times New Roman" w:cs="Times New Roman"/>
          <w:sz w:val="24"/>
          <w:szCs w:val="24"/>
        </w:rPr>
        <w:t xml:space="preserve">concept to widespread </w:t>
      </w:r>
      <w:r w:rsidRPr="00096FD2">
        <w:rPr>
          <w:rFonts w:ascii="Times New Roman" w:hAnsi="Times New Roman" w:cs="Times New Roman"/>
          <w:sz w:val="24"/>
          <w:szCs w:val="24"/>
          <w:highlight w:val="yellow"/>
        </w:rPr>
        <w:t xml:space="preserve">practice, </w:t>
      </w:r>
      <w:proofErr w:type="spellStart"/>
      <w:r w:rsidR="00D26C42" w:rsidRPr="00096FD2">
        <w:rPr>
          <w:rFonts w:ascii="Times New Roman" w:hAnsi="Times New Roman" w:cs="Times New Roman"/>
          <w:sz w:val="24"/>
          <w:szCs w:val="24"/>
          <w:highlight w:val="yellow"/>
        </w:rPr>
        <w:t>recognising</w:t>
      </w:r>
      <w:proofErr w:type="spellEnd"/>
      <w:r w:rsidR="00D26C42" w:rsidRPr="00096FD2">
        <w:rPr>
          <w:rFonts w:ascii="Times New Roman" w:hAnsi="Times New Roman" w:cs="Times New Roman"/>
          <w:sz w:val="24"/>
          <w:szCs w:val="24"/>
          <w:highlight w:val="yellow"/>
        </w:rPr>
        <w:t xml:space="preserve"> </w:t>
      </w:r>
      <w:r w:rsidRPr="007C57AA">
        <w:rPr>
          <w:rFonts w:ascii="Times New Roman" w:hAnsi="Times New Roman" w:cs="Times New Roman"/>
          <w:sz w:val="24"/>
          <w:szCs w:val="24"/>
        </w:rPr>
        <w:t>soils as essential natural infrastructure for planetary health.</w:t>
      </w:r>
      <w:r w:rsidR="00BE698F">
        <w:rPr>
          <w:rFonts w:ascii="Times New Roman" w:hAnsi="Times New Roman" w:cs="Times New Roman"/>
          <w:sz w:val="24"/>
          <w:szCs w:val="24"/>
        </w:rPr>
        <w:br/>
      </w:r>
    </w:p>
    <w:p w14:paraId="3D11ACB0" w14:textId="77777777" w:rsidR="00BE698F" w:rsidRPr="00005ED1" w:rsidRDefault="00BE698F" w:rsidP="00BE698F">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6A1AA43E" w14:textId="77777777" w:rsidR="00BE698F" w:rsidRPr="00005ED1" w:rsidRDefault="00BE698F" w:rsidP="00BE698F">
      <w:pPr>
        <w:pStyle w:val="NoSpacing"/>
        <w:rPr>
          <w:rFonts w:ascii="Arial" w:hAnsi="Arial" w:cs="Arial"/>
          <w:highlight w:val="yellow"/>
        </w:rPr>
      </w:pPr>
    </w:p>
    <w:p w14:paraId="1B1BC33B" w14:textId="77777777" w:rsidR="00BE698F" w:rsidRPr="00005ED1" w:rsidRDefault="00BE698F" w:rsidP="00BE698F">
      <w:pPr>
        <w:pStyle w:val="NoSpacing"/>
        <w:rPr>
          <w:rFonts w:ascii="Arial" w:hAnsi="Arial" w:cs="Arial"/>
          <w:highlight w:val="yellow"/>
        </w:rPr>
      </w:pPr>
      <w:r w:rsidRPr="00005ED1">
        <w:rPr>
          <w:rFonts w:ascii="Arial" w:hAnsi="Arial" w:cs="Arial"/>
          <w:highlight w:val="yellow"/>
        </w:rPr>
        <w:t xml:space="preserve">Option 1: </w:t>
      </w:r>
    </w:p>
    <w:p w14:paraId="131D66B5" w14:textId="77777777" w:rsidR="00BE698F" w:rsidRPr="00005ED1" w:rsidRDefault="00BE698F" w:rsidP="00BE698F">
      <w:pPr>
        <w:pStyle w:val="NoSpacing"/>
        <w:rPr>
          <w:rFonts w:ascii="Arial" w:hAnsi="Arial" w:cs="Arial"/>
          <w:highlight w:val="yellow"/>
        </w:rPr>
      </w:pPr>
    </w:p>
    <w:p w14:paraId="69F9F10A" w14:textId="77777777" w:rsidR="00BE698F" w:rsidRPr="00005ED1" w:rsidRDefault="00BE698F" w:rsidP="00BE698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34A0EAD2" w14:textId="77777777" w:rsidR="00BE698F" w:rsidRPr="00005ED1" w:rsidRDefault="00BE698F" w:rsidP="00BE698F">
      <w:pPr>
        <w:pStyle w:val="NoSpacing"/>
        <w:rPr>
          <w:rFonts w:ascii="Arial" w:hAnsi="Arial" w:cs="Arial"/>
          <w:highlight w:val="yellow"/>
        </w:rPr>
      </w:pPr>
    </w:p>
    <w:p w14:paraId="1C5D3A21" w14:textId="77777777" w:rsidR="00BE698F" w:rsidRPr="00005ED1" w:rsidRDefault="00BE698F" w:rsidP="00BE698F">
      <w:pPr>
        <w:pStyle w:val="NoSpacing"/>
        <w:rPr>
          <w:rFonts w:ascii="Arial" w:hAnsi="Arial" w:cs="Arial"/>
          <w:highlight w:val="yellow"/>
        </w:rPr>
      </w:pPr>
      <w:r w:rsidRPr="00005ED1">
        <w:rPr>
          <w:rFonts w:ascii="Arial" w:hAnsi="Arial" w:cs="Arial"/>
          <w:highlight w:val="yellow"/>
        </w:rPr>
        <w:lastRenderedPageBreak/>
        <w:t xml:space="preserve">Option 2: </w:t>
      </w:r>
    </w:p>
    <w:p w14:paraId="3F8BD489" w14:textId="77777777" w:rsidR="00BE698F" w:rsidRPr="00005ED1" w:rsidRDefault="00BE698F" w:rsidP="00BE698F">
      <w:pPr>
        <w:pStyle w:val="NoSpacing"/>
        <w:rPr>
          <w:rFonts w:ascii="Arial" w:hAnsi="Arial" w:cs="Arial"/>
          <w:highlight w:val="yellow"/>
        </w:rPr>
      </w:pPr>
    </w:p>
    <w:p w14:paraId="72656FB9" w14:textId="77777777" w:rsidR="00BE698F" w:rsidRPr="00005ED1" w:rsidRDefault="00BE698F" w:rsidP="00BE698F">
      <w:pPr>
        <w:pStyle w:val="NoSpacing"/>
        <w:rPr>
          <w:rFonts w:ascii="Arial" w:hAnsi="Arial" w:cs="Arial"/>
          <w:highlight w:val="yellow"/>
        </w:rPr>
      </w:pPr>
      <w:r w:rsidRPr="00005ED1">
        <w:rPr>
          <w:rFonts w:ascii="Arial" w:hAnsi="Arial" w:cs="Arial"/>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7BF1E3" w14:textId="77777777" w:rsidR="00BE698F" w:rsidRPr="00005ED1" w:rsidRDefault="00BE698F" w:rsidP="00BE698F">
      <w:pPr>
        <w:pStyle w:val="NoSpacing"/>
        <w:rPr>
          <w:rFonts w:ascii="Arial" w:hAnsi="Arial" w:cs="Arial"/>
          <w:highlight w:val="yellow"/>
        </w:rPr>
      </w:pPr>
    </w:p>
    <w:p w14:paraId="05FB57AD" w14:textId="77777777" w:rsidR="00BE698F" w:rsidRPr="00005ED1" w:rsidRDefault="00BE698F" w:rsidP="00BE698F">
      <w:pPr>
        <w:pStyle w:val="NoSpacing"/>
        <w:rPr>
          <w:rFonts w:ascii="Arial" w:hAnsi="Arial" w:cs="Arial"/>
          <w:highlight w:val="yellow"/>
        </w:rPr>
      </w:pPr>
      <w:r w:rsidRPr="00005ED1">
        <w:rPr>
          <w:rFonts w:ascii="Arial" w:hAnsi="Arial" w:cs="Arial"/>
          <w:highlight w:val="yellow"/>
        </w:rPr>
        <w:t>Details of the AI usage are given below:</w:t>
      </w:r>
    </w:p>
    <w:p w14:paraId="165F42E5" w14:textId="77777777" w:rsidR="00BE698F" w:rsidRPr="00005ED1" w:rsidRDefault="00BE698F" w:rsidP="00BE698F">
      <w:pPr>
        <w:pStyle w:val="NoSpacing"/>
        <w:rPr>
          <w:rFonts w:ascii="Arial" w:hAnsi="Arial" w:cs="Arial"/>
          <w:highlight w:val="yellow"/>
        </w:rPr>
      </w:pPr>
      <w:r w:rsidRPr="00005ED1">
        <w:rPr>
          <w:rFonts w:ascii="Arial" w:hAnsi="Arial" w:cs="Arial"/>
          <w:highlight w:val="yellow"/>
        </w:rPr>
        <w:t>1.</w:t>
      </w:r>
    </w:p>
    <w:p w14:paraId="5F9603C3" w14:textId="77777777" w:rsidR="00BE698F" w:rsidRPr="00005ED1" w:rsidRDefault="00BE698F" w:rsidP="00BE698F">
      <w:pPr>
        <w:pStyle w:val="NoSpacing"/>
        <w:rPr>
          <w:rFonts w:ascii="Arial" w:hAnsi="Arial" w:cs="Arial"/>
          <w:highlight w:val="yellow"/>
        </w:rPr>
      </w:pPr>
      <w:r w:rsidRPr="00005ED1">
        <w:rPr>
          <w:rFonts w:ascii="Arial" w:hAnsi="Arial" w:cs="Arial"/>
          <w:highlight w:val="yellow"/>
        </w:rPr>
        <w:t>2.</w:t>
      </w:r>
    </w:p>
    <w:p w14:paraId="191B2F00" w14:textId="77777777" w:rsidR="00BE698F" w:rsidRPr="00005ED1" w:rsidRDefault="00BE698F" w:rsidP="00BE698F">
      <w:pPr>
        <w:pStyle w:val="NoSpacing"/>
        <w:rPr>
          <w:rFonts w:ascii="Arial" w:hAnsi="Arial" w:cs="Arial"/>
        </w:rPr>
      </w:pPr>
      <w:r w:rsidRPr="00005ED1">
        <w:rPr>
          <w:rFonts w:ascii="Arial" w:hAnsi="Arial" w:cs="Arial"/>
          <w:highlight w:val="yellow"/>
        </w:rPr>
        <w:t>3.</w:t>
      </w:r>
      <w:bookmarkEnd w:id="0"/>
    </w:p>
    <w:p w14:paraId="38E179FD" w14:textId="77777777" w:rsidR="00BE698F" w:rsidRPr="007C57AA" w:rsidRDefault="00BE698F" w:rsidP="007C57AA">
      <w:pPr>
        <w:jc w:val="both"/>
        <w:rPr>
          <w:rFonts w:ascii="Times New Roman" w:hAnsi="Times New Roman" w:cs="Times New Roman"/>
          <w:sz w:val="24"/>
          <w:szCs w:val="24"/>
        </w:rPr>
      </w:pPr>
    </w:p>
    <w:p w14:paraId="2319FF36" w14:textId="77777777" w:rsidR="007C57AA" w:rsidRPr="007C57AA" w:rsidRDefault="007C57AA" w:rsidP="007C57AA">
      <w:pPr>
        <w:jc w:val="both"/>
        <w:rPr>
          <w:rFonts w:ascii="Times New Roman" w:hAnsi="Times New Roman" w:cs="Times New Roman"/>
          <w:b/>
          <w:bCs/>
          <w:sz w:val="24"/>
          <w:szCs w:val="24"/>
        </w:rPr>
      </w:pPr>
      <w:r w:rsidRPr="007C57AA">
        <w:rPr>
          <w:rFonts w:ascii="Times New Roman" w:hAnsi="Times New Roman" w:cs="Times New Roman"/>
          <w:b/>
          <w:bCs/>
          <w:sz w:val="24"/>
          <w:szCs w:val="24"/>
        </w:rPr>
        <w:t>References</w:t>
      </w:r>
    </w:p>
    <w:p w14:paraId="376088FE"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81162C">
        <w:rPr>
          <w:rFonts w:ascii="Times New Roman" w:hAnsi="Times New Roman" w:cs="Times New Roman"/>
          <w:sz w:val="24"/>
          <w:szCs w:val="24"/>
          <w:lang w:val="nl-BE"/>
        </w:rPr>
        <w:t xml:space="preserve">Amelung, W., Bossio, D., de Vries, W., Kögel-Knabner, I., Lehmann, J., Amundson, R., ... </w:t>
      </w:r>
      <w:r w:rsidRPr="00CD14C4">
        <w:rPr>
          <w:rFonts w:ascii="Times New Roman" w:hAnsi="Times New Roman" w:cs="Times New Roman"/>
          <w:sz w:val="24"/>
          <w:szCs w:val="24"/>
        </w:rPr>
        <w:t xml:space="preserve">&amp; Chabbi, A. (2020). Towards a global-scale soil climate mitigation strategy. </w:t>
      </w:r>
      <w:r w:rsidRPr="00CD14C4">
        <w:rPr>
          <w:rFonts w:ascii="Times New Roman" w:hAnsi="Times New Roman" w:cs="Times New Roman"/>
          <w:i/>
          <w:iCs/>
          <w:sz w:val="24"/>
          <w:szCs w:val="24"/>
        </w:rPr>
        <w:t>Nature Communications</w:t>
      </w:r>
      <w:r w:rsidRPr="00CD14C4">
        <w:rPr>
          <w:rFonts w:ascii="Times New Roman" w:hAnsi="Times New Roman" w:cs="Times New Roman"/>
          <w:sz w:val="24"/>
          <w:szCs w:val="24"/>
        </w:rPr>
        <w:t>, 11(1), 5427.</w:t>
      </w:r>
    </w:p>
    <w:p w14:paraId="0D7451F7"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proofErr w:type="spellStart"/>
      <w:r w:rsidRPr="00CD14C4">
        <w:rPr>
          <w:rFonts w:ascii="Times New Roman" w:hAnsi="Times New Roman" w:cs="Times New Roman"/>
          <w:sz w:val="24"/>
          <w:szCs w:val="24"/>
        </w:rPr>
        <w:t>Baveye</w:t>
      </w:r>
      <w:proofErr w:type="spellEnd"/>
      <w:r w:rsidRPr="00CD14C4">
        <w:rPr>
          <w:rFonts w:ascii="Times New Roman" w:hAnsi="Times New Roman" w:cs="Times New Roman"/>
          <w:sz w:val="24"/>
          <w:szCs w:val="24"/>
        </w:rPr>
        <w:t xml:space="preserve">, P. C., Berthelin, J., Tessier, D., &amp; Lemaire, G. (2018). The "4 per 1000" initiative: A credibility issue for the soil science community? </w:t>
      </w:r>
      <w:proofErr w:type="spellStart"/>
      <w:r w:rsidRPr="00CD14C4">
        <w:rPr>
          <w:rFonts w:ascii="Times New Roman" w:hAnsi="Times New Roman" w:cs="Times New Roman"/>
          <w:i/>
          <w:iCs/>
          <w:sz w:val="24"/>
          <w:szCs w:val="24"/>
        </w:rPr>
        <w:t>Geoderma</w:t>
      </w:r>
      <w:proofErr w:type="spellEnd"/>
      <w:r w:rsidRPr="00CD14C4">
        <w:rPr>
          <w:rFonts w:ascii="Times New Roman" w:hAnsi="Times New Roman" w:cs="Times New Roman"/>
          <w:sz w:val="24"/>
          <w:szCs w:val="24"/>
        </w:rPr>
        <w:t>, 309, 118-123.</w:t>
      </w:r>
    </w:p>
    <w:p w14:paraId="42793477"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Chen, S., Martin, M. P., Saby, N. P., Walter, C., Angers, D. A., &amp; </w:t>
      </w:r>
      <w:proofErr w:type="spellStart"/>
      <w:r w:rsidRPr="00CD14C4">
        <w:rPr>
          <w:rFonts w:ascii="Times New Roman" w:hAnsi="Times New Roman" w:cs="Times New Roman"/>
          <w:sz w:val="24"/>
          <w:szCs w:val="24"/>
        </w:rPr>
        <w:t>Arrouays</w:t>
      </w:r>
      <w:proofErr w:type="spellEnd"/>
      <w:r w:rsidRPr="00CD14C4">
        <w:rPr>
          <w:rFonts w:ascii="Times New Roman" w:hAnsi="Times New Roman" w:cs="Times New Roman"/>
          <w:sz w:val="24"/>
          <w:szCs w:val="24"/>
        </w:rPr>
        <w:t xml:space="preserve">, D. (2018). Fine resolution map of top-and subsoil carbon sequestration potential in France. </w:t>
      </w:r>
      <w:r w:rsidRPr="00CD14C4">
        <w:rPr>
          <w:rFonts w:ascii="Times New Roman" w:hAnsi="Times New Roman" w:cs="Times New Roman"/>
          <w:i/>
          <w:iCs/>
          <w:sz w:val="24"/>
          <w:szCs w:val="24"/>
        </w:rPr>
        <w:t>Science of the Total Environment</w:t>
      </w:r>
      <w:r w:rsidRPr="00CD14C4">
        <w:rPr>
          <w:rFonts w:ascii="Times New Roman" w:hAnsi="Times New Roman" w:cs="Times New Roman"/>
          <w:sz w:val="24"/>
          <w:szCs w:val="24"/>
        </w:rPr>
        <w:t>, 630, 389-400.</w:t>
      </w:r>
    </w:p>
    <w:p w14:paraId="3EDE9ADD"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proofErr w:type="spellStart"/>
      <w:r w:rsidRPr="00CD14C4">
        <w:rPr>
          <w:rFonts w:ascii="Times New Roman" w:hAnsi="Times New Roman" w:cs="Times New Roman"/>
          <w:sz w:val="24"/>
          <w:szCs w:val="24"/>
        </w:rPr>
        <w:t>Dignac</w:t>
      </w:r>
      <w:proofErr w:type="spellEnd"/>
      <w:r w:rsidRPr="00CD14C4">
        <w:rPr>
          <w:rFonts w:ascii="Times New Roman" w:hAnsi="Times New Roman" w:cs="Times New Roman"/>
          <w:sz w:val="24"/>
          <w:szCs w:val="24"/>
        </w:rPr>
        <w:t xml:space="preserve">, M. F., Derrien, D., Barré, P., Barot, S., </w:t>
      </w:r>
      <w:proofErr w:type="spellStart"/>
      <w:r w:rsidRPr="00CD14C4">
        <w:rPr>
          <w:rFonts w:ascii="Times New Roman" w:hAnsi="Times New Roman" w:cs="Times New Roman"/>
          <w:sz w:val="24"/>
          <w:szCs w:val="24"/>
        </w:rPr>
        <w:t>Cécillon</w:t>
      </w:r>
      <w:proofErr w:type="spellEnd"/>
      <w:r w:rsidRPr="00CD14C4">
        <w:rPr>
          <w:rFonts w:ascii="Times New Roman" w:hAnsi="Times New Roman" w:cs="Times New Roman"/>
          <w:sz w:val="24"/>
          <w:szCs w:val="24"/>
        </w:rPr>
        <w:t>, L., Chenu, C., ... &amp; Basile-</w:t>
      </w:r>
      <w:proofErr w:type="spellStart"/>
      <w:r w:rsidRPr="00CD14C4">
        <w:rPr>
          <w:rFonts w:ascii="Times New Roman" w:hAnsi="Times New Roman" w:cs="Times New Roman"/>
          <w:sz w:val="24"/>
          <w:szCs w:val="24"/>
        </w:rPr>
        <w:t>Doelsch</w:t>
      </w:r>
      <w:proofErr w:type="spellEnd"/>
      <w:r w:rsidRPr="00CD14C4">
        <w:rPr>
          <w:rFonts w:ascii="Times New Roman" w:hAnsi="Times New Roman" w:cs="Times New Roman"/>
          <w:sz w:val="24"/>
          <w:szCs w:val="24"/>
        </w:rPr>
        <w:t xml:space="preserve">, I. (2017). Increasing soil carbon storage: mechanisms, effects of agricultural practices and proxies. A review. </w:t>
      </w:r>
      <w:r w:rsidRPr="00CD14C4">
        <w:rPr>
          <w:rFonts w:ascii="Times New Roman" w:hAnsi="Times New Roman" w:cs="Times New Roman"/>
          <w:i/>
          <w:iCs/>
          <w:sz w:val="24"/>
          <w:szCs w:val="24"/>
        </w:rPr>
        <w:t>Agronomy for Sustainable Development</w:t>
      </w:r>
      <w:r w:rsidRPr="00CD14C4">
        <w:rPr>
          <w:rFonts w:ascii="Times New Roman" w:hAnsi="Times New Roman" w:cs="Times New Roman"/>
          <w:sz w:val="24"/>
          <w:szCs w:val="24"/>
        </w:rPr>
        <w:t>, 37(2), 14.</w:t>
      </w:r>
    </w:p>
    <w:p w14:paraId="7CE7DDC2"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Fuss, S., Lamb, W. F., Callaghan, M. W., Hilaire, J., </w:t>
      </w:r>
      <w:proofErr w:type="spellStart"/>
      <w:r w:rsidRPr="00CD14C4">
        <w:rPr>
          <w:rFonts w:ascii="Times New Roman" w:hAnsi="Times New Roman" w:cs="Times New Roman"/>
          <w:sz w:val="24"/>
          <w:szCs w:val="24"/>
        </w:rPr>
        <w:t>Creutzig</w:t>
      </w:r>
      <w:proofErr w:type="spellEnd"/>
      <w:r w:rsidRPr="00CD14C4">
        <w:rPr>
          <w:rFonts w:ascii="Times New Roman" w:hAnsi="Times New Roman" w:cs="Times New Roman"/>
          <w:sz w:val="24"/>
          <w:szCs w:val="24"/>
        </w:rPr>
        <w:t xml:space="preserve">, F., Amann, T., ... &amp; Minx, J. C. (2018). Negative emissions—Part 2: Costs, potentials and side effects. </w:t>
      </w:r>
      <w:r w:rsidRPr="00CD14C4">
        <w:rPr>
          <w:rFonts w:ascii="Times New Roman" w:hAnsi="Times New Roman" w:cs="Times New Roman"/>
          <w:i/>
          <w:iCs/>
          <w:sz w:val="24"/>
          <w:szCs w:val="24"/>
        </w:rPr>
        <w:t>Environmental Research Letters</w:t>
      </w:r>
      <w:r w:rsidRPr="00CD14C4">
        <w:rPr>
          <w:rFonts w:ascii="Times New Roman" w:hAnsi="Times New Roman" w:cs="Times New Roman"/>
          <w:sz w:val="24"/>
          <w:szCs w:val="24"/>
        </w:rPr>
        <w:t>, 13(6), 063002.</w:t>
      </w:r>
    </w:p>
    <w:p w14:paraId="663354A2"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Gogoi, B., Nath, T., Deka, B., Kalita, S., </w:t>
      </w:r>
      <w:proofErr w:type="spellStart"/>
      <w:r w:rsidRPr="00CD14C4">
        <w:rPr>
          <w:rFonts w:ascii="Times New Roman" w:hAnsi="Times New Roman" w:cs="Times New Roman"/>
          <w:sz w:val="24"/>
          <w:szCs w:val="24"/>
        </w:rPr>
        <w:t>Gajurel</w:t>
      </w:r>
      <w:proofErr w:type="spellEnd"/>
      <w:r w:rsidRPr="00CD14C4">
        <w:rPr>
          <w:rFonts w:ascii="Times New Roman" w:hAnsi="Times New Roman" w:cs="Times New Roman"/>
          <w:sz w:val="24"/>
          <w:szCs w:val="24"/>
        </w:rPr>
        <w:t xml:space="preserve">, S., Borah, D., ... &amp; Das, K. (2021). Soil carbon sequestration potential of different land use systems in India: A review. </w:t>
      </w:r>
      <w:r w:rsidRPr="00CD14C4">
        <w:rPr>
          <w:rFonts w:ascii="Times New Roman" w:hAnsi="Times New Roman" w:cs="Times New Roman"/>
          <w:i/>
          <w:iCs/>
          <w:sz w:val="24"/>
          <w:szCs w:val="24"/>
        </w:rPr>
        <w:t>Environmental Monitoring and Assessment</w:t>
      </w:r>
      <w:r w:rsidRPr="00CD14C4">
        <w:rPr>
          <w:rFonts w:ascii="Times New Roman" w:hAnsi="Times New Roman" w:cs="Times New Roman"/>
          <w:sz w:val="24"/>
          <w:szCs w:val="24"/>
        </w:rPr>
        <w:t>, 193(12), 1-25.</w:t>
      </w:r>
    </w:p>
    <w:p w14:paraId="5A42C01D"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IPCC. (2022). </w:t>
      </w:r>
      <w:r w:rsidRPr="00CD14C4">
        <w:rPr>
          <w:rFonts w:ascii="Times New Roman" w:hAnsi="Times New Roman" w:cs="Times New Roman"/>
          <w:i/>
          <w:iCs/>
          <w:sz w:val="24"/>
          <w:szCs w:val="24"/>
        </w:rPr>
        <w:t>Climate Change 2022: Mitigation of Climate Change</w:t>
      </w:r>
      <w:r w:rsidRPr="00CD14C4">
        <w:rPr>
          <w:rFonts w:ascii="Times New Roman" w:hAnsi="Times New Roman" w:cs="Times New Roman"/>
          <w:sz w:val="24"/>
          <w:szCs w:val="24"/>
        </w:rPr>
        <w:t>. Contribution of Working Group III to the Sixth Assessment Report of the Intergovernmental Panel on Climate Change. Cambridge University Press.</w:t>
      </w:r>
    </w:p>
    <w:p w14:paraId="4DD0FCA4"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Lal, R. (2018). Digging deeper: A holistic perspective of factors affecting soil organic carbon sequestration in agroecosystems. </w:t>
      </w:r>
      <w:r w:rsidRPr="00CD14C4">
        <w:rPr>
          <w:rFonts w:ascii="Times New Roman" w:hAnsi="Times New Roman" w:cs="Times New Roman"/>
          <w:i/>
          <w:iCs/>
          <w:sz w:val="24"/>
          <w:szCs w:val="24"/>
        </w:rPr>
        <w:t>Global Change Biology</w:t>
      </w:r>
      <w:r w:rsidRPr="00CD14C4">
        <w:rPr>
          <w:rFonts w:ascii="Times New Roman" w:hAnsi="Times New Roman" w:cs="Times New Roman"/>
          <w:sz w:val="24"/>
          <w:szCs w:val="24"/>
        </w:rPr>
        <w:t>, 24(8), 3285-3301.</w:t>
      </w:r>
    </w:p>
    <w:p w14:paraId="6578ECD4"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Lehmann, J., Cowie, A., Masiello, C. A., Kammann, C., Woolf, D., Amonette, J. E., ... &amp; Whitman, T. (2021). Biochar in climate change mitigation. </w:t>
      </w:r>
      <w:r w:rsidRPr="00CD14C4">
        <w:rPr>
          <w:rFonts w:ascii="Times New Roman" w:hAnsi="Times New Roman" w:cs="Times New Roman"/>
          <w:i/>
          <w:iCs/>
          <w:sz w:val="24"/>
          <w:szCs w:val="24"/>
        </w:rPr>
        <w:t>Nature Geoscience</w:t>
      </w:r>
      <w:r w:rsidRPr="00CD14C4">
        <w:rPr>
          <w:rFonts w:ascii="Times New Roman" w:hAnsi="Times New Roman" w:cs="Times New Roman"/>
          <w:sz w:val="24"/>
          <w:szCs w:val="24"/>
        </w:rPr>
        <w:t>, 14(12), 883-892.</w:t>
      </w:r>
    </w:p>
    <w:p w14:paraId="6B226544"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proofErr w:type="spellStart"/>
      <w:r w:rsidRPr="00CD14C4">
        <w:rPr>
          <w:rFonts w:ascii="Times New Roman" w:hAnsi="Times New Roman" w:cs="Times New Roman"/>
          <w:sz w:val="24"/>
          <w:szCs w:val="24"/>
        </w:rPr>
        <w:t>Minasny</w:t>
      </w:r>
      <w:proofErr w:type="spellEnd"/>
      <w:r w:rsidRPr="00CD14C4">
        <w:rPr>
          <w:rFonts w:ascii="Times New Roman" w:hAnsi="Times New Roman" w:cs="Times New Roman"/>
          <w:sz w:val="24"/>
          <w:szCs w:val="24"/>
        </w:rPr>
        <w:t xml:space="preserve">, B., Malone, B. P., McBratney, A. B., Angers, D. A., </w:t>
      </w:r>
      <w:proofErr w:type="spellStart"/>
      <w:r w:rsidRPr="00CD14C4">
        <w:rPr>
          <w:rFonts w:ascii="Times New Roman" w:hAnsi="Times New Roman" w:cs="Times New Roman"/>
          <w:sz w:val="24"/>
          <w:szCs w:val="24"/>
        </w:rPr>
        <w:t>Arrouays</w:t>
      </w:r>
      <w:proofErr w:type="spellEnd"/>
      <w:r w:rsidRPr="00CD14C4">
        <w:rPr>
          <w:rFonts w:ascii="Times New Roman" w:hAnsi="Times New Roman" w:cs="Times New Roman"/>
          <w:sz w:val="24"/>
          <w:szCs w:val="24"/>
        </w:rPr>
        <w:t xml:space="preserve">, D., Chambers, A., ... &amp; Winowiecki, L. (2017). Soil carbon 4 per </w:t>
      </w:r>
      <w:proofErr w:type="spellStart"/>
      <w:r w:rsidRPr="00CD14C4">
        <w:rPr>
          <w:rFonts w:ascii="Times New Roman" w:hAnsi="Times New Roman" w:cs="Times New Roman"/>
          <w:sz w:val="24"/>
          <w:szCs w:val="24"/>
        </w:rPr>
        <w:t>mille</w:t>
      </w:r>
      <w:proofErr w:type="spellEnd"/>
      <w:r w:rsidRPr="00CD14C4">
        <w:rPr>
          <w:rFonts w:ascii="Times New Roman" w:hAnsi="Times New Roman" w:cs="Times New Roman"/>
          <w:sz w:val="24"/>
          <w:szCs w:val="24"/>
        </w:rPr>
        <w:t xml:space="preserve">. </w:t>
      </w:r>
      <w:proofErr w:type="spellStart"/>
      <w:r w:rsidRPr="00CD14C4">
        <w:rPr>
          <w:rFonts w:ascii="Times New Roman" w:hAnsi="Times New Roman" w:cs="Times New Roman"/>
          <w:i/>
          <w:iCs/>
          <w:sz w:val="24"/>
          <w:szCs w:val="24"/>
        </w:rPr>
        <w:t>Geoderma</w:t>
      </w:r>
      <w:proofErr w:type="spellEnd"/>
      <w:r w:rsidRPr="00CD14C4">
        <w:rPr>
          <w:rFonts w:ascii="Times New Roman" w:hAnsi="Times New Roman" w:cs="Times New Roman"/>
          <w:sz w:val="24"/>
          <w:szCs w:val="24"/>
        </w:rPr>
        <w:t>, 292, 59-86.</w:t>
      </w:r>
    </w:p>
    <w:p w14:paraId="2193E342"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Paustian, K., Lehmann, J., Ogle, S., Reay, D., Robertson, G. P., &amp; Smith, P. (2016). Climate-smart soils. </w:t>
      </w:r>
      <w:r w:rsidRPr="00CD14C4">
        <w:rPr>
          <w:rFonts w:ascii="Times New Roman" w:hAnsi="Times New Roman" w:cs="Times New Roman"/>
          <w:i/>
          <w:iCs/>
          <w:sz w:val="24"/>
          <w:szCs w:val="24"/>
        </w:rPr>
        <w:t>Nature</w:t>
      </w:r>
      <w:r w:rsidRPr="00CD14C4">
        <w:rPr>
          <w:rFonts w:ascii="Times New Roman" w:hAnsi="Times New Roman" w:cs="Times New Roman"/>
          <w:sz w:val="24"/>
          <w:szCs w:val="24"/>
        </w:rPr>
        <w:t>, 532(7597), 49-57.</w:t>
      </w:r>
    </w:p>
    <w:p w14:paraId="418210B3"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Poulton, P., Johnston, J., Macdonald, A., White, R., &amp; </w:t>
      </w:r>
      <w:proofErr w:type="spellStart"/>
      <w:r w:rsidRPr="00CD14C4">
        <w:rPr>
          <w:rFonts w:ascii="Times New Roman" w:hAnsi="Times New Roman" w:cs="Times New Roman"/>
          <w:sz w:val="24"/>
          <w:szCs w:val="24"/>
        </w:rPr>
        <w:t>Powlson</w:t>
      </w:r>
      <w:proofErr w:type="spellEnd"/>
      <w:r w:rsidRPr="00CD14C4">
        <w:rPr>
          <w:rFonts w:ascii="Times New Roman" w:hAnsi="Times New Roman" w:cs="Times New Roman"/>
          <w:sz w:val="24"/>
          <w:szCs w:val="24"/>
        </w:rPr>
        <w:t xml:space="preserve">, D. (2018). Major limitations to achieving "4 per 1000" increases in soil organic carbon stock in temperate regions: Evidence </w:t>
      </w:r>
      <w:r w:rsidRPr="00CD14C4">
        <w:rPr>
          <w:rFonts w:ascii="Times New Roman" w:hAnsi="Times New Roman" w:cs="Times New Roman"/>
          <w:sz w:val="24"/>
          <w:szCs w:val="24"/>
        </w:rPr>
        <w:lastRenderedPageBreak/>
        <w:t xml:space="preserve">from long‐term experiments at Rothamsted Research, UK. </w:t>
      </w:r>
      <w:r w:rsidRPr="00CD14C4">
        <w:rPr>
          <w:rFonts w:ascii="Times New Roman" w:hAnsi="Times New Roman" w:cs="Times New Roman"/>
          <w:i/>
          <w:iCs/>
          <w:sz w:val="24"/>
          <w:szCs w:val="24"/>
        </w:rPr>
        <w:t>Global Change Biology</w:t>
      </w:r>
      <w:r w:rsidRPr="00CD14C4">
        <w:rPr>
          <w:rFonts w:ascii="Times New Roman" w:hAnsi="Times New Roman" w:cs="Times New Roman"/>
          <w:sz w:val="24"/>
          <w:szCs w:val="24"/>
        </w:rPr>
        <w:t>, 24(6), 2563-2584.</w:t>
      </w:r>
    </w:p>
    <w:p w14:paraId="35C785EF"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Rumpel, C., Amiraslani, F., </w:t>
      </w:r>
      <w:proofErr w:type="spellStart"/>
      <w:r w:rsidRPr="00CD14C4">
        <w:rPr>
          <w:rFonts w:ascii="Times New Roman" w:hAnsi="Times New Roman" w:cs="Times New Roman"/>
          <w:sz w:val="24"/>
          <w:szCs w:val="24"/>
        </w:rPr>
        <w:t>Koutika</w:t>
      </w:r>
      <w:proofErr w:type="spellEnd"/>
      <w:r w:rsidRPr="00CD14C4">
        <w:rPr>
          <w:rFonts w:ascii="Times New Roman" w:hAnsi="Times New Roman" w:cs="Times New Roman"/>
          <w:sz w:val="24"/>
          <w:szCs w:val="24"/>
        </w:rPr>
        <w:t xml:space="preserve">, L. S., Smith, P., Whitehead, D., &amp; Wollenberg, E. (2018). Put more carbon in soils to meet Paris climate pledges. </w:t>
      </w:r>
      <w:r w:rsidRPr="00CD14C4">
        <w:rPr>
          <w:rFonts w:ascii="Times New Roman" w:hAnsi="Times New Roman" w:cs="Times New Roman"/>
          <w:i/>
          <w:iCs/>
          <w:sz w:val="24"/>
          <w:szCs w:val="24"/>
        </w:rPr>
        <w:t>Nature</w:t>
      </w:r>
      <w:r w:rsidRPr="00CD14C4">
        <w:rPr>
          <w:rFonts w:ascii="Times New Roman" w:hAnsi="Times New Roman" w:cs="Times New Roman"/>
          <w:sz w:val="24"/>
          <w:szCs w:val="24"/>
        </w:rPr>
        <w:t>, 564(7734), 32-34.</w:t>
      </w:r>
    </w:p>
    <w:p w14:paraId="4269F2AC"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Smith, P., Adams, J., Beerling, D. J., Beringer, T., Calvin, K. V., Fuss, S., ... &amp; </w:t>
      </w:r>
      <w:proofErr w:type="spellStart"/>
      <w:r w:rsidRPr="00CD14C4">
        <w:rPr>
          <w:rFonts w:ascii="Times New Roman" w:hAnsi="Times New Roman" w:cs="Times New Roman"/>
          <w:sz w:val="24"/>
          <w:szCs w:val="24"/>
        </w:rPr>
        <w:t>Keesstra</w:t>
      </w:r>
      <w:proofErr w:type="spellEnd"/>
      <w:r w:rsidRPr="00CD14C4">
        <w:rPr>
          <w:rFonts w:ascii="Times New Roman" w:hAnsi="Times New Roman" w:cs="Times New Roman"/>
          <w:sz w:val="24"/>
          <w:szCs w:val="24"/>
        </w:rPr>
        <w:t xml:space="preserve">, S. (2019). Land-management options for greenhouse gas removal and their impacts on ecosystem services and the sustainable development goals. </w:t>
      </w:r>
      <w:r w:rsidRPr="00CD14C4">
        <w:rPr>
          <w:rFonts w:ascii="Times New Roman" w:hAnsi="Times New Roman" w:cs="Times New Roman"/>
          <w:i/>
          <w:iCs/>
          <w:sz w:val="24"/>
          <w:szCs w:val="24"/>
        </w:rPr>
        <w:t>Annual Review of Environment and Resources</w:t>
      </w:r>
      <w:r w:rsidRPr="00CD14C4">
        <w:rPr>
          <w:rFonts w:ascii="Times New Roman" w:hAnsi="Times New Roman" w:cs="Times New Roman"/>
          <w:sz w:val="24"/>
          <w:szCs w:val="24"/>
        </w:rPr>
        <w:t>, 44, 255-286.</w:t>
      </w:r>
    </w:p>
    <w:p w14:paraId="758F89F2"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Sokol, N. W., Sanderman, J., &amp; Bradford, M. A. (2019). Pathways of mineral‐associated soil organic matter formation: Integrating the role of plant carbon source, chemistry, and point of entry. </w:t>
      </w:r>
      <w:r w:rsidRPr="00CD14C4">
        <w:rPr>
          <w:rFonts w:ascii="Times New Roman" w:hAnsi="Times New Roman" w:cs="Times New Roman"/>
          <w:i/>
          <w:iCs/>
          <w:sz w:val="24"/>
          <w:szCs w:val="24"/>
        </w:rPr>
        <w:t>Global Change Biology</w:t>
      </w:r>
      <w:r w:rsidRPr="00CD14C4">
        <w:rPr>
          <w:rFonts w:ascii="Times New Roman" w:hAnsi="Times New Roman" w:cs="Times New Roman"/>
          <w:sz w:val="24"/>
          <w:szCs w:val="24"/>
        </w:rPr>
        <w:t>, 25(1), 12-24.</w:t>
      </w:r>
    </w:p>
    <w:p w14:paraId="1EAC0479"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Sykes, A. J., Macleod, M., Eory, V., Rees, R. M., Payen, F., </w:t>
      </w:r>
      <w:proofErr w:type="spellStart"/>
      <w:r w:rsidRPr="00CD14C4">
        <w:rPr>
          <w:rFonts w:ascii="Times New Roman" w:hAnsi="Times New Roman" w:cs="Times New Roman"/>
          <w:sz w:val="24"/>
          <w:szCs w:val="24"/>
        </w:rPr>
        <w:t>Myrgiotis</w:t>
      </w:r>
      <w:proofErr w:type="spellEnd"/>
      <w:r w:rsidRPr="00CD14C4">
        <w:rPr>
          <w:rFonts w:ascii="Times New Roman" w:hAnsi="Times New Roman" w:cs="Times New Roman"/>
          <w:sz w:val="24"/>
          <w:szCs w:val="24"/>
        </w:rPr>
        <w:t xml:space="preserve">, V., ... &amp; Smith, P. (2020). </w:t>
      </w:r>
      <w:proofErr w:type="spellStart"/>
      <w:r w:rsidRPr="00CD14C4">
        <w:rPr>
          <w:rFonts w:ascii="Times New Roman" w:hAnsi="Times New Roman" w:cs="Times New Roman"/>
          <w:sz w:val="24"/>
          <w:szCs w:val="24"/>
        </w:rPr>
        <w:t>Characterising</w:t>
      </w:r>
      <w:proofErr w:type="spellEnd"/>
      <w:r w:rsidRPr="00CD14C4">
        <w:rPr>
          <w:rFonts w:ascii="Times New Roman" w:hAnsi="Times New Roman" w:cs="Times New Roman"/>
          <w:sz w:val="24"/>
          <w:szCs w:val="24"/>
        </w:rPr>
        <w:t xml:space="preserve"> the biophysical, economic and social impacts of soil carbon sequestration as a greenhouse gas removal technology. </w:t>
      </w:r>
      <w:r w:rsidRPr="00CD14C4">
        <w:rPr>
          <w:rFonts w:ascii="Times New Roman" w:hAnsi="Times New Roman" w:cs="Times New Roman"/>
          <w:i/>
          <w:iCs/>
          <w:sz w:val="24"/>
          <w:szCs w:val="24"/>
        </w:rPr>
        <w:t>Global Change Biology</w:t>
      </w:r>
      <w:r w:rsidRPr="00CD14C4">
        <w:rPr>
          <w:rFonts w:ascii="Times New Roman" w:hAnsi="Times New Roman" w:cs="Times New Roman"/>
          <w:sz w:val="24"/>
          <w:szCs w:val="24"/>
        </w:rPr>
        <w:t>, 26(3), 1085-1108.</w:t>
      </w:r>
    </w:p>
    <w:p w14:paraId="48345DAA"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81162C">
        <w:rPr>
          <w:rFonts w:ascii="Times New Roman" w:hAnsi="Times New Roman" w:cs="Times New Roman"/>
          <w:sz w:val="24"/>
          <w:szCs w:val="24"/>
          <w:lang w:val="nl-BE"/>
        </w:rPr>
        <w:t xml:space="preserve">Tao, F., Palosuo, T., Valkama, E., &amp; Mäkipää, R. (2019). </w:t>
      </w:r>
      <w:r w:rsidRPr="00CD14C4">
        <w:rPr>
          <w:rFonts w:ascii="Times New Roman" w:hAnsi="Times New Roman" w:cs="Times New Roman"/>
          <w:sz w:val="24"/>
          <w:szCs w:val="24"/>
        </w:rPr>
        <w:t xml:space="preserve">Cropland soils in China have a large potential for carbon sequestration based on literature survey. </w:t>
      </w:r>
      <w:r w:rsidRPr="00CD14C4">
        <w:rPr>
          <w:rFonts w:ascii="Times New Roman" w:hAnsi="Times New Roman" w:cs="Times New Roman"/>
          <w:i/>
          <w:iCs/>
          <w:sz w:val="24"/>
          <w:szCs w:val="24"/>
        </w:rPr>
        <w:t>Soil and Tillage Research</w:t>
      </w:r>
      <w:r w:rsidRPr="00CD14C4">
        <w:rPr>
          <w:rFonts w:ascii="Times New Roman" w:hAnsi="Times New Roman" w:cs="Times New Roman"/>
          <w:sz w:val="24"/>
          <w:szCs w:val="24"/>
        </w:rPr>
        <w:t>, 186, 70-78.</w:t>
      </w:r>
    </w:p>
    <w:p w14:paraId="1BFA1615" w14:textId="77777777" w:rsidR="007C57AA" w:rsidRPr="00CD14C4" w:rsidRDefault="007C57AA" w:rsidP="00CD14C4">
      <w:pPr>
        <w:pStyle w:val="ListParagraph"/>
        <w:numPr>
          <w:ilvl w:val="0"/>
          <w:numId w:val="7"/>
        </w:numPr>
        <w:jc w:val="both"/>
        <w:rPr>
          <w:rFonts w:ascii="Times New Roman" w:hAnsi="Times New Roman" w:cs="Times New Roman"/>
          <w:sz w:val="24"/>
          <w:szCs w:val="24"/>
        </w:rPr>
      </w:pPr>
      <w:r w:rsidRPr="0081162C">
        <w:rPr>
          <w:rFonts w:ascii="Times New Roman" w:hAnsi="Times New Roman" w:cs="Times New Roman"/>
          <w:sz w:val="24"/>
          <w:szCs w:val="24"/>
          <w:lang w:val="nl-BE"/>
        </w:rPr>
        <w:t xml:space="preserve">Vermeulen, S., Bossio, D., Lehmann, J., Luu, P., Paustian, K., Webb, C., ... &amp; Wollenberg, E. (2019). </w:t>
      </w:r>
      <w:r w:rsidRPr="00CD14C4">
        <w:rPr>
          <w:rFonts w:ascii="Times New Roman" w:hAnsi="Times New Roman" w:cs="Times New Roman"/>
          <w:sz w:val="24"/>
          <w:szCs w:val="24"/>
        </w:rPr>
        <w:t xml:space="preserve">A global agenda for collective action on soil carbon. </w:t>
      </w:r>
      <w:r w:rsidRPr="00CD14C4">
        <w:rPr>
          <w:rFonts w:ascii="Times New Roman" w:hAnsi="Times New Roman" w:cs="Times New Roman"/>
          <w:i/>
          <w:iCs/>
          <w:sz w:val="24"/>
          <w:szCs w:val="24"/>
        </w:rPr>
        <w:t>Nature Sustainability</w:t>
      </w:r>
      <w:r w:rsidRPr="00CD14C4">
        <w:rPr>
          <w:rFonts w:ascii="Times New Roman" w:hAnsi="Times New Roman" w:cs="Times New Roman"/>
          <w:sz w:val="24"/>
          <w:szCs w:val="24"/>
        </w:rPr>
        <w:t>, 2(1), 2-4.</w:t>
      </w:r>
    </w:p>
    <w:p w14:paraId="642DD681" w14:textId="5E1402F7" w:rsidR="007C57AA" w:rsidRDefault="007C57AA" w:rsidP="00CD14C4">
      <w:pPr>
        <w:pStyle w:val="ListParagraph"/>
        <w:numPr>
          <w:ilvl w:val="0"/>
          <w:numId w:val="7"/>
        </w:numPr>
        <w:jc w:val="both"/>
        <w:rPr>
          <w:rFonts w:ascii="Times New Roman" w:hAnsi="Times New Roman" w:cs="Times New Roman"/>
          <w:sz w:val="24"/>
          <w:szCs w:val="24"/>
        </w:rPr>
      </w:pPr>
      <w:r w:rsidRPr="00CD14C4">
        <w:rPr>
          <w:rFonts w:ascii="Times New Roman" w:hAnsi="Times New Roman" w:cs="Times New Roman"/>
          <w:sz w:val="24"/>
          <w:szCs w:val="24"/>
        </w:rPr>
        <w:t xml:space="preserve">Zomer, R. J., Bossio, D. A., Sommer, R., &amp; </w:t>
      </w:r>
      <w:proofErr w:type="spellStart"/>
      <w:r w:rsidRPr="00CD14C4">
        <w:rPr>
          <w:rFonts w:ascii="Times New Roman" w:hAnsi="Times New Roman" w:cs="Times New Roman"/>
          <w:sz w:val="24"/>
          <w:szCs w:val="24"/>
        </w:rPr>
        <w:t>Verchot</w:t>
      </w:r>
      <w:proofErr w:type="spellEnd"/>
      <w:r w:rsidRPr="00CD14C4">
        <w:rPr>
          <w:rFonts w:ascii="Times New Roman" w:hAnsi="Times New Roman" w:cs="Times New Roman"/>
          <w:sz w:val="24"/>
          <w:szCs w:val="24"/>
        </w:rPr>
        <w:t xml:space="preserve">, L. V. (2017). Global sequestration potential of increased organic carbon in cropland soils. </w:t>
      </w:r>
      <w:r w:rsidRPr="00CD14C4">
        <w:rPr>
          <w:rFonts w:ascii="Times New Roman" w:hAnsi="Times New Roman" w:cs="Times New Roman"/>
          <w:i/>
          <w:iCs/>
          <w:sz w:val="24"/>
          <w:szCs w:val="24"/>
        </w:rPr>
        <w:t>Scientific Reports</w:t>
      </w:r>
      <w:r w:rsidRPr="00CD14C4">
        <w:rPr>
          <w:rFonts w:ascii="Times New Roman" w:hAnsi="Times New Roman" w:cs="Times New Roman"/>
          <w:sz w:val="24"/>
          <w:szCs w:val="24"/>
        </w:rPr>
        <w:t>, 7(1), 15554.</w:t>
      </w:r>
    </w:p>
    <w:p w14:paraId="2B67D902" w14:textId="77777777" w:rsidR="008A5EF7" w:rsidRPr="00096FD2" w:rsidRDefault="008A5EF7" w:rsidP="008A5EF7">
      <w:pPr>
        <w:pStyle w:val="ListParagraph"/>
        <w:numPr>
          <w:ilvl w:val="0"/>
          <w:numId w:val="7"/>
        </w:numPr>
        <w:jc w:val="both"/>
        <w:rPr>
          <w:rFonts w:ascii="Times New Roman" w:hAnsi="Times New Roman" w:cs="Times New Roman"/>
          <w:sz w:val="24"/>
          <w:szCs w:val="24"/>
          <w:highlight w:val="yellow"/>
        </w:rPr>
      </w:pPr>
      <w:proofErr w:type="spellStart"/>
      <w:r w:rsidRPr="00096FD2">
        <w:rPr>
          <w:rFonts w:ascii="Times New Roman" w:hAnsi="Times New Roman" w:cs="Times New Roman"/>
          <w:sz w:val="24"/>
          <w:szCs w:val="24"/>
          <w:highlight w:val="yellow"/>
        </w:rPr>
        <w:t>Poeplau</w:t>
      </w:r>
      <w:proofErr w:type="spellEnd"/>
      <w:r w:rsidRPr="00096FD2">
        <w:rPr>
          <w:rFonts w:ascii="Times New Roman" w:hAnsi="Times New Roman" w:cs="Times New Roman"/>
          <w:sz w:val="24"/>
          <w:szCs w:val="24"/>
          <w:highlight w:val="yellow"/>
        </w:rPr>
        <w:t>, C. (2021). Grassland soil organic carbon stocks along management intensity and warming gradients. Grass and Forage Science, 76(2), 186-195.</w:t>
      </w:r>
    </w:p>
    <w:p w14:paraId="49FCDE0B" w14:textId="77777777" w:rsidR="008A5EF7" w:rsidRPr="00096FD2" w:rsidRDefault="008A5EF7" w:rsidP="008A5EF7">
      <w:pPr>
        <w:pStyle w:val="ListParagraph"/>
        <w:numPr>
          <w:ilvl w:val="0"/>
          <w:numId w:val="7"/>
        </w:numPr>
        <w:jc w:val="both"/>
        <w:rPr>
          <w:rFonts w:ascii="Times New Roman" w:hAnsi="Times New Roman" w:cs="Times New Roman"/>
          <w:sz w:val="24"/>
          <w:szCs w:val="24"/>
          <w:highlight w:val="yellow"/>
        </w:rPr>
      </w:pPr>
      <w:r w:rsidRPr="00096FD2">
        <w:rPr>
          <w:rFonts w:ascii="Times New Roman" w:hAnsi="Times New Roman" w:cs="Times New Roman"/>
          <w:sz w:val="24"/>
          <w:szCs w:val="24"/>
          <w:highlight w:val="yellow"/>
        </w:rPr>
        <w:t xml:space="preserve">Beisekenov, N., </w:t>
      </w:r>
      <w:proofErr w:type="spellStart"/>
      <w:r w:rsidRPr="00096FD2">
        <w:rPr>
          <w:rFonts w:ascii="Times New Roman" w:hAnsi="Times New Roman" w:cs="Times New Roman"/>
          <w:sz w:val="24"/>
          <w:szCs w:val="24"/>
          <w:highlight w:val="yellow"/>
        </w:rPr>
        <w:t>Banakinaou</w:t>
      </w:r>
      <w:proofErr w:type="spellEnd"/>
      <w:r w:rsidRPr="00096FD2">
        <w:rPr>
          <w:rFonts w:ascii="Times New Roman" w:hAnsi="Times New Roman" w:cs="Times New Roman"/>
          <w:sz w:val="24"/>
          <w:szCs w:val="24"/>
          <w:highlight w:val="yellow"/>
        </w:rPr>
        <w:t>, W., Ajayi, A. D., Hasegawa, H., &amp; Tadao, A. (2025). Remote Sensing-Based Soil Organic Carbon Monitoring Using Advanced Machine Learning Techniques Under Conservation Agriculture Systems. Smart Agricultural Technology, 101036.</w:t>
      </w:r>
    </w:p>
    <w:p w14:paraId="04DF2E4E" w14:textId="77777777" w:rsidR="008A5EF7" w:rsidRPr="00096FD2" w:rsidRDefault="008A5EF7" w:rsidP="008A5EF7">
      <w:pPr>
        <w:pStyle w:val="ListParagraph"/>
        <w:numPr>
          <w:ilvl w:val="0"/>
          <w:numId w:val="7"/>
        </w:numPr>
        <w:jc w:val="both"/>
        <w:rPr>
          <w:rFonts w:ascii="Times New Roman" w:hAnsi="Times New Roman" w:cs="Times New Roman"/>
          <w:sz w:val="24"/>
          <w:szCs w:val="24"/>
          <w:highlight w:val="yellow"/>
        </w:rPr>
      </w:pPr>
      <w:r w:rsidRPr="0081162C">
        <w:rPr>
          <w:rFonts w:ascii="Times New Roman" w:hAnsi="Times New Roman" w:cs="Times New Roman"/>
          <w:sz w:val="24"/>
          <w:szCs w:val="24"/>
          <w:highlight w:val="yellow"/>
          <w:lang w:val="nl-BE"/>
        </w:rPr>
        <w:t xml:space="preserve">Kristjanpoller, W., &amp; Minutolo, M. C. (2025). </w:t>
      </w:r>
      <w:r w:rsidRPr="00096FD2">
        <w:rPr>
          <w:rFonts w:ascii="Times New Roman" w:hAnsi="Times New Roman" w:cs="Times New Roman"/>
          <w:sz w:val="24"/>
          <w:szCs w:val="24"/>
          <w:highlight w:val="yellow"/>
        </w:rPr>
        <w:t>Exploring the Dynamic Interplay: Carbon Credit Markets and Asymmetric Multifractal Cross-Correlations with Financial Assets. Fractal and Fractional, 9(10), 638.</w:t>
      </w:r>
    </w:p>
    <w:p w14:paraId="010025CE" w14:textId="77777777" w:rsidR="008A5EF7" w:rsidRPr="00096FD2" w:rsidRDefault="008A5EF7" w:rsidP="008A5EF7">
      <w:pPr>
        <w:pStyle w:val="ListParagraph"/>
        <w:numPr>
          <w:ilvl w:val="0"/>
          <w:numId w:val="7"/>
        </w:numPr>
        <w:jc w:val="both"/>
        <w:rPr>
          <w:rFonts w:ascii="Times New Roman" w:hAnsi="Times New Roman" w:cs="Times New Roman"/>
          <w:sz w:val="24"/>
          <w:szCs w:val="24"/>
          <w:highlight w:val="yellow"/>
        </w:rPr>
      </w:pPr>
      <w:proofErr w:type="spellStart"/>
      <w:r w:rsidRPr="00096FD2">
        <w:rPr>
          <w:rFonts w:ascii="Times New Roman" w:hAnsi="Times New Roman" w:cs="Times New Roman"/>
          <w:sz w:val="24"/>
          <w:szCs w:val="24"/>
          <w:highlight w:val="yellow"/>
        </w:rPr>
        <w:t>Gorain</w:t>
      </w:r>
      <w:proofErr w:type="spellEnd"/>
      <w:r w:rsidRPr="00096FD2">
        <w:rPr>
          <w:rFonts w:ascii="Times New Roman" w:hAnsi="Times New Roman" w:cs="Times New Roman"/>
          <w:sz w:val="24"/>
          <w:szCs w:val="24"/>
          <w:highlight w:val="yellow"/>
        </w:rPr>
        <w:t>, S., Malakar, A., &amp; Chanda, S. (2021). An analysis of carbon market and carbon credits in India. Asian Journal of Agricultural Extension, Economics &amp; Sociology, 39(2), 40–49. https://doi.org/10.9734/ajaees/2021/v39i230528</w:t>
      </w:r>
    </w:p>
    <w:p w14:paraId="7DB6FD8A" w14:textId="77777777" w:rsidR="008A5EF7" w:rsidRPr="00096FD2" w:rsidRDefault="008A5EF7" w:rsidP="008A5EF7">
      <w:pPr>
        <w:pStyle w:val="ListParagraph"/>
        <w:numPr>
          <w:ilvl w:val="0"/>
          <w:numId w:val="7"/>
        </w:numPr>
        <w:jc w:val="both"/>
        <w:rPr>
          <w:rFonts w:ascii="Times New Roman" w:hAnsi="Times New Roman" w:cs="Times New Roman"/>
          <w:sz w:val="24"/>
          <w:szCs w:val="24"/>
          <w:highlight w:val="yellow"/>
        </w:rPr>
      </w:pPr>
      <w:r w:rsidRPr="00096FD2">
        <w:rPr>
          <w:rFonts w:ascii="Times New Roman" w:hAnsi="Times New Roman" w:cs="Times New Roman"/>
          <w:sz w:val="24"/>
          <w:szCs w:val="24"/>
          <w:highlight w:val="yellow"/>
        </w:rPr>
        <w:t xml:space="preserve">Kaushal, S., Sharma, N., Singh, I., &amp; Singh, H. (2023). Soil carbon sequestration: A step towards sustainability. International Journal of Plant &amp; Soil Science, 35(11), 160–171. https://doi.org/10.9734/ijpss/2023/v35i112957 </w:t>
      </w:r>
    </w:p>
    <w:p w14:paraId="70298FB1" w14:textId="77777777" w:rsidR="008A5EF7" w:rsidRPr="00096FD2" w:rsidRDefault="008A5EF7" w:rsidP="008A5EF7">
      <w:pPr>
        <w:pStyle w:val="ListParagraph"/>
        <w:numPr>
          <w:ilvl w:val="0"/>
          <w:numId w:val="7"/>
        </w:numPr>
        <w:jc w:val="both"/>
        <w:rPr>
          <w:rFonts w:ascii="Times New Roman" w:hAnsi="Times New Roman" w:cs="Times New Roman"/>
          <w:sz w:val="24"/>
          <w:szCs w:val="24"/>
          <w:highlight w:val="yellow"/>
        </w:rPr>
      </w:pPr>
      <w:r w:rsidRPr="00096FD2">
        <w:rPr>
          <w:rFonts w:ascii="Times New Roman" w:hAnsi="Times New Roman" w:cs="Times New Roman"/>
          <w:sz w:val="24"/>
          <w:szCs w:val="24"/>
          <w:highlight w:val="yellow"/>
        </w:rPr>
        <w:t xml:space="preserve">Das, S., </w:t>
      </w:r>
      <w:proofErr w:type="spellStart"/>
      <w:r w:rsidRPr="00096FD2">
        <w:rPr>
          <w:rFonts w:ascii="Times New Roman" w:hAnsi="Times New Roman" w:cs="Times New Roman"/>
          <w:sz w:val="24"/>
          <w:szCs w:val="24"/>
          <w:highlight w:val="yellow"/>
        </w:rPr>
        <w:t>Beegum</w:t>
      </w:r>
      <w:proofErr w:type="spellEnd"/>
      <w:r w:rsidRPr="00096FD2">
        <w:rPr>
          <w:rFonts w:ascii="Times New Roman" w:hAnsi="Times New Roman" w:cs="Times New Roman"/>
          <w:sz w:val="24"/>
          <w:szCs w:val="24"/>
          <w:highlight w:val="yellow"/>
        </w:rPr>
        <w:t>, S., Acharya, B. S., &amp; Panday, D. (2025). Soil Carbon Sequestration: A Mechanistic Perspective on Limitations and Future Possibilities. Sustainability.</w:t>
      </w:r>
    </w:p>
    <w:p w14:paraId="40C29F96" w14:textId="057A68B9" w:rsidR="001404DE" w:rsidRPr="00096FD2" w:rsidRDefault="008A5EF7" w:rsidP="008A5EF7">
      <w:pPr>
        <w:pStyle w:val="ListParagraph"/>
        <w:numPr>
          <w:ilvl w:val="0"/>
          <w:numId w:val="7"/>
        </w:numPr>
        <w:jc w:val="both"/>
        <w:rPr>
          <w:rFonts w:ascii="Times New Roman" w:hAnsi="Times New Roman" w:cs="Times New Roman"/>
          <w:sz w:val="24"/>
          <w:szCs w:val="24"/>
          <w:highlight w:val="yellow"/>
        </w:rPr>
      </w:pPr>
      <w:proofErr w:type="spellStart"/>
      <w:r w:rsidRPr="00096FD2">
        <w:rPr>
          <w:rFonts w:ascii="Times New Roman" w:hAnsi="Times New Roman" w:cs="Times New Roman"/>
          <w:sz w:val="24"/>
          <w:szCs w:val="24"/>
          <w:highlight w:val="yellow"/>
        </w:rPr>
        <w:t>Enebe</w:t>
      </w:r>
      <w:proofErr w:type="spellEnd"/>
      <w:r w:rsidRPr="00096FD2">
        <w:rPr>
          <w:rFonts w:ascii="Times New Roman" w:hAnsi="Times New Roman" w:cs="Times New Roman"/>
          <w:sz w:val="24"/>
          <w:szCs w:val="24"/>
          <w:highlight w:val="yellow"/>
        </w:rPr>
        <w:t>, M. C., Ray, R. L., &amp; Griffin, R. W. (2025). Carbon sequestration and soil responses to soil amendments–A review. Journal of Hazardous Materials Advances, 100714.</w:t>
      </w:r>
    </w:p>
    <w:p w14:paraId="679310F2" w14:textId="2E7AC204" w:rsidR="0022155B" w:rsidRPr="0022155B" w:rsidRDefault="0022155B" w:rsidP="008F603E">
      <w:pPr>
        <w:jc w:val="both"/>
        <w:rPr>
          <w:rFonts w:ascii="Times New Roman" w:hAnsi="Times New Roman" w:cs="Times New Roman"/>
          <w:sz w:val="24"/>
          <w:szCs w:val="24"/>
        </w:rPr>
      </w:pPr>
    </w:p>
    <w:sectPr w:rsidR="0022155B" w:rsidRPr="0022155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C2DD" w14:textId="77777777" w:rsidR="00CF2024" w:rsidRDefault="00CF2024" w:rsidP="000D45D1">
      <w:pPr>
        <w:spacing w:after="0" w:line="240" w:lineRule="auto"/>
      </w:pPr>
      <w:r>
        <w:separator/>
      </w:r>
    </w:p>
  </w:endnote>
  <w:endnote w:type="continuationSeparator" w:id="0">
    <w:p w14:paraId="07A2D367" w14:textId="77777777" w:rsidR="00CF2024" w:rsidRDefault="00CF2024" w:rsidP="000D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0AFE" w14:textId="77777777" w:rsidR="000D45D1" w:rsidRDefault="000D4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1CE9" w14:textId="77777777" w:rsidR="000D45D1" w:rsidRDefault="000D4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6A6E" w14:textId="77777777" w:rsidR="000D45D1" w:rsidRDefault="000D4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477E" w14:textId="77777777" w:rsidR="00CF2024" w:rsidRDefault="00CF2024" w:rsidP="000D45D1">
      <w:pPr>
        <w:spacing w:after="0" w:line="240" w:lineRule="auto"/>
      </w:pPr>
      <w:r>
        <w:separator/>
      </w:r>
    </w:p>
  </w:footnote>
  <w:footnote w:type="continuationSeparator" w:id="0">
    <w:p w14:paraId="7EEE07BD" w14:textId="77777777" w:rsidR="00CF2024" w:rsidRDefault="00CF2024" w:rsidP="000D4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8E12" w14:textId="29CD2399" w:rsidR="000D45D1" w:rsidRDefault="00000000">
    <w:pPr>
      <w:pStyle w:val="Header"/>
    </w:pPr>
    <w:r>
      <w:rPr>
        <w:noProof/>
      </w:rPr>
      <w:pict w14:anchorId="6DCE9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7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3B77" w14:textId="19391CC4" w:rsidR="000D45D1" w:rsidRDefault="00000000">
    <w:pPr>
      <w:pStyle w:val="Header"/>
    </w:pPr>
    <w:r>
      <w:rPr>
        <w:noProof/>
      </w:rPr>
      <w:pict w14:anchorId="6A494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7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1A65" w14:textId="383A714D" w:rsidR="000D45D1" w:rsidRDefault="00000000">
    <w:pPr>
      <w:pStyle w:val="Header"/>
    </w:pPr>
    <w:r>
      <w:rPr>
        <w:noProof/>
      </w:rPr>
      <w:pict w14:anchorId="3FB25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7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387780D"/>
    <w:multiLevelType w:val="hybridMultilevel"/>
    <w:tmpl w:val="AA1ED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5072359">
    <w:abstractNumId w:val="0"/>
  </w:num>
  <w:num w:numId="2" w16cid:durableId="727073816">
    <w:abstractNumId w:val="3"/>
  </w:num>
  <w:num w:numId="3" w16cid:durableId="1771394698">
    <w:abstractNumId w:val="2"/>
  </w:num>
  <w:num w:numId="4" w16cid:durableId="601035305">
    <w:abstractNumId w:val="6"/>
  </w:num>
  <w:num w:numId="5" w16cid:durableId="740252822">
    <w:abstractNumId w:val="5"/>
  </w:num>
  <w:num w:numId="6" w16cid:durableId="372653038">
    <w:abstractNumId w:val="1"/>
  </w:num>
  <w:num w:numId="7" w16cid:durableId="2090300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zMjAyMzM3Nze1NDFX0lEKTi0uzszPAykwrAUAcv2c8ywAAAA="/>
  </w:docVars>
  <w:rsids>
    <w:rsidRoot w:val="005E72E8"/>
    <w:rsid w:val="00035B98"/>
    <w:rsid w:val="00054910"/>
    <w:rsid w:val="00066226"/>
    <w:rsid w:val="00096FD2"/>
    <w:rsid w:val="000A3FDC"/>
    <w:rsid w:val="000A569B"/>
    <w:rsid w:val="000D45D1"/>
    <w:rsid w:val="000E3571"/>
    <w:rsid w:val="000F200C"/>
    <w:rsid w:val="000F4126"/>
    <w:rsid w:val="00112A90"/>
    <w:rsid w:val="00122987"/>
    <w:rsid w:val="001404DE"/>
    <w:rsid w:val="0014433A"/>
    <w:rsid w:val="00172C50"/>
    <w:rsid w:val="001821E2"/>
    <w:rsid w:val="0019255D"/>
    <w:rsid w:val="001D0A8C"/>
    <w:rsid w:val="001F173C"/>
    <w:rsid w:val="001F2AB8"/>
    <w:rsid w:val="001F51BE"/>
    <w:rsid w:val="002025F2"/>
    <w:rsid w:val="0021228F"/>
    <w:rsid w:val="0022155B"/>
    <w:rsid w:val="0023040F"/>
    <w:rsid w:val="00234BE4"/>
    <w:rsid w:val="00247B9F"/>
    <w:rsid w:val="002857C9"/>
    <w:rsid w:val="00294087"/>
    <w:rsid w:val="002D1DF9"/>
    <w:rsid w:val="002F7F4A"/>
    <w:rsid w:val="00304398"/>
    <w:rsid w:val="00305CC3"/>
    <w:rsid w:val="00313AE8"/>
    <w:rsid w:val="00315D24"/>
    <w:rsid w:val="0032155B"/>
    <w:rsid w:val="00360A35"/>
    <w:rsid w:val="00381365"/>
    <w:rsid w:val="00391A6A"/>
    <w:rsid w:val="003B2140"/>
    <w:rsid w:val="003C38D6"/>
    <w:rsid w:val="003D7EC1"/>
    <w:rsid w:val="00436771"/>
    <w:rsid w:val="004609CC"/>
    <w:rsid w:val="004859BB"/>
    <w:rsid w:val="004A2008"/>
    <w:rsid w:val="004A491C"/>
    <w:rsid w:val="004C128A"/>
    <w:rsid w:val="004D05E2"/>
    <w:rsid w:val="004D5CB9"/>
    <w:rsid w:val="005151B4"/>
    <w:rsid w:val="00533350"/>
    <w:rsid w:val="00537005"/>
    <w:rsid w:val="00542155"/>
    <w:rsid w:val="005523E4"/>
    <w:rsid w:val="005566A1"/>
    <w:rsid w:val="0057068B"/>
    <w:rsid w:val="00572B00"/>
    <w:rsid w:val="005734B2"/>
    <w:rsid w:val="005A2BDC"/>
    <w:rsid w:val="005A5785"/>
    <w:rsid w:val="005D0259"/>
    <w:rsid w:val="005D5AA3"/>
    <w:rsid w:val="005E3F5D"/>
    <w:rsid w:val="005E6905"/>
    <w:rsid w:val="005E72E8"/>
    <w:rsid w:val="006350EC"/>
    <w:rsid w:val="00635EAB"/>
    <w:rsid w:val="006535AB"/>
    <w:rsid w:val="00657A9F"/>
    <w:rsid w:val="00662482"/>
    <w:rsid w:val="00665055"/>
    <w:rsid w:val="00666780"/>
    <w:rsid w:val="00685D65"/>
    <w:rsid w:val="0068799F"/>
    <w:rsid w:val="006B42FD"/>
    <w:rsid w:val="006C2347"/>
    <w:rsid w:val="006D2EB1"/>
    <w:rsid w:val="006E2CFE"/>
    <w:rsid w:val="007023CE"/>
    <w:rsid w:val="00705824"/>
    <w:rsid w:val="007162C0"/>
    <w:rsid w:val="00717B11"/>
    <w:rsid w:val="00723BDD"/>
    <w:rsid w:val="007316BA"/>
    <w:rsid w:val="00755A9F"/>
    <w:rsid w:val="007573D1"/>
    <w:rsid w:val="0079339C"/>
    <w:rsid w:val="007A62FD"/>
    <w:rsid w:val="007A77A2"/>
    <w:rsid w:val="007C074F"/>
    <w:rsid w:val="007C57AA"/>
    <w:rsid w:val="007E0843"/>
    <w:rsid w:val="007F16D3"/>
    <w:rsid w:val="008053C7"/>
    <w:rsid w:val="008064C6"/>
    <w:rsid w:val="0081162C"/>
    <w:rsid w:val="00812073"/>
    <w:rsid w:val="00830DA7"/>
    <w:rsid w:val="00850C44"/>
    <w:rsid w:val="008510F8"/>
    <w:rsid w:val="00852B08"/>
    <w:rsid w:val="00872FB0"/>
    <w:rsid w:val="0088643B"/>
    <w:rsid w:val="00896017"/>
    <w:rsid w:val="008A5EF7"/>
    <w:rsid w:val="008A6EE4"/>
    <w:rsid w:val="008A71E4"/>
    <w:rsid w:val="008C2D0D"/>
    <w:rsid w:val="008D038B"/>
    <w:rsid w:val="008D36AC"/>
    <w:rsid w:val="008E0AD0"/>
    <w:rsid w:val="008F0786"/>
    <w:rsid w:val="008F449D"/>
    <w:rsid w:val="008F603E"/>
    <w:rsid w:val="00922325"/>
    <w:rsid w:val="009268E9"/>
    <w:rsid w:val="00927F2C"/>
    <w:rsid w:val="00937CED"/>
    <w:rsid w:val="009538B7"/>
    <w:rsid w:val="0096095D"/>
    <w:rsid w:val="009802C5"/>
    <w:rsid w:val="009C0C38"/>
    <w:rsid w:val="009D718B"/>
    <w:rsid w:val="009E1B92"/>
    <w:rsid w:val="00A0533F"/>
    <w:rsid w:val="00A25762"/>
    <w:rsid w:val="00A4239E"/>
    <w:rsid w:val="00A42F77"/>
    <w:rsid w:val="00A626DE"/>
    <w:rsid w:val="00A660F0"/>
    <w:rsid w:val="00A96A8B"/>
    <w:rsid w:val="00AC1720"/>
    <w:rsid w:val="00AD7301"/>
    <w:rsid w:val="00B25F7F"/>
    <w:rsid w:val="00B37B9F"/>
    <w:rsid w:val="00B423CE"/>
    <w:rsid w:val="00B54C17"/>
    <w:rsid w:val="00B67C60"/>
    <w:rsid w:val="00B70D71"/>
    <w:rsid w:val="00BB5982"/>
    <w:rsid w:val="00BD2384"/>
    <w:rsid w:val="00BE698F"/>
    <w:rsid w:val="00BF0D55"/>
    <w:rsid w:val="00BF421B"/>
    <w:rsid w:val="00C212C0"/>
    <w:rsid w:val="00C65C2E"/>
    <w:rsid w:val="00C73AFF"/>
    <w:rsid w:val="00C77068"/>
    <w:rsid w:val="00C80F37"/>
    <w:rsid w:val="00C932E4"/>
    <w:rsid w:val="00CA06A3"/>
    <w:rsid w:val="00CC5BBC"/>
    <w:rsid w:val="00CD14C4"/>
    <w:rsid w:val="00CD3006"/>
    <w:rsid w:val="00CD7438"/>
    <w:rsid w:val="00CE104F"/>
    <w:rsid w:val="00CF2024"/>
    <w:rsid w:val="00D13EB7"/>
    <w:rsid w:val="00D17189"/>
    <w:rsid w:val="00D21F49"/>
    <w:rsid w:val="00D26692"/>
    <w:rsid w:val="00D26C42"/>
    <w:rsid w:val="00D31725"/>
    <w:rsid w:val="00D46E4D"/>
    <w:rsid w:val="00D65EFE"/>
    <w:rsid w:val="00DD00B2"/>
    <w:rsid w:val="00DD0F35"/>
    <w:rsid w:val="00DF71DA"/>
    <w:rsid w:val="00E05A34"/>
    <w:rsid w:val="00E143F6"/>
    <w:rsid w:val="00E30043"/>
    <w:rsid w:val="00E51DC2"/>
    <w:rsid w:val="00E77526"/>
    <w:rsid w:val="00E85672"/>
    <w:rsid w:val="00EA342C"/>
    <w:rsid w:val="00EE24E9"/>
    <w:rsid w:val="00EF6DBC"/>
    <w:rsid w:val="00F00DA5"/>
    <w:rsid w:val="00F02C75"/>
    <w:rsid w:val="00F32B76"/>
    <w:rsid w:val="00F450C9"/>
    <w:rsid w:val="00F6734E"/>
    <w:rsid w:val="00F704A8"/>
    <w:rsid w:val="00F800AB"/>
    <w:rsid w:val="00F92B23"/>
    <w:rsid w:val="00F975A5"/>
    <w:rsid w:val="00FA3DC0"/>
    <w:rsid w:val="00FD0E19"/>
    <w:rsid w:val="00FD506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AEA2F"/>
  <w15:chartTrackingRefBased/>
  <w15:docId w15:val="{317B110C-4771-4685-9744-B2D3EB40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E8"/>
  </w:style>
  <w:style w:type="paragraph" w:styleId="Heading1">
    <w:name w:val="heading 1"/>
    <w:basedOn w:val="Normal"/>
    <w:next w:val="Normal"/>
    <w:link w:val="Heading1Char"/>
    <w:uiPriority w:val="9"/>
    <w:qFormat/>
    <w:rsid w:val="008F6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C57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57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8F603E"/>
    <w:rPr>
      <w:b/>
      <w:bCs/>
    </w:rPr>
  </w:style>
  <w:style w:type="character" w:customStyle="1" w:styleId="Heading1Char">
    <w:name w:val="Heading 1 Char"/>
    <w:basedOn w:val="DefaultParagraphFont"/>
    <w:link w:val="Heading1"/>
    <w:uiPriority w:val="9"/>
    <w:rsid w:val="008F60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C57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C57A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D14C4"/>
    <w:pPr>
      <w:ind w:left="720"/>
      <w:contextualSpacing/>
    </w:pPr>
  </w:style>
  <w:style w:type="character" w:customStyle="1" w:styleId="UnresolvedMention1">
    <w:name w:val="Unresolved Mention1"/>
    <w:basedOn w:val="DefaultParagraphFont"/>
    <w:uiPriority w:val="99"/>
    <w:semiHidden/>
    <w:unhideWhenUsed/>
    <w:rsid w:val="006E2CFE"/>
    <w:rPr>
      <w:color w:val="605E5C"/>
      <w:shd w:val="clear" w:color="auto" w:fill="E1DFDD"/>
    </w:rPr>
  </w:style>
  <w:style w:type="paragraph" w:styleId="Header">
    <w:name w:val="header"/>
    <w:basedOn w:val="Normal"/>
    <w:link w:val="HeaderChar"/>
    <w:uiPriority w:val="99"/>
    <w:unhideWhenUsed/>
    <w:rsid w:val="000D4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5D1"/>
  </w:style>
  <w:style w:type="paragraph" w:styleId="Footer">
    <w:name w:val="footer"/>
    <w:basedOn w:val="Normal"/>
    <w:link w:val="FooterChar"/>
    <w:uiPriority w:val="99"/>
    <w:unhideWhenUsed/>
    <w:rsid w:val="000D4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5D1"/>
  </w:style>
  <w:style w:type="paragraph" w:styleId="NoSpacing">
    <w:name w:val="No Spacing"/>
    <w:uiPriority w:val="1"/>
    <w:qFormat/>
    <w:rsid w:val="00BE698F"/>
    <w:pPr>
      <w:spacing w:after="0" w:line="240" w:lineRule="auto"/>
    </w:pPr>
    <w:rPr>
      <w:kern w:val="2"/>
      <w14:ligatures w14:val="standardContextual"/>
    </w:rPr>
  </w:style>
  <w:style w:type="paragraph" w:styleId="BalloonText">
    <w:name w:val="Balloon Text"/>
    <w:basedOn w:val="Normal"/>
    <w:link w:val="BalloonTextChar"/>
    <w:uiPriority w:val="99"/>
    <w:semiHidden/>
    <w:unhideWhenUsed/>
    <w:rsid w:val="009802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2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338">
      <w:bodyDiv w:val="1"/>
      <w:marLeft w:val="0"/>
      <w:marRight w:val="0"/>
      <w:marTop w:val="0"/>
      <w:marBottom w:val="0"/>
      <w:divBdr>
        <w:top w:val="none" w:sz="0" w:space="0" w:color="auto"/>
        <w:left w:val="none" w:sz="0" w:space="0" w:color="auto"/>
        <w:bottom w:val="none" w:sz="0" w:space="0" w:color="auto"/>
        <w:right w:val="none" w:sz="0" w:space="0" w:color="auto"/>
      </w:divBdr>
      <w:divsChild>
        <w:div w:id="810055778">
          <w:marLeft w:val="0"/>
          <w:marRight w:val="0"/>
          <w:marTop w:val="0"/>
          <w:marBottom w:val="0"/>
          <w:divBdr>
            <w:top w:val="none" w:sz="0" w:space="0" w:color="auto"/>
            <w:left w:val="none" w:sz="0" w:space="0" w:color="auto"/>
            <w:bottom w:val="none" w:sz="0" w:space="0" w:color="auto"/>
            <w:right w:val="none" w:sz="0" w:space="0" w:color="auto"/>
          </w:divBdr>
          <w:divsChild>
            <w:div w:id="40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79397691">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71871335">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2418870">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1637252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69679198">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27328871">
      <w:bodyDiv w:val="1"/>
      <w:marLeft w:val="0"/>
      <w:marRight w:val="0"/>
      <w:marTop w:val="0"/>
      <w:marBottom w:val="0"/>
      <w:divBdr>
        <w:top w:val="none" w:sz="0" w:space="0" w:color="auto"/>
        <w:left w:val="none" w:sz="0" w:space="0" w:color="auto"/>
        <w:bottom w:val="none" w:sz="0" w:space="0" w:color="auto"/>
        <w:right w:val="none" w:sz="0" w:space="0" w:color="auto"/>
      </w:divBdr>
    </w:div>
    <w:div w:id="900166494">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347823738">
      <w:bodyDiv w:val="1"/>
      <w:marLeft w:val="0"/>
      <w:marRight w:val="0"/>
      <w:marTop w:val="0"/>
      <w:marBottom w:val="0"/>
      <w:divBdr>
        <w:top w:val="none" w:sz="0" w:space="0" w:color="auto"/>
        <w:left w:val="none" w:sz="0" w:space="0" w:color="auto"/>
        <w:bottom w:val="none" w:sz="0" w:space="0" w:color="auto"/>
        <w:right w:val="none" w:sz="0" w:space="0" w:color="auto"/>
      </w:divBdr>
      <w:divsChild>
        <w:div w:id="1902055070">
          <w:marLeft w:val="0"/>
          <w:marRight w:val="0"/>
          <w:marTop w:val="0"/>
          <w:marBottom w:val="0"/>
          <w:divBdr>
            <w:top w:val="none" w:sz="0" w:space="0" w:color="auto"/>
            <w:left w:val="none" w:sz="0" w:space="0" w:color="auto"/>
            <w:bottom w:val="none" w:sz="0" w:space="0" w:color="auto"/>
            <w:right w:val="none" w:sz="0" w:space="0" w:color="auto"/>
          </w:divBdr>
          <w:divsChild>
            <w:div w:id="8240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70585553">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512217">
      <w:bodyDiv w:val="1"/>
      <w:marLeft w:val="0"/>
      <w:marRight w:val="0"/>
      <w:marTop w:val="0"/>
      <w:marBottom w:val="0"/>
      <w:divBdr>
        <w:top w:val="none" w:sz="0" w:space="0" w:color="auto"/>
        <w:left w:val="none" w:sz="0" w:space="0" w:color="auto"/>
        <w:bottom w:val="none" w:sz="0" w:space="0" w:color="auto"/>
        <w:right w:val="none" w:sz="0" w:space="0" w:color="auto"/>
      </w:divBdr>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88905855">
      <w:bodyDiv w:val="1"/>
      <w:marLeft w:val="0"/>
      <w:marRight w:val="0"/>
      <w:marTop w:val="0"/>
      <w:marBottom w:val="0"/>
      <w:divBdr>
        <w:top w:val="none" w:sz="0" w:space="0" w:color="auto"/>
        <w:left w:val="none" w:sz="0" w:space="0" w:color="auto"/>
        <w:bottom w:val="none" w:sz="0" w:space="0" w:color="auto"/>
        <w:right w:val="none" w:sz="0" w:space="0" w:color="auto"/>
      </w:divBdr>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46830591">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16</Pages>
  <Words>4336</Words>
  <Characters>24719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Editor-90</cp:lastModifiedBy>
  <cp:revision>241</cp:revision>
  <dcterms:created xsi:type="dcterms:W3CDTF">2025-03-30T16:47:00Z</dcterms:created>
  <dcterms:modified xsi:type="dcterms:W3CDTF">2025-11-03T08:21:00Z</dcterms:modified>
</cp:coreProperties>
</file>