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E11" w:rsidRDefault="00C87E11">
      <w:pPr>
        <w:spacing w:before="4" w:after="1"/>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87E11">
        <w:trPr>
          <w:trHeight w:val="290"/>
        </w:trPr>
        <w:tc>
          <w:tcPr>
            <w:tcW w:w="5168" w:type="dxa"/>
          </w:tcPr>
          <w:p w:rsidR="00C87E11" w:rsidRDefault="002D30C0">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C87E11" w:rsidRDefault="004C2D28">
            <w:pPr>
              <w:pStyle w:val="TableParagraph"/>
              <w:spacing w:before="30"/>
              <w:rPr>
                <w:rFonts w:ascii="Arial"/>
                <w:b/>
                <w:sz w:val="20"/>
              </w:rPr>
            </w:pPr>
            <w:hyperlink r:id="rId6">
              <w:r w:rsidR="002D30C0">
                <w:rPr>
                  <w:rFonts w:ascii="Arial"/>
                  <w:b/>
                  <w:color w:val="0000FF"/>
                  <w:sz w:val="20"/>
                  <w:u w:val="single" w:color="0000FF"/>
                </w:rPr>
                <w:t>Ophthalmology</w:t>
              </w:r>
              <w:r w:rsidR="002D30C0">
                <w:rPr>
                  <w:rFonts w:ascii="Arial"/>
                  <w:b/>
                  <w:color w:val="0000FF"/>
                  <w:spacing w:val="-13"/>
                  <w:sz w:val="20"/>
                  <w:u w:val="single" w:color="0000FF"/>
                </w:rPr>
                <w:t xml:space="preserve"> </w:t>
              </w:r>
              <w:r w:rsidR="002D30C0">
                <w:rPr>
                  <w:rFonts w:ascii="Arial"/>
                  <w:b/>
                  <w:color w:val="0000FF"/>
                  <w:sz w:val="20"/>
                  <w:u w:val="single" w:color="0000FF"/>
                </w:rPr>
                <w:t>Research:</w:t>
              </w:r>
              <w:r w:rsidR="002D30C0">
                <w:rPr>
                  <w:rFonts w:ascii="Arial"/>
                  <w:b/>
                  <w:color w:val="0000FF"/>
                  <w:spacing w:val="-10"/>
                  <w:sz w:val="20"/>
                  <w:u w:val="single" w:color="0000FF"/>
                </w:rPr>
                <w:t xml:space="preserve"> </w:t>
              </w:r>
              <w:r w:rsidR="002D30C0">
                <w:rPr>
                  <w:rFonts w:ascii="Arial"/>
                  <w:b/>
                  <w:color w:val="0000FF"/>
                  <w:sz w:val="20"/>
                  <w:u w:val="single" w:color="0000FF"/>
                </w:rPr>
                <w:t>An</w:t>
              </w:r>
              <w:r w:rsidR="002D30C0">
                <w:rPr>
                  <w:rFonts w:ascii="Arial"/>
                  <w:b/>
                  <w:color w:val="0000FF"/>
                  <w:spacing w:val="-10"/>
                  <w:sz w:val="20"/>
                  <w:u w:val="single" w:color="0000FF"/>
                </w:rPr>
                <w:t xml:space="preserve"> </w:t>
              </w:r>
              <w:r w:rsidR="002D30C0">
                <w:rPr>
                  <w:rFonts w:ascii="Arial"/>
                  <w:b/>
                  <w:color w:val="0000FF"/>
                  <w:sz w:val="20"/>
                  <w:u w:val="single" w:color="0000FF"/>
                </w:rPr>
                <w:t>International</w:t>
              </w:r>
              <w:r w:rsidR="002D30C0">
                <w:rPr>
                  <w:rFonts w:ascii="Arial"/>
                  <w:b/>
                  <w:color w:val="0000FF"/>
                  <w:spacing w:val="-9"/>
                  <w:sz w:val="20"/>
                  <w:u w:val="single" w:color="0000FF"/>
                </w:rPr>
                <w:t xml:space="preserve"> </w:t>
              </w:r>
              <w:r w:rsidR="002D30C0">
                <w:rPr>
                  <w:rFonts w:ascii="Arial"/>
                  <w:b/>
                  <w:color w:val="0000FF"/>
                  <w:spacing w:val="-2"/>
                  <w:sz w:val="20"/>
                  <w:u w:val="single" w:color="0000FF"/>
                </w:rPr>
                <w:t>Journal</w:t>
              </w:r>
            </w:hyperlink>
          </w:p>
        </w:tc>
      </w:tr>
      <w:tr w:rsidR="00C87E11">
        <w:trPr>
          <w:trHeight w:val="290"/>
        </w:trPr>
        <w:tc>
          <w:tcPr>
            <w:tcW w:w="5168" w:type="dxa"/>
          </w:tcPr>
          <w:p w:rsidR="00C87E11" w:rsidRDefault="002D30C0">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C87E11" w:rsidRDefault="002D30C0">
            <w:pPr>
              <w:pStyle w:val="TableParagraph"/>
              <w:spacing w:before="30"/>
              <w:rPr>
                <w:rFonts w:ascii="Arial"/>
                <w:b/>
                <w:sz w:val="20"/>
              </w:rPr>
            </w:pPr>
            <w:r>
              <w:rPr>
                <w:rFonts w:ascii="Arial"/>
                <w:b/>
                <w:spacing w:val="-2"/>
                <w:sz w:val="20"/>
              </w:rPr>
              <w:t>Ms_OR_147782</w:t>
            </w:r>
          </w:p>
        </w:tc>
      </w:tr>
      <w:tr w:rsidR="00C87E11">
        <w:trPr>
          <w:trHeight w:val="650"/>
        </w:trPr>
        <w:tc>
          <w:tcPr>
            <w:tcW w:w="5168" w:type="dxa"/>
          </w:tcPr>
          <w:p w:rsidR="00C87E11" w:rsidRDefault="002D30C0">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C87E11" w:rsidRDefault="002D30C0">
            <w:pPr>
              <w:pStyle w:val="TableParagraph"/>
              <w:spacing w:before="210"/>
              <w:rPr>
                <w:rFonts w:ascii="Arial"/>
                <w:b/>
                <w:sz w:val="20"/>
              </w:rPr>
            </w:pPr>
            <w:r>
              <w:rPr>
                <w:rFonts w:ascii="Arial"/>
                <w:b/>
                <w:sz w:val="20"/>
              </w:rPr>
              <w:t>Eyelid</w:t>
            </w:r>
            <w:r>
              <w:rPr>
                <w:rFonts w:ascii="Arial"/>
                <w:b/>
                <w:spacing w:val="-9"/>
                <w:sz w:val="20"/>
              </w:rPr>
              <w:t xml:space="preserve"> </w:t>
            </w:r>
            <w:r>
              <w:rPr>
                <w:rFonts w:ascii="Arial"/>
                <w:b/>
                <w:sz w:val="20"/>
              </w:rPr>
              <w:t>Coloboma</w:t>
            </w:r>
            <w:r>
              <w:rPr>
                <w:rFonts w:ascii="Arial"/>
                <w:b/>
                <w:spacing w:val="-9"/>
                <w:sz w:val="20"/>
              </w:rPr>
              <w:t xml:space="preserve"> </w:t>
            </w:r>
            <w:r>
              <w:rPr>
                <w:rFonts w:ascii="Arial"/>
                <w:b/>
                <w:sz w:val="20"/>
              </w:rPr>
              <w:t>Reconstruction</w:t>
            </w:r>
            <w:r>
              <w:rPr>
                <w:rFonts w:ascii="Arial"/>
                <w:b/>
                <w:spacing w:val="-8"/>
                <w:sz w:val="20"/>
              </w:rPr>
              <w:t xml:space="preserve"> </w:t>
            </w:r>
            <w:r>
              <w:rPr>
                <w:rFonts w:ascii="Arial"/>
                <w:b/>
                <w:sz w:val="20"/>
              </w:rPr>
              <w:t>by</w:t>
            </w:r>
            <w:r>
              <w:rPr>
                <w:rFonts w:ascii="Arial"/>
                <w:b/>
                <w:spacing w:val="-9"/>
                <w:sz w:val="20"/>
              </w:rPr>
              <w:t xml:space="preserve"> </w:t>
            </w:r>
            <w:proofErr w:type="spellStart"/>
            <w:r>
              <w:rPr>
                <w:rFonts w:ascii="Arial"/>
                <w:b/>
                <w:sz w:val="20"/>
              </w:rPr>
              <w:t>Tenzel</w:t>
            </w:r>
            <w:proofErr w:type="spellEnd"/>
            <w:r>
              <w:rPr>
                <w:rFonts w:ascii="Arial"/>
                <w:b/>
                <w:spacing w:val="-9"/>
                <w:sz w:val="20"/>
              </w:rPr>
              <w:t xml:space="preserve"> </w:t>
            </w:r>
            <w:r>
              <w:rPr>
                <w:rFonts w:ascii="Arial"/>
                <w:b/>
                <w:sz w:val="20"/>
              </w:rPr>
              <w:t>Advancement</w:t>
            </w:r>
            <w:r>
              <w:rPr>
                <w:rFonts w:ascii="Arial"/>
                <w:b/>
                <w:spacing w:val="-8"/>
                <w:sz w:val="20"/>
              </w:rPr>
              <w:t xml:space="preserve"> </w:t>
            </w:r>
            <w:r>
              <w:rPr>
                <w:rFonts w:ascii="Arial"/>
                <w:b/>
                <w:sz w:val="20"/>
              </w:rPr>
              <w:t>Flap</w:t>
            </w:r>
            <w:r>
              <w:rPr>
                <w:rFonts w:ascii="Arial"/>
                <w:b/>
                <w:spacing w:val="-8"/>
                <w:sz w:val="20"/>
              </w:rPr>
              <w:t xml:space="preserve"> </w:t>
            </w:r>
            <w:r>
              <w:rPr>
                <w:rFonts w:ascii="Arial"/>
                <w:b/>
                <w:sz w:val="20"/>
              </w:rPr>
              <w:t>with</w:t>
            </w:r>
            <w:r>
              <w:rPr>
                <w:rFonts w:ascii="Arial"/>
                <w:b/>
                <w:spacing w:val="-7"/>
                <w:sz w:val="20"/>
              </w:rPr>
              <w:t xml:space="preserve"> </w:t>
            </w:r>
            <w:r>
              <w:rPr>
                <w:rFonts w:ascii="Arial"/>
                <w:b/>
                <w:sz w:val="20"/>
              </w:rPr>
              <w:t>Variable</w:t>
            </w:r>
            <w:r>
              <w:rPr>
                <w:rFonts w:ascii="Arial"/>
                <w:b/>
                <w:spacing w:val="-9"/>
                <w:sz w:val="20"/>
              </w:rPr>
              <w:t xml:space="preserve"> </w:t>
            </w:r>
            <w:r>
              <w:rPr>
                <w:rFonts w:ascii="Arial"/>
                <w:b/>
                <w:sz w:val="20"/>
              </w:rPr>
              <w:t>Postoperative</w:t>
            </w:r>
            <w:r>
              <w:rPr>
                <w:rFonts w:ascii="Arial"/>
                <w:b/>
                <w:spacing w:val="-9"/>
                <w:sz w:val="20"/>
              </w:rPr>
              <w:t xml:space="preserve"> </w:t>
            </w:r>
            <w:r>
              <w:rPr>
                <w:rFonts w:ascii="Arial"/>
                <w:b/>
                <w:spacing w:val="-2"/>
                <w:sz w:val="20"/>
              </w:rPr>
              <w:t>Outcomes</w:t>
            </w:r>
          </w:p>
        </w:tc>
      </w:tr>
      <w:tr w:rsidR="00C87E11">
        <w:trPr>
          <w:trHeight w:val="333"/>
        </w:trPr>
        <w:tc>
          <w:tcPr>
            <w:tcW w:w="5168" w:type="dxa"/>
          </w:tcPr>
          <w:p w:rsidR="00C87E11" w:rsidRDefault="002D30C0">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C87E11" w:rsidRDefault="002D30C0">
            <w:pPr>
              <w:pStyle w:val="TableParagraph"/>
              <w:spacing w:before="52"/>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C87E11" w:rsidRDefault="00C87E11">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87E11">
        <w:trPr>
          <w:trHeight w:val="450"/>
        </w:trPr>
        <w:tc>
          <w:tcPr>
            <w:tcW w:w="21153" w:type="dxa"/>
            <w:gridSpan w:val="3"/>
            <w:tcBorders>
              <w:top w:val="nil"/>
              <w:left w:val="nil"/>
              <w:right w:val="nil"/>
            </w:tcBorders>
          </w:tcPr>
          <w:p w:rsidR="00C87E11" w:rsidRDefault="002D30C0">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C87E11">
        <w:trPr>
          <w:trHeight w:val="964"/>
        </w:trPr>
        <w:tc>
          <w:tcPr>
            <w:tcW w:w="5352" w:type="dxa"/>
          </w:tcPr>
          <w:p w:rsidR="00C87E11" w:rsidRDefault="00C87E11">
            <w:pPr>
              <w:pStyle w:val="TableParagraph"/>
              <w:ind w:left="0"/>
              <w:rPr>
                <w:sz w:val="18"/>
              </w:rPr>
            </w:pPr>
          </w:p>
        </w:tc>
        <w:tc>
          <w:tcPr>
            <w:tcW w:w="9356" w:type="dxa"/>
          </w:tcPr>
          <w:p w:rsidR="00C87E11" w:rsidRDefault="002D30C0">
            <w:pPr>
              <w:pStyle w:val="TableParagraph"/>
              <w:ind w:left="108"/>
              <w:rPr>
                <w:b/>
                <w:sz w:val="20"/>
              </w:rPr>
            </w:pPr>
            <w:r>
              <w:rPr>
                <w:b/>
                <w:sz w:val="20"/>
              </w:rPr>
              <w:t>Reviewer’s</w:t>
            </w:r>
            <w:r>
              <w:rPr>
                <w:b/>
                <w:spacing w:val="-9"/>
                <w:sz w:val="20"/>
              </w:rPr>
              <w:t xml:space="preserve"> </w:t>
            </w:r>
            <w:r>
              <w:rPr>
                <w:b/>
                <w:spacing w:val="-2"/>
                <w:sz w:val="20"/>
              </w:rPr>
              <w:t>comment</w:t>
            </w:r>
          </w:p>
          <w:p w:rsidR="00C87E11" w:rsidRDefault="002D30C0">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C87E11" w:rsidRDefault="002D30C0">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C87E11">
        <w:trPr>
          <w:trHeight w:val="2760"/>
        </w:trPr>
        <w:tc>
          <w:tcPr>
            <w:tcW w:w="5352" w:type="dxa"/>
          </w:tcPr>
          <w:p w:rsidR="00C87E11" w:rsidRDefault="002D30C0">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C87E11" w:rsidRDefault="002D30C0">
            <w:pPr>
              <w:pStyle w:val="TableParagraph"/>
              <w:ind w:left="108" w:right="100"/>
              <w:rPr>
                <w:b/>
                <w:sz w:val="20"/>
              </w:rPr>
            </w:pPr>
            <w:r>
              <w:rPr>
                <w:b/>
                <w:sz w:val="20"/>
              </w:rPr>
              <w:t xml:space="preserve">This manuscript presents a focused analysis of eyelid coloboma reconstruction utilizing the </w:t>
            </w:r>
            <w:proofErr w:type="spellStart"/>
            <w:r>
              <w:rPr>
                <w:b/>
                <w:sz w:val="20"/>
              </w:rPr>
              <w:t>Tenzel</w:t>
            </w:r>
            <w:proofErr w:type="spellEnd"/>
            <w:r>
              <w:rPr>
                <w:b/>
                <w:sz w:val="20"/>
              </w:rPr>
              <w:t xml:space="preserve"> semicircular advancement flap, a technique widely recognized</w:t>
            </w:r>
            <w:r>
              <w:rPr>
                <w:b/>
                <w:spacing w:val="-1"/>
                <w:sz w:val="20"/>
              </w:rPr>
              <w:t xml:space="preserve"> </w:t>
            </w:r>
            <w:r>
              <w:rPr>
                <w:b/>
                <w:sz w:val="20"/>
              </w:rPr>
              <w:t>for its</w:t>
            </w:r>
            <w:r>
              <w:rPr>
                <w:b/>
                <w:spacing w:val="-1"/>
                <w:sz w:val="20"/>
              </w:rPr>
              <w:t xml:space="preserve"> </w:t>
            </w:r>
            <w:r>
              <w:rPr>
                <w:b/>
                <w:sz w:val="20"/>
              </w:rPr>
              <w:t>efficacy in</w:t>
            </w:r>
            <w:r>
              <w:rPr>
                <w:b/>
                <w:spacing w:val="-1"/>
                <w:sz w:val="20"/>
              </w:rPr>
              <w:t xml:space="preserve"> </w:t>
            </w:r>
            <w:r>
              <w:rPr>
                <w:b/>
                <w:sz w:val="20"/>
              </w:rPr>
              <w:t>addressing moderate-sized upper</w:t>
            </w:r>
            <w:r>
              <w:rPr>
                <w:b/>
                <w:spacing w:val="-2"/>
                <w:sz w:val="20"/>
              </w:rPr>
              <w:t xml:space="preserve"> </w:t>
            </w:r>
            <w:r>
              <w:rPr>
                <w:b/>
                <w:sz w:val="20"/>
              </w:rPr>
              <w:t>eyelid</w:t>
            </w:r>
            <w:r>
              <w:rPr>
                <w:b/>
                <w:spacing w:val="-3"/>
                <w:sz w:val="20"/>
              </w:rPr>
              <w:t xml:space="preserve"> </w:t>
            </w:r>
            <w:r>
              <w:rPr>
                <w:b/>
                <w:sz w:val="20"/>
              </w:rPr>
              <w:t>defects.</w:t>
            </w:r>
            <w:r>
              <w:rPr>
                <w:b/>
                <w:spacing w:val="-2"/>
                <w:sz w:val="20"/>
              </w:rPr>
              <w:t xml:space="preserve"> </w:t>
            </w:r>
            <w:r>
              <w:rPr>
                <w:b/>
                <w:sz w:val="20"/>
              </w:rPr>
              <w:t>Eyelid</w:t>
            </w:r>
            <w:r>
              <w:rPr>
                <w:b/>
                <w:spacing w:val="-2"/>
                <w:sz w:val="20"/>
              </w:rPr>
              <w:t xml:space="preserve"> </w:t>
            </w:r>
            <w:r>
              <w:rPr>
                <w:b/>
                <w:sz w:val="20"/>
              </w:rPr>
              <w:t>coloboma,</w:t>
            </w:r>
            <w:r>
              <w:rPr>
                <w:b/>
                <w:spacing w:val="-3"/>
                <w:sz w:val="20"/>
              </w:rPr>
              <w:t xml:space="preserve"> </w:t>
            </w:r>
            <w:r>
              <w:rPr>
                <w:b/>
                <w:sz w:val="20"/>
              </w:rPr>
              <w:t>a</w:t>
            </w:r>
            <w:r>
              <w:rPr>
                <w:b/>
                <w:spacing w:val="-2"/>
                <w:sz w:val="20"/>
              </w:rPr>
              <w:t xml:space="preserve"> </w:t>
            </w:r>
            <w:r>
              <w:rPr>
                <w:b/>
                <w:sz w:val="20"/>
              </w:rPr>
              <w:t>rare</w:t>
            </w:r>
            <w:r>
              <w:rPr>
                <w:b/>
                <w:spacing w:val="-3"/>
                <w:sz w:val="20"/>
              </w:rPr>
              <w:t xml:space="preserve"> </w:t>
            </w:r>
            <w:r>
              <w:rPr>
                <w:b/>
                <w:sz w:val="20"/>
              </w:rPr>
              <w:t>congenital</w:t>
            </w:r>
            <w:r>
              <w:rPr>
                <w:b/>
                <w:spacing w:val="-6"/>
                <w:sz w:val="20"/>
              </w:rPr>
              <w:t xml:space="preserve"> </w:t>
            </w:r>
            <w:r>
              <w:rPr>
                <w:b/>
                <w:sz w:val="20"/>
              </w:rPr>
              <w:t>anomaly</w:t>
            </w:r>
            <w:r>
              <w:rPr>
                <w:b/>
                <w:spacing w:val="-5"/>
                <w:sz w:val="20"/>
              </w:rPr>
              <w:t xml:space="preserve"> </w:t>
            </w:r>
            <w:r>
              <w:rPr>
                <w:b/>
                <w:sz w:val="20"/>
              </w:rPr>
              <w:t>characterized</w:t>
            </w:r>
            <w:r>
              <w:rPr>
                <w:b/>
                <w:spacing w:val="-3"/>
                <w:sz w:val="20"/>
              </w:rPr>
              <w:t xml:space="preserve"> </w:t>
            </w:r>
            <w:r>
              <w:rPr>
                <w:b/>
                <w:sz w:val="20"/>
              </w:rPr>
              <w:t>by</w:t>
            </w:r>
            <w:r>
              <w:rPr>
                <w:b/>
                <w:spacing w:val="-3"/>
                <w:sz w:val="20"/>
              </w:rPr>
              <w:t xml:space="preserve"> </w:t>
            </w:r>
            <w:r>
              <w:rPr>
                <w:b/>
                <w:sz w:val="20"/>
              </w:rPr>
              <w:t>partial</w:t>
            </w:r>
            <w:r>
              <w:rPr>
                <w:b/>
                <w:spacing w:val="-4"/>
                <w:sz w:val="20"/>
              </w:rPr>
              <w:t xml:space="preserve"> </w:t>
            </w:r>
            <w:r>
              <w:rPr>
                <w:b/>
                <w:sz w:val="20"/>
              </w:rPr>
              <w:t>absence</w:t>
            </w:r>
            <w:r>
              <w:rPr>
                <w:b/>
                <w:spacing w:val="-3"/>
                <w:sz w:val="20"/>
              </w:rPr>
              <w:t xml:space="preserve"> </w:t>
            </w:r>
            <w:r>
              <w:rPr>
                <w:b/>
                <w:sz w:val="20"/>
              </w:rPr>
              <w:t xml:space="preserve">of eyelid tissue, poses both functional and aesthetic challenges, particularly in preserving corneal integrity and achieving satisfactory lid closure. The surgical approach adheres to established reconstructive principles, emphasizing tissue preservation, anatomical restoration, and minimal donor site morbidity. The </w:t>
            </w:r>
            <w:proofErr w:type="spellStart"/>
            <w:r>
              <w:rPr>
                <w:b/>
                <w:sz w:val="20"/>
              </w:rPr>
              <w:t>Tenzel</w:t>
            </w:r>
            <w:proofErr w:type="spellEnd"/>
            <w:r>
              <w:rPr>
                <w:b/>
                <w:sz w:val="20"/>
              </w:rPr>
              <w:t xml:space="preserve"> flap,</w:t>
            </w:r>
            <w:r>
              <w:rPr>
                <w:b/>
                <w:spacing w:val="-2"/>
                <w:sz w:val="20"/>
              </w:rPr>
              <w:t xml:space="preserve"> </w:t>
            </w:r>
            <w:r>
              <w:rPr>
                <w:b/>
                <w:sz w:val="20"/>
              </w:rPr>
              <w:t>designed</w:t>
            </w:r>
            <w:r>
              <w:rPr>
                <w:b/>
                <w:spacing w:val="-3"/>
                <w:sz w:val="20"/>
              </w:rPr>
              <w:t xml:space="preserve"> </w:t>
            </w:r>
            <w:r>
              <w:rPr>
                <w:b/>
                <w:sz w:val="20"/>
              </w:rPr>
              <w:t>along</w:t>
            </w:r>
            <w:r>
              <w:rPr>
                <w:b/>
                <w:spacing w:val="-2"/>
                <w:sz w:val="20"/>
              </w:rPr>
              <w:t xml:space="preserve"> </w:t>
            </w:r>
            <w:r>
              <w:rPr>
                <w:b/>
                <w:sz w:val="20"/>
              </w:rPr>
              <w:t>semicircular</w:t>
            </w:r>
            <w:r>
              <w:rPr>
                <w:b/>
                <w:spacing w:val="-2"/>
                <w:sz w:val="20"/>
              </w:rPr>
              <w:t xml:space="preserve"> </w:t>
            </w:r>
            <w:r>
              <w:rPr>
                <w:b/>
                <w:sz w:val="20"/>
              </w:rPr>
              <w:t>lateral</w:t>
            </w:r>
            <w:r>
              <w:rPr>
                <w:b/>
                <w:spacing w:val="-3"/>
                <w:sz w:val="20"/>
              </w:rPr>
              <w:t xml:space="preserve"> </w:t>
            </w:r>
            <w:r>
              <w:rPr>
                <w:b/>
                <w:sz w:val="20"/>
              </w:rPr>
              <w:t>trajectory,</w:t>
            </w:r>
            <w:r>
              <w:rPr>
                <w:b/>
                <w:spacing w:val="-2"/>
                <w:sz w:val="20"/>
              </w:rPr>
              <w:t xml:space="preserve"> </w:t>
            </w:r>
            <w:r>
              <w:rPr>
                <w:b/>
                <w:sz w:val="20"/>
              </w:rPr>
              <w:t>allows</w:t>
            </w:r>
            <w:r>
              <w:rPr>
                <w:b/>
                <w:spacing w:val="-3"/>
                <w:sz w:val="20"/>
              </w:rPr>
              <w:t xml:space="preserve"> </w:t>
            </w:r>
            <w:r>
              <w:rPr>
                <w:b/>
                <w:sz w:val="20"/>
              </w:rPr>
              <w:t>for</w:t>
            </w:r>
            <w:r>
              <w:rPr>
                <w:b/>
                <w:spacing w:val="-2"/>
                <w:sz w:val="20"/>
              </w:rPr>
              <w:t xml:space="preserve"> </w:t>
            </w:r>
            <w:r>
              <w:rPr>
                <w:b/>
                <w:sz w:val="20"/>
              </w:rPr>
              <w:t>tension-free</w:t>
            </w:r>
            <w:r>
              <w:rPr>
                <w:b/>
                <w:spacing w:val="-2"/>
                <w:sz w:val="20"/>
              </w:rPr>
              <w:t xml:space="preserve"> </w:t>
            </w:r>
            <w:r>
              <w:rPr>
                <w:b/>
                <w:sz w:val="20"/>
              </w:rPr>
              <w:t>closure</w:t>
            </w:r>
            <w:r>
              <w:rPr>
                <w:b/>
                <w:spacing w:val="-2"/>
                <w:sz w:val="20"/>
              </w:rPr>
              <w:t xml:space="preserve"> </w:t>
            </w:r>
            <w:r>
              <w:rPr>
                <w:b/>
                <w:sz w:val="20"/>
              </w:rPr>
              <w:t>while</w:t>
            </w:r>
            <w:r>
              <w:rPr>
                <w:b/>
                <w:spacing w:val="-3"/>
                <w:sz w:val="20"/>
              </w:rPr>
              <w:t xml:space="preserve"> </w:t>
            </w:r>
            <w:r>
              <w:rPr>
                <w:b/>
                <w:sz w:val="20"/>
              </w:rPr>
              <w:t xml:space="preserve">maintaining eyelid contour and function. This article contributes to the clinical literature by reaffirming the versatility of </w:t>
            </w:r>
            <w:proofErr w:type="spellStart"/>
            <w:r>
              <w:rPr>
                <w:b/>
                <w:sz w:val="20"/>
              </w:rPr>
              <w:t>Tenzel</w:t>
            </w:r>
            <w:proofErr w:type="spellEnd"/>
            <w:r>
              <w:rPr>
                <w:b/>
                <w:sz w:val="20"/>
              </w:rPr>
              <w:t xml:space="preserve"> technique in pediatric cases. Additionally, comparative insights into alternative reconstructive options-such as </w:t>
            </w:r>
            <w:proofErr w:type="spellStart"/>
            <w:r>
              <w:rPr>
                <w:b/>
                <w:sz w:val="20"/>
              </w:rPr>
              <w:t>Mustarde</w:t>
            </w:r>
            <w:proofErr w:type="spellEnd"/>
            <w:r>
              <w:rPr>
                <w:b/>
                <w:sz w:val="20"/>
              </w:rPr>
              <w:t xml:space="preserve"> rotational flaps or direct closure with lateral canthotomy provide a broader surgical context.</w:t>
            </w:r>
          </w:p>
        </w:tc>
        <w:tc>
          <w:tcPr>
            <w:tcW w:w="6445" w:type="dxa"/>
          </w:tcPr>
          <w:p w:rsidR="00C87E11" w:rsidRDefault="00C87E11">
            <w:pPr>
              <w:pStyle w:val="TableParagraph"/>
              <w:ind w:left="0"/>
              <w:rPr>
                <w:sz w:val="18"/>
              </w:rPr>
            </w:pPr>
          </w:p>
        </w:tc>
      </w:tr>
      <w:tr w:rsidR="00C87E11">
        <w:trPr>
          <w:trHeight w:val="1261"/>
        </w:trPr>
        <w:tc>
          <w:tcPr>
            <w:tcW w:w="5352" w:type="dxa"/>
          </w:tcPr>
          <w:p w:rsidR="00C87E11" w:rsidRDefault="002D30C0">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C87E11" w:rsidRDefault="002D30C0">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C87E11" w:rsidRDefault="002D30C0">
            <w:pPr>
              <w:pStyle w:val="TableParagraph"/>
              <w:ind w:left="468"/>
              <w:rPr>
                <w:b/>
                <w:sz w:val="20"/>
              </w:rPr>
            </w:pPr>
            <w:r>
              <w:rPr>
                <w:b/>
                <w:sz w:val="20"/>
              </w:rPr>
              <w:t>The</w:t>
            </w:r>
            <w:r>
              <w:rPr>
                <w:b/>
                <w:spacing w:val="-3"/>
                <w:sz w:val="20"/>
              </w:rPr>
              <w:t xml:space="preserve"> </w:t>
            </w:r>
            <w:r>
              <w:rPr>
                <w:b/>
                <w:sz w:val="20"/>
              </w:rPr>
              <w:t>title</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 is</w:t>
            </w:r>
            <w:r>
              <w:rPr>
                <w:b/>
                <w:spacing w:val="-3"/>
                <w:sz w:val="20"/>
              </w:rPr>
              <w:t xml:space="preserve"> </w:t>
            </w:r>
            <w:r>
              <w:rPr>
                <w:b/>
                <w:spacing w:val="-2"/>
                <w:sz w:val="20"/>
              </w:rPr>
              <w:t>suitable.</w:t>
            </w:r>
          </w:p>
        </w:tc>
        <w:tc>
          <w:tcPr>
            <w:tcW w:w="6445" w:type="dxa"/>
          </w:tcPr>
          <w:p w:rsidR="00C87E11" w:rsidRDefault="00C87E11">
            <w:pPr>
              <w:pStyle w:val="TableParagraph"/>
              <w:ind w:left="0"/>
              <w:rPr>
                <w:sz w:val="18"/>
              </w:rPr>
            </w:pPr>
          </w:p>
        </w:tc>
      </w:tr>
      <w:tr w:rsidR="00C87E11">
        <w:trPr>
          <w:trHeight w:val="1262"/>
        </w:trPr>
        <w:tc>
          <w:tcPr>
            <w:tcW w:w="5352" w:type="dxa"/>
          </w:tcPr>
          <w:p w:rsidR="00C87E11" w:rsidRDefault="002D30C0">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C87E11" w:rsidRDefault="002D30C0">
            <w:pPr>
              <w:pStyle w:val="TableParagraph"/>
              <w:ind w:left="468"/>
              <w:rPr>
                <w:b/>
                <w:sz w:val="20"/>
              </w:rPr>
            </w:pPr>
            <w:r>
              <w:rPr>
                <w:b/>
                <w:sz w:val="20"/>
              </w:rPr>
              <w:t>The</w:t>
            </w:r>
            <w:r>
              <w:rPr>
                <w:b/>
                <w:spacing w:val="-4"/>
                <w:sz w:val="20"/>
              </w:rPr>
              <w:t xml:space="preserve"> </w:t>
            </w:r>
            <w:r>
              <w:rPr>
                <w:b/>
                <w:sz w:val="20"/>
              </w:rPr>
              <w:t>abstract</w:t>
            </w:r>
            <w:r>
              <w:rPr>
                <w:b/>
                <w:spacing w:val="-3"/>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article</w:t>
            </w:r>
            <w:r>
              <w:rPr>
                <w:b/>
                <w:spacing w:val="-4"/>
                <w:sz w:val="20"/>
              </w:rPr>
              <w:t xml:space="preserve"> </w:t>
            </w:r>
            <w:r>
              <w:rPr>
                <w:b/>
                <w:spacing w:val="-2"/>
                <w:sz w:val="20"/>
              </w:rPr>
              <w:t>comprehensive.</w:t>
            </w:r>
          </w:p>
        </w:tc>
        <w:tc>
          <w:tcPr>
            <w:tcW w:w="6445" w:type="dxa"/>
          </w:tcPr>
          <w:p w:rsidR="00C87E11" w:rsidRDefault="00C87E11">
            <w:pPr>
              <w:pStyle w:val="TableParagraph"/>
              <w:ind w:left="0"/>
              <w:rPr>
                <w:sz w:val="18"/>
              </w:rPr>
            </w:pPr>
          </w:p>
        </w:tc>
      </w:tr>
      <w:tr w:rsidR="00C87E11">
        <w:trPr>
          <w:trHeight w:val="705"/>
        </w:trPr>
        <w:tc>
          <w:tcPr>
            <w:tcW w:w="5352" w:type="dxa"/>
          </w:tcPr>
          <w:p w:rsidR="00C87E11" w:rsidRDefault="002D30C0">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C87E11" w:rsidRDefault="002D30C0">
            <w:pPr>
              <w:pStyle w:val="TableParagraph"/>
              <w:ind w:left="108"/>
              <w:rPr>
                <w:b/>
                <w:sz w:val="20"/>
              </w:rPr>
            </w:pPr>
            <w:r>
              <w:rPr>
                <w:b/>
                <w:sz w:val="20"/>
              </w:rPr>
              <w:t>The</w:t>
            </w:r>
            <w:r>
              <w:rPr>
                <w:b/>
                <w:spacing w:val="-6"/>
                <w:sz w:val="20"/>
              </w:rPr>
              <w:t xml:space="preserve"> </w:t>
            </w:r>
            <w:r>
              <w:rPr>
                <w:b/>
                <w:sz w:val="20"/>
              </w:rPr>
              <w:t>manuscript</w:t>
            </w:r>
            <w:r>
              <w:rPr>
                <w:b/>
                <w:spacing w:val="-5"/>
                <w:sz w:val="20"/>
              </w:rPr>
              <w:t xml:space="preserve"> </w:t>
            </w:r>
            <w:r>
              <w:rPr>
                <w:b/>
                <w:sz w:val="20"/>
              </w:rPr>
              <w:t>is</w:t>
            </w:r>
            <w:r>
              <w:rPr>
                <w:b/>
                <w:spacing w:val="-7"/>
                <w:sz w:val="20"/>
              </w:rPr>
              <w:t xml:space="preserve"> </w:t>
            </w:r>
            <w:r>
              <w:rPr>
                <w:b/>
                <w:sz w:val="20"/>
              </w:rPr>
              <w:t>scientifically</w:t>
            </w:r>
            <w:r>
              <w:rPr>
                <w:b/>
                <w:spacing w:val="-4"/>
                <w:sz w:val="20"/>
              </w:rPr>
              <w:t xml:space="preserve"> </w:t>
            </w:r>
            <w:r>
              <w:rPr>
                <w:b/>
                <w:spacing w:val="-2"/>
                <w:sz w:val="20"/>
              </w:rPr>
              <w:t>correct.</w:t>
            </w:r>
          </w:p>
        </w:tc>
        <w:tc>
          <w:tcPr>
            <w:tcW w:w="6445" w:type="dxa"/>
          </w:tcPr>
          <w:p w:rsidR="00C87E11" w:rsidRDefault="00C87E11">
            <w:pPr>
              <w:pStyle w:val="TableParagraph"/>
              <w:ind w:left="0"/>
              <w:rPr>
                <w:sz w:val="18"/>
              </w:rPr>
            </w:pPr>
          </w:p>
        </w:tc>
      </w:tr>
      <w:tr w:rsidR="00C87E11">
        <w:trPr>
          <w:trHeight w:val="1149"/>
        </w:trPr>
        <w:tc>
          <w:tcPr>
            <w:tcW w:w="5352" w:type="dxa"/>
          </w:tcPr>
          <w:p w:rsidR="00C87E11" w:rsidRDefault="002D30C0">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C87E11" w:rsidRDefault="002D30C0">
            <w:pPr>
              <w:pStyle w:val="TableParagraph"/>
              <w:ind w:left="108" w:right="127"/>
              <w:rPr>
                <w:b/>
                <w:sz w:val="20"/>
              </w:rPr>
            </w:pPr>
            <w:r>
              <w:rPr>
                <w:b/>
                <w:sz w:val="20"/>
              </w:rPr>
              <w:t xml:space="preserve">The references are sufficient and recent. However, the reference list requires substantial revision. While the titles of the cited articles are correct, several entries lack complete author information, and </w:t>
            </w:r>
            <w:r>
              <w:rPr>
                <w:b/>
                <w:i/>
                <w:sz w:val="20"/>
              </w:rPr>
              <w:t>et al</w:t>
            </w:r>
            <w:r>
              <w:rPr>
                <w:b/>
                <w:sz w:val="20"/>
              </w:rPr>
              <w:t>. are not used where appropriate. Additionally, all hyperlinks are invalid, one article is cited twice, and there</w:t>
            </w:r>
            <w:r>
              <w:rPr>
                <w:b/>
                <w:spacing w:val="40"/>
                <w:sz w:val="20"/>
              </w:rPr>
              <w:t xml:space="preserve"> </w:t>
            </w:r>
            <w:r>
              <w:rPr>
                <w:b/>
                <w:sz w:val="20"/>
              </w:rPr>
              <w:t>are</w:t>
            </w:r>
            <w:r>
              <w:rPr>
                <w:b/>
                <w:spacing w:val="-3"/>
                <w:sz w:val="20"/>
              </w:rPr>
              <w:t xml:space="preserve"> </w:t>
            </w:r>
            <w:r>
              <w:rPr>
                <w:b/>
                <w:sz w:val="20"/>
              </w:rPr>
              <w:t>inconsistencies</w:t>
            </w:r>
            <w:r>
              <w:rPr>
                <w:b/>
                <w:spacing w:val="-4"/>
                <w:sz w:val="20"/>
              </w:rPr>
              <w:t xml:space="preserve"> </w:t>
            </w:r>
            <w:r>
              <w:rPr>
                <w:b/>
                <w:sz w:val="20"/>
              </w:rPr>
              <w:t>in</w:t>
            </w:r>
            <w:r>
              <w:rPr>
                <w:b/>
                <w:spacing w:val="-4"/>
                <w:sz w:val="20"/>
              </w:rPr>
              <w:t xml:space="preserve"> </w:t>
            </w:r>
            <w:r>
              <w:rPr>
                <w:b/>
                <w:sz w:val="20"/>
              </w:rPr>
              <w:t>journal</w:t>
            </w:r>
            <w:r>
              <w:rPr>
                <w:b/>
                <w:spacing w:val="-4"/>
                <w:sz w:val="20"/>
              </w:rPr>
              <w:t xml:space="preserve"> </w:t>
            </w:r>
            <w:r>
              <w:rPr>
                <w:b/>
                <w:sz w:val="20"/>
              </w:rPr>
              <w:t>issue</w:t>
            </w:r>
            <w:r>
              <w:rPr>
                <w:b/>
                <w:spacing w:val="-1"/>
                <w:sz w:val="20"/>
              </w:rPr>
              <w:t xml:space="preserve"> </w:t>
            </w:r>
            <w:r>
              <w:rPr>
                <w:b/>
                <w:sz w:val="20"/>
              </w:rPr>
              <w:t>numbers</w:t>
            </w:r>
            <w:r>
              <w:rPr>
                <w:b/>
                <w:spacing w:val="-4"/>
                <w:sz w:val="20"/>
              </w:rPr>
              <w:t xml:space="preserve"> </w:t>
            </w:r>
            <w:r>
              <w:rPr>
                <w:b/>
                <w:sz w:val="20"/>
              </w:rPr>
              <w:t>and</w:t>
            </w:r>
            <w:r>
              <w:rPr>
                <w:b/>
                <w:spacing w:val="-4"/>
                <w:sz w:val="20"/>
              </w:rPr>
              <w:t xml:space="preserve"> </w:t>
            </w:r>
            <w:r>
              <w:rPr>
                <w:b/>
                <w:sz w:val="20"/>
              </w:rPr>
              <w:t>page</w:t>
            </w:r>
            <w:r>
              <w:rPr>
                <w:b/>
                <w:spacing w:val="-3"/>
                <w:sz w:val="20"/>
              </w:rPr>
              <w:t xml:space="preserve"> </w:t>
            </w:r>
            <w:r>
              <w:rPr>
                <w:b/>
                <w:sz w:val="20"/>
              </w:rPr>
              <w:t>ranges.</w:t>
            </w:r>
            <w:r>
              <w:rPr>
                <w:b/>
                <w:spacing w:val="-3"/>
                <w:sz w:val="20"/>
              </w:rPr>
              <w:t xml:space="preserve"> </w:t>
            </w:r>
            <w:r>
              <w:rPr>
                <w:b/>
                <w:sz w:val="20"/>
              </w:rPr>
              <w:t>These</w:t>
            </w:r>
            <w:r>
              <w:rPr>
                <w:b/>
                <w:spacing w:val="-3"/>
                <w:sz w:val="20"/>
              </w:rPr>
              <w:t xml:space="preserve"> </w:t>
            </w:r>
            <w:r>
              <w:rPr>
                <w:b/>
                <w:sz w:val="20"/>
              </w:rPr>
              <w:t>issues</w:t>
            </w:r>
            <w:r>
              <w:rPr>
                <w:b/>
                <w:spacing w:val="-4"/>
                <w:sz w:val="20"/>
              </w:rPr>
              <w:t xml:space="preserve"> </w:t>
            </w:r>
            <w:r>
              <w:rPr>
                <w:b/>
                <w:sz w:val="20"/>
              </w:rPr>
              <w:t>affect</w:t>
            </w:r>
            <w:r>
              <w:rPr>
                <w:b/>
                <w:spacing w:val="-3"/>
                <w:sz w:val="20"/>
              </w:rPr>
              <w:t xml:space="preserve"> </w:t>
            </w:r>
            <w:r>
              <w:rPr>
                <w:b/>
                <w:sz w:val="20"/>
              </w:rPr>
              <w:t>the</w:t>
            </w:r>
            <w:r>
              <w:rPr>
                <w:b/>
                <w:spacing w:val="-3"/>
                <w:sz w:val="20"/>
              </w:rPr>
              <w:t xml:space="preserve"> </w:t>
            </w:r>
            <w:r>
              <w:rPr>
                <w:b/>
                <w:sz w:val="20"/>
              </w:rPr>
              <w:t>accuracy,</w:t>
            </w:r>
            <w:r>
              <w:rPr>
                <w:b/>
                <w:spacing w:val="-3"/>
                <w:sz w:val="20"/>
              </w:rPr>
              <w:t xml:space="preserve"> </w:t>
            </w:r>
            <w:r>
              <w:rPr>
                <w:b/>
                <w:sz w:val="20"/>
              </w:rPr>
              <w:t>traceability,</w:t>
            </w:r>
          </w:p>
          <w:p w:rsidR="00C87E11" w:rsidRDefault="002D30C0">
            <w:pPr>
              <w:pStyle w:val="TableParagraph"/>
              <w:spacing w:line="209" w:lineRule="exact"/>
              <w:ind w:left="108"/>
              <w:rPr>
                <w:b/>
                <w:sz w:val="20"/>
              </w:rPr>
            </w:pPr>
            <w:r>
              <w:rPr>
                <w:b/>
                <w:sz w:val="20"/>
              </w:rPr>
              <w:t>and</w:t>
            </w:r>
            <w:r>
              <w:rPr>
                <w:b/>
                <w:spacing w:val="-5"/>
                <w:sz w:val="20"/>
              </w:rPr>
              <w:t xml:space="preserve"> </w:t>
            </w:r>
            <w:r>
              <w:rPr>
                <w:b/>
                <w:sz w:val="20"/>
              </w:rPr>
              <w:t>formal</w:t>
            </w:r>
            <w:r>
              <w:rPr>
                <w:b/>
                <w:spacing w:val="-5"/>
                <w:sz w:val="20"/>
              </w:rPr>
              <w:t xml:space="preserve"> </w:t>
            </w:r>
            <w:r>
              <w:rPr>
                <w:b/>
                <w:sz w:val="20"/>
              </w:rPr>
              <w:t>integrity</w:t>
            </w:r>
            <w:r>
              <w:rPr>
                <w:b/>
                <w:spacing w:val="-3"/>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bibliography.</w:t>
            </w:r>
          </w:p>
        </w:tc>
        <w:tc>
          <w:tcPr>
            <w:tcW w:w="6445" w:type="dxa"/>
          </w:tcPr>
          <w:p w:rsidR="00C87E11" w:rsidRDefault="00C87E11">
            <w:pPr>
              <w:pStyle w:val="TableParagraph"/>
              <w:ind w:left="0"/>
              <w:rPr>
                <w:sz w:val="18"/>
              </w:rPr>
            </w:pPr>
          </w:p>
        </w:tc>
      </w:tr>
      <w:tr w:rsidR="00C87E11">
        <w:trPr>
          <w:trHeight w:val="690"/>
        </w:trPr>
        <w:tc>
          <w:tcPr>
            <w:tcW w:w="5352" w:type="dxa"/>
          </w:tcPr>
          <w:p w:rsidR="00C87E11" w:rsidRDefault="002D30C0">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C87E11" w:rsidRDefault="002D30C0">
            <w:pPr>
              <w:pStyle w:val="TableParagraph"/>
              <w:ind w:left="108"/>
              <w:rPr>
                <w:sz w:val="20"/>
              </w:rPr>
            </w:pPr>
            <w:r>
              <w:rPr>
                <w:b/>
                <w:sz w:val="20"/>
              </w:rPr>
              <w:t>The</w:t>
            </w:r>
            <w:r>
              <w:rPr>
                <w:b/>
                <w:spacing w:val="-5"/>
                <w:sz w:val="20"/>
              </w:rPr>
              <w:t xml:space="preserve"> </w:t>
            </w:r>
            <w:r>
              <w:rPr>
                <w:b/>
                <w:sz w:val="20"/>
              </w:rPr>
              <w:t>English</w:t>
            </w:r>
            <w:r>
              <w:rPr>
                <w:b/>
                <w:spacing w:val="-3"/>
                <w:sz w:val="20"/>
              </w:rPr>
              <w:t xml:space="preserve"> </w:t>
            </w:r>
            <w:r>
              <w:rPr>
                <w:b/>
                <w:sz w:val="20"/>
              </w:rPr>
              <w:t>quality</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3"/>
                <w:sz w:val="20"/>
              </w:rPr>
              <w:t xml:space="preserve"> </w:t>
            </w:r>
            <w:r>
              <w:rPr>
                <w:b/>
                <w:sz w:val="20"/>
              </w:rPr>
              <w:t>is</w:t>
            </w:r>
            <w:r>
              <w:rPr>
                <w:b/>
                <w:spacing w:val="-5"/>
                <w:sz w:val="20"/>
              </w:rPr>
              <w:t xml:space="preserve"> </w:t>
            </w:r>
            <w:r>
              <w:rPr>
                <w:b/>
                <w:sz w:val="20"/>
              </w:rPr>
              <w:t>suitable</w:t>
            </w:r>
            <w:r>
              <w:rPr>
                <w:b/>
                <w:spacing w:val="-6"/>
                <w:sz w:val="20"/>
              </w:rPr>
              <w:t xml:space="preserve"> </w:t>
            </w:r>
            <w:r>
              <w:rPr>
                <w:b/>
                <w:sz w:val="20"/>
              </w:rPr>
              <w:t>for</w:t>
            </w:r>
            <w:r>
              <w:rPr>
                <w:b/>
                <w:spacing w:val="-5"/>
                <w:sz w:val="20"/>
              </w:rPr>
              <w:t xml:space="preserve"> </w:t>
            </w:r>
            <w:r>
              <w:rPr>
                <w:b/>
                <w:sz w:val="20"/>
              </w:rPr>
              <w:t>scholarly</w:t>
            </w:r>
            <w:r>
              <w:rPr>
                <w:b/>
                <w:spacing w:val="-3"/>
                <w:sz w:val="20"/>
              </w:rPr>
              <w:t xml:space="preserve"> </w:t>
            </w:r>
            <w:r>
              <w:rPr>
                <w:b/>
                <w:spacing w:val="-2"/>
                <w:sz w:val="20"/>
              </w:rPr>
              <w:t>communications</w:t>
            </w:r>
            <w:r>
              <w:rPr>
                <w:spacing w:val="-2"/>
                <w:sz w:val="20"/>
              </w:rPr>
              <w:t>.</w:t>
            </w:r>
          </w:p>
        </w:tc>
        <w:tc>
          <w:tcPr>
            <w:tcW w:w="6445" w:type="dxa"/>
          </w:tcPr>
          <w:p w:rsidR="00C87E11" w:rsidRDefault="00C87E11">
            <w:pPr>
              <w:pStyle w:val="TableParagraph"/>
              <w:ind w:left="0"/>
              <w:rPr>
                <w:sz w:val="18"/>
              </w:rPr>
            </w:pPr>
          </w:p>
        </w:tc>
      </w:tr>
      <w:tr w:rsidR="00C87E11">
        <w:trPr>
          <w:trHeight w:val="2172"/>
        </w:trPr>
        <w:tc>
          <w:tcPr>
            <w:tcW w:w="5352" w:type="dxa"/>
          </w:tcPr>
          <w:p w:rsidR="00C87E11" w:rsidRDefault="002D30C0">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EF005D" w:rsidRDefault="00EF005D">
            <w:pPr>
              <w:pStyle w:val="TableParagraph"/>
              <w:ind w:left="108"/>
              <w:rPr>
                <w:color w:val="222222"/>
                <w:shd w:val="clear" w:color="auto" w:fill="FFFFFF"/>
              </w:rPr>
            </w:pPr>
            <w:r>
              <w:rPr>
                <w:color w:val="222222"/>
                <w:shd w:val="clear" w:color="auto" w:fill="FFFFFF"/>
              </w:rPr>
              <w:t>The manuscript presents a well-structured and scientifically relevant contribution. I recommend acceptance with revision, requesting the author to thoroughly revise the reference list to ensure compliance with the journal citation standards and to enhance the accessibility of the cited sources.</w:t>
            </w:r>
          </w:p>
          <w:p w:rsidR="00C87E11" w:rsidRDefault="002D30C0">
            <w:pPr>
              <w:pStyle w:val="TableParagraph"/>
              <w:ind w:left="108"/>
              <w:rPr>
                <w:b/>
                <w:sz w:val="20"/>
              </w:rPr>
            </w:pPr>
            <w:r>
              <w:rPr>
                <w:b/>
                <w:sz w:val="20"/>
              </w:rPr>
              <w:t>I</w:t>
            </w:r>
            <w:r>
              <w:rPr>
                <w:b/>
                <w:spacing w:val="-1"/>
                <w:sz w:val="20"/>
              </w:rPr>
              <w:t xml:space="preserve"> </w:t>
            </w:r>
            <w:r>
              <w:rPr>
                <w:b/>
                <w:sz w:val="20"/>
              </w:rPr>
              <w:t>recommend preserving Reference No. 10,</w:t>
            </w:r>
            <w:r>
              <w:rPr>
                <w:b/>
                <w:spacing w:val="-2"/>
                <w:sz w:val="20"/>
              </w:rPr>
              <w:t xml:space="preserve"> </w:t>
            </w:r>
            <w:r>
              <w:rPr>
                <w:b/>
                <w:sz w:val="20"/>
              </w:rPr>
              <w:t>as</w:t>
            </w:r>
            <w:r>
              <w:rPr>
                <w:b/>
                <w:spacing w:val="-1"/>
                <w:sz w:val="20"/>
              </w:rPr>
              <w:t xml:space="preserve"> </w:t>
            </w:r>
            <w:r>
              <w:rPr>
                <w:b/>
                <w:sz w:val="20"/>
              </w:rPr>
              <w:t>it includes the author s</w:t>
            </w:r>
            <w:r>
              <w:rPr>
                <w:b/>
                <w:spacing w:val="-1"/>
                <w:sz w:val="20"/>
              </w:rPr>
              <w:t xml:space="preserve"> </w:t>
            </w:r>
            <w:r>
              <w:rPr>
                <w:b/>
                <w:sz w:val="20"/>
              </w:rPr>
              <w:t>name, and removing Reference No.5, which is a duplicate of reference No. 10. This adjustment will preserve the numbering and order of in-text citations and avoid any disruption to the manuscript structure. Please ensure that each reference includes full</w:t>
            </w:r>
            <w:r>
              <w:rPr>
                <w:b/>
                <w:spacing w:val="-4"/>
                <w:sz w:val="20"/>
              </w:rPr>
              <w:t xml:space="preserve"> </w:t>
            </w:r>
            <w:r>
              <w:rPr>
                <w:b/>
                <w:sz w:val="20"/>
              </w:rPr>
              <w:t>and</w:t>
            </w:r>
            <w:r>
              <w:rPr>
                <w:b/>
                <w:spacing w:val="-4"/>
                <w:sz w:val="20"/>
              </w:rPr>
              <w:t xml:space="preserve"> </w:t>
            </w:r>
            <w:r>
              <w:rPr>
                <w:b/>
                <w:sz w:val="20"/>
              </w:rPr>
              <w:t>correct</w:t>
            </w:r>
            <w:r>
              <w:rPr>
                <w:b/>
                <w:spacing w:val="-3"/>
                <w:sz w:val="20"/>
              </w:rPr>
              <w:t xml:space="preserve"> </w:t>
            </w:r>
            <w:r>
              <w:rPr>
                <w:b/>
                <w:sz w:val="20"/>
              </w:rPr>
              <w:t>bibliographic</w:t>
            </w:r>
            <w:r>
              <w:rPr>
                <w:b/>
                <w:spacing w:val="-3"/>
                <w:sz w:val="20"/>
              </w:rPr>
              <w:t xml:space="preserve"> </w:t>
            </w:r>
            <w:r>
              <w:rPr>
                <w:b/>
                <w:sz w:val="20"/>
              </w:rPr>
              <w:t>details,</w:t>
            </w:r>
            <w:r>
              <w:rPr>
                <w:b/>
                <w:spacing w:val="-3"/>
                <w:sz w:val="20"/>
              </w:rPr>
              <w:t xml:space="preserve"> </w:t>
            </w:r>
            <w:r>
              <w:rPr>
                <w:b/>
                <w:sz w:val="20"/>
              </w:rPr>
              <w:t>formatted</w:t>
            </w:r>
            <w:r>
              <w:rPr>
                <w:b/>
                <w:spacing w:val="-3"/>
                <w:sz w:val="20"/>
              </w:rPr>
              <w:t xml:space="preserve"> </w:t>
            </w:r>
            <w:r>
              <w:rPr>
                <w:b/>
                <w:sz w:val="20"/>
              </w:rPr>
              <w:t>according</w:t>
            </w:r>
            <w:r>
              <w:rPr>
                <w:b/>
                <w:spacing w:val="-3"/>
                <w:sz w:val="20"/>
              </w:rPr>
              <w:t xml:space="preserve"> </w:t>
            </w:r>
            <w:r>
              <w:rPr>
                <w:b/>
                <w:sz w:val="20"/>
              </w:rPr>
              <w:t>to</w:t>
            </w:r>
            <w:r>
              <w:rPr>
                <w:b/>
                <w:spacing w:val="-3"/>
                <w:sz w:val="20"/>
              </w:rPr>
              <w:t xml:space="preserve"> </w:t>
            </w:r>
            <w:r>
              <w:rPr>
                <w:b/>
                <w:sz w:val="20"/>
              </w:rPr>
              <w:t>the journal</w:t>
            </w:r>
            <w:r>
              <w:rPr>
                <w:b/>
                <w:spacing w:val="-3"/>
                <w:sz w:val="20"/>
              </w:rPr>
              <w:t xml:space="preserve"> </w:t>
            </w:r>
            <w:r>
              <w:rPr>
                <w:b/>
                <w:sz w:val="20"/>
              </w:rPr>
              <w:t>guidelines.</w:t>
            </w:r>
            <w:r>
              <w:rPr>
                <w:b/>
                <w:spacing w:val="-1"/>
                <w:sz w:val="20"/>
              </w:rPr>
              <w:t xml:space="preserve"> </w:t>
            </w:r>
            <w:r>
              <w:rPr>
                <w:b/>
                <w:sz w:val="20"/>
              </w:rPr>
              <w:t>A</w:t>
            </w:r>
            <w:r>
              <w:rPr>
                <w:b/>
                <w:spacing w:val="-3"/>
                <w:sz w:val="20"/>
              </w:rPr>
              <w:t xml:space="preserve"> </w:t>
            </w:r>
            <w:r>
              <w:rPr>
                <w:b/>
                <w:sz w:val="20"/>
              </w:rPr>
              <w:t>thorough</w:t>
            </w:r>
            <w:r>
              <w:rPr>
                <w:b/>
                <w:spacing w:val="-4"/>
                <w:sz w:val="20"/>
              </w:rPr>
              <w:t xml:space="preserve"> </w:t>
            </w:r>
            <w:r>
              <w:rPr>
                <w:b/>
                <w:sz w:val="20"/>
              </w:rPr>
              <w:t>revision</w:t>
            </w:r>
            <w:r>
              <w:rPr>
                <w:b/>
                <w:spacing w:val="-4"/>
                <w:sz w:val="20"/>
              </w:rPr>
              <w:t xml:space="preserve"> </w:t>
            </w:r>
            <w:r>
              <w:rPr>
                <w:b/>
                <w:sz w:val="20"/>
              </w:rPr>
              <w:t>of the reference section will strengthen the integrity of your manuscript and facilitate proper indexing.</w:t>
            </w:r>
          </w:p>
          <w:p w:rsidR="00C87E11" w:rsidRDefault="00C87E11">
            <w:pPr>
              <w:pStyle w:val="TableParagraph"/>
              <w:spacing w:before="50"/>
              <w:ind w:left="0"/>
              <w:rPr>
                <w:sz w:val="20"/>
              </w:rPr>
            </w:pPr>
          </w:p>
          <w:p w:rsidR="00C87E11" w:rsidRDefault="002D30C0">
            <w:pPr>
              <w:pStyle w:val="TableParagraph"/>
              <w:ind w:left="108"/>
              <w:rPr>
                <w:rFonts w:ascii="Arial"/>
                <w:b/>
                <w:sz w:val="20"/>
              </w:rPr>
            </w:pPr>
            <w:r>
              <w:rPr>
                <w:b/>
                <w:sz w:val="20"/>
              </w:rPr>
              <w:t>I</w:t>
            </w:r>
            <w:r>
              <w:rPr>
                <w:b/>
                <w:spacing w:val="-6"/>
                <w:sz w:val="20"/>
              </w:rPr>
              <w:t xml:space="preserve"> </w:t>
            </w:r>
            <w:r>
              <w:rPr>
                <w:b/>
                <w:sz w:val="20"/>
              </w:rPr>
              <w:t>look</w:t>
            </w:r>
            <w:r>
              <w:rPr>
                <w:b/>
                <w:spacing w:val="-4"/>
                <w:sz w:val="20"/>
              </w:rPr>
              <w:t xml:space="preserve"> </w:t>
            </w:r>
            <w:r>
              <w:rPr>
                <w:b/>
                <w:sz w:val="20"/>
              </w:rPr>
              <w:t>forward</w:t>
            </w:r>
            <w:r>
              <w:rPr>
                <w:b/>
                <w:spacing w:val="-5"/>
                <w:sz w:val="20"/>
              </w:rPr>
              <w:t xml:space="preserve"> </w:t>
            </w:r>
            <w:r>
              <w:rPr>
                <w:b/>
                <w:sz w:val="20"/>
              </w:rPr>
              <w:t>to</w:t>
            </w:r>
            <w:r>
              <w:rPr>
                <w:b/>
                <w:spacing w:val="-4"/>
                <w:sz w:val="20"/>
              </w:rPr>
              <w:t xml:space="preserve"> </w:t>
            </w:r>
            <w:r>
              <w:rPr>
                <w:b/>
                <w:sz w:val="20"/>
              </w:rPr>
              <w:t>receiving</w:t>
            </w:r>
            <w:r>
              <w:rPr>
                <w:b/>
                <w:spacing w:val="-4"/>
                <w:sz w:val="20"/>
              </w:rPr>
              <w:t xml:space="preserve"> </w:t>
            </w:r>
            <w:r>
              <w:rPr>
                <w:b/>
                <w:sz w:val="20"/>
              </w:rPr>
              <w:t>your</w:t>
            </w:r>
            <w:r>
              <w:rPr>
                <w:b/>
                <w:spacing w:val="-5"/>
                <w:sz w:val="20"/>
              </w:rPr>
              <w:t xml:space="preserve"> </w:t>
            </w:r>
            <w:r>
              <w:rPr>
                <w:b/>
                <w:sz w:val="20"/>
              </w:rPr>
              <w:t>revised</w:t>
            </w:r>
            <w:r>
              <w:rPr>
                <w:b/>
                <w:spacing w:val="-4"/>
                <w:sz w:val="20"/>
              </w:rPr>
              <w:t xml:space="preserve"> </w:t>
            </w:r>
            <w:r>
              <w:rPr>
                <w:b/>
                <w:spacing w:val="-2"/>
                <w:sz w:val="20"/>
              </w:rPr>
              <w:t>version</w:t>
            </w:r>
            <w:r>
              <w:rPr>
                <w:rFonts w:ascii="Arial"/>
                <w:b/>
                <w:spacing w:val="-2"/>
                <w:sz w:val="20"/>
              </w:rPr>
              <w:t>.</w:t>
            </w:r>
          </w:p>
        </w:tc>
        <w:tc>
          <w:tcPr>
            <w:tcW w:w="6445" w:type="dxa"/>
          </w:tcPr>
          <w:p w:rsidR="00C87E11" w:rsidRDefault="00C87E11">
            <w:pPr>
              <w:pStyle w:val="TableParagraph"/>
              <w:ind w:left="0"/>
              <w:rPr>
                <w:sz w:val="18"/>
              </w:rPr>
            </w:pPr>
          </w:p>
        </w:tc>
      </w:tr>
    </w:tbl>
    <w:p w:rsidR="00C87E11" w:rsidRDefault="00C87E11">
      <w:pPr>
        <w:pStyle w:val="TableParagraph"/>
        <w:rPr>
          <w:sz w:val="18"/>
        </w:rPr>
        <w:sectPr w:rsidR="00C87E11">
          <w:headerReference w:type="default" r:id="rId7"/>
          <w:footerReference w:type="default" r:id="rId8"/>
          <w:pgSz w:w="23820" w:h="16840" w:orient="landscape"/>
          <w:pgMar w:top="2000" w:right="1275" w:bottom="880" w:left="1275" w:header="1285" w:footer="694" w:gutter="0"/>
          <w:cols w:space="720"/>
        </w:sectPr>
      </w:pPr>
    </w:p>
    <w:p w:rsidR="00C87E11" w:rsidRDefault="00C87E11">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5535FA" w:rsidRPr="00340561" w:rsidTr="0032538D">
        <w:tc>
          <w:tcPr>
            <w:tcW w:w="5000" w:type="pct"/>
            <w:gridSpan w:val="3"/>
            <w:tcBorders>
              <w:top w:val="nil"/>
              <w:left w:val="nil"/>
              <w:right w:val="nil"/>
            </w:tcBorders>
            <w:noWrap/>
            <w:tcMar>
              <w:top w:w="0" w:type="dxa"/>
              <w:left w:w="108" w:type="dxa"/>
              <w:bottom w:w="0" w:type="dxa"/>
              <w:right w:w="108" w:type="dxa"/>
            </w:tcMar>
            <w:vAlign w:val="center"/>
          </w:tcPr>
          <w:p w:rsidR="005535FA" w:rsidRPr="00340561" w:rsidRDefault="005535FA" w:rsidP="0032538D">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5535FA" w:rsidRPr="00340561" w:rsidRDefault="005535FA" w:rsidP="0032538D">
            <w:pPr>
              <w:rPr>
                <w:rFonts w:ascii="Arial" w:eastAsia="Arial Unicode MS" w:hAnsi="Arial" w:cs="Arial"/>
                <w:b/>
                <w:sz w:val="20"/>
                <w:szCs w:val="20"/>
                <w:u w:val="single"/>
                <w:lang w:val="en-GB"/>
              </w:rPr>
            </w:pPr>
          </w:p>
        </w:tc>
      </w:tr>
      <w:tr w:rsidR="005535FA" w:rsidRPr="00340561" w:rsidTr="0032538D">
        <w:tc>
          <w:tcPr>
            <w:tcW w:w="1615" w:type="pct"/>
            <w:noWrap/>
            <w:tcMar>
              <w:top w:w="0" w:type="dxa"/>
              <w:left w:w="108" w:type="dxa"/>
              <w:bottom w:w="0" w:type="dxa"/>
              <w:right w:w="108" w:type="dxa"/>
            </w:tcMar>
            <w:vAlign w:val="center"/>
          </w:tcPr>
          <w:p w:rsidR="005535FA" w:rsidRPr="00340561" w:rsidRDefault="005535FA" w:rsidP="0032538D">
            <w:pPr>
              <w:rPr>
                <w:rFonts w:ascii="Arial" w:eastAsia="Arial Unicode MS" w:hAnsi="Arial" w:cs="Arial"/>
                <w:sz w:val="20"/>
                <w:szCs w:val="20"/>
                <w:lang w:val="en-GB"/>
              </w:rPr>
            </w:pPr>
          </w:p>
        </w:tc>
        <w:tc>
          <w:tcPr>
            <w:tcW w:w="1694" w:type="pct"/>
            <w:tcMar>
              <w:top w:w="0" w:type="dxa"/>
              <w:left w:w="108" w:type="dxa"/>
              <w:bottom w:w="0" w:type="dxa"/>
              <w:right w:w="108" w:type="dxa"/>
            </w:tcMar>
          </w:tcPr>
          <w:p w:rsidR="005535FA" w:rsidRPr="00340561" w:rsidRDefault="005535FA" w:rsidP="0032538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5535FA" w:rsidRPr="008608EB" w:rsidRDefault="005535FA" w:rsidP="0032538D">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5535FA" w:rsidRPr="00340561" w:rsidRDefault="005535FA" w:rsidP="0032538D">
            <w:pPr>
              <w:keepNext/>
              <w:outlineLvl w:val="1"/>
              <w:rPr>
                <w:rFonts w:ascii="Arial" w:eastAsia="MS Mincho" w:hAnsi="Arial" w:cs="Arial"/>
                <w:bCs/>
                <w:sz w:val="20"/>
                <w:szCs w:val="20"/>
                <w:lang w:val="en-GB"/>
              </w:rPr>
            </w:pPr>
          </w:p>
        </w:tc>
      </w:tr>
      <w:tr w:rsidR="005535FA" w:rsidRPr="00340561" w:rsidTr="0032538D">
        <w:trPr>
          <w:trHeight w:val="890"/>
        </w:trPr>
        <w:tc>
          <w:tcPr>
            <w:tcW w:w="1615" w:type="pct"/>
            <w:noWrap/>
            <w:tcMar>
              <w:top w:w="0" w:type="dxa"/>
              <w:left w:w="108" w:type="dxa"/>
              <w:bottom w:w="0" w:type="dxa"/>
              <w:right w:w="108" w:type="dxa"/>
            </w:tcMar>
            <w:vAlign w:val="center"/>
          </w:tcPr>
          <w:p w:rsidR="005535FA" w:rsidRPr="00340561" w:rsidRDefault="005535FA" w:rsidP="0032538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5535FA" w:rsidRPr="00340561" w:rsidRDefault="005535FA" w:rsidP="0032538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5535FA" w:rsidRPr="00340561" w:rsidRDefault="005535FA" w:rsidP="0032538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5535FA" w:rsidRPr="00340561" w:rsidRDefault="005535FA" w:rsidP="0032538D">
            <w:pPr>
              <w:rPr>
                <w:rFonts w:ascii="Arial" w:eastAsia="Arial Unicode MS" w:hAnsi="Arial" w:cs="Arial"/>
                <w:sz w:val="20"/>
                <w:szCs w:val="20"/>
                <w:lang w:val="en-GB"/>
              </w:rPr>
            </w:pPr>
          </w:p>
          <w:p w:rsidR="005535FA" w:rsidRPr="00340561" w:rsidRDefault="005535FA" w:rsidP="0032538D">
            <w:pPr>
              <w:rPr>
                <w:rFonts w:ascii="Arial" w:eastAsia="Arial Unicode MS" w:hAnsi="Arial" w:cs="Arial"/>
                <w:sz w:val="20"/>
                <w:szCs w:val="20"/>
                <w:lang w:val="en-GB"/>
              </w:rPr>
            </w:pPr>
          </w:p>
        </w:tc>
        <w:tc>
          <w:tcPr>
            <w:tcW w:w="1691" w:type="pct"/>
            <w:vAlign w:val="center"/>
          </w:tcPr>
          <w:p w:rsidR="005535FA" w:rsidRPr="00340561" w:rsidRDefault="005535FA" w:rsidP="0032538D">
            <w:pPr>
              <w:rPr>
                <w:rFonts w:ascii="Arial" w:eastAsia="Arial Unicode MS" w:hAnsi="Arial" w:cs="Arial"/>
                <w:sz w:val="20"/>
                <w:szCs w:val="20"/>
                <w:lang w:val="en-GB"/>
              </w:rPr>
            </w:pPr>
          </w:p>
          <w:p w:rsidR="005535FA" w:rsidRPr="00340561" w:rsidRDefault="005535FA" w:rsidP="0032538D">
            <w:pPr>
              <w:rPr>
                <w:rFonts w:ascii="Arial" w:eastAsia="Arial Unicode MS" w:hAnsi="Arial" w:cs="Arial"/>
                <w:sz w:val="20"/>
                <w:szCs w:val="20"/>
                <w:lang w:val="en-GB"/>
              </w:rPr>
            </w:pPr>
          </w:p>
          <w:p w:rsidR="005535FA" w:rsidRPr="00340561" w:rsidRDefault="005535FA" w:rsidP="0032538D">
            <w:pPr>
              <w:rPr>
                <w:rFonts w:ascii="Arial" w:eastAsia="Arial Unicode MS" w:hAnsi="Arial" w:cs="Arial"/>
                <w:sz w:val="20"/>
                <w:szCs w:val="20"/>
                <w:lang w:val="en-GB"/>
              </w:rPr>
            </w:pPr>
          </w:p>
        </w:tc>
      </w:tr>
      <w:bookmarkEnd w:id="0"/>
    </w:tbl>
    <w:p w:rsidR="005535FA" w:rsidRDefault="005535FA" w:rsidP="005535FA"/>
    <w:p w:rsidR="00F46A56" w:rsidRPr="009E586D" w:rsidRDefault="00F46A56" w:rsidP="00F46A56">
      <w:pPr>
        <w:pStyle w:val="Affiliation"/>
        <w:spacing w:after="0" w:line="240" w:lineRule="auto"/>
        <w:jc w:val="left"/>
        <w:rPr>
          <w:rFonts w:ascii="Arial" w:hAnsi="Arial" w:cs="Arial"/>
          <w:b/>
        </w:rPr>
      </w:pPr>
    </w:p>
    <w:p w:rsidR="00F46A56" w:rsidRPr="009E586D" w:rsidRDefault="00F46A56" w:rsidP="00F46A56">
      <w:pPr>
        <w:pStyle w:val="Affiliation"/>
        <w:spacing w:after="0" w:line="240" w:lineRule="auto"/>
        <w:jc w:val="left"/>
        <w:rPr>
          <w:rFonts w:ascii="Arial" w:hAnsi="Arial" w:cs="Arial"/>
          <w:b/>
          <w:u w:val="single"/>
        </w:rPr>
      </w:pPr>
      <w:r w:rsidRPr="009E586D">
        <w:rPr>
          <w:rFonts w:ascii="Arial" w:hAnsi="Arial" w:cs="Arial"/>
          <w:b/>
          <w:u w:val="single"/>
        </w:rPr>
        <w:t>Reviewer details:</w:t>
      </w:r>
    </w:p>
    <w:p w:rsidR="00F46A56" w:rsidRPr="009E586D" w:rsidRDefault="00F46A56" w:rsidP="00F46A56">
      <w:pPr>
        <w:pStyle w:val="Affiliation"/>
        <w:spacing w:after="0" w:line="240" w:lineRule="auto"/>
        <w:jc w:val="left"/>
        <w:rPr>
          <w:rFonts w:ascii="Arial" w:hAnsi="Arial" w:cs="Arial"/>
        </w:rPr>
      </w:pPr>
    </w:p>
    <w:p w:rsidR="00F46A56" w:rsidRDefault="00F46A56" w:rsidP="00F46A56">
      <w:r w:rsidRPr="009E586D">
        <w:rPr>
          <w:rFonts w:ascii="Arial" w:hAnsi="Arial" w:cs="Arial"/>
          <w:color w:val="000000"/>
          <w:sz w:val="20"/>
          <w:szCs w:val="20"/>
        </w:rPr>
        <w:t xml:space="preserve">Cristina Stanescu, </w:t>
      </w:r>
      <w:proofErr w:type="spellStart"/>
      <w:r w:rsidRPr="009E586D">
        <w:rPr>
          <w:rFonts w:ascii="Arial" w:hAnsi="Arial" w:cs="Arial"/>
          <w:color w:val="000000"/>
          <w:sz w:val="20"/>
          <w:szCs w:val="20"/>
        </w:rPr>
        <w:t>Dunarea</w:t>
      </w:r>
      <w:proofErr w:type="spellEnd"/>
      <w:r w:rsidRPr="009E586D">
        <w:rPr>
          <w:rFonts w:ascii="Arial" w:hAnsi="Arial" w:cs="Arial"/>
          <w:color w:val="000000"/>
          <w:sz w:val="20"/>
          <w:szCs w:val="20"/>
        </w:rPr>
        <w:t xml:space="preserve"> de Jos University of Galati, Romania</w:t>
      </w:r>
      <w:r w:rsidRPr="009E586D">
        <w:rPr>
          <w:rFonts w:ascii="Arial" w:hAnsi="Arial" w:cs="Arial"/>
          <w:color w:val="000000"/>
          <w:sz w:val="20"/>
          <w:szCs w:val="20"/>
        </w:rPr>
        <w:br/>
      </w:r>
    </w:p>
    <w:p w:rsidR="005535FA" w:rsidRDefault="005535FA" w:rsidP="005535FA">
      <w:bookmarkStart w:id="2" w:name="_GoBack"/>
      <w:bookmarkEnd w:id="2"/>
    </w:p>
    <w:p w:rsidR="005535FA" w:rsidRPr="00375011" w:rsidRDefault="005535FA" w:rsidP="005535FA">
      <w:pPr>
        <w:rPr>
          <w:bCs/>
          <w:u w:val="single"/>
          <w:lang w:val="en-GB"/>
        </w:rPr>
      </w:pPr>
    </w:p>
    <w:bookmarkEnd w:id="1"/>
    <w:p w:rsidR="005535FA" w:rsidRDefault="005535FA" w:rsidP="005535FA"/>
    <w:p w:rsidR="002D30C0" w:rsidRDefault="002D30C0" w:rsidP="005535FA"/>
    <w:sectPr w:rsidR="002D30C0">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D28" w:rsidRDefault="004C2D28">
      <w:r>
        <w:separator/>
      </w:r>
    </w:p>
  </w:endnote>
  <w:endnote w:type="continuationSeparator" w:id="0">
    <w:p w:rsidR="004C2D28" w:rsidRDefault="004C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E11" w:rsidRDefault="002D30C0">
    <w:pPr>
      <w:pStyle w:val="BodyText"/>
      <w:spacing w:line="14" w:lineRule="auto"/>
    </w:pPr>
    <w:r>
      <w:rPr>
        <w:noProof/>
      </w:rPr>
      <mc:AlternateContent>
        <mc:Choice Requires="wps">
          <w:drawing>
            <wp:anchor distT="0" distB="0" distL="0" distR="0" simplePos="0" relativeHeight="48741273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87E11" w:rsidRDefault="002D30C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87E11" w:rsidRDefault="002D30C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324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87E11" w:rsidRDefault="002D30C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87E11" w:rsidRDefault="002D30C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376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87E11" w:rsidRDefault="002D30C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87E11" w:rsidRDefault="002D30C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427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87E11" w:rsidRDefault="002D30C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87E11" w:rsidRDefault="002D30C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D28" w:rsidRDefault="004C2D28">
      <w:r>
        <w:separator/>
      </w:r>
    </w:p>
  </w:footnote>
  <w:footnote w:type="continuationSeparator" w:id="0">
    <w:p w:rsidR="004C2D28" w:rsidRDefault="004C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E11" w:rsidRDefault="002D30C0">
    <w:pPr>
      <w:pStyle w:val="BodyText"/>
      <w:spacing w:line="14" w:lineRule="auto"/>
    </w:pPr>
    <w:r>
      <w:rPr>
        <w:noProof/>
      </w:rPr>
      <mc:AlternateContent>
        <mc:Choice Requires="wps">
          <w:drawing>
            <wp:anchor distT="0" distB="0" distL="0" distR="0" simplePos="0" relativeHeight="48741222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87E11" w:rsidRDefault="002D30C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87E11" w:rsidRDefault="002D30C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7E11"/>
    <w:rsid w:val="00082885"/>
    <w:rsid w:val="001E7D02"/>
    <w:rsid w:val="002D30C0"/>
    <w:rsid w:val="004C2D28"/>
    <w:rsid w:val="005535FA"/>
    <w:rsid w:val="00642DE6"/>
    <w:rsid w:val="00753B68"/>
    <w:rsid w:val="009D0B04"/>
    <w:rsid w:val="00C87E11"/>
    <w:rsid w:val="00DF2F55"/>
    <w:rsid w:val="00EF005D"/>
    <w:rsid w:val="00F46A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D7FCE-AE80-43CC-9016-7500F755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F46A5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or.com/index.php/O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13</cp:revision>
  <dcterms:created xsi:type="dcterms:W3CDTF">2025-11-07T06:58:00Z</dcterms:created>
  <dcterms:modified xsi:type="dcterms:W3CDTF">2025-11-10T12:24:00Z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pentru Microsoft 365</vt:lpwstr>
  </property>
  <property fmtid="{D5CDD505-2E9C-101B-9397-08002B2CF9AE}" pid="4" name="LastSaved">
    <vt:filetime>2025-11-07T00:00:00Z</vt:filetime>
  </property>
  <property fmtid="{D5CDD505-2E9C-101B-9397-08002B2CF9AE}" pid="5" name="Producer">
    <vt:lpwstr>Microsoft® Word pentru Microsoft 365</vt:lpwstr>
  </property>
</Properties>
</file>