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F44BA" w14:textId="77777777" w:rsidR="00FE446D" w:rsidRPr="00FE446D" w:rsidRDefault="00FE446D" w:rsidP="00FE446D">
      <w:pPr>
        <w:spacing w:after="0" w:line="240" w:lineRule="auto"/>
        <w:jc w:val="right"/>
        <w:outlineLvl w:val="0"/>
        <w:rPr>
          <w:rFonts w:ascii="Arial" w:eastAsia="Times New Roman" w:hAnsi="Arial" w:cs="Arial"/>
          <w:b/>
          <w:bCs/>
          <w:i/>
          <w:iCs/>
          <w:kern w:val="28"/>
          <w:sz w:val="36"/>
          <w:szCs w:val="20"/>
          <w:u w:val="single"/>
          <w:lang w:val="en-US"/>
        </w:rPr>
      </w:pPr>
      <w:r w:rsidRPr="00FE446D">
        <w:rPr>
          <w:rFonts w:ascii="Arial" w:eastAsia="Times New Roman" w:hAnsi="Arial" w:cs="Arial"/>
          <w:b/>
          <w:bCs/>
          <w:i/>
          <w:iCs/>
          <w:kern w:val="28"/>
          <w:sz w:val="36"/>
          <w:szCs w:val="20"/>
          <w:u w:val="single"/>
          <w:lang w:val="en-US"/>
        </w:rPr>
        <w:t>Review Article</w:t>
      </w:r>
    </w:p>
    <w:p w14:paraId="6394806C" w14:textId="77777777" w:rsidR="00FE446D" w:rsidRDefault="00FE446D" w:rsidP="00D062DE">
      <w:pPr>
        <w:rPr>
          <w:rFonts w:ascii="Times New Roman" w:hAnsi="Times New Roman" w:cs="Times New Roman"/>
          <w:b/>
          <w:bCs/>
          <w:sz w:val="24"/>
          <w:szCs w:val="24"/>
        </w:rPr>
      </w:pPr>
    </w:p>
    <w:p w14:paraId="16860A04" w14:textId="77777777" w:rsidR="00FE446D" w:rsidRDefault="00FE446D" w:rsidP="00D062DE">
      <w:pPr>
        <w:rPr>
          <w:rFonts w:ascii="Times New Roman" w:hAnsi="Times New Roman" w:cs="Times New Roman"/>
          <w:b/>
          <w:bCs/>
          <w:sz w:val="24"/>
          <w:szCs w:val="24"/>
        </w:rPr>
      </w:pPr>
    </w:p>
    <w:p w14:paraId="7D0A1A42" w14:textId="6501E8CF" w:rsidR="00A22888" w:rsidRPr="00A22888" w:rsidRDefault="00A22888" w:rsidP="00A84C05">
      <w:pPr>
        <w:jc w:val="center"/>
        <w:rPr>
          <w:rFonts w:ascii="Times New Roman" w:hAnsi="Times New Roman" w:cs="Times New Roman"/>
          <w:b/>
          <w:bCs/>
          <w:sz w:val="24"/>
          <w:szCs w:val="24"/>
        </w:rPr>
      </w:pPr>
      <w:r w:rsidRPr="00A22888">
        <w:rPr>
          <w:rFonts w:ascii="Times New Roman" w:hAnsi="Times New Roman" w:cs="Times New Roman"/>
          <w:b/>
          <w:bCs/>
          <w:sz w:val="24"/>
          <w:szCs w:val="24"/>
        </w:rPr>
        <w:t>Sustainable Agronomic Innovations for Enhancing Soil Health and Crop Productivity- A review</w:t>
      </w:r>
    </w:p>
    <w:p w14:paraId="273B72C7" w14:textId="020C303E" w:rsidR="00621326" w:rsidRDefault="00621326" w:rsidP="00D062DE">
      <w:pPr>
        <w:tabs>
          <w:tab w:val="left" w:pos="3924"/>
        </w:tabs>
        <w:jc w:val="both"/>
        <w:rPr>
          <w:rFonts w:ascii="Times New Roman" w:hAnsi="Times New Roman" w:cs="Times New Roman"/>
          <w:b/>
          <w:bCs/>
          <w:sz w:val="24"/>
          <w:szCs w:val="24"/>
        </w:rPr>
      </w:pPr>
    </w:p>
    <w:p w14:paraId="28A363BC" w14:textId="77777777" w:rsidR="00441CAA" w:rsidRDefault="00441CAA" w:rsidP="00D062DE">
      <w:pPr>
        <w:tabs>
          <w:tab w:val="left" w:pos="3924"/>
        </w:tabs>
        <w:jc w:val="both"/>
        <w:rPr>
          <w:rFonts w:ascii="Times New Roman" w:hAnsi="Times New Roman" w:cs="Times New Roman"/>
          <w:b/>
          <w:bCs/>
          <w:sz w:val="24"/>
          <w:szCs w:val="24"/>
        </w:rPr>
      </w:pPr>
    </w:p>
    <w:p w14:paraId="609F941C" w14:textId="69C2DC38" w:rsidR="00D062DE" w:rsidRPr="00390666" w:rsidRDefault="00621326" w:rsidP="00BB0396">
      <w:pPr>
        <w:tabs>
          <w:tab w:val="left" w:pos="5076"/>
        </w:tabs>
        <w:jc w:val="both"/>
        <w:rPr>
          <w:rFonts w:ascii="Times New Roman" w:hAnsi="Times New Roman" w:cs="Times New Roman"/>
          <w:b/>
          <w:bCs/>
          <w:sz w:val="24"/>
          <w:szCs w:val="24"/>
        </w:rPr>
      </w:pPr>
      <w:r w:rsidRPr="00621326">
        <w:rPr>
          <w:rFonts w:ascii="Times New Roman" w:hAnsi="Times New Roman" w:cs="Times New Roman"/>
          <w:b/>
          <w:bCs/>
          <w:sz w:val="24"/>
          <w:szCs w:val="24"/>
        </w:rPr>
        <w:t>Abstract</w:t>
      </w:r>
    </w:p>
    <w:p w14:paraId="3857A432" w14:textId="77777777" w:rsidR="00A22888" w:rsidRPr="00390666" w:rsidRDefault="00306009" w:rsidP="00BB0396">
      <w:pPr>
        <w:tabs>
          <w:tab w:val="left" w:pos="5076"/>
        </w:tabs>
        <w:jc w:val="both"/>
        <w:rPr>
          <w:rFonts w:ascii="Times New Roman" w:hAnsi="Times New Roman" w:cs="Times New Roman"/>
          <w:sz w:val="24"/>
          <w:szCs w:val="24"/>
        </w:rPr>
      </w:pPr>
      <w:r w:rsidRPr="00390666">
        <w:rPr>
          <w:rFonts w:ascii="Times New Roman" w:hAnsi="Times New Roman" w:cs="Times New Roman"/>
          <w:sz w:val="24"/>
          <w:szCs w:val="24"/>
        </w:rPr>
        <w:t xml:space="preserve">Sustainable agronomic innovations have emerged as essential strategies for restoring soil functionality, enhancing nutrient-use efficiency, and improving crop productivity in the face of accelerating ecological and climatic challenges. This review consolidates scientific insights and technological advancements across soil management, biological inputs, water-smart practices, and digital agriculture to highlight integrated solutions for resilient farming systems. Declining soil organic matter, nutrient depletion, poor soil structure, and reduced microbial diversity emphasize the urgency for regenerative approaches such as conservation tillage, cover cropping, diversified rotations, and precision nutrient delivery. Biological interventions including plant growth–promoting microbes, mycorrhizae, and biocontrol agents support nutrient cycling, carbon stabilization, and disease suppression while strengthening soil ecological networks. Digital innovations—spanning soil sensors, remote sensing, GIS-based mapping, and AI-driven advisory platforms—enable real-time monitoring and adaptive management tailored to field variability. Climate-smart strategies, including stress-resilient cultivars, agroforestry, and carbon-positive farming models, further contribute to climate mitigation and yield stability. Socio-economic assessment reveals that successful adoption depends on farmer awareness, economic viability, institutional support, and access to high-quality </w:t>
      </w:r>
      <w:proofErr w:type="spellStart"/>
      <w:r w:rsidRPr="00390666">
        <w:rPr>
          <w:rFonts w:ascii="Times New Roman" w:hAnsi="Times New Roman" w:cs="Times New Roman"/>
          <w:sz w:val="24"/>
          <w:szCs w:val="24"/>
        </w:rPr>
        <w:t>bioinputs</w:t>
      </w:r>
      <w:proofErr w:type="spellEnd"/>
      <w:r w:rsidRPr="00390666">
        <w:rPr>
          <w:rFonts w:ascii="Times New Roman" w:hAnsi="Times New Roman" w:cs="Times New Roman"/>
          <w:sz w:val="24"/>
          <w:szCs w:val="24"/>
        </w:rPr>
        <w:t xml:space="preserve"> and precision tools. Persistent challenges include limited long-term field data, incomplete understanding of soil biological processes, and constraints in scaling practices across diverse agroecosystems. Addressing these limitations through collaborative research, digital monitoring frameworks, policy incentives, and strengthened farmer–scientist–industry linkages will accelerate the transition toward regenerative, productive, and climate-resilient agronomy.</w:t>
      </w:r>
    </w:p>
    <w:p w14:paraId="1542F1B3" w14:textId="42FFAC6D" w:rsidR="00AE552F" w:rsidRPr="00390666" w:rsidRDefault="00572833" w:rsidP="00572833">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103486">
        <w:rPr>
          <w:rFonts w:ascii="Times New Roman" w:hAnsi="Times New Roman" w:cs="Times New Roman"/>
          <w:i/>
          <w:iCs/>
          <w:sz w:val="24"/>
          <w:szCs w:val="24"/>
        </w:rPr>
        <w:t>Sustainability, Soil, Nutrients, Microbes, Climate, Precision, Regeneration</w:t>
      </w:r>
    </w:p>
    <w:p w14:paraId="443F2A35" w14:textId="77777777" w:rsidR="00B70673" w:rsidRPr="00B70673" w:rsidRDefault="00B70673" w:rsidP="00BB0396">
      <w:pPr>
        <w:jc w:val="both"/>
        <w:rPr>
          <w:rFonts w:ascii="Times New Roman" w:hAnsi="Times New Roman" w:cs="Times New Roman"/>
          <w:sz w:val="24"/>
          <w:szCs w:val="24"/>
        </w:rPr>
      </w:pPr>
      <w:r w:rsidRPr="00B70673">
        <w:rPr>
          <w:rFonts w:ascii="Times New Roman" w:hAnsi="Times New Roman" w:cs="Times New Roman"/>
          <w:b/>
          <w:bCs/>
          <w:sz w:val="24"/>
          <w:szCs w:val="24"/>
        </w:rPr>
        <w:t xml:space="preserve">I. </w:t>
      </w:r>
      <w:commentRangeStart w:id="0"/>
      <w:r w:rsidRPr="00B70673">
        <w:rPr>
          <w:rFonts w:ascii="Times New Roman" w:hAnsi="Times New Roman" w:cs="Times New Roman"/>
          <w:b/>
          <w:bCs/>
          <w:sz w:val="24"/>
          <w:szCs w:val="24"/>
        </w:rPr>
        <w:t>Introduction</w:t>
      </w:r>
      <w:commentRangeEnd w:id="0"/>
      <w:r w:rsidR="0044089E">
        <w:rPr>
          <w:rStyle w:val="CommentReference"/>
        </w:rPr>
        <w:commentReference w:id="0"/>
      </w:r>
    </w:p>
    <w:p w14:paraId="46430659" w14:textId="77777777" w:rsidR="00B70673" w:rsidRPr="00B70673" w:rsidRDefault="00B70673" w:rsidP="00BB0396">
      <w:pPr>
        <w:jc w:val="both"/>
        <w:rPr>
          <w:rFonts w:ascii="Times New Roman" w:hAnsi="Times New Roman" w:cs="Times New Roman"/>
          <w:sz w:val="24"/>
          <w:szCs w:val="24"/>
        </w:rPr>
      </w:pPr>
      <w:r w:rsidRPr="00B70673">
        <w:rPr>
          <w:rFonts w:ascii="Times New Roman" w:hAnsi="Times New Roman" w:cs="Times New Roman"/>
          <w:b/>
          <w:bCs/>
          <w:i/>
          <w:iCs/>
          <w:sz w:val="24"/>
          <w:szCs w:val="24"/>
        </w:rPr>
        <w:t>Background of soil health deterioration</w:t>
      </w:r>
      <w:r w:rsidRPr="00B70673">
        <w:rPr>
          <w:rFonts w:ascii="Times New Roman" w:hAnsi="Times New Roman" w:cs="Times New Roman"/>
          <w:sz w:val="24"/>
          <w:szCs w:val="24"/>
        </w:rPr>
        <w:br/>
        <w:t xml:space="preserve">Soil health deterioration has emerged as a critical constraint to long-term agricultural stability, driven by nutrient mining, intensive tillage, loss of soil organic matter, monocropping, excessive chemical inputs, erosion, compaction, salinity, and depletion of </w:t>
      </w:r>
      <w:r w:rsidRPr="00B70673">
        <w:rPr>
          <w:rFonts w:ascii="Times New Roman" w:hAnsi="Times New Roman" w:cs="Times New Roman"/>
          <w:sz w:val="24"/>
          <w:szCs w:val="24"/>
        </w:rPr>
        <w:lastRenderedPageBreak/>
        <w:t>b</w:t>
      </w:r>
      <w:r w:rsidR="00685BE9">
        <w:rPr>
          <w:rFonts w:ascii="Times New Roman" w:hAnsi="Times New Roman" w:cs="Times New Roman"/>
          <w:sz w:val="24"/>
          <w:szCs w:val="24"/>
        </w:rPr>
        <w:t>eneficial microbial populations (</w:t>
      </w:r>
      <w:proofErr w:type="spellStart"/>
      <w:r w:rsidR="00685BE9">
        <w:rPr>
          <w:rFonts w:ascii="Times New Roman" w:hAnsi="Times New Roman" w:cs="Times New Roman"/>
          <w:sz w:val="24"/>
          <w:szCs w:val="24"/>
        </w:rPr>
        <w:t>Belete</w:t>
      </w:r>
      <w:proofErr w:type="spellEnd"/>
      <w:r w:rsidR="00685BE9">
        <w:rPr>
          <w:rFonts w:ascii="Times New Roman" w:hAnsi="Times New Roman" w:cs="Times New Roman"/>
          <w:sz w:val="24"/>
          <w:szCs w:val="24"/>
        </w:rPr>
        <w:t xml:space="preserve"> </w:t>
      </w:r>
      <w:r w:rsidR="00685BE9" w:rsidRPr="00685BE9">
        <w:rPr>
          <w:rFonts w:ascii="Times New Roman" w:hAnsi="Times New Roman" w:cs="Times New Roman"/>
          <w:i/>
          <w:sz w:val="24"/>
          <w:szCs w:val="24"/>
        </w:rPr>
        <w:t>et.al.,</w:t>
      </w:r>
      <w:r w:rsidR="00685BE9">
        <w:rPr>
          <w:rFonts w:ascii="Times New Roman" w:hAnsi="Times New Roman" w:cs="Times New Roman"/>
          <w:sz w:val="24"/>
          <w:szCs w:val="24"/>
        </w:rPr>
        <w:t xml:space="preserve"> 2023).</w:t>
      </w:r>
      <w:r w:rsidRPr="00B70673">
        <w:rPr>
          <w:rFonts w:ascii="Times New Roman" w:hAnsi="Times New Roman" w:cs="Times New Roman"/>
          <w:sz w:val="24"/>
          <w:szCs w:val="24"/>
        </w:rPr>
        <w:t xml:space="preserve"> </w:t>
      </w:r>
      <w:commentRangeStart w:id="1"/>
      <w:r w:rsidRPr="00B70673">
        <w:rPr>
          <w:rFonts w:ascii="Times New Roman" w:hAnsi="Times New Roman" w:cs="Times New Roman"/>
          <w:sz w:val="24"/>
          <w:szCs w:val="24"/>
        </w:rPr>
        <w:t>Global assessments indicate that nearly 33% of agricultural soils exhibit moderate to severe degradation due to accelerated erosion, nutrient imb</w:t>
      </w:r>
      <w:r w:rsidR="00685BE9">
        <w:rPr>
          <w:rFonts w:ascii="Times New Roman" w:hAnsi="Times New Roman" w:cs="Times New Roman"/>
          <w:sz w:val="24"/>
          <w:szCs w:val="24"/>
        </w:rPr>
        <w:t>alance, and structural decline</w:t>
      </w:r>
      <w:r w:rsidRPr="00B70673">
        <w:rPr>
          <w:rFonts w:ascii="Times New Roman" w:hAnsi="Times New Roman" w:cs="Times New Roman"/>
          <w:sz w:val="24"/>
          <w:szCs w:val="24"/>
        </w:rPr>
        <w:t>. Continuous cereal-based systems have shown a reduction of soil organic carbon from 1.2% to nearly 0.4% over four decades in many semi-a</w:t>
      </w:r>
      <w:r w:rsidR="00685BE9">
        <w:rPr>
          <w:rFonts w:ascii="Times New Roman" w:hAnsi="Times New Roman" w:cs="Times New Roman"/>
          <w:sz w:val="24"/>
          <w:szCs w:val="24"/>
        </w:rPr>
        <w:t>rid and humid cropping regions</w:t>
      </w:r>
      <w:r w:rsidRPr="00B70673">
        <w:rPr>
          <w:rFonts w:ascii="Times New Roman" w:hAnsi="Times New Roman" w:cs="Times New Roman"/>
          <w:sz w:val="24"/>
          <w:szCs w:val="24"/>
        </w:rPr>
        <w:t>. Intensive tillage exposes organic matter to rapid oxidation, lowering carbon stocks by 15–30% compared wit</w:t>
      </w:r>
      <w:r w:rsidR="00685BE9">
        <w:rPr>
          <w:rFonts w:ascii="Times New Roman" w:hAnsi="Times New Roman" w:cs="Times New Roman"/>
          <w:sz w:val="24"/>
          <w:szCs w:val="24"/>
        </w:rPr>
        <w:t>h conservation tillage systems</w:t>
      </w:r>
      <w:r w:rsidRPr="00B70673">
        <w:rPr>
          <w:rFonts w:ascii="Times New Roman" w:hAnsi="Times New Roman" w:cs="Times New Roman"/>
          <w:sz w:val="24"/>
          <w:szCs w:val="24"/>
        </w:rPr>
        <w:t>. Excessive nitrogen fertilization has caused nitrate accumulation in soil profiles and a decline in microbial diversity, with studies reporting up to a 25% reduction in functional microbial groups under repea</w:t>
      </w:r>
      <w:r w:rsidR="00685BE9">
        <w:rPr>
          <w:rFonts w:ascii="Times New Roman" w:hAnsi="Times New Roman" w:cs="Times New Roman"/>
          <w:sz w:val="24"/>
          <w:szCs w:val="24"/>
        </w:rPr>
        <w:t>ted high-dose urea application</w:t>
      </w:r>
      <w:r w:rsidRPr="00B70673">
        <w:rPr>
          <w:rFonts w:ascii="Times New Roman" w:hAnsi="Times New Roman" w:cs="Times New Roman"/>
          <w:sz w:val="24"/>
          <w:szCs w:val="24"/>
        </w:rPr>
        <w:t>. Such degradation directly impacts root growth, water retention, nutrient cycling, and biological resilience, leading to stagnation in yield trends and reduced climate adaptability.</w:t>
      </w:r>
      <w:commentRangeEnd w:id="1"/>
      <w:r w:rsidR="0044089E">
        <w:rPr>
          <w:rStyle w:val="CommentReference"/>
        </w:rPr>
        <w:commentReference w:id="1"/>
      </w:r>
    </w:p>
    <w:p w14:paraId="14576F08" w14:textId="77777777" w:rsidR="00B70673" w:rsidRPr="00B70673" w:rsidRDefault="00B70673" w:rsidP="00BB0396">
      <w:pPr>
        <w:jc w:val="both"/>
        <w:rPr>
          <w:rFonts w:ascii="Times New Roman" w:hAnsi="Times New Roman" w:cs="Times New Roman"/>
          <w:sz w:val="24"/>
          <w:szCs w:val="24"/>
        </w:rPr>
      </w:pPr>
      <w:r w:rsidRPr="00B70673">
        <w:rPr>
          <w:rFonts w:ascii="Times New Roman" w:hAnsi="Times New Roman" w:cs="Times New Roman"/>
          <w:b/>
          <w:bCs/>
          <w:i/>
          <w:iCs/>
          <w:sz w:val="24"/>
          <w:szCs w:val="24"/>
        </w:rPr>
        <w:t>Importance of sustainable agronomic innovations</w:t>
      </w:r>
      <w:r w:rsidRPr="00B70673">
        <w:rPr>
          <w:rFonts w:ascii="Times New Roman" w:hAnsi="Times New Roman" w:cs="Times New Roman"/>
          <w:sz w:val="24"/>
          <w:szCs w:val="24"/>
        </w:rPr>
        <w:br/>
        <w:t xml:space="preserve">Sustainable agronomic innovations offer pathways to reverse ecological decline </w:t>
      </w:r>
      <w:r w:rsidR="00F16934">
        <w:rPr>
          <w:rFonts w:ascii="Times New Roman" w:hAnsi="Times New Roman" w:cs="Times New Roman"/>
          <w:sz w:val="24"/>
          <w:szCs w:val="24"/>
        </w:rPr>
        <w:t>and restore productive capacity (</w:t>
      </w:r>
      <w:proofErr w:type="spellStart"/>
      <w:r w:rsidR="00F16934">
        <w:rPr>
          <w:rFonts w:ascii="Times New Roman" w:hAnsi="Times New Roman" w:cs="Times New Roman"/>
          <w:sz w:val="24"/>
          <w:szCs w:val="24"/>
        </w:rPr>
        <w:t>Pisante</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2012).</w:t>
      </w:r>
      <w:r w:rsidRPr="00B70673">
        <w:rPr>
          <w:rFonts w:ascii="Times New Roman" w:hAnsi="Times New Roman" w:cs="Times New Roman"/>
          <w:sz w:val="24"/>
          <w:szCs w:val="24"/>
        </w:rPr>
        <w:t xml:space="preserve"> </w:t>
      </w:r>
      <w:commentRangeStart w:id="2"/>
      <w:r w:rsidRPr="00B70673">
        <w:rPr>
          <w:rFonts w:ascii="Times New Roman" w:hAnsi="Times New Roman" w:cs="Times New Roman"/>
          <w:sz w:val="24"/>
          <w:szCs w:val="24"/>
        </w:rPr>
        <w:t>Conservation tillage, crop diversification, precision nutrient management, organic amendments, and biological inputs contribute to improved soil structure, increased carbon sequestration, and enhanced nutrient-use efficiency. Studies demonstrate that zero tillage combined with residue retention increases soil organic carbon by 0.2–0.4 t ha⁻¹ yr⁻¹ and boosts water in</w:t>
      </w:r>
      <w:r w:rsidR="00685BE9">
        <w:rPr>
          <w:rFonts w:ascii="Times New Roman" w:hAnsi="Times New Roman" w:cs="Times New Roman"/>
          <w:sz w:val="24"/>
          <w:szCs w:val="24"/>
        </w:rPr>
        <w:t>filtration rates by nearly 40%</w:t>
      </w:r>
      <w:r w:rsidRPr="00B70673">
        <w:rPr>
          <w:rFonts w:ascii="Times New Roman" w:hAnsi="Times New Roman" w:cs="Times New Roman"/>
          <w:sz w:val="24"/>
          <w:szCs w:val="24"/>
        </w:rPr>
        <w:t>. Incorporation of cover crops elevates microbial biomass carbon by 20–60% and promotes nitrogen retention that can reduce fertilizer r</w:t>
      </w:r>
      <w:r w:rsidR="00685BE9">
        <w:rPr>
          <w:rFonts w:ascii="Times New Roman" w:hAnsi="Times New Roman" w:cs="Times New Roman"/>
          <w:sz w:val="24"/>
          <w:szCs w:val="24"/>
        </w:rPr>
        <w:t>equirements by 30–60 kg N ha⁻¹</w:t>
      </w:r>
      <w:r w:rsidRPr="00B70673">
        <w:rPr>
          <w:rFonts w:ascii="Times New Roman" w:hAnsi="Times New Roman" w:cs="Times New Roman"/>
          <w:sz w:val="24"/>
          <w:szCs w:val="24"/>
        </w:rPr>
        <w:t>. Integrated nutrient management approaches have shown yield increases of 10–25% over sole chemical fertilization due to balanced nutrient supply and im</w:t>
      </w:r>
      <w:r w:rsidR="00685BE9">
        <w:rPr>
          <w:rFonts w:ascii="Times New Roman" w:hAnsi="Times New Roman" w:cs="Times New Roman"/>
          <w:sz w:val="24"/>
          <w:szCs w:val="24"/>
        </w:rPr>
        <w:t>proved soil buffering capacity</w:t>
      </w:r>
      <w:r w:rsidRPr="00B70673">
        <w:rPr>
          <w:rFonts w:ascii="Times New Roman" w:hAnsi="Times New Roman" w:cs="Times New Roman"/>
          <w:sz w:val="24"/>
          <w:szCs w:val="24"/>
        </w:rPr>
        <w:t>. Precision agronomic tools, including soil sensors, GIS-based mapping, and variable-rate technologies, have improved nutrient-use efficiency by 15</w:t>
      </w:r>
      <w:r w:rsidR="00685BE9">
        <w:rPr>
          <w:rFonts w:ascii="Times New Roman" w:hAnsi="Times New Roman" w:cs="Times New Roman"/>
          <w:sz w:val="24"/>
          <w:szCs w:val="24"/>
        </w:rPr>
        <w:t>–20% in major cropping systems</w:t>
      </w:r>
      <w:r w:rsidRPr="00B70673">
        <w:rPr>
          <w:rFonts w:ascii="Times New Roman" w:hAnsi="Times New Roman" w:cs="Times New Roman"/>
          <w:sz w:val="24"/>
          <w:szCs w:val="24"/>
        </w:rPr>
        <w:t>. Sustainable agronomic frameworks, therefore, provide synergistic benefits across ecosystem services, crop productivity, and environmental resilience.</w:t>
      </w:r>
      <w:commentRangeEnd w:id="2"/>
      <w:r w:rsidR="0044089E">
        <w:rPr>
          <w:rStyle w:val="CommentReference"/>
        </w:rPr>
        <w:commentReference w:id="2"/>
      </w:r>
    </w:p>
    <w:p w14:paraId="794B528E" w14:textId="77777777" w:rsidR="00B70673" w:rsidRPr="00B70673" w:rsidRDefault="00B70673" w:rsidP="00BB0396">
      <w:pPr>
        <w:jc w:val="both"/>
        <w:rPr>
          <w:rFonts w:ascii="Times New Roman" w:hAnsi="Times New Roman" w:cs="Times New Roman"/>
          <w:sz w:val="24"/>
          <w:szCs w:val="24"/>
        </w:rPr>
      </w:pPr>
      <w:r w:rsidRPr="00B70673">
        <w:rPr>
          <w:rFonts w:ascii="Times New Roman" w:hAnsi="Times New Roman" w:cs="Times New Roman"/>
          <w:b/>
          <w:bCs/>
          <w:i/>
          <w:iCs/>
          <w:sz w:val="24"/>
          <w:szCs w:val="24"/>
        </w:rPr>
        <w:t>Need for integrated approaches to improve productivity</w:t>
      </w:r>
      <w:r w:rsidRPr="00B70673">
        <w:rPr>
          <w:rFonts w:ascii="Times New Roman" w:hAnsi="Times New Roman" w:cs="Times New Roman"/>
          <w:sz w:val="24"/>
          <w:szCs w:val="24"/>
        </w:rPr>
        <w:br/>
        <w:t>Integrated agronomic approaches are essential to overcome the multifactorial challenge</w:t>
      </w:r>
      <w:r w:rsidR="00F16934">
        <w:rPr>
          <w:rFonts w:ascii="Times New Roman" w:hAnsi="Times New Roman" w:cs="Times New Roman"/>
          <w:sz w:val="24"/>
          <w:szCs w:val="24"/>
        </w:rPr>
        <w:t xml:space="preserve">s affecting modern agriculture (Sekhar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2024). </w:t>
      </w:r>
      <w:commentRangeStart w:id="3"/>
      <w:r w:rsidRPr="00B70673">
        <w:rPr>
          <w:rFonts w:ascii="Times New Roman" w:hAnsi="Times New Roman" w:cs="Times New Roman"/>
          <w:sz w:val="24"/>
          <w:szCs w:val="24"/>
        </w:rPr>
        <w:t>Soil health, nutrient dynamics, water availability, pest pressure, and climatic variability interact to regulate crop performance; thus, isolated interventions fail to deliver long-term stability. Integrating organic matter management with precision nutrient delivery, water-smart technologies, crop rotations, and biological soil amendments strengthens ecological processes and enhances system efficiency. Long-term experimental networks, such as those conducted by the International Soil Reference and Information Centre and CGIAR platforms, reveal that combined practices yield 20–40% higher productivity than single interventions due to improvements in carbon cycling, root zone aeration, nutrient syn</w:t>
      </w:r>
      <w:r w:rsidR="00685BE9">
        <w:rPr>
          <w:rFonts w:ascii="Times New Roman" w:hAnsi="Times New Roman" w:cs="Times New Roman"/>
          <w:sz w:val="24"/>
          <w:szCs w:val="24"/>
        </w:rPr>
        <w:t>chrony, and microbial activity</w:t>
      </w:r>
      <w:r w:rsidRPr="00B70673">
        <w:rPr>
          <w:rFonts w:ascii="Times New Roman" w:hAnsi="Times New Roman" w:cs="Times New Roman"/>
          <w:sz w:val="24"/>
          <w:szCs w:val="24"/>
        </w:rPr>
        <w:t>. Biological interventions, such as plant growth-promoting rhizobacteria, when combined with balanced fertilization and conservation practices, raise nitrogen-use efficiency by up to 25% and increase phosphorus availability through en</w:t>
      </w:r>
      <w:r w:rsidR="00685BE9">
        <w:rPr>
          <w:rFonts w:ascii="Times New Roman" w:hAnsi="Times New Roman" w:cs="Times New Roman"/>
          <w:sz w:val="24"/>
          <w:szCs w:val="24"/>
        </w:rPr>
        <w:t>hanced soil enzymatic activity</w:t>
      </w:r>
      <w:r w:rsidRPr="00B70673">
        <w:rPr>
          <w:rFonts w:ascii="Times New Roman" w:hAnsi="Times New Roman" w:cs="Times New Roman"/>
          <w:sz w:val="24"/>
          <w:szCs w:val="24"/>
        </w:rPr>
        <w:t xml:space="preserve">. Integrated frameworks also strengthen resilience to climatic extremes, as diversified cropping systems </w:t>
      </w:r>
      <w:r w:rsidRPr="00B70673">
        <w:rPr>
          <w:rFonts w:ascii="Times New Roman" w:hAnsi="Times New Roman" w:cs="Times New Roman"/>
          <w:sz w:val="24"/>
          <w:szCs w:val="24"/>
        </w:rPr>
        <w:lastRenderedPageBreak/>
        <w:t>with improved soil structure show 15–30% yield stability gains under drou</w:t>
      </w:r>
      <w:r w:rsidR="00685BE9">
        <w:rPr>
          <w:rFonts w:ascii="Times New Roman" w:hAnsi="Times New Roman" w:cs="Times New Roman"/>
          <w:sz w:val="24"/>
          <w:szCs w:val="24"/>
        </w:rPr>
        <w:t>ght and heat stress conditions</w:t>
      </w:r>
      <w:r w:rsidRPr="00B70673">
        <w:rPr>
          <w:rFonts w:ascii="Times New Roman" w:hAnsi="Times New Roman" w:cs="Times New Roman"/>
          <w:sz w:val="24"/>
          <w:szCs w:val="24"/>
        </w:rPr>
        <w:t>. These findings highlight the essential role of integrated, science-driven agronomic systems for achieving sustainable gains in crop productivity.</w:t>
      </w:r>
      <w:commentRangeEnd w:id="3"/>
      <w:r w:rsidR="0044089E">
        <w:rPr>
          <w:rStyle w:val="CommentReference"/>
        </w:rPr>
        <w:commentReference w:id="3"/>
      </w:r>
    </w:p>
    <w:p w14:paraId="59AB0AD2" w14:textId="77777777" w:rsidR="00467E8B" w:rsidRPr="00390666" w:rsidRDefault="00467E8B" w:rsidP="00BB0396">
      <w:pPr>
        <w:jc w:val="both"/>
        <w:rPr>
          <w:rFonts w:ascii="Times New Roman" w:hAnsi="Times New Roman" w:cs="Times New Roman"/>
          <w:b/>
          <w:bCs/>
          <w:sz w:val="24"/>
          <w:szCs w:val="24"/>
        </w:rPr>
      </w:pPr>
    </w:p>
    <w:p w14:paraId="11CAF03C" w14:textId="77777777" w:rsidR="00467E8B" w:rsidRPr="00390666" w:rsidRDefault="00467E8B" w:rsidP="00BB0396">
      <w:pPr>
        <w:jc w:val="both"/>
        <w:rPr>
          <w:rFonts w:ascii="Times New Roman" w:hAnsi="Times New Roman" w:cs="Times New Roman"/>
          <w:b/>
          <w:bCs/>
          <w:sz w:val="24"/>
          <w:szCs w:val="24"/>
        </w:rPr>
      </w:pPr>
    </w:p>
    <w:p w14:paraId="316EEE63" w14:textId="77777777" w:rsidR="00C46F66" w:rsidRPr="00C46F66" w:rsidRDefault="00C46F66" w:rsidP="00BB0396">
      <w:pPr>
        <w:jc w:val="both"/>
        <w:rPr>
          <w:rFonts w:ascii="Times New Roman" w:hAnsi="Times New Roman" w:cs="Times New Roman"/>
          <w:sz w:val="24"/>
          <w:szCs w:val="24"/>
        </w:rPr>
      </w:pPr>
      <w:r w:rsidRPr="00C46F66">
        <w:rPr>
          <w:rFonts w:ascii="Times New Roman" w:hAnsi="Times New Roman" w:cs="Times New Roman"/>
          <w:b/>
          <w:bCs/>
          <w:sz w:val="24"/>
          <w:szCs w:val="24"/>
        </w:rPr>
        <w:t>II. Concepts and Indicators of Soil Health</w:t>
      </w:r>
    </w:p>
    <w:p w14:paraId="07BC1579" w14:textId="77777777" w:rsidR="00C46F66" w:rsidRPr="00C46F66" w:rsidRDefault="00C46F66" w:rsidP="00BB0396">
      <w:pPr>
        <w:jc w:val="both"/>
        <w:rPr>
          <w:rFonts w:ascii="Times New Roman" w:hAnsi="Times New Roman" w:cs="Times New Roman"/>
          <w:sz w:val="24"/>
          <w:szCs w:val="24"/>
        </w:rPr>
      </w:pPr>
      <w:r w:rsidRPr="00C46F66">
        <w:rPr>
          <w:rFonts w:ascii="Times New Roman" w:hAnsi="Times New Roman" w:cs="Times New Roman"/>
          <w:b/>
          <w:bCs/>
          <w:i/>
          <w:iCs/>
          <w:sz w:val="24"/>
          <w:szCs w:val="24"/>
        </w:rPr>
        <w:t>Physical, chemical, and biological indicators</w:t>
      </w:r>
      <w:r w:rsidRPr="00C46F66">
        <w:rPr>
          <w:rFonts w:ascii="Times New Roman" w:hAnsi="Times New Roman" w:cs="Times New Roman"/>
          <w:sz w:val="24"/>
          <w:szCs w:val="24"/>
        </w:rPr>
        <w:br/>
        <w:t>Soil health is defined through an integrated assessment of its physical, chemical, and biological attributes, each contributing uniquely to ecosystem fu</w:t>
      </w:r>
      <w:r w:rsidR="00F16934">
        <w:rPr>
          <w:rFonts w:ascii="Times New Roman" w:hAnsi="Times New Roman" w:cs="Times New Roman"/>
          <w:sz w:val="24"/>
          <w:szCs w:val="24"/>
        </w:rPr>
        <w:t>nctioning and crop productivity (</w:t>
      </w:r>
      <w:proofErr w:type="spellStart"/>
      <w:r w:rsidR="00F16934">
        <w:rPr>
          <w:rFonts w:ascii="Times New Roman" w:hAnsi="Times New Roman" w:cs="Times New Roman"/>
          <w:sz w:val="24"/>
          <w:szCs w:val="24"/>
        </w:rPr>
        <w:t>Usharani</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2019).</w:t>
      </w:r>
      <w:r w:rsidRPr="00C46F66">
        <w:rPr>
          <w:rFonts w:ascii="Times New Roman" w:hAnsi="Times New Roman" w:cs="Times New Roman"/>
          <w:sz w:val="24"/>
          <w:szCs w:val="24"/>
        </w:rPr>
        <w:t xml:space="preserve"> </w:t>
      </w:r>
      <w:commentRangeStart w:id="4"/>
      <w:r w:rsidRPr="00C46F66">
        <w:rPr>
          <w:rFonts w:ascii="Times New Roman" w:hAnsi="Times New Roman" w:cs="Times New Roman"/>
          <w:sz w:val="24"/>
          <w:szCs w:val="24"/>
        </w:rPr>
        <w:t>Physical indicators describe texture, bulk density, porosity, infiltration rate, water-holding capacity, and compaction status. Research indicates that optimal bulk density ranges between 1.1–1.4 g cm⁻³ for most loamy soils, with values exceeding 1.6 g cm⁻³ restricting root penetration and re</w:t>
      </w:r>
      <w:r w:rsidR="00685BE9">
        <w:rPr>
          <w:rFonts w:ascii="Times New Roman" w:hAnsi="Times New Roman" w:cs="Times New Roman"/>
          <w:sz w:val="24"/>
          <w:szCs w:val="24"/>
        </w:rPr>
        <w:t>ducing yields by nearly 20–35%</w:t>
      </w:r>
      <w:r w:rsidRPr="00C46F66">
        <w:rPr>
          <w:rFonts w:ascii="Times New Roman" w:hAnsi="Times New Roman" w:cs="Times New Roman"/>
          <w:sz w:val="24"/>
          <w:szCs w:val="24"/>
        </w:rPr>
        <w:t xml:space="preserve">. Chemical indicators assess nutrient availability, pH balance, cation-exchange capacity (CEC), salinity, and toxic element accumulation. Soils with CEC above 15 </w:t>
      </w:r>
      <w:proofErr w:type="spellStart"/>
      <w:r w:rsidRPr="00C46F66">
        <w:rPr>
          <w:rFonts w:ascii="Times New Roman" w:hAnsi="Times New Roman" w:cs="Times New Roman"/>
          <w:sz w:val="24"/>
          <w:szCs w:val="24"/>
        </w:rPr>
        <w:t>cmol</w:t>
      </w:r>
      <w:proofErr w:type="spellEnd"/>
      <w:r w:rsidRPr="00C46F66">
        <w:rPr>
          <w:rFonts w:ascii="Times New Roman" w:hAnsi="Times New Roman" w:cs="Times New Roman"/>
          <w:sz w:val="24"/>
          <w:szCs w:val="24"/>
        </w:rPr>
        <w:t xml:space="preserve"> kg⁻¹ demonstrate enhanced nutrient retention and reduced leaching losses, while pH values between 6.2–7.0 </w:t>
      </w:r>
      <w:proofErr w:type="spellStart"/>
      <w:r w:rsidRPr="00C46F66">
        <w:rPr>
          <w:rFonts w:ascii="Times New Roman" w:hAnsi="Times New Roman" w:cs="Times New Roman"/>
          <w:sz w:val="24"/>
          <w:szCs w:val="24"/>
        </w:rPr>
        <w:t>favor</w:t>
      </w:r>
      <w:proofErr w:type="spellEnd"/>
      <w:r w:rsidRPr="00C46F66">
        <w:rPr>
          <w:rFonts w:ascii="Times New Roman" w:hAnsi="Times New Roman" w:cs="Times New Roman"/>
          <w:sz w:val="24"/>
          <w:szCs w:val="24"/>
        </w:rPr>
        <w:t xml:space="preserve"> maximum nutrien</w:t>
      </w:r>
      <w:r w:rsidR="00685BE9">
        <w:rPr>
          <w:rFonts w:ascii="Times New Roman" w:hAnsi="Times New Roman" w:cs="Times New Roman"/>
          <w:sz w:val="24"/>
          <w:szCs w:val="24"/>
        </w:rPr>
        <w:t>t availability for major crops</w:t>
      </w:r>
      <w:r w:rsidRPr="00C46F66">
        <w:rPr>
          <w:rFonts w:ascii="Times New Roman" w:hAnsi="Times New Roman" w:cs="Times New Roman"/>
          <w:sz w:val="24"/>
          <w:szCs w:val="24"/>
        </w:rPr>
        <w:t>. Biological indicators encompass microbial biomass carbon, enzyme activities, earthworm populations, and functional microbial diversity. Studies show that microbial biomass carbon responds sensitively to management changes, increasing 20–50% under organic amendments compared w</w:t>
      </w:r>
      <w:r w:rsidR="00685BE9">
        <w:rPr>
          <w:rFonts w:ascii="Times New Roman" w:hAnsi="Times New Roman" w:cs="Times New Roman"/>
          <w:sz w:val="24"/>
          <w:szCs w:val="24"/>
        </w:rPr>
        <w:t>ith conventional fertilization</w:t>
      </w:r>
      <w:r w:rsidRPr="00C46F66">
        <w:rPr>
          <w:rFonts w:ascii="Times New Roman" w:hAnsi="Times New Roman" w:cs="Times New Roman"/>
          <w:sz w:val="24"/>
          <w:szCs w:val="24"/>
        </w:rPr>
        <w:t>. Enzymes such as dehydrogenase and phosphatase serve as early indicators of soil metabolic activity, with their activities rising by up to 40% in soils receiving regular organic inputs. Collectively, these indicators provide a holistic diagnosis of soil functioning, nutrient turnover, and ecological resilience.</w:t>
      </w:r>
      <w:commentRangeEnd w:id="4"/>
      <w:r w:rsidR="00144D30">
        <w:rPr>
          <w:rStyle w:val="CommentReference"/>
        </w:rPr>
        <w:commentReference w:id="4"/>
      </w:r>
    </w:p>
    <w:p w14:paraId="55907DB3" w14:textId="77777777" w:rsidR="00C46F66" w:rsidRPr="00C46F66" w:rsidRDefault="00C46F66" w:rsidP="00BB0396">
      <w:pPr>
        <w:jc w:val="both"/>
        <w:rPr>
          <w:rFonts w:ascii="Times New Roman" w:hAnsi="Times New Roman" w:cs="Times New Roman"/>
          <w:sz w:val="24"/>
          <w:szCs w:val="24"/>
        </w:rPr>
      </w:pPr>
      <w:r w:rsidRPr="00C46F66">
        <w:rPr>
          <w:rFonts w:ascii="Times New Roman" w:hAnsi="Times New Roman" w:cs="Times New Roman"/>
          <w:b/>
          <w:bCs/>
          <w:i/>
          <w:iCs/>
          <w:sz w:val="24"/>
          <w:szCs w:val="24"/>
        </w:rPr>
        <w:t>Soil organic matter dynamics</w:t>
      </w:r>
      <w:r w:rsidRPr="00C46F66">
        <w:rPr>
          <w:rFonts w:ascii="Times New Roman" w:hAnsi="Times New Roman" w:cs="Times New Roman"/>
          <w:sz w:val="24"/>
          <w:szCs w:val="24"/>
        </w:rPr>
        <w:br/>
        <w:t>Soil organic matter (SOM) acts as a central determinant of soil health by regulating nutrient cycling, water retention, carbon stora</w:t>
      </w:r>
      <w:r w:rsidR="00F16934">
        <w:rPr>
          <w:rFonts w:ascii="Times New Roman" w:hAnsi="Times New Roman" w:cs="Times New Roman"/>
          <w:sz w:val="24"/>
          <w:szCs w:val="24"/>
        </w:rPr>
        <w:t xml:space="preserve">ge, and microbial interactions (Weil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2004). </w:t>
      </w:r>
      <w:commentRangeStart w:id="5"/>
      <w:r w:rsidRPr="00C46F66">
        <w:rPr>
          <w:rFonts w:ascii="Times New Roman" w:hAnsi="Times New Roman" w:cs="Times New Roman"/>
          <w:sz w:val="24"/>
          <w:szCs w:val="24"/>
        </w:rPr>
        <w:t xml:space="preserve">Global observations reveal that a 1% increase in SOM improves water-holding capacity by nearly 20,000–25,000 </w:t>
      </w:r>
      <w:proofErr w:type="spellStart"/>
      <w:r w:rsidRPr="00C46F66">
        <w:rPr>
          <w:rFonts w:ascii="Times New Roman" w:hAnsi="Times New Roman" w:cs="Times New Roman"/>
          <w:sz w:val="24"/>
          <w:szCs w:val="24"/>
        </w:rPr>
        <w:t>liters</w:t>
      </w:r>
      <w:proofErr w:type="spellEnd"/>
      <w:r w:rsidRPr="00C46F66">
        <w:rPr>
          <w:rFonts w:ascii="Times New Roman" w:hAnsi="Times New Roman" w:cs="Times New Roman"/>
          <w:sz w:val="24"/>
          <w:szCs w:val="24"/>
        </w:rPr>
        <w:t xml:space="preserve"> per hectare and enhances nutrient-supplying power by 10–30% for ni</w:t>
      </w:r>
      <w:r w:rsidR="00685BE9">
        <w:rPr>
          <w:rFonts w:ascii="Times New Roman" w:hAnsi="Times New Roman" w:cs="Times New Roman"/>
          <w:sz w:val="24"/>
          <w:szCs w:val="24"/>
        </w:rPr>
        <w:t xml:space="preserve">trogen, phosphorus, and </w:t>
      </w:r>
      <w:proofErr w:type="spellStart"/>
      <w:r w:rsidR="00685BE9">
        <w:rPr>
          <w:rFonts w:ascii="Times New Roman" w:hAnsi="Times New Roman" w:cs="Times New Roman"/>
          <w:sz w:val="24"/>
          <w:szCs w:val="24"/>
        </w:rPr>
        <w:t>sulfur</w:t>
      </w:r>
      <w:proofErr w:type="spellEnd"/>
      <w:r w:rsidRPr="00C46F66">
        <w:rPr>
          <w:rFonts w:ascii="Times New Roman" w:hAnsi="Times New Roman" w:cs="Times New Roman"/>
          <w:sz w:val="24"/>
          <w:szCs w:val="24"/>
        </w:rPr>
        <w:t xml:space="preserve">. SOM consists of fresh residues, particulate organic matter, humus, and stable carbon fractions, each exhibiting distinct turnover rates. Fresh residues decompose rapidly, contributing to microbial biomass, while stable </w:t>
      </w:r>
      <w:proofErr w:type="spellStart"/>
      <w:r w:rsidRPr="00C46F66">
        <w:rPr>
          <w:rFonts w:ascii="Times New Roman" w:hAnsi="Times New Roman" w:cs="Times New Roman"/>
          <w:sz w:val="24"/>
          <w:szCs w:val="24"/>
        </w:rPr>
        <w:t>humic</w:t>
      </w:r>
      <w:proofErr w:type="spellEnd"/>
      <w:r w:rsidRPr="00C46F66">
        <w:rPr>
          <w:rFonts w:ascii="Times New Roman" w:hAnsi="Times New Roman" w:cs="Times New Roman"/>
          <w:sz w:val="24"/>
          <w:szCs w:val="24"/>
        </w:rPr>
        <w:t xml:space="preserve"> substances may persist for centuries, storing carbo</w:t>
      </w:r>
      <w:r w:rsidR="00685BE9">
        <w:rPr>
          <w:rFonts w:ascii="Times New Roman" w:hAnsi="Times New Roman" w:cs="Times New Roman"/>
          <w:sz w:val="24"/>
          <w:szCs w:val="24"/>
        </w:rPr>
        <w:t>n and improving soil structure</w:t>
      </w:r>
      <w:r w:rsidRPr="00C46F66">
        <w:rPr>
          <w:rFonts w:ascii="Times New Roman" w:hAnsi="Times New Roman" w:cs="Times New Roman"/>
          <w:sz w:val="24"/>
          <w:szCs w:val="24"/>
        </w:rPr>
        <w:t>. Management practices influence SOM dynamics strongly: conservation tillage increases carbon sequestration at rates of 0.3–1.0 t C ha⁻¹ yr⁻¹, while cover crops and residue retention increase SOM</w:t>
      </w:r>
      <w:r w:rsidR="00685BE9">
        <w:rPr>
          <w:rFonts w:ascii="Times New Roman" w:hAnsi="Times New Roman" w:cs="Times New Roman"/>
          <w:sz w:val="24"/>
          <w:szCs w:val="24"/>
        </w:rPr>
        <w:t xml:space="preserve"> stocks by 5–15% over a decade</w:t>
      </w:r>
      <w:r w:rsidRPr="00C46F66">
        <w:rPr>
          <w:rFonts w:ascii="Times New Roman" w:hAnsi="Times New Roman" w:cs="Times New Roman"/>
          <w:sz w:val="24"/>
          <w:szCs w:val="24"/>
        </w:rPr>
        <w:t>. Excessive tillage accelerates oxidation losses, reducing SOM pools by 30–50% in</w:t>
      </w:r>
      <w:r w:rsidR="00685BE9">
        <w:rPr>
          <w:rFonts w:ascii="Times New Roman" w:hAnsi="Times New Roman" w:cs="Times New Roman"/>
          <w:sz w:val="24"/>
          <w:szCs w:val="24"/>
        </w:rPr>
        <w:t xml:space="preserve"> intensively cultivated fields</w:t>
      </w:r>
      <w:r w:rsidRPr="00C46F66">
        <w:rPr>
          <w:rFonts w:ascii="Times New Roman" w:hAnsi="Times New Roman" w:cs="Times New Roman"/>
          <w:sz w:val="24"/>
          <w:szCs w:val="24"/>
        </w:rPr>
        <w:t>. Biological inputs such as compost, vermicompost, and biochar improve SOM stability through enhanced microbial immobilization and carbon–</w:t>
      </w:r>
      <w:r w:rsidRPr="00C46F66">
        <w:rPr>
          <w:rFonts w:ascii="Times New Roman" w:hAnsi="Times New Roman" w:cs="Times New Roman"/>
          <w:sz w:val="24"/>
          <w:szCs w:val="24"/>
        </w:rPr>
        <w:lastRenderedPageBreak/>
        <w:t>mineral complex formation. SOM thus functions as both a reservoir and a driver of ecosystem processes that underpin soil fertility and sustainable crop production.</w:t>
      </w:r>
      <w:commentRangeEnd w:id="5"/>
      <w:r w:rsidR="00144D30">
        <w:rPr>
          <w:rStyle w:val="CommentReference"/>
        </w:rPr>
        <w:commentReference w:id="5"/>
      </w:r>
    </w:p>
    <w:p w14:paraId="23332574" w14:textId="77777777" w:rsidR="00C46F66" w:rsidRPr="00C46F66" w:rsidRDefault="00C46F66" w:rsidP="00BB0396">
      <w:pPr>
        <w:jc w:val="both"/>
        <w:rPr>
          <w:rFonts w:ascii="Times New Roman" w:hAnsi="Times New Roman" w:cs="Times New Roman"/>
          <w:sz w:val="24"/>
          <w:szCs w:val="24"/>
        </w:rPr>
      </w:pPr>
      <w:r w:rsidRPr="00C46F66">
        <w:rPr>
          <w:rFonts w:ascii="Times New Roman" w:hAnsi="Times New Roman" w:cs="Times New Roman"/>
          <w:b/>
          <w:bCs/>
          <w:i/>
          <w:iCs/>
          <w:sz w:val="24"/>
          <w:szCs w:val="24"/>
        </w:rPr>
        <w:t>Soil structure, aggregation, and nutrient cycling</w:t>
      </w:r>
      <w:r w:rsidRPr="00C46F66">
        <w:rPr>
          <w:rFonts w:ascii="Times New Roman" w:hAnsi="Times New Roman" w:cs="Times New Roman"/>
          <w:sz w:val="24"/>
          <w:szCs w:val="24"/>
        </w:rPr>
        <w:br/>
        <w:t>Soil structure and aggregation influence aeration, water dynamics, root proli</w:t>
      </w:r>
      <w:r w:rsidR="00F16934">
        <w:rPr>
          <w:rFonts w:ascii="Times New Roman" w:hAnsi="Times New Roman" w:cs="Times New Roman"/>
          <w:sz w:val="24"/>
          <w:szCs w:val="24"/>
        </w:rPr>
        <w:t xml:space="preserve">feration, and nutrient exchange (Sharma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2023</w:t>
      </w:r>
      <w:commentRangeStart w:id="6"/>
      <w:r w:rsidR="00F16934">
        <w:rPr>
          <w:rFonts w:ascii="Times New Roman" w:hAnsi="Times New Roman" w:cs="Times New Roman"/>
          <w:sz w:val="24"/>
          <w:szCs w:val="24"/>
        </w:rPr>
        <w:t>).</w:t>
      </w:r>
      <w:r w:rsidRPr="00C46F66">
        <w:rPr>
          <w:rFonts w:ascii="Times New Roman" w:hAnsi="Times New Roman" w:cs="Times New Roman"/>
          <w:sz w:val="24"/>
          <w:szCs w:val="24"/>
        </w:rPr>
        <w:t xml:space="preserve"> Stable aggregates protect organic matter from rapid mineralization and provide microhabitats for microbial communities. Soils with higher aggregate stability show 30–60% lower erosion risk and retain 10–20% more wate</w:t>
      </w:r>
      <w:r w:rsidR="00685BE9">
        <w:rPr>
          <w:rFonts w:ascii="Times New Roman" w:hAnsi="Times New Roman" w:cs="Times New Roman"/>
          <w:sz w:val="24"/>
          <w:szCs w:val="24"/>
        </w:rPr>
        <w:t>r than poorly aggregated soils</w:t>
      </w:r>
      <w:r w:rsidRPr="00C46F66">
        <w:rPr>
          <w:rFonts w:ascii="Times New Roman" w:hAnsi="Times New Roman" w:cs="Times New Roman"/>
          <w:sz w:val="24"/>
          <w:szCs w:val="24"/>
        </w:rPr>
        <w:t>. Aggregation is driven by organic matter, fungal hyphae, polysaccharides, and root exudates that bind primary particles into micro- and macroaggregates. Mycorrhizal fungi, for example, enhance macroaggregate formation through glomalin production, increas</w:t>
      </w:r>
      <w:r w:rsidR="00685BE9">
        <w:rPr>
          <w:rFonts w:ascii="Times New Roman" w:hAnsi="Times New Roman" w:cs="Times New Roman"/>
          <w:sz w:val="24"/>
          <w:szCs w:val="24"/>
        </w:rPr>
        <w:t>ing stability by nearly 20–40%</w:t>
      </w:r>
      <w:r w:rsidR="00F16934">
        <w:rPr>
          <w:rFonts w:ascii="Times New Roman" w:hAnsi="Times New Roman" w:cs="Times New Roman"/>
          <w:sz w:val="24"/>
          <w:szCs w:val="24"/>
        </w:rPr>
        <w:t xml:space="preserve"> (Yang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2024).</w:t>
      </w:r>
      <w:r w:rsidRPr="00C46F66">
        <w:rPr>
          <w:rFonts w:ascii="Times New Roman" w:hAnsi="Times New Roman" w:cs="Times New Roman"/>
          <w:sz w:val="24"/>
          <w:szCs w:val="24"/>
        </w:rPr>
        <w:t xml:space="preserve"> Soil structure has direct implications for nutrient cycling; porous aggregates facilitate oxygen diffusion, supporting nitrification and other aerobic processes, while anaerobic microsites support denitrification. Nutrient cycling is further mediated by microbial decomposition of organic materials, mineralization–immobilization turnover, and enzymatic activities such as urease, cellulase, and phosphatase. Studies show that soils with strong aggregation exhibit up to 30% higher nitrogen mineralization rates and improved phosphorus availability due to greater </w:t>
      </w:r>
      <w:r w:rsidR="00685BE9">
        <w:rPr>
          <w:rFonts w:ascii="Times New Roman" w:hAnsi="Times New Roman" w:cs="Times New Roman"/>
          <w:sz w:val="24"/>
          <w:szCs w:val="24"/>
        </w:rPr>
        <w:t>root–microbe interaction zones</w:t>
      </w:r>
      <w:r w:rsidRPr="00C46F66">
        <w:rPr>
          <w:rFonts w:ascii="Times New Roman" w:hAnsi="Times New Roman" w:cs="Times New Roman"/>
          <w:sz w:val="24"/>
          <w:szCs w:val="24"/>
        </w:rPr>
        <w:t>. Healthy soil structure thus enhances ecological functioning, nutrient supply efficiency, and plant productivity by optimizing both physical and biological processes.</w:t>
      </w:r>
      <w:commentRangeEnd w:id="6"/>
      <w:r w:rsidR="00144D30">
        <w:rPr>
          <w:rStyle w:val="CommentReference"/>
        </w:rPr>
        <w:commentReference w:id="6"/>
      </w:r>
    </w:p>
    <w:p w14:paraId="7C309C6B" w14:textId="77777777" w:rsidR="00C46F66" w:rsidRPr="00390666" w:rsidRDefault="00C46F66" w:rsidP="00BB0396">
      <w:pPr>
        <w:jc w:val="both"/>
        <w:rPr>
          <w:rFonts w:ascii="Times New Roman" w:hAnsi="Times New Roman" w:cs="Times New Roman"/>
          <w:b/>
          <w:bCs/>
          <w:sz w:val="24"/>
          <w:szCs w:val="24"/>
        </w:rPr>
      </w:pPr>
    </w:p>
    <w:p w14:paraId="6FEDA76F" w14:textId="77777777" w:rsidR="00C46F66" w:rsidRPr="00C46F66" w:rsidRDefault="00C46F66" w:rsidP="00BB0396">
      <w:pPr>
        <w:jc w:val="both"/>
        <w:rPr>
          <w:rFonts w:ascii="Times New Roman" w:hAnsi="Times New Roman" w:cs="Times New Roman"/>
          <w:sz w:val="24"/>
          <w:szCs w:val="24"/>
        </w:rPr>
      </w:pPr>
      <w:r w:rsidRPr="00C46F66">
        <w:rPr>
          <w:rFonts w:ascii="Times New Roman" w:hAnsi="Times New Roman" w:cs="Times New Roman"/>
          <w:b/>
          <w:bCs/>
          <w:sz w:val="24"/>
          <w:szCs w:val="24"/>
        </w:rPr>
        <w:t>II. Concepts and Indicators of Soil Health</w:t>
      </w:r>
    </w:p>
    <w:p w14:paraId="0B3D4331" w14:textId="77777777" w:rsidR="00C46F66" w:rsidRPr="00C46F66" w:rsidRDefault="00C46F66" w:rsidP="00BB0396">
      <w:pPr>
        <w:jc w:val="both"/>
        <w:rPr>
          <w:rFonts w:ascii="Times New Roman" w:hAnsi="Times New Roman" w:cs="Times New Roman"/>
          <w:sz w:val="24"/>
          <w:szCs w:val="24"/>
        </w:rPr>
      </w:pPr>
      <w:r w:rsidRPr="00C46F66">
        <w:rPr>
          <w:rFonts w:ascii="Times New Roman" w:hAnsi="Times New Roman" w:cs="Times New Roman"/>
          <w:b/>
          <w:bCs/>
          <w:i/>
          <w:iCs/>
          <w:sz w:val="24"/>
          <w:szCs w:val="24"/>
        </w:rPr>
        <w:t>Physical, chemical, and biological indicators</w:t>
      </w:r>
      <w:r w:rsidRPr="00C46F66">
        <w:rPr>
          <w:rFonts w:ascii="Times New Roman" w:hAnsi="Times New Roman" w:cs="Times New Roman"/>
          <w:sz w:val="24"/>
          <w:szCs w:val="24"/>
        </w:rPr>
        <w:br/>
        <w:t>Soil health is defined through an integrated assessment of its physical, chemical, and biological attributes, each contributing uniquely to ecosystem fu</w:t>
      </w:r>
      <w:r w:rsidR="00F16934">
        <w:rPr>
          <w:rFonts w:ascii="Times New Roman" w:hAnsi="Times New Roman" w:cs="Times New Roman"/>
          <w:sz w:val="24"/>
          <w:szCs w:val="24"/>
        </w:rPr>
        <w:t xml:space="preserve">nctioning and crop productivity (Lehmann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2020).</w:t>
      </w:r>
      <w:r w:rsidRPr="00C46F66">
        <w:rPr>
          <w:rFonts w:ascii="Times New Roman" w:hAnsi="Times New Roman" w:cs="Times New Roman"/>
          <w:sz w:val="24"/>
          <w:szCs w:val="24"/>
        </w:rPr>
        <w:t xml:space="preserve"> </w:t>
      </w:r>
      <w:commentRangeStart w:id="7"/>
      <w:r w:rsidRPr="00C46F66">
        <w:rPr>
          <w:rFonts w:ascii="Times New Roman" w:hAnsi="Times New Roman" w:cs="Times New Roman"/>
          <w:sz w:val="24"/>
          <w:szCs w:val="24"/>
        </w:rPr>
        <w:t>Physical indicators describe texture, bulk density, porosity, infiltration rate, water-holding capacity, and compaction status. Research indicates that optimal bulk density ranges between 1.1–1.4 g cm⁻³ for most loamy soils, with values exceeding 1.6 g cm⁻³ restricting root penetration and re</w:t>
      </w:r>
      <w:r w:rsidR="00685BE9">
        <w:rPr>
          <w:rFonts w:ascii="Times New Roman" w:hAnsi="Times New Roman" w:cs="Times New Roman"/>
          <w:sz w:val="24"/>
          <w:szCs w:val="24"/>
        </w:rPr>
        <w:t>ducing yields by nearly 20–35%</w:t>
      </w:r>
      <w:r w:rsidRPr="00C46F66">
        <w:rPr>
          <w:rFonts w:ascii="Times New Roman" w:hAnsi="Times New Roman" w:cs="Times New Roman"/>
          <w:sz w:val="24"/>
          <w:szCs w:val="24"/>
        </w:rPr>
        <w:t xml:space="preserve">. Chemical indicators assess nutrient availability, pH balance, cation-exchange capacity (CEC), salinity, and toxic element accumulation. Soils with CEC above 15 </w:t>
      </w:r>
      <w:proofErr w:type="spellStart"/>
      <w:r w:rsidRPr="00C46F66">
        <w:rPr>
          <w:rFonts w:ascii="Times New Roman" w:hAnsi="Times New Roman" w:cs="Times New Roman"/>
          <w:sz w:val="24"/>
          <w:szCs w:val="24"/>
        </w:rPr>
        <w:t>cmol</w:t>
      </w:r>
      <w:proofErr w:type="spellEnd"/>
      <w:r w:rsidRPr="00C46F66">
        <w:rPr>
          <w:rFonts w:ascii="Times New Roman" w:hAnsi="Times New Roman" w:cs="Times New Roman"/>
          <w:sz w:val="24"/>
          <w:szCs w:val="24"/>
        </w:rPr>
        <w:t xml:space="preserve"> kg⁻¹ demonstrate enhanced nutrient retention and reduced leaching losses, while pH values between 6.2–7.0 </w:t>
      </w:r>
      <w:proofErr w:type="spellStart"/>
      <w:r w:rsidRPr="00C46F66">
        <w:rPr>
          <w:rFonts w:ascii="Times New Roman" w:hAnsi="Times New Roman" w:cs="Times New Roman"/>
          <w:sz w:val="24"/>
          <w:szCs w:val="24"/>
        </w:rPr>
        <w:t>favor</w:t>
      </w:r>
      <w:proofErr w:type="spellEnd"/>
      <w:r w:rsidRPr="00C46F66">
        <w:rPr>
          <w:rFonts w:ascii="Times New Roman" w:hAnsi="Times New Roman" w:cs="Times New Roman"/>
          <w:sz w:val="24"/>
          <w:szCs w:val="24"/>
        </w:rPr>
        <w:t xml:space="preserve"> maximum nutrien</w:t>
      </w:r>
      <w:r w:rsidR="00685BE9">
        <w:rPr>
          <w:rFonts w:ascii="Times New Roman" w:hAnsi="Times New Roman" w:cs="Times New Roman"/>
          <w:sz w:val="24"/>
          <w:szCs w:val="24"/>
        </w:rPr>
        <w:t>t availability for major crops</w:t>
      </w:r>
      <w:r w:rsidRPr="00C46F66">
        <w:rPr>
          <w:rFonts w:ascii="Times New Roman" w:hAnsi="Times New Roman" w:cs="Times New Roman"/>
          <w:sz w:val="24"/>
          <w:szCs w:val="24"/>
        </w:rPr>
        <w:t>. Biological indicators encompass microbial biomass carbon, enzyme activities, earthworm populations, and functional microbial diversity. Studies show that microbial biomass carbon responds sensitively to management changes, increasing 20–50% under organic amendments compared w</w:t>
      </w:r>
      <w:r w:rsidR="00685BE9">
        <w:rPr>
          <w:rFonts w:ascii="Times New Roman" w:hAnsi="Times New Roman" w:cs="Times New Roman"/>
          <w:sz w:val="24"/>
          <w:szCs w:val="24"/>
        </w:rPr>
        <w:t>ith conventional fertilization</w:t>
      </w:r>
      <w:r w:rsidRPr="00C46F66">
        <w:rPr>
          <w:rFonts w:ascii="Times New Roman" w:hAnsi="Times New Roman" w:cs="Times New Roman"/>
          <w:sz w:val="24"/>
          <w:szCs w:val="24"/>
        </w:rPr>
        <w:t>. Enzymes such as dehydrogenase and phosphatase serve as early indicators of soil metabolic activity, with their activities rising by up to 40% in soils re</w:t>
      </w:r>
      <w:r w:rsidR="00685BE9">
        <w:rPr>
          <w:rFonts w:ascii="Times New Roman" w:hAnsi="Times New Roman" w:cs="Times New Roman"/>
          <w:sz w:val="24"/>
          <w:szCs w:val="24"/>
        </w:rPr>
        <w:t xml:space="preserve">ceiving </w:t>
      </w:r>
      <w:r w:rsidR="00685BE9">
        <w:rPr>
          <w:rFonts w:ascii="Times New Roman" w:hAnsi="Times New Roman" w:cs="Times New Roman"/>
          <w:sz w:val="24"/>
          <w:szCs w:val="24"/>
        </w:rPr>
        <w:lastRenderedPageBreak/>
        <w:t>regular organic inputs</w:t>
      </w:r>
      <w:r w:rsidRPr="00C46F66">
        <w:rPr>
          <w:rFonts w:ascii="Times New Roman" w:hAnsi="Times New Roman" w:cs="Times New Roman"/>
          <w:sz w:val="24"/>
          <w:szCs w:val="24"/>
        </w:rPr>
        <w:t>. Collectively, these indicators provide a holistic diagnosis of soil functioning, nutrient turnover, and ecological resilience.</w:t>
      </w:r>
      <w:commentRangeEnd w:id="7"/>
      <w:r w:rsidR="00144D30">
        <w:rPr>
          <w:rStyle w:val="CommentReference"/>
        </w:rPr>
        <w:commentReference w:id="7"/>
      </w:r>
      <w:bookmarkStart w:id="8" w:name="_GoBack"/>
      <w:bookmarkEnd w:id="8"/>
    </w:p>
    <w:p w14:paraId="484757A3" w14:textId="77777777" w:rsidR="00C46F66" w:rsidRPr="00C46F66" w:rsidRDefault="00C46F66" w:rsidP="00BB0396">
      <w:pPr>
        <w:jc w:val="both"/>
        <w:rPr>
          <w:rFonts w:ascii="Times New Roman" w:hAnsi="Times New Roman" w:cs="Times New Roman"/>
          <w:sz w:val="24"/>
          <w:szCs w:val="24"/>
        </w:rPr>
      </w:pPr>
      <w:r w:rsidRPr="00C46F66">
        <w:rPr>
          <w:rFonts w:ascii="Times New Roman" w:hAnsi="Times New Roman" w:cs="Times New Roman"/>
          <w:b/>
          <w:bCs/>
          <w:i/>
          <w:iCs/>
          <w:sz w:val="24"/>
          <w:szCs w:val="24"/>
        </w:rPr>
        <w:t>Soil organic matter dynamics</w:t>
      </w:r>
      <w:r w:rsidRPr="00C46F66">
        <w:rPr>
          <w:rFonts w:ascii="Times New Roman" w:hAnsi="Times New Roman" w:cs="Times New Roman"/>
          <w:sz w:val="24"/>
          <w:szCs w:val="24"/>
        </w:rPr>
        <w:br/>
        <w:t>Soil organic matter (SOM) acts as a central determinant of soil health by regulating nutrient cycling, water retention, carbon stor</w:t>
      </w:r>
      <w:r w:rsidR="00F16934">
        <w:rPr>
          <w:rFonts w:ascii="Times New Roman" w:hAnsi="Times New Roman" w:cs="Times New Roman"/>
          <w:sz w:val="24"/>
          <w:szCs w:val="24"/>
        </w:rPr>
        <w:t xml:space="preserve">age, and microbial interactions (Nair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2022).</w:t>
      </w:r>
      <w:r w:rsidRPr="00C46F66">
        <w:rPr>
          <w:rFonts w:ascii="Times New Roman" w:hAnsi="Times New Roman" w:cs="Times New Roman"/>
          <w:sz w:val="24"/>
          <w:szCs w:val="24"/>
        </w:rPr>
        <w:t xml:space="preserve"> Global observations reveal that a 1% increase in SOM improves water-holding capacity by nearly 20,000–25,000 </w:t>
      </w:r>
      <w:proofErr w:type="spellStart"/>
      <w:r w:rsidRPr="00C46F66">
        <w:rPr>
          <w:rFonts w:ascii="Times New Roman" w:hAnsi="Times New Roman" w:cs="Times New Roman"/>
          <w:sz w:val="24"/>
          <w:szCs w:val="24"/>
        </w:rPr>
        <w:t>liters</w:t>
      </w:r>
      <w:proofErr w:type="spellEnd"/>
      <w:r w:rsidRPr="00C46F66">
        <w:rPr>
          <w:rFonts w:ascii="Times New Roman" w:hAnsi="Times New Roman" w:cs="Times New Roman"/>
          <w:sz w:val="24"/>
          <w:szCs w:val="24"/>
        </w:rPr>
        <w:t xml:space="preserve"> per hectare and enhances nutrient-supplying power by 10–30% for nitrogen, </w:t>
      </w:r>
      <w:r w:rsidR="00685BE9">
        <w:rPr>
          <w:rFonts w:ascii="Times New Roman" w:hAnsi="Times New Roman" w:cs="Times New Roman"/>
          <w:sz w:val="24"/>
          <w:szCs w:val="24"/>
        </w:rPr>
        <w:t xml:space="preserve">phosphorus, and </w:t>
      </w:r>
      <w:proofErr w:type="spellStart"/>
      <w:r w:rsidR="00685BE9">
        <w:rPr>
          <w:rFonts w:ascii="Times New Roman" w:hAnsi="Times New Roman" w:cs="Times New Roman"/>
          <w:sz w:val="24"/>
          <w:szCs w:val="24"/>
        </w:rPr>
        <w:t>sulfur</w:t>
      </w:r>
      <w:proofErr w:type="spellEnd"/>
      <w:r w:rsidRPr="00C46F66">
        <w:rPr>
          <w:rFonts w:ascii="Times New Roman" w:hAnsi="Times New Roman" w:cs="Times New Roman"/>
          <w:sz w:val="24"/>
          <w:szCs w:val="24"/>
        </w:rPr>
        <w:t xml:space="preserve">. SOM consists of fresh residues, particulate organic matter, humus, and stable carbon fractions, each exhibiting distinct turnover rates. Fresh residues decompose rapidly, contributing to microbial biomass, while stable </w:t>
      </w:r>
      <w:proofErr w:type="spellStart"/>
      <w:r w:rsidRPr="00C46F66">
        <w:rPr>
          <w:rFonts w:ascii="Times New Roman" w:hAnsi="Times New Roman" w:cs="Times New Roman"/>
          <w:sz w:val="24"/>
          <w:szCs w:val="24"/>
        </w:rPr>
        <w:t>humic</w:t>
      </w:r>
      <w:proofErr w:type="spellEnd"/>
      <w:r w:rsidRPr="00C46F66">
        <w:rPr>
          <w:rFonts w:ascii="Times New Roman" w:hAnsi="Times New Roman" w:cs="Times New Roman"/>
          <w:sz w:val="24"/>
          <w:szCs w:val="24"/>
        </w:rPr>
        <w:t xml:space="preserve"> substances may persist for centuries, storing carbo</w:t>
      </w:r>
      <w:r w:rsidR="00685BE9">
        <w:rPr>
          <w:rFonts w:ascii="Times New Roman" w:hAnsi="Times New Roman" w:cs="Times New Roman"/>
          <w:sz w:val="24"/>
          <w:szCs w:val="24"/>
        </w:rPr>
        <w:t>n and improving soil structure</w:t>
      </w:r>
      <w:r w:rsidRPr="00C46F66">
        <w:rPr>
          <w:rFonts w:ascii="Times New Roman" w:hAnsi="Times New Roman" w:cs="Times New Roman"/>
          <w:sz w:val="24"/>
          <w:szCs w:val="24"/>
        </w:rPr>
        <w:t>. Management practices influence SOM dynamics strongly: conservation tillage increases carbon sequestration at rates of 0.3–1.0 t C ha⁻¹ yr⁻¹, while cover crops and residue retention increase SOM</w:t>
      </w:r>
      <w:r w:rsidR="00685BE9">
        <w:rPr>
          <w:rFonts w:ascii="Times New Roman" w:hAnsi="Times New Roman" w:cs="Times New Roman"/>
          <w:sz w:val="24"/>
          <w:szCs w:val="24"/>
        </w:rPr>
        <w:t xml:space="preserve"> stocks by 5–15% over a decade</w:t>
      </w:r>
      <w:r w:rsidRPr="00C46F66">
        <w:rPr>
          <w:rFonts w:ascii="Times New Roman" w:hAnsi="Times New Roman" w:cs="Times New Roman"/>
          <w:sz w:val="24"/>
          <w:szCs w:val="24"/>
        </w:rPr>
        <w:t>. Excessive tillage accelerates oxidation losses, reducing SOM pools by 30–50% in</w:t>
      </w:r>
      <w:r w:rsidR="00685BE9">
        <w:rPr>
          <w:rFonts w:ascii="Times New Roman" w:hAnsi="Times New Roman" w:cs="Times New Roman"/>
          <w:sz w:val="24"/>
          <w:szCs w:val="24"/>
        </w:rPr>
        <w:t xml:space="preserve"> intensively cultivated fields</w:t>
      </w:r>
      <w:r w:rsidRPr="00C46F66">
        <w:rPr>
          <w:rFonts w:ascii="Times New Roman" w:hAnsi="Times New Roman" w:cs="Times New Roman"/>
          <w:sz w:val="24"/>
          <w:szCs w:val="24"/>
        </w:rPr>
        <w:t>. Biological inputs such as compost, vermicompost, and biochar improve SOM stability through enhanced microbial immobilization and carbon–mineral complex formation. SOM thus functions as both a reservoir and a driver of ecosystem processes that underpin soil fertility and sustainable crop production.</w:t>
      </w:r>
    </w:p>
    <w:p w14:paraId="73F9E1D4" w14:textId="77777777" w:rsidR="00C46F66" w:rsidRPr="00C46F66" w:rsidRDefault="00C46F66" w:rsidP="00BB0396">
      <w:pPr>
        <w:jc w:val="both"/>
        <w:rPr>
          <w:rFonts w:ascii="Times New Roman" w:hAnsi="Times New Roman" w:cs="Times New Roman"/>
          <w:sz w:val="24"/>
          <w:szCs w:val="24"/>
        </w:rPr>
      </w:pPr>
      <w:r w:rsidRPr="00C46F66">
        <w:rPr>
          <w:rFonts w:ascii="Times New Roman" w:hAnsi="Times New Roman" w:cs="Times New Roman"/>
          <w:b/>
          <w:bCs/>
          <w:i/>
          <w:iCs/>
          <w:sz w:val="24"/>
          <w:szCs w:val="24"/>
        </w:rPr>
        <w:t>Soil structure, aggregation, and nutrient cycling</w:t>
      </w:r>
      <w:r w:rsidRPr="00C46F66">
        <w:rPr>
          <w:rFonts w:ascii="Times New Roman" w:hAnsi="Times New Roman" w:cs="Times New Roman"/>
          <w:sz w:val="24"/>
          <w:szCs w:val="24"/>
        </w:rPr>
        <w:br/>
        <w:t>Soil structure and aggregation influence aeration, water dynamics, root prolife</w:t>
      </w:r>
      <w:r w:rsidR="00F16934">
        <w:rPr>
          <w:rFonts w:ascii="Times New Roman" w:hAnsi="Times New Roman" w:cs="Times New Roman"/>
          <w:sz w:val="24"/>
          <w:szCs w:val="24"/>
        </w:rPr>
        <w:t xml:space="preserve">ration, and nutrient exchange (Liu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2025).</w:t>
      </w:r>
      <w:r w:rsidRPr="00C46F66">
        <w:rPr>
          <w:rFonts w:ascii="Times New Roman" w:hAnsi="Times New Roman" w:cs="Times New Roman"/>
          <w:sz w:val="24"/>
          <w:szCs w:val="24"/>
        </w:rPr>
        <w:t xml:space="preserve"> Stable aggregates protect organic matter from rapid mineralization and provide microhabitats for microbial communities. Soils with higher aggregate stability show 30–60% lower erosion risk and retain 10–20% more water than po</w:t>
      </w:r>
      <w:r w:rsidR="00685BE9">
        <w:rPr>
          <w:rFonts w:ascii="Times New Roman" w:hAnsi="Times New Roman" w:cs="Times New Roman"/>
          <w:sz w:val="24"/>
          <w:szCs w:val="24"/>
        </w:rPr>
        <w:t>orly aggregated soils</w:t>
      </w:r>
      <w:r w:rsidRPr="00C46F66">
        <w:rPr>
          <w:rFonts w:ascii="Times New Roman" w:hAnsi="Times New Roman" w:cs="Times New Roman"/>
          <w:sz w:val="24"/>
          <w:szCs w:val="24"/>
        </w:rPr>
        <w:t>. Aggregation is driven by organic matter, fungal hyphae, polysaccharides, and root exudates that bind primary particles into micro- and macroaggregates. Mycorrhizal fungi, for example, enhance macroaggregate formation through glomalin production, increas</w:t>
      </w:r>
      <w:r w:rsidR="00685BE9">
        <w:rPr>
          <w:rFonts w:ascii="Times New Roman" w:hAnsi="Times New Roman" w:cs="Times New Roman"/>
          <w:sz w:val="24"/>
          <w:szCs w:val="24"/>
        </w:rPr>
        <w:t>ing stability by nearly 20–40%</w:t>
      </w:r>
      <w:r w:rsidRPr="00C46F66">
        <w:rPr>
          <w:rFonts w:ascii="Times New Roman" w:hAnsi="Times New Roman" w:cs="Times New Roman"/>
          <w:sz w:val="24"/>
          <w:szCs w:val="24"/>
        </w:rPr>
        <w:t xml:space="preserve">. Soil structure has direct implications for nutrient cycling; porous aggregates facilitate oxygen diffusion, supporting nitrification and other aerobic processes, while anaerobic microsites support denitrification. Nutrient cycling is further mediated by microbial decomposition of organic materials, mineralization–immobilization turnover, and enzymatic activities such as urease, cellulase, and phosphatase. Studies show that soils with strong aggregation exhibit up to 30% higher nitrogen mineralization rates and improved phosphorus availability due to greater </w:t>
      </w:r>
      <w:r w:rsidR="00685BE9">
        <w:rPr>
          <w:rFonts w:ascii="Times New Roman" w:hAnsi="Times New Roman" w:cs="Times New Roman"/>
          <w:sz w:val="24"/>
          <w:szCs w:val="24"/>
        </w:rPr>
        <w:t>root–microbe interaction zones</w:t>
      </w:r>
      <w:r w:rsidRPr="00C46F66">
        <w:rPr>
          <w:rFonts w:ascii="Times New Roman" w:hAnsi="Times New Roman" w:cs="Times New Roman"/>
          <w:sz w:val="24"/>
          <w:szCs w:val="24"/>
        </w:rPr>
        <w:t>. Healthy soil structure thus enhances ecological functioning, nutrient supply efficiency, and plant productivity by optimizing both physical and biological processes.</w:t>
      </w:r>
    </w:p>
    <w:p w14:paraId="54596525" w14:textId="77777777" w:rsidR="00B70673" w:rsidRPr="00390666" w:rsidRDefault="00B70673" w:rsidP="00BB0396">
      <w:pPr>
        <w:jc w:val="both"/>
        <w:rPr>
          <w:rFonts w:ascii="Times New Roman" w:hAnsi="Times New Roman" w:cs="Times New Roman"/>
          <w:b/>
          <w:bCs/>
          <w:sz w:val="24"/>
          <w:szCs w:val="24"/>
        </w:rPr>
      </w:pPr>
    </w:p>
    <w:p w14:paraId="048A2246" w14:textId="77777777" w:rsidR="00B70673" w:rsidRPr="00390666" w:rsidRDefault="00B70673" w:rsidP="00BB0396">
      <w:pPr>
        <w:jc w:val="both"/>
        <w:rPr>
          <w:rFonts w:ascii="Times New Roman" w:hAnsi="Times New Roman" w:cs="Times New Roman"/>
          <w:b/>
          <w:bCs/>
          <w:sz w:val="24"/>
          <w:szCs w:val="24"/>
        </w:rPr>
      </w:pPr>
    </w:p>
    <w:p w14:paraId="42518523" w14:textId="77777777" w:rsidR="00C46F66" w:rsidRPr="00390666" w:rsidRDefault="00C46F66" w:rsidP="00BB0396">
      <w:pPr>
        <w:jc w:val="both"/>
        <w:rPr>
          <w:rFonts w:ascii="Times New Roman" w:hAnsi="Times New Roman" w:cs="Times New Roman"/>
          <w:b/>
          <w:bCs/>
          <w:sz w:val="24"/>
          <w:szCs w:val="24"/>
        </w:rPr>
      </w:pPr>
    </w:p>
    <w:p w14:paraId="4C6D61E9" w14:textId="77777777" w:rsidR="00C46F66" w:rsidRPr="00390666" w:rsidRDefault="00C46F66" w:rsidP="00BB0396">
      <w:pPr>
        <w:jc w:val="both"/>
        <w:rPr>
          <w:rFonts w:ascii="Times New Roman" w:hAnsi="Times New Roman" w:cs="Times New Roman"/>
          <w:b/>
          <w:bCs/>
          <w:sz w:val="24"/>
          <w:szCs w:val="24"/>
        </w:rPr>
      </w:pPr>
    </w:p>
    <w:p w14:paraId="1B520B74" w14:textId="77777777" w:rsidR="00B84C7E" w:rsidRPr="00B84C7E" w:rsidRDefault="00B84C7E" w:rsidP="00BB0396">
      <w:pPr>
        <w:jc w:val="both"/>
        <w:rPr>
          <w:rFonts w:ascii="Times New Roman" w:hAnsi="Times New Roman" w:cs="Times New Roman"/>
          <w:sz w:val="24"/>
          <w:szCs w:val="24"/>
        </w:rPr>
      </w:pPr>
      <w:r w:rsidRPr="00B84C7E">
        <w:rPr>
          <w:rFonts w:ascii="Times New Roman" w:hAnsi="Times New Roman" w:cs="Times New Roman"/>
          <w:b/>
          <w:bCs/>
          <w:sz w:val="24"/>
          <w:szCs w:val="24"/>
        </w:rPr>
        <w:t>IV. Soil Organic Matter Management</w:t>
      </w:r>
    </w:p>
    <w:p w14:paraId="358E1285" w14:textId="77777777" w:rsidR="00B84C7E" w:rsidRPr="00B84C7E" w:rsidRDefault="00B84C7E" w:rsidP="00BB0396">
      <w:pPr>
        <w:jc w:val="both"/>
        <w:rPr>
          <w:rFonts w:ascii="Times New Roman" w:hAnsi="Times New Roman" w:cs="Times New Roman"/>
          <w:sz w:val="24"/>
          <w:szCs w:val="24"/>
        </w:rPr>
      </w:pPr>
      <w:r w:rsidRPr="00B84C7E">
        <w:rPr>
          <w:rFonts w:ascii="Times New Roman" w:hAnsi="Times New Roman" w:cs="Times New Roman"/>
          <w:b/>
          <w:bCs/>
          <w:i/>
          <w:iCs/>
          <w:sz w:val="24"/>
          <w:szCs w:val="24"/>
        </w:rPr>
        <w:t>Compost, FYM, green manures, and bio-waste recycling</w:t>
      </w:r>
      <w:r w:rsidRPr="00B84C7E">
        <w:rPr>
          <w:rFonts w:ascii="Times New Roman" w:hAnsi="Times New Roman" w:cs="Times New Roman"/>
          <w:sz w:val="24"/>
          <w:szCs w:val="24"/>
        </w:rPr>
        <w:br/>
        <w:t>Soil organic matter (SOM) management relies heavily on the incorporation of organic amendments such as compost, farmyard manure (FYM), green manures, and recycled bio-waste, all of which contribute significantly to nutrient cycling, soil structure improv</w:t>
      </w:r>
      <w:r w:rsidR="00F16934">
        <w:rPr>
          <w:rFonts w:ascii="Times New Roman" w:hAnsi="Times New Roman" w:cs="Times New Roman"/>
          <w:sz w:val="24"/>
          <w:szCs w:val="24"/>
        </w:rPr>
        <w:t xml:space="preserve">ement, and carbon stabilization (Verma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2019).</w:t>
      </w:r>
      <w:r w:rsidRPr="00B84C7E">
        <w:rPr>
          <w:rFonts w:ascii="Times New Roman" w:hAnsi="Times New Roman" w:cs="Times New Roman"/>
          <w:sz w:val="24"/>
          <w:szCs w:val="24"/>
        </w:rPr>
        <w:t xml:space="preserve"> Compost applications typically add 2–5 t C ha⁻¹ yr⁻¹ depending on feedstock composition, resulting in a 10–25% increase in microbial biomass and a 15–30% rise in cation-exchange capacit</w:t>
      </w:r>
      <w:r w:rsidR="00685BE9">
        <w:rPr>
          <w:rFonts w:ascii="Times New Roman" w:hAnsi="Times New Roman" w:cs="Times New Roman"/>
          <w:sz w:val="24"/>
          <w:szCs w:val="24"/>
        </w:rPr>
        <w:t>y across long-term experiments</w:t>
      </w:r>
      <w:r w:rsidRPr="00B84C7E">
        <w:rPr>
          <w:rFonts w:ascii="Times New Roman" w:hAnsi="Times New Roman" w:cs="Times New Roman"/>
          <w:sz w:val="24"/>
          <w:szCs w:val="24"/>
        </w:rPr>
        <w:t>. FYM contributes readily decomposable carbon and nutrients; repeated application has been shown to elevate soil organic carbon (SOC) by 0.1–0.3% annually and enhance water-</w:t>
      </w:r>
      <w:r w:rsidR="00685BE9">
        <w:rPr>
          <w:rFonts w:ascii="Times New Roman" w:hAnsi="Times New Roman" w:cs="Times New Roman"/>
          <w:sz w:val="24"/>
          <w:szCs w:val="24"/>
        </w:rPr>
        <w:t>holding capacity by nearly 20%</w:t>
      </w:r>
      <w:r w:rsidRPr="00B84C7E">
        <w:rPr>
          <w:rFonts w:ascii="Times New Roman" w:hAnsi="Times New Roman" w:cs="Times New Roman"/>
          <w:sz w:val="24"/>
          <w:szCs w:val="24"/>
        </w:rPr>
        <w:t xml:space="preserve">. Green manures such as </w:t>
      </w:r>
      <w:proofErr w:type="spellStart"/>
      <w:r w:rsidRPr="00B84C7E">
        <w:rPr>
          <w:rFonts w:ascii="Times New Roman" w:hAnsi="Times New Roman" w:cs="Times New Roman"/>
          <w:sz w:val="24"/>
          <w:szCs w:val="24"/>
        </w:rPr>
        <w:t>Sesbania</w:t>
      </w:r>
      <w:proofErr w:type="spellEnd"/>
      <w:r w:rsidRPr="00B84C7E">
        <w:rPr>
          <w:rFonts w:ascii="Times New Roman" w:hAnsi="Times New Roman" w:cs="Times New Roman"/>
          <w:sz w:val="24"/>
          <w:szCs w:val="24"/>
        </w:rPr>
        <w:t xml:space="preserve">, Crotalaria, and </w:t>
      </w:r>
      <w:proofErr w:type="spellStart"/>
      <w:r w:rsidRPr="00B84C7E">
        <w:rPr>
          <w:rFonts w:ascii="Times New Roman" w:hAnsi="Times New Roman" w:cs="Times New Roman"/>
          <w:sz w:val="24"/>
          <w:szCs w:val="24"/>
        </w:rPr>
        <w:t>Vigna</w:t>
      </w:r>
      <w:proofErr w:type="spellEnd"/>
      <w:r w:rsidRPr="00B84C7E">
        <w:rPr>
          <w:rFonts w:ascii="Times New Roman" w:hAnsi="Times New Roman" w:cs="Times New Roman"/>
          <w:sz w:val="24"/>
          <w:szCs w:val="24"/>
        </w:rPr>
        <w:t xml:space="preserve"> species supply nitrogen through biological fixation and improve labile carbon pools that stimulate enzymatic activity. Studies show that green manure incorporation increases nitrogen availability by 40–80 kg N ha⁻¹ and boosts total SOC stocks by 8–12% o</w:t>
      </w:r>
      <w:r w:rsidR="00685BE9">
        <w:rPr>
          <w:rFonts w:ascii="Times New Roman" w:hAnsi="Times New Roman" w:cs="Times New Roman"/>
          <w:sz w:val="24"/>
          <w:szCs w:val="24"/>
        </w:rPr>
        <w:t>ver 5–7 years</w:t>
      </w:r>
      <w:r w:rsidRPr="00B84C7E">
        <w:rPr>
          <w:rFonts w:ascii="Times New Roman" w:hAnsi="Times New Roman" w:cs="Times New Roman"/>
          <w:sz w:val="24"/>
          <w:szCs w:val="24"/>
        </w:rPr>
        <w:t xml:space="preserve">. Bio-waste recycling, including crop residues, agro-industrial waste, and enriched composts, contributes to sustainable SOM </w:t>
      </w:r>
      <w:proofErr w:type="spellStart"/>
      <w:r w:rsidRPr="00B84C7E">
        <w:rPr>
          <w:rFonts w:ascii="Times New Roman" w:hAnsi="Times New Roman" w:cs="Times New Roman"/>
          <w:sz w:val="24"/>
          <w:szCs w:val="24"/>
        </w:rPr>
        <w:t>buildup</w:t>
      </w:r>
      <w:proofErr w:type="spellEnd"/>
      <w:r w:rsidRPr="00B84C7E">
        <w:rPr>
          <w:rFonts w:ascii="Times New Roman" w:hAnsi="Times New Roman" w:cs="Times New Roman"/>
          <w:sz w:val="24"/>
          <w:szCs w:val="24"/>
        </w:rPr>
        <w:t xml:space="preserve"> while reducing the environmental burden of waste disposal. Bio-waste–derived composts often possess higher lignin and polyphenol content, enabling carbon stabilization and reducing decomposition losses, thus contributing to long-term soil quality improvement.</w:t>
      </w:r>
    </w:p>
    <w:p w14:paraId="266946B1" w14:textId="77777777" w:rsidR="00B84C7E" w:rsidRPr="00B84C7E" w:rsidRDefault="00B84C7E" w:rsidP="00BB0396">
      <w:pPr>
        <w:jc w:val="both"/>
        <w:rPr>
          <w:rFonts w:ascii="Times New Roman" w:hAnsi="Times New Roman" w:cs="Times New Roman"/>
          <w:sz w:val="24"/>
          <w:szCs w:val="24"/>
        </w:rPr>
      </w:pPr>
      <w:r w:rsidRPr="00B84C7E">
        <w:rPr>
          <w:rFonts w:ascii="Times New Roman" w:hAnsi="Times New Roman" w:cs="Times New Roman"/>
          <w:b/>
          <w:bCs/>
          <w:i/>
          <w:iCs/>
          <w:sz w:val="24"/>
          <w:szCs w:val="24"/>
        </w:rPr>
        <w:t>Role of cover crops and legumes</w:t>
      </w:r>
      <w:r w:rsidRPr="00B84C7E">
        <w:rPr>
          <w:rFonts w:ascii="Times New Roman" w:hAnsi="Times New Roman" w:cs="Times New Roman"/>
          <w:sz w:val="24"/>
          <w:szCs w:val="24"/>
        </w:rPr>
        <w:br/>
        <w:t>Cover crops and legumes occupy a central role in SOM enhancement through biomass addition, nitrogen fixation, root</w:t>
      </w:r>
      <w:r w:rsidR="00F16934">
        <w:rPr>
          <w:rFonts w:ascii="Times New Roman" w:hAnsi="Times New Roman" w:cs="Times New Roman"/>
          <w:sz w:val="24"/>
          <w:szCs w:val="24"/>
        </w:rPr>
        <w:t xml:space="preserve"> exudation, and erosion control (</w:t>
      </w:r>
      <w:proofErr w:type="spellStart"/>
      <w:r w:rsidR="00F16934">
        <w:rPr>
          <w:rFonts w:ascii="Times New Roman" w:hAnsi="Times New Roman" w:cs="Times New Roman"/>
          <w:sz w:val="24"/>
          <w:szCs w:val="24"/>
        </w:rPr>
        <w:t>Kocira</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2020).</w:t>
      </w:r>
      <w:r w:rsidRPr="00B84C7E">
        <w:rPr>
          <w:rFonts w:ascii="Times New Roman" w:hAnsi="Times New Roman" w:cs="Times New Roman"/>
          <w:sz w:val="24"/>
          <w:szCs w:val="24"/>
        </w:rPr>
        <w:t xml:space="preserve"> Leguminous cover crops such as clover, vetch, and pigeon pea fix 50–200 kg N ha⁻¹ annually through symbiotic associations with Rhizobium spp., supplying nitrogen to subsequent crops and lowering syn</w:t>
      </w:r>
      <w:r w:rsidR="00685BE9">
        <w:rPr>
          <w:rFonts w:ascii="Times New Roman" w:hAnsi="Times New Roman" w:cs="Times New Roman"/>
          <w:sz w:val="24"/>
          <w:szCs w:val="24"/>
        </w:rPr>
        <w:t>thetic fertilizer requirements</w:t>
      </w:r>
      <w:r w:rsidRPr="00B84C7E">
        <w:rPr>
          <w:rFonts w:ascii="Times New Roman" w:hAnsi="Times New Roman" w:cs="Times New Roman"/>
          <w:sz w:val="24"/>
          <w:szCs w:val="24"/>
        </w:rPr>
        <w:t xml:space="preserve">. Non-leguminous cover crops such as rye, oat, and mustard contribute significant biomass—typically 3–6 t ha⁻¹ dry matter—which increases soil carbon pools through both </w:t>
      </w:r>
      <w:r w:rsidR="00685BE9">
        <w:rPr>
          <w:rFonts w:ascii="Times New Roman" w:hAnsi="Times New Roman" w:cs="Times New Roman"/>
          <w:sz w:val="24"/>
          <w:szCs w:val="24"/>
        </w:rPr>
        <w:t>above- and below-ground inputs</w:t>
      </w:r>
      <w:r w:rsidRPr="00B84C7E">
        <w:rPr>
          <w:rFonts w:ascii="Times New Roman" w:hAnsi="Times New Roman" w:cs="Times New Roman"/>
          <w:sz w:val="24"/>
          <w:szCs w:val="24"/>
        </w:rPr>
        <w:t>. Root exudates from cover crops stimulate microbial proliferation and enzyme-mediated nutrient turnover, enhancing mineralization–immobilization dynamics. Long-term trials have reported that cover cropping increases SOC stocks by 0.3–1.0 t C ha⁻¹ yr⁻¹, improves aggregate stability by 20–35%, and reduc</w:t>
      </w:r>
      <w:r w:rsidR="00685BE9">
        <w:rPr>
          <w:rFonts w:ascii="Times New Roman" w:hAnsi="Times New Roman" w:cs="Times New Roman"/>
          <w:sz w:val="24"/>
          <w:szCs w:val="24"/>
        </w:rPr>
        <w:t>es erosion losses by up to 90%</w:t>
      </w:r>
      <w:r w:rsidRPr="00B84C7E">
        <w:rPr>
          <w:rFonts w:ascii="Times New Roman" w:hAnsi="Times New Roman" w:cs="Times New Roman"/>
          <w:sz w:val="24"/>
          <w:szCs w:val="24"/>
        </w:rPr>
        <w:t>. Legumes, beyond nitrogen fixation, enrich soil with amino acids, peptides, and organic acids that improve phosphorus solubilization and facilitate microbial community diversification. Multi-species cover crop mixtures have demonstrated higher carbon input efficiency, with 10–20% greater SOC retent</w:t>
      </w:r>
      <w:r w:rsidR="00685BE9">
        <w:rPr>
          <w:rFonts w:ascii="Times New Roman" w:hAnsi="Times New Roman" w:cs="Times New Roman"/>
          <w:sz w:val="24"/>
          <w:szCs w:val="24"/>
        </w:rPr>
        <w:t>ion compared with monocultures</w:t>
      </w:r>
      <w:r w:rsidRPr="00B84C7E">
        <w:rPr>
          <w:rFonts w:ascii="Times New Roman" w:hAnsi="Times New Roman" w:cs="Times New Roman"/>
          <w:sz w:val="24"/>
          <w:szCs w:val="24"/>
        </w:rPr>
        <w:t>. These contributions highlight the importance of cover crops and legumes in regenerative SOM management strategies.</w:t>
      </w:r>
    </w:p>
    <w:p w14:paraId="2FC9CDFE" w14:textId="77777777" w:rsidR="00B84C7E" w:rsidRPr="00B84C7E" w:rsidRDefault="00B84C7E" w:rsidP="00BB0396">
      <w:pPr>
        <w:jc w:val="both"/>
        <w:rPr>
          <w:rFonts w:ascii="Times New Roman" w:hAnsi="Times New Roman" w:cs="Times New Roman"/>
          <w:sz w:val="24"/>
          <w:szCs w:val="24"/>
        </w:rPr>
      </w:pPr>
      <w:r w:rsidRPr="00B84C7E">
        <w:rPr>
          <w:rFonts w:ascii="Times New Roman" w:hAnsi="Times New Roman" w:cs="Times New Roman"/>
          <w:b/>
          <w:bCs/>
          <w:i/>
          <w:iCs/>
          <w:sz w:val="24"/>
          <w:szCs w:val="24"/>
        </w:rPr>
        <w:t>Carbon sequestration pathways</w:t>
      </w:r>
      <w:r w:rsidRPr="00B84C7E">
        <w:rPr>
          <w:rFonts w:ascii="Times New Roman" w:hAnsi="Times New Roman" w:cs="Times New Roman"/>
          <w:sz w:val="24"/>
          <w:szCs w:val="24"/>
        </w:rPr>
        <w:br/>
        <w:t xml:space="preserve">Carbon sequestration within soils occurs through multiple interconnected pathways involving </w:t>
      </w:r>
      <w:r w:rsidRPr="00B84C7E">
        <w:rPr>
          <w:rFonts w:ascii="Times New Roman" w:hAnsi="Times New Roman" w:cs="Times New Roman"/>
          <w:sz w:val="24"/>
          <w:szCs w:val="24"/>
        </w:rPr>
        <w:lastRenderedPageBreak/>
        <w:t>organic matter stabilization, microbial transformation, mineral associ</w:t>
      </w:r>
      <w:r w:rsidR="00F16934">
        <w:rPr>
          <w:rFonts w:ascii="Times New Roman" w:hAnsi="Times New Roman" w:cs="Times New Roman"/>
          <w:sz w:val="24"/>
          <w:szCs w:val="24"/>
        </w:rPr>
        <w:t xml:space="preserve">ation, and aggregate protection (Kavya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2023).</w:t>
      </w:r>
      <w:r w:rsidRPr="00B84C7E">
        <w:rPr>
          <w:rFonts w:ascii="Times New Roman" w:hAnsi="Times New Roman" w:cs="Times New Roman"/>
          <w:sz w:val="24"/>
          <w:szCs w:val="24"/>
        </w:rPr>
        <w:t xml:space="preserve"> Carbon inputs from residues, root biomass, and rhizodeposition enter the soil carbon cycle and undergo microbial decomposition, leading to the formation of stable </w:t>
      </w:r>
      <w:proofErr w:type="spellStart"/>
      <w:r w:rsidRPr="00B84C7E">
        <w:rPr>
          <w:rFonts w:ascii="Times New Roman" w:hAnsi="Times New Roman" w:cs="Times New Roman"/>
          <w:sz w:val="24"/>
          <w:szCs w:val="24"/>
        </w:rPr>
        <w:t>humic</w:t>
      </w:r>
      <w:proofErr w:type="spellEnd"/>
      <w:r w:rsidRPr="00B84C7E">
        <w:rPr>
          <w:rFonts w:ascii="Times New Roman" w:hAnsi="Times New Roman" w:cs="Times New Roman"/>
          <w:sz w:val="24"/>
          <w:szCs w:val="24"/>
        </w:rPr>
        <w:t xml:space="preserve"> substances and </w:t>
      </w:r>
      <w:proofErr w:type="spellStart"/>
      <w:r w:rsidRPr="00B84C7E">
        <w:rPr>
          <w:rFonts w:ascii="Times New Roman" w:hAnsi="Times New Roman" w:cs="Times New Roman"/>
          <w:sz w:val="24"/>
          <w:szCs w:val="24"/>
        </w:rPr>
        <w:t>microbially</w:t>
      </w:r>
      <w:proofErr w:type="spellEnd"/>
      <w:r w:rsidRPr="00B84C7E">
        <w:rPr>
          <w:rFonts w:ascii="Times New Roman" w:hAnsi="Times New Roman" w:cs="Times New Roman"/>
          <w:sz w:val="24"/>
          <w:szCs w:val="24"/>
        </w:rPr>
        <w:t xml:space="preserve"> derived organic matter. This microbial </w:t>
      </w:r>
      <w:proofErr w:type="spellStart"/>
      <w:r w:rsidRPr="00B84C7E">
        <w:rPr>
          <w:rFonts w:ascii="Times New Roman" w:hAnsi="Times New Roman" w:cs="Times New Roman"/>
          <w:sz w:val="24"/>
          <w:szCs w:val="24"/>
        </w:rPr>
        <w:t>necromass</w:t>
      </w:r>
      <w:proofErr w:type="spellEnd"/>
      <w:r w:rsidRPr="00B84C7E">
        <w:rPr>
          <w:rFonts w:ascii="Times New Roman" w:hAnsi="Times New Roman" w:cs="Times New Roman"/>
          <w:sz w:val="24"/>
          <w:szCs w:val="24"/>
        </w:rPr>
        <w:t xml:space="preserve"> accounts for 30–60% of stable SOC and shows greater persistence due to its affinity for </w:t>
      </w:r>
      <w:r w:rsidR="00685BE9">
        <w:rPr>
          <w:rFonts w:ascii="Times New Roman" w:hAnsi="Times New Roman" w:cs="Times New Roman"/>
          <w:sz w:val="24"/>
          <w:szCs w:val="24"/>
        </w:rPr>
        <w:t>clay minerals and metal oxide</w:t>
      </w:r>
      <w:r w:rsidRPr="00B84C7E">
        <w:rPr>
          <w:rFonts w:ascii="Times New Roman" w:hAnsi="Times New Roman" w:cs="Times New Roman"/>
          <w:sz w:val="24"/>
          <w:szCs w:val="24"/>
        </w:rPr>
        <w:t xml:space="preserve">. Conservation tillage promotes carbon stabilization by reducing oxidation and enhancing aggregate formation, leading to sequestration rates of 0.2–0.5 t C ha⁻¹ yr⁻¹. Biochar application offers another pathway by supplying aromatic, recalcitrant carbon with mean residence times exceeding 500–1,000 years; studies show that 5–10 t ha⁻¹ biochar additions increase SOC </w:t>
      </w:r>
      <w:r w:rsidR="00685BE9">
        <w:rPr>
          <w:rFonts w:ascii="Times New Roman" w:hAnsi="Times New Roman" w:cs="Times New Roman"/>
          <w:sz w:val="24"/>
          <w:szCs w:val="24"/>
        </w:rPr>
        <w:t>stocks by 15–30% over a decade</w:t>
      </w:r>
      <w:r w:rsidRPr="00B84C7E">
        <w:rPr>
          <w:rFonts w:ascii="Times New Roman" w:hAnsi="Times New Roman" w:cs="Times New Roman"/>
          <w:sz w:val="24"/>
          <w:szCs w:val="24"/>
        </w:rPr>
        <w:t xml:space="preserve">. Root-derived carbon contributes more effectively to long-term sequestration than shoot residues due to higher microbial conversion efficiency and physical protection within microaggregates. Soil minerals, particularly iron and </w:t>
      </w:r>
      <w:proofErr w:type="spellStart"/>
      <w:r w:rsidRPr="00B84C7E">
        <w:rPr>
          <w:rFonts w:ascii="Times New Roman" w:hAnsi="Times New Roman" w:cs="Times New Roman"/>
          <w:sz w:val="24"/>
          <w:szCs w:val="24"/>
        </w:rPr>
        <w:t>aluminum</w:t>
      </w:r>
      <w:proofErr w:type="spellEnd"/>
      <w:r w:rsidRPr="00B84C7E">
        <w:rPr>
          <w:rFonts w:ascii="Times New Roman" w:hAnsi="Times New Roman" w:cs="Times New Roman"/>
          <w:sz w:val="24"/>
          <w:szCs w:val="24"/>
        </w:rPr>
        <w:t xml:space="preserve"> oxides, bind carbon through </w:t>
      </w:r>
      <w:proofErr w:type="spellStart"/>
      <w:r w:rsidRPr="00B84C7E">
        <w:rPr>
          <w:rFonts w:ascii="Times New Roman" w:hAnsi="Times New Roman" w:cs="Times New Roman"/>
          <w:sz w:val="24"/>
          <w:szCs w:val="24"/>
        </w:rPr>
        <w:t>organo</w:t>
      </w:r>
      <w:proofErr w:type="spellEnd"/>
      <w:r w:rsidRPr="00B84C7E">
        <w:rPr>
          <w:rFonts w:ascii="Times New Roman" w:hAnsi="Times New Roman" w:cs="Times New Roman"/>
          <w:sz w:val="24"/>
          <w:szCs w:val="24"/>
        </w:rPr>
        <w:t>–mineral interactions, contributing to the formation of long-lasting carbon pools. Hydrophobic compounds, glomalin from arbuscular mycorrhizal fungi, and microbial polysaccharides contribute to aggregate stability, thereby protecting carbo</w:t>
      </w:r>
      <w:r w:rsidR="00685BE9">
        <w:rPr>
          <w:rFonts w:ascii="Times New Roman" w:hAnsi="Times New Roman" w:cs="Times New Roman"/>
          <w:sz w:val="24"/>
          <w:szCs w:val="24"/>
        </w:rPr>
        <w:t>n from microbial oxidation</w:t>
      </w:r>
      <w:r w:rsidRPr="00B84C7E">
        <w:rPr>
          <w:rFonts w:ascii="Times New Roman" w:hAnsi="Times New Roman" w:cs="Times New Roman"/>
          <w:sz w:val="24"/>
          <w:szCs w:val="24"/>
        </w:rPr>
        <w:t>. These pathways collectively strengthen soil carbon reserves, improve soil fertility, and support climate mitigation through long-term carbon storage.</w:t>
      </w:r>
    </w:p>
    <w:p w14:paraId="6BF04D02" w14:textId="77777777" w:rsidR="00B70673" w:rsidRPr="00390666" w:rsidRDefault="00B70673" w:rsidP="00BB0396">
      <w:pPr>
        <w:jc w:val="both"/>
        <w:rPr>
          <w:rFonts w:ascii="Times New Roman" w:hAnsi="Times New Roman" w:cs="Times New Roman"/>
          <w:b/>
          <w:bCs/>
          <w:sz w:val="24"/>
          <w:szCs w:val="24"/>
        </w:rPr>
      </w:pPr>
    </w:p>
    <w:p w14:paraId="7CC7275B" w14:textId="77777777" w:rsidR="00C46F66" w:rsidRPr="00390666" w:rsidRDefault="00C46F66" w:rsidP="00BB0396">
      <w:pPr>
        <w:jc w:val="both"/>
        <w:rPr>
          <w:rFonts w:ascii="Times New Roman" w:hAnsi="Times New Roman" w:cs="Times New Roman"/>
          <w:b/>
          <w:bCs/>
          <w:sz w:val="24"/>
          <w:szCs w:val="24"/>
        </w:rPr>
      </w:pPr>
    </w:p>
    <w:p w14:paraId="7F3DC1F8" w14:textId="77777777" w:rsidR="00C46F66" w:rsidRPr="00390666" w:rsidRDefault="00C46F66" w:rsidP="00BB0396">
      <w:pPr>
        <w:jc w:val="both"/>
        <w:rPr>
          <w:rFonts w:ascii="Times New Roman" w:hAnsi="Times New Roman" w:cs="Times New Roman"/>
          <w:b/>
          <w:bCs/>
          <w:sz w:val="24"/>
          <w:szCs w:val="24"/>
        </w:rPr>
      </w:pPr>
    </w:p>
    <w:p w14:paraId="7F47474B" w14:textId="77777777" w:rsidR="00C46F66" w:rsidRPr="00390666" w:rsidRDefault="00C46F66" w:rsidP="00BB0396">
      <w:pPr>
        <w:jc w:val="both"/>
        <w:rPr>
          <w:rFonts w:ascii="Times New Roman" w:hAnsi="Times New Roman" w:cs="Times New Roman"/>
          <w:b/>
          <w:bCs/>
          <w:sz w:val="24"/>
          <w:szCs w:val="24"/>
        </w:rPr>
      </w:pPr>
    </w:p>
    <w:p w14:paraId="6C87005B" w14:textId="77777777" w:rsidR="00BC630E" w:rsidRPr="00BC630E" w:rsidRDefault="00BC630E" w:rsidP="00BB0396">
      <w:pPr>
        <w:jc w:val="both"/>
        <w:rPr>
          <w:rFonts w:ascii="Times New Roman" w:hAnsi="Times New Roman" w:cs="Times New Roman"/>
          <w:sz w:val="24"/>
          <w:szCs w:val="24"/>
        </w:rPr>
      </w:pPr>
      <w:r w:rsidRPr="00BC630E">
        <w:rPr>
          <w:rFonts w:ascii="Times New Roman" w:hAnsi="Times New Roman" w:cs="Times New Roman"/>
          <w:b/>
          <w:bCs/>
          <w:sz w:val="24"/>
          <w:szCs w:val="24"/>
        </w:rPr>
        <w:t>V. Integrated Nutrient Management</w:t>
      </w:r>
    </w:p>
    <w:p w14:paraId="1225837F" w14:textId="77777777" w:rsidR="00BC630E" w:rsidRPr="00BC630E" w:rsidRDefault="00BC630E" w:rsidP="00BB0396">
      <w:pPr>
        <w:jc w:val="both"/>
        <w:rPr>
          <w:rFonts w:ascii="Times New Roman" w:hAnsi="Times New Roman" w:cs="Times New Roman"/>
          <w:sz w:val="24"/>
          <w:szCs w:val="24"/>
        </w:rPr>
      </w:pPr>
      <w:r w:rsidRPr="00BC630E">
        <w:rPr>
          <w:rFonts w:ascii="Times New Roman" w:hAnsi="Times New Roman" w:cs="Times New Roman"/>
          <w:b/>
          <w:bCs/>
          <w:i/>
          <w:iCs/>
          <w:sz w:val="24"/>
          <w:szCs w:val="24"/>
        </w:rPr>
        <w:t>Combining organic and inorganic nutrient sources</w:t>
      </w:r>
      <w:r w:rsidRPr="00BC630E">
        <w:rPr>
          <w:rFonts w:ascii="Times New Roman" w:hAnsi="Times New Roman" w:cs="Times New Roman"/>
          <w:sz w:val="24"/>
          <w:szCs w:val="24"/>
        </w:rPr>
        <w:br/>
        <w:t>Integrated nutrient management (INM) emphasizes the balanced use of organic amendments and mineral fertilizers to sustain soil fertility, improve nutrient-use efficiency,</w:t>
      </w:r>
      <w:r w:rsidR="00F16934">
        <w:rPr>
          <w:rFonts w:ascii="Times New Roman" w:hAnsi="Times New Roman" w:cs="Times New Roman"/>
          <w:sz w:val="24"/>
          <w:szCs w:val="24"/>
        </w:rPr>
        <w:t xml:space="preserve"> and stabilize yields over time (</w:t>
      </w:r>
      <w:proofErr w:type="spellStart"/>
      <w:r w:rsidR="00F16934">
        <w:rPr>
          <w:rFonts w:ascii="Times New Roman" w:hAnsi="Times New Roman" w:cs="Times New Roman"/>
          <w:sz w:val="24"/>
          <w:szCs w:val="24"/>
        </w:rPr>
        <w:t>Jat</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2015).</w:t>
      </w:r>
      <w:r w:rsidRPr="00BC630E">
        <w:rPr>
          <w:rFonts w:ascii="Times New Roman" w:hAnsi="Times New Roman" w:cs="Times New Roman"/>
          <w:sz w:val="24"/>
          <w:szCs w:val="24"/>
        </w:rPr>
        <w:t xml:space="preserve"> Long-term experiments conducted under diverse agro-climatic conditions show that combining 50–75% recommended nitrogen through mineral fertilizers with organic sources such as farmyard manure (FYM), compost, or green manures enhances crop productivity by 10–30% compared with so</w:t>
      </w:r>
      <w:r w:rsidR="00685BE9">
        <w:rPr>
          <w:rFonts w:ascii="Times New Roman" w:hAnsi="Times New Roman" w:cs="Times New Roman"/>
          <w:sz w:val="24"/>
          <w:szCs w:val="24"/>
        </w:rPr>
        <w:t>le mineral fertilization</w:t>
      </w:r>
      <w:r w:rsidRPr="00BC630E">
        <w:rPr>
          <w:rFonts w:ascii="Times New Roman" w:hAnsi="Times New Roman" w:cs="Times New Roman"/>
          <w:sz w:val="24"/>
          <w:szCs w:val="24"/>
        </w:rPr>
        <w:t>. The synergy arises from improved soil structure, enhanced microbial activity, and increased nutrient retention. Organic amendments supply carbon substrates that stimulate microbial mineralization, thereby releasing nutrients gradually and reducing leaching losses. Mineral fertilizers complement these effects by supplying immediately available nutrients, ensuring rapid plant uptake during critical growth stages. Soils receiving combined nutrient inputs often display a 15–25% increase in cation-exchange capacity and a 20–40% rise in enzymatic activity—including dehydrogenase, urease, and phosphatase—reflecting i</w:t>
      </w:r>
      <w:r w:rsidR="00685BE9">
        <w:rPr>
          <w:rFonts w:ascii="Times New Roman" w:hAnsi="Times New Roman" w:cs="Times New Roman"/>
          <w:sz w:val="24"/>
          <w:szCs w:val="24"/>
        </w:rPr>
        <w:t>mproved biological functioning</w:t>
      </w:r>
      <w:r w:rsidRPr="00BC630E">
        <w:rPr>
          <w:rFonts w:ascii="Times New Roman" w:hAnsi="Times New Roman" w:cs="Times New Roman"/>
          <w:sz w:val="24"/>
          <w:szCs w:val="24"/>
        </w:rPr>
        <w:t xml:space="preserve">. Long-term data also indicate increased soil organic carbon (SOC) stocks, with </w:t>
      </w:r>
      <w:r w:rsidRPr="00BC630E">
        <w:rPr>
          <w:rFonts w:ascii="Times New Roman" w:hAnsi="Times New Roman" w:cs="Times New Roman"/>
          <w:sz w:val="24"/>
          <w:szCs w:val="24"/>
        </w:rPr>
        <w:lastRenderedPageBreak/>
        <w:t>integrated treatments adding 0.1–0.2 t C ha⁻¹ yr⁻¹ to the soil due to enhanced residue decompositi</w:t>
      </w:r>
      <w:r w:rsidR="00685BE9">
        <w:rPr>
          <w:rFonts w:ascii="Times New Roman" w:hAnsi="Times New Roman" w:cs="Times New Roman"/>
          <w:sz w:val="24"/>
          <w:szCs w:val="24"/>
        </w:rPr>
        <w:t>on and microbial stabilization</w:t>
      </w:r>
      <w:r w:rsidRPr="00BC630E">
        <w:rPr>
          <w:rFonts w:ascii="Times New Roman" w:hAnsi="Times New Roman" w:cs="Times New Roman"/>
          <w:sz w:val="24"/>
          <w:szCs w:val="24"/>
        </w:rPr>
        <w:t>. These interactions highlight the potential of INM in optimizing nutrient availability and sustaining soil health.</w:t>
      </w:r>
    </w:p>
    <w:p w14:paraId="443249EC" w14:textId="77777777" w:rsidR="00BC630E" w:rsidRPr="00BC630E" w:rsidRDefault="00BC630E" w:rsidP="00BB0396">
      <w:pPr>
        <w:jc w:val="both"/>
        <w:rPr>
          <w:rFonts w:ascii="Times New Roman" w:hAnsi="Times New Roman" w:cs="Times New Roman"/>
          <w:sz w:val="24"/>
          <w:szCs w:val="24"/>
        </w:rPr>
      </w:pPr>
      <w:r w:rsidRPr="00BC630E">
        <w:rPr>
          <w:rFonts w:ascii="Times New Roman" w:hAnsi="Times New Roman" w:cs="Times New Roman"/>
          <w:b/>
          <w:bCs/>
          <w:i/>
          <w:iCs/>
          <w:sz w:val="24"/>
          <w:szCs w:val="24"/>
        </w:rPr>
        <w:t>Biofertilizers, microbial consortia, and slow-release fertilizers</w:t>
      </w:r>
      <w:r w:rsidRPr="00BC630E">
        <w:rPr>
          <w:rFonts w:ascii="Times New Roman" w:hAnsi="Times New Roman" w:cs="Times New Roman"/>
          <w:sz w:val="24"/>
          <w:szCs w:val="24"/>
        </w:rPr>
        <w:br/>
        <w:t xml:space="preserve">Biofertilizers and microbial consortia play a central role in INM by contributing to nutrient mobilization, nitrogen fixation, phosphorus solubilization, </w:t>
      </w:r>
      <w:r w:rsidR="00F16934">
        <w:rPr>
          <w:rFonts w:ascii="Times New Roman" w:hAnsi="Times New Roman" w:cs="Times New Roman"/>
          <w:sz w:val="24"/>
          <w:szCs w:val="24"/>
        </w:rPr>
        <w:t>and stimulation of plant growth (</w:t>
      </w:r>
      <w:proofErr w:type="spellStart"/>
      <w:r w:rsidR="00F16934">
        <w:rPr>
          <w:rFonts w:ascii="Times New Roman" w:hAnsi="Times New Roman" w:cs="Times New Roman"/>
          <w:sz w:val="24"/>
          <w:szCs w:val="24"/>
        </w:rPr>
        <w:t>Gehlot</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2021).</w:t>
      </w:r>
      <w:r w:rsidRPr="00BC630E">
        <w:rPr>
          <w:rFonts w:ascii="Times New Roman" w:hAnsi="Times New Roman" w:cs="Times New Roman"/>
          <w:sz w:val="24"/>
          <w:szCs w:val="24"/>
        </w:rPr>
        <w:t xml:space="preserve"> Nitrogen-fixing bacteria such as </w:t>
      </w:r>
      <w:r w:rsidRPr="00BC630E">
        <w:rPr>
          <w:rFonts w:ascii="Times New Roman" w:hAnsi="Times New Roman" w:cs="Times New Roman"/>
          <w:i/>
          <w:iCs/>
          <w:sz w:val="24"/>
          <w:szCs w:val="24"/>
        </w:rPr>
        <w:t>Rhizobium</w:t>
      </w:r>
      <w:r w:rsidRPr="00BC630E">
        <w:rPr>
          <w:rFonts w:ascii="Times New Roman" w:hAnsi="Times New Roman" w:cs="Times New Roman"/>
          <w:sz w:val="24"/>
          <w:szCs w:val="24"/>
        </w:rPr>
        <w:t xml:space="preserve">, </w:t>
      </w:r>
      <w:proofErr w:type="spellStart"/>
      <w:r w:rsidRPr="00BC630E">
        <w:rPr>
          <w:rFonts w:ascii="Times New Roman" w:hAnsi="Times New Roman" w:cs="Times New Roman"/>
          <w:i/>
          <w:iCs/>
          <w:sz w:val="24"/>
          <w:szCs w:val="24"/>
        </w:rPr>
        <w:t>Azotobacter</w:t>
      </w:r>
      <w:proofErr w:type="spellEnd"/>
      <w:r w:rsidRPr="00BC630E">
        <w:rPr>
          <w:rFonts w:ascii="Times New Roman" w:hAnsi="Times New Roman" w:cs="Times New Roman"/>
          <w:sz w:val="24"/>
          <w:szCs w:val="24"/>
        </w:rPr>
        <w:t xml:space="preserve">, and </w:t>
      </w:r>
      <w:proofErr w:type="spellStart"/>
      <w:r w:rsidRPr="00BC630E">
        <w:rPr>
          <w:rFonts w:ascii="Times New Roman" w:hAnsi="Times New Roman" w:cs="Times New Roman"/>
          <w:i/>
          <w:iCs/>
          <w:sz w:val="24"/>
          <w:szCs w:val="24"/>
        </w:rPr>
        <w:t>Azospirillum</w:t>
      </w:r>
      <w:proofErr w:type="spellEnd"/>
      <w:r w:rsidRPr="00BC630E">
        <w:rPr>
          <w:rFonts w:ascii="Times New Roman" w:hAnsi="Times New Roman" w:cs="Times New Roman"/>
          <w:sz w:val="24"/>
          <w:szCs w:val="24"/>
        </w:rPr>
        <w:t xml:space="preserve"> can fix 20–200 kg N ha⁻¹ annually depending on </w:t>
      </w:r>
      <w:r w:rsidR="00685BE9">
        <w:rPr>
          <w:rFonts w:ascii="Times New Roman" w:hAnsi="Times New Roman" w:cs="Times New Roman"/>
          <w:sz w:val="24"/>
          <w:szCs w:val="24"/>
        </w:rPr>
        <w:t>crop type and microbial strain</w:t>
      </w:r>
      <w:r w:rsidRPr="00BC630E">
        <w:rPr>
          <w:rFonts w:ascii="Times New Roman" w:hAnsi="Times New Roman" w:cs="Times New Roman"/>
          <w:sz w:val="24"/>
          <w:szCs w:val="24"/>
        </w:rPr>
        <w:t xml:space="preserve">. Phosphate-solubilizing microorganisms (PSMs), including </w:t>
      </w:r>
      <w:r w:rsidRPr="00BC630E">
        <w:rPr>
          <w:rFonts w:ascii="Times New Roman" w:hAnsi="Times New Roman" w:cs="Times New Roman"/>
          <w:i/>
          <w:iCs/>
          <w:sz w:val="24"/>
          <w:szCs w:val="24"/>
        </w:rPr>
        <w:t>Pseudomonas</w:t>
      </w:r>
      <w:r w:rsidRPr="00BC630E">
        <w:rPr>
          <w:rFonts w:ascii="Times New Roman" w:hAnsi="Times New Roman" w:cs="Times New Roman"/>
          <w:sz w:val="24"/>
          <w:szCs w:val="24"/>
        </w:rPr>
        <w:t xml:space="preserve"> and </w:t>
      </w:r>
      <w:r w:rsidRPr="00BC630E">
        <w:rPr>
          <w:rFonts w:ascii="Times New Roman" w:hAnsi="Times New Roman" w:cs="Times New Roman"/>
          <w:i/>
          <w:iCs/>
          <w:sz w:val="24"/>
          <w:szCs w:val="24"/>
        </w:rPr>
        <w:t>Bacillus</w:t>
      </w:r>
      <w:r w:rsidRPr="00BC630E">
        <w:rPr>
          <w:rFonts w:ascii="Times New Roman" w:hAnsi="Times New Roman" w:cs="Times New Roman"/>
          <w:sz w:val="24"/>
          <w:szCs w:val="24"/>
        </w:rPr>
        <w:t xml:space="preserve"> species, release organic acids and phosphatases that increase soluble phosphorus by 30–60% in soils with high P-fixation </w:t>
      </w:r>
      <w:r w:rsidR="00685BE9">
        <w:rPr>
          <w:rFonts w:ascii="Times New Roman" w:hAnsi="Times New Roman" w:cs="Times New Roman"/>
          <w:sz w:val="24"/>
          <w:szCs w:val="24"/>
        </w:rPr>
        <w:t>capacity</w:t>
      </w:r>
      <w:r w:rsidRPr="00BC630E">
        <w:rPr>
          <w:rFonts w:ascii="Times New Roman" w:hAnsi="Times New Roman" w:cs="Times New Roman"/>
          <w:sz w:val="24"/>
          <w:szCs w:val="24"/>
        </w:rPr>
        <w:t>. Mycorrhizal fungi extend root absorptive surfaces, enhancing phosphorus uptake by 10–40% and improving drought resilience. Microbial consortia combining multiple functional groups demonstrate even greater effects, improving nutrient-use efficiency by 15–25% and promoting hi</w:t>
      </w:r>
      <w:r w:rsidR="00685BE9">
        <w:rPr>
          <w:rFonts w:ascii="Times New Roman" w:hAnsi="Times New Roman" w:cs="Times New Roman"/>
          <w:sz w:val="24"/>
          <w:szCs w:val="24"/>
        </w:rPr>
        <w:t>gher root biomass accumulation</w:t>
      </w:r>
      <w:r w:rsidRPr="00BC630E">
        <w:rPr>
          <w:rFonts w:ascii="Times New Roman" w:hAnsi="Times New Roman" w:cs="Times New Roman"/>
          <w:sz w:val="24"/>
          <w:szCs w:val="24"/>
        </w:rPr>
        <w:t xml:space="preserve">. Slow-release fertilizers (SRFs), including polymer-coated urea, </w:t>
      </w:r>
      <w:proofErr w:type="spellStart"/>
      <w:r w:rsidRPr="00BC630E">
        <w:rPr>
          <w:rFonts w:ascii="Times New Roman" w:hAnsi="Times New Roman" w:cs="Times New Roman"/>
          <w:sz w:val="24"/>
          <w:szCs w:val="24"/>
        </w:rPr>
        <w:t>sulfur</w:t>
      </w:r>
      <w:proofErr w:type="spellEnd"/>
      <w:r w:rsidRPr="00BC630E">
        <w:rPr>
          <w:rFonts w:ascii="Times New Roman" w:hAnsi="Times New Roman" w:cs="Times New Roman"/>
          <w:sz w:val="24"/>
          <w:szCs w:val="24"/>
        </w:rPr>
        <w:t>-coated urea, and matrix-based nutrient formulations, improve nitrogen-use efficiency by 20–40% due to controlled nutrient release</w:t>
      </w:r>
      <w:r w:rsidR="00685BE9">
        <w:rPr>
          <w:rFonts w:ascii="Times New Roman" w:hAnsi="Times New Roman" w:cs="Times New Roman"/>
          <w:sz w:val="24"/>
          <w:szCs w:val="24"/>
        </w:rPr>
        <w:t xml:space="preserve"> synchronized with crop demand. </w:t>
      </w:r>
      <w:r w:rsidRPr="00BC630E">
        <w:rPr>
          <w:rFonts w:ascii="Times New Roman" w:hAnsi="Times New Roman" w:cs="Times New Roman"/>
          <w:sz w:val="24"/>
          <w:szCs w:val="24"/>
        </w:rPr>
        <w:t>SRFs reduce nitrogen volatilization by nearly 30% and nitrate leaching by 20–35%, contributing to environmental sustainability. These tools strengthen nutrient cycling and support a biologically active soil environment.</w:t>
      </w:r>
    </w:p>
    <w:p w14:paraId="584AB1B5" w14:textId="77777777" w:rsidR="00BC630E" w:rsidRPr="00BC630E" w:rsidRDefault="00BC630E" w:rsidP="00BB0396">
      <w:pPr>
        <w:jc w:val="both"/>
        <w:rPr>
          <w:rFonts w:ascii="Times New Roman" w:hAnsi="Times New Roman" w:cs="Times New Roman"/>
          <w:sz w:val="24"/>
          <w:szCs w:val="24"/>
        </w:rPr>
      </w:pPr>
      <w:r w:rsidRPr="00BC630E">
        <w:rPr>
          <w:rFonts w:ascii="Times New Roman" w:hAnsi="Times New Roman" w:cs="Times New Roman"/>
          <w:b/>
          <w:bCs/>
          <w:i/>
          <w:iCs/>
          <w:sz w:val="24"/>
          <w:szCs w:val="24"/>
        </w:rPr>
        <w:t xml:space="preserve">Advances in </w:t>
      </w:r>
      <w:proofErr w:type="spellStart"/>
      <w:r w:rsidRPr="00BC630E">
        <w:rPr>
          <w:rFonts w:ascii="Times New Roman" w:hAnsi="Times New Roman" w:cs="Times New Roman"/>
          <w:b/>
          <w:bCs/>
          <w:i/>
          <w:iCs/>
          <w:sz w:val="24"/>
          <w:szCs w:val="24"/>
        </w:rPr>
        <w:t>nano</w:t>
      </w:r>
      <w:proofErr w:type="spellEnd"/>
      <w:r w:rsidRPr="00BC630E">
        <w:rPr>
          <w:rFonts w:ascii="Times New Roman" w:hAnsi="Times New Roman" w:cs="Times New Roman"/>
          <w:b/>
          <w:bCs/>
          <w:i/>
          <w:iCs/>
          <w:sz w:val="24"/>
          <w:szCs w:val="24"/>
        </w:rPr>
        <w:t>-fertilizers and precision nutrient delivery</w:t>
      </w:r>
      <w:r w:rsidRPr="00BC630E">
        <w:rPr>
          <w:rFonts w:ascii="Times New Roman" w:hAnsi="Times New Roman" w:cs="Times New Roman"/>
          <w:sz w:val="24"/>
          <w:szCs w:val="24"/>
        </w:rPr>
        <w:br/>
        <w:t>Nano-fertilizers represent a major advancement in nutrient delivery, offering high surface area, enhanced solubility, and controlled-release capabilities that improve nutrie</w:t>
      </w:r>
      <w:r w:rsidR="00F16934">
        <w:rPr>
          <w:rFonts w:ascii="Times New Roman" w:hAnsi="Times New Roman" w:cs="Times New Roman"/>
          <w:sz w:val="24"/>
          <w:szCs w:val="24"/>
        </w:rPr>
        <w:t xml:space="preserve">nt-use efficiency significantly (Guo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2018).</w:t>
      </w:r>
      <w:r w:rsidRPr="00BC630E">
        <w:rPr>
          <w:rFonts w:ascii="Times New Roman" w:hAnsi="Times New Roman" w:cs="Times New Roman"/>
          <w:sz w:val="24"/>
          <w:szCs w:val="24"/>
        </w:rPr>
        <w:t xml:space="preserve"> Studies indicate that </w:t>
      </w:r>
      <w:proofErr w:type="spellStart"/>
      <w:r w:rsidRPr="00BC630E">
        <w:rPr>
          <w:rFonts w:ascii="Times New Roman" w:hAnsi="Times New Roman" w:cs="Times New Roman"/>
          <w:sz w:val="24"/>
          <w:szCs w:val="24"/>
        </w:rPr>
        <w:t>nano</w:t>
      </w:r>
      <w:proofErr w:type="spellEnd"/>
      <w:r w:rsidRPr="00BC630E">
        <w:rPr>
          <w:rFonts w:ascii="Times New Roman" w:hAnsi="Times New Roman" w:cs="Times New Roman"/>
          <w:sz w:val="24"/>
          <w:szCs w:val="24"/>
        </w:rPr>
        <w:t xml:space="preserve">-urea and </w:t>
      </w:r>
      <w:proofErr w:type="spellStart"/>
      <w:r w:rsidRPr="00BC630E">
        <w:rPr>
          <w:rFonts w:ascii="Times New Roman" w:hAnsi="Times New Roman" w:cs="Times New Roman"/>
          <w:sz w:val="24"/>
          <w:szCs w:val="24"/>
        </w:rPr>
        <w:t>nano</w:t>
      </w:r>
      <w:proofErr w:type="spellEnd"/>
      <w:r w:rsidRPr="00BC630E">
        <w:rPr>
          <w:rFonts w:ascii="Times New Roman" w:hAnsi="Times New Roman" w:cs="Times New Roman"/>
          <w:sz w:val="24"/>
          <w:szCs w:val="24"/>
        </w:rPr>
        <w:t>-phosphates can increase nitrogen- and phosphorus-use efficiency by 15–35% compared with conventional formulations due to improved leaf penetration and</w:t>
      </w:r>
      <w:r w:rsidR="00685BE9">
        <w:rPr>
          <w:rFonts w:ascii="Times New Roman" w:hAnsi="Times New Roman" w:cs="Times New Roman"/>
          <w:sz w:val="24"/>
          <w:szCs w:val="24"/>
        </w:rPr>
        <w:t xml:space="preserve"> targeted enzymatic activation</w:t>
      </w:r>
      <w:r w:rsidRPr="00BC630E">
        <w:rPr>
          <w:rFonts w:ascii="Times New Roman" w:hAnsi="Times New Roman" w:cs="Times New Roman"/>
          <w:sz w:val="24"/>
          <w:szCs w:val="24"/>
        </w:rPr>
        <w:t xml:space="preserve">. Nano-zinc oxide and </w:t>
      </w:r>
      <w:proofErr w:type="spellStart"/>
      <w:r w:rsidRPr="00BC630E">
        <w:rPr>
          <w:rFonts w:ascii="Times New Roman" w:hAnsi="Times New Roman" w:cs="Times New Roman"/>
          <w:sz w:val="24"/>
          <w:szCs w:val="24"/>
        </w:rPr>
        <w:t>nano</w:t>
      </w:r>
      <w:proofErr w:type="spellEnd"/>
      <w:r w:rsidRPr="00BC630E">
        <w:rPr>
          <w:rFonts w:ascii="Times New Roman" w:hAnsi="Times New Roman" w:cs="Times New Roman"/>
          <w:sz w:val="24"/>
          <w:szCs w:val="24"/>
        </w:rPr>
        <w:t xml:space="preserve">-iron formulations have shown 20–50% higher bioavailability and improved chlorophyll synthesis, leading to substantial yield benefits in cereals, legumes, and oilseeds. The ultra-small size of nanoparticles (10–70 nm) enables efficient translocation within plant tissues, minimizing external losses. Precision nutrient delivery systems, including GPS-enabled variable-rate technology (VRT), remote-sensing–based nutrient mapping, and IoT-enabled soil sensors, optimize nutrient placement based on real-time soil variability. Precision nitrogen management using optical sensors such as </w:t>
      </w:r>
      <w:proofErr w:type="spellStart"/>
      <w:r w:rsidRPr="00BC630E">
        <w:rPr>
          <w:rFonts w:ascii="Times New Roman" w:hAnsi="Times New Roman" w:cs="Times New Roman"/>
          <w:sz w:val="24"/>
          <w:szCs w:val="24"/>
        </w:rPr>
        <w:t>GreenSeeker</w:t>
      </w:r>
      <w:proofErr w:type="spellEnd"/>
      <w:r w:rsidRPr="00BC630E">
        <w:rPr>
          <w:rFonts w:ascii="Times New Roman" w:hAnsi="Times New Roman" w:cs="Times New Roman"/>
          <w:sz w:val="24"/>
          <w:szCs w:val="24"/>
        </w:rPr>
        <w:t xml:space="preserve"> has been shown to reduce nitrogen application by </w:t>
      </w:r>
      <w:r w:rsidR="00685BE9">
        <w:rPr>
          <w:rFonts w:ascii="Times New Roman" w:hAnsi="Times New Roman" w:cs="Times New Roman"/>
          <w:sz w:val="24"/>
          <w:szCs w:val="24"/>
        </w:rPr>
        <w:t>20–30% without yield penalties</w:t>
      </w:r>
      <w:r w:rsidRPr="00BC630E">
        <w:rPr>
          <w:rFonts w:ascii="Times New Roman" w:hAnsi="Times New Roman" w:cs="Times New Roman"/>
          <w:sz w:val="24"/>
          <w:szCs w:val="24"/>
        </w:rPr>
        <w:t xml:space="preserve">. Soil-sensor–based fertigation systems improve fertilizer-use efficiency by 15–25% through accurate control of nutrient solution flow. Integration of </w:t>
      </w:r>
      <w:proofErr w:type="spellStart"/>
      <w:r w:rsidRPr="00BC630E">
        <w:rPr>
          <w:rFonts w:ascii="Times New Roman" w:hAnsi="Times New Roman" w:cs="Times New Roman"/>
          <w:sz w:val="24"/>
          <w:szCs w:val="24"/>
        </w:rPr>
        <w:t>nano</w:t>
      </w:r>
      <w:proofErr w:type="spellEnd"/>
      <w:r w:rsidRPr="00BC630E">
        <w:rPr>
          <w:rFonts w:ascii="Times New Roman" w:hAnsi="Times New Roman" w:cs="Times New Roman"/>
          <w:sz w:val="24"/>
          <w:szCs w:val="24"/>
        </w:rPr>
        <w:t>-fertilizers with precision tools creates an advanced INM framework that strengthens nutrient synchrony, minimizes wastage, and enhances sustainability.</w:t>
      </w:r>
    </w:p>
    <w:p w14:paraId="449057D4" w14:textId="77777777" w:rsidR="00B70673" w:rsidRPr="00390666" w:rsidRDefault="00B70673" w:rsidP="00BB0396">
      <w:pPr>
        <w:jc w:val="both"/>
        <w:rPr>
          <w:rFonts w:ascii="Times New Roman" w:hAnsi="Times New Roman" w:cs="Times New Roman"/>
          <w:b/>
          <w:bCs/>
          <w:sz w:val="24"/>
          <w:szCs w:val="24"/>
        </w:rPr>
      </w:pPr>
    </w:p>
    <w:p w14:paraId="70862925" w14:textId="77777777" w:rsidR="00F03C70" w:rsidRPr="00F03C70" w:rsidRDefault="00F03C70" w:rsidP="00BB0396">
      <w:pPr>
        <w:jc w:val="both"/>
        <w:rPr>
          <w:rFonts w:ascii="Times New Roman" w:hAnsi="Times New Roman" w:cs="Times New Roman"/>
          <w:sz w:val="24"/>
          <w:szCs w:val="24"/>
        </w:rPr>
      </w:pPr>
      <w:r w:rsidRPr="00F03C70">
        <w:rPr>
          <w:rFonts w:ascii="Times New Roman" w:hAnsi="Times New Roman" w:cs="Times New Roman"/>
          <w:b/>
          <w:bCs/>
          <w:sz w:val="24"/>
          <w:szCs w:val="24"/>
        </w:rPr>
        <w:t>VI. Water-Smart Agronomy</w:t>
      </w:r>
    </w:p>
    <w:p w14:paraId="65E55511" w14:textId="77777777" w:rsidR="00F03C70" w:rsidRPr="00F03C70" w:rsidRDefault="00F03C70" w:rsidP="00BB0396">
      <w:pPr>
        <w:jc w:val="both"/>
        <w:rPr>
          <w:rFonts w:ascii="Times New Roman" w:hAnsi="Times New Roman" w:cs="Times New Roman"/>
          <w:sz w:val="24"/>
          <w:szCs w:val="24"/>
        </w:rPr>
      </w:pPr>
      <w:r w:rsidRPr="00F03C70">
        <w:rPr>
          <w:rFonts w:ascii="Times New Roman" w:hAnsi="Times New Roman" w:cs="Times New Roman"/>
          <w:b/>
          <w:bCs/>
          <w:i/>
          <w:iCs/>
          <w:sz w:val="24"/>
          <w:szCs w:val="24"/>
        </w:rPr>
        <w:lastRenderedPageBreak/>
        <w:t>Micro-irrigation systems and fertigation</w:t>
      </w:r>
      <w:r w:rsidRPr="00F03C70">
        <w:rPr>
          <w:rFonts w:ascii="Times New Roman" w:hAnsi="Times New Roman" w:cs="Times New Roman"/>
          <w:sz w:val="24"/>
          <w:szCs w:val="24"/>
        </w:rPr>
        <w:br/>
        <w:t xml:space="preserve">Micro-irrigation systems, including drip and sprinkler methods, play a central role in water-smart agronomy by maximizing water-use efficiency (WUE), reducing evaporation losses, and improving nutrient delivery. Drip irrigation delivers water directly to the root zone, reducing water loss by 30–60% </w:t>
      </w:r>
      <w:r w:rsidR="00685BE9">
        <w:rPr>
          <w:rFonts w:ascii="Times New Roman" w:hAnsi="Times New Roman" w:cs="Times New Roman"/>
          <w:sz w:val="24"/>
          <w:szCs w:val="24"/>
        </w:rPr>
        <w:t>compared with flood irrigation</w:t>
      </w:r>
      <w:r w:rsidRPr="00F03C70">
        <w:rPr>
          <w:rFonts w:ascii="Times New Roman" w:hAnsi="Times New Roman" w:cs="Times New Roman"/>
          <w:sz w:val="24"/>
          <w:szCs w:val="24"/>
        </w:rPr>
        <w:t>. Studies conducted across diverse cropping systems demonstrate that drip irrigation increases WUE by 40–90%, significantly enhancing productivity in water-limited regions. For example, tomato and cotton under drip systems show yield gains of 20–50% due to improved soil moisture uniformit</w:t>
      </w:r>
      <w:r w:rsidR="00685BE9">
        <w:rPr>
          <w:rFonts w:ascii="Times New Roman" w:hAnsi="Times New Roman" w:cs="Times New Roman"/>
          <w:sz w:val="24"/>
          <w:szCs w:val="24"/>
        </w:rPr>
        <w:t xml:space="preserve">y and reduced salinity </w:t>
      </w:r>
      <w:proofErr w:type="spellStart"/>
      <w:r w:rsidR="00685BE9">
        <w:rPr>
          <w:rFonts w:ascii="Times New Roman" w:hAnsi="Times New Roman" w:cs="Times New Roman"/>
          <w:sz w:val="24"/>
          <w:szCs w:val="24"/>
        </w:rPr>
        <w:t>buildup</w:t>
      </w:r>
      <w:proofErr w:type="spellEnd"/>
      <w:r w:rsidRPr="00F03C70">
        <w:rPr>
          <w:rFonts w:ascii="Times New Roman" w:hAnsi="Times New Roman" w:cs="Times New Roman"/>
          <w:sz w:val="24"/>
          <w:szCs w:val="24"/>
        </w:rPr>
        <w:t>. Fertigation through drip systems further optimizes nutrient use by synchronizing fertilizer application with crop demand. Fertigation increases nutrient-use efficiency by 30–50% for nitrogen and potassium due to reduced leaching and precise delivery. Studies show that nitrogen losses decline by nearly 35% and yield levels rise by 15–35% in crops such as maize, sugarcane, and vegetables</w:t>
      </w:r>
      <w:r w:rsidR="00685BE9">
        <w:rPr>
          <w:rFonts w:ascii="Times New Roman" w:hAnsi="Times New Roman" w:cs="Times New Roman"/>
          <w:sz w:val="24"/>
          <w:szCs w:val="24"/>
        </w:rPr>
        <w:t xml:space="preserve"> when fertigation is practiced</w:t>
      </w:r>
      <w:r w:rsidRPr="00F03C70">
        <w:rPr>
          <w:rFonts w:ascii="Times New Roman" w:hAnsi="Times New Roman" w:cs="Times New Roman"/>
          <w:sz w:val="24"/>
          <w:szCs w:val="24"/>
        </w:rPr>
        <w:t xml:space="preserve">. Micro-irrigation also enables the application of soluble micronutrients, growth regulators, and </w:t>
      </w:r>
      <w:proofErr w:type="spellStart"/>
      <w:r w:rsidRPr="00F03C70">
        <w:rPr>
          <w:rFonts w:ascii="Times New Roman" w:hAnsi="Times New Roman" w:cs="Times New Roman"/>
          <w:sz w:val="24"/>
          <w:szCs w:val="24"/>
        </w:rPr>
        <w:t>biostimulants</w:t>
      </w:r>
      <w:proofErr w:type="spellEnd"/>
      <w:r w:rsidRPr="00F03C70">
        <w:rPr>
          <w:rFonts w:ascii="Times New Roman" w:hAnsi="Times New Roman" w:cs="Times New Roman"/>
          <w:sz w:val="24"/>
          <w:szCs w:val="24"/>
        </w:rPr>
        <w:t>, supporting healthier root systems and uniform crop development. These systems collectively enhance productivity while minimizing environmental footprint.</w:t>
      </w:r>
    </w:p>
    <w:p w14:paraId="29FD6B48" w14:textId="77777777" w:rsidR="00F03C70" w:rsidRPr="00F03C70" w:rsidRDefault="00F03C70" w:rsidP="00BB0396">
      <w:pPr>
        <w:jc w:val="both"/>
        <w:rPr>
          <w:rFonts w:ascii="Times New Roman" w:hAnsi="Times New Roman" w:cs="Times New Roman"/>
          <w:sz w:val="24"/>
          <w:szCs w:val="24"/>
        </w:rPr>
      </w:pPr>
      <w:r w:rsidRPr="00F03C70">
        <w:rPr>
          <w:rFonts w:ascii="Times New Roman" w:hAnsi="Times New Roman" w:cs="Times New Roman"/>
          <w:b/>
          <w:bCs/>
          <w:i/>
          <w:iCs/>
          <w:sz w:val="24"/>
          <w:szCs w:val="24"/>
        </w:rPr>
        <w:t>Rainwater harvesting and soil–water conservation</w:t>
      </w:r>
      <w:r w:rsidRPr="00F03C70">
        <w:rPr>
          <w:rFonts w:ascii="Times New Roman" w:hAnsi="Times New Roman" w:cs="Times New Roman"/>
          <w:sz w:val="24"/>
          <w:szCs w:val="24"/>
        </w:rPr>
        <w:br/>
        <w:t>Rainwater harvesting and soil–water conservation practices improve the capture, storage, and infiltration of rainfall, reducing runoff and supporting moisture</w:t>
      </w:r>
      <w:r w:rsidR="00F16934">
        <w:rPr>
          <w:rFonts w:ascii="Times New Roman" w:hAnsi="Times New Roman" w:cs="Times New Roman"/>
          <w:sz w:val="24"/>
          <w:szCs w:val="24"/>
        </w:rPr>
        <w:t xml:space="preserve"> availability during dry spells (</w:t>
      </w:r>
      <w:proofErr w:type="spellStart"/>
      <w:r w:rsidR="00F16934">
        <w:rPr>
          <w:rFonts w:ascii="Times New Roman" w:hAnsi="Times New Roman" w:cs="Times New Roman"/>
          <w:sz w:val="24"/>
          <w:szCs w:val="24"/>
        </w:rPr>
        <w:t>Vohland</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2009).</w:t>
      </w:r>
      <w:r w:rsidRPr="00F03C70">
        <w:rPr>
          <w:rFonts w:ascii="Times New Roman" w:hAnsi="Times New Roman" w:cs="Times New Roman"/>
          <w:sz w:val="24"/>
          <w:szCs w:val="24"/>
        </w:rPr>
        <w:t xml:space="preserve"> Techniques such as farm ponds, check dams, contour bunds, terracing, infiltration trenches, and percolation tanks increase groundwater recharge by 15–40% depending on so</w:t>
      </w:r>
      <w:r w:rsidR="00685BE9">
        <w:rPr>
          <w:rFonts w:ascii="Times New Roman" w:hAnsi="Times New Roman" w:cs="Times New Roman"/>
          <w:sz w:val="24"/>
          <w:szCs w:val="24"/>
        </w:rPr>
        <w:t>il type and landscape position</w:t>
      </w:r>
      <w:r w:rsidRPr="00F03C70">
        <w:rPr>
          <w:rFonts w:ascii="Times New Roman" w:hAnsi="Times New Roman" w:cs="Times New Roman"/>
          <w:sz w:val="24"/>
          <w:szCs w:val="24"/>
        </w:rPr>
        <w:t>. Mulching, residue retention, and conservation tillage reduce evaporation losses by 25–50% and improve soil infiltration by enhancing aggregate stability. Long-term conservation agriculture studies report 15–25% higher soil moisture content in fields with residue retention comp</w:t>
      </w:r>
      <w:r w:rsidR="00685BE9">
        <w:rPr>
          <w:rFonts w:ascii="Times New Roman" w:hAnsi="Times New Roman" w:cs="Times New Roman"/>
          <w:sz w:val="24"/>
          <w:szCs w:val="24"/>
        </w:rPr>
        <w:t>ared with conventional tillage</w:t>
      </w:r>
      <w:r w:rsidRPr="00F03C70">
        <w:rPr>
          <w:rFonts w:ascii="Times New Roman" w:hAnsi="Times New Roman" w:cs="Times New Roman"/>
          <w:sz w:val="24"/>
          <w:szCs w:val="24"/>
        </w:rPr>
        <w:t>. Contour farming and tied ridging increase infiltration by 20–60% and reduce surface runoff by nearly 40–70% in sloping lands. Water harvesting structures also buffer rainfall variability, stabilizing yields by supporting supplementary irrigation at critical crop stages. For instance, farm ponds supplying supplemental irrigation have been shown to increase cereal yields by 20–45% and horticultural yie</w:t>
      </w:r>
      <w:r w:rsidR="00685BE9">
        <w:rPr>
          <w:rFonts w:ascii="Times New Roman" w:hAnsi="Times New Roman" w:cs="Times New Roman"/>
          <w:sz w:val="24"/>
          <w:szCs w:val="24"/>
        </w:rPr>
        <w:t>lds by 30–60% during dry years</w:t>
      </w:r>
      <w:r w:rsidRPr="00F03C70">
        <w:rPr>
          <w:rFonts w:ascii="Times New Roman" w:hAnsi="Times New Roman" w:cs="Times New Roman"/>
          <w:sz w:val="24"/>
          <w:szCs w:val="24"/>
        </w:rPr>
        <w:t>. These practices support both water conservation and long-term sustainability of cropping systems.</w:t>
      </w:r>
    </w:p>
    <w:p w14:paraId="7A097787" w14:textId="77777777" w:rsidR="00F03C70" w:rsidRPr="00F03C70" w:rsidRDefault="00F03C70" w:rsidP="00BB0396">
      <w:pPr>
        <w:jc w:val="both"/>
        <w:rPr>
          <w:rFonts w:ascii="Times New Roman" w:hAnsi="Times New Roman" w:cs="Times New Roman"/>
          <w:sz w:val="24"/>
          <w:szCs w:val="24"/>
        </w:rPr>
      </w:pPr>
      <w:r w:rsidRPr="00F03C70">
        <w:rPr>
          <w:rFonts w:ascii="Times New Roman" w:hAnsi="Times New Roman" w:cs="Times New Roman"/>
          <w:b/>
          <w:bCs/>
          <w:i/>
          <w:iCs/>
          <w:sz w:val="24"/>
          <w:szCs w:val="24"/>
        </w:rPr>
        <w:t>Drought-resilient crop planning</w:t>
      </w:r>
      <w:r w:rsidRPr="00F03C70">
        <w:rPr>
          <w:rFonts w:ascii="Times New Roman" w:hAnsi="Times New Roman" w:cs="Times New Roman"/>
          <w:sz w:val="24"/>
          <w:szCs w:val="24"/>
        </w:rPr>
        <w:br/>
        <w:t>Drought-resilient crop planning integrates crop diversification, stress-tolerant varieties, optimized sowing dates, deficit irrigation strategies, and climate-responsive agronomic adjustments to reduce yi</w:t>
      </w:r>
      <w:r w:rsidR="00F16934">
        <w:rPr>
          <w:rFonts w:ascii="Times New Roman" w:hAnsi="Times New Roman" w:cs="Times New Roman"/>
          <w:sz w:val="24"/>
          <w:szCs w:val="24"/>
        </w:rPr>
        <w:t>eld losses under water scarcity (</w:t>
      </w:r>
      <w:proofErr w:type="spellStart"/>
      <w:r w:rsidR="00F16934">
        <w:rPr>
          <w:rFonts w:ascii="Times New Roman" w:hAnsi="Times New Roman" w:cs="Times New Roman"/>
          <w:sz w:val="24"/>
          <w:szCs w:val="24"/>
        </w:rPr>
        <w:t>Fanourakis</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2022).</w:t>
      </w:r>
      <w:r w:rsidRPr="00F03C70">
        <w:rPr>
          <w:rFonts w:ascii="Times New Roman" w:hAnsi="Times New Roman" w:cs="Times New Roman"/>
          <w:sz w:val="24"/>
          <w:szCs w:val="24"/>
        </w:rPr>
        <w:t xml:space="preserve"> Studies indicate that drought-tolerant cultivars of maize, sorghum, pearl millet, chickpea, and groundnut produce 15–35% higher yields under moisture stress due to improved root architecture, osmotic adjus</w:t>
      </w:r>
      <w:r w:rsidR="00685BE9">
        <w:rPr>
          <w:rFonts w:ascii="Times New Roman" w:hAnsi="Times New Roman" w:cs="Times New Roman"/>
          <w:sz w:val="24"/>
          <w:szCs w:val="24"/>
        </w:rPr>
        <w:t>tment, and stomatal regulation</w:t>
      </w:r>
      <w:r w:rsidRPr="00F03C70">
        <w:rPr>
          <w:rFonts w:ascii="Times New Roman" w:hAnsi="Times New Roman" w:cs="Times New Roman"/>
          <w:sz w:val="24"/>
          <w:szCs w:val="24"/>
        </w:rPr>
        <w:t xml:space="preserve">. Crop diversification through intercropping (e.g., sorghum–legume, millet–pulses) enhances water-use efficiency by 10–25% because complementary root systems optimize resource exploitation. Adjusted sowing dates aligned with rainfall patterns reduce drought exposure during sensitive stages such as </w:t>
      </w:r>
      <w:r w:rsidRPr="00F03C70">
        <w:rPr>
          <w:rFonts w:ascii="Times New Roman" w:hAnsi="Times New Roman" w:cs="Times New Roman"/>
          <w:sz w:val="24"/>
          <w:szCs w:val="24"/>
        </w:rPr>
        <w:lastRenderedPageBreak/>
        <w:t>flowering and grain filling. Deficit irrigation strategies, including regulated deficit irrigation (RDI) and partial root-zone drying (PRD), improve WUE by 20–45% without significant yield reductions in crops suc</w:t>
      </w:r>
      <w:r w:rsidR="00685BE9">
        <w:rPr>
          <w:rFonts w:ascii="Times New Roman" w:hAnsi="Times New Roman" w:cs="Times New Roman"/>
          <w:sz w:val="24"/>
          <w:szCs w:val="24"/>
        </w:rPr>
        <w:t>h as grape, tomato, and cotton</w:t>
      </w:r>
      <w:r w:rsidRPr="00F03C70">
        <w:rPr>
          <w:rFonts w:ascii="Times New Roman" w:hAnsi="Times New Roman" w:cs="Times New Roman"/>
          <w:sz w:val="24"/>
          <w:szCs w:val="24"/>
        </w:rPr>
        <w:t>. Crop rotation with legumes further improves soil moisture retention and nitrogen availability, strengthening drought resilience. Climate-smart decision-support tools based on seasonal forecasts and remote sensing assist farmers in selecting suitable varieties and planning irrigation schedules, reducing drought-related yield variability by 20–30%. These approaches collectively enhance system adaptive capacity under increasing climate variability.</w:t>
      </w:r>
    </w:p>
    <w:p w14:paraId="583B7618" w14:textId="77777777" w:rsidR="00B70673" w:rsidRPr="00390666" w:rsidRDefault="00B70673" w:rsidP="00BB0396">
      <w:pPr>
        <w:jc w:val="both"/>
        <w:rPr>
          <w:rFonts w:ascii="Times New Roman" w:hAnsi="Times New Roman" w:cs="Times New Roman"/>
          <w:b/>
          <w:bCs/>
          <w:sz w:val="24"/>
          <w:szCs w:val="24"/>
        </w:rPr>
      </w:pPr>
    </w:p>
    <w:p w14:paraId="7C2E60E4" w14:textId="77777777" w:rsidR="00AA181C" w:rsidRPr="00AA181C" w:rsidRDefault="00AA181C" w:rsidP="00BB0396">
      <w:pPr>
        <w:jc w:val="both"/>
        <w:rPr>
          <w:rFonts w:ascii="Times New Roman" w:hAnsi="Times New Roman" w:cs="Times New Roman"/>
          <w:sz w:val="24"/>
          <w:szCs w:val="24"/>
        </w:rPr>
      </w:pPr>
      <w:r w:rsidRPr="00AA181C">
        <w:rPr>
          <w:rFonts w:ascii="Times New Roman" w:hAnsi="Times New Roman" w:cs="Times New Roman"/>
          <w:b/>
          <w:bCs/>
          <w:sz w:val="24"/>
          <w:szCs w:val="24"/>
        </w:rPr>
        <w:t>VII. Biological and Ecological Approaches</w:t>
      </w:r>
    </w:p>
    <w:p w14:paraId="1A47F36E" w14:textId="77777777" w:rsidR="00AA181C" w:rsidRPr="00AA181C" w:rsidRDefault="00AA181C" w:rsidP="00BB0396">
      <w:pPr>
        <w:jc w:val="both"/>
        <w:rPr>
          <w:rFonts w:ascii="Times New Roman" w:hAnsi="Times New Roman" w:cs="Times New Roman"/>
          <w:sz w:val="24"/>
          <w:szCs w:val="24"/>
        </w:rPr>
      </w:pPr>
      <w:r w:rsidRPr="00AA181C">
        <w:rPr>
          <w:rFonts w:ascii="Times New Roman" w:hAnsi="Times New Roman" w:cs="Times New Roman"/>
          <w:b/>
          <w:bCs/>
          <w:i/>
          <w:iCs/>
          <w:sz w:val="24"/>
          <w:szCs w:val="24"/>
        </w:rPr>
        <w:t>Beneficial soil microbes and plant growth–promoting organisms</w:t>
      </w:r>
      <w:r w:rsidRPr="00AA181C">
        <w:rPr>
          <w:rFonts w:ascii="Times New Roman" w:hAnsi="Times New Roman" w:cs="Times New Roman"/>
          <w:sz w:val="24"/>
          <w:szCs w:val="24"/>
        </w:rPr>
        <w:br/>
        <w:t xml:space="preserve">Beneficial soil microorganisms, including plant growth–promoting rhizobacteria (PGPR), nitrogen fixers, phosphate solubilizers, and potassium mobilizers, play a vital role in nutrient cycling, hormonal stimulation, soil aggregation, and stress alleviation. PGPR such as </w:t>
      </w:r>
      <w:proofErr w:type="spellStart"/>
      <w:r w:rsidRPr="00AA181C">
        <w:rPr>
          <w:rFonts w:ascii="Times New Roman" w:hAnsi="Times New Roman" w:cs="Times New Roman"/>
          <w:i/>
          <w:iCs/>
          <w:sz w:val="24"/>
          <w:szCs w:val="24"/>
        </w:rPr>
        <w:t>Azotobacter</w:t>
      </w:r>
      <w:proofErr w:type="spellEnd"/>
      <w:r w:rsidRPr="00AA181C">
        <w:rPr>
          <w:rFonts w:ascii="Times New Roman" w:hAnsi="Times New Roman" w:cs="Times New Roman"/>
          <w:sz w:val="24"/>
          <w:szCs w:val="24"/>
        </w:rPr>
        <w:t xml:space="preserve">, </w:t>
      </w:r>
      <w:proofErr w:type="spellStart"/>
      <w:r w:rsidRPr="00AA181C">
        <w:rPr>
          <w:rFonts w:ascii="Times New Roman" w:hAnsi="Times New Roman" w:cs="Times New Roman"/>
          <w:i/>
          <w:iCs/>
          <w:sz w:val="24"/>
          <w:szCs w:val="24"/>
        </w:rPr>
        <w:t>Azospirillum</w:t>
      </w:r>
      <w:proofErr w:type="spellEnd"/>
      <w:r w:rsidRPr="00AA181C">
        <w:rPr>
          <w:rFonts w:ascii="Times New Roman" w:hAnsi="Times New Roman" w:cs="Times New Roman"/>
          <w:sz w:val="24"/>
          <w:szCs w:val="24"/>
        </w:rPr>
        <w:t xml:space="preserve">, </w:t>
      </w:r>
      <w:r w:rsidRPr="00AA181C">
        <w:rPr>
          <w:rFonts w:ascii="Times New Roman" w:hAnsi="Times New Roman" w:cs="Times New Roman"/>
          <w:i/>
          <w:iCs/>
          <w:sz w:val="24"/>
          <w:szCs w:val="24"/>
        </w:rPr>
        <w:t xml:space="preserve">Pseudomonas </w:t>
      </w:r>
      <w:proofErr w:type="spellStart"/>
      <w:r w:rsidRPr="00AA181C">
        <w:rPr>
          <w:rFonts w:ascii="Times New Roman" w:hAnsi="Times New Roman" w:cs="Times New Roman"/>
          <w:i/>
          <w:iCs/>
          <w:sz w:val="24"/>
          <w:szCs w:val="24"/>
        </w:rPr>
        <w:t>fluorescens</w:t>
      </w:r>
      <w:proofErr w:type="spellEnd"/>
      <w:r w:rsidRPr="00AA181C">
        <w:rPr>
          <w:rFonts w:ascii="Times New Roman" w:hAnsi="Times New Roman" w:cs="Times New Roman"/>
          <w:sz w:val="24"/>
          <w:szCs w:val="24"/>
        </w:rPr>
        <w:t xml:space="preserve">, and </w:t>
      </w:r>
      <w:r w:rsidRPr="00AA181C">
        <w:rPr>
          <w:rFonts w:ascii="Times New Roman" w:hAnsi="Times New Roman" w:cs="Times New Roman"/>
          <w:i/>
          <w:iCs/>
          <w:sz w:val="24"/>
          <w:szCs w:val="24"/>
        </w:rPr>
        <w:t>Bacillus subtilis</w:t>
      </w:r>
      <w:r w:rsidRPr="00AA181C">
        <w:rPr>
          <w:rFonts w:ascii="Times New Roman" w:hAnsi="Times New Roman" w:cs="Times New Roman"/>
          <w:sz w:val="24"/>
          <w:szCs w:val="24"/>
        </w:rPr>
        <w:t xml:space="preserve"> enhance crop productivity through multiple mechanisms including nitrogen fixation, siderophore production, phytohormone synthesis, and ACC deaminase activity. Biological nitrogen fixation contributes 20–200 kg N ha⁻¹ yr⁻¹ depending on microbial strain </w:t>
      </w:r>
      <w:r w:rsidR="00685BE9">
        <w:rPr>
          <w:rFonts w:ascii="Times New Roman" w:hAnsi="Times New Roman" w:cs="Times New Roman"/>
          <w:sz w:val="24"/>
          <w:szCs w:val="24"/>
        </w:rPr>
        <w:t>and crop–microbe compatibility</w:t>
      </w:r>
      <w:r w:rsidRPr="00AA181C">
        <w:rPr>
          <w:rFonts w:ascii="Times New Roman" w:hAnsi="Times New Roman" w:cs="Times New Roman"/>
          <w:sz w:val="24"/>
          <w:szCs w:val="24"/>
        </w:rPr>
        <w:t>. Phosphate-solubilizing microorganisms (PSMs) increase soluble P availability by 30–60% through secretion of organic acids and phosphatases, improving root uptake and pl</w:t>
      </w:r>
      <w:r w:rsidR="00685BE9">
        <w:rPr>
          <w:rFonts w:ascii="Times New Roman" w:hAnsi="Times New Roman" w:cs="Times New Roman"/>
          <w:sz w:val="24"/>
          <w:szCs w:val="24"/>
        </w:rPr>
        <w:t xml:space="preserve">ant </w:t>
      </w:r>
      <w:proofErr w:type="spellStart"/>
      <w:r w:rsidR="00685BE9">
        <w:rPr>
          <w:rFonts w:ascii="Times New Roman" w:hAnsi="Times New Roman" w:cs="Times New Roman"/>
          <w:sz w:val="24"/>
          <w:szCs w:val="24"/>
        </w:rPr>
        <w:t>vigor</w:t>
      </w:r>
      <w:proofErr w:type="spellEnd"/>
      <w:r w:rsidRPr="00AA181C">
        <w:rPr>
          <w:rFonts w:ascii="Times New Roman" w:hAnsi="Times New Roman" w:cs="Times New Roman"/>
          <w:sz w:val="24"/>
          <w:szCs w:val="24"/>
        </w:rPr>
        <w:t xml:space="preserve">. Potassium-solubilizing bacteria release silicon-based acids that mobilize non-exchangeable K, increasing available potassium by 10–40% in </w:t>
      </w:r>
      <w:r w:rsidR="00685BE9">
        <w:rPr>
          <w:rFonts w:ascii="Times New Roman" w:hAnsi="Times New Roman" w:cs="Times New Roman"/>
          <w:sz w:val="24"/>
          <w:szCs w:val="24"/>
        </w:rPr>
        <w:t>medium- to high-K fixing soils</w:t>
      </w:r>
      <w:r w:rsidRPr="00AA181C">
        <w:rPr>
          <w:rFonts w:ascii="Times New Roman" w:hAnsi="Times New Roman" w:cs="Times New Roman"/>
          <w:sz w:val="24"/>
          <w:szCs w:val="24"/>
        </w:rPr>
        <w:t xml:space="preserve">. PGPR-mediated production of indole-3-acetic acid (IAA), gibberellins, and </w:t>
      </w:r>
      <w:proofErr w:type="spellStart"/>
      <w:r w:rsidRPr="00AA181C">
        <w:rPr>
          <w:rFonts w:ascii="Times New Roman" w:hAnsi="Times New Roman" w:cs="Times New Roman"/>
          <w:sz w:val="24"/>
          <w:szCs w:val="24"/>
        </w:rPr>
        <w:t>cytokinins</w:t>
      </w:r>
      <w:proofErr w:type="spellEnd"/>
      <w:r w:rsidRPr="00AA181C">
        <w:rPr>
          <w:rFonts w:ascii="Times New Roman" w:hAnsi="Times New Roman" w:cs="Times New Roman"/>
          <w:sz w:val="24"/>
          <w:szCs w:val="24"/>
        </w:rPr>
        <w:t xml:space="preserve"> stimulates root elongation and branching, improving water and nutrient acquisition. Studies report yield increases of 10–25% in cereals, legumes, and vegetables when biofertilizers are incorporated into</w:t>
      </w:r>
      <w:r w:rsidR="00685BE9">
        <w:rPr>
          <w:rFonts w:ascii="Times New Roman" w:hAnsi="Times New Roman" w:cs="Times New Roman"/>
          <w:sz w:val="24"/>
          <w:szCs w:val="24"/>
        </w:rPr>
        <w:t xml:space="preserve"> integrated management systems</w:t>
      </w:r>
      <w:r w:rsidRPr="00AA181C">
        <w:rPr>
          <w:rFonts w:ascii="Times New Roman" w:hAnsi="Times New Roman" w:cs="Times New Roman"/>
          <w:sz w:val="24"/>
          <w:szCs w:val="24"/>
        </w:rPr>
        <w:t>. These microbial interactions support sustainable soil functioning and reduce dependence on synthetic inputs.</w:t>
      </w:r>
    </w:p>
    <w:p w14:paraId="55528C51" w14:textId="77777777" w:rsidR="00AA181C" w:rsidRPr="00AA181C" w:rsidRDefault="00AA181C" w:rsidP="00BB0396">
      <w:pPr>
        <w:jc w:val="both"/>
        <w:rPr>
          <w:rFonts w:ascii="Times New Roman" w:hAnsi="Times New Roman" w:cs="Times New Roman"/>
          <w:sz w:val="24"/>
          <w:szCs w:val="24"/>
        </w:rPr>
      </w:pPr>
      <w:r w:rsidRPr="00AA181C">
        <w:rPr>
          <w:rFonts w:ascii="Times New Roman" w:hAnsi="Times New Roman" w:cs="Times New Roman"/>
          <w:b/>
          <w:bCs/>
          <w:i/>
          <w:iCs/>
          <w:sz w:val="24"/>
          <w:szCs w:val="24"/>
        </w:rPr>
        <w:t>Mycorrhizal associations and rhizosphere engineering</w:t>
      </w:r>
      <w:r w:rsidRPr="00AA181C">
        <w:rPr>
          <w:rFonts w:ascii="Times New Roman" w:hAnsi="Times New Roman" w:cs="Times New Roman"/>
          <w:sz w:val="24"/>
          <w:szCs w:val="24"/>
        </w:rPr>
        <w:br/>
        <w:t xml:space="preserve">Mycorrhizal fungi, particularly arbuscular mycorrhizal fungi (AMF), form symbiotic relationships with plant roots, improving nutrient absorption, water </w:t>
      </w:r>
      <w:r w:rsidR="00F16934">
        <w:rPr>
          <w:rFonts w:ascii="Times New Roman" w:hAnsi="Times New Roman" w:cs="Times New Roman"/>
          <w:sz w:val="24"/>
          <w:szCs w:val="24"/>
        </w:rPr>
        <w:t xml:space="preserve">relations, and soil aggregation (Khaliq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2022).</w:t>
      </w:r>
      <w:r w:rsidRPr="00AA181C">
        <w:rPr>
          <w:rFonts w:ascii="Times New Roman" w:hAnsi="Times New Roman" w:cs="Times New Roman"/>
          <w:sz w:val="24"/>
          <w:szCs w:val="24"/>
        </w:rPr>
        <w:t xml:space="preserve"> AMF extend the root absorptive area via extraradical hyphae, increasing phosphorus uptake by 20–40% and supporting micronutrient acquisit</w:t>
      </w:r>
      <w:r w:rsidR="00685BE9">
        <w:rPr>
          <w:rFonts w:ascii="Times New Roman" w:hAnsi="Times New Roman" w:cs="Times New Roman"/>
          <w:sz w:val="24"/>
          <w:szCs w:val="24"/>
        </w:rPr>
        <w:t>ion, especially Zn, Cu, and Fe</w:t>
      </w:r>
      <w:r w:rsidRPr="00AA181C">
        <w:rPr>
          <w:rFonts w:ascii="Times New Roman" w:hAnsi="Times New Roman" w:cs="Times New Roman"/>
          <w:sz w:val="24"/>
          <w:szCs w:val="24"/>
        </w:rPr>
        <w:t xml:space="preserve">. Mycorrhizal colonization enhances drought tolerance through osmotic adjustment, improved hydraulic conductivity, and modulation of aquaporin expression. The production of glomalin, a glycoprotein released by AMF, strengthens soil aggregation, increasing macroaggregate stability </w:t>
      </w:r>
      <w:r w:rsidR="00685BE9">
        <w:rPr>
          <w:rFonts w:ascii="Times New Roman" w:hAnsi="Times New Roman" w:cs="Times New Roman"/>
          <w:sz w:val="24"/>
          <w:szCs w:val="24"/>
        </w:rPr>
        <w:t>by 20–50% and reducing erosion</w:t>
      </w:r>
      <w:r w:rsidRPr="00AA181C">
        <w:rPr>
          <w:rFonts w:ascii="Times New Roman" w:hAnsi="Times New Roman" w:cs="Times New Roman"/>
          <w:sz w:val="24"/>
          <w:szCs w:val="24"/>
        </w:rPr>
        <w:t xml:space="preserve">. Rhizosphere engineering involves strategic manipulation of microbial communities through organic amendments, biochar, root exudate modulation, and introduction of beneficial microbial consortia. Biochar amendments, for instance, enhance microbial habitat diversity </w:t>
      </w:r>
      <w:r w:rsidRPr="00AA181C">
        <w:rPr>
          <w:rFonts w:ascii="Times New Roman" w:hAnsi="Times New Roman" w:cs="Times New Roman"/>
          <w:sz w:val="24"/>
          <w:szCs w:val="24"/>
        </w:rPr>
        <w:lastRenderedPageBreak/>
        <w:t>and increase AMF colonization rates by 10–35% due to improved pore connectivity an</w:t>
      </w:r>
      <w:r w:rsidR="00685BE9">
        <w:rPr>
          <w:rFonts w:ascii="Times New Roman" w:hAnsi="Times New Roman" w:cs="Times New Roman"/>
          <w:sz w:val="24"/>
          <w:szCs w:val="24"/>
        </w:rPr>
        <w:t>d nutrient retention</w:t>
      </w:r>
      <w:r w:rsidRPr="00AA181C">
        <w:rPr>
          <w:rFonts w:ascii="Times New Roman" w:hAnsi="Times New Roman" w:cs="Times New Roman"/>
          <w:sz w:val="24"/>
          <w:szCs w:val="24"/>
        </w:rPr>
        <w:t xml:space="preserve">. Engineering the rhizosphere through multi-strain microbial inoculants enhances synergistic functions such as simultaneous N fixation, P solubilization, and hormone production, increasing nutrient-use efficiency </w:t>
      </w:r>
      <w:r w:rsidR="00685BE9">
        <w:rPr>
          <w:rFonts w:ascii="Times New Roman" w:hAnsi="Times New Roman" w:cs="Times New Roman"/>
          <w:sz w:val="24"/>
          <w:szCs w:val="24"/>
        </w:rPr>
        <w:t>by 15–30%</w:t>
      </w:r>
      <w:r w:rsidRPr="00AA181C">
        <w:rPr>
          <w:rFonts w:ascii="Times New Roman" w:hAnsi="Times New Roman" w:cs="Times New Roman"/>
          <w:sz w:val="24"/>
          <w:szCs w:val="24"/>
        </w:rPr>
        <w:t>. These biological interactions reinforce soil ecological functioning and strengthen plant resilience under biotic and abiotic stresses.</w:t>
      </w:r>
    </w:p>
    <w:p w14:paraId="5ADDD298" w14:textId="77777777" w:rsidR="00AA181C" w:rsidRPr="00AA181C" w:rsidRDefault="00AA181C" w:rsidP="00BB0396">
      <w:pPr>
        <w:jc w:val="both"/>
        <w:rPr>
          <w:rFonts w:ascii="Times New Roman" w:hAnsi="Times New Roman" w:cs="Times New Roman"/>
          <w:sz w:val="24"/>
          <w:szCs w:val="24"/>
        </w:rPr>
      </w:pPr>
      <w:r w:rsidRPr="00AA181C">
        <w:rPr>
          <w:rFonts w:ascii="Times New Roman" w:hAnsi="Times New Roman" w:cs="Times New Roman"/>
          <w:b/>
          <w:bCs/>
          <w:i/>
          <w:iCs/>
          <w:sz w:val="24"/>
          <w:szCs w:val="24"/>
        </w:rPr>
        <w:t>Biocontrol agents for soilborne disease suppression</w:t>
      </w:r>
      <w:r w:rsidRPr="00AA181C">
        <w:rPr>
          <w:rFonts w:ascii="Times New Roman" w:hAnsi="Times New Roman" w:cs="Times New Roman"/>
          <w:sz w:val="24"/>
          <w:szCs w:val="24"/>
        </w:rPr>
        <w:br/>
        <w:t xml:space="preserve">Biocontrol agents provide ecologically sustainable alternatives for managing soilborne pathogens such as </w:t>
      </w:r>
      <w:r w:rsidRPr="00AA181C">
        <w:rPr>
          <w:rFonts w:ascii="Times New Roman" w:hAnsi="Times New Roman" w:cs="Times New Roman"/>
          <w:i/>
          <w:iCs/>
          <w:sz w:val="24"/>
          <w:szCs w:val="24"/>
        </w:rPr>
        <w:t>Fusarium</w:t>
      </w:r>
      <w:r w:rsidRPr="00AA181C">
        <w:rPr>
          <w:rFonts w:ascii="Times New Roman" w:hAnsi="Times New Roman" w:cs="Times New Roman"/>
          <w:sz w:val="24"/>
          <w:szCs w:val="24"/>
        </w:rPr>
        <w:t xml:space="preserve">, </w:t>
      </w:r>
      <w:proofErr w:type="spellStart"/>
      <w:r w:rsidRPr="00AA181C">
        <w:rPr>
          <w:rFonts w:ascii="Times New Roman" w:hAnsi="Times New Roman" w:cs="Times New Roman"/>
          <w:i/>
          <w:iCs/>
          <w:sz w:val="24"/>
          <w:szCs w:val="24"/>
        </w:rPr>
        <w:t>Rhizoctonia</w:t>
      </w:r>
      <w:proofErr w:type="spellEnd"/>
      <w:r w:rsidRPr="00AA181C">
        <w:rPr>
          <w:rFonts w:ascii="Times New Roman" w:hAnsi="Times New Roman" w:cs="Times New Roman"/>
          <w:sz w:val="24"/>
          <w:szCs w:val="24"/>
        </w:rPr>
        <w:t xml:space="preserve">, </w:t>
      </w:r>
      <w:r w:rsidRPr="00AA181C">
        <w:rPr>
          <w:rFonts w:ascii="Times New Roman" w:hAnsi="Times New Roman" w:cs="Times New Roman"/>
          <w:i/>
          <w:iCs/>
          <w:sz w:val="24"/>
          <w:szCs w:val="24"/>
        </w:rPr>
        <w:t>Pythium</w:t>
      </w:r>
      <w:r w:rsidRPr="00AA181C">
        <w:rPr>
          <w:rFonts w:ascii="Times New Roman" w:hAnsi="Times New Roman" w:cs="Times New Roman"/>
          <w:sz w:val="24"/>
          <w:szCs w:val="24"/>
        </w:rPr>
        <w:t xml:space="preserve">, and </w:t>
      </w:r>
      <w:proofErr w:type="spellStart"/>
      <w:r w:rsidRPr="00AA181C">
        <w:rPr>
          <w:rFonts w:ascii="Times New Roman" w:hAnsi="Times New Roman" w:cs="Times New Roman"/>
          <w:i/>
          <w:iCs/>
          <w:sz w:val="24"/>
          <w:szCs w:val="24"/>
        </w:rPr>
        <w:t>Sclerotium</w:t>
      </w:r>
      <w:proofErr w:type="spellEnd"/>
      <w:r w:rsidR="00F16934">
        <w:rPr>
          <w:rFonts w:ascii="Times New Roman" w:hAnsi="Times New Roman" w:cs="Times New Roman"/>
          <w:sz w:val="24"/>
          <w:szCs w:val="24"/>
        </w:rPr>
        <w:t xml:space="preserve"> species (Spadaro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2005).</w:t>
      </w:r>
      <w:r w:rsidRPr="00AA181C">
        <w:rPr>
          <w:rFonts w:ascii="Times New Roman" w:hAnsi="Times New Roman" w:cs="Times New Roman"/>
          <w:sz w:val="24"/>
          <w:szCs w:val="24"/>
        </w:rPr>
        <w:t xml:space="preserve"> Beneficial microbes including </w:t>
      </w:r>
      <w:r w:rsidRPr="00AA181C">
        <w:rPr>
          <w:rFonts w:ascii="Times New Roman" w:hAnsi="Times New Roman" w:cs="Times New Roman"/>
          <w:i/>
          <w:iCs/>
          <w:sz w:val="24"/>
          <w:szCs w:val="24"/>
        </w:rPr>
        <w:t xml:space="preserve">Trichoderma </w:t>
      </w:r>
      <w:proofErr w:type="spellStart"/>
      <w:r w:rsidRPr="00AA181C">
        <w:rPr>
          <w:rFonts w:ascii="Times New Roman" w:hAnsi="Times New Roman" w:cs="Times New Roman"/>
          <w:i/>
          <w:iCs/>
          <w:sz w:val="24"/>
          <w:szCs w:val="24"/>
        </w:rPr>
        <w:t>harzianum</w:t>
      </w:r>
      <w:proofErr w:type="spellEnd"/>
      <w:r w:rsidRPr="00AA181C">
        <w:rPr>
          <w:rFonts w:ascii="Times New Roman" w:hAnsi="Times New Roman" w:cs="Times New Roman"/>
          <w:sz w:val="24"/>
          <w:szCs w:val="24"/>
        </w:rPr>
        <w:t xml:space="preserve">, </w:t>
      </w:r>
      <w:r w:rsidRPr="00AA181C">
        <w:rPr>
          <w:rFonts w:ascii="Times New Roman" w:hAnsi="Times New Roman" w:cs="Times New Roman"/>
          <w:i/>
          <w:iCs/>
          <w:sz w:val="24"/>
          <w:szCs w:val="24"/>
        </w:rPr>
        <w:t xml:space="preserve">Pseudomonas </w:t>
      </w:r>
      <w:proofErr w:type="spellStart"/>
      <w:r w:rsidRPr="00AA181C">
        <w:rPr>
          <w:rFonts w:ascii="Times New Roman" w:hAnsi="Times New Roman" w:cs="Times New Roman"/>
          <w:i/>
          <w:iCs/>
          <w:sz w:val="24"/>
          <w:szCs w:val="24"/>
        </w:rPr>
        <w:t>fluorescens</w:t>
      </w:r>
      <w:proofErr w:type="spellEnd"/>
      <w:r w:rsidRPr="00AA181C">
        <w:rPr>
          <w:rFonts w:ascii="Times New Roman" w:hAnsi="Times New Roman" w:cs="Times New Roman"/>
          <w:sz w:val="24"/>
          <w:szCs w:val="24"/>
        </w:rPr>
        <w:t xml:space="preserve">, </w:t>
      </w:r>
      <w:r w:rsidRPr="00AA181C">
        <w:rPr>
          <w:rFonts w:ascii="Times New Roman" w:hAnsi="Times New Roman" w:cs="Times New Roman"/>
          <w:i/>
          <w:iCs/>
          <w:sz w:val="24"/>
          <w:szCs w:val="24"/>
        </w:rPr>
        <w:t xml:space="preserve">Bacillus </w:t>
      </w:r>
      <w:proofErr w:type="spellStart"/>
      <w:r w:rsidRPr="00AA181C">
        <w:rPr>
          <w:rFonts w:ascii="Times New Roman" w:hAnsi="Times New Roman" w:cs="Times New Roman"/>
          <w:i/>
          <w:iCs/>
          <w:sz w:val="24"/>
          <w:szCs w:val="24"/>
        </w:rPr>
        <w:t>amyloliquefaciens</w:t>
      </w:r>
      <w:proofErr w:type="spellEnd"/>
      <w:r w:rsidRPr="00AA181C">
        <w:rPr>
          <w:rFonts w:ascii="Times New Roman" w:hAnsi="Times New Roman" w:cs="Times New Roman"/>
          <w:sz w:val="24"/>
          <w:szCs w:val="24"/>
        </w:rPr>
        <w:t xml:space="preserve">, and </w:t>
      </w:r>
      <w:r w:rsidRPr="00AA181C">
        <w:rPr>
          <w:rFonts w:ascii="Times New Roman" w:hAnsi="Times New Roman" w:cs="Times New Roman"/>
          <w:i/>
          <w:iCs/>
          <w:sz w:val="24"/>
          <w:szCs w:val="24"/>
        </w:rPr>
        <w:t>Streptomyces</w:t>
      </w:r>
      <w:r w:rsidRPr="00AA181C">
        <w:rPr>
          <w:rFonts w:ascii="Times New Roman" w:hAnsi="Times New Roman" w:cs="Times New Roman"/>
          <w:sz w:val="24"/>
          <w:szCs w:val="24"/>
        </w:rPr>
        <w:t xml:space="preserve"> spp. suppress diseases via mechanisms such as mycoparasitism, antibiosis, nutrient competition, and induced systemic resistance (ISR). </w:t>
      </w:r>
      <w:r w:rsidRPr="00AA181C">
        <w:rPr>
          <w:rFonts w:ascii="Times New Roman" w:hAnsi="Times New Roman" w:cs="Times New Roman"/>
          <w:i/>
          <w:iCs/>
          <w:sz w:val="24"/>
          <w:szCs w:val="24"/>
        </w:rPr>
        <w:t>Trichoderma</w:t>
      </w:r>
      <w:r w:rsidRPr="00AA181C">
        <w:rPr>
          <w:rFonts w:ascii="Times New Roman" w:hAnsi="Times New Roman" w:cs="Times New Roman"/>
          <w:sz w:val="24"/>
          <w:szCs w:val="24"/>
        </w:rPr>
        <w:t xml:space="preserve"> species produce cell wall–degrading enzymes like </w:t>
      </w:r>
      <w:proofErr w:type="spellStart"/>
      <w:r w:rsidRPr="00AA181C">
        <w:rPr>
          <w:rFonts w:ascii="Times New Roman" w:hAnsi="Times New Roman" w:cs="Times New Roman"/>
          <w:sz w:val="24"/>
          <w:szCs w:val="24"/>
        </w:rPr>
        <w:t>chitinases</w:t>
      </w:r>
      <w:proofErr w:type="spellEnd"/>
      <w:r w:rsidRPr="00AA181C">
        <w:rPr>
          <w:rFonts w:ascii="Times New Roman" w:hAnsi="Times New Roman" w:cs="Times New Roman"/>
          <w:sz w:val="24"/>
          <w:szCs w:val="24"/>
        </w:rPr>
        <w:t xml:space="preserve"> and </w:t>
      </w:r>
      <w:proofErr w:type="spellStart"/>
      <w:r w:rsidRPr="00AA181C">
        <w:rPr>
          <w:rFonts w:ascii="Times New Roman" w:hAnsi="Times New Roman" w:cs="Times New Roman"/>
          <w:sz w:val="24"/>
          <w:szCs w:val="24"/>
        </w:rPr>
        <w:t>glucanases</w:t>
      </w:r>
      <w:proofErr w:type="spellEnd"/>
      <w:r w:rsidRPr="00AA181C">
        <w:rPr>
          <w:rFonts w:ascii="Times New Roman" w:hAnsi="Times New Roman" w:cs="Times New Roman"/>
          <w:sz w:val="24"/>
          <w:szCs w:val="24"/>
        </w:rPr>
        <w:t xml:space="preserve"> that break down pathogen structures, reducing pathogen loads by 40–70</w:t>
      </w:r>
      <w:r w:rsidR="00685BE9">
        <w:rPr>
          <w:rFonts w:ascii="Times New Roman" w:hAnsi="Times New Roman" w:cs="Times New Roman"/>
          <w:sz w:val="24"/>
          <w:szCs w:val="24"/>
        </w:rPr>
        <w:t>% in multiple cropping systems</w:t>
      </w:r>
      <w:r w:rsidRPr="00AA181C">
        <w:rPr>
          <w:rFonts w:ascii="Times New Roman" w:hAnsi="Times New Roman" w:cs="Times New Roman"/>
          <w:sz w:val="24"/>
          <w:szCs w:val="24"/>
        </w:rPr>
        <w:t xml:space="preserve">. </w:t>
      </w:r>
      <w:r w:rsidRPr="00AA181C">
        <w:rPr>
          <w:rFonts w:ascii="Times New Roman" w:hAnsi="Times New Roman" w:cs="Times New Roman"/>
          <w:i/>
          <w:iCs/>
          <w:sz w:val="24"/>
          <w:szCs w:val="24"/>
        </w:rPr>
        <w:t>Pseudomonas</w:t>
      </w:r>
      <w:r w:rsidRPr="00AA181C">
        <w:rPr>
          <w:rFonts w:ascii="Times New Roman" w:hAnsi="Times New Roman" w:cs="Times New Roman"/>
          <w:sz w:val="24"/>
          <w:szCs w:val="24"/>
        </w:rPr>
        <w:t xml:space="preserve"> and </w:t>
      </w:r>
      <w:r w:rsidRPr="00AA181C">
        <w:rPr>
          <w:rFonts w:ascii="Times New Roman" w:hAnsi="Times New Roman" w:cs="Times New Roman"/>
          <w:i/>
          <w:iCs/>
          <w:sz w:val="24"/>
          <w:szCs w:val="24"/>
        </w:rPr>
        <w:t>Bacillus</w:t>
      </w:r>
      <w:r w:rsidRPr="00AA181C">
        <w:rPr>
          <w:rFonts w:ascii="Times New Roman" w:hAnsi="Times New Roman" w:cs="Times New Roman"/>
          <w:sz w:val="24"/>
          <w:szCs w:val="24"/>
        </w:rPr>
        <w:t xml:space="preserve"> species produce antibiotics (e.g., </w:t>
      </w:r>
      <w:proofErr w:type="spellStart"/>
      <w:r w:rsidRPr="00AA181C">
        <w:rPr>
          <w:rFonts w:ascii="Times New Roman" w:hAnsi="Times New Roman" w:cs="Times New Roman"/>
          <w:sz w:val="24"/>
          <w:szCs w:val="24"/>
        </w:rPr>
        <w:t>pyoluteorin</w:t>
      </w:r>
      <w:proofErr w:type="spellEnd"/>
      <w:r w:rsidRPr="00AA181C">
        <w:rPr>
          <w:rFonts w:ascii="Times New Roman" w:hAnsi="Times New Roman" w:cs="Times New Roman"/>
          <w:sz w:val="24"/>
          <w:szCs w:val="24"/>
        </w:rPr>
        <w:t xml:space="preserve">, 2,4-DAPG, </w:t>
      </w:r>
      <w:proofErr w:type="spellStart"/>
      <w:r w:rsidRPr="00AA181C">
        <w:rPr>
          <w:rFonts w:ascii="Times New Roman" w:hAnsi="Times New Roman" w:cs="Times New Roman"/>
          <w:sz w:val="24"/>
          <w:szCs w:val="24"/>
        </w:rPr>
        <w:t>bacillomycin</w:t>
      </w:r>
      <w:proofErr w:type="spellEnd"/>
      <w:r w:rsidRPr="00AA181C">
        <w:rPr>
          <w:rFonts w:ascii="Times New Roman" w:hAnsi="Times New Roman" w:cs="Times New Roman"/>
          <w:sz w:val="24"/>
          <w:szCs w:val="24"/>
        </w:rPr>
        <w:t xml:space="preserve">, </w:t>
      </w:r>
      <w:proofErr w:type="spellStart"/>
      <w:r w:rsidRPr="00AA181C">
        <w:rPr>
          <w:rFonts w:ascii="Times New Roman" w:hAnsi="Times New Roman" w:cs="Times New Roman"/>
          <w:sz w:val="24"/>
          <w:szCs w:val="24"/>
        </w:rPr>
        <w:t>zwittermicin</w:t>
      </w:r>
      <w:proofErr w:type="spellEnd"/>
      <w:r w:rsidRPr="00AA181C">
        <w:rPr>
          <w:rFonts w:ascii="Times New Roman" w:hAnsi="Times New Roman" w:cs="Times New Roman"/>
          <w:sz w:val="24"/>
          <w:szCs w:val="24"/>
        </w:rPr>
        <w:t>) and siderophores that restrict pathogen proliferation by disrupting iron acquisition and inhibiting spore germination. Studies report 30–60% reduction in root rot, damping-off, and wilt incidence in vegetables and cereals when biocontrol agents are incorporated into integrat</w:t>
      </w:r>
      <w:r w:rsidR="00685BE9">
        <w:rPr>
          <w:rFonts w:ascii="Times New Roman" w:hAnsi="Times New Roman" w:cs="Times New Roman"/>
          <w:sz w:val="24"/>
          <w:szCs w:val="24"/>
        </w:rPr>
        <w:t>ed disease management programs</w:t>
      </w:r>
      <w:r w:rsidRPr="00AA181C">
        <w:rPr>
          <w:rFonts w:ascii="Times New Roman" w:hAnsi="Times New Roman" w:cs="Times New Roman"/>
          <w:sz w:val="24"/>
          <w:szCs w:val="24"/>
        </w:rPr>
        <w:t xml:space="preserve">. Actinomycetes such as </w:t>
      </w:r>
      <w:r w:rsidRPr="00AA181C">
        <w:rPr>
          <w:rFonts w:ascii="Times New Roman" w:hAnsi="Times New Roman" w:cs="Times New Roman"/>
          <w:i/>
          <w:iCs/>
          <w:sz w:val="24"/>
          <w:szCs w:val="24"/>
        </w:rPr>
        <w:t>Streptomyces</w:t>
      </w:r>
      <w:r w:rsidRPr="00AA181C">
        <w:rPr>
          <w:rFonts w:ascii="Times New Roman" w:hAnsi="Times New Roman" w:cs="Times New Roman"/>
          <w:sz w:val="24"/>
          <w:szCs w:val="24"/>
        </w:rPr>
        <w:t xml:space="preserve"> release antifungal compounds including streptomycin and polyene macrolides that suppress soilborne fungi while also enhancing root growth. Soil amendments such as compost, vermicompost, and biochar enrich beneficial microflora, promoting disease-suppressive soils characterized by high enzymatic activity and microbial diversity. Biocontrol-based strategies offer long-term, ecologically safe solutions that strengthen soil resilience and reduce reliance on chemical pesticides.</w:t>
      </w:r>
    </w:p>
    <w:p w14:paraId="0AE502E3" w14:textId="77777777" w:rsidR="00B70673" w:rsidRPr="00390666" w:rsidRDefault="00B70673" w:rsidP="00BB0396">
      <w:pPr>
        <w:jc w:val="both"/>
        <w:rPr>
          <w:rFonts w:ascii="Times New Roman" w:hAnsi="Times New Roman" w:cs="Times New Roman"/>
          <w:b/>
          <w:bCs/>
          <w:sz w:val="24"/>
          <w:szCs w:val="24"/>
        </w:rPr>
      </w:pPr>
    </w:p>
    <w:p w14:paraId="0EAC8700" w14:textId="77777777" w:rsidR="00D219A3" w:rsidRPr="00D219A3" w:rsidRDefault="00D219A3" w:rsidP="00BB0396">
      <w:pPr>
        <w:jc w:val="both"/>
        <w:rPr>
          <w:rFonts w:ascii="Times New Roman" w:hAnsi="Times New Roman" w:cs="Times New Roman"/>
          <w:sz w:val="24"/>
          <w:szCs w:val="24"/>
        </w:rPr>
      </w:pPr>
      <w:r w:rsidRPr="00D219A3">
        <w:rPr>
          <w:rFonts w:ascii="Times New Roman" w:hAnsi="Times New Roman" w:cs="Times New Roman"/>
          <w:b/>
          <w:bCs/>
          <w:sz w:val="24"/>
          <w:szCs w:val="24"/>
        </w:rPr>
        <w:t>VIII. Technological and Digital Innovations</w:t>
      </w:r>
    </w:p>
    <w:p w14:paraId="0BC3B7E3" w14:textId="77777777" w:rsidR="00D219A3" w:rsidRPr="00D219A3" w:rsidRDefault="00D219A3" w:rsidP="00BB0396">
      <w:pPr>
        <w:jc w:val="both"/>
        <w:rPr>
          <w:rFonts w:ascii="Times New Roman" w:hAnsi="Times New Roman" w:cs="Times New Roman"/>
          <w:sz w:val="24"/>
          <w:szCs w:val="24"/>
        </w:rPr>
      </w:pPr>
      <w:r w:rsidRPr="00D219A3">
        <w:rPr>
          <w:rFonts w:ascii="Times New Roman" w:hAnsi="Times New Roman" w:cs="Times New Roman"/>
          <w:b/>
          <w:bCs/>
          <w:i/>
          <w:iCs/>
          <w:sz w:val="24"/>
          <w:szCs w:val="24"/>
        </w:rPr>
        <w:t>Soil sensors and real-time monitoring</w:t>
      </w:r>
      <w:r w:rsidRPr="00D219A3">
        <w:rPr>
          <w:rFonts w:ascii="Times New Roman" w:hAnsi="Times New Roman" w:cs="Times New Roman"/>
          <w:sz w:val="24"/>
          <w:szCs w:val="24"/>
        </w:rPr>
        <w:br/>
        <w:t>Soil sensors and real-time monitoring technologies have transformed agronomic decision-making by generating continuous, high-resolution data on moisture, temperature, salinity</w:t>
      </w:r>
      <w:r w:rsidR="00F16934">
        <w:rPr>
          <w:rFonts w:ascii="Times New Roman" w:hAnsi="Times New Roman" w:cs="Times New Roman"/>
          <w:sz w:val="24"/>
          <w:szCs w:val="24"/>
        </w:rPr>
        <w:t xml:space="preserve">, pH, and nutrient availability (Fan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2022).</w:t>
      </w:r>
      <w:r w:rsidRPr="00D219A3">
        <w:rPr>
          <w:rFonts w:ascii="Times New Roman" w:hAnsi="Times New Roman" w:cs="Times New Roman"/>
          <w:sz w:val="24"/>
          <w:szCs w:val="24"/>
        </w:rPr>
        <w:t xml:space="preserve"> Electronic sensors such as time-domain reflectometry (TDR), capacitance probes, and frequency-domain sensors provide soil moisture readings with ±2–3% accuracy, enabling</w:t>
      </w:r>
      <w:r w:rsidR="00685BE9">
        <w:rPr>
          <w:rFonts w:ascii="Times New Roman" w:hAnsi="Times New Roman" w:cs="Times New Roman"/>
          <w:sz w:val="24"/>
          <w:szCs w:val="24"/>
        </w:rPr>
        <w:t xml:space="preserve"> precise irrigation scheduling</w:t>
      </w:r>
      <w:r w:rsidRPr="00D219A3">
        <w:rPr>
          <w:rFonts w:ascii="Times New Roman" w:hAnsi="Times New Roman" w:cs="Times New Roman"/>
          <w:sz w:val="24"/>
          <w:szCs w:val="24"/>
        </w:rPr>
        <w:t>. Ion-selective electrodes (ISEs) quantify nitrate, potassium, and phosphate concentrations directly in the soil solution, offering near real-time nutrient diagnostics. Studies indicate that sensor-guided irrigation reduces water use by 20–40% while increasing water-use efficiency by 25–35% in crops such a</w:t>
      </w:r>
      <w:r w:rsidR="00685BE9">
        <w:rPr>
          <w:rFonts w:ascii="Times New Roman" w:hAnsi="Times New Roman" w:cs="Times New Roman"/>
          <w:sz w:val="24"/>
          <w:szCs w:val="24"/>
        </w:rPr>
        <w:t>s wheat, maize, and vegetables</w:t>
      </w:r>
      <w:r w:rsidRPr="00D219A3">
        <w:rPr>
          <w:rFonts w:ascii="Times New Roman" w:hAnsi="Times New Roman" w:cs="Times New Roman"/>
          <w:sz w:val="24"/>
          <w:szCs w:val="24"/>
        </w:rPr>
        <w:t xml:space="preserve">. Integrated soil sensor networks connected through IoT platforms monitor soil–plant–atmosphere interactions at fine scales, providing alerts for moisture deficits, salinity </w:t>
      </w:r>
      <w:proofErr w:type="spellStart"/>
      <w:r w:rsidRPr="00D219A3">
        <w:rPr>
          <w:rFonts w:ascii="Times New Roman" w:hAnsi="Times New Roman" w:cs="Times New Roman"/>
          <w:sz w:val="24"/>
          <w:szCs w:val="24"/>
        </w:rPr>
        <w:t>buildup</w:t>
      </w:r>
      <w:proofErr w:type="spellEnd"/>
      <w:r w:rsidRPr="00D219A3">
        <w:rPr>
          <w:rFonts w:ascii="Times New Roman" w:hAnsi="Times New Roman" w:cs="Times New Roman"/>
          <w:sz w:val="24"/>
          <w:szCs w:val="24"/>
        </w:rPr>
        <w:t xml:space="preserve">, and nutrient imbalances. Wireless sensor </w:t>
      </w:r>
      <w:r w:rsidRPr="00D219A3">
        <w:rPr>
          <w:rFonts w:ascii="Times New Roman" w:hAnsi="Times New Roman" w:cs="Times New Roman"/>
          <w:sz w:val="24"/>
          <w:szCs w:val="24"/>
        </w:rPr>
        <w:lastRenderedPageBreak/>
        <w:t xml:space="preserve">networks (WSNs) using </w:t>
      </w:r>
      <w:proofErr w:type="spellStart"/>
      <w:r w:rsidRPr="00D219A3">
        <w:rPr>
          <w:rFonts w:ascii="Times New Roman" w:hAnsi="Times New Roman" w:cs="Times New Roman"/>
          <w:sz w:val="24"/>
          <w:szCs w:val="24"/>
        </w:rPr>
        <w:t>LoRaWAN</w:t>
      </w:r>
      <w:proofErr w:type="spellEnd"/>
      <w:r w:rsidRPr="00D219A3">
        <w:rPr>
          <w:rFonts w:ascii="Times New Roman" w:hAnsi="Times New Roman" w:cs="Times New Roman"/>
          <w:sz w:val="24"/>
          <w:szCs w:val="24"/>
        </w:rPr>
        <w:t xml:space="preserve"> and ZigBee protocols enable large-scale deployment, with communication ranges exceeding 2–10 km and battery lifespans of 3–7 years. Real-time monitoring supports predictive irrigation models, fertigation optimization, and adaptive crop management, contributing to sustainable input use and enhanced productivity.</w:t>
      </w:r>
    </w:p>
    <w:p w14:paraId="6E722B5F" w14:textId="77777777" w:rsidR="00D219A3" w:rsidRPr="00D219A3" w:rsidRDefault="00D219A3" w:rsidP="00BB0396">
      <w:pPr>
        <w:jc w:val="both"/>
        <w:rPr>
          <w:rFonts w:ascii="Times New Roman" w:hAnsi="Times New Roman" w:cs="Times New Roman"/>
          <w:sz w:val="24"/>
          <w:szCs w:val="24"/>
        </w:rPr>
      </w:pPr>
      <w:r w:rsidRPr="00D219A3">
        <w:rPr>
          <w:rFonts w:ascii="Times New Roman" w:hAnsi="Times New Roman" w:cs="Times New Roman"/>
          <w:b/>
          <w:bCs/>
          <w:i/>
          <w:iCs/>
          <w:sz w:val="24"/>
          <w:szCs w:val="24"/>
        </w:rPr>
        <w:t>GIS, remote sensing, and digital soil mapping</w:t>
      </w:r>
      <w:r w:rsidRPr="00D219A3">
        <w:rPr>
          <w:rFonts w:ascii="Times New Roman" w:hAnsi="Times New Roman" w:cs="Times New Roman"/>
          <w:sz w:val="24"/>
          <w:szCs w:val="24"/>
        </w:rPr>
        <w:br/>
        <w:t>Geographic Information Systems (GIS), remote sensing technologies, and digital soil mapping (DSM) have accelerated the assessment of soil variability, landscape dynamics, and nutrient distribution. Satellite platforms such as Landsat, Sentinel-2, and MODIS generate multispectral and hyperspectral imagery that detect soil attributes including organic matter, moisture, salinity, and texture usin</w:t>
      </w:r>
      <w:r w:rsidR="00685BE9">
        <w:rPr>
          <w:rFonts w:ascii="Times New Roman" w:hAnsi="Times New Roman" w:cs="Times New Roman"/>
          <w:sz w:val="24"/>
          <w:szCs w:val="24"/>
        </w:rPr>
        <w:t>g spectral reflectance indices</w:t>
      </w:r>
      <w:r w:rsidRPr="00D219A3">
        <w:rPr>
          <w:rFonts w:ascii="Times New Roman" w:hAnsi="Times New Roman" w:cs="Times New Roman"/>
          <w:sz w:val="24"/>
          <w:szCs w:val="24"/>
        </w:rPr>
        <w:t xml:space="preserve">. High-resolution remote sensing identifies spatial heterogeneity at 10–30 m resolution, guiding variable-rate application of fertilizers and amendments. DSM integrates field observations, terrain attributes, land-use patterns, and geostatistical models to produce soil property maps at regional and farm scales. Studies show that DSM improves prediction accuracy of soil organic carbon, clay content, and pH by 20–45% compared with conventional mapping. Unmanned aerial vehicles (UAVs) equipped with multispectral cameras capture crop canopy temperature, NDVI, and water stress patterns at </w:t>
      </w:r>
      <w:proofErr w:type="spellStart"/>
      <w:r w:rsidRPr="00D219A3">
        <w:rPr>
          <w:rFonts w:ascii="Times New Roman" w:hAnsi="Times New Roman" w:cs="Times New Roman"/>
          <w:sz w:val="24"/>
          <w:szCs w:val="24"/>
        </w:rPr>
        <w:t>centimeter</w:t>
      </w:r>
      <w:proofErr w:type="spellEnd"/>
      <w:r w:rsidRPr="00D219A3">
        <w:rPr>
          <w:rFonts w:ascii="Times New Roman" w:hAnsi="Times New Roman" w:cs="Times New Roman"/>
          <w:sz w:val="24"/>
          <w:szCs w:val="24"/>
        </w:rPr>
        <w:t>-scale resolution. These data enhance precision agriculture strategies by identifying nutrient-deficient zones, irrigation hotspots, and soil degradation areas. GIS-based spatial models support soil conservation planning, erosion risk assessment, and suitability analysis, enabling farmers and planners to allocate resources efficiently.</w:t>
      </w:r>
    </w:p>
    <w:p w14:paraId="2CF6C649" w14:textId="77777777" w:rsidR="00D219A3" w:rsidRPr="00D219A3" w:rsidRDefault="00D219A3" w:rsidP="00BB0396">
      <w:pPr>
        <w:jc w:val="both"/>
        <w:rPr>
          <w:rFonts w:ascii="Times New Roman" w:hAnsi="Times New Roman" w:cs="Times New Roman"/>
          <w:sz w:val="24"/>
          <w:szCs w:val="24"/>
        </w:rPr>
      </w:pPr>
      <w:r w:rsidRPr="00D219A3">
        <w:rPr>
          <w:rFonts w:ascii="Times New Roman" w:hAnsi="Times New Roman" w:cs="Times New Roman"/>
          <w:b/>
          <w:bCs/>
          <w:i/>
          <w:iCs/>
          <w:sz w:val="24"/>
          <w:szCs w:val="24"/>
        </w:rPr>
        <w:t>AI-based decision support systems for soil and crop management</w:t>
      </w:r>
      <w:r w:rsidRPr="00D219A3">
        <w:rPr>
          <w:rFonts w:ascii="Times New Roman" w:hAnsi="Times New Roman" w:cs="Times New Roman"/>
          <w:sz w:val="24"/>
          <w:szCs w:val="24"/>
        </w:rPr>
        <w:br/>
        <w:t>Artificial intelligence (AI) and machine learning (ML) have revolutionized soil and crop management through predictive analytics, pattern recognition,</w:t>
      </w:r>
      <w:r w:rsidR="00F16934">
        <w:rPr>
          <w:rFonts w:ascii="Times New Roman" w:hAnsi="Times New Roman" w:cs="Times New Roman"/>
          <w:sz w:val="24"/>
          <w:szCs w:val="24"/>
        </w:rPr>
        <w:t xml:space="preserve"> and real-time decision support (Dawn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2023).</w:t>
      </w:r>
      <w:r w:rsidRPr="00D219A3">
        <w:rPr>
          <w:rFonts w:ascii="Times New Roman" w:hAnsi="Times New Roman" w:cs="Times New Roman"/>
          <w:sz w:val="24"/>
          <w:szCs w:val="24"/>
        </w:rPr>
        <w:t xml:space="preserve"> AI-driven models integrate multi-source datasets—including sensor outputs, satellite imagery, weather forecasts, and soil laboratory data—to optimize nutrient management, irrigation scheduling, pest prediction, and yield forecasting. ML algorithms such as random forests, support vector machines, and deep neural networks achieve 80–95% accuracy in predicting soil moisture, nutrient defic</w:t>
      </w:r>
      <w:r w:rsidR="00685BE9">
        <w:rPr>
          <w:rFonts w:ascii="Times New Roman" w:hAnsi="Times New Roman" w:cs="Times New Roman"/>
          <w:sz w:val="24"/>
          <w:szCs w:val="24"/>
        </w:rPr>
        <w:t>iencies, and disease outbreaks</w:t>
      </w:r>
      <w:r w:rsidRPr="00D219A3">
        <w:rPr>
          <w:rFonts w:ascii="Times New Roman" w:hAnsi="Times New Roman" w:cs="Times New Roman"/>
          <w:sz w:val="24"/>
          <w:szCs w:val="24"/>
        </w:rPr>
        <w:t xml:space="preserve">. Decision support systems (DSS) such as DSSAT, APSIM, and Climate </w:t>
      </w:r>
      <w:proofErr w:type="spellStart"/>
      <w:r w:rsidRPr="00D219A3">
        <w:rPr>
          <w:rFonts w:ascii="Times New Roman" w:hAnsi="Times New Roman" w:cs="Times New Roman"/>
          <w:sz w:val="24"/>
          <w:szCs w:val="24"/>
        </w:rPr>
        <w:t>FieldView</w:t>
      </w:r>
      <w:proofErr w:type="spellEnd"/>
      <w:r w:rsidRPr="00D219A3">
        <w:rPr>
          <w:rFonts w:ascii="Times New Roman" w:hAnsi="Times New Roman" w:cs="Times New Roman"/>
          <w:sz w:val="24"/>
          <w:szCs w:val="24"/>
        </w:rPr>
        <w:t xml:space="preserve"> combine crop simulation models with AI tools to generate recommendations on sowing dates, fertilizer rates, and irrigation timing. AI-enabled nutrient optimization platforms reduce nitrogen application by 10–25% while maintaining or increasing yields by incorporating rea</w:t>
      </w:r>
      <w:r w:rsidR="00685BE9">
        <w:rPr>
          <w:rFonts w:ascii="Times New Roman" w:hAnsi="Times New Roman" w:cs="Times New Roman"/>
          <w:sz w:val="24"/>
          <w:szCs w:val="24"/>
        </w:rPr>
        <w:t>l-time plant and soil feedback</w:t>
      </w:r>
      <w:r w:rsidRPr="00D219A3">
        <w:rPr>
          <w:rFonts w:ascii="Times New Roman" w:hAnsi="Times New Roman" w:cs="Times New Roman"/>
          <w:sz w:val="24"/>
          <w:szCs w:val="24"/>
        </w:rPr>
        <w:t>. Digital twin technologies create virtual replicas of crop fields, allowing users to simulate management scenarios and evaluate the outcomes before implementing them physically. Chatbot-based advisory systems, powered by natural language processing, provide instant agronomic guidance and strengthen farmer decision-making capacity. These AI-based innovations enhance resilience, improve resource-use efficiency, and support data-driven sustainable agriculture.</w:t>
      </w:r>
    </w:p>
    <w:p w14:paraId="1221B238" w14:textId="77777777" w:rsidR="00B70673" w:rsidRPr="00390666" w:rsidRDefault="00B70673" w:rsidP="00BB0396">
      <w:pPr>
        <w:jc w:val="both"/>
        <w:rPr>
          <w:rFonts w:ascii="Times New Roman" w:hAnsi="Times New Roman" w:cs="Times New Roman"/>
          <w:b/>
          <w:bCs/>
          <w:sz w:val="24"/>
          <w:szCs w:val="24"/>
        </w:rPr>
      </w:pPr>
    </w:p>
    <w:p w14:paraId="31BEBDB3" w14:textId="77777777" w:rsidR="007C3170" w:rsidRPr="007C3170" w:rsidRDefault="007C3170" w:rsidP="00BB0396">
      <w:pPr>
        <w:jc w:val="both"/>
        <w:rPr>
          <w:rFonts w:ascii="Times New Roman" w:hAnsi="Times New Roman" w:cs="Times New Roman"/>
          <w:sz w:val="24"/>
          <w:szCs w:val="24"/>
        </w:rPr>
      </w:pPr>
      <w:r w:rsidRPr="007C3170">
        <w:rPr>
          <w:rFonts w:ascii="Times New Roman" w:hAnsi="Times New Roman" w:cs="Times New Roman"/>
          <w:b/>
          <w:bCs/>
          <w:sz w:val="24"/>
          <w:szCs w:val="24"/>
        </w:rPr>
        <w:lastRenderedPageBreak/>
        <w:t>IX. Climate-Smart Agronomic Practices</w:t>
      </w:r>
    </w:p>
    <w:p w14:paraId="7D804E12" w14:textId="77777777" w:rsidR="007C3170" w:rsidRPr="007C3170" w:rsidRDefault="007C3170" w:rsidP="00BB0396">
      <w:pPr>
        <w:jc w:val="both"/>
        <w:rPr>
          <w:rFonts w:ascii="Times New Roman" w:hAnsi="Times New Roman" w:cs="Times New Roman"/>
          <w:sz w:val="24"/>
          <w:szCs w:val="24"/>
        </w:rPr>
      </w:pPr>
      <w:r w:rsidRPr="007C3170">
        <w:rPr>
          <w:rFonts w:ascii="Times New Roman" w:hAnsi="Times New Roman" w:cs="Times New Roman"/>
          <w:b/>
          <w:bCs/>
          <w:i/>
          <w:iCs/>
          <w:sz w:val="24"/>
          <w:szCs w:val="24"/>
        </w:rPr>
        <w:t>Climate-resilient crops, varieties, and farming systems</w:t>
      </w:r>
      <w:r w:rsidRPr="007C3170">
        <w:rPr>
          <w:rFonts w:ascii="Times New Roman" w:hAnsi="Times New Roman" w:cs="Times New Roman"/>
          <w:sz w:val="24"/>
          <w:szCs w:val="24"/>
        </w:rPr>
        <w:br/>
        <w:t xml:space="preserve">Climate-resilient crops and varieties are selected or bred to withstand extreme temperatures, drought, salinity, flooding, and </w:t>
      </w:r>
      <w:r w:rsidR="00F16934">
        <w:rPr>
          <w:rFonts w:ascii="Times New Roman" w:hAnsi="Times New Roman" w:cs="Times New Roman"/>
          <w:sz w:val="24"/>
          <w:szCs w:val="24"/>
        </w:rPr>
        <w:t xml:space="preserve">emerging pest–disease pressures (Hafeez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2023).</w:t>
      </w:r>
      <w:r w:rsidRPr="007C3170">
        <w:rPr>
          <w:rFonts w:ascii="Times New Roman" w:hAnsi="Times New Roman" w:cs="Times New Roman"/>
          <w:sz w:val="24"/>
          <w:szCs w:val="24"/>
        </w:rPr>
        <w:t xml:space="preserve"> Stress-tolerant cultivars of sorghum, millets, maize, and rice display higher survivability due to deeper rooting systems, osmotic adjustment, and heat-shock protein accumulation. Research shows that drought-tolerant maize cultivars yield 15–35% more grain under limited moisture comp</w:t>
      </w:r>
      <w:r w:rsidR="00685BE9">
        <w:rPr>
          <w:rFonts w:ascii="Times New Roman" w:hAnsi="Times New Roman" w:cs="Times New Roman"/>
          <w:sz w:val="24"/>
          <w:szCs w:val="24"/>
        </w:rPr>
        <w:t>ared with conventional hybrids</w:t>
      </w:r>
      <w:r w:rsidRPr="007C3170">
        <w:rPr>
          <w:rFonts w:ascii="Times New Roman" w:hAnsi="Times New Roman" w:cs="Times New Roman"/>
          <w:sz w:val="24"/>
          <w:szCs w:val="24"/>
        </w:rPr>
        <w:t xml:space="preserve">. Salt-tolerant rice varieties such as IRRI-developed lines exhibit 2–4 </w:t>
      </w:r>
      <w:proofErr w:type="spellStart"/>
      <w:r w:rsidRPr="007C3170">
        <w:rPr>
          <w:rFonts w:ascii="Times New Roman" w:hAnsi="Times New Roman" w:cs="Times New Roman"/>
          <w:sz w:val="24"/>
          <w:szCs w:val="24"/>
        </w:rPr>
        <w:t>dS</w:t>
      </w:r>
      <w:proofErr w:type="spellEnd"/>
      <w:r w:rsidRPr="007C3170">
        <w:rPr>
          <w:rFonts w:ascii="Times New Roman" w:hAnsi="Times New Roman" w:cs="Times New Roman"/>
          <w:sz w:val="24"/>
          <w:szCs w:val="24"/>
        </w:rPr>
        <w:t xml:space="preserve"> m⁻¹ higher salinity tolerance attributed to enhanced ion homeostasi</w:t>
      </w:r>
      <w:r w:rsidR="00685BE9">
        <w:rPr>
          <w:rFonts w:ascii="Times New Roman" w:hAnsi="Times New Roman" w:cs="Times New Roman"/>
          <w:sz w:val="24"/>
          <w:szCs w:val="24"/>
        </w:rPr>
        <w:t>s and Na⁺ exclusion mechanisms</w:t>
      </w:r>
      <w:r w:rsidRPr="007C3170">
        <w:rPr>
          <w:rFonts w:ascii="Times New Roman" w:hAnsi="Times New Roman" w:cs="Times New Roman"/>
          <w:sz w:val="24"/>
          <w:szCs w:val="24"/>
        </w:rPr>
        <w:t>. Climate-resilient farming systems—including agroforestry, conservation agriculture, mixed farming, and climate-responsive crop rotations—improve ecological stability by diversifying production and spreading climate risk. Agroforestry systems enhance microclimate regulation and soil moisture by increasing canopy cover, reducing temperature fluctuations, and boosting water retention; studies report 20–50% higher soil organic carbon and 15–30% higher productivity i</w:t>
      </w:r>
      <w:r w:rsidR="00685BE9">
        <w:rPr>
          <w:rFonts w:ascii="Times New Roman" w:hAnsi="Times New Roman" w:cs="Times New Roman"/>
          <w:sz w:val="24"/>
          <w:szCs w:val="24"/>
        </w:rPr>
        <w:t>n tree–crop integrated systems</w:t>
      </w:r>
      <w:r w:rsidRPr="007C3170">
        <w:rPr>
          <w:rFonts w:ascii="Times New Roman" w:hAnsi="Times New Roman" w:cs="Times New Roman"/>
          <w:sz w:val="24"/>
          <w:szCs w:val="24"/>
        </w:rPr>
        <w:t>. Conservation agriculture reduces exposure to climate extremes by improving soil structure, boosting moisture retention, and lowering erosion, leading to yield stability gains of 20–40%</w:t>
      </w:r>
      <w:r w:rsidR="00685BE9">
        <w:rPr>
          <w:rFonts w:ascii="Times New Roman" w:hAnsi="Times New Roman" w:cs="Times New Roman"/>
          <w:sz w:val="24"/>
          <w:szCs w:val="24"/>
        </w:rPr>
        <w:t xml:space="preserve"> across multi-year evaluations</w:t>
      </w:r>
      <w:r w:rsidRPr="007C3170">
        <w:rPr>
          <w:rFonts w:ascii="Times New Roman" w:hAnsi="Times New Roman" w:cs="Times New Roman"/>
          <w:sz w:val="24"/>
          <w:szCs w:val="24"/>
        </w:rPr>
        <w:t>. These resilient crops and systems form a foundation for climate-adapted agriculture.</w:t>
      </w:r>
    </w:p>
    <w:p w14:paraId="3E4004C5" w14:textId="77777777" w:rsidR="007C3170" w:rsidRPr="007C3170" w:rsidRDefault="007C3170" w:rsidP="00BB0396">
      <w:pPr>
        <w:jc w:val="both"/>
        <w:rPr>
          <w:rFonts w:ascii="Times New Roman" w:hAnsi="Times New Roman" w:cs="Times New Roman"/>
          <w:sz w:val="24"/>
          <w:szCs w:val="24"/>
        </w:rPr>
      </w:pPr>
      <w:r w:rsidRPr="007C3170">
        <w:rPr>
          <w:rFonts w:ascii="Times New Roman" w:hAnsi="Times New Roman" w:cs="Times New Roman"/>
          <w:b/>
          <w:bCs/>
          <w:i/>
          <w:iCs/>
          <w:sz w:val="24"/>
          <w:szCs w:val="24"/>
        </w:rPr>
        <w:t>Strategies for reducing GHG emissions from agriculture</w:t>
      </w:r>
      <w:r w:rsidRPr="007C3170">
        <w:rPr>
          <w:rFonts w:ascii="Times New Roman" w:hAnsi="Times New Roman" w:cs="Times New Roman"/>
          <w:sz w:val="24"/>
          <w:szCs w:val="24"/>
        </w:rPr>
        <w:br/>
        <w:t xml:space="preserve">Mitigation of greenhouse gas (GHG) emissions from agriculture </w:t>
      </w:r>
      <w:proofErr w:type="spellStart"/>
      <w:r w:rsidRPr="007C3170">
        <w:rPr>
          <w:rFonts w:ascii="Times New Roman" w:hAnsi="Times New Roman" w:cs="Times New Roman"/>
          <w:sz w:val="24"/>
          <w:szCs w:val="24"/>
        </w:rPr>
        <w:t>centers</w:t>
      </w:r>
      <w:proofErr w:type="spellEnd"/>
      <w:r w:rsidRPr="007C3170">
        <w:rPr>
          <w:rFonts w:ascii="Times New Roman" w:hAnsi="Times New Roman" w:cs="Times New Roman"/>
          <w:sz w:val="24"/>
          <w:szCs w:val="24"/>
        </w:rPr>
        <w:t xml:space="preserve"> on optimizing nutrient management, modifying water regimes, enhancing residue management, and i</w:t>
      </w:r>
      <w:r w:rsidR="00F16934">
        <w:rPr>
          <w:rFonts w:ascii="Times New Roman" w:hAnsi="Times New Roman" w:cs="Times New Roman"/>
          <w:sz w:val="24"/>
          <w:szCs w:val="24"/>
        </w:rPr>
        <w:t xml:space="preserve">ntegrating biological solutions (Kwon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2021).</w:t>
      </w:r>
      <w:r w:rsidRPr="007C3170">
        <w:rPr>
          <w:rFonts w:ascii="Times New Roman" w:hAnsi="Times New Roman" w:cs="Times New Roman"/>
          <w:sz w:val="24"/>
          <w:szCs w:val="24"/>
        </w:rPr>
        <w:t xml:space="preserve"> Nitrous oxide (N₂O) emissions decline by 20–40% when balanced fertilization, nitrification inhibitors, slow-release fertilizers, and precision nutrien</w:t>
      </w:r>
      <w:r w:rsidR="00685BE9">
        <w:rPr>
          <w:rFonts w:ascii="Times New Roman" w:hAnsi="Times New Roman" w:cs="Times New Roman"/>
          <w:sz w:val="24"/>
          <w:szCs w:val="24"/>
        </w:rPr>
        <w:t>t delivery systems are adopted</w:t>
      </w:r>
      <w:r w:rsidRPr="007C3170">
        <w:rPr>
          <w:rFonts w:ascii="Times New Roman" w:hAnsi="Times New Roman" w:cs="Times New Roman"/>
          <w:sz w:val="24"/>
          <w:szCs w:val="24"/>
        </w:rPr>
        <w:t>. Alternate wetting and drying (AWD) in paddy cultivation reduces methane (CH₄) emissions by 25–50% while maintaining yields, as intermittent aeration suppresses m</w:t>
      </w:r>
      <w:r w:rsidR="00685BE9">
        <w:rPr>
          <w:rFonts w:ascii="Times New Roman" w:hAnsi="Times New Roman" w:cs="Times New Roman"/>
          <w:sz w:val="24"/>
          <w:szCs w:val="24"/>
        </w:rPr>
        <w:t>ethanogenic microbial activity</w:t>
      </w:r>
      <w:r w:rsidRPr="007C3170">
        <w:rPr>
          <w:rFonts w:ascii="Times New Roman" w:hAnsi="Times New Roman" w:cs="Times New Roman"/>
          <w:sz w:val="24"/>
          <w:szCs w:val="24"/>
        </w:rPr>
        <w:t>. Biochar application reduces N₂O emissions by improving soil aeration and adsorbing ammonium, lowering gaseous losses by 10</w:t>
      </w:r>
      <w:r w:rsidR="00685BE9">
        <w:rPr>
          <w:rFonts w:ascii="Times New Roman" w:hAnsi="Times New Roman" w:cs="Times New Roman"/>
          <w:sz w:val="24"/>
          <w:szCs w:val="24"/>
        </w:rPr>
        <w:t>–30% across various soil types</w:t>
      </w:r>
      <w:r w:rsidRPr="007C3170">
        <w:rPr>
          <w:rFonts w:ascii="Times New Roman" w:hAnsi="Times New Roman" w:cs="Times New Roman"/>
          <w:sz w:val="24"/>
          <w:szCs w:val="24"/>
        </w:rPr>
        <w:t>. Integrating legumes into cropping systems reduces synthetic nitrogen fertilizer demand by 30–70 kg N ha⁻¹, lowering associated emissions from fertilizer manufacture and application. Conservation tillage reduces fuel consumption by 40–60% and decreases CO₂ emissions f</w:t>
      </w:r>
      <w:r w:rsidR="00685BE9">
        <w:rPr>
          <w:rFonts w:ascii="Times New Roman" w:hAnsi="Times New Roman" w:cs="Times New Roman"/>
          <w:sz w:val="24"/>
          <w:szCs w:val="24"/>
        </w:rPr>
        <w:t>rom soil disturbance by 15–25%</w:t>
      </w:r>
      <w:r w:rsidRPr="007C3170">
        <w:rPr>
          <w:rFonts w:ascii="Times New Roman" w:hAnsi="Times New Roman" w:cs="Times New Roman"/>
          <w:sz w:val="24"/>
          <w:szCs w:val="24"/>
        </w:rPr>
        <w:t>. Livestock–crop integration, improved manure composting, and methane capture technologies in livestock systems further reduce emissions. These mitigation pathways collectively strengthen agricultural climate compatibility.</w:t>
      </w:r>
    </w:p>
    <w:p w14:paraId="3903D9B3" w14:textId="77777777" w:rsidR="007C3170" w:rsidRPr="007C3170" w:rsidRDefault="007C3170" w:rsidP="00BB0396">
      <w:pPr>
        <w:jc w:val="both"/>
        <w:rPr>
          <w:rFonts w:ascii="Times New Roman" w:hAnsi="Times New Roman" w:cs="Times New Roman"/>
          <w:sz w:val="24"/>
          <w:szCs w:val="24"/>
        </w:rPr>
      </w:pPr>
      <w:r w:rsidRPr="007C3170">
        <w:rPr>
          <w:rFonts w:ascii="Times New Roman" w:hAnsi="Times New Roman" w:cs="Times New Roman"/>
          <w:b/>
          <w:bCs/>
          <w:i/>
          <w:iCs/>
          <w:sz w:val="24"/>
          <w:szCs w:val="24"/>
        </w:rPr>
        <w:t>Carbon-positive farming models</w:t>
      </w:r>
      <w:r w:rsidRPr="007C3170">
        <w:rPr>
          <w:rFonts w:ascii="Times New Roman" w:hAnsi="Times New Roman" w:cs="Times New Roman"/>
          <w:sz w:val="24"/>
          <w:szCs w:val="24"/>
        </w:rPr>
        <w:br/>
        <w:t xml:space="preserve">Carbon-positive farming aims to enhance net carbon sequestration through biologically driven processes while reducing carbon </w:t>
      </w:r>
      <w:r w:rsidR="00F16934">
        <w:rPr>
          <w:rFonts w:ascii="Times New Roman" w:hAnsi="Times New Roman" w:cs="Times New Roman"/>
          <w:sz w:val="24"/>
          <w:szCs w:val="24"/>
        </w:rPr>
        <w:t xml:space="preserve">losses from soil and vegetation (Reddy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2025).</w:t>
      </w:r>
      <w:r w:rsidRPr="007C3170">
        <w:rPr>
          <w:rFonts w:ascii="Times New Roman" w:hAnsi="Times New Roman" w:cs="Times New Roman"/>
          <w:sz w:val="24"/>
          <w:szCs w:val="24"/>
        </w:rPr>
        <w:t xml:space="preserve"> Carbon-positive models emphasize regenerative agriculture, agroforestry, perennial cropping, cover cropping, compost application, and reduced disturbance. Soil carbon sequestration rates </w:t>
      </w:r>
      <w:r w:rsidRPr="007C3170">
        <w:rPr>
          <w:rFonts w:ascii="Times New Roman" w:hAnsi="Times New Roman" w:cs="Times New Roman"/>
          <w:sz w:val="24"/>
          <w:szCs w:val="24"/>
        </w:rPr>
        <w:lastRenderedPageBreak/>
        <w:t>of 0.3–1.2 t C ha⁻¹ yr⁻¹ are achievable under conservation agriculture with residue</w:t>
      </w:r>
      <w:r w:rsidR="00685BE9">
        <w:rPr>
          <w:rFonts w:ascii="Times New Roman" w:hAnsi="Times New Roman" w:cs="Times New Roman"/>
          <w:sz w:val="24"/>
          <w:szCs w:val="24"/>
        </w:rPr>
        <w:t xml:space="preserve"> retention and minimum tillage</w:t>
      </w:r>
      <w:r w:rsidRPr="007C3170">
        <w:rPr>
          <w:rFonts w:ascii="Times New Roman" w:hAnsi="Times New Roman" w:cs="Times New Roman"/>
          <w:sz w:val="24"/>
          <w:szCs w:val="24"/>
        </w:rPr>
        <w:t xml:space="preserve">. Perennial systems, including </w:t>
      </w:r>
      <w:proofErr w:type="spellStart"/>
      <w:r w:rsidRPr="007C3170">
        <w:rPr>
          <w:rFonts w:ascii="Times New Roman" w:hAnsi="Times New Roman" w:cs="Times New Roman"/>
          <w:sz w:val="24"/>
          <w:szCs w:val="24"/>
        </w:rPr>
        <w:t>silvopasture</w:t>
      </w:r>
      <w:proofErr w:type="spellEnd"/>
      <w:r w:rsidRPr="007C3170">
        <w:rPr>
          <w:rFonts w:ascii="Times New Roman" w:hAnsi="Times New Roman" w:cs="Times New Roman"/>
          <w:sz w:val="24"/>
          <w:szCs w:val="24"/>
        </w:rPr>
        <w:t xml:space="preserve"> and </w:t>
      </w:r>
      <w:proofErr w:type="spellStart"/>
      <w:r w:rsidRPr="007C3170">
        <w:rPr>
          <w:rFonts w:ascii="Times New Roman" w:hAnsi="Times New Roman" w:cs="Times New Roman"/>
          <w:sz w:val="24"/>
          <w:szCs w:val="24"/>
        </w:rPr>
        <w:t>multistrata</w:t>
      </w:r>
      <w:proofErr w:type="spellEnd"/>
      <w:r w:rsidRPr="007C3170">
        <w:rPr>
          <w:rFonts w:ascii="Times New Roman" w:hAnsi="Times New Roman" w:cs="Times New Roman"/>
          <w:sz w:val="24"/>
          <w:szCs w:val="24"/>
        </w:rPr>
        <w:t xml:space="preserve"> agroforestry, store substantially higher carbon in biomass and soil, with sequestration capacities reaching 2–7 t C ha⁻¹ yr⁻¹ de</w:t>
      </w:r>
      <w:r w:rsidR="00685BE9">
        <w:rPr>
          <w:rFonts w:ascii="Times New Roman" w:hAnsi="Times New Roman" w:cs="Times New Roman"/>
          <w:sz w:val="24"/>
          <w:szCs w:val="24"/>
        </w:rPr>
        <w:t>pending on species composition</w:t>
      </w:r>
      <w:r w:rsidRPr="007C3170">
        <w:rPr>
          <w:rFonts w:ascii="Times New Roman" w:hAnsi="Times New Roman" w:cs="Times New Roman"/>
          <w:sz w:val="24"/>
          <w:szCs w:val="24"/>
        </w:rPr>
        <w:t xml:space="preserve">. Cover crops increase root biomass and microbial carbon stabilization processes, contributing 0.3–0.6 t C </w:t>
      </w:r>
      <w:r w:rsidR="00685BE9">
        <w:rPr>
          <w:rFonts w:ascii="Times New Roman" w:hAnsi="Times New Roman" w:cs="Times New Roman"/>
          <w:sz w:val="24"/>
          <w:szCs w:val="24"/>
        </w:rPr>
        <w:t>ha⁻¹ yr⁻¹ to soil carbon pools</w:t>
      </w:r>
      <w:r w:rsidRPr="007C3170">
        <w:rPr>
          <w:rFonts w:ascii="Times New Roman" w:hAnsi="Times New Roman" w:cs="Times New Roman"/>
          <w:sz w:val="24"/>
          <w:szCs w:val="24"/>
        </w:rPr>
        <w:t>. Biochar-based farming models increase long-term carbon stocks due to the recalcitrant nature of biochar carbon, which exhibits residence times exceeding several centuries; soils treated with 5–10 t ha⁻¹ biochar show a 15–30% increase in stable carbon fractions. Carbon-positive systems also support biodiversity, water regulation, and nutrient cycling while improving crop productivity and resilience. These models demonstrate the potential of agriculture to function as a net carbon sink through integrated ecological and agronomic strategies.</w:t>
      </w:r>
    </w:p>
    <w:p w14:paraId="63C38396" w14:textId="77777777" w:rsidR="00B70673" w:rsidRPr="00390666" w:rsidRDefault="00B70673" w:rsidP="00BB0396">
      <w:pPr>
        <w:jc w:val="both"/>
        <w:rPr>
          <w:rFonts w:ascii="Times New Roman" w:hAnsi="Times New Roman" w:cs="Times New Roman"/>
          <w:b/>
          <w:bCs/>
          <w:sz w:val="24"/>
          <w:szCs w:val="24"/>
        </w:rPr>
      </w:pPr>
    </w:p>
    <w:p w14:paraId="5E9C1058" w14:textId="77777777" w:rsidR="00757472" w:rsidRPr="00757472" w:rsidRDefault="00757472" w:rsidP="00BB0396">
      <w:pPr>
        <w:jc w:val="both"/>
        <w:rPr>
          <w:rFonts w:ascii="Times New Roman" w:hAnsi="Times New Roman" w:cs="Times New Roman"/>
          <w:sz w:val="24"/>
          <w:szCs w:val="24"/>
        </w:rPr>
      </w:pPr>
      <w:r w:rsidRPr="00757472">
        <w:rPr>
          <w:rFonts w:ascii="Times New Roman" w:hAnsi="Times New Roman" w:cs="Times New Roman"/>
          <w:b/>
          <w:bCs/>
          <w:sz w:val="24"/>
          <w:szCs w:val="24"/>
        </w:rPr>
        <w:t>X. Sustainable Weed, Pest, and Disease Management</w:t>
      </w:r>
    </w:p>
    <w:p w14:paraId="242BEDAA" w14:textId="77777777" w:rsidR="00757472" w:rsidRPr="00757472" w:rsidRDefault="00757472" w:rsidP="00BB0396">
      <w:pPr>
        <w:jc w:val="both"/>
        <w:rPr>
          <w:rFonts w:ascii="Times New Roman" w:hAnsi="Times New Roman" w:cs="Times New Roman"/>
          <w:sz w:val="24"/>
          <w:szCs w:val="24"/>
        </w:rPr>
      </w:pPr>
      <w:r w:rsidRPr="00757472">
        <w:rPr>
          <w:rFonts w:ascii="Times New Roman" w:hAnsi="Times New Roman" w:cs="Times New Roman"/>
          <w:b/>
          <w:bCs/>
          <w:i/>
          <w:iCs/>
          <w:sz w:val="24"/>
          <w:szCs w:val="24"/>
        </w:rPr>
        <w:t>Ecological weed management</w:t>
      </w:r>
      <w:r w:rsidRPr="00757472">
        <w:rPr>
          <w:rFonts w:ascii="Times New Roman" w:hAnsi="Times New Roman" w:cs="Times New Roman"/>
          <w:sz w:val="24"/>
          <w:szCs w:val="24"/>
        </w:rPr>
        <w:br/>
        <w:t xml:space="preserve">Ecological weed management focuses on regulating weed populations through biological, cultural, and ecological processes rather than relying </w:t>
      </w:r>
      <w:r w:rsidR="00F16934">
        <w:rPr>
          <w:rFonts w:ascii="Times New Roman" w:hAnsi="Times New Roman" w:cs="Times New Roman"/>
          <w:sz w:val="24"/>
          <w:szCs w:val="24"/>
        </w:rPr>
        <w:t xml:space="preserve">solely on synthetic herbicides (Gage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2019). </w:t>
      </w:r>
      <w:r w:rsidRPr="00757472">
        <w:rPr>
          <w:rFonts w:ascii="Times New Roman" w:hAnsi="Times New Roman" w:cs="Times New Roman"/>
          <w:sz w:val="24"/>
          <w:szCs w:val="24"/>
        </w:rPr>
        <w:t>Strategies such as diversified crop rotations, competitive crop cultivars, mulching, cover crops, and conservation tillage modify the soil and canopy environment, reducing the ecological niche available for weeds. Research indicates that diversified rotations lower weed seedbank densities by 35–60% by interrupting weed life cycles and increasing mortalit</w:t>
      </w:r>
      <w:r w:rsidR="00685BE9">
        <w:rPr>
          <w:rFonts w:ascii="Times New Roman" w:hAnsi="Times New Roman" w:cs="Times New Roman"/>
          <w:sz w:val="24"/>
          <w:szCs w:val="24"/>
        </w:rPr>
        <w:t>y of dormant seeds</w:t>
      </w:r>
      <w:r w:rsidRPr="00757472">
        <w:rPr>
          <w:rFonts w:ascii="Times New Roman" w:hAnsi="Times New Roman" w:cs="Times New Roman"/>
          <w:sz w:val="24"/>
          <w:szCs w:val="24"/>
        </w:rPr>
        <w:t>. Cover crops such as rye, sorghum–</w:t>
      </w:r>
      <w:proofErr w:type="spellStart"/>
      <w:r w:rsidRPr="00757472">
        <w:rPr>
          <w:rFonts w:ascii="Times New Roman" w:hAnsi="Times New Roman" w:cs="Times New Roman"/>
          <w:sz w:val="24"/>
          <w:szCs w:val="24"/>
        </w:rPr>
        <w:t>sudangrass</w:t>
      </w:r>
      <w:proofErr w:type="spellEnd"/>
      <w:r w:rsidRPr="00757472">
        <w:rPr>
          <w:rFonts w:ascii="Times New Roman" w:hAnsi="Times New Roman" w:cs="Times New Roman"/>
          <w:sz w:val="24"/>
          <w:szCs w:val="24"/>
        </w:rPr>
        <w:t xml:space="preserve">, and mustard suppress weeds through allelopathic compounds including </w:t>
      </w:r>
      <w:proofErr w:type="spellStart"/>
      <w:r w:rsidRPr="00757472">
        <w:rPr>
          <w:rFonts w:ascii="Times New Roman" w:hAnsi="Times New Roman" w:cs="Times New Roman"/>
          <w:sz w:val="24"/>
          <w:szCs w:val="24"/>
        </w:rPr>
        <w:t>benzoxazinoids</w:t>
      </w:r>
      <w:proofErr w:type="spellEnd"/>
      <w:r w:rsidRPr="00757472">
        <w:rPr>
          <w:rFonts w:ascii="Times New Roman" w:hAnsi="Times New Roman" w:cs="Times New Roman"/>
          <w:sz w:val="24"/>
          <w:szCs w:val="24"/>
        </w:rPr>
        <w:t xml:space="preserve">, </w:t>
      </w:r>
      <w:proofErr w:type="spellStart"/>
      <w:r w:rsidRPr="00757472">
        <w:rPr>
          <w:rFonts w:ascii="Times New Roman" w:hAnsi="Times New Roman" w:cs="Times New Roman"/>
          <w:sz w:val="24"/>
          <w:szCs w:val="24"/>
        </w:rPr>
        <w:t>sorgoleone</w:t>
      </w:r>
      <w:proofErr w:type="spellEnd"/>
      <w:r w:rsidRPr="00757472">
        <w:rPr>
          <w:rFonts w:ascii="Times New Roman" w:hAnsi="Times New Roman" w:cs="Times New Roman"/>
          <w:sz w:val="24"/>
          <w:szCs w:val="24"/>
        </w:rPr>
        <w:t xml:space="preserve">, and </w:t>
      </w:r>
      <w:proofErr w:type="spellStart"/>
      <w:r w:rsidRPr="00757472">
        <w:rPr>
          <w:rFonts w:ascii="Times New Roman" w:hAnsi="Times New Roman" w:cs="Times New Roman"/>
          <w:sz w:val="24"/>
          <w:szCs w:val="24"/>
        </w:rPr>
        <w:t>glucosinolates</w:t>
      </w:r>
      <w:proofErr w:type="spellEnd"/>
      <w:r w:rsidRPr="00757472">
        <w:rPr>
          <w:rFonts w:ascii="Times New Roman" w:hAnsi="Times New Roman" w:cs="Times New Roman"/>
          <w:sz w:val="24"/>
          <w:szCs w:val="24"/>
        </w:rPr>
        <w:t>, reducing weed emergence by 40–80% depending on sp</w:t>
      </w:r>
      <w:r w:rsidR="00685BE9">
        <w:rPr>
          <w:rFonts w:ascii="Times New Roman" w:hAnsi="Times New Roman" w:cs="Times New Roman"/>
          <w:sz w:val="24"/>
          <w:szCs w:val="24"/>
        </w:rPr>
        <w:t>ecies</w:t>
      </w:r>
      <w:r w:rsidRPr="00757472">
        <w:rPr>
          <w:rFonts w:ascii="Times New Roman" w:hAnsi="Times New Roman" w:cs="Times New Roman"/>
          <w:sz w:val="24"/>
          <w:szCs w:val="24"/>
        </w:rPr>
        <w:t xml:space="preserve">. Residue mulching reduces light transmittance at the soil surface, lowering germination rates of light-sensitive weed species by up to 70%, while also preventing soil moisture loss. Conservation tillage systems promote weed–seed predation by soil fauna, resulting in 20–40% reductions in seedbank accumulation. Mechanical tools such as inter-row cultivators, rotary hoes, and precision </w:t>
      </w:r>
      <w:proofErr w:type="spellStart"/>
      <w:r w:rsidRPr="00757472">
        <w:rPr>
          <w:rFonts w:ascii="Times New Roman" w:hAnsi="Times New Roman" w:cs="Times New Roman"/>
          <w:sz w:val="24"/>
          <w:szCs w:val="24"/>
        </w:rPr>
        <w:t>weeders</w:t>
      </w:r>
      <w:proofErr w:type="spellEnd"/>
      <w:r w:rsidRPr="00757472">
        <w:rPr>
          <w:rFonts w:ascii="Times New Roman" w:hAnsi="Times New Roman" w:cs="Times New Roman"/>
          <w:sz w:val="24"/>
          <w:szCs w:val="24"/>
        </w:rPr>
        <w:t xml:space="preserve"> guided by machine vision further complement ecological approaches. These practices create suppressive environments that reduce herbicide dependency and improve sustainability.</w:t>
      </w:r>
    </w:p>
    <w:p w14:paraId="4449699A" w14:textId="77777777" w:rsidR="00757472" w:rsidRPr="00757472" w:rsidRDefault="00757472" w:rsidP="00BB0396">
      <w:pPr>
        <w:jc w:val="both"/>
        <w:rPr>
          <w:rFonts w:ascii="Times New Roman" w:hAnsi="Times New Roman" w:cs="Times New Roman"/>
          <w:sz w:val="24"/>
          <w:szCs w:val="24"/>
        </w:rPr>
      </w:pPr>
      <w:r w:rsidRPr="00757472">
        <w:rPr>
          <w:rFonts w:ascii="Times New Roman" w:hAnsi="Times New Roman" w:cs="Times New Roman"/>
          <w:b/>
          <w:bCs/>
          <w:i/>
          <w:iCs/>
          <w:sz w:val="24"/>
          <w:szCs w:val="24"/>
        </w:rPr>
        <w:t>Integrated Pest and Disease Management (IPM/IDM)</w:t>
      </w:r>
      <w:r w:rsidRPr="00757472">
        <w:rPr>
          <w:rFonts w:ascii="Times New Roman" w:hAnsi="Times New Roman" w:cs="Times New Roman"/>
          <w:sz w:val="24"/>
          <w:szCs w:val="24"/>
        </w:rPr>
        <w:br/>
        <w:t>IPM and IDM rely on the coordinated use of biological controls, resistant varieties, agronomic adjustments, monitoring tools, and s</w:t>
      </w:r>
      <w:r w:rsidR="00F16934">
        <w:rPr>
          <w:rFonts w:ascii="Times New Roman" w:hAnsi="Times New Roman" w:cs="Times New Roman"/>
          <w:sz w:val="24"/>
          <w:szCs w:val="24"/>
        </w:rPr>
        <w:t xml:space="preserve">elective chemical interventions (Shakeel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2020).</w:t>
      </w:r>
      <w:r w:rsidRPr="00757472">
        <w:rPr>
          <w:rFonts w:ascii="Times New Roman" w:hAnsi="Times New Roman" w:cs="Times New Roman"/>
          <w:sz w:val="24"/>
          <w:szCs w:val="24"/>
        </w:rPr>
        <w:t xml:space="preserve"> Biological control using predators, </w:t>
      </w:r>
      <w:proofErr w:type="spellStart"/>
      <w:r w:rsidRPr="00757472">
        <w:rPr>
          <w:rFonts w:ascii="Times New Roman" w:hAnsi="Times New Roman" w:cs="Times New Roman"/>
          <w:sz w:val="24"/>
          <w:szCs w:val="24"/>
        </w:rPr>
        <w:t>parasitoids</w:t>
      </w:r>
      <w:proofErr w:type="spellEnd"/>
      <w:r w:rsidRPr="00757472">
        <w:rPr>
          <w:rFonts w:ascii="Times New Roman" w:hAnsi="Times New Roman" w:cs="Times New Roman"/>
          <w:sz w:val="24"/>
          <w:szCs w:val="24"/>
        </w:rPr>
        <w:t xml:space="preserve">, and </w:t>
      </w:r>
      <w:proofErr w:type="spellStart"/>
      <w:r w:rsidRPr="00757472">
        <w:rPr>
          <w:rFonts w:ascii="Times New Roman" w:hAnsi="Times New Roman" w:cs="Times New Roman"/>
          <w:sz w:val="24"/>
          <w:szCs w:val="24"/>
        </w:rPr>
        <w:t>entomopathogens</w:t>
      </w:r>
      <w:proofErr w:type="spellEnd"/>
      <w:r w:rsidRPr="00757472">
        <w:rPr>
          <w:rFonts w:ascii="Times New Roman" w:hAnsi="Times New Roman" w:cs="Times New Roman"/>
          <w:sz w:val="24"/>
          <w:szCs w:val="24"/>
        </w:rPr>
        <w:t xml:space="preserve"> reduces pest populations while minimizing ecological disruption. Notable agents such as </w:t>
      </w:r>
      <w:proofErr w:type="spellStart"/>
      <w:r w:rsidRPr="00757472">
        <w:rPr>
          <w:rFonts w:ascii="Times New Roman" w:hAnsi="Times New Roman" w:cs="Times New Roman"/>
          <w:i/>
          <w:iCs/>
          <w:sz w:val="24"/>
          <w:szCs w:val="24"/>
        </w:rPr>
        <w:t>Trichogramma</w:t>
      </w:r>
      <w:proofErr w:type="spellEnd"/>
      <w:r w:rsidRPr="00757472">
        <w:rPr>
          <w:rFonts w:ascii="Times New Roman" w:hAnsi="Times New Roman" w:cs="Times New Roman"/>
          <w:i/>
          <w:iCs/>
          <w:sz w:val="24"/>
          <w:szCs w:val="24"/>
        </w:rPr>
        <w:t xml:space="preserve"> </w:t>
      </w:r>
      <w:proofErr w:type="spellStart"/>
      <w:r w:rsidRPr="00757472">
        <w:rPr>
          <w:rFonts w:ascii="Times New Roman" w:hAnsi="Times New Roman" w:cs="Times New Roman"/>
          <w:i/>
          <w:iCs/>
          <w:sz w:val="24"/>
          <w:szCs w:val="24"/>
        </w:rPr>
        <w:t>chilonis</w:t>
      </w:r>
      <w:proofErr w:type="spellEnd"/>
      <w:r w:rsidRPr="00757472">
        <w:rPr>
          <w:rFonts w:ascii="Times New Roman" w:hAnsi="Times New Roman" w:cs="Times New Roman"/>
          <w:sz w:val="24"/>
          <w:szCs w:val="24"/>
        </w:rPr>
        <w:t xml:space="preserve">, </w:t>
      </w:r>
      <w:proofErr w:type="spellStart"/>
      <w:r w:rsidRPr="00757472">
        <w:rPr>
          <w:rFonts w:ascii="Times New Roman" w:hAnsi="Times New Roman" w:cs="Times New Roman"/>
          <w:i/>
          <w:iCs/>
          <w:sz w:val="24"/>
          <w:szCs w:val="24"/>
        </w:rPr>
        <w:t>Coccinella</w:t>
      </w:r>
      <w:proofErr w:type="spellEnd"/>
      <w:r w:rsidRPr="00757472">
        <w:rPr>
          <w:rFonts w:ascii="Times New Roman" w:hAnsi="Times New Roman" w:cs="Times New Roman"/>
          <w:i/>
          <w:iCs/>
          <w:sz w:val="24"/>
          <w:szCs w:val="24"/>
        </w:rPr>
        <w:t xml:space="preserve"> </w:t>
      </w:r>
      <w:proofErr w:type="spellStart"/>
      <w:r w:rsidRPr="00757472">
        <w:rPr>
          <w:rFonts w:ascii="Times New Roman" w:hAnsi="Times New Roman" w:cs="Times New Roman"/>
          <w:i/>
          <w:iCs/>
          <w:sz w:val="24"/>
          <w:szCs w:val="24"/>
        </w:rPr>
        <w:t>septempunctata</w:t>
      </w:r>
      <w:proofErr w:type="spellEnd"/>
      <w:r w:rsidRPr="00757472">
        <w:rPr>
          <w:rFonts w:ascii="Times New Roman" w:hAnsi="Times New Roman" w:cs="Times New Roman"/>
          <w:sz w:val="24"/>
          <w:szCs w:val="24"/>
        </w:rPr>
        <w:t xml:space="preserve">, </w:t>
      </w:r>
      <w:proofErr w:type="spellStart"/>
      <w:r w:rsidRPr="00757472">
        <w:rPr>
          <w:rFonts w:ascii="Times New Roman" w:hAnsi="Times New Roman" w:cs="Times New Roman"/>
          <w:i/>
          <w:iCs/>
          <w:sz w:val="24"/>
          <w:szCs w:val="24"/>
        </w:rPr>
        <w:t>Beauveria</w:t>
      </w:r>
      <w:proofErr w:type="spellEnd"/>
      <w:r w:rsidRPr="00757472">
        <w:rPr>
          <w:rFonts w:ascii="Times New Roman" w:hAnsi="Times New Roman" w:cs="Times New Roman"/>
          <w:i/>
          <w:iCs/>
          <w:sz w:val="24"/>
          <w:szCs w:val="24"/>
        </w:rPr>
        <w:t xml:space="preserve"> </w:t>
      </w:r>
      <w:proofErr w:type="spellStart"/>
      <w:r w:rsidRPr="00757472">
        <w:rPr>
          <w:rFonts w:ascii="Times New Roman" w:hAnsi="Times New Roman" w:cs="Times New Roman"/>
          <w:i/>
          <w:iCs/>
          <w:sz w:val="24"/>
          <w:szCs w:val="24"/>
        </w:rPr>
        <w:t>bassiana</w:t>
      </w:r>
      <w:proofErr w:type="spellEnd"/>
      <w:r w:rsidRPr="00757472">
        <w:rPr>
          <w:rFonts w:ascii="Times New Roman" w:hAnsi="Times New Roman" w:cs="Times New Roman"/>
          <w:sz w:val="24"/>
          <w:szCs w:val="24"/>
        </w:rPr>
        <w:t xml:space="preserve">, and </w:t>
      </w:r>
      <w:proofErr w:type="spellStart"/>
      <w:r w:rsidRPr="00757472">
        <w:rPr>
          <w:rFonts w:ascii="Times New Roman" w:hAnsi="Times New Roman" w:cs="Times New Roman"/>
          <w:i/>
          <w:iCs/>
          <w:sz w:val="24"/>
          <w:szCs w:val="24"/>
        </w:rPr>
        <w:t>Metarhizium</w:t>
      </w:r>
      <w:proofErr w:type="spellEnd"/>
      <w:r w:rsidRPr="00757472">
        <w:rPr>
          <w:rFonts w:ascii="Times New Roman" w:hAnsi="Times New Roman" w:cs="Times New Roman"/>
          <w:i/>
          <w:iCs/>
          <w:sz w:val="24"/>
          <w:szCs w:val="24"/>
        </w:rPr>
        <w:t xml:space="preserve"> </w:t>
      </w:r>
      <w:proofErr w:type="spellStart"/>
      <w:r w:rsidRPr="00757472">
        <w:rPr>
          <w:rFonts w:ascii="Times New Roman" w:hAnsi="Times New Roman" w:cs="Times New Roman"/>
          <w:i/>
          <w:iCs/>
          <w:sz w:val="24"/>
          <w:szCs w:val="24"/>
        </w:rPr>
        <w:t>anisopliae</w:t>
      </w:r>
      <w:proofErr w:type="spellEnd"/>
      <w:r w:rsidRPr="00757472">
        <w:rPr>
          <w:rFonts w:ascii="Times New Roman" w:hAnsi="Times New Roman" w:cs="Times New Roman"/>
          <w:sz w:val="24"/>
          <w:szCs w:val="24"/>
        </w:rPr>
        <w:t xml:space="preserve"> suppress pest populations by 40–70% in con</w:t>
      </w:r>
      <w:r w:rsidR="00685BE9">
        <w:rPr>
          <w:rFonts w:ascii="Times New Roman" w:hAnsi="Times New Roman" w:cs="Times New Roman"/>
          <w:sz w:val="24"/>
          <w:szCs w:val="24"/>
        </w:rPr>
        <w:t>trolled and field environments</w:t>
      </w:r>
      <w:r w:rsidRPr="00757472">
        <w:rPr>
          <w:rFonts w:ascii="Times New Roman" w:hAnsi="Times New Roman" w:cs="Times New Roman"/>
          <w:sz w:val="24"/>
          <w:szCs w:val="24"/>
        </w:rPr>
        <w:t xml:space="preserve">. Host plant resistance remains one of the most effective IDM strategies. For example, blast-resistant </w:t>
      </w:r>
      <w:r w:rsidRPr="00757472">
        <w:rPr>
          <w:rFonts w:ascii="Times New Roman" w:hAnsi="Times New Roman" w:cs="Times New Roman"/>
          <w:sz w:val="24"/>
          <w:szCs w:val="24"/>
        </w:rPr>
        <w:lastRenderedPageBreak/>
        <w:t>and rust-resistant cereal varieties reduce disease incidence by 25–60% under moderate pressure. Agronomic adjustments such as optimized planting dates, balanced fertilization, and spatial diversification lower pest–pathogen proliferation by altering microclimates and nutrient dynamics. Monitoring and early-warning systems using pheromone traps, sticky traps, and remote sensing improve detection accuracy, enabling timely interventions that reduce pesticide use by 20–40%. Selective biopesticides and reduced-risk chemical tools are employed when necessary, ensuring minimal impact on beneficial organisms. IPM/IDM frameworks strengthen ecological balance, delay resistance evolution, and maintain long-term productivity.</w:t>
      </w:r>
    </w:p>
    <w:p w14:paraId="4F65006D" w14:textId="77777777" w:rsidR="00757472" w:rsidRPr="00757472" w:rsidRDefault="00757472" w:rsidP="00BB0396">
      <w:pPr>
        <w:jc w:val="both"/>
        <w:rPr>
          <w:rFonts w:ascii="Times New Roman" w:hAnsi="Times New Roman" w:cs="Times New Roman"/>
          <w:sz w:val="24"/>
          <w:szCs w:val="24"/>
        </w:rPr>
      </w:pPr>
      <w:r w:rsidRPr="00757472">
        <w:rPr>
          <w:rFonts w:ascii="Times New Roman" w:hAnsi="Times New Roman" w:cs="Times New Roman"/>
          <w:b/>
          <w:bCs/>
          <w:i/>
          <w:iCs/>
          <w:sz w:val="24"/>
          <w:szCs w:val="24"/>
        </w:rPr>
        <w:t xml:space="preserve">Use of botanicals, </w:t>
      </w:r>
      <w:proofErr w:type="spellStart"/>
      <w:r w:rsidRPr="00757472">
        <w:rPr>
          <w:rFonts w:ascii="Times New Roman" w:hAnsi="Times New Roman" w:cs="Times New Roman"/>
          <w:b/>
          <w:bCs/>
          <w:i/>
          <w:iCs/>
          <w:sz w:val="24"/>
          <w:szCs w:val="24"/>
        </w:rPr>
        <w:t>biopesticides</w:t>
      </w:r>
      <w:proofErr w:type="spellEnd"/>
      <w:r w:rsidRPr="00757472">
        <w:rPr>
          <w:rFonts w:ascii="Times New Roman" w:hAnsi="Times New Roman" w:cs="Times New Roman"/>
          <w:b/>
          <w:bCs/>
          <w:i/>
          <w:iCs/>
          <w:sz w:val="24"/>
          <w:szCs w:val="24"/>
        </w:rPr>
        <w:t xml:space="preserve">, and </w:t>
      </w:r>
      <w:proofErr w:type="spellStart"/>
      <w:r w:rsidRPr="00757472">
        <w:rPr>
          <w:rFonts w:ascii="Times New Roman" w:hAnsi="Times New Roman" w:cs="Times New Roman"/>
          <w:b/>
          <w:bCs/>
          <w:i/>
          <w:iCs/>
          <w:sz w:val="24"/>
          <w:szCs w:val="24"/>
        </w:rPr>
        <w:t>biostimulants</w:t>
      </w:r>
      <w:proofErr w:type="spellEnd"/>
      <w:r w:rsidRPr="00757472">
        <w:rPr>
          <w:rFonts w:ascii="Times New Roman" w:hAnsi="Times New Roman" w:cs="Times New Roman"/>
          <w:sz w:val="24"/>
          <w:szCs w:val="24"/>
        </w:rPr>
        <w:br/>
        <w:t xml:space="preserve">Botanicals, </w:t>
      </w:r>
      <w:proofErr w:type="spellStart"/>
      <w:r w:rsidRPr="00757472">
        <w:rPr>
          <w:rFonts w:ascii="Times New Roman" w:hAnsi="Times New Roman" w:cs="Times New Roman"/>
          <w:sz w:val="24"/>
          <w:szCs w:val="24"/>
        </w:rPr>
        <w:t>biopesticides</w:t>
      </w:r>
      <w:proofErr w:type="spellEnd"/>
      <w:r w:rsidRPr="00757472">
        <w:rPr>
          <w:rFonts w:ascii="Times New Roman" w:hAnsi="Times New Roman" w:cs="Times New Roman"/>
          <w:sz w:val="24"/>
          <w:szCs w:val="24"/>
        </w:rPr>
        <w:t xml:space="preserve">, and </w:t>
      </w:r>
      <w:proofErr w:type="spellStart"/>
      <w:r w:rsidRPr="00757472">
        <w:rPr>
          <w:rFonts w:ascii="Times New Roman" w:hAnsi="Times New Roman" w:cs="Times New Roman"/>
          <w:sz w:val="24"/>
          <w:szCs w:val="24"/>
        </w:rPr>
        <w:t>biostimulants</w:t>
      </w:r>
      <w:proofErr w:type="spellEnd"/>
      <w:r w:rsidRPr="00757472">
        <w:rPr>
          <w:rFonts w:ascii="Times New Roman" w:hAnsi="Times New Roman" w:cs="Times New Roman"/>
          <w:sz w:val="24"/>
          <w:szCs w:val="24"/>
        </w:rPr>
        <w:t xml:space="preserve"> provide eco-compatible tools for managing pests, diseases, and physiological stresses while enhancing soil–plant health. Botanicals derived from neem, pyrethrum, lemongrass, and garlic exhibit insecticidal, fungicidal, and repellent properties due to compounds such as </w:t>
      </w:r>
      <w:proofErr w:type="spellStart"/>
      <w:r w:rsidRPr="00757472">
        <w:rPr>
          <w:rFonts w:ascii="Times New Roman" w:hAnsi="Times New Roman" w:cs="Times New Roman"/>
          <w:sz w:val="24"/>
          <w:szCs w:val="24"/>
        </w:rPr>
        <w:t>azadirachtin</w:t>
      </w:r>
      <w:proofErr w:type="spellEnd"/>
      <w:r w:rsidRPr="00757472">
        <w:rPr>
          <w:rFonts w:ascii="Times New Roman" w:hAnsi="Times New Roman" w:cs="Times New Roman"/>
          <w:sz w:val="24"/>
          <w:szCs w:val="24"/>
        </w:rPr>
        <w:t xml:space="preserve">, </w:t>
      </w:r>
      <w:proofErr w:type="spellStart"/>
      <w:r w:rsidRPr="00757472">
        <w:rPr>
          <w:rFonts w:ascii="Times New Roman" w:hAnsi="Times New Roman" w:cs="Times New Roman"/>
          <w:sz w:val="24"/>
          <w:szCs w:val="24"/>
        </w:rPr>
        <w:t>pyrethrins</w:t>
      </w:r>
      <w:proofErr w:type="spellEnd"/>
      <w:r w:rsidRPr="00757472">
        <w:rPr>
          <w:rFonts w:ascii="Times New Roman" w:hAnsi="Times New Roman" w:cs="Times New Roman"/>
          <w:sz w:val="24"/>
          <w:szCs w:val="24"/>
        </w:rPr>
        <w:t xml:space="preserve">, </w:t>
      </w:r>
      <w:proofErr w:type="spellStart"/>
      <w:r w:rsidRPr="00757472">
        <w:rPr>
          <w:rFonts w:ascii="Times New Roman" w:hAnsi="Times New Roman" w:cs="Times New Roman"/>
          <w:sz w:val="24"/>
          <w:szCs w:val="24"/>
        </w:rPr>
        <w:t>citral</w:t>
      </w:r>
      <w:proofErr w:type="spellEnd"/>
      <w:r w:rsidRPr="00757472">
        <w:rPr>
          <w:rFonts w:ascii="Times New Roman" w:hAnsi="Times New Roman" w:cs="Times New Roman"/>
          <w:sz w:val="24"/>
          <w:szCs w:val="24"/>
        </w:rPr>
        <w:t xml:space="preserve">, and allicin. Neem-based formulations reduce populations of sucking pests such as aphids, </w:t>
      </w:r>
      <w:proofErr w:type="spellStart"/>
      <w:r w:rsidRPr="00757472">
        <w:rPr>
          <w:rFonts w:ascii="Times New Roman" w:hAnsi="Times New Roman" w:cs="Times New Roman"/>
          <w:sz w:val="24"/>
          <w:szCs w:val="24"/>
        </w:rPr>
        <w:t>jassids</w:t>
      </w:r>
      <w:proofErr w:type="spellEnd"/>
      <w:r w:rsidRPr="00757472">
        <w:rPr>
          <w:rFonts w:ascii="Times New Roman" w:hAnsi="Times New Roman" w:cs="Times New Roman"/>
          <w:sz w:val="24"/>
          <w:szCs w:val="24"/>
        </w:rPr>
        <w:t>, and whiteflies by 40–75% through feeding inhibi</w:t>
      </w:r>
      <w:r w:rsidR="00685BE9">
        <w:rPr>
          <w:rFonts w:ascii="Times New Roman" w:hAnsi="Times New Roman" w:cs="Times New Roman"/>
          <w:sz w:val="24"/>
          <w:szCs w:val="24"/>
        </w:rPr>
        <w:t xml:space="preserve">tion and disruption of </w:t>
      </w:r>
      <w:proofErr w:type="spellStart"/>
      <w:r w:rsidR="00685BE9">
        <w:rPr>
          <w:rFonts w:ascii="Times New Roman" w:hAnsi="Times New Roman" w:cs="Times New Roman"/>
          <w:sz w:val="24"/>
          <w:szCs w:val="24"/>
        </w:rPr>
        <w:t>molting</w:t>
      </w:r>
      <w:proofErr w:type="spellEnd"/>
      <w:r w:rsidRPr="00757472">
        <w:rPr>
          <w:rFonts w:ascii="Times New Roman" w:hAnsi="Times New Roman" w:cs="Times New Roman"/>
          <w:sz w:val="24"/>
          <w:szCs w:val="24"/>
        </w:rPr>
        <w:t xml:space="preserve">. Microbial biopesticides, including </w:t>
      </w:r>
      <w:r w:rsidRPr="00757472">
        <w:rPr>
          <w:rFonts w:ascii="Times New Roman" w:hAnsi="Times New Roman" w:cs="Times New Roman"/>
          <w:i/>
          <w:iCs/>
          <w:sz w:val="24"/>
          <w:szCs w:val="24"/>
        </w:rPr>
        <w:t>Bacillus thuringiensis</w:t>
      </w:r>
      <w:r w:rsidRPr="00757472">
        <w:rPr>
          <w:rFonts w:ascii="Times New Roman" w:hAnsi="Times New Roman" w:cs="Times New Roman"/>
          <w:sz w:val="24"/>
          <w:szCs w:val="24"/>
        </w:rPr>
        <w:t xml:space="preserve"> (</w:t>
      </w:r>
      <w:proofErr w:type="spellStart"/>
      <w:r w:rsidRPr="00757472">
        <w:rPr>
          <w:rFonts w:ascii="Times New Roman" w:hAnsi="Times New Roman" w:cs="Times New Roman"/>
          <w:sz w:val="24"/>
          <w:szCs w:val="24"/>
        </w:rPr>
        <w:t>Bt</w:t>
      </w:r>
      <w:proofErr w:type="spellEnd"/>
      <w:r w:rsidRPr="00757472">
        <w:rPr>
          <w:rFonts w:ascii="Times New Roman" w:hAnsi="Times New Roman" w:cs="Times New Roman"/>
          <w:sz w:val="24"/>
          <w:szCs w:val="24"/>
        </w:rPr>
        <w:t xml:space="preserve">), </w:t>
      </w:r>
      <w:r w:rsidRPr="00757472">
        <w:rPr>
          <w:rFonts w:ascii="Times New Roman" w:hAnsi="Times New Roman" w:cs="Times New Roman"/>
          <w:i/>
          <w:iCs/>
          <w:sz w:val="24"/>
          <w:szCs w:val="24"/>
        </w:rPr>
        <w:t xml:space="preserve">Trichoderma </w:t>
      </w:r>
      <w:proofErr w:type="spellStart"/>
      <w:r w:rsidRPr="00757472">
        <w:rPr>
          <w:rFonts w:ascii="Times New Roman" w:hAnsi="Times New Roman" w:cs="Times New Roman"/>
          <w:i/>
          <w:iCs/>
          <w:sz w:val="24"/>
          <w:szCs w:val="24"/>
        </w:rPr>
        <w:t>harzianum</w:t>
      </w:r>
      <w:proofErr w:type="spellEnd"/>
      <w:r w:rsidRPr="00757472">
        <w:rPr>
          <w:rFonts w:ascii="Times New Roman" w:hAnsi="Times New Roman" w:cs="Times New Roman"/>
          <w:sz w:val="24"/>
          <w:szCs w:val="24"/>
        </w:rPr>
        <w:t xml:space="preserve">, </w:t>
      </w:r>
      <w:r w:rsidRPr="00757472">
        <w:rPr>
          <w:rFonts w:ascii="Times New Roman" w:hAnsi="Times New Roman" w:cs="Times New Roman"/>
          <w:i/>
          <w:iCs/>
          <w:sz w:val="24"/>
          <w:szCs w:val="24"/>
        </w:rPr>
        <w:t xml:space="preserve">Pseudomonas </w:t>
      </w:r>
      <w:proofErr w:type="spellStart"/>
      <w:r w:rsidRPr="00757472">
        <w:rPr>
          <w:rFonts w:ascii="Times New Roman" w:hAnsi="Times New Roman" w:cs="Times New Roman"/>
          <w:i/>
          <w:iCs/>
          <w:sz w:val="24"/>
          <w:szCs w:val="24"/>
        </w:rPr>
        <w:t>fluorescens</w:t>
      </w:r>
      <w:proofErr w:type="spellEnd"/>
      <w:r w:rsidRPr="00757472">
        <w:rPr>
          <w:rFonts w:ascii="Times New Roman" w:hAnsi="Times New Roman" w:cs="Times New Roman"/>
          <w:sz w:val="24"/>
          <w:szCs w:val="24"/>
        </w:rPr>
        <w:t xml:space="preserve">, and </w:t>
      </w:r>
      <w:proofErr w:type="spellStart"/>
      <w:r w:rsidRPr="00757472">
        <w:rPr>
          <w:rFonts w:ascii="Times New Roman" w:hAnsi="Times New Roman" w:cs="Times New Roman"/>
          <w:i/>
          <w:iCs/>
          <w:sz w:val="24"/>
          <w:szCs w:val="24"/>
        </w:rPr>
        <w:t>Nucleopolyhedroviruses</w:t>
      </w:r>
      <w:proofErr w:type="spellEnd"/>
      <w:r w:rsidRPr="00757472">
        <w:rPr>
          <w:rFonts w:ascii="Times New Roman" w:hAnsi="Times New Roman" w:cs="Times New Roman"/>
          <w:sz w:val="24"/>
          <w:szCs w:val="24"/>
        </w:rPr>
        <w:t xml:space="preserve"> (NPVs), target specific pests or pathogens with minimal non-target effects. </w:t>
      </w:r>
      <w:proofErr w:type="spellStart"/>
      <w:r w:rsidRPr="00757472">
        <w:rPr>
          <w:rFonts w:ascii="Times New Roman" w:hAnsi="Times New Roman" w:cs="Times New Roman"/>
          <w:sz w:val="24"/>
          <w:szCs w:val="24"/>
        </w:rPr>
        <w:t>Bt</w:t>
      </w:r>
      <w:proofErr w:type="spellEnd"/>
      <w:r w:rsidRPr="00757472">
        <w:rPr>
          <w:rFonts w:ascii="Times New Roman" w:hAnsi="Times New Roman" w:cs="Times New Roman"/>
          <w:sz w:val="24"/>
          <w:szCs w:val="24"/>
        </w:rPr>
        <w:t xml:space="preserve"> formulations provide 70–95% control of lepidopteran larvae due to crystal protein activation in the insect gut. </w:t>
      </w:r>
      <w:r w:rsidRPr="00757472">
        <w:rPr>
          <w:rFonts w:ascii="Times New Roman" w:hAnsi="Times New Roman" w:cs="Times New Roman"/>
          <w:i/>
          <w:iCs/>
          <w:sz w:val="24"/>
          <w:szCs w:val="24"/>
        </w:rPr>
        <w:t>Trichoderma</w:t>
      </w:r>
      <w:r w:rsidRPr="00757472">
        <w:rPr>
          <w:rFonts w:ascii="Times New Roman" w:hAnsi="Times New Roman" w:cs="Times New Roman"/>
          <w:sz w:val="24"/>
          <w:szCs w:val="24"/>
        </w:rPr>
        <w:t xml:space="preserve"> species suppress soilborne fungi via mycoparasitism and antibiosis, reducing root rot and wilt incidence by 30–6</w:t>
      </w:r>
      <w:r w:rsidR="00685BE9">
        <w:rPr>
          <w:rFonts w:ascii="Times New Roman" w:hAnsi="Times New Roman" w:cs="Times New Roman"/>
          <w:sz w:val="24"/>
          <w:szCs w:val="24"/>
        </w:rPr>
        <w:t>0%</w:t>
      </w:r>
      <w:r w:rsidRPr="00757472">
        <w:rPr>
          <w:rFonts w:ascii="Times New Roman" w:hAnsi="Times New Roman" w:cs="Times New Roman"/>
          <w:sz w:val="24"/>
          <w:szCs w:val="24"/>
        </w:rPr>
        <w:t xml:space="preserve">. </w:t>
      </w:r>
      <w:proofErr w:type="spellStart"/>
      <w:r w:rsidRPr="00757472">
        <w:rPr>
          <w:rFonts w:ascii="Times New Roman" w:hAnsi="Times New Roman" w:cs="Times New Roman"/>
          <w:sz w:val="24"/>
          <w:szCs w:val="24"/>
        </w:rPr>
        <w:t>Biostimulants</w:t>
      </w:r>
      <w:proofErr w:type="spellEnd"/>
      <w:r w:rsidRPr="00757472">
        <w:rPr>
          <w:rFonts w:ascii="Times New Roman" w:hAnsi="Times New Roman" w:cs="Times New Roman"/>
          <w:sz w:val="24"/>
          <w:szCs w:val="24"/>
        </w:rPr>
        <w:t xml:space="preserve">—such as seaweed extracts, </w:t>
      </w:r>
      <w:proofErr w:type="spellStart"/>
      <w:r w:rsidRPr="00757472">
        <w:rPr>
          <w:rFonts w:ascii="Times New Roman" w:hAnsi="Times New Roman" w:cs="Times New Roman"/>
          <w:sz w:val="24"/>
          <w:szCs w:val="24"/>
        </w:rPr>
        <w:t>humic</w:t>
      </w:r>
      <w:proofErr w:type="spellEnd"/>
      <w:r w:rsidRPr="00757472">
        <w:rPr>
          <w:rFonts w:ascii="Times New Roman" w:hAnsi="Times New Roman" w:cs="Times New Roman"/>
          <w:sz w:val="24"/>
          <w:szCs w:val="24"/>
        </w:rPr>
        <w:t xml:space="preserve"> substances, amino acids, and microbial metabolites—enhance nutrient uptake, root architecture, and stress tolerance. Seaweed extracts containing </w:t>
      </w:r>
      <w:proofErr w:type="spellStart"/>
      <w:r w:rsidRPr="00757472">
        <w:rPr>
          <w:rFonts w:ascii="Times New Roman" w:hAnsi="Times New Roman" w:cs="Times New Roman"/>
          <w:sz w:val="24"/>
          <w:szCs w:val="24"/>
        </w:rPr>
        <w:t>cytokinins</w:t>
      </w:r>
      <w:proofErr w:type="spellEnd"/>
      <w:r w:rsidRPr="00757472">
        <w:rPr>
          <w:rFonts w:ascii="Times New Roman" w:hAnsi="Times New Roman" w:cs="Times New Roman"/>
          <w:sz w:val="24"/>
          <w:szCs w:val="24"/>
        </w:rPr>
        <w:t xml:space="preserve"> and betaines improve plant </w:t>
      </w:r>
      <w:proofErr w:type="spellStart"/>
      <w:r w:rsidRPr="00757472">
        <w:rPr>
          <w:rFonts w:ascii="Times New Roman" w:hAnsi="Times New Roman" w:cs="Times New Roman"/>
          <w:sz w:val="24"/>
          <w:szCs w:val="24"/>
        </w:rPr>
        <w:t>vigor</w:t>
      </w:r>
      <w:proofErr w:type="spellEnd"/>
      <w:r w:rsidRPr="00757472">
        <w:rPr>
          <w:rFonts w:ascii="Times New Roman" w:hAnsi="Times New Roman" w:cs="Times New Roman"/>
          <w:sz w:val="24"/>
          <w:szCs w:val="24"/>
        </w:rPr>
        <w:t xml:space="preserve"> and yield by 10–25</w:t>
      </w:r>
      <w:r w:rsidR="00685BE9">
        <w:rPr>
          <w:rFonts w:ascii="Times New Roman" w:hAnsi="Times New Roman" w:cs="Times New Roman"/>
          <w:sz w:val="24"/>
          <w:szCs w:val="24"/>
        </w:rPr>
        <w:t>% even under stress condition</w:t>
      </w:r>
      <w:r w:rsidRPr="00757472">
        <w:rPr>
          <w:rFonts w:ascii="Times New Roman" w:hAnsi="Times New Roman" w:cs="Times New Roman"/>
          <w:sz w:val="24"/>
          <w:szCs w:val="24"/>
        </w:rPr>
        <w:t>. These products support regenerative crop protection by reducing chemical inputs, strengthening plant immunity, and promoting soil biodiversity.</w:t>
      </w:r>
    </w:p>
    <w:p w14:paraId="70CE3A60" w14:textId="77777777" w:rsidR="00B70673" w:rsidRPr="00390666" w:rsidRDefault="00B70673" w:rsidP="00BB0396">
      <w:pPr>
        <w:jc w:val="both"/>
        <w:rPr>
          <w:rFonts w:ascii="Times New Roman" w:hAnsi="Times New Roman" w:cs="Times New Roman"/>
          <w:b/>
          <w:bCs/>
          <w:sz w:val="24"/>
          <w:szCs w:val="24"/>
        </w:rPr>
      </w:pPr>
    </w:p>
    <w:p w14:paraId="32A25A7B" w14:textId="77777777" w:rsidR="00E73367" w:rsidRPr="00E73367" w:rsidRDefault="00E73367" w:rsidP="00BB0396">
      <w:pPr>
        <w:jc w:val="both"/>
        <w:rPr>
          <w:rFonts w:ascii="Times New Roman" w:hAnsi="Times New Roman" w:cs="Times New Roman"/>
          <w:sz w:val="24"/>
          <w:szCs w:val="24"/>
        </w:rPr>
      </w:pPr>
      <w:r w:rsidRPr="00E73367">
        <w:rPr>
          <w:rFonts w:ascii="Times New Roman" w:hAnsi="Times New Roman" w:cs="Times New Roman"/>
          <w:b/>
          <w:bCs/>
          <w:sz w:val="24"/>
          <w:szCs w:val="24"/>
        </w:rPr>
        <w:t>XI. Socio-Economic Dimensions and Policy Support</w:t>
      </w:r>
    </w:p>
    <w:p w14:paraId="1975DFDA" w14:textId="77777777" w:rsidR="00E73367" w:rsidRPr="00E73367" w:rsidRDefault="00E73367" w:rsidP="00BB0396">
      <w:pPr>
        <w:jc w:val="both"/>
        <w:rPr>
          <w:rFonts w:ascii="Times New Roman" w:hAnsi="Times New Roman" w:cs="Times New Roman"/>
          <w:sz w:val="24"/>
          <w:szCs w:val="24"/>
        </w:rPr>
      </w:pPr>
      <w:r w:rsidRPr="00E73367">
        <w:rPr>
          <w:rFonts w:ascii="Times New Roman" w:hAnsi="Times New Roman" w:cs="Times New Roman"/>
          <w:b/>
          <w:bCs/>
          <w:i/>
          <w:iCs/>
          <w:sz w:val="24"/>
          <w:szCs w:val="24"/>
        </w:rPr>
        <w:t xml:space="preserve">Farmer adoption </w:t>
      </w:r>
      <w:proofErr w:type="spellStart"/>
      <w:r w:rsidRPr="00E73367">
        <w:rPr>
          <w:rFonts w:ascii="Times New Roman" w:hAnsi="Times New Roman" w:cs="Times New Roman"/>
          <w:b/>
          <w:bCs/>
          <w:i/>
          <w:iCs/>
          <w:sz w:val="24"/>
          <w:szCs w:val="24"/>
        </w:rPr>
        <w:t>behavior</w:t>
      </w:r>
      <w:proofErr w:type="spellEnd"/>
      <w:r w:rsidRPr="00E73367">
        <w:rPr>
          <w:rFonts w:ascii="Times New Roman" w:hAnsi="Times New Roman" w:cs="Times New Roman"/>
          <w:b/>
          <w:bCs/>
          <w:i/>
          <w:iCs/>
          <w:sz w:val="24"/>
          <w:szCs w:val="24"/>
        </w:rPr>
        <w:t xml:space="preserve"> and capacity building</w:t>
      </w:r>
      <w:r w:rsidRPr="00E73367">
        <w:rPr>
          <w:rFonts w:ascii="Times New Roman" w:hAnsi="Times New Roman" w:cs="Times New Roman"/>
          <w:sz w:val="24"/>
          <w:szCs w:val="24"/>
        </w:rPr>
        <w:br/>
        <w:t>Farmer adoption of sustainable agronomic practices is shaped by knowledge levels, perceived benefits, risk tolerance, market access</w:t>
      </w:r>
      <w:r w:rsidR="00F16934">
        <w:rPr>
          <w:rFonts w:ascii="Times New Roman" w:hAnsi="Times New Roman" w:cs="Times New Roman"/>
          <w:sz w:val="24"/>
          <w:szCs w:val="24"/>
        </w:rPr>
        <w:t xml:space="preserve">, and socio-economic conditions (Rizzo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2024).</w:t>
      </w:r>
      <w:r w:rsidRPr="00E73367">
        <w:rPr>
          <w:rFonts w:ascii="Times New Roman" w:hAnsi="Times New Roman" w:cs="Times New Roman"/>
          <w:sz w:val="24"/>
          <w:szCs w:val="24"/>
        </w:rPr>
        <w:t xml:space="preserve"> Studies show that farmers with higher education and stronger extension linkages are 20–40% more likely to adopt conservation tillage, integrated nutrient management, micro-</w:t>
      </w:r>
      <w:r w:rsidR="00685BE9">
        <w:rPr>
          <w:rFonts w:ascii="Times New Roman" w:hAnsi="Times New Roman" w:cs="Times New Roman"/>
          <w:sz w:val="24"/>
          <w:szCs w:val="24"/>
        </w:rPr>
        <w:t>irrigation, and cover cropping</w:t>
      </w:r>
      <w:r w:rsidRPr="00E73367">
        <w:rPr>
          <w:rFonts w:ascii="Times New Roman" w:hAnsi="Times New Roman" w:cs="Times New Roman"/>
          <w:sz w:val="24"/>
          <w:szCs w:val="24"/>
        </w:rPr>
        <w:t>. Perceived yield benefits and cost-effectiveness strongly influence adoption; for example, adopters of conservation agriculture report 10–25% increases in yield stability during climate-stress years, improving confidence in long-term implementation. Social networks and community-based learning platforms promote diffusion of innovations, with farmer-to-farmer training increasing adoption rates by nearly 3</w:t>
      </w:r>
      <w:r w:rsidR="00685BE9">
        <w:rPr>
          <w:rFonts w:ascii="Times New Roman" w:hAnsi="Times New Roman" w:cs="Times New Roman"/>
          <w:sz w:val="24"/>
          <w:szCs w:val="24"/>
        </w:rPr>
        <w:t>0% in various cropping systems</w:t>
      </w:r>
      <w:r w:rsidRPr="00E73367">
        <w:rPr>
          <w:rFonts w:ascii="Times New Roman" w:hAnsi="Times New Roman" w:cs="Times New Roman"/>
          <w:sz w:val="24"/>
          <w:szCs w:val="24"/>
        </w:rPr>
        <w:t xml:space="preserve">. Capacity-building programs involving field demonstrations, digital advisory </w:t>
      </w:r>
      <w:r w:rsidRPr="00E73367">
        <w:rPr>
          <w:rFonts w:ascii="Times New Roman" w:hAnsi="Times New Roman" w:cs="Times New Roman"/>
          <w:sz w:val="24"/>
          <w:szCs w:val="24"/>
        </w:rPr>
        <w:lastRenderedPageBreak/>
        <w:t>services, and participatory technology development enhance technical competency, reduce perceived risks, and strengthen decision-making. Mobile-based extension applications providing real-time agronomic alerts and weather-based advisories increase technology adoption by 25–45% by improvin</w:t>
      </w:r>
      <w:r w:rsidR="00685BE9">
        <w:rPr>
          <w:rFonts w:ascii="Times New Roman" w:hAnsi="Times New Roman" w:cs="Times New Roman"/>
          <w:sz w:val="24"/>
          <w:szCs w:val="24"/>
        </w:rPr>
        <w:t>g access to timely information</w:t>
      </w:r>
      <w:r w:rsidRPr="00E73367">
        <w:rPr>
          <w:rFonts w:ascii="Times New Roman" w:hAnsi="Times New Roman" w:cs="Times New Roman"/>
          <w:sz w:val="24"/>
          <w:szCs w:val="24"/>
        </w:rPr>
        <w:t xml:space="preserve">. These </w:t>
      </w:r>
      <w:proofErr w:type="spellStart"/>
      <w:r w:rsidRPr="00E73367">
        <w:rPr>
          <w:rFonts w:ascii="Times New Roman" w:hAnsi="Times New Roman" w:cs="Times New Roman"/>
          <w:sz w:val="24"/>
          <w:szCs w:val="24"/>
        </w:rPr>
        <w:t>behavioral</w:t>
      </w:r>
      <w:proofErr w:type="spellEnd"/>
      <w:r w:rsidRPr="00E73367">
        <w:rPr>
          <w:rFonts w:ascii="Times New Roman" w:hAnsi="Times New Roman" w:cs="Times New Roman"/>
          <w:sz w:val="24"/>
          <w:szCs w:val="24"/>
        </w:rPr>
        <w:t xml:space="preserve"> and training components play a vital role in transitioning toward sustainable agronomy.</w:t>
      </w:r>
    </w:p>
    <w:p w14:paraId="5A196664" w14:textId="77777777" w:rsidR="00E73367" w:rsidRPr="00E73367" w:rsidRDefault="00E73367" w:rsidP="00BB0396">
      <w:pPr>
        <w:jc w:val="both"/>
        <w:rPr>
          <w:rFonts w:ascii="Times New Roman" w:hAnsi="Times New Roman" w:cs="Times New Roman"/>
          <w:sz w:val="24"/>
          <w:szCs w:val="24"/>
        </w:rPr>
      </w:pPr>
      <w:r w:rsidRPr="00E73367">
        <w:rPr>
          <w:rFonts w:ascii="Times New Roman" w:hAnsi="Times New Roman" w:cs="Times New Roman"/>
          <w:b/>
          <w:bCs/>
          <w:i/>
          <w:iCs/>
          <w:sz w:val="24"/>
          <w:szCs w:val="24"/>
        </w:rPr>
        <w:t>Economic feasibility of sustainable practices</w:t>
      </w:r>
      <w:r w:rsidRPr="00E73367">
        <w:rPr>
          <w:rFonts w:ascii="Times New Roman" w:hAnsi="Times New Roman" w:cs="Times New Roman"/>
          <w:sz w:val="24"/>
          <w:szCs w:val="24"/>
        </w:rPr>
        <w:br/>
        <w:t>Economic feasibility is a major determinant of the uptake and long-term implementation of sustainable agronomic innova</w:t>
      </w:r>
      <w:r w:rsidR="00F16934">
        <w:rPr>
          <w:rFonts w:ascii="Times New Roman" w:hAnsi="Times New Roman" w:cs="Times New Roman"/>
          <w:sz w:val="24"/>
          <w:szCs w:val="24"/>
        </w:rPr>
        <w:t>tions (</w:t>
      </w:r>
      <w:proofErr w:type="spellStart"/>
      <w:r w:rsidR="00F16934">
        <w:rPr>
          <w:rFonts w:ascii="Times New Roman" w:hAnsi="Times New Roman" w:cs="Times New Roman"/>
          <w:sz w:val="24"/>
          <w:szCs w:val="24"/>
        </w:rPr>
        <w:t>Kuyah</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2021).</w:t>
      </w:r>
      <w:r w:rsidRPr="00E73367">
        <w:rPr>
          <w:rFonts w:ascii="Times New Roman" w:hAnsi="Times New Roman" w:cs="Times New Roman"/>
          <w:sz w:val="24"/>
          <w:szCs w:val="24"/>
        </w:rPr>
        <w:t xml:space="preserve"> Conservation tillage reduces fuel consumption by 30–60% and lowers </w:t>
      </w:r>
      <w:proofErr w:type="spellStart"/>
      <w:r w:rsidRPr="00E73367">
        <w:rPr>
          <w:rFonts w:ascii="Times New Roman" w:hAnsi="Times New Roman" w:cs="Times New Roman"/>
          <w:sz w:val="24"/>
          <w:szCs w:val="24"/>
        </w:rPr>
        <w:t>labor</w:t>
      </w:r>
      <w:proofErr w:type="spellEnd"/>
      <w:r w:rsidRPr="00E73367">
        <w:rPr>
          <w:rFonts w:ascii="Times New Roman" w:hAnsi="Times New Roman" w:cs="Times New Roman"/>
          <w:sz w:val="24"/>
          <w:szCs w:val="24"/>
        </w:rPr>
        <w:t xml:space="preserve"> costs d</w:t>
      </w:r>
      <w:r w:rsidR="00685BE9">
        <w:rPr>
          <w:rFonts w:ascii="Times New Roman" w:hAnsi="Times New Roman" w:cs="Times New Roman"/>
          <w:sz w:val="24"/>
          <w:szCs w:val="24"/>
        </w:rPr>
        <w:t>ue to reduced field operations</w:t>
      </w:r>
      <w:r w:rsidRPr="00E73367">
        <w:rPr>
          <w:rFonts w:ascii="Times New Roman" w:hAnsi="Times New Roman" w:cs="Times New Roman"/>
          <w:sz w:val="24"/>
          <w:szCs w:val="24"/>
        </w:rPr>
        <w:t xml:space="preserve">. Integrated nutrient management decreases synthetic fertilizer use by 15–30%, reducing input costs while maintaining higher nutrient-use efficiency. Meta-analyses demonstrate that cover cropping yields a cost–benefit ratio of 1.3–1.8 through enhanced soil fertility, improved water retention, and reduced erosion. Micro-irrigation, though initially capital-intensive, offers high economic returns; drip systems provide a benefit–cost ratio of 2.0–3.5 in horticultural crops due to higher yields, reduced water usage, and improved fertigation efficiency. Biological inputs such as biofertilizers and microbial consortia are often cost-effective, costing 30–50% less than chemical fertilizers while delivering comparable or enhanced yields in cereals and legumes. Long-term economic </w:t>
      </w:r>
      <w:proofErr w:type="spellStart"/>
      <w:r w:rsidRPr="00E73367">
        <w:rPr>
          <w:rFonts w:ascii="Times New Roman" w:hAnsi="Times New Roman" w:cs="Times New Roman"/>
          <w:sz w:val="24"/>
          <w:szCs w:val="24"/>
        </w:rPr>
        <w:t>modeling</w:t>
      </w:r>
      <w:proofErr w:type="spellEnd"/>
      <w:r w:rsidRPr="00E73367">
        <w:rPr>
          <w:rFonts w:ascii="Times New Roman" w:hAnsi="Times New Roman" w:cs="Times New Roman"/>
          <w:sz w:val="24"/>
          <w:szCs w:val="24"/>
        </w:rPr>
        <w:t xml:space="preserve"> indicates that regenerative practices improve total factor productivity by 10–25% over a decade due to cumulative improvements in soil health, reduced input requirement, and stable yields under climatic stress. These findings underscore the economic viability of sustainable practices for both smallholder and commercial farms.</w:t>
      </w:r>
    </w:p>
    <w:p w14:paraId="1B79ED03" w14:textId="77777777" w:rsidR="00E73367" w:rsidRPr="00E73367" w:rsidRDefault="00E73367" w:rsidP="00BB0396">
      <w:pPr>
        <w:jc w:val="both"/>
        <w:rPr>
          <w:rFonts w:ascii="Times New Roman" w:hAnsi="Times New Roman" w:cs="Times New Roman"/>
          <w:sz w:val="24"/>
          <w:szCs w:val="24"/>
        </w:rPr>
      </w:pPr>
      <w:r w:rsidRPr="00E73367">
        <w:rPr>
          <w:rFonts w:ascii="Times New Roman" w:hAnsi="Times New Roman" w:cs="Times New Roman"/>
          <w:b/>
          <w:bCs/>
          <w:i/>
          <w:iCs/>
          <w:sz w:val="24"/>
          <w:szCs w:val="24"/>
        </w:rPr>
        <w:t>Incentives, subsidies, and institutional frameworks</w:t>
      </w:r>
      <w:r w:rsidRPr="00E73367">
        <w:rPr>
          <w:rFonts w:ascii="Times New Roman" w:hAnsi="Times New Roman" w:cs="Times New Roman"/>
          <w:sz w:val="24"/>
          <w:szCs w:val="24"/>
        </w:rPr>
        <w:br/>
        <w:t xml:space="preserve">Institutional support, policy incentives, and financial mechanisms play an essential role in scaling sustainable agronomic innovations across agricultural landscapes. Subsidy programs promoting micro-irrigation, renewable-energy–based pumping, composting units, soil testing, and biofertilizers accelerate adoption while reducing financial barriers. Evidence indicates that adoption of drip irrigation increases 2–3 fold under targeted subsidy schemes, demonstrating the influence </w:t>
      </w:r>
      <w:r w:rsidR="00685BE9">
        <w:rPr>
          <w:rFonts w:ascii="Times New Roman" w:hAnsi="Times New Roman" w:cs="Times New Roman"/>
          <w:sz w:val="24"/>
          <w:szCs w:val="24"/>
        </w:rPr>
        <w:t>of policy-driven affordability</w:t>
      </w:r>
      <w:r w:rsidRPr="00E73367">
        <w:rPr>
          <w:rFonts w:ascii="Times New Roman" w:hAnsi="Times New Roman" w:cs="Times New Roman"/>
          <w:sz w:val="24"/>
          <w:szCs w:val="24"/>
        </w:rPr>
        <w:t>. Payment for ecosystem services (PES) models encourage farmers to adopt carbon-sequestering practices such as agroforestry, cover cropping, and reduced tillage by providing financial rewards based on quantified environmental benefits. Institutional frameworks promoting producer organizations, cooperatives, and contract farming improve access to credit, inputs, and high-value markets, strengthening economic resilience. Policies supporting digital agriculture—such as national soil information portals, remote-sensing–based crop monitoring, and open-data platforms—enhance farmer decision-making and support precision resource management. Crop insurance schemes linked to climate-resilient practices provide income stability and reduce risk perception, motivating long-term investments in conservation-oriented strategies. Strengthened extension networks, public–private partnerships, and regulatory support for biopesticides, biofertilizers, and climate-friendly inputs collectively drive large-scale transitions toward sustainable agricultural systems.</w:t>
      </w:r>
    </w:p>
    <w:p w14:paraId="326E405E" w14:textId="77777777"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sz w:val="24"/>
          <w:szCs w:val="24"/>
        </w:rPr>
        <w:lastRenderedPageBreak/>
        <w:t>XIII. Challenges and Research Gaps</w:t>
      </w:r>
    </w:p>
    <w:p w14:paraId="4AA82858" w14:textId="77777777"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Limitations in adoption and scaling</w:t>
      </w:r>
      <w:r w:rsidRPr="00BC58C6">
        <w:rPr>
          <w:rFonts w:ascii="Times New Roman" w:hAnsi="Times New Roman" w:cs="Times New Roman"/>
          <w:sz w:val="24"/>
          <w:szCs w:val="24"/>
        </w:rPr>
        <w:br/>
        <w:t xml:space="preserve">Adoption and scaling of sustainable agronomic innovations face multiple constraints related to economic risk, technological accessibility, </w:t>
      </w:r>
      <w:proofErr w:type="spellStart"/>
      <w:r w:rsidRPr="00BC58C6">
        <w:rPr>
          <w:rFonts w:ascii="Times New Roman" w:hAnsi="Times New Roman" w:cs="Times New Roman"/>
          <w:sz w:val="24"/>
          <w:szCs w:val="24"/>
        </w:rPr>
        <w:t>labor</w:t>
      </w:r>
      <w:proofErr w:type="spellEnd"/>
      <w:r w:rsidRPr="00BC58C6">
        <w:rPr>
          <w:rFonts w:ascii="Times New Roman" w:hAnsi="Times New Roman" w:cs="Times New Roman"/>
          <w:sz w:val="24"/>
          <w:szCs w:val="24"/>
        </w:rPr>
        <w:t xml:space="preserve"> availabi</w:t>
      </w:r>
      <w:r w:rsidR="00F16934">
        <w:rPr>
          <w:rFonts w:ascii="Times New Roman" w:hAnsi="Times New Roman" w:cs="Times New Roman"/>
          <w:sz w:val="24"/>
          <w:szCs w:val="24"/>
        </w:rPr>
        <w:t>lity, and institutional support (</w:t>
      </w:r>
      <w:proofErr w:type="spellStart"/>
      <w:r w:rsidR="00F16934">
        <w:rPr>
          <w:rFonts w:ascii="Times New Roman" w:hAnsi="Times New Roman" w:cs="Times New Roman"/>
          <w:sz w:val="24"/>
          <w:szCs w:val="24"/>
        </w:rPr>
        <w:t>Boros</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2024).</w:t>
      </w:r>
      <w:r w:rsidRPr="00BC58C6">
        <w:rPr>
          <w:rFonts w:ascii="Times New Roman" w:hAnsi="Times New Roman" w:cs="Times New Roman"/>
          <w:sz w:val="24"/>
          <w:szCs w:val="24"/>
        </w:rPr>
        <w:t xml:space="preserve"> Many farmers perceive conservation agriculture, cover cropping, and integrated nutrient management as </w:t>
      </w:r>
      <w:proofErr w:type="spellStart"/>
      <w:r w:rsidRPr="00BC58C6">
        <w:rPr>
          <w:rFonts w:ascii="Times New Roman" w:hAnsi="Times New Roman" w:cs="Times New Roman"/>
          <w:sz w:val="24"/>
          <w:szCs w:val="24"/>
        </w:rPr>
        <w:t>labor-intensive</w:t>
      </w:r>
      <w:proofErr w:type="spellEnd"/>
      <w:r w:rsidRPr="00BC58C6">
        <w:rPr>
          <w:rFonts w:ascii="Times New Roman" w:hAnsi="Times New Roman" w:cs="Times New Roman"/>
          <w:sz w:val="24"/>
          <w:szCs w:val="24"/>
        </w:rPr>
        <w:t xml:space="preserve"> or costly during initial implementation, leading to slower adoption even when long-term benefits are proven. Studies indicate that adoption rates of climate-smart and resource-efficient practices frequently remain below 30–40% due to limited awareness, high upfront costs, and lack of access to ex</w:t>
      </w:r>
      <w:r w:rsidR="00685BE9">
        <w:rPr>
          <w:rFonts w:ascii="Times New Roman" w:hAnsi="Times New Roman" w:cs="Times New Roman"/>
          <w:sz w:val="24"/>
          <w:szCs w:val="24"/>
        </w:rPr>
        <w:t>tension services</w:t>
      </w:r>
      <w:r w:rsidRPr="00BC58C6">
        <w:rPr>
          <w:rFonts w:ascii="Times New Roman" w:hAnsi="Times New Roman" w:cs="Times New Roman"/>
          <w:sz w:val="24"/>
          <w:szCs w:val="24"/>
        </w:rPr>
        <w:t xml:space="preserve">. Fragmented landholdings and inconsistent access to mechanization reduce scalability, particularly for practices requiring specialized equipment such as zero-till </w:t>
      </w:r>
      <w:proofErr w:type="spellStart"/>
      <w:r w:rsidRPr="00BC58C6">
        <w:rPr>
          <w:rFonts w:ascii="Times New Roman" w:hAnsi="Times New Roman" w:cs="Times New Roman"/>
          <w:sz w:val="24"/>
          <w:szCs w:val="24"/>
        </w:rPr>
        <w:t>seeders</w:t>
      </w:r>
      <w:proofErr w:type="spellEnd"/>
      <w:r w:rsidRPr="00BC58C6">
        <w:rPr>
          <w:rFonts w:ascii="Times New Roman" w:hAnsi="Times New Roman" w:cs="Times New Roman"/>
          <w:sz w:val="24"/>
          <w:szCs w:val="24"/>
        </w:rPr>
        <w:t xml:space="preserve"> or micro-irrigation systems. </w:t>
      </w:r>
      <w:proofErr w:type="spellStart"/>
      <w:r w:rsidRPr="00BC58C6">
        <w:rPr>
          <w:rFonts w:ascii="Times New Roman" w:hAnsi="Times New Roman" w:cs="Times New Roman"/>
          <w:sz w:val="24"/>
          <w:szCs w:val="24"/>
        </w:rPr>
        <w:t>Behavioral</w:t>
      </w:r>
      <w:proofErr w:type="spellEnd"/>
      <w:r w:rsidRPr="00BC58C6">
        <w:rPr>
          <w:rFonts w:ascii="Times New Roman" w:hAnsi="Times New Roman" w:cs="Times New Roman"/>
          <w:sz w:val="24"/>
          <w:szCs w:val="24"/>
        </w:rPr>
        <w:t xml:space="preserve"> barriers also limit uptake; farmers tend to prioritize short-term gains over long-term soil restoration, especially under market volatility. Weak supply chains for biofertilizers, biopesticides, and microbial consortia restrict consistent access to high-quality biological inputs. These adoption bottlenecks underscore the importance of socio-economic, infrastructural, and policy interventions to support large-scale transitions.</w:t>
      </w:r>
    </w:p>
    <w:p w14:paraId="30209BC6" w14:textId="77777777"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Knowledge gaps in soil biology and nutrient cycling</w:t>
      </w:r>
      <w:r w:rsidRPr="00BC58C6">
        <w:rPr>
          <w:rFonts w:ascii="Times New Roman" w:hAnsi="Times New Roman" w:cs="Times New Roman"/>
          <w:sz w:val="24"/>
          <w:szCs w:val="24"/>
        </w:rPr>
        <w:br/>
        <w:t xml:space="preserve">Soil biological processes remain among the least understood components of agronomy, despite their central role in nutrient cycling, carbon sequestration, and disease suppression. Microbial interactions, enzyme-mediated nutrient transformations, and soil food-web dynamics exhibit high spatial and temporal variability, making predictive </w:t>
      </w:r>
      <w:proofErr w:type="spellStart"/>
      <w:r w:rsidRPr="00BC58C6">
        <w:rPr>
          <w:rFonts w:ascii="Times New Roman" w:hAnsi="Times New Roman" w:cs="Times New Roman"/>
          <w:sz w:val="24"/>
          <w:szCs w:val="24"/>
        </w:rPr>
        <w:t>modeling</w:t>
      </w:r>
      <w:proofErr w:type="spellEnd"/>
      <w:r w:rsidRPr="00BC58C6">
        <w:rPr>
          <w:rFonts w:ascii="Times New Roman" w:hAnsi="Times New Roman" w:cs="Times New Roman"/>
          <w:sz w:val="24"/>
          <w:szCs w:val="24"/>
        </w:rPr>
        <w:t xml:space="preserve"> difficult. Only 1–10% of soil microbial species have been cultured and characterized, leaving vast f</w:t>
      </w:r>
      <w:r w:rsidR="00685BE9">
        <w:rPr>
          <w:rFonts w:ascii="Times New Roman" w:hAnsi="Times New Roman" w:cs="Times New Roman"/>
          <w:sz w:val="24"/>
          <w:szCs w:val="24"/>
        </w:rPr>
        <w:t>unctional diversity unexplored</w:t>
      </w:r>
      <w:r w:rsidRPr="00BC58C6">
        <w:rPr>
          <w:rFonts w:ascii="Times New Roman" w:hAnsi="Times New Roman" w:cs="Times New Roman"/>
          <w:sz w:val="24"/>
          <w:szCs w:val="24"/>
        </w:rPr>
        <w:t>. Critical gaps persist in understanding the response of microbial consortia to management changes, the long-term stability of microbial inoculants, and the mechanisms that govern nutrient immobilization–mineralization synchrony. Emerging evidence suggests that root exudates regulate microbial pathways and nutrient fluxes, yet quantitative datasets describing these interactions across div</w:t>
      </w:r>
      <w:r w:rsidR="00685BE9">
        <w:rPr>
          <w:rFonts w:ascii="Times New Roman" w:hAnsi="Times New Roman" w:cs="Times New Roman"/>
          <w:sz w:val="24"/>
          <w:szCs w:val="24"/>
        </w:rPr>
        <w:t>erse soil types remain limited</w:t>
      </w:r>
      <w:r w:rsidRPr="00BC58C6">
        <w:rPr>
          <w:rFonts w:ascii="Times New Roman" w:hAnsi="Times New Roman" w:cs="Times New Roman"/>
          <w:sz w:val="24"/>
          <w:szCs w:val="24"/>
        </w:rPr>
        <w:t>. Phosphorus and micronutrient cycling—heavily influenced by biological processes—still lack holistic models that integrate microbial, chemical, and mineralogical components. These gaps constrain the development of fully optimized nutrient management frameworks.</w:t>
      </w:r>
    </w:p>
    <w:p w14:paraId="6E04D2AB" w14:textId="77777777"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Need for long-term field data and systems research</w:t>
      </w:r>
      <w:r w:rsidRPr="00BC58C6">
        <w:rPr>
          <w:rFonts w:ascii="Times New Roman" w:hAnsi="Times New Roman" w:cs="Times New Roman"/>
          <w:sz w:val="24"/>
          <w:szCs w:val="24"/>
        </w:rPr>
        <w:br/>
        <w:t xml:space="preserve">Long-term experiments (LTEs) serve as essential tools for understanding the cumulative impacts of agronomic practices on soil health, carbon stocks, nutrient </w:t>
      </w:r>
      <w:r w:rsidR="00F16934">
        <w:rPr>
          <w:rFonts w:ascii="Times New Roman" w:hAnsi="Times New Roman" w:cs="Times New Roman"/>
          <w:sz w:val="24"/>
          <w:szCs w:val="24"/>
        </w:rPr>
        <w:t xml:space="preserve">cycling, and climate resilience (Dutta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2024).</w:t>
      </w:r>
      <w:r w:rsidRPr="00BC58C6">
        <w:rPr>
          <w:rFonts w:ascii="Times New Roman" w:hAnsi="Times New Roman" w:cs="Times New Roman"/>
          <w:sz w:val="24"/>
          <w:szCs w:val="24"/>
        </w:rPr>
        <w:t xml:space="preserve"> Yet LTE coverage remains fragmented, with many agroecosystems lacking multi-decade datasets needed to develop predictive models. Scientific analyses show that soil organic matter and microbial communities require 7–20 years to exhibit stable trends in</w:t>
      </w:r>
      <w:r w:rsidR="00685BE9">
        <w:rPr>
          <w:rFonts w:ascii="Times New Roman" w:hAnsi="Times New Roman" w:cs="Times New Roman"/>
          <w:sz w:val="24"/>
          <w:szCs w:val="24"/>
        </w:rPr>
        <w:t xml:space="preserve"> response to management shifts</w:t>
      </w:r>
      <w:r w:rsidRPr="00BC58C6">
        <w:rPr>
          <w:rFonts w:ascii="Times New Roman" w:hAnsi="Times New Roman" w:cs="Times New Roman"/>
          <w:sz w:val="24"/>
          <w:szCs w:val="24"/>
        </w:rPr>
        <w:t xml:space="preserve">. The scarcity of decade-scale data limits the ability to quantify trade-offs, such as between carbon sequestration and nitrogen losses or between water conservation and salinity </w:t>
      </w:r>
      <w:proofErr w:type="spellStart"/>
      <w:r w:rsidRPr="00BC58C6">
        <w:rPr>
          <w:rFonts w:ascii="Times New Roman" w:hAnsi="Times New Roman" w:cs="Times New Roman"/>
          <w:sz w:val="24"/>
          <w:szCs w:val="24"/>
        </w:rPr>
        <w:t>buildup</w:t>
      </w:r>
      <w:proofErr w:type="spellEnd"/>
      <w:r w:rsidRPr="00BC58C6">
        <w:rPr>
          <w:rFonts w:ascii="Times New Roman" w:hAnsi="Times New Roman" w:cs="Times New Roman"/>
          <w:sz w:val="24"/>
          <w:szCs w:val="24"/>
        </w:rPr>
        <w:t xml:space="preserve">. Systems-level research integrating soil–plant–microbe–climate interactions also remains incomplete, especially for </w:t>
      </w:r>
      <w:r w:rsidRPr="00BC58C6">
        <w:rPr>
          <w:rFonts w:ascii="Times New Roman" w:hAnsi="Times New Roman" w:cs="Times New Roman"/>
          <w:sz w:val="24"/>
          <w:szCs w:val="24"/>
        </w:rPr>
        <w:lastRenderedPageBreak/>
        <w:t xml:space="preserve">diversified cropping systems, intercropping, agroforestry, and regenerative agriculture. Incorporating digital monitoring tools, remote sensing, and process-based </w:t>
      </w:r>
      <w:proofErr w:type="spellStart"/>
      <w:r w:rsidRPr="00BC58C6">
        <w:rPr>
          <w:rFonts w:ascii="Times New Roman" w:hAnsi="Times New Roman" w:cs="Times New Roman"/>
          <w:sz w:val="24"/>
          <w:szCs w:val="24"/>
        </w:rPr>
        <w:t>modeling</w:t>
      </w:r>
      <w:proofErr w:type="spellEnd"/>
      <w:r w:rsidRPr="00BC58C6">
        <w:rPr>
          <w:rFonts w:ascii="Times New Roman" w:hAnsi="Times New Roman" w:cs="Times New Roman"/>
          <w:sz w:val="24"/>
          <w:szCs w:val="24"/>
        </w:rPr>
        <w:t xml:space="preserve"> into long-term trials offers major opportunities, but requires consistent funding, multi-stakeholder collaboration, and standardized protocols. Robust long-term datasets are critical for informing policies and scaling sustainable practices.</w:t>
      </w:r>
    </w:p>
    <w:p w14:paraId="50FC77C3" w14:textId="3FD7C35C"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sz w:val="24"/>
          <w:szCs w:val="24"/>
        </w:rPr>
        <w:t>XIV. Future and Recommendations</w:t>
      </w:r>
    </w:p>
    <w:p w14:paraId="008B4584" w14:textId="77777777"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Emerging innovations and technologies</w:t>
      </w:r>
      <w:r w:rsidRPr="00BC58C6">
        <w:rPr>
          <w:rFonts w:ascii="Times New Roman" w:hAnsi="Times New Roman" w:cs="Times New Roman"/>
          <w:sz w:val="24"/>
          <w:szCs w:val="24"/>
        </w:rPr>
        <w:br/>
        <w:t>Rapid advancements in biological, digital, and ecological innovations are tr</w:t>
      </w:r>
      <w:r w:rsidR="00F16934">
        <w:rPr>
          <w:rFonts w:ascii="Times New Roman" w:hAnsi="Times New Roman" w:cs="Times New Roman"/>
          <w:sz w:val="24"/>
          <w:szCs w:val="24"/>
        </w:rPr>
        <w:t>ansforming sustainable agronomy (</w:t>
      </w:r>
      <w:proofErr w:type="spellStart"/>
      <w:r w:rsidR="00F16934">
        <w:rPr>
          <w:rFonts w:ascii="Times New Roman" w:hAnsi="Times New Roman" w:cs="Times New Roman"/>
          <w:sz w:val="24"/>
          <w:szCs w:val="24"/>
        </w:rPr>
        <w:t>Nemade</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2023).</w:t>
      </w:r>
      <w:r w:rsidRPr="00BC58C6">
        <w:rPr>
          <w:rFonts w:ascii="Times New Roman" w:hAnsi="Times New Roman" w:cs="Times New Roman"/>
          <w:sz w:val="24"/>
          <w:szCs w:val="24"/>
        </w:rPr>
        <w:t xml:space="preserve"> Breakthroughs in gene editing (CRISPR-based tools), synthetic biology, next-generation biofertilizers, and engineered microbial consortia offer new opportunities for optimizing nutrient efficiency, stress tolerance, and disease suppression. Nanotechnology is improving precision nutrient delivery, with </w:t>
      </w:r>
      <w:proofErr w:type="spellStart"/>
      <w:r w:rsidRPr="00BC58C6">
        <w:rPr>
          <w:rFonts w:ascii="Times New Roman" w:hAnsi="Times New Roman" w:cs="Times New Roman"/>
          <w:sz w:val="24"/>
          <w:szCs w:val="24"/>
        </w:rPr>
        <w:t>nano</w:t>
      </w:r>
      <w:proofErr w:type="spellEnd"/>
      <w:r w:rsidRPr="00BC58C6">
        <w:rPr>
          <w:rFonts w:ascii="Times New Roman" w:hAnsi="Times New Roman" w:cs="Times New Roman"/>
          <w:sz w:val="24"/>
          <w:szCs w:val="24"/>
        </w:rPr>
        <w:t>-fertilizers showing 15–35% higher use efficiency due to enhanced sol</w:t>
      </w:r>
      <w:r w:rsidR="00685BE9">
        <w:rPr>
          <w:rFonts w:ascii="Times New Roman" w:hAnsi="Times New Roman" w:cs="Times New Roman"/>
          <w:sz w:val="24"/>
          <w:szCs w:val="24"/>
        </w:rPr>
        <w:t>ubility and controlled release</w:t>
      </w:r>
      <w:r w:rsidRPr="00BC58C6">
        <w:rPr>
          <w:rFonts w:ascii="Times New Roman" w:hAnsi="Times New Roman" w:cs="Times New Roman"/>
          <w:sz w:val="24"/>
          <w:szCs w:val="24"/>
        </w:rPr>
        <w:t>. Real-time soil sensing platforms, AI-driven decision support systems, and remote-sensing–integrated nutrient models are enabling tailored field management. Robotics and autonomous machinery are emerging as tools for precision weeding, micro-dosing of inputs, and real-time soil sampling. Carbon-farming technologies, including digital MRV (monitoring–reporting–verification) platforms, are making carbon credit programs more accessible. These innovations collectively indicate a shift toward highly data-driven and biologically optimized agronomy.</w:t>
      </w:r>
    </w:p>
    <w:p w14:paraId="79F68BFA" w14:textId="77777777"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Strengthening farmer-scientist-industry linkages</w:t>
      </w:r>
      <w:r w:rsidRPr="00BC58C6">
        <w:rPr>
          <w:rFonts w:ascii="Times New Roman" w:hAnsi="Times New Roman" w:cs="Times New Roman"/>
          <w:sz w:val="24"/>
          <w:szCs w:val="24"/>
        </w:rPr>
        <w:br/>
        <w:t>Future agricultural sustainability depends on strong collaboration among farmers, researchers, private companies, and extension networks. Co-creation models—where farmers participate directly in testing and refining technologies—significantly improve relevance and adoption, increasing success ra</w:t>
      </w:r>
      <w:r w:rsidR="00685BE9">
        <w:rPr>
          <w:rFonts w:ascii="Times New Roman" w:hAnsi="Times New Roman" w:cs="Times New Roman"/>
          <w:sz w:val="24"/>
          <w:szCs w:val="24"/>
        </w:rPr>
        <w:t>tes of new practices by 25–40%</w:t>
      </w:r>
      <w:r w:rsidRPr="00BC58C6">
        <w:rPr>
          <w:rFonts w:ascii="Times New Roman" w:hAnsi="Times New Roman" w:cs="Times New Roman"/>
          <w:sz w:val="24"/>
          <w:szCs w:val="24"/>
        </w:rPr>
        <w:t xml:space="preserve">. Partnerships with </w:t>
      </w:r>
      <w:proofErr w:type="spellStart"/>
      <w:r w:rsidRPr="00BC58C6">
        <w:rPr>
          <w:rFonts w:ascii="Times New Roman" w:hAnsi="Times New Roman" w:cs="Times New Roman"/>
          <w:sz w:val="24"/>
          <w:szCs w:val="24"/>
        </w:rPr>
        <w:t>agritech</w:t>
      </w:r>
      <w:proofErr w:type="spellEnd"/>
      <w:r w:rsidRPr="00BC58C6">
        <w:rPr>
          <w:rFonts w:ascii="Times New Roman" w:hAnsi="Times New Roman" w:cs="Times New Roman"/>
          <w:sz w:val="24"/>
          <w:szCs w:val="24"/>
        </w:rPr>
        <w:t xml:space="preserve"> companies enable access to digital tools, soil analytics, and precision equipment that would otherwise remain inaccessible. Strengthening extension services through digital platforms, community-based learning, and public–private knowledge hubs enhances outreach efficiency and reduces information gaps. Agro-advisory systems integrating remote sensing, weather forecasts, and AI-based recommendations improve decision-making accuracy and reduce risks associated with climate variability. Multi-stakeholder platforms foster rapid innovation cycles and support the commercialization of sustainable technologies.</w:t>
      </w:r>
    </w:p>
    <w:p w14:paraId="0264EA6A" w14:textId="77777777"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Pathways toward regenerative and resilient agronomy</w:t>
      </w:r>
      <w:r w:rsidRPr="00BC58C6">
        <w:rPr>
          <w:rFonts w:ascii="Times New Roman" w:hAnsi="Times New Roman" w:cs="Times New Roman"/>
          <w:sz w:val="24"/>
          <w:szCs w:val="24"/>
        </w:rPr>
        <w:br/>
        <w:t>Regenerative agriculture emphasizes soil restoration, biodiversity enhancement, and closed-loop nutrient cycling, offering a promising pathway for climate-resilient agro</w:t>
      </w:r>
      <w:r w:rsidR="00F16934">
        <w:rPr>
          <w:rFonts w:ascii="Times New Roman" w:hAnsi="Times New Roman" w:cs="Times New Roman"/>
          <w:sz w:val="24"/>
          <w:szCs w:val="24"/>
        </w:rPr>
        <w:t xml:space="preserve">nomy (James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2024).</w:t>
      </w:r>
      <w:r w:rsidRPr="00BC58C6">
        <w:rPr>
          <w:rFonts w:ascii="Times New Roman" w:hAnsi="Times New Roman" w:cs="Times New Roman"/>
          <w:sz w:val="24"/>
          <w:szCs w:val="24"/>
        </w:rPr>
        <w:t xml:space="preserve"> Key strategies include minimum soil disturbance, organic matter enhancement, permanent soil cover, diversified rotations, and biological inputs. </w:t>
      </w:r>
      <w:proofErr w:type="spellStart"/>
      <w:r w:rsidRPr="00BC58C6">
        <w:rPr>
          <w:rFonts w:ascii="Times New Roman" w:hAnsi="Times New Roman" w:cs="Times New Roman"/>
          <w:sz w:val="24"/>
          <w:szCs w:val="24"/>
        </w:rPr>
        <w:t>Modeling</w:t>
      </w:r>
      <w:proofErr w:type="spellEnd"/>
      <w:r w:rsidRPr="00BC58C6">
        <w:rPr>
          <w:rFonts w:ascii="Times New Roman" w:hAnsi="Times New Roman" w:cs="Times New Roman"/>
          <w:sz w:val="24"/>
          <w:szCs w:val="24"/>
        </w:rPr>
        <w:t xml:space="preserve"> studies show that regenerative systems can sequester 0.5–1.2 t C ha⁻¹ yr⁻¹ while improving water infiltration by 20–40% </w:t>
      </w:r>
      <w:r w:rsidR="00685BE9">
        <w:rPr>
          <w:rFonts w:ascii="Times New Roman" w:hAnsi="Times New Roman" w:cs="Times New Roman"/>
          <w:sz w:val="24"/>
          <w:szCs w:val="24"/>
        </w:rPr>
        <w:t>and reducing erosion by 40–70%</w:t>
      </w:r>
      <w:r w:rsidRPr="00BC58C6">
        <w:rPr>
          <w:rFonts w:ascii="Times New Roman" w:hAnsi="Times New Roman" w:cs="Times New Roman"/>
          <w:sz w:val="24"/>
          <w:szCs w:val="24"/>
        </w:rPr>
        <w:t xml:space="preserve">. Integrating agroforestry, </w:t>
      </w:r>
      <w:proofErr w:type="spellStart"/>
      <w:r w:rsidRPr="00BC58C6">
        <w:rPr>
          <w:rFonts w:ascii="Times New Roman" w:hAnsi="Times New Roman" w:cs="Times New Roman"/>
          <w:sz w:val="24"/>
          <w:szCs w:val="24"/>
        </w:rPr>
        <w:t>silvopasture</w:t>
      </w:r>
      <w:proofErr w:type="spellEnd"/>
      <w:r w:rsidRPr="00BC58C6">
        <w:rPr>
          <w:rFonts w:ascii="Times New Roman" w:hAnsi="Times New Roman" w:cs="Times New Roman"/>
          <w:sz w:val="24"/>
          <w:szCs w:val="24"/>
        </w:rPr>
        <w:t xml:space="preserve">, and </w:t>
      </w:r>
      <w:r w:rsidRPr="00BC58C6">
        <w:rPr>
          <w:rFonts w:ascii="Times New Roman" w:hAnsi="Times New Roman" w:cs="Times New Roman"/>
          <w:sz w:val="24"/>
          <w:szCs w:val="24"/>
        </w:rPr>
        <w:lastRenderedPageBreak/>
        <w:t>perennial cropping increases biomass carbon and promotes climate stabilization. Landscape-level planning, including watershed-based management and ecological corridors, supports resilience against climate extremes. Policy support through carbon markets, ecosystem service payments, and climate-smart subsidies will accelerate regenerative transitions. The future of agronomy lies in systems thinking—merging ecological principles, technological innovation, and participatory governance to build resilient food systems.</w:t>
      </w:r>
    </w:p>
    <w:p w14:paraId="2A4EB49F" w14:textId="102C9149" w:rsidR="00A22888" w:rsidRPr="00A22888" w:rsidRDefault="00A22888" w:rsidP="00BB0396">
      <w:pPr>
        <w:jc w:val="both"/>
        <w:rPr>
          <w:rFonts w:ascii="Times New Roman" w:hAnsi="Times New Roman" w:cs="Times New Roman"/>
          <w:sz w:val="24"/>
          <w:szCs w:val="24"/>
        </w:rPr>
      </w:pPr>
      <w:r w:rsidRPr="00A22888">
        <w:rPr>
          <w:rFonts w:ascii="Times New Roman" w:hAnsi="Times New Roman" w:cs="Times New Roman"/>
          <w:b/>
          <w:bCs/>
          <w:sz w:val="24"/>
          <w:szCs w:val="24"/>
        </w:rPr>
        <w:t>Conclusion</w:t>
      </w:r>
    </w:p>
    <w:p w14:paraId="2873F488" w14:textId="77777777" w:rsidR="00D254DF" w:rsidRPr="00390666" w:rsidRDefault="005A500F" w:rsidP="00BB0396">
      <w:pPr>
        <w:jc w:val="both"/>
        <w:rPr>
          <w:rFonts w:ascii="Times New Roman" w:hAnsi="Times New Roman" w:cs="Times New Roman"/>
          <w:sz w:val="24"/>
          <w:szCs w:val="24"/>
        </w:rPr>
      </w:pPr>
      <w:r w:rsidRPr="00390666">
        <w:rPr>
          <w:rFonts w:ascii="Times New Roman" w:hAnsi="Times New Roman" w:cs="Times New Roman"/>
          <w:sz w:val="24"/>
          <w:szCs w:val="24"/>
        </w:rPr>
        <w:t>The collective evidence shows that sustainable agronomic innovations offer a comprehensive pathway for restoring soil health, improving resource-use efficiency, and stabilizing crop productivity under increasing climatic and ecological pressures. Integrating organic matter management, biological inputs, precision nutrient delivery, micro-irrigation, climate-resilient varieties, and digital decision-support tools strengthens soil functions, enhances nutrient cycling, and reduces environmental degradation. Long-term adoption depends on addressing socio-economic barriers, expanding farmer-oriented training, and ensuring access to reliable technologies, quality bio-inputs, and supportive policy frameworks. Strengthened linkages among farmers, researchers, and industry partners are essential for accelerating innovation uptake and refining context-specific solutions. Landscape-level approaches including regenerative agriculture, agroforestry, and carbon-positive farming models further enhance resilience and contribute to climate mitigation. Sustained investment in long-term field trials, soil biological research, and digital agriculture will be critical to guiding future strategies for resilient and productive agronomic systems.</w:t>
      </w:r>
    </w:p>
    <w:p w14:paraId="0378C4CD" w14:textId="6C443831" w:rsidR="00BC58C6" w:rsidRDefault="009773D2" w:rsidP="00BB0396">
      <w:pPr>
        <w:jc w:val="both"/>
        <w:rPr>
          <w:rFonts w:ascii="Times New Roman" w:hAnsi="Times New Roman" w:cs="Times New Roman"/>
          <w:b/>
          <w:sz w:val="24"/>
          <w:szCs w:val="24"/>
        </w:rPr>
      </w:pPr>
      <w:r w:rsidRPr="00F16934">
        <w:rPr>
          <w:rFonts w:ascii="Times New Roman" w:hAnsi="Times New Roman" w:cs="Times New Roman"/>
          <w:b/>
          <w:sz w:val="24"/>
          <w:szCs w:val="24"/>
        </w:rPr>
        <w:t>References</w:t>
      </w:r>
    </w:p>
    <w:p w14:paraId="4B229336"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t>Belete</w:t>
      </w:r>
      <w:proofErr w:type="spellEnd"/>
      <w:r w:rsidRPr="00B41F1F">
        <w:rPr>
          <w:rFonts w:ascii="Times New Roman" w:hAnsi="Times New Roman" w:cs="Times New Roman"/>
          <w:color w:val="222222"/>
          <w:shd w:val="clear" w:color="auto" w:fill="FFFFFF"/>
        </w:rPr>
        <w:t xml:space="preserve">, T., &amp; </w:t>
      </w:r>
      <w:proofErr w:type="spellStart"/>
      <w:r w:rsidRPr="00B41F1F">
        <w:rPr>
          <w:rFonts w:ascii="Times New Roman" w:hAnsi="Times New Roman" w:cs="Times New Roman"/>
          <w:color w:val="222222"/>
          <w:shd w:val="clear" w:color="auto" w:fill="FFFFFF"/>
        </w:rPr>
        <w:t>Yadete</w:t>
      </w:r>
      <w:proofErr w:type="spellEnd"/>
      <w:r w:rsidRPr="00B41F1F">
        <w:rPr>
          <w:rFonts w:ascii="Times New Roman" w:hAnsi="Times New Roman" w:cs="Times New Roman"/>
          <w:color w:val="222222"/>
          <w:shd w:val="clear" w:color="auto" w:fill="FFFFFF"/>
        </w:rPr>
        <w:t>, E. (2023). Effect of mono cropping on soil health and fertility management for sustainable agriculture practices: A review. </w:t>
      </w:r>
      <w:r w:rsidRPr="00B41F1F">
        <w:rPr>
          <w:rFonts w:ascii="Times New Roman" w:hAnsi="Times New Roman" w:cs="Times New Roman"/>
          <w:i/>
          <w:iCs/>
          <w:color w:val="222222"/>
          <w:shd w:val="clear" w:color="auto" w:fill="FFFFFF"/>
        </w:rPr>
        <w:t>Plant Sci</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11</w:t>
      </w:r>
      <w:r w:rsidRPr="00B41F1F">
        <w:rPr>
          <w:rFonts w:ascii="Times New Roman" w:hAnsi="Times New Roman" w:cs="Times New Roman"/>
          <w:color w:val="222222"/>
          <w:shd w:val="clear" w:color="auto" w:fill="FFFFFF"/>
        </w:rPr>
        <w:t>, 192-197.</w:t>
      </w:r>
    </w:p>
    <w:p w14:paraId="087654F0"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t>Pisante</w:t>
      </w:r>
      <w:proofErr w:type="spellEnd"/>
      <w:r w:rsidRPr="00B41F1F">
        <w:rPr>
          <w:rFonts w:ascii="Times New Roman" w:hAnsi="Times New Roman" w:cs="Times New Roman"/>
          <w:color w:val="222222"/>
          <w:shd w:val="clear" w:color="auto" w:fill="FFFFFF"/>
        </w:rPr>
        <w:t xml:space="preserve">, M., </w:t>
      </w:r>
      <w:proofErr w:type="spellStart"/>
      <w:r w:rsidRPr="00B41F1F">
        <w:rPr>
          <w:rFonts w:ascii="Times New Roman" w:hAnsi="Times New Roman" w:cs="Times New Roman"/>
          <w:color w:val="222222"/>
          <w:shd w:val="clear" w:color="auto" w:fill="FFFFFF"/>
        </w:rPr>
        <w:t>Stagnari</w:t>
      </w:r>
      <w:proofErr w:type="spellEnd"/>
      <w:r w:rsidRPr="00B41F1F">
        <w:rPr>
          <w:rFonts w:ascii="Times New Roman" w:hAnsi="Times New Roman" w:cs="Times New Roman"/>
          <w:color w:val="222222"/>
          <w:shd w:val="clear" w:color="auto" w:fill="FFFFFF"/>
        </w:rPr>
        <w:t>, F., &amp; Grant, C. A. (2012). Agricultural innovations for sustainable crop production intensification. </w:t>
      </w:r>
      <w:r w:rsidRPr="00B41F1F">
        <w:rPr>
          <w:rFonts w:ascii="Times New Roman" w:hAnsi="Times New Roman" w:cs="Times New Roman"/>
          <w:i/>
          <w:iCs/>
          <w:color w:val="222222"/>
          <w:shd w:val="clear" w:color="auto" w:fill="FFFFFF"/>
        </w:rPr>
        <w:t>Italian Journal of Agronomy</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7</w:t>
      </w:r>
      <w:r w:rsidRPr="00B41F1F">
        <w:rPr>
          <w:rFonts w:ascii="Times New Roman" w:hAnsi="Times New Roman" w:cs="Times New Roman"/>
          <w:color w:val="222222"/>
          <w:shd w:val="clear" w:color="auto" w:fill="FFFFFF"/>
        </w:rPr>
        <w:t>(4), e40.</w:t>
      </w:r>
    </w:p>
    <w:p w14:paraId="3EA53841"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Sekhar, M., Rastogi, M., Rajesh, C. M., </w:t>
      </w:r>
      <w:proofErr w:type="spellStart"/>
      <w:r w:rsidRPr="00B41F1F">
        <w:rPr>
          <w:rFonts w:ascii="Times New Roman" w:hAnsi="Times New Roman" w:cs="Times New Roman"/>
          <w:color w:val="222222"/>
          <w:shd w:val="clear" w:color="auto" w:fill="FFFFFF"/>
        </w:rPr>
        <w:t>Saikanth</w:t>
      </w:r>
      <w:proofErr w:type="spellEnd"/>
      <w:r w:rsidRPr="00B41F1F">
        <w:rPr>
          <w:rFonts w:ascii="Times New Roman" w:hAnsi="Times New Roman" w:cs="Times New Roman"/>
          <w:color w:val="222222"/>
          <w:shd w:val="clear" w:color="auto" w:fill="FFFFFF"/>
        </w:rPr>
        <w:t>, D. R. K., Rout, S., Kumar, S., &amp; Patel, A. K. (2024). Exploring traditional agricultural techniques integrated with modern farming for a sustainable future: A review. </w:t>
      </w:r>
      <w:r w:rsidRPr="00B41F1F">
        <w:rPr>
          <w:rFonts w:ascii="Times New Roman" w:hAnsi="Times New Roman" w:cs="Times New Roman"/>
          <w:i/>
          <w:iCs/>
          <w:color w:val="222222"/>
          <w:shd w:val="clear" w:color="auto" w:fill="FFFFFF"/>
        </w:rPr>
        <w:t>Journal of Scientific Research and Reports</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30</w:t>
      </w:r>
      <w:r w:rsidRPr="00B41F1F">
        <w:rPr>
          <w:rFonts w:ascii="Times New Roman" w:hAnsi="Times New Roman" w:cs="Times New Roman"/>
          <w:color w:val="222222"/>
          <w:shd w:val="clear" w:color="auto" w:fill="FFFFFF"/>
        </w:rPr>
        <w:t>(3), 185-198.</w:t>
      </w:r>
    </w:p>
    <w:p w14:paraId="636BF0E0"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Usharani, K. V., Roopashree, K. M., &amp; Naik, D. (2019). </w:t>
      </w:r>
      <w:r w:rsidRPr="00B41F1F">
        <w:rPr>
          <w:rFonts w:ascii="Times New Roman" w:hAnsi="Times New Roman" w:cs="Times New Roman"/>
          <w:color w:val="222222"/>
          <w:shd w:val="clear" w:color="auto" w:fill="FFFFFF"/>
        </w:rPr>
        <w:t>Role of soil physical, chemical and biological properties for soil health improvement and sustainable agriculture. </w:t>
      </w:r>
      <w:r w:rsidRPr="00B41F1F">
        <w:rPr>
          <w:rFonts w:ascii="Times New Roman" w:hAnsi="Times New Roman" w:cs="Times New Roman"/>
          <w:i/>
          <w:iCs/>
          <w:color w:val="222222"/>
          <w:shd w:val="clear" w:color="auto" w:fill="FFFFFF"/>
        </w:rPr>
        <w:t>Journal of Pharmacognosy and Phytochemistry</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8</w:t>
      </w:r>
      <w:r w:rsidRPr="00B41F1F">
        <w:rPr>
          <w:rFonts w:ascii="Times New Roman" w:hAnsi="Times New Roman" w:cs="Times New Roman"/>
          <w:color w:val="222222"/>
          <w:shd w:val="clear" w:color="auto" w:fill="FFFFFF"/>
        </w:rPr>
        <w:t>(5), 1256-1267.</w:t>
      </w:r>
    </w:p>
    <w:p w14:paraId="3F04A45B"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Weil, R. R., &amp; </w:t>
      </w:r>
      <w:proofErr w:type="spellStart"/>
      <w:r w:rsidRPr="00B41F1F">
        <w:rPr>
          <w:rFonts w:ascii="Times New Roman" w:hAnsi="Times New Roman" w:cs="Times New Roman"/>
          <w:color w:val="222222"/>
          <w:shd w:val="clear" w:color="auto" w:fill="FFFFFF"/>
        </w:rPr>
        <w:t>Magdoff</w:t>
      </w:r>
      <w:proofErr w:type="spellEnd"/>
      <w:r w:rsidRPr="00B41F1F">
        <w:rPr>
          <w:rFonts w:ascii="Times New Roman" w:hAnsi="Times New Roman" w:cs="Times New Roman"/>
          <w:color w:val="222222"/>
          <w:shd w:val="clear" w:color="auto" w:fill="FFFFFF"/>
        </w:rPr>
        <w:t>, F. (2004). Significance of soil organic matter to soil quality and health. </w:t>
      </w:r>
      <w:r w:rsidRPr="00B41F1F">
        <w:rPr>
          <w:rFonts w:ascii="Times New Roman" w:hAnsi="Times New Roman" w:cs="Times New Roman"/>
          <w:i/>
          <w:iCs/>
          <w:color w:val="222222"/>
          <w:shd w:val="clear" w:color="auto" w:fill="FFFFFF"/>
        </w:rPr>
        <w:t>Soil organic matter in sustainable agriculture</w:t>
      </w:r>
      <w:r w:rsidRPr="00B41F1F">
        <w:rPr>
          <w:rFonts w:ascii="Times New Roman" w:hAnsi="Times New Roman" w:cs="Times New Roman"/>
          <w:color w:val="222222"/>
          <w:shd w:val="clear" w:color="auto" w:fill="FFFFFF"/>
        </w:rPr>
        <w:t>, 1-43.</w:t>
      </w:r>
    </w:p>
    <w:p w14:paraId="30220EE0"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Sharma, P. K., &amp; Kumar, S. (2023). </w:t>
      </w:r>
      <w:r w:rsidRPr="00B41F1F">
        <w:rPr>
          <w:rFonts w:ascii="Times New Roman" w:hAnsi="Times New Roman" w:cs="Times New Roman"/>
          <w:color w:val="222222"/>
          <w:shd w:val="clear" w:color="auto" w:fill="FFFFFF"/>
        </w:rPr>
        <w:t>Soil structure and plant growth. In </w:t>
      </w:r>
      <w:r w:rsidRPr="00B41F1F">
        <w:rPr>
          <w:rFonts w:ascii="Times New Roman" w:hAnsi="Times New Roman" w:cs="Times New Roman"/>
          <w:i/>
          <w:iCs/>
          <w:color w:val="222222"/>
          <w:shd w:val="clear" w:color="auto" w:fill="FFFFFF"/>
        </w:rPr>
        <w:t>Soil physical environment and plant growth: Evaluation and management</w:t>
      </w:r>
      <w:r w:rsidRPr="00B41F1F">
        <w:rPr>
          <w:rFonts w:ascii="Times New Roman" w:hAnsi="Times New Roman" w:cs="Times New Roman"/>
          <w:color w:val="222222"/>
          <w:shd w:val="clear" w:color="auto" w:fill="FFFFFF"/>
        </w:rPr>
        <w:t> (pp. 125-154). Cham: Springer International Publishing.</w:t>
      </w:r>
    </w:p>
    <w:p w14:paraId="25A17CB8"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Yang, H., Xiao, Q., Huang, Y., Cai, Z., Li, D., Wu, L., ... &amp; Zhang, W. (2024). Long-term manuring facilitates glomalin-related soil proteins accumulation by chemical composition shifts and macro-aggregation formation. </w:t>
      </w:r>
      <w:r w:rsidRPr="00B41F1F">
        <w:rPr>
          <w:rFonts w:ascii="Times New Roman" w:hAnsi="Times New Roman" w:cs="Times New Roman"/>
          <w:i/>
          <w:iCs/>
          <w:color w:val="222222"/>
          <w:shd w:val="clear" w:color="auto" w:fill="FFFFFF"/>
        </w:rPr>
        <w:t>Soil and Tillage Research</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235</w:t>
      </w:r>
      <w:r w:rsidRPr="00B41F1F">
        <w:rPr>
          <w:rFonts w:ascii="Times New Roman" w:hAnsi="Times New Roman" w:cs="Times New Roman"/>
          <w:color w:val="222222"/>
          <w:shd w:val="clear" w:color="auto" w:fill="FFFFFF"/>
        </w:rPr>
        <w:t>, 105904.</w:t>
      </w:r>
    </w:p>
    <w:p w14:paraId="3F3A746A"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lastRenderedPageBreak/>
        <w:t xml:space="preserve">Lehmann, J., Bossio, D. A., </w:t>
      </w:r>
      <w:proofErr w:type="spellStart"/>
      <w:r w:rsidRPr="00B41F1F">
        <w:rPr>
          <w:rFonts w:ascii="Times New Roman" w:hAnsi="Times New Roman" w:cs="Times New Roman"/>
          <w:color w:val="222222"/>
          <w:shd w:val="clear" w:color="auto" w:fill="FFFFFF"/>
        </w:rPr>
        <w:t>Kögel-Knabner</w:t>
      </w:r>
      <w:proofErr w:type="spellEnd"/>
      <w:r w:rsidRPr="00B41F1F">
        <w:rPr>
          <w:rFonts w:ascii="Times New Roman" w:hAnsi="Times New Roman" w:cs="Times New Roman"/>
          <w:color w:val="222222"/>
          <w:shd w:val="clear" w:color="auto" w:fill="FFFFFF"/>
        </w:rPr>
        <w:t xml:space="preserve">, I., &amp; </w:t>
      </w:r>
      <w:proofErr w:type="spellStart"/>
      <w:r w:rsidRPr="00B41F1F">
        <w:rPr>
          <w:rFonts w:ascii="Times New Roman" w:hAnsi="Times New Roman" w:cs="Times New Roman"/>
          <w:color w:val="222222"/>
          <w:shd w:val="clear" w:color="auto" w:fill="FFFFFF"/>
        </w:rPr>
        <w:t>Rillig</w:t>
      </w:r>
      <w:proofErr w:type="spellEnd"/>
      <w:r w:rsidRPr="00B41F1F">
        <w:rPr>
          <w:rFonts w:ascii="Times New Roman" w:hAnsi="Times New Roman" w:cs="Times New Roman"/>
          <w:color w:val="222222"/>
          <w:shd w:val="clear" w:color="auto" w:fill="FFFFFF"/>
        </w:rPr>
        <w:t>, M. C. (2020). The concept and future prospects of soil health. </w:t>
      </w:r>
      <w:r w:rsidRPr="00B41F1F">
        <w:rPr>
          <w:rFonts w:ascii="Times New Roman" w:hAnsi="Times New Roman" w:cs="Times New Roman"/>
          <w:i/>
          <w:iCs/>
          <w:color w:val="222222"/>
          <w:shd w:val="clear" w:color="auto" w:fill="FFFFFF"/>
        </w:rPr>
        <w:t>Nature Reviews Earth &amp; Environment</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w:t>
      </w:r>
      <w:r w:rsidRPr="00B41F1F">
        <w:rPr>
          <w:rFonts w:ascii="Times New Roman" w:hAnsi="Times New Roman" w:cs="Times New Roman"/>
          <w:color w:val="222222"/>
          <w:shd w:val="clear" w:color="auto" w:fill="FFFFFF"/>
        </w:rPr>
        <w:t>(10), 544-553.</w:t>
      </w:r>
    </w:p>
    <w:p w14:paraId="4090CA9E"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Nair, P. R., Kumar, B. M., &amp; Nair, V. D. (2022). Soil organic matter (SOM) and nutrient cycling. In </w:t>
      </w:r>
      <w:r w:rsidRPr="00B41F1F">
        <w:rPr>
          <w:rFonts w:ascii="Times New Roman" w:hAnsi="Times New Roman" w:cs="Times New Roman"/>
          <w:i/>
          <w:iCs/>
          <w:color w:val="222222"/>
          <w:shd w:val="clear" w:color="auto" w:fill="FFFFFF"/>
        </w:rPr>
        <w:t>An introduction to agroforestry: Four decades of scientific developments</w:t>
      </w:r>
      <w:r w:rsidRPr="00B41F1F">
        <w:rPr>
          <w:rFonts w:ascii="Times New Roman" w:hAnsi="Times New Roman" w:cs="Times New Roman"/>
          <w:color w:val="222222"/>
          <w:shd w:val="clear" w:color="auto" w:fill="FFFFFF"/>
        </w:rPr>
        <w:t> (pp. 383-411). Cham: Springer International Publishing.</w:t>
      </w:r>
    </w:p>
    <w:p w14:paraId="0DB9ED83"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Liu, S., Hu, H., &amp; Wen, L. (2025). Three-dimensional dynamic </w:t>
      </w:r>
      <w:proofErr w:type="spellStart"/>
      <w:r w:rsidRPr="00B41F1F">
        <w:rPr>
          <w:rFonts w:ascii="Times New Roman" w:hAnsi="Times New Roman" w:cs="Times New Roman"/>
          <w:color w:val="222222"/>
          <w:shd w:val="clear" w:color="auto" w:fill="FFFFFF"/>
        </w:rPr>
        <w:t>modeling</w:t>
      </w:r>
      <w:proofErr w:type="spellEnd"/>
      <w:r w:rsidRPr="00B41F1F">
        <w:rPr>
          <w:rFonts w:ascii="Times New Roman" w:hAnsi="Times New Roman" w:cs="Times New Roman"/>
          <w:color w:val="222222"/>
          <w:shd w:val="clear" w:color="auto" w:fill="FFFFFF"/>
        </w:rPr>
        <w:t xml:space="preserve"> of soil aggregate structure and root interaction based on artificial intelligence and its application in nitrogen uptake. </w:t>
      </w:r>
      <w:r w:rsidRPr="00B41F1F">
        <w:rPr>
          <w:rFonts w:ascii="Times New Roman" w:hAnsi="Times New Roman" w:cs="Times New Roman"/>
          <w:i/>
          <w:iCs/>
          <w:color w:val="222222"/>
          <w:shd w:val="clear" w:color="auto" w:fill="FFFFFF"/>
        </w:rPr>
        <w:t>Advances in Resources Research</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5</w:t>
      </w:r>
      <w:r w:rsidRPr="00B41F1F">
        <w:rPr>
          <w:rFonts w:ascii="Times New Roman" w:hAnsi="Times New Roman" w:cs="Times New Roman"/>
          <w:color w:val="222222"/>
          <w:shd w:val="clear" w:color="auto" w:fill="FFFFFF"/>
        </w:rPr>
        <w:t>(2), 895-918.</w:t>
      </w:r>
    </w:p>
    <w:p w14:paraId="30D97376"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Verma, B. C., </w:t>
      </w:r>
      <w:proofErr w:type="spellStart"/>
      <w:r w:rsidRPr="00B41F1F">
        <w:rPr>
          <w:rFonts w:ascii="Times New Roman" w:hAnsi="Times New Roman" w:cs="Times New Roman"/>
          <w:color w:val="222222"/>
          <w:shd w:val="clear" w:color="auto" w:fill="FFFFFF"/>
        </w:rPr>
        <w:t>Pramanik</w:t>
      </w:r>
      <w:proofErr w:type="spellEnd"/>
      <w:r w:rsidRPr="00B41F1F">
        <w:rPr>
          <w:rFonts w:ascii="Times New Roman" w:hAnsi="Times New Roman" w:cs="Times New Roman"/>
          <w:color w:val="222222"/>
          <w:shd w:val="clear" w:color="auto" w:fill="FFFFFF"/>
        </w:rPr>
        <w:t xml:space="preserve">, P., &amp; </w:t>
      </w:r>
      <w:proofErr w:type="spellStart"/>
      <w:r w:rsidRPr="00B41F1F">
        <w:rPr>
          <w:rFonts w:ascii="Times New Roman" w:hAnsi="Times New Roman" w:cs="Times New Roman"/>
          <w:color w:val="222222"/>
          <w:shd w:val="clear" w:color="auto" w:fill="FFFFFF"/>
        </w:rPr>
        <w:t>Bhaduri</w:t>
      </w:r>
      <w:proofErr w:type="spellEnd"/>
      <w:r w:rsidRPr="00B41F1F">
        <w:rPr>
          <w:rFonts w:ascii="Times New Roman" w:hAnsi="Times New Roman" w:cs="Times New Roman"/>
          <w:color w:val="222222"/>
          <w:shd w:val="clear" w:color="auto" w:fill="FFFFFF"/>
        </w:rPr>
        <w:t>, D. (2019). Organic fertilizers for sustainable soil and environmental management. In </w:t>
      </w:r>
      <w:r w:rsidRPr="00B41F1F">
        <w:rPr>
          <w:rFonts w:ascii="Times New Roman" w:hAnsi="Times New Roman" w:cs="Times New Roman"/>
          <w:i/>
          <w:iCs/>
          <w:color w:val="222222"/>
          <w:shd w:val="clear" w:color="auto" w:fill="FFFFFF"/>
        </w:rPr>
        <w:t>Nutrient dynamics for sustainable crop production</w:t>
      </w:r>
      <w:r w:rsidRPr="00B41F1F">
        <w:rPr>
          <w:rFonts w:ascii="Times New Roman" w:hAnsi="Times New Roman" w:cs="Times New Roman"/>
          <w:color w:val="222222"/>
          <w:shd w:val="clear" w:color="auto" w:fill="FFFFFF"/>
        </w:rPr>
        <w:t> (pp. 289-313). Singapore: Springer Singapore.</w:t>
      </w:r>
    </w:p>
    <w:p w14:paraId="212F4A8A"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t>Kocira</w:t>
      </w:r>
      <w:proofErr w:type="spellEnd"/>
      <w:r w:rsidRPr="00B41F1F">
        <w:rPr>
          <w:rFonts w:ascii="Times New Roman" w:hAnsi="Times New Roman" w:cs="Times New Roman"/>
          <w:color w:val="222222"/>
          <w:shd w:val="clear" w:color="auto" w:fill="FFFFFF"/>
        </w:rPr>
        <w:t xml:space="preserve">, A., </w:t>
      </w:r>
      <w:proofErr w:type="spellStart"/>
      <w:r w:rsidRPr="00B41F1F">
        <w:rPr>
          <w:rFonts w:ascii="Times New Roman" w:hAnsi="Times New Roman" w:cs="Times New Roman"/>
          <w:color w:val="222222"/>
          <w:shd w:val="clear" w:color="auto" w:fill="FFFFFF"/>
        </w:rPr>
        <w:t>Staniak</w:t>
      </w:r>
      <w:proofErr w:type="spellEnd"/>
      <w:r w:rsidRPr="00B41F1F">
        <w:rPr>
          <w:rFonts w:ascii="Times New Roman" w:hAnsi="Times New Roman" w:cs="Times New Roman"/>
          <w:color w:val="222222"/>
          <w:shd w:val="clear" w:color="auto" w:fill="FFFFFF"/>
        </w:rPr>
        <w:t xml:space="preserve">, M., </w:t>
      </w:r>
      <w:proofErr w:type="spellStart"/>
      <w:r w:rsidRPr="00B41F1F">
        <w:rPr>
          <w:rFonts w:ascii="Times New Roman" w:hAnsi="Times New Roman" w:cs="Times New Roman"/>
          <w:color w:val="222222"/>
          <w:shd w:val="clear" w:color="auto" w:fill="FFFFFF"/>
        </w:rPr>
        <w:t>Tomaszewska</w:t>
      </w:r>
      <w:proofErr w:type="spellEnd"/>
      <w:r w:rsidRPr="00B41F1F">
        <w:rPr>
          <w:rFonts w:ascii="Times New Roman" w:hAnsi="Times New Roman" w:cs="Times New Roman"/>
          <w:color w:val="222222"/>
          <w:shd w:val="clear" w:color="auto" w:fill="FFFFFF"/>
        </w:rPr>
        <w:t xml:space="preserve">, M., </w:t>
      </w:r>
      <w:proofErr w:type="spellStart"/>
      <w:r w:rsidRPr="00B41F1F">
        <w:rPr>
          <w:rFonts w:ascii="Times New Roman" w:hAnsi="Times New Roman" w:cs="Times New Roman"/>
          <w:color w:val="222222"/>
          <w:shd w:val="clear" w:color="auto" w:fill="FFFFFF"/>
        </w:rPr>
        <w:t>Kornas</w:t>
      </w:r>
      <w:proofErr w:type="spellEnd"/>
      <w:r w:rsidRPr="00B41F1F">
        <w:rPr>
          <w:rFonts w:ascii="Times New Roman" w:hAnsi="Times New Roman" w:cs="Times New Roman"/>
          <w:color w:val="222222"/>
          <w:shd w:val="clear" w:color="auto" w:fill="FFFFFF"/>
        </w:rPr>
        <w:t xml:space="preserve">, R., </w:t>
      </w:r>
      <w:proofErr w:type="spellStart"/>
      <w:r w:rsidRPr="00B41F1F">
        <w:rPr>
          <w:rFonts w:ascii="Times New Roman" w:hAnsi="Times New Roman" w:cs="Times New Roman"/>
          <w:color w:val="222222"/>
          <w:shd w:val="clear" w:color="auto" w:fill="FFFFFF"/>
        </w:rPr>
        <w:t>Cymerman</w:t>
      </w:r>
      <w:proofErr w:type="spellEnd"/>
      <w:r w:rsidRPr="00B41F1F">
        <w:rPr>
          <w:rFonts w:ascii="Times New Roman" w:hAnsi="Times New Roman" w:cs="Times New Roman"/>
          <w:color w:val="222222"/>
          <w:shd w:val="clear" w:color="auto" w:fill="FFFFFF"/>
        </w:rPr>
        <w:t xml:space="preserve">, J., </w:t>
      </w:r>
      <w:proofErr w:type="spellStart"/>
      <w:r w:rsidRPr="00B41F1F">
        <w:rPr>
          <w:rFonts w:ascii="Times New Roman" w:hAnsi="Times New Roman" w:cs="Times New Roman"/>
          <w:color w:val="222222"/>
          <w:shd w:val="clear" w:color="auto" w:fill="FFFFFF"/>
        </w:rPr>
        <w:t>Panasiewicz</w:t>
      </w:r>
      <w:proofErr w:type="spellEnd"/>
      <w:r w:rsidRPr="00B41F1F">
        <w:rPr>
          <w:rFonts w:ascii="Times New Roman" w:hAnsi="Times New Roman" w:cs="Times New Roman"/>
          <w:color w:val="222222"/>
          <w:shd w:val="clear" w:color="auto" w:fill="FFFFFF"/>
        </w:rPr>
        <w:t xml:space="preserve">, K., &amp; </w:t>
      </w:r>
      <w:proofErr w:type="spellStart"/>
      <w:r w:rsidRPr="00B41F1F">
        <w:rPr>
          <w:rFonts w:ascii="Times New Roman" w:hAnsi="Times New Roman" w:cs="Times New Roman"/>
          <w:color w:val="222222"/>
          <w:shd w:val="clear" w:color="auto" w:fill="FFFFFF"/>
        </w:rPr>
        <w:t>Lipińska</w:t>
      </w:r>
      <w:proofErr w:type="spellEnd"/>
      <w:r w:rsidRPr="00B41F1F">
        <w:rPr>
          <w:rFonts w:ascii="Times New Roman" w:hAnsi="Times New Roman" w:cs="Times New Roman"/>
          <w:color w:val="222222"/>
          <w:shd w:val="clear" w:color="auto" w:fill="FFFFFF"/>
        </w:rPr>
        <w:t>, H. (2020). Legume cover crops as one of the elements of strategic weed management and soil quality improvement. A review. </w:t>
      </w:r>
      <w:r w:rsidRPr="00B41F1F">
        <w:rPr>
          <w:rFonts w:ascii="Times New Roman" w:hAnsi="Times New Roman" w:cs="Times New Roman"/>
          <w:i/>
          <w:iCs/>
          <w:color w:val="222222"/>
          <w:shd w:val="clear" w:color="auto" w:fill="FFFFFF"/>
        </w:rPr>
        <w:t>Agriculture</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10</w:t>
      </w:r>
      <w:r w:rsidRPr="00B41F1F">
        <w:rPr>
          <w:rFonts w:ascii="Times New Roman" w:hAnsi="Times New Roman" w:cs="Times New Roman"/>
          <w:color w:val="222222"/>
          <w:shd w:val="clear" w:color="auto" w:fill="FFFFFF"/>
        </w:rPr>
        <w:t>(9), 394.</w:t>
      </w:r>
    </w:p>
    <w:p w14:paraId="2E4B4D5A"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Kavya, S. R., Rani, B., Banu, M. R., &amp; Jabin, P. P. (2023). </w:t>
      </w:r>
      <w:r w:rsidRPr="00B41F1F">
        <w:rPr>
          <w:rFonts w:ascii="Times New Roman" w:hAnsi="Times New Roman" w:cs="Times New Roman"/>
          <w:color w:val="222222"/>
          <w:shd w:val="clear" w:color="auto" w:fill="FFFFFF"/>
        </w:rPr>
        <w:t>Carbon sequestration and stabilisation mechanisms in the agricultural soils: A review. </w:t>
      </w:r>
      <w:r w:rsidRPr="00B41F1F">
        <w:rPr>
          <w:rFonts w:ascii="Times New Roman" w:hAnsi="Times New Roman" w:cs="Times New Roman"/>
          <w:i/>
          <w:iCs/>
          <w:color w:val="222222"/>
          <w:shd w:val="clear" w:color="auto" w:fill="FFFFFF"/>
        </w:rPr>
        <w:t>Int. J. Plant Soil Sci</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35</w:t>
      </w:r>
      <w:r w:rsidRPr="00B41F1F">
        <w:rPr>
          <w:rFonts w:ascii="Times New Roman" w:hAnsi="Times New Roman" w:cs="Times New Roman"/>
          <w:color w:val="222222"/>
          <w:shd w:val="clear" w:color="auto" w:fill="FFFFFF"/>
        </w:rPr>
        <w:t>(13), 79-94.</w:t>
      </w:r>
    </w:p>
    <w:p w14:paraId="19E33889"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Jat, L. K., Singh, Y. V., Meena, S. K., Meena, S. K., Parihar, M., Jatav, H. S., ... </w:t>
      </w:r>
      <w:r w:rsidRPr="00B41F1F">
        <w:rPr>
          <w:rFonts w:ascii="Times New Roman" w:hAnsi="Times New Roman" w:cs="Times New Roman"/>
          <w:color w:val="222222"/>
          <w:shd w:val="clear" w:color="auto" w:fill="FFFFFF"/>
        </w:rPr>
        <w:t>&amp; Meena, V. S. (2015). Does integrated nutrient management enhance agricultural productivity. </w:t>
      </w:r>
      <w:r w:rsidRPr="00B41F1F">
        <w:rPr>
          <w:rFonts w:ascii="Times New Roman" w:hAnsi="Times New Roman" w:cs="Times New Roman"/>
          <w:i/>
          <w:iCs/>
          <w:color w:val="222222"/>
          <w:shd w:val="clear" w:color="auto" w:fill="FFFFFF"/>
        </w:rPr>
        <w:t xml:space="preserve">J Pure </w:t>
      </w:r>
      <w:proofErr w:type="spellStart"/>
      <w:r w:rsidRPr="00B41F1F">
        <w:rPr>
          <w:rFonts w:ascii="Times New Roman" w:hAnsi="Times New Roman" w:cs="Times New Roman"/>
          <w:i/>
          <w:iCs/>
          <w:color w:val="222222"/>
          <w:shd w:val="clear" w:color="auto" w:fill="FFFFFF"/>
        </w:rPr>
        <w:t>Appl</w:t>
      </w:r>
      <w:proofErr w:type="spellEnd"/>
      <w:r w:rsidRPr="00B41F1F">
        <w:rPr>
          <w:rFonts w:ascii="Times New Roman" w:hAnsi="Times New Roman" w:cs="Times New Roman"/>
          <w:i/>
          <w:iCs/>
          <w:color w:val="222222"/>
          <w:shd w:val="clear" w:color="auto" w:fill="FFFFFF"/>
        </w:rPr>
        <w:t xml:space="preserve"> </w:t>
      </w:r>
      <w:proofErr w:type="spellStart"/>
      <w:r w:rsidRPr="00B41F1F">
        <w:rPr>
          <w:rFonts w:ascii="Times New Roman" w:hAnsi="Times New Roman" w:cs="Times New Roman"/>
          <w:i/>
          <w:iCs/>
          <w:color w:val="222222"/>
          <w:shd w:val="clear" w:color="auto" w:fill="FFFFFF"/>
        </w:rPr>
        <w:t>Microbiol</w:t>
      </w:r>
      <w:proofErr w:type="spellEnd"/>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9</w:t>
      </w:r>
      <w:r w:rsidRPr="00B41F1F">
        <w:rPr>
          <w:rFonts w:ascii="Times New Roman" w:hAnsi="Times New Roman" w:cs="Times New Roman"/>
          <w:color w:val="222222"/>
          <w:shd w:val="clear" w:color="auto" w:fill="FFFFFF"/>
        </w:rPr>
        <w:t>(2), 1211-1221.</w:t>
      </w:r>
    </w:p>
    <w:p w14:paraId="3CFC9425"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Gehlot, P., Pareek, N., &amp; Vivekanand, V. (2021). </w:t>
      </w:r>
      <w:r w:rsidRPr="00B41F1F">
        <w:rPr>
          <w:rFonts w:ascii="Times New Roman" w:hAnsi="Times New Roman" w:cs="Times New Roman"/>
          <w:color w:val="222222"/>
          <w:shd w:val="clear" w:color="auto" w:fill="FFFFFF"/>
        </w:rPr>
        <w:t>Development of biofertilizers and microbial consortium an approach to sustainable agriculture practices. In </w:t>
      </w:r>
      <w:r w:rsidRPr="00B41F1F">
        <w:rPr>
          <w:rFonts w:ascii="Times New Roman" w:hAnsi="Times New Roman" w:cs="Times New Roman"/>
          <w:i/>
          <w:iCs/>
          <w:color w:val="222222"/>
          <w:shd w:val="clear" w:color="auto" w:fill="FFFFFF"/>
        </w:rPr>
        <w:t>Plant, Soil and Microbes in Tropical Ecosystems</w:t>
      </w:r>
      <w:r w:rsidRPr="00B41F1F">
        <w:rPr>
          <w:rFonts w:ascii="Times New Roman" w:hAnsi="Times New Roman" w:cs="Times New Roman"/>
          <w:color w:val="222222"/>
          <w:shd w:val="clear" w:color="auto" w:fill="FFFFFF"/>
        </w:rPr>
        <w:t> (pp. 315-348). Singapore: Springer Singapore.</w:t>
      </w:r>
    </w:p>
    <w:p w14:paraId="40CC2802"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Guo, H., White, J. C., Wang, Z., &amp; Xing, B. (2018). Nano-enabled fertilizers to control the release and use efficiency of nutrients. </w:t>
      </w:r>
      <w:r w:rsidRPr="00B41F1F">
        <w:rPr>
          <w:rFonts w:ascii="Times New Roman" w:hAnsi="Times New Roman" w:cs="Times New Roman"/>
          <w:i/>
          <w:iCs/>
          <w:color w:val="222222"/>
          <w:shd w:val="clear" w:color="auto" w:fill="FFFFFF"/>
        </w:rPr>
        <w:t>Current Opinion in Environmental Science &amp; Health</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6</w:t>
      </w:r>
      <w:r w:rsidRPr="00B41F1F">
        <w:rPr>
          <w:rFonts w:ascii="Times New Roman" w:hAnsi="Times New Roman" w:cs="Times New Roman"/>
          <w:color w:val="222222"/>
          <w:shd w:val="clear" w:color="auto" w:fill="FFFFFF"/>
        </w:rPr>
        <w:t>, 77-83.</w:t>
      </w:r>
    </w:p>
    <w:p w14:paraId="7327A306"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t>Vohland</w:t>
      </w:r>
      <w:proofErr w:type="spellEnd"/>
      <w:r w:rsidRPr="00B41F1F">
        <w:rPr>
          <w:rFonts w:ascii="Times New Roman" w:hAnsi="Times New Roman" w:cs="Times New Roman"/>
          <w:color w:val="222222"/>
          <w:shd w:val="clear" w:color="auto" w:fill="FFFFFF"/>
        </w:rPr>
        <w:t>, K., &amp; Barry, B. (2009). A review of in situ rainwater harvesting (RWH) practices modifying landscape functions in African drylands. </w:t>
      </w:r>
      <w:r w:rsidRPr="00B41F1F">
        <w:rPr>
          <w:rFonts w:ascii="Times New Roman" w:hAnsi="Times New Roman" w:cs="Times New Roman"/>
          <w:i/>
          <w:iCs/>
          <w:color w:val="222222"/>
          <w:shd w:val="clear" w:color="auto" w:fill="FFFFFF"/>
        </w:rPr>
        <w:t>Agriculture, Ecosystems &amp; Environment</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131</w:t>
      </w:r>
      <w:r w:rsidRPr="00B41F1F">
        <w:rPr>
          <w:rFonts w:ascii="Times New Roman" w:hAnsi="Times New Roman" w:cs="Times New Roman"/>
          <w:color w:val="222222"/>
          <w:shd w:val="clear" w:color="auto" w:fill="FFFFFF"/>
        </w:rPr>
        <w:t>(3-4), 119-127.</w:t>
      </w:r>
    </w:p>
    <w:p w14:paraId="52A61643"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Fanourakis, D., Tsaniklidis, G., Makraki, T., Nikoloudakis, N., Bartzanas, T., Sabatino, L., ... </w:t>
      </w:r>
      <w:r w:rsidRPr="00B41F1F">
        <w:rPr>
          <w:rFonts w:ascii="Times New Roman" w:hAnsi="Times New Roman" w:cs="Times New Roman"/>
          <w:color w:val="222222"/>
          <w:shd w:val="clear" w:color="auto" w:fill="FFFFFF"/>
        </w:rPr>
        <w:t xml:space="preserve">&amp; </w:t>
      </w:r>
      <w:proofErr w:type="spellStart"/>
      <w:r w:rsidRPr="00B41F1F">
        <w:rPr>
          <w:rFonts w:ascii="Times New Roman" w:hAnsi="Times New Roman" w:cs="Times New Roman"/>
          <w:color w:val="222222"/>
          <w:shd w:val="clear" w:color="auto" w:fill="FFFFFF"/>
        </w:rPr>
        <w:t>Ntatsi</w:t>
      </w:r>
      <w:proofErr w:type="spellEnd"/>
      <w:r w:rsidRPr="00B41F1F">
        <w:rPr>
          <w:rFonts w:ascii="Times New Roman" w:hAnsi="Times New Roman" w:cs="Times New Roman"/>
          <w:color w:val="222222"/>
          <w:shd w:val="clear" w:color="auto" w:fill="FFFFFF"/>
        </w:rPr>
        <w:t>, G. (2022). </w:t>
      </w:r>
      <w:r w:rsidRPr="00B41F1F">
        <w:rPr>
          <w:rFonts w:ascii="Times New Roman" w:hAnsi="Times New Roman" w:cs="Times New Roman"/>
          <w:i/>
          <w:iCs/>
          <w:color w:val="222222"/>
          <w:shd w:val="clear" w:color="auto" w:fill="FFFFFF"/>
        </w:rPr>
        <w:t>Climate Change Impacts on Greenhouse Horticulture in the Mediterranean Basin: Challenges and Adaptation Strategies. Plants 2025, 14, 3390</w:t>
      </w:r>
      <w:r w:rsidRPr="00B41F1F">
        <w:rPr>
          <w:rFonts w:ascii="Times New Roman" w:hAnsi="Times New Roman" w:cs="Times New Roman"/>
          <w:color w:val="222222"/>
          <w:shd w:val="clear" w:color="auto" w:fill="FFFFFF"/>
        </w:rPr>
        <w:t>. J. Biol. Environ. Sci.</w:t>
      </w:r>
    </w:p>
    <w:p w14:paraId="48B0F68F"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Khaliq, A., </w:t>
      </w:r>
      <w:proofErr w:type="spellStart"/>
      <w:r w:rsidRPr="00B41F1F">
        <w:rPr>
          <w:rFonts w:ascii="Times New Roman" w:hAnsi="Times New Roman" w:cs="Times New Roman"/>
          <w:color w:val="222222"/>
          <w:shd w:val="clear" w:color="auto" w:fill="FFFFFF"/>
        </w:rPr>
        <w:t>Perveen</w:t>
      </w:r>
      <w:proofErr w:type="spellEnd"/>
      <w:r w:rsidRPr="00B41F1F">
        <w:rPr>
          <w:rFonts w:ascii="Times New Roman" w:hAnsi="Times New Roman" w:cs="Times New Roman"/>
          <w:color w:val="222222"/>
          <w:shd w:val="clear" w:color="auto" w:fill="FFFFFF"/>
        </w:rPr>
        <w:t xml:space="preserve">, S., </w:t>
      </w:r>
      <w:proofErr w:type="spellStart"/>
      <w:r w:rsidRPr="00B41F1F">
        <w:rPr>
          <w:rFonts w:ascii="Times New Roman" w:hAnsi="Times New Roman" w:cs="Times New Roman"/>
          <w:color w:val="222222"/>
          <w:shd w:val="clear" w:color="auto" w:fill="FFFFFF"/>
        </w:rPr>
        <w:t>Alamer</w:t>
      </w:r>
      <w:proofErr w:type="spellEnd"/>
      <w:r w:rsidRPr="00B41F1F">
        <w:rPr>
          <w:rFonts w:ascii="Times New Roman" w:hAnsi="Times New Roman" w:cs="Times New Roman"/>
          <w:color w:val="222222"/>
          <w:shd w:val="clear" w:color="auto" w:fill="FFFFFF"/>
        </w:rPr>
        <w:t xml:space="preserve">, K. H., Zia </w:t>
      </w:r>
      <w:proofErr w:type="spellStart"/>
      <w:r w:rsidRPr="00B41F1F">
        <w:rPr>
          <w:rFonts w:ascii="Times New Roman" w:hAnsi="Times New Roman" w:cs="Times New Roman"/>
          <w:color w:val="222222"/>
          <w:shd w:val="clear" w:color="auto" w:fill="FFFFFF"/>
        </w:rPr>
        <w:t>Ul</w:t>
      </w:r>
      <w:proofErr w:type="spellEnd"/>
      <w:r w:rsidRPr="00B41F1F">
        <w:rPr>
          <w:rFonts w:ascii="Times New Roman" w:hAnsi="Times New Roman" w:cs="Times New Roman"/>
          <w:color w:val="222222"/>
          <w:shd w:val="clear" w:color="auto" w:fill="FFFFFF"/>
        </w:rPr>
        <w:t xml:space="preserve"> </w:t>
      </w:r>
      <w:proofErr w:type="spellStart"/>
      <w:r w:rsidRPr="00B41F1F">
        <w:rPr>
          <w:rFonts w:ascii="Times New Roman" w:hAnsi="Times New Roman" w:cs="Times New Roman"/>
          <w:color w:val="222222"/>
          <w:shd w:val="clear" w:color="auto" w:fill="FFFFFF"/>
        </w:rPr>
        <w:t>Haq</w:t>
      </w:r>
      <w:proofErr w:type="spellEnd"/>
      <w:r w:rsidRPr="00B41F1F">
        <w:rPr>
          <w:rFonts w:ascii="Times New Roman" w:hAnsi="Times New Roman" w:cs="Times New Roman"/>
          <w:color w:val="222222"/>
          <w:shd w:val="clear" w:color="auto" w:fill="FFFFFF"/>
        </w:rPr>
        <w:t xml:space="preserve">, M., Rafique, Z., </w:t>
      </w:r>
      <w:proofErr w:type="spellStart"/>
      <w:r w:rsidRPr="00B41F1F">
        <w:rPr>
          <w:rFonts w:ascii="Times New Roman" w:hAnsi="Times New Roman" w:cs="Times New Roman"/>
          <w:color w:val="222222"/>
          <w:shd w:val="clear" w:color="auto" w:fill="FFFFFF"/>
        </w:rPr>
        <w:t>Alsudays</w:t>
      </w:r>
      <w:proofErr w:type="spellEnd"/>
      <w:r w:rsidRPr="00B41F1F">
        <w:rPr>
          <w:rFonts w:ascii="Times New Roman" w:hAnsi="Times New Roman" w:cs="Times New Roman"/>
          <w:color w:val="222222"/>
          <w:shd w:val="clear" w:color="auto" w:fill="FFFFFF"/>
        </w:rPr>
        <w:t>, I. M., ... &amp; Attia, H. (2022). Arbuscular mycorrhizal fungi symbiosis to enhance plant–soil interaction. </w:t>
      </w:r>
      <w:r w:rsidRPr="00B41F1F">
        <w:rPr>
          <w:rFonts w:ascii="Times New Roman" w:hAnsi="Times New Roman" w:cs="Times New Roman"/>
          <w:i/>
          <w:iCs/>
          <w:color w:val="222222"/>
          <w:shd w:val="clear" w:color="auto" w:fill="FFFFFF"/>
        </w:rPr>
        <w:t>Sustainability</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14</w:t>
      </w:r>
      <w:r w:rsidRPr="00B41F1F">
        <w:rPr>
          <w:rFonts w:ascii="Times New Roman" w:hAnsi="Times New Roman" w:cs="Times New Roman"/>
          <w:color w:val="222222"/>
          <w:shd w:val="clear" w:color="auto" w:fill="FFFFFF"/>
        </w:rPr>
        <w:t>(13), 7840.</w:t>
      </w:r>
    </w:p>
    <w:p w14:paraId="47EFAD35"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Spadaro, D., &amp; </w:t>
      </w:r>
      <w:proofErr w:type="spellStart"/>
      <w:r w:rsidRPr="00B41F1F">
        <w:rPr>
          <w:rFonts w:ascii="Times New Roman" w:hAnsi="Times New Roman" w:cs="Times New Roman"/>
          <w:color w:val="222222"/>
          <w:shd w:val="clear" w:color="auto" w:fill="FFFFFF"/>
        </w:rPr>
        <w:t>Gullino</w:t>
      </w:r>
      <w:proofErr w:type="spellEnd"/>
      <w:r w:rsidRPr="00B41F1F">
        <w:rPr>
          <w:rFonts w:ascii="Times New Roman" w:hAnsi="Times New Roman" w:cs="Times New Roman"/>
          <w:color w:val="222222"/>
          <w:shd w:val="clear" w:color="auto" w:fill="FFFFFF"/>
        </w:rPr>
        <w:t>, M. L. (2005). Improving the efficacy of biocontrol agents against soilborne pathogens. </w:t>
      </w:r>
      <w:r w:rsidRPr="00B41F1F">
        <w:rPr>
          <w:rFonts w:ascii="Times New Roman" w:hAnsi="Times New Roman" w:cs="Times New Roman"/>
          <w:i/>
          <w:iCs/>
          <w:color w:val="222222"/>
          <w:shd w:val="clear" w:color="auto" w:fill="FFFFFF"/>
        </w:rPr>
        <w:t>Crop protection</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24</w:t>
      </w:r>
      <w:r w:rsidRPr="00B41F1F">
        <w:rPr>
          <w:rFonts w:ascii="Times New Roman" w:hAnsi="Times New Roman" w:cs="Times New Roman"/>
          <w:color w:val="222222"/>
          <w:shd w:val="clear" w:color="auto" w:fill="FFFFFF"/>
        </w:rPr>
        <w:t>(7), 601-613.</w:t>
      </w:r>
    </w:p>
    <w:p w14:paraId="50D49B40"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Fan, Y., Wang, X., Funk, T., Rashid, I., Herman, B., </w:t>
      </w:r>
      <w:proofErr w:type="spellStart"/>
      <w:r w:rsidRPr="00B41F1F">
        <w:rPr>
          <w:rFonts w:ascii="Times New Roman" w:hAnsi="Times New Roman" w:cs="Times New Roman"/>
          <w:color w:val="222222"/>
          <w:shd w:val="clear" w:color="auto" w:fill="FFFFFF"/>
        </w:rPr>
        <w:t>Bompoti</w:t>
      </w:r>
      <w:proofErr w:type="spellEnd"/>
      <w:r w:rsidRPr="00B41F1F">
        <w:rPr>
          <w:rFonts w:ascii="Times New Roman" w:hAnsi="Times New Roman" w:cs="Times New Roman"/>
          <w:color w:val="222222"/>
          <w:shd w:val="clear" w:color="auto" w:fill="FFFFFF"/>
        </w:rPr>
        <w:t>, N., ... &amp; Li, B. (2022). A critical review for real-time continuous soil monitoring: Advantages, challenges, and perspectives. </w:t>
      </w:r>
      <w:r w:rsidRPr="00B41F1F">
        <w:rPr>
          <w:rFonts w:ascii="Times New Roman" w:hAnsi="Times New Roman" w:cs="Times New Roman"/>
          <w:i/>
          <w:iCs/>
          <w:color w:val="222222"/>
          <w:shd w:val="clear" w:color="auto" w:fill="FFFFFF"/>
        </w:rPr>
        <w:t>Environmental Science &amp; Technology</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56</w:t>
      </w:r>
      <w:r w:rsidRPr="00B41F1F">
        <w:rPr>
          <w:rFonts w:ascii="Times New Roman" w:hAnsi="Times New Roman" w:cs="Times New Roman"/>
          <w:color w:val="222222"/>
          <w:shd w:val="clear" w:color="auto" w:fill="FFFFFF"/>
        </w:rPr>
        <w:t>(19), 13546-13564.</w:t>
      </w:r>
    </w:p>
    <w:p w14:paraId="0754CDA8"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Dawn, N., Ghosh, T., Ghosh, S., Saha, A., Mukherjee, P., Sarkar, S., ... </w:t>
      </w:r>
      <w:r w:rsidRPr="00B41F1F">
        <w:rPr>
          <w:rFonts w:ascii="Times New Roman" w:hAnsi="Times New Roman" w:cs="Times New Roman"/>
          <w:color w:val="222222"/>
          <w:shd w:val="clear" w:color="auto" w:fill="FFFFFF"/>
        </w:rPr>
        <w:t xml:space="preserve">&amp; </w:t>
      </w:r>
      <w:proofErr w:type="spellStart"/>
      <w:r w:rsidRPr="00B41F1F">
        <w:rPr>
          <w:rFonts w:ascii="Times New Roman" w:hAnsi="Times New Roman" w:cs="Times New Roman"/>
          <w:color w:val="222222"/>
          <w:shd w:val="clear" w:color="auto" w:fill="FFFFFF"/>
        </w:rPr>
        <w:t>Sanyal</w:t>
      </w:r>
      <w:proofErr w:type="spellEnd"/>
      <w:r w:rsidRPr="00B41F1F">
        <w:rPr>
          <w:rFonts w:ascii="Times New Roman" w:hAnsi="Times New Roman" w:cs="Times New Roman"/>
          <w:color w:val="222222"/>
          <w:shd w:val="clear" w:color="auto" w:fill="FFFFFF"/>
        </w:rPr>
        <w:t>, T. (2023). Implementation of Artificial Intelligence, Machine Learning, and Internet of Things (IoT) in revolutionizing Agriculture: A review on recent trends and challenges. </w:t>
      </w:r>
      <w:r w:rsidRPr="00B41F1F">
        <w:rPr>
          <w:rFonts w:ascii="Times New Roman" w:hAnsi="Times New Roman" w:cs="Times New Roman"/>
          <w:i/>
          <w:iCs/>
          <w:color w:val="222222"/>
          <w:shd w:val="clear" w:color="auto" w:fill="FFFFFF"/>
        </w:rPr>
        <w:t>International Journal of Experimental Research and Review</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30</w:t>
      </w:r>
      <w:r w:rsidRPr="00B41F1F">
        <w:rPr>
          <w:rFonts w:ascii="Times New Roman" w:hAnsi="Times New Roman" w:cs="Times New Roman"/>
          <w:color w:val="222222"/>
          <w:shd w:val="clear" w:color="auto" w:fill="FFFFFF"/>
        </w:rPr>
        <w:t>, 190-218.</w:t>
      </w:r>
    </w:p>
    <w:p w14:paraId="5B624C9E"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lastRenderedPageBreak/>
        <w:t xml:space="preserve">Hafeez, U., Ali, M., Hassan, S. M., Akram, M. A., &amp; Zafar, A. (2023). </w:t>
      </w:r>
      <w:r w:rsidRPr="00B41F1F">
        <w:rPr>
          <w:rFonts w:ascii="Times New Roman" w:hAnsi="Times New Roman" w:cs="Times New Roman"/>
          <w:color w:val="222222"/>
          <w:shd w:val="clear" w:color="auto" w:fill="FFFFFF"/>
        </w:rPr>
        <w:t>Advances in breeding and engineering climate-resilient crops: a comprehensive review. </w:t>
      </w:r>
      <w:r w:rsidRPr="00B41F1F">
        <w:rPr>
          <w:rFonts w:ascii="Times New Roman" w:hAnsi="Times New Roman" w:cs="Times New Roman"/>
          <w:i/>
          <w:iCs/>
          <w:color w:val="222222"/>
          <w:shd w:val="clear" w:color="auto" w:fill="FFFFFF"/>
        </w:rPr>
        <w:t>International Journal of Research and Advances in Agricultural Sciences</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2</w:t>
      </w:r>
      <w:r w:rsidRPr="00B41F1F">
        <w:rPr>
          <w:rFonts w:ascii="Times New Roman" w:hAnsi="Times New Roman" w:cs="Times New Roman"/>
          <w:color w:val="222222"/>
          <w:shd w:val="clear" w:color="auto" w:fill="FFFFFF"/>
        </w:rPr>
        <w:t>(2), 85-99.</w:t>
      </w:r>
    </w:p>
    <w:p w14:paraId="65223824"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Kwon, H., Liu, X., Xu, H., &amp; Wang, M. (2021). Greenhouse gas mitigation strategies and opportunities for agriculture. </w:t>
      </w:r>
      <w:r w:rsidRPr="00B41F1F">
        <w:rPr>
          <w:rFonts w:ascii="Times New Roman" w:hAnsi="Times New Roman" w:cs="Times New Roman"/>
          <w:i/>
          <w:iCs/>
          <w:color w:val="222222"/>
          <w:shd w:val="clear" w:color="auto" w:fill="FFFFFF"/>
        </w:rPr>
        <w:t>Agronomy Journal</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113</w:t>
      </w:r>
      <w:r w:rsidRPr="00B41F1F">
        <w:rPr>
          <w:rFonts w:ascii="Times New Roman" w:hAnsi="Times New Roman" w:cs="Times New Roman"/>
          <w:color w:val="222222"/>
          <w:shd w:val="clear" w:color="auto" w:fill="FFFFFF"/>
        </w:rPr>
        <w:t>(6), 4639-4647.</w:t>
      </w:r>
    </w:p>
    <w:p w14:paraId="6CD0A8BF"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Reddy, K. S., Reddy, G. S., Parihar, C. M., </w:t>
      </w:r>
      <w:proofErr w:type="spellStart"/>
      <w:r w:rsidRPr="00B41F1F">
        <w:rPr>
          <w:rFonts w:ascii="Times New Roman" w:hAnsi="Times New Roman" w:cs="Times New Roman"/>
          <w:color w:val="222222"/>
          <w:shd w:val="clear" w:color="auto" w:fill="FFFFFF"/>
        </w:rPr>
        <w:t>Peramaiyan</w:t>
      </w:r>
      <w:proofErr w:type="spellEnd"/>
      <w:r w:rsidRPr="00B41F1F">
        <w:rPr>
          <w:rFonts w:ascii="Times New Roman" w:hAnsi="Times New Roman" w:cs="Times New Roman"/>
          <w:color w:val="222222"/>
          <w:shd w:val="clear" w:color="auto" w:fill="FFFFFF"/>
        </w:rPr>
        <w:t xml:space="preserve">, P., Reddy, K. S., Patra, K., ... &amp; </w:t>
      </w:r>
      <w:proofErr w:type="spellStart"/>
      <w:r w:rsidRPr="00B41F1F">
        <w:rPr>
          <w:rFonts w:ascii="Times New Roman" w:hAnsi="Times New Roman" w:cs="Times New Roman"/>
          <w:color w:val="222222"/>
          <w:shd w:val="clear" w:color="auto" w:fill="FFFFFF"/>
        </w:rPr>
        <w:t>Karthika</w:t>
      </w:r>
      <w:proofErr w:type="spellEnd"/>
      <w:r w:rsidRPr="00B41F1F">
        <w:rPr>
          <w:rFonts w:ascii="Times New Roman" w:hAnsi="Times New Roman" w:cs="Times New Roman"/>
          <w:color w:val="222222"/>
          <w:shd w:val="clear" w:color="auto" w:fill="FFFFFF"/>
        </w:rPr>
        <w:t>, M. (2025). Policies and Technological Intervention for Regenerative Agriculture and Carbon Credits to Achieve Carbon-Negative Agriculture. In </w:t>
      </w:r>
      <w:r w:rsidRPr="00B41F1F">
        <w:rPr>
          <w:rFonts w:ascii="Times New Roman" w:hAnsi="Times New Roman" w:cs="Times New Roman"/>
          <w:i/>
          <w:iCs/>
          <w:color w:val="222222"/>
          <w:shd w:val="clear" w:color="auto" w:fill="FFFFFF"/>
        </w:rPr>
        <w:t>Carbon-Negative Agriculture</w:t>
      </w:r>
      <w:r w:rsidRPr="00B41F1F">
        <w:rPr>
          <w:rFonts w:ascii="Times New Roman" w:hAnsi="Times New Roman" w:cs="Times New Roman"/>
          <w:color w:val="222222"/>
          <w:shd w:val="clear" w:color="auto" w:fill="FFFFFF"/>
        </w:rPr>
        <w:t> (pp. 59-96). Singapore: Springer Nature Singapore.</w:t>
      </w:r>
    </w:p>
    <w:p w14:paraId="1BE6A844"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Gage, K. L., &amp; Schwartz-Lazaro, L. M. (2019). Shifting the paradigm: An ecological systems approach to weed management. </w:t>
      </w:r>
      <w:r w:rsidRPr="00B41F1F">
        <w:rPr>
          <w:rFonts w:ascii="Times New Roman" w:hAnsi="Times New Roman" w:cs="Times New Roman"/>
          <w:i/>
          <w:iCs/>
          <w:color w:val="222222"/>
          <w:shd w:val="clear" w:color="auto" w:fill="FFFFFF"/>
        </w:rPr>
        <w:t>Agriculture</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9</w:t>
      </w:r>
      <w:r w:rsidRPr="00B41F1F">
        <w:rPr>
          <w:rFonts w:ascii="Times New Roman" w:hAnsi="Times New Roman" w:cs="Times New Roman"/>
          <w:color w:val="222222"/>
          <w:shd w:val="clear" w:color="auto" w:fill="FFFFFF"/>
        </w:rPr>
        <w:t>(8), 179.</w:t>
      </w:r>
    </w:p>
    <w:p w14:paraId="7AD1FC5C"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Shakeel, Q., Li, G., Long, Y., &amp; Tahir, H. A. S. (2020). Development and implementation of IDM program for annual and perennial Crops. In </w:t>
      </w:r>
      <w:r w:rsidRPr="00B41F1F">
        <w:rPr>
          <w:rFonts w:ascii="Times New Roman" w:hAnsi="Times New Roman" w:cs="Times New Roman"/>
          <w:i/>
          <w:iCs/>
          <w:color w:val="222222"/>
          <w:shd w:val="clear" w:color="auto" w:fill="FFFFFF"/>
        </w:rPr>
        <w:t>Plant Disease Management Strategies for Sustainable Agriculture through Traditional and Modern Approaches</w:t>
      </w:r>
      <w:r w:rsidRPr="00B41F1F">
        <w:rPr>
          <w:rFonts w:ascii="Times New Roman" w:hAnsi="Times New Roman" w:cs="Times New Roman"/>
          <w:color w:val="222222"/>
          <w:shd w:val="clear" w:color="auto" w:fill="FFFFFF"/>
        </w:rPr>
        <w:t> (pp. 295-327). Cham: Springer International Publishing.</w:t>
      </w:r>
    </w:p>
    <w:p w14:paraId="64CB5672"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Rizzo, G., </w:t>
      </w:r>
      <w:proofErr w:type="spellStart"/>
      <w:r w:rsidRPr="00B41F1F">
        <w:rPr>
          <w:rFonts w:ascii="Times New Roman" w:hAnsi="Times New Roman" w:cs="Times New Roman"/>
          <w:color w:val="222222"/>
          <w:shd w:val="clear" w:color="auto" w:fill="FFFFFF"/>
        </w:rPr>
        <w:t>Migliore</w:t>
      </w:r>
      <w:proofErr w:type="spellEnd"/>
      <w:r w:rsidRPr="00B41F1F">
        <w:rPr>
          <w:rFonts w:ascii="Times New Roman" w:hAnsi="Times New Roman" w:cs="Times New Roman"/>
          <w:color w:val="222222"/>
          <w:shd w:val="clear" w:color="auto" w:fill="FFFFFF"/>
        </w:rPr>
        <w:t xml:space="preserve">, G., </w:t>
      </w:r>
      <w:proofErr w:type="spellStart"/>
      <w:r w:rsidRPr="00B41F1F">
        <w:rPr>
          <w:rFonts w:ascii="Times New Roman" w:hAnsi="Times New Roman" w:cs="Times New Roman"/>
          <w:color w:val="222222"/>
          <w:shd w:val="clear" w:color="auto" w:fill="FFFFFF"/>
        </w:rPr>
        <w:t>Schifani</w:t>
      </w:r>
      <w:proofErr w:type="spellEnd"/>
      <w:r w:rsidRPr="00B41F1F">
        <w:rPr>
          <w:rFonts w:ascii="Times New Roman" w:hAnsi="Times New Roman" w:cs="Times New Roman"/>
          <w:color w:val="222222"/>
          <w:shd w:val="clear" w:color="auto" w:fill="FFFFFF"/>
        </w:rPr>
        <w:t>, G., &amp; Vecchio, R. (2024). Key factors influencing farmers’ adoption of sustainable innovations: a systematic literature review and research agenda. </w:t>
      </w:r>
      <w:r w:rsidRPr="00B41F1F">
        <w:rPr>
          <w:rFonts w:ascii="Times New Roman" w:hAnsi="Times New Roman" w:cs="Times New Roman"/>
          <w:i/>
          <w:iCs/>
          <w:color w:val="222222"/>
          <w:shd w:val="clear" w:color="auto" w:fill="FFFFFF"/>
        </w:rPr>
        <w:t>Organic Agriculture</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14</w:t>
      </w:r>
      <w:r w:rsidRPr="00B41F1F">
        <w:rPr>
          <w:rFonts w:ascii="Times New Roman" w:hAnsi="Times New Roman" w:cs="Times New Roman"/>
          <w:color w:val="222222"/>
          <w:shd w:val="clear" w:color="auto" w:fill="FFFFFF"/>
        </w:rPr>
        <w:t>(1), 57-84.</w:t>
      </w:r>
    </w:p>
    <w:p w14:paraId="67C04B86"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t>Kuyah</w:t>
      </w:r>
      <w:proofErr w:type="spellEnd"/>
      <w:r w:rsidRPr="00B41F1F">
        <w:rPr>
          <w:rFonts w:ascii="Times New Roman" w:hAnsi="Times New Roman" w:cs="Times New Roman"/>
          <w:color w:val="222222"/>
          <w:shd w:val="clear" w:color="auto" w:fill="FFFFFF"/>
        </w:rPr>
        <w:t xml:space="preserve">, S., </w:t>
      </w:r>
      <w:proofErr w:type="spellStart"/>
      <w:r w:rsidRPr="00B41F1F">
        <w:rPr>
          <w:rFonts w:ascii="Times New Roman" w:hAnsi="Times New Roman" w:cs="Times New Roman"/>
          <w:color w:val="222222"/>
          <w:shd w:val="clear" w:color="auto" w:fill="FFFFFF"/>
        </w:rPr>
        <w:t>Sileshi</w:t>
      </w:r>
      <w:proofErr w:type="spellEnd"/>
      <w:r w:rsidRPr="00B41F1F">
        <w:rPr>
          <w:rFonts w:ascii="Times New Roman" w:hAnsi="Times New Roman" w:cs="Times New Roman"/>
          <w:color w:val="222222"/>
          <w:shd w:val="clear" w:color="auto" w:fill="FFFFFF"/>
        </w:rPr>
        <w:t xml:space="preserve">, G. W., Nkurunziza, L., </w:t>
      </w:r>
      <w:proofErr w:type="spellStart"/>
      <w:r w:rsidRPr="00B41F1F">
        <w:rPr>
          <w:rFonts w:ascii="Times New Roman" w:hAnsi="Times New Roman" w:cs="Times New Roman"/>
          <w:color w:val="222222"/>
          <w:shd w:val="clear" w:color="auto" w:fill="FFFFFF"/>
        </w:rPr>
        <w:t>Chirinda</w:t>
      </w:r>
      <w:proofErr w:type="spellEnd"/>
      <w:r w:rsidRPr="00B41F1F">
        <w:rPr>
          <w:rFonts w:ascii="Times New Roman" w:hAnsi="Times New Roman" w:cs="Times New Roman"/>
          <w:color w:val="222222"/>
          <w:shd w:val="clear" w:color="auto" w:fill="FFFFFF"/>
        </w:rPr>
        <w:t xml:space="preserve">, N., </w:t>
      </w:r>
      <w:proofErr w:type="spellStart"/>
      <w:r w:rsidRPr="00B41F1F">
        <w:rPr>
          <w:rFonts w:ascii="Times New Roman" w:hAnsi="Times New Roman" w:cs="Times New Roman"/>
          <w:color w:val="222222"/>
          <w:shd w:val="clear" w:color="auto" w:fill="FFFFFF"/>
        </w:rPr>
        <w:t>Ndayisaba</w:t>
      </w:r>
      <w:proofErr w:type="spellEnd"/>
      <w:r w:rsidRPr="00B41F1F">
        <w:rPr>
          <w:rFonts w:ascii="Times New Roman" w:hAnsi="Times New Roman" w:cs="Times New Roman"/>
          <w:color w:val="222222"/>
          <w:shd w:val="clear" w:color="auto" w:fill="FFFFFF"/>
        </w:rPr>
        <w:t xml:space="preserve">, P. C., </w:t>
      </w:r>
      <w:proofErr w:type="spellStart"/>
      <w:r w:rsidRPr="00B41F1F">
        <w:rPr>
          <w:rFonts w:ascii="Times New Roman" w:hAnsi="Times New Roman" w:cs="Times New Roman"/>
          <w:color w:val="222222"/>
          <w:shd w:val="clear" w:color="auto" w:fill="FFFFFF"/>
        </w:rPr>
        <w:t>Dimobe</w:t>
      </w:r>
      <w:proofErr w:type="spellEnd"/>
      <w:r w:rsidRPr="00B41F1F">
        <w:rPr>
          <w:rFonts w:ascii="Times New Roman" w:hAnsi="Times New Roman" w:cs="Times New Roman"/>
          <w:color w:val="222222"/>
          <w:shd w:val="clear" w:color="auto" w:fill="FFFFFF"/>
        </w:rPr>
        <w:t xml:space="preserve">, K., &amp; </w:t>
      </w:r>
      <w:proofErr w:type="spellStart"/>
      <w:r w:rsidRPr="00B41F1F">
        <w:rPr>
          <w:rFonts w:ascii="Times New Roman" w:hAnsi="Times New Roman" w:cs="Times New Roman"/>
          <w:color w:val="222222"/>
          <w:shd w:val="clear" w:color="auto" w:fill="FFFFFF"/>
        </w:rPr>
        <w:t>Öborn</w:t>
      </w:r>
      <w:proofErr w:type="spellEnd"/>
      <w:r w:rsidRPr="00B41F1F">
        <w:rPr>
          <w:rFonts w:ascii="Times New Roman" w:hAnsi="Times New Roman" w:cs="Times New Roman"/>
          <w:color w:val="222222"/>
          <w:shd w:val="clear" w:color="auto" w:fill="FFFFFF"/>
        </w:rPr>
        <w:t>, I. (2021). Innovative agronomic practices for sustainable intensification in sub-Saharan Africa. A review. </w:t>
      </w:r>
      <w:r w:rsidRPr="00B41F1F">
        <w:rPr>
          <w:rFonts w:ascii="Times New Roman" w:hAnsi="Times New Roman" w:cs="Times New Roman"/>
          <w:i/>
          <w:iCs/>
          <w:color w:val="222222"/>
          <w:shd w:val="clear" w:color="auto" w:fill="FFFFFF"/>
        </w:rPr>
        <w:t>Agronomy for Sustainable Development</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41</w:t>
      </w:r>
      <w:r w:rsidRPr="00B41F1F">
        <w:rPr>
          <w:rFonts w:ascii="Times New Roman" w:hAnsi="Times New Roman" w:cs="Times New Roman"/>
          <w:color w:val="222222"/>
          <w:shd w:val="clear" w:color="auto" w:fill="FFFFFF"/>
        </w:rPr>
        <w:t>(2), 16.</w:t>
      </w:r>
    </w:p>
    <w:p w14:paraId="571E3409"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t>Boros</w:t>
      </w:r>
      <w:proofErr w:type="spellEnd"/>
      <w:r w:rsidRPr="00B41F1F">
        <w:rPr>
          <w:rFonts w:ascii="Times New Roman" w:hAnsi="Times New Roman" w:cs="Times New Roman"/>
          <w:color w:val="222222"/>
          <w:shd w:val="clear" w:color="auto" w:fill="FFFFFF"/>
        </w:rPr>
        <w:t xml:space="preserve">, A., </w:t>
      </w:r>
      <w:proofErr w:type="spellStart"/>
      <w:r w:rsidRPr="00B41F1F">
        <w:rPr>
          <w:rFonts w:ascii="Times New Roman" w:hAnsi="Times New Roman" w:cs="Times New Roman"/>
          <w:color w:val="222222"/>
          <w:shd w:val="clear" w:color="auto" w:fill="FFFFFF"/>
        </w:rPr>
        <w:t>Szólik</w:t>
      </w:r>
      <w:proofErr w:type="spellEnd"/>
      <w:r w:rsidRPr="00B41F1F">
        <w:rPr>
          <w:rFonts w:ascii="Times New Roman" w:hAnsi="Times New Roman" w:cs="Times New Roman"/>
          <w:color w:val="222222"/>
          <w:shd w:val="clear" w:color="auto" w:fill="FFFFFF"/>
        </w:rPr>
        <w:t xml:space="preserve">, E., Desalegn, G., &amp; </w:t>
      </w:r>
      <w:proofErr w:type="spellStart"/>
      <w:r w:rsidRPr="00B41F1F">
        <w:rPr>
          <w:rFonts w:ascii="Times New Roman" w:hAnsi="Times New Roman" w:cs="Times New Roman"/>
          <w:color w:val="222222"/>
          <w:shd w:val="clear" w:color="auto" w:fill="FFFFFF"/>
        </w:rPr>
        <w:t>Tőzsér</w:t>
      </w:r>
      <w:proofErr w:type="spellEnd"/>
      <w:r w:rsidRPr="00B41F1F">
        <w:rPr>
          <w:rFonts w:ascii="Times New Roman" w:hAnsi="Times New Roman" w:cs="Times New Roman"/>
          <w:color w:val="222222"/>
          <w:shd w:val="clear" w:color="auto" w:fill="FFFFFF"/>
        </w:rPr>
        <w:t>, D. (2024). A Systematic Review of Opportunities and Limitations of Innovative Practices in Sustainable Agriculture. </w:t>
      </w:r>
      <w:r w:rsidRPr="00B41F1F">
        <w:rPr>
          <w:rFonts w:ascii="Times New Roman" w:hAnsi="Times New Roman" w:cs="Times New Roman"/>
          <w:i/>
          <w:iCs/>
          <w:color w:val="222222"/>
          <w:shd w:val="clear" w:color="auto" w:fill="FFFFFF"/>
        </w:rPr>
        <w:t>Agronomy</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15</w:t>
      </w:r>
      <w:r w:rsidRPr="00B41F1F">
        <w:rPr>
          <w:rFonts w:ascii="Times New Roman" w:hAnsi="Times New Roman" w:cs="Times New Roman"/>
          <w:color w:val="222222"/>
          <w:shd w:val="clear" w:color="auto" w:fill="FFFFFF"/>
        </w:rPr>
        <w:t>(1), 76.</w:t>
      </w:r>
    </w:p>
    <w:p w14:paraId="3CBF2DBD"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Dutta, D., Meena, A. L., Bhanu, C., Ghasal, P. C., Choudhary, J., Kumar, S., ... </w:t>
      </w:r>
      <w:r w:rsidRPr="00B41F1F">
        <w:rPr>
          <w:rFonts w:ascii="Times New Roman" w:hAnsi="Times New Roman" w:cs="Times New Roman"/>
          <w:color w:val="222222"/>
          <w:shd w:val="clear" w:color="auto" w:fill="FFFFFF"/>
        </w:rPr>
        <w:t xml:space="preserve">&amp; Yadav, P. (2024). Sustainable soil management for climate resilience: Long-term management effects on soil carbon sequestration and nitrogen dynamics in a semi-arid tropical </w:t>
      </w:r>
      <w:proofErr w:type="spellStart"/>
      <w:r w:rsidRPr="00B41F1F">
        <w:rPr>
          <w:rFonts w:ascii="Times New Roman" w:hAnsi="Times New Roman" w:cs="Times New Roman"/>
          <w:color w:val="222222"/>
          <w:shd w:val="clear" w:color="auto" w:fill="FFFFFF"/>
        </w:rPr>
        <w:t>Inceptisol</w:t>
      </w:r>
      <w:proofErr w:type="spellEnd"/>
      <w:r w:rsidRPr="00B41F1F">
        <w:rPr>
          <w:rFonts w:ascii="Times New Roman" w:hAnsi="Times New Roman" w:cs="Times New Roman"/>
          <w:color w:val="222222"/>
          <w:shd w:val="clear" w:color="auto" w:fill="FFFFFF"/>
        </w:rPr>
        <w:t xml:space="preserve"> of India. </w:t>
      </w:r>
      <w:r w:rsidRPr="00B41F1F">
        <w:rPr>
          <w:rFonts w:ascii="Times New Roman" w:hAnsi="Times New Roman" w:cs="Times New Roman"/>
          <w:i/>
          <w:iCs/>
          <w:color w:val="222222"/>
          <w:shd w:val="clear" w:color="auto" w:fill="FFFFFF"/>
        </w:rPr>
        <w:t>Journal of Soil Science and Plant Nutrition</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24</w:t>
      </w:r>
      <w:r w:rsidRPr="00B41F1F">
        <w:rPr>
          <w:rFonts w:ascii="Times New Roman" w:hAnsi="Times New Roman" w:cs="Times New Roman"/>
          <w:color w:val="222222"/>
          <w:shd w:val="clear" w:color="auto" w:fill="FFFFFF"/>
        </w:rPr>
        <w:t>(3), 4407-4426.</w:t>
      </w:r>
    </w:p>
    <w:p w14:paraId="0D4A77CA"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t>Nemade</w:t>
      </w:r>
      <w:proofErr w:type="spellEnd"/>
      <w:r w:rsidRPr="00B41F1F">
        <w:rPr>
          <w:rFonts w:ascii="Times New Roman" w:hAnsi="Times New Roman" w:cs="Times New Roman"/>
          <w:color w:val="222222"/>
          <w:shd w:val="clear" w:color="auto" w:fill="FFFFFF"/>
        </w:rPr>
        <w:t xml:space="preserve">, S., </w:t>
      </w:r>
      <w:proofErr w:type="spellStart"/>
      <w:r w:rsidRPr="00B41F1F">
        <w:rPr>
          <w:rFonts w:ascii="Times New Roman" w:hAnsi="Times New Roman" w:cs="Times New Roman"/>
          <w:color w:val="222222"/>
          <w:shd w:val="clear" w:color="auto" w:fill="FFFFFF"/>
        </w:rPr>
        <w:t>Ninama</w:t>
      </w:r>
      <w:proofErr w:type="spellEnd"/>
      <w:r w:rsidRPr="00B41F1F">
        <w:rPr>
          <w:rFonts w:ascii="Times New Roman" w:hAnsi="Times New Roman" w:cs="Times New Roman"/>
          <w:color w:val="222222"/>
          <w:shd w:val="clear" w:color="auto" w:fill="FFFFFF"/>
        </w:rPr>
        <w:t xml:space="preserve">, J., Kumar, S., </w:t>
      </w:r>
      <w:proofErr w:type="spellStart"/>
      <w:r w:rsidRPr="00B41F1F">
        <w:rPr>
          <w:rFonts w:ascii="Times New Roman" w:hAnsi="Times New Roman" w:cs="Times New Roman"/>
          <w:color w:val="222222"/>
          <w:shd w:val="clear" w:color="auto" w:fill="FFFFFF"/>
        </w:rPr>
        <w:t>Pandarinathan</w:t>
      </w:r>
      <w:proofErr w:type="spellEnd"/>
      <w:r w:rsidRPr="00B41F1F">
        <w:rPr>
          <w:rFonts w:ascii="Times New Roman" w:hAnsi="Times New Roman" w:cs="Times New Roman"/>
          <w:color w:val="222222"/>
          <w:shd w:val="clear" w:color="auto" w:fill="FFFFFF"/>
        </w:rPr>
        <w:t>, S., Azam, K., Singh, B., &amp; Ratnam, K. M. (2023). Advancements in Agronomic Practices for Sustainable Crop Production: A. </w:t>
      </w:r>
      <w:r w:rsidRPr="00B41F1F">
        <w:rPr>
          <w:rFonts w:ascii="Times New Roman" w:hAnsi="Times New Roman" w:cs="Times New Roman"/>
          <w:i/>
          <w:iCs/>
          <w:color w:val="222222"/>
          <w:shd w:val="clear" w:color="auto" w:fill="FFFFFF"/>
        </w:rPr>
        <w:t>Int. J. Plant Soil Sci</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35</w:t>
      </w:r>
      <w:r w:rsidRPr="00B41F1F">
        <w:rPr>
          <w:rFonts w:ascii="Times New Roman" w:hAnsi="Times New Roman" w:cs="Times New Roman"/>
          <w:color w:val="222222"/>
          <w:shd w:val="clear" w:color="auto" w:fill="FFFFFF"/>
        </w:rPr>
        <w:t>(22), 679-689.</w:t>
      </w:r>
    </w:p>
    <w:p w14:paraId="7CE248D6"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James, J., Choudhary, P., Singh, S., Archana, &amp; Sharma, N. (2024). Regenerative Agriculture: Potential, Progress, Opportunities, and Challenges. </w:t>
      </w:r>
      <w:r w:rsidRPr="00B41F1F">
        <w:rPr>
          <w:rFonts w:ascii="Times New Roman" w:hAnsi="Times New Roman" w:cs="Times New Roman"/>
          <w:i/>
          <w:iCs/>
          <w:color w:val="222222"/>
          <w:shd w:val="clear" w:color="auto" w:fill="FFFFFF"/>
        </w:rPr>
        <w:t>Regenerative Agriculture for Sustainable Food Systems</w:t>
      </w:r>
      <w:r w:rsidRPr="00B41F1F">
        <w:rPr>
          <w:rFonts w:ascii="Times New Roman" w:hAnsi="Times New Roman" w:cs="Times New Roman"/>
          <w:color w:val="222222"/>
          <w:shd w:val="clear" w:color="auto" w:fill="FFFFFF"/>
        </w:rPr>
        <w:t>, 49-82.</w:t>
      </w:r>
    </w:p>
    <w:p w14:paraId="10112C63" w14:textId="77777777" w:rsidR="00F16934" w:rsidRPr="00F16934" w:rsidRDefault="00F16934" w:rsidP="00BB0396">
      <w:pPr>
        <w:jc w:val="both"/>
        <w:rPr>
          <w:rFonts w:ascii="Times New Roman" w:hAnsi="Times New Roman" w:cs="Times New Roman"/>
          <w:b/>
          <w:sz w:val="24"/>
          <w:szCs w:val="24"/>
        </w:rPr>
      </w:pPr>
    </w:p>
    <w:sectPr w:rsidR="00F16934" w:rsidRPr="00F16934" w:rsidSect="00AE552F">
      <w:headerReference w:type="even" r:id="rId9"/>
      <w:headerReference w:type="default" r:id="rId10"/>
      <w:footerReference w:type="even" r:id="rId11"/>
      <w:footerReference w:type="default" r:id="rId12"/>
      <w:headerReference w:type="first" r:id="rId13"/>
      <w:footerReference w:type="first" r:id="rId14"/>
      <w:pgSz w:w="11906" w:h="16838" w:code="9"/>
      <w:pgMar w:top="2160" w:right="1440" w:bottom="2160" w:left="144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rslan" w:date="2025-11-15T20:20:00Z" w:initials="A">
    <w:p w14:paraId="0A1CF669" w14:textId="0F78B517" w:rsidR="0044089E" w:rsidRDefault="0044089E">
      <w:pPr>
        <w:pStyle w:val="CommentText"/>
      </w:pPr>
      <w:r>
        <w:rPr>
          <w:rStyle w:val="CommentReference"/>
        </w:rPr>
        <w:annotationRef/>
      </w:r>
      <w:r>
        <w:t>Add latest citation</w:t>
      </w:r>
    </w:p>
  </w:comment>
  <w:comment w:id="1" w:author="Arslan" w:date="2025-11-15T20:20:00Z" w:initials="A">
    <w:p w14:paraId="366001EF" w14:textId="4A49BE79" w:rsidR="0044089E" w:rsidRDefault="0044089E">
      <w:pPr>
        <w:pStyle w:val="CommentText"/>
      </w:pPr>
      <w:r>
        <w:rPr>
          <w:rStyle w:val="CommentReference"/>
        </w:rPr>
        <w:annotationRef/>
      </w:r>
      <w:r>
        <w:t xml:space="preserve">Add citation </w:t>
      </w:r>
    </w:p>
  </w:comment>
  <w:comment w:id="2" w:author="Arslan" w:date="2025-11-15T20:21:00Z" w:initials="A">
    <w:p w14:paraId="24C7DDB1" w14:textId="30FB319D" w:rsidR="0044089E" w:rsidRDefault="0044089E">
      <w:pPr>
        <w:pStyle w:val="CommentText"/>
      </w:pPr>
      <w:r>
        <w:rPr>
          <w:rStyle w:val="CommentReference"/>
        </w:rPr>
        <w:annotationRef/>
      </w:r>
      <w:r>
        <w:t xml:space="preserve">Add citation </w:t>
      </w:r>
    </w:p>
  </w:comment>
  <w:comment w:id="3" w:author="Arslan" w:date="2025-11-15T20:22:00Z" w:initials="A">
    <w:p w14:paraId="2FAB1034" w14:textId="44966E6E" w:rsidR="0044089E" w:rsidRDefault="0044089E">
      <w:pPr>
        <w:pStyle w:val="CommentText"/>
      </w:pPr>
      <w:r>
        <w:rPr>
          <w:rStyle w:val="CommentReference"/>
        </w:rPr>
        <w:annotationRef/>
      </w:r>
      <w:r>
        <w:t>Add citation there is no citation in these lines</w:t>
      </w:r>
    </w:p>
  </w:comment>
  <w:comment w:id="4" w:author="Arslan" w:date="2025-11-15T20:28:00Z" w:initials="A">
    <w:p w14:paraId="68E46A27" w14:textId="70AA4D8D" w:rsidR="00144D30" w:rsidRDefault="00144D30">
      <w:pPr>
        <w:pStyle w:val="CommentText"/>
      </w:pPr>
      <w:r>
        <w:rPr>
          <w:rStyle w:val="CommentReference"/>
        </w:rPr>
        <w:annotationRef/>
      </w:r>
      <w:r>
        <w:t>More citation</w:t>
      </w:r>
    </w:p>
  </w:comment>
  <w:comment w:id="5" w:author="Arslan" w:date="2025-11-15T20:29:00Z" w:initials="A">
    <w:p w14:paraId="1E3CB8AD" w14:textId="77777777" w:rsidR="00144D30" w:rsidRDefault="00144D30">
      <w:pPr>
        <w:pStyle w:val="CommentText"/>
      </w:pPr>
      <w:r>
        <w:rPr>
          <w:rStyle w:val="CommentReference"/>
        </w:rPr>
        <w:annotationRef/>
      </w:r>
      <w:r>
        <w:t xml:space="preserve">Add reference of these lines </w:t>
      </w:r>
    </w:p>
    <w:p w14:paraId="506E0CDD" w14:textId="1A859087" w:rsidR="00144D30" w:rsidRDefault="00144D30">
      <w:pPr>
        <w:pStyle w:val="CommentText"/>
      </w:pPr>
    </w:p>
  </w:comment>
  <w:comment w:id="6" w:author="Arslan" w:date="2025-11-15T20:30:00Z" w:initials="A">
    <w:p w14:paraId="1106500E" w14:textId="26ECAA3E" w:rsidR="00144D30" w:rsidRDefault="00144D30">
      <w:pPr>
        <w:pStyle w:val="CommentText"/>
      </w:pPr>
      <w:r>
        <w:rPr>
          <w:rStyle w:val="CommentReference"/>
        </w:rPr>
        <w:annotationRef/>
      </w:r>
      <w:r>
        <w:t>Citation?</w:t>
      </w:r>
    </w:p>
  </w:comment>
  <w:comment w:id="7" w:author="Arslan" w:date="2025-11-15T20:30:00Z" w:initials="A">
    <w:p w14:paraId="611E3FD0" w14:textId="77777777" w:rsidR="00144D30" w:rsidRDefault="00144D30">
      <w:pPr>
        <w:pStyle w:val="CommentText"/>
      </w:pPr>
      <w:r>
        <w:rPr>
          <w:rStyle w:val="CommentReference"/>
        </w:rPr>
        <w:annotationRef/>
      </w:r>
      <w:r>
        <w:t>Citation?</w:t>
      </w:r>
    </w:p>
    <w:p w14:paraId="03DF5AC4" w14:textId="4C7289D3" w:rsidR="00144D30" w:rsidRDefault="00144D3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1CF669" w15:done="0"/>
  <w15:commentEx w15:paraId="366001EF" w15:done="0"/>
  <w15:commentEx w15:paraId="24C7DDB1" w15:done="0"/>
  <w15:commentEx w15:paraId="2FAB1034" w15:done="0"/>
  <w15:commentEx w15:paraId="68E46A27" w15:done="0"/>
  <w15:commentEx w15:paraId="506E0CDD" w15:done="0"/>
  <w15:commentEx w15:paraId="1106500E" w15:done="0"/>
  <w15:commentEx w15:paraId="03DF5A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F199A" w14:textId="77777777" w:rsidR="00897BB5" w:rsidRDefault="00897BB5" w:rsidP="00D062DE">
      <w:pPr>
        <w:spacing w:after="0" w:line="240" w:lineRule="auto"/>
      </w:pPr>
      <w:r>
        <w:separator/>
      </w:r>
    </w:p>
  </w:endnote>
  <w:endnote w:type="continuationSeparator" w:id="0">
    <w:p w14:paraId="47384A3F" w14:textId="77777777" w:rsidR="00897BB5" w:rsidRDefault="00897BB5" w:rsidP="00D06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D0B27" w14:textId="77777777" w:rsidR="00441CAA" w:rsidRDefault="00441C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DA23C" w14:textId="77777777" w:rsidR="00441CAA" w:rsidRDefault="00441C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77B86" w14:textId="77777777" w:rsidR="00441CAA" w:rsidRDefault="00441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B0B5C" w14:textId="77777777" w:rsidR="00897BB5" w:rsidRDefault="00897BB5" w:rsidP="00D062DE">
      <w:pPr>
        <w:spacing w:after="0" w:line="240" w:lineRule="auto"/>
      </w:pPr>
      <w:r>
        <w:separator/>
      </w:r>
    </w:p>
  </w:footnote>
  <w:footnote w:type="continuationSeparator" w:id="0">
    <w:p w14:paraId="36EFCDCF" w14:textId="77777777" w:rsidR="00897BB5" w:rsidRDefault="00897BB5" w:rsidP="00D062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D56DA" w14:textId="74F4DD6A" w:rsidR="00441CAA" w:rsidRDefault="00897BB5">
    <w:pPr>
      <w:pStyle w:val="Header"/>
    </w:pPr>
    <w:r>
      <w:rPr>
        <w:noProof/>
      </w:rPr>
      <w:pict w14:anchorId="4CFF3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78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0D7BC" w14:textId="4594E279" w:rsidR="00441CAA" w:rsidRDefault="00897BB5">
    <w:pPr>
      <w:pStyle w:val="Header"/>
    </w:pPr>
    <w:r>
      <w:rPr>
        <w:noProof/>
      </w:rPr>
      <w:pict w14:anchorId="56423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78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06AAB" w14:textId="0EE00F8F" w:rsidR="00441CAA" w:rsidRDefault="00897BB5">
    <w:pPr>
      <w:pStyle w:val="Header"/>
    </w:pPr>
    <w:r>
      <w:rPr>
        <w:noProof/>
      </w:rPr>
      <w:pict w14:anchorId="39586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78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E14AF"/>
    <w:multiLevelType w:val="multilevel"/>
    <w:tmpl w:val="5BF4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64E5"/>
    <w:multiLevelType w:val="multilevel"/>
    <w:tmpl w:val="DA14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75A67"/>
    <w:multiLevelType w:val="multilevel"/>
    <w:tmpl w:val="ED0C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62A4"/>
    <w:multiLevelType w:val="multilevel"/>
    <w:tmpl w:val="02E4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06DF3"/>
    <w:multiLevelType w:val="multilevel"/>
    <w:tmpl w:val="A246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422AE"/>
    <w:multiLevelType w:val="multilevel"/>
    <w:tmpl w:val="5924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E6169"/>
    <w:multiLevelType w:val="multilevel"/>
    <w:tmpl w:val="98C4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20106"/>
    <w:multiLevelType w:val="hybridMultilevel"/>
    <w:tmpl w:val="C69AA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BB22E0"/>
    <w:multiLevelType w:val="multilevel"/>
    <w:tmpl w:val="31B8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23C85"/>
    <w:multiLevelType w:val="multilevel"/>
    <w:tmpl w:val="EF2E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021C7"/>
    <w:multiLevelType w:val="multilevel"/>
    <w:tmpl w:val="F488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B33919"/>
    <w:multiLevelType w:val="multilevel"/>
    <w:tmpl w:val="63E2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352EDB"/>
    <w:multiLevelType w:val="multilevel"/>
    <w:tmpl w:val="971A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1218D0"/>
    <w:multiLevelType w:val="multilevel"/>
    <w:tmpl w:val="266A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A42BE"/>
    <w:multiLevelType w:val="multilevel"/>
    <w:tmpl w:val="495C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9C34D8"/>
    <w:multiLevelType w:val="multilevel"/>
    <w:tmpl w:val="1036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0"/>
  </w:num>
  <w:num w:numId="4">
    <w:abstractNumId w:val="5"/>
  </w:num>
  <w:num w:numId="5">
    <w:abstractNumId w:val="4"/>
  </w:num>
  <w:num w:numId="6">
    <w:abstractNumId w:val="9"/>
  </w:num>
  <w:num w:numId="7">
    <w:abstractNumId w:val="2"/>
  </w:num>
  <w:num w:numId="8">
    <w:abstractNumId w:val="8"/>
  </w:num>
  <w:num w:numId="9">
    <w:abstractNumId w:val="13"/>
  </w:num>
  <w:num w:numId="10">
    <w:abstractNumId w:val="6"/>
  </w:num>
  <w:num w:numId="11">
    <w:abstractNumId w:val="15"/>
  </w:num>
  <w:num w:numId="12">
    <w:abstractNumId w:val="14"/>
  </w:num>
  <w:num w:numId="13">
    <w:abstractNumId w:val="11"/>
  </w:num>
  <w:num w:numId="14">
    <w:abstractNumId w:val="12"/>
  </w:num>
  <w:num w:numId="15">
    <w:abstractNumId w:val="0"/>
  </w:num>
  <w:num w:numId="1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slan">
    <w15:presenceInfo w15:providerId="None" w15:userId="Ars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8A2E98"/>
    <w:rsid w:val="00103486"/>
    <w:rsid w:val="00144D30"/>
    <w:rsid w:val="0015762D"/>
    <w:rsid w:val="00215291"/>
    <w:rsid w:val="002201EC"/>
    <w:rsid w:val="0023111C"/>
    <w:rsid w:val="00262B1E"/>
    <w:rsid w:val="002A01BA"/>
    <w:rsid w:val="00306009"/>
    <w:rsid w:val="003375A3"/>
    <w:rsid w:val="00367714"/>
    <w:rsid w:val="00390666"/>
    <w:rsid w:val="0044089E"/>
    <w:rsid w:val="00441CAA"/>
    <w:rsid w:val="00467E8B"/>
    <w:rsid w:val="004A6B13"/>
    <w:rsid w:val="00545730"/>
    <w:rsid w:val="005508C4"/>
    <w:rsid w:val="00572833"/>
    <w:rsid w:val="005A500F"/>
    <w:rsid w:val="005E2E6B"/>
    <w:rsid w:val="00621326"/>
    <w:rsid w:val="00685BE9"/>
    <w:rsid w:val="00737896"/>
    <w:rsid w:val="00757472"/>
    <w:rsid w:val="007C3170"/>
    <w:rsid w:val="007F1973"/>
    <w:rsid w:val="00897BB5"/>
    <w:rsid w:val="008A2E98"/>
    <w:rsid w:val="0097114C"/>
    <w:rsid w:val="009773D2"/>
    <w:rsid w:val="009E66A5"/>
    <w:rsid w:val="00A22888"/>
    <w:rsid w:val="00A84C05"/>
    <w:rsid w:val="00A96362"/>
    <w:rsid w:val="00AA181C"/>
    <w:rsid w:val="00AE552F"/>
    <w:rsid w:val="00B609E6"/>
    <w:rsid w:val="00B70673"/>
    <w:rsid w:val="00B84C7E"/>
    <w:rsid w:val="00BB0396"/>
    <w:rsid w:val="00BC58C6"/>
    <w:rsid w:val="00BC630E"/>
    <w:rsid w:val="00C313E3"/>
    <w:rsid w:val="00C46F66"/>
    <w:rsid w:val="00D062DE"/>
    <w:rsid w:val="00D219A3"/>
    <w:rsid w:val="00D254DF"/>
    <w:rsid w:val="00E57942"/>
    <w:rsid w:val="00E7014B"/>
    <w:rsid w:val="00E73367"/>
    <w:rsid w:val="00F03C70"/>
    <w:rsid w:val="00F16934"/>
    <w:rsid w:val="00F31758"/>
    <w:rsid w:val="00F9033C"/>
    <w:rsid w:val="00FE446D"/>
    <w:rsid w:val="00FE756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D9867F"/>
  <w15:docId w15:val="{176FA166-6655-4560-8B61-5D86B88A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758"/>
  </w:style>
  <w:style w:type="paragraph" w:styleId="Heading1">
    <w:name w:val="heading 1"/>
    <w:basedOn w:val="Normal"/>
    <w:next w:val="Normal"/>
    <w:link w:val="Heading1Char"/>
    <w:uiPriority w:val="9"/>
    <w:qFormat/>
    <w:rsid w:val="008A2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2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2E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2E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2E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2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E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2E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2E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2E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2E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2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E98"/>
    <w:rPr>
      <w:rFonts w:eastAsiaTheme="majorEastAsia" w:cstheme="majorBidi"/>
      <w:color w:val="272727" w:themeColor="text1" w:themeTint="D8"/>
    </w:rPr>
  </w:style>
  <w:style w:type="paragraph" w:styleId="Title">
    <w:name w:val="Title"/>
    <w:basedOn w:val="Normal"/>
    <w:next w:val="Normal"/>
    <w:link w:val="TitleChar"/>
    <w:uiPriority w:val="10"/>
    <w:qFormat/>
    <w:rsid w:val="008A2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E98"/>
    <w:pPr>
      <w:spacing w:before="160"/>
      <w:jc w:val="center"/>
    </w:pPr>
    <w:rPr>
      <w:i/>
      <w:iCs/>
      <w:color w:val="404040" w:themeColor="text1" w:themeTint="BF"/>
    </w:rPr>
  </w:style>
  <w:style w:type="character" w:customStyle="1" w:styleId="QuoteChar">
    <w:name w:val="Quote Char"/>
    <w:basedOn w:val="DefaultParagraphFont"/>
    <w:link w:val="Quote"/>
    <w:uiPriority w:val="29"/>
    <w:rsid w:val="008A2E98"/>
    <w:rPr>
      <w:i/>
      <w:iCs/>
      <w:color w:val="404040" w:themeColor="text1" w:themeTint="BF"/>
    </w:rPr>
  </w:style>
  <w:style w:type="paragraph" w:styleId="ListParagraph">
    <w:name w:val="List Paragraph"/>
    <w:basedOn w:val="Normal"/>
    <w:uiPriority w:val="34"/>
    <w:qFormat/>
    <w:rsid w:val="008A2E98"/>
    <w:pPr>
      <w:ind w:left="720"/>
      <w:contextualSpacing/>
    </w:pPr>
  </w:style>
  <w:style w:type="character" w:styleId="IntenseEmphasis">
    <w:name w:val="Intense Emphasis"/>
    <w:basedOn w:val="DefaultParagraphFont"/>
    <w:uiPriority w:val="21"/>
    <w:qFormat/>
    <w:rsid w:val="008A2E98"/>
    <w:rPr>
      <w:i/>
      <w:iCs/>
      <w:color w:val="2F5496" w:themeColor="accent1" w:themeShade="BF"/>
    </w:rPr>
  </w:style>
  <w:style w:type="paragraph" w:styleId="IntenseQuote">
    <w:name w:val="Intense Quote"/>
    <w:basedOn w:val="Normal"/>
    <w:next w:val="Normal"/>
    <w:link w:val="IntenseQuoteChar"/>
    <w:uiPriority w:val="30"/>
    <w:qFormat/>
    <w:rsid w:val="008A2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2E98"/>
    <w:rPr>
      <w:i/>
      <w:iCs/>
      <w:color w:val="2F5496" w:themeColor="accent1" w:themeShade="BF"/>
    </w:rPr>
  </w:style>
  <w:style w:type="character" w:styleId="IntenseReference">
    <w:name w:val="Intense Reference"/>
    <w:basedOn w:val="DefaultParagraphFont"/>
    <w:uiPriority w:val="32"/>
    <w:qFormat/>
    <w:rsid w:val="008A2E98"/>
    <w:rPr>
      <w:b/>
      <w:bCs/>
      <w:smallCaps/>
      <w:color w:val="2F5496" w:themeColor="accent1" w:themeShade="BF"/>
      <w:spacing w:val="5"/>
    </w:rPr>
  </w:style>
  <w:style w:type="paragraph" w:styleId="Header">
    <w:name w:val="header"/>
    <w:basedOn w:val="Normal"/>
    <w:link w:val="HeaderChar"/>
    <w:uiPriority w:val="99"/>
    <w:unhideWhenUsed/>
    <w:rsid w:val="00D06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2DE"/>
  </w:style>
  <w:style w:type="paragraph" w:styleId="Footer">
    <w:name w:val="footer"/>
    <w:basedOn w:val="Normal"/>
    <w:link w:val="FooterChar"/>
    <w:uiPriority w:val="99"/>
    <w:unhideWhenUsed/>
    <w:rsid w:val="00D06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2DE"/>
  </w:style>
  <w:style w:type="character" w:styleId="Hyperlink">
    <w:name w:val="Hyperlink"/>
    <w:basedOn w:val="DefaultParagraphFont"/>
    <w:uiPriority w:val="99"/>
    <w:unhideWhenUsed/>
    <w:rsid w:val="00D062DE"/>
    <w:rPr>
      <w:color w:val="0563C1" w:themeColor="hyperlink"/>
      <w:u w:val="single"/>
    </w:rPr>
  </w:style>
  <w:style w:type="character" w:customStyle="1" w:styleId="UnresolvedMention">
    <w:name w:val="Unresolved Mention"/>
    <w:basedOn w:val="DefaultParagraphFont"/>
    <w:uiPriority w:val="99"/>
    <w:semiHidden/>
    <w:unhideWhenUsed/>
    <w:rsid w:val="00D062DE"/>
    <w:rPr>
      <w:color w:val="605E5C"/>
      <w:shd w:val="clear" w:color="auto" w:fill="E1DFDD"/>
    </w:rPr>
  </w:style>
  <w:style w:type="character" w:styleId="CommentReference">
    <w:name w:val="annotation reference"/>
    <w:basedOn w:val="DefaultParagraphFont"/>
    <w:uiPriority w:val="99"/>
    <w:semiHidden/>
    <w:unhideWhenUsed/>
    <w:rsid w:val="0044089E"/>
    <w:rPr>
      <w:sz w:val="16"/>
      <w:szCs w:val="16"/>
    </w:rPr>
  </w:style>
  <w:style w:type="paragraph" w:styleId="CommentText">
    <w:name w:val="annotation text"/>
    <w:basedOn w:val="Normal"/>
    <w:link w:val="CommentTextChar"/>
    <w:uiPriority w:val="99"/>
    <w:semiHidden/>
    <w:unhideWhenUsed/>
    <w:rsid w:val="0044089E"/>
    <w:pPr>
      <w:spacing w:line="240" w:lineRule="auto"/>
    </w:pPr>
    <w:rPr>
      <w:sz w:val="20"/>
      <w:szCs w:val="20"/>
    </w:rPr>
  </w:style>
  <w:style w:type="character" w:customStyle="1" w:styleId="CommentTextChar">
    <w:name w:val="Comment Text Char"/>
    <w:basedOn w:val="DefaultParagraphFont"/>
    <w:link w:val="CommentText"/>
    <w:uiPriority w:val="99"/>
    <w:semiHidden/>
    <w:rsid w:val="0044089E"/>
    <w:rPr>
      <w:sz w:val="20"/>
      <w:szCs w:val="20"/>
    </w:rPr>
  </w:style>
  <w:style w:type="paragraph" w:styleId="CommentSubject">
    <w:name w:val="annotation subject"/>
    <w:basedOn w:val="CommentText"/>
    <w:next w:val="CommentText"/>
    <w:link w:val="CommentSubjectChar"/>
    <w:uiPriority w:val="99"/>
    <w:semiHidden/>
    <w:unhideWhenUsed/>
    <w:rsid w:val="0044089E"/>
    <w:rPr>
      <w:b/>
      <w:bCs/>
    </w:rPr>
  </w:style>
  <w:style w:type="character" w:customStyle="1" w:styleId="CommentSubjectChar">
    <w:name w:val="Comment Subject Char"/>
    <w:basedOn w:val="CommentTextChar"/>
    <w:link w:val="CommentSubject"/>
    <w:uiPriority w:val="99"/>
    <w:semiHidden/>
    <w:rsid w:val="0044089E"/>
    <w:rPr>
      <w:b/>
      <w:bCs/>
      <w:sz w:val="20"/>
      <w:szCs w:val="20"/>
    </w:rPr>
  </w:style>
  <w:style w:type="paragraph" w:styleId="BalloonText">
    <w:name w:val="Balloon Text"/>
    <w:basedOn w:val="Normal"/>
    <w:link w:val="BalloonTextChar"/>
    <w:uiPriority w:val="99"/>
    <w:semiHidden/>
    <w:unhideWhenUsed/>
    <w:rsid w:val="00440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9884</Words>
  <Characters>56341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Arslan</cp:lastModifiedBy>
  <cp:revision>15</cp:revision>
  <dcterms:created xsi:type="dcterms:W3CDTF">2025-11-13T18:29:00Z</dcterms:created>
  <dcterms:modified xsi:type="dcterms:W3CDTF">2025-11-15T15:31:00Z</dcterms:modified>
</cp:coreProperties>
</file>