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DE" w:rsidRDefault="00BE08DE" w:rsidP="00BE08DE">
      <w:pPr>
        <w:pStyle w:val="Author"/>
        <w:rPr>
          <w:rFonts w:ascii="Arial" w:hAnsi="Arial" w:cs="Arial"/>
          <w:b w:val="0"/>
          <w:bCs/>
        </w:rPr>
      </w:pPr>
      <w:r>
        <w:rPr>
          <w:rFonts w:ascii="Arial" w:hAnsi="Arial" w:cs="Arial"/>
          <w:b w:val="0"/>
          <w:bCs/>
        </w:rPr>
        <w:t>Comparative Efficacy of Liquid and Carrier-Based Biofertilizers on Foliar Nutrient Uptake in Guava Under Varied Fertilizer Regimes</w:t>
      </w:r>
    </w:p>
    <w:p w:rsidR="007675FA" w:rsidRDefault="007675FA" w:rsidP="00BE08DE">
      <w:pPr>
        <w:pStyle w:val="Author"/>
        <w:rPr>
          <w:rFonts w:ascii="Arial" w:hAnsi="Arial" w:cs="Arial"/>
          <w:b w:val="0"/>
          <w:bCs/>
        </w:rPr>
      </w:pPr>
    </w:p>
    <w:p w:rsidR="007675FA" w:rsidRDefault="007675FA" w:rsidP="00BE08DE">
      <w:pPr>
        <w:pStyle w:val="Author"/>
        <w:rPr>
          <w:rFonts w:ascii="Arial" w:hAnsi="Arial" w:cs="Arial"/>
          <w:b w:val="0"/>
          <w:bCs/>
        </w:rPr>
      </w:pPr>
    </w:p>
    <w:p w:rsidR="00BE08DE" w:rsidRDefault="00BE08DE" w:rsidP="00BE08DE">
      <w:pPr>
        <w:spacing w:after="0" w:line="240" w:lineRule="auto"/>
        <w:jc w:val="both"/>
        <w:rPr>
          <w:rFonts w:ascii="Arial" w:hAnsi="Arial" w:cs="Arial"/>
          <w:color w:val="000000" w:themeColor="text1"/>
          <w:sz w:val="20"/>
          <w:szCs w:val="20"/>
        </w:rPr>
      </w:pPr>
      <w:bookmarkStart w:id="0" w:name="_GoBack"/>
      <w:bookmarkEnd w:id="0"/>
    </w:p>
    <w:p w:rsidR="00BE08DE" w:rsidRDefault="00BE08DE" w:rsidP="00BE08DE">
      <w:pPr>
        <w:pStyle w:val="ds-markdown-paragraph"/>
        <w:shd w:val="clear" w:color="auto" w:fill="FFFFFF"/>
        <w:spacing w:before="0" w:beforeAutospacing="0" w:after="0" w:afterAutospacing="0"/>
        <w:jc w:val="both"/>
        <w:rPr>
          <w:rFonts w:ascii="Arial" w:hAnsi="Arial" w:cs="Arial"/>
          <w:color w:val="0F1115"/>
          <w:sz w:val="20"/>
          <w:szCs w:val="20"/>
          <w:shd w:val="clear" w:color="auto" w:fill="FFFFFF"/>
        </w:rPr>
      </w:pPr>
    </w:p>
    <w:p w:rsidR="00BE08DE" w:rsidRDefault="00BE08DE" w:rsidP="00BE08DE">
      <w:pPr>
        <w:shd w:val="clear" w:color="auto" w:fill="FFFFFF"/>
        <w:spacing w:after="0" w:line="240" w:lineRule="auto"/>
        <w:rPr>
          <w:rFonts w:ascii="Arial" w:eastAsia="Times New Roman" w:hAnsi="Arial" w:cs="Arial"/>
          <w:color w:val="0F1115"/>
          <w:kern w:val="0"/>
          <w:sz w:val="20"/>
          <w:szCs w:val="20"/>
        </w:rPr>
      </w:pPr>
      <w:r>
        <w:rPr>
          <w:rFonts w:ascii="Arial" w:eastAsia="Times New Roman" w:hAnsi="Arial" w:cs="Arial"/>
          <w:b/>
          <w:bCs/>
          <w:color w:val="0F1115"/>
          <w:kern w:val="0"/>
          <w:sz w:val="20"/>
          <w:szCs w:val="20"/>
        </w:rPr>
        <w:t>ABSTRACT</w:t>
      </w:r>
    </w:p>
    <w:p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rPr>
      </w:pPr>
      <w:commentRangeStart w:id="1"/>
      <w:r>
        <w:rPr>
          <w:rFonts w:ascii="Arial" w:eastAsia="Times New Roman" w:hAnsi="Arial" w:cs="Arial"/>
          <w:b/>
          <w:bCs/>
          <w:color w:val="0F1115"/>
          <w:kern w:val="0"/>
          <w:sz w:val="20"/>
          <w:szCs w:val="20"/>
        </w:rPr>
        <w:t>Aim:</w:t>
      </w:r>
      <w:r>
        <w:rPr>
          <w:rFonts w:ascii="Arial" w:eastAsia="Times New Roman" w:hAnsi="Arial" w:cs="Arial"/>
          <w:color w:val="0F1115"/>
          <w:kern w:val="0"/>
          <w:sz w:val="20"/>
          <w:szCs w:val="20"/>
        </w:rPr>
        <w:t> This study aimed to evaluate the comparative efficacy of liquid versus carrier-based biofertilizer formulations on enhancing foliar nitrogen, phosphorus, and potassium uptake in guava (</w:t>
      </w:r>
      <w:r>
        <w:rPr>
          <w:rFonts w:ascii="Arial" w:eastAsia="Times New Roman" w:hAnsi="Arial" w:cs="Arial"/>
          <w:i/>
          <w:iCs/>
          <w:color w:val="0F1115"/>
          <w:kern w:val="0"/>
          <w:sz w:val="20"/>
          <w:szCs w:val="20"/>
        </w:rPr>
        <w:t>Psidium guajava</w:t>
      </w:r>
      <w:r>
        <w:rPr>
          <w:rFonts w:ascii="Arial" w:eastAsia="Times New Roman" w:hAnsi="Arial" w:cs="Arial"/>
          <w:color w:val="0F1115"/>
          <w:kern w:val="0"/>
          <w:sz w:val="20"/>
          <w:szCs w:val="20"/>
        </w:rPr>
        <w:t> L.) cv. Taiwan White, under varying levels of chemical fertilizer application.</w:t>
      </w:r>
    </w:p>
    <w:p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rPr>
      </w:pPr>
      <w:r>
        <w:rPr>
          <w:rFonts w:ascii="Arial" w:eastAsia="Times New Roman" w:hAnsi="Arial" w:cs="Arial"/>
          <w:b/>
          <w:bCs/>
          <w:color w:val="0F1115"/>
          <w:kern w:val="0"/>
          <w:sz w:val="20"/>
          <w:szCs w:val="20"/>
        </w:rPr>
        <w:t>Study Design:</w:t>
      </w:r>
      <w:r>
        <w:rPr>
          <w:rFonts w:ascii="Arial" w:eastAsia="Times New Roman" w:hAnsi="Arial" w:cs="Arial"/>
          <w:color w:val="0F1115"/>
          <w:kern w:val="0"/>
          <w:sz w:val="20"/>
          <w:szCs w:val="20"/>
        </w:rPr>
        <w:t> The experiment was conducted using a Factorial Randomized Block Design (FRBD) with three replications.</w:t>
      </w:r>
    </w:p>
    <w:p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rPr>
      </w:pPr>
      <w:r>
        <w:rPr>
          <w:rFonts w:ascii="Arial" w:eastAsia="Times New Roman" w:hAnsi="Arial" w:cs="Arial"/>
          <w:b/>
          <w:bCs/>
          <w:color w:val="0F1115"/>
          <w:kern w:val="0"/>
          <w:sz w:val="20"/>
          <w:szCs w:val="20"/>
        </w:rPr>
        <w:t>Place and Duration of Study:</w:t>
      </w:r>
      <w:r>
        <w:rPr>
          <w:rFonts w:ascii="Arial" w:eastAsia="Times New Roman" w:hAnsi="Arial" w:cs="Arial"/>
          <w:color w:val="0F1115"/>
          <w:kern w:val="0"/>
          <w:sz w:val="20"/>
          <w:szCs w:val="20"/>
        </w:rPr>
        <w:t> The investigation was carried out over two consecutive years (2019-2021) at the College of Horticulture, Venkataramannagudem, Andhra Pradesh, India.</w:t>
      </w:r>
    </w:p>
    <w:p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rPr>
      </w:pPr>
      <w:r>
        <w:rPr>
          <w:rFonts w:ascii="Arial" w:eastAsia="Times New Roman" w:hAnsi="Arial" w:cs="Arial"/>
          <w:b/>
          <w:bCs/>
          <w:color w:val="0F1115"/>
          <w:kern w:val="0"/>
          <w:sz w:val="20"/>
          <w:szCs w:val="20"/>
        </w:rPr>
        <w:t>Methodology:</w:t>
      </w:r>
      <w:r>
        <w:rPr>
          <w:rFonts w:ascii="Arial" w:eastAsia="Times New Roman" w:hAnsi="Arial" w:cs="Arial"/>
          <w:color w:val="0F1115"/>
          <w:kern w:val="0"/>
          <w:sz w:val="20"/>
          <w:szCs w:val="20"/>
        </w:rPr>
        <w:t> The treatment structure combined three levels of the recommended dose of fertilizers (RDF)—100% (400:160:400 g NPK/tree), 80%, and 60%—with three biofertilizer applications: carrier-based (NFB+PSB+KSB @ 100 g/tree), liquid (NFB+PSB+KSB @ 5 ml/tree), and a control (no biofertilizers). Standardized protocols were used for leaf sampling and analysis: the Micro-Kjeldhal method for nitrogen, the vanadomolybdo-phosphoric yellow color method for phosphorus, and flame photometry for potassium. Pooled data from both years were subjected to factorial analysis of variance.</w:t>
      </w:r>
    </w:p>
    <w:p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rPr>
      </w:pPr>
      <w:r>
        <w:rPr>
          <w:rFonts w:ascii="Arial" w:eastAsia="Times New Roman" w:hAnsi="Arial" w:cs="Arial"/>
          <w:b/>
          <w:bCs/>
          <w:color w:val="0F1115"/>
          <w:kern w:val="0"/>
          <w:sz w:val="20"/>
          <w:szCs w:val="20"/>
        </w:rPr>
        <w:t>Results:</w:t>
      </w:r>
      <w:r>
        <w:rPr>
          <w:rFonts w:ascii="Arial" w:eastAsia="Times New Roman" w:hAnsi="Arial" w:cs="Arial"/>
          <w:color w:val="0F1115"/>
          <w:kern w:val="0"/>
          <w:sz w:val="20"/>
          <w:szCs w:val="20"/>
        </w:rPr>
        <w:t> The combined application of 100% RDF with liquid biofertilizers resulted in the highest foliar nutrient concentrations: 2.06% nitrogen, 0.39% phosphorus, and 1.62% potassium. Liquid biofertilizers consistently outperformed carrier-based formulations across all nutrient parameters and RDF levels. A significant finding was that the 80% RDF treatment amended with liquid biofertilizers achieved a phosphorus level (0.33%) that was statistically equivalent to the highest-yielding treatment (100% RDF + liquid), suggesting a potential 20% reduction in chemical fertilizer use without detriment to foliar phosphorus status.</w:t>
      </w:r>
    </w:p>
    <w:p w:rsidR="00BE08DE" w:rsidRDefault="00BE08DE" w:rsidP="00BE08DE">
      <w:pPr>
        <w:shd w:val="clear" w:color="auto" w:fill="FFFFFF"/>
        <w:spacing w:before="240" w:after="0" w:line="240" w:lineRule="auto"/>
        <w:jc w:val="both"/>
        <w:rPr>
          <w:rFonts w:ascii="Arial" w:eastAsia="Times New Roman" w:hAnsi="Arial" w:cs="Arial"/>
          <w:color w:val="0F1115"/>
          <w:kern w:val="0"/>
          <w:sz w:val="20"/>
          <w:szCs w:val="20"/>
        </w:rPr>
      </w:pPr>
      <w:r>
        <w:rPr>
          <w:rFonts w:ascii="Arial" w:eastAsia="Times New Roman" w:hAnsi="Arial" w:cs="Arial"/>
          <w:b/>
          <w:bCs/>
          <w:color w:val="0F1115"/>
          <w:kern w:val="0"/>
          <w:sz w:val="20"/>
          <w:szCs w:val="20"/>
        </w:rPr>
        <w:t>Conclusion:</w:t>
      </w:r>
      <w:r>
        <w:rPr>
          <w:rFonts w:ascii="Arial" w:eastAsia="Times New Roman" w:hAnsi="Arial" w:cs="Arial"/>
          <w:color w:val="0F1115"/>
          <w:kern w:val="0"/>
          <w:sz w:val="20"/>
          <w:szCs w:val="20"/>
        </w:rPr>
        <w:t> Liquid biofertilizers are demonstrably superior to carrier-based forms for enhancing foliar nutrient content in guava. Their integration, even with a reduced (80%) RDF, can maintain optimal phosphorus nutrition, offering a practical and sustainable strategy for precision nutrient management and fertilizer input optimization in commercial guava cultivation.</w:t>
      </w:r>
    </w:p>
    <w:commentRangeEnd w:id="1"/>
    <w:p w:rsidR="00BE08DE" w:rsidRDefault="00257A2F" w:rsidP="00BE08DE">
      <w:pPr>
        <w:shd w:val="clear" w:color="auto" w:fill="FFFFFF"/>
        <w:spacing w:before="240" w:after="0" w:line="240" w:lineRule="auto"/>
        <w:jc w:val="both"/>
        <w:rPr>
          <w:rFonts w:ascii="Arial" w:eastAsia="Times New Roman" w:hAnsi="Arial" w:cs="Arial"/>
          <w:color w:val="0F1115"/>
          <w:kern w:val="0"/>
          <w:sz w:val="20"/>
          <w:szCs w:val="20"/>
        </w:rPr>
      </w:pPr>
      <w:r>
        <w:rPr>
          <w:rStyle w:val="CommentReference"/>
        </w:rPr>
        <w:commentReference w:id="1"/>
      </w:r>
    </w:p>
    <w:p w:rsidR="00BE08DE" w:rsidRDefault="00BE08DE" w:rsidP="00BE08DE">
      <w:pPr>
        <w:pStyle w:val="ds-markdown-paragraph"/>
        <w:shd w:val="clear" w:color="auto" w:fill="FFFFFF"/>
        <w:spacing w:before="0" w:beforeAutospacing="0" w:after="0" w:afterAutospacing="0"/>
        <w:jc w:val="both"/>
        <w:rPr>
          <w:rStyle w:val="Strong"/>
          <w:rFonts w:eastAsiaTheme="majorEastAsia"/>
          <w:b w:val="0"/>
          <w:bCs w:val="0"/>
        </w:rPr>
      </w:pPr>
      <w:r>
        <w:rPr>
          <w:rStyle w:val="Strong"/>
          <w:rFonts w:ascii="Arial" w:eastAsiaTheme="majorEastAsia" w:hAnsi="Arial" w:cs="Arial"/>
          <w:color w:val="0F1115"/>
          <w:sz w:val="20"/>
          <w:szCs w:val="20"/>
        </w:rPr>
        <w:t>Keywords: Guava</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Liquid Biofertilizers</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Foliar Nutri</w:t>
      </w:r>
      <w:r>
        <w:rPr>
          <w:rStyle w:val="Strong"/>
          <w:rFonts w:ascii="Arial" w:eastAsiaTheme="majorEastAsia" w:hAnsi="Arial" w:cs="Arial"/>
          <w:b w:val="0"/>
          <w:bCs w:val="0"/>
          <w:color w:val="0F1115"/>
          <w:sz w:val="20"/>
          <w:szCs w:val="20"/>
        </w:rPr>
        <w:t>ent</w:t>
      </w:r>
      <w:r>
        <w:rPr>
          <w:rStyle w:val="Strong"/>
          <w:rFonts w:ascii="Arial" w:eastAsiaTheme="majorEastAsia" w:hAnsi="Arial" w:cs="Arial"/>
          <w:color w:val="0F1115"/>
          <w:sz w:val="20"/>
          <w:szCs w:val="20"/>
        </w:rPr>
        <w:t xml:space="preserve"> Uptake</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Integrated Nutrient Management</w:t>
      </w:r>
      <w:r>
        <w:rPr>
          <w:rFonts w:ascii="Arial" w:hAnsi="Arial" w:cs="Arial"/>
          <w:b/>
          <w:bCs/>
          <w:color w:val="0F1115"/>
          <w:sz w:val="20"/>
          <w:szCs w:val="20"/>
        </w:rPr>
        <w:t xml:space="preserve">, </w:t>
      </w:r>
      <w:r>
        <w:rPr>
          <w:rStyle w:val="Strong"/>
          <w:rFonts w:ascii="Arial" w:eastAsiaTheme="majorEastAsia" w:hAnsi="Arial" w:cs="Arial"/>
          <w:color w:val="0F1115"/>
          <w:sz w:val="20"/>
          <w:szCs w:val="20"/>
        </w:rPr>
        <w:t>Fertilizer Optimization</w:t>
      </w:r>
    </w:p>
    <w:p w:rsidR="00BE08DE" w:rsidRDefault="00BE08DE" w:rsidP="00BE08DE">
      <w:pPr>
        <w:pStyle w:val="ds-markdown-paragraph"/>
        <w:shd w:val="clear" w:color="auto" w:fill="FFFFFF"/>
        <w:spacing w:before="0" w:beforeAutospacing="0" w:after="0" w:afterAutospacing="0"/>
        <w:jc w:val="both"/>
        <w:rPr>
          <w:rStyle w:val="Strong"/>
          <w:rFonts w:ascii="Arial" w:eastAsiaTheme="majorEastAsia" w:hAnsi="Arial" w:cs="Arial"/>
          <w:b w:val="0"/>
          <w:bCs w:val="0"/>
          <w:color w:val="0F1115"/>
          <w:sz w:val="20"/>
          <w:szCs w:val="20"/>
        </w:rPr>
      </w:pPr>
    </w:p>
    <w:p w:rsidR="00BE08DE" w:rsidRDefault="00BE08DE" w:rsidP="00BE08DE">
      <w:pPr>
        <w:pStyle w:val="AbstHead"/>
        <w:spacing w:after="0"/>
        <w:jc w:val="both"/>
      </w:pPr>
      <w:r>
        <w:rPr>
          <w:rFonts w:ascii="Arial" w:hAnsi="Arial" w:cs="Arial"/>
        </w:rPr>
        <w:t xml:space="preserve">1. introduction </w:t>
      </w:r>
    </w:p>
    <w:p w:rsidR="00BE08DE" w:rsidRDefault="00BE08DE" w:rsidP="00BE08DE">
      <w:pPr>
        <w:pStyle w:val="ds-markdown-paragraph"/>
        <w:shd w:val="clear" w:color="auto" w:fill="FFFFFF"/>
        <w:spacing w:before="0" w:beforeAutospacing="0" w:after="0" w:afterAutospacing="0"/>
        <w:jc w:val="both"/>
        <w:rPr>
          <w:rStyle w:val="Strong"/>
          <w:rFonts w:eastAsiaTheme="majorEastAsia"/>
          <w:b w:val="0"/>
          <w:bCs w:val="0"/>
          <w:color w:val="0F1115"/>
          <w:sz w:val="20"/>
          <w:szCs w:val="20"/>
        </w:rPr>
      </w:pPr>
    </w:p>
    <w:p w:rsidR="00BE08DE" w:rsidRDefault="00BE08DE" w:rsidP="00BE08DE">
      <w:pPr>
        <w:shd w:val="clear" w:color="auto" w:fill="FFFFFF"/>
        <w:spacing w:after="0" w:line="240" w:lineRule="auto"/>
        <w:jc w:val="both"/>
        <w:rPr>
          <w:rFonts w:eastAsia="Times New Roman"/>
          <w:bCs/>
          <w:kern w:val="0"/>
        </w:rPr>
      </w:pPr>
      <w:r>
        <w:rPr>
          <w:rFonts w:ascii="Arial" w:eastAsia="Times New Roman" w:hAnsi="Arial" w:cs="Arial"/>
          <w:bCs/>
          <w:color w:val="0F1115"/>
          <w:kern w:val="0"/>
          <w:sz w:val="20"/>
          <w:szCs w:val="20"/>
        </w:rPr>
        <w:t>Guava (</w:t>
      </w:r>
      <w:r>
        <w:rPr>
          <w:rFonts w:ascii="Arial" w:eastAsia="Times New Roman" w:hAnsi="Arial" w:cs="Arial"/>
          <w:bCs/>
          <w:i/>
          <w:iCs/>
          <w:color w:val="0F1115"/>
          <w:kern w:val="0"/>
          <w:sz w:val="20"/>
          <w:szCs w:val="20"/>
        </w:rPr>
        <w:t>Psidium guajava</w:t>
      </w:r>
      <w:r>
        <w:rPr>
          <w:rFonts w:ascii="Arial" w:eastAsia="Times New Roman" w:hAnsi="Arial" w:cs="Arial"/>
          <w:bCs/>
          <w:color w:val="0F1115"/>
          <w:kern w:val="0"/>
          <w:sz w:val="20"/>
          <w:szCs w:val="20"/>
        </w:rPr>
        <w:t xml:space="preserve"> L.), recognized as "the apple of the tropics," represents a commercially vital fruit crop in India, esteemed for its exceptional nutritive value, notably its high ascorbic acid content. Intensive cultivation practices aimed at maximizing yield have historically depended on synthetic fertilizers. Nevertheless, the disproportionate and excessive application of these chemical inputs poses significant risks, including environmental pollution, degradation of soil health, and escalating production expenditures (Sharma </w:t>
      </w:r>
      <w:r>
        <w:rPr>
          <w:rFonts w:ascii="Arial" w:eastAsia="Times New Roman" w:hAnsi="Arial" w:cs="Arial"/>
          <w:bCs/>
          <w:i/>
          <w:iCs/>
          <w:color w:val="0F1115"/>
          <w:kern w:val="0"/>
          <w:sz w:val="20"/>
          <w:szCs w:val="20"/>
        </w:rPr>
        <w:t>et al.,</w:t>
      </w:r>
      <w:r>
        <w:rPr>
          <w:rFonts w:ascii="Arial" w:eastAsia="Times New Roman" w:hAnsi="Arial" w:cs="Arial"/>
          <w:bCs/>
          <w:color w:val="0F1115"/>
          <w:kern w:val="0"/>
          <w:sz w:val="20"/>
          <w:szCs w:val="20"/>
        </w:rPr>
        <w:t xml:space="preserve"> 2013). This underscores an urgent need for Integrated Nutrient Management (INM) strategies that reconcile high productivity with ecological </w:t>
      </w:r>
      <w:commentRangeStart w:id="2"/>
      <w:r>
        <w:rPr>
          <w:rFonts w:ascii="Arial" w:eastAsia="Times New Roman" w:hAnsi="Arial" w:cs="Arial"/>
          <w:bCs/>
          <w:color w:val="0F1115"/>
          <w:kern w:val="0"/>
          <w:sz w:val="20"/>
          <w:szCs w:val="20"/>
        </w:rPr>
        <w:t>stewardship</w:t>
      </w:r>
      <w:commentRangeEnd w:id="2"/>
      <w:r w:rsidR="00CF5797">
        <w:rPr>
          <w:rStyle w:val="CommentReference"/>
        </w:rPr>
        <w:commentReference w:id="2"/>
      </w:r>
      <w:r>
        <w:rPr>
          <w:rFonts w:ascii="Arial" w:eastAsia="Times New Roman" w:hAnsi="Arial" w:cs="Arial"/>
          <w:bCs/>
          <w:color w:val="0F1115"/>
          <w:kern w:val="0"/>
          <w:sz w:val="20"/>
          <w:szCs w:val="20"/>
        </w:rPr>
        <w:t>.</w:t>
      </w:r>
    </w:p>
    <w:p w:rsidR="00BE08DE" w:rsidRDefault="00BE08DE" w:rsidP="00BE08DE">
      <w:pPr>
        <w:shd w:val="clear" w:color="auto" w:fill="FFFFFF"/>
        <w:spacing w:after="0" w:line="240" w:lineRule="auto"/>
        <w:jc w:val="both"/>
        <w:rPr>
          <w:rFonts w:ascii="Arial" w:eastAsia="Times New Roman" w:hAnsi="Arial" w:cs="Arial"/>
          <w:bCs/>
          <w:color w:val="0F1115"/>
          <w:kern w:val="0"/>
          <w:sz w:val="20"/>
          <w:szCs w:val="20"/>
        </w:rPr>
      </w:pPr>
      <w:r>
        <w:rPr>
          <w:rFonts w:ascii="Arial" w:eastAsia="Times New Roman" w:hAnsi="Arial" w:cs="Arial"/>
          <w:bCs/>
          <w:color w:val="0F1115"/>
          <w:kern w:val="0"/>
          <w:sz w:val="20"/>
          <w:szCs w:val="20"/>
        </w:rPr>
        <w:t xml:space="preserve">Biofertilizers, comprising consortia of beneficial microorganisms such as nitrogen-fixing bacteria (NFB), phosphate-solubilizing bacteria (PSB), and potassium-solubilizing bacteria (KSB), present a viable alternative for sustainable agriculture. These microbial inoculants enhance nutrient bioavailability and acquisition through biological mechanisms, thereby potentially diminishing reliance on chemical fertilizers </w:t>
      </w:r>
      <w:r>
        <w:rPr>
          <w:rFonts w:ascii="Arial" w:eastAsia="Times New Roman" w:hAnsi="Arial" w:cs="Arial"/>
          <w:bCs/>
          <w:color w:val="0F1115"/>
          <w:kern w:val="0"/>
          <w:sz w:val="20"/>
          <w:szCs w:val="20"/>
        </w:rPr>
        <w:lastRenderedPageBreak/>
        <w:t xml:space="preserve">(Kaushik </w:t>
      </w:r>
      <w:r>
        <w:rPr>
          <w:rFonts w:ascii="Arial" w:eastAsia="Times New Roman" w:hAnsi="Arial" w:cs="Arial"/>
          <w:bCs/>
          <w:i/>
          <w:iCs/>
          <w:color w:val="0F1115"/>
          <w:kern w:val="0"/>
          <w:sz w:val="20"/>
          <w:szCs w:val="20"/>
        </w:rPr>
        <w:t>et al</w:t>
      </w:r>
      <w:r>
        <w:rPr>
          <w:rFonts w:ascii="Arial" w:eastAsia="Times New Roman" w:hAnsi="Arial" w:cs="Arial"/>
          <w:bCs/>
          <w:color w:val="0F1115"/>
          <w:kern w:val="0"/>
          <w:sz w:val="20"/>
          <w:szCs w:val="20"/>
        </w:rPr>
        <w:t xml:space="preserve">., 2018). Recent advancements have highlighted the superiority of liquid formulations over traditional carrier-based biofertilizers, attributable to their greater microbial load, extended shelf life, application convenience, and improved microbial survival </w:t>
      </w:r>
      <w:commentRangeStart w:id="3"/>
      <w:r>
        <w:rPr>
          <w:rFonts w:ascii="Arial" w:eastAsia="Times New Roman" w:hAnsi="Arial" w:cs="Arial"/>
          <w:bCs/>
          <w:color w:val="0F1115"/>
          <w:kern w:val="0"/>
          <w:sz w:val="20"/>
          <w:szCs w:val="20"/>
        </w:rPr>
        <w:t>rates</w:t>
      </w:r>
      <w:commentRangeEnd w:id="3"/>
      <w:r w:rsidR="00CF5797">
        <w:rPr>
          <w:rStyle w:val="CommentReference"/>
        </w:rPr>
        <w:commentReference w:id="3"/>
      </w:r>
      <w:r>
        <w:rPr>
          <w:rFonts w:ascii="Arial" w:eastAsia="Times New Roman" w:hAnsi="Arial" w:cs="Arial"/>
          <w:bCs/>
          <w:color w:val="0F1115"/>
          <w:kern w:val="0"/>
          <w:sz w:val="20"/>
          <w:szCs w:val="20"/>
        </w:rPr>
        <w:t>.</w:t>
      </w:r>
    </w:p>
    <w:p w:rsidR="00BE08DE" w:rsidRDefault="00BE08DE" w:rsidP="00BE08DE">
      <w:pPr>
        <w:shd w:val="clear" w:color="auto" w:fill="FFFFFF"/>
        <w:spacing w:after="0" w:line="240" w:lineRule="auto"/>
        <w:jc w:val="both"/>
        <w:rPr>
          <w:rFonts w:ascii="Arial" w:eastAsia="Times New Roman" w:hAnsi="Arial" w:cs="Arial"/>
          <w:bCs/>
          <w:color w:val="0F1115"/>
          <w:kern w:val="0"/>
          <w:sz w:val="20"/>
          <w:szCs w:val="20"/>
        </w:rPr>
      </w:pPr>
      <w:r>
        <w:rPr>
          <w:rFonts w:ascii="Arial" w:eastAsia="Times New Roman" w:hAnsi="Arial" w:cs="Arial"/>
          <w:bCs/>
          <w:color w:val="0F1115"/>
          <w:kern w:val="0"/>
          <w:sz w:val="20"/>
          <w:szCs w:val="20"/>
        </w:rPr>
        <w:t>Foliar nutrient analysis serves as a critical diagnostic tool for evaluating the phytochemical status and the efficiency of nutrient management protocols in perennial crops. Despite the acknowledged potential of biofertilizers, a comparative assessment of their formulation-specific impacts on the foliar nutrient profile of guava remains inadequately documented. Consequently, the present investigation was formulated to systematically evaluate the relative performance of liquid versus carrier-based biofertilizers, in conjunction with graded doses of chemical fertilizers, on the foliar nitrogen, phosphorus, and potassium concentrations in guava cv. Taiwan White.</w:t>
      </w:r>
    </w:p>
    <w:p w:rsidR="00BE08DE" w:rsidRDefault="00BE08DE" w:rsidP="00BE08DE">
      <w:pPr>
        <w:pStyle w:val="ds-markdown-paragraph"/>
        <w:shd w:val="clear" w:color="auto" w:fill="FFFFFF"/>
        <w:spacing w:before="0" w:beforeAutospacing="0" w:after="0" w:afterAutospacing="0"/>
        <w:jc w:val="both"/>
        <w:rPr>
          <w:rStyle w:val="Strong"/>
          <w:rFonts w:eastAsiaTheme="majorEastAsia"/>
          <w:b w:val="0"/>
        </w:rPr>
      </w:pPr>
    </w:p>
    <w:p w:rsidR="00BE08DE" w:rsidRDefault="00BE08DE" w:rsidP="00BE08DE">
      <w:pPr>
        <w:pStyle w:val="AbstHead"/>
        <w:spacing w:after="0"/>
        <w:jc w:val="both"/>
      </w:pPr>
      <w:r>
        <w:rPr>
          <w:rFonts w:ascii="Arial" w:hAnsi="Arial" w:cs="Arial"/>
        </w:rPr>
        <w:t xml:space="preserve">2. </w:t>
      </w:r>
      <w:commentRangeStart w:id="4"/>
      <w:r>
        <w:rPr>
          <w:rFonts w:ascii="Arial" w:hAnsi="Arial" w:cs="Arial"/>
        </w:rPr>
        <w:t>material</w:t>
      </w:r>
      <w:commentRangeEnd w:id="4"/>
      <w:r w:rsidR="00257A2F">
        <w:rPr>
          <w:rStyle w:val="CommentReference"/>
          <w:rFonts w:asciiTheme="minorHAnsi" w:eastAsiaTheme="minorHAnsi" w:hAnsiTheme="minorHAnsi" w:cstheme="minorBidi"/>
          <w:b w:val="0"/>
          <w:caps w:val="0"/>
          <w:kern w:val="2"/>
        </w:rPr>
        <w:commentReference w:id="4"/>
      </w:r>
      <w:r>
        <w:rPr>
          <w:rFonts w:ascii="Arial" w:hAnsi="Arial" w:cs="Arial"/>
        </w:rPr>
        <w:t xml:space="preserve"> and methods </w:t>
      </w:r>
    </w:p>
    <w:p w:rsidR="00BE08DE" w:rsidRDefault="00BE08DE" w:rsidP="00BE08DE">
      <w:pPr>
        <w:pStyle w:val="AbstHead"/>
        <w:spacing w:after="0"/>
        <w:jc w:val="both"/>
        <w:rPr>
          <w:rFonts w:ascii="Arial" w:hAnsi="Arial" w:cs="Arial"/>
          <w:b w:val="0"/>
          <w:bCs/>
        </w:rPr>
      </w:pPr>
    </w:p>
    <w:p w:rsidR="00BE08DE" w:rsidRDefault="00BE08DE" w:rsidP="00BE08DE">
      <w:pPr>
        <w:pStyle w:val="Body"/>
        <w:rPr>
          <w:rFonts w:ascii="Arial" w:hAnsi="Arial" w:cs="Arial"/>
          <w:bCs/>
        </w:rPr>
      </w:pPr>
      <w:r>
        <w:rPr>
          <w:rFonts w:ascii="Arial" w:hAnsi="Arial" w:cs="Arial"/>
          <w:bCs/>
        </w:rPr>
        <w:t>A two-year field investigation (2019-2021) was conducted using a Factorial Randomized Block Design with three replications to assess the individual and interactive effects of chemical fertilizers and biofertilizers on guava leaf nutrition. The experimental treatments comprised three levels of recommended dose of fertilizers (100% RDF: 400:160:400 g NPK/tree; 80% RDF: 320:128:320 g NPK/tree; 60% RDF: 240:96:240 g NPK/tree) and three biofertilizer applications [carrier-based (NFB+PSB+KSB) @ 100 g/tree, liquid biofertilizers @ 5 ml/tree, and a control without biofertilizers], all receiving a uniform basal dose of farmyard manure.</w:t>
      </w:r>
    </w:p>
    <w:p w:rsidR="00BE08DE" w:rsidRDefault="00BE08DE" w:rsidP="00BE08DE">
      <w:pPr>
        <w:pStyle w:val="Body"/>
        <w:spacing w:after="0"/>
        <w:rPr>
          <w:rFonts w:ascii="Arial" w:hAnsi="Arial" w:cs="Arial"/>
          <w:bCs/>
        </w:rPr>
      </w:pPr>
      <w:r>
        <w:rPr>
          <w:rFonts w:ascii="Arial" w:hAnsi="Arial" w:cs="Arial"/>
          <w:bCs/>
        </w:rPr>
        <w:t>Standardized protocols were employed for leaf sampling and nutrient analysis. The third pair of leaves from non-fruiting branches was collected at experiment initiation and final harvest, followed by thorough cleaning, drying, and grinding through a 40-mesh sieve. Leaf nitrogen content was determined using the Micro-Kjeldhal method, while phosphorus and potassium were analyzed through vanadomolybdo-phosphoric yellow color method and flame photometry, respectively. The collected data were subjected to factorial analysis of variance, with treatment means compared using critical difference at 5% probability level, and pooled data from both years are presented.</w:t>
      </w:r>
    </w:p>
    <w:p w:rsidR="00BE08DE" w:rsidRDefault="00BE08DE" w:rsidP="00BE08DE">
      <w:pPr>
        <w:pStyle w:val="Body"/>
        <w:spacing w:after="0"/>
        <w:rPr>
          <w:rFonts w:ascii="Arial" w:hAnsi="Arial" w:cs="Arial"/>
          <w:bCs/>
        </w:rPr>
      </w:pPr>
    </w:p>
    <w:p w:rsidR="00BE08DE" w:rsidRDefault="00BE08DE" w:rsidP="00BE08DE">
      <w:pPr>
        <w:pStyle w:val="Head1"/>
        <w:spacing w:after="0"/>
        <w:jc w:val="both"/>
        <w:rPr>
          <w:rFonts w:ascii="Arial" w:hAnsi="Arial" w:cs="Arial"/>
        </w:rPr>
      </w:pPr>
      <w:r>
        <w:rPr>
          <w:rFonts w:ascii="Arial" w:hAnsi="Arial" w:cs="Arial"/>
        </w:rPr>
        <w:t>3. results and discussion</w:t>
      </w:r>
    </w:p>
    <w:p w:rsidR="00BE08DE" w:rsidRDefault="00BE08DE" w:rsidP="00BE08DE">
      <w:pPr>
        <w:pStyle w:val="Head1"/>
        <w:spacing w:after="0"/>
        <w:jc w:val="both"/>
        <w:rPr>
          <w:rFonts w:ascii="Arial" w:hAnsi="Arial" w:cs="Arial"/>
          <w:b w:val="0"/>
          <w:bCs/>
        </w:rPr>
      </w:pPr>
    </w:p>
    <w:p w:rsidR="00BE08DE" w:rsidRDefault="00BE08DE" w:rsidP="00BE08DE">
      <w:pPr>
        <w:pStyle w:val="Body"/>
        <w:rPr>
          <w:rFonts w:ascii="Arial" w:hAnsi="Arial" w:cs="Arial"/>
          <w:b/>
        </w:rPr>
      </w:pPr>
      <w:r>
        <w:rPr>
          <w:rFonts w:ascii="Arial" w:hAnsi="Arial" w:cs="Arial"/>
          <w:b/>
        </w:rPr>
        <w:t>3.1. Leaf Nitrogen Content (%)</w:t>
      </w:r>
    </w:p>
    <w:p w:rsidR="00BE08DE" w:rsidRDefault="00BE08DE" w:rsidP="00BE08DE">
      <w:pPr>
        <w:pStyle w:val="Body"/>
        <w:rPr>
          <w:rFonts w:ascii="Arial" w:hAnsi="Arial" w:cs="Arial"/>
          <w:bCs/>
        </w:rPr>
      </w:pPr>
      <w:r>
        <w:rPr>
          <w:rFonts w:ascii="Arial" w:hAnsi="Arial" w:cs="Arial"/>
          <w:bCs/>
        </w:rPr>
        <w:t>Leaf nitrogen content showed a statistically significant response to varying levels of chemical fertilizers and biofertilizer applications. The nitrogen concentration in leaves increased from an initial level of 1.32% to a pooled mean of 1.78% across two years of experimentation. The highest nitrogen content (1.91%) was recorded in plants receiving 100% Recommended Dose of Fertilizers (RDF), while the lowest (1.63%) was observed in the 60% RDF treatment. Among the biofertilizer treatments, liquid formulations (NFB + PSB + KSB) led to a considerable increase in nitrogen uptake (1.91%), surpassing carrier-based biofertilizers (1.80%) and untreated control (1.64%). The most effective combination was 100% RDF with liquid biofertilizers, which resulted in the maximum nitrogen concentration (2.06%). This enhancement in leaf nitrogen content can be attributed to improved nutrient availability and uptake facilitated by the synergistic effect of chemical and biological inputs. Azotobacter, a nitrogen-fixing bacterium present in both liquid and carrier-based formulations, likely contributed to increased nitrogen availability through biological nitrogen fixation and improved mineralization of soil organic matter. The microbial activity may have also enhanced root surface area and nutrient absorption efficiency. These results agree with previous findings by Chauhan (2008), Ram et al. (2007), Sharma et al. (2013), Kaushik et al. (2018), and Dutta et al. (2014), who reported enhanced nitrogen uptake in guava and other fruit crops with integrated nutrient management.</w:t>
      </w:r>
    </w:p>
    <w:p w:rsidR="00BE08DE" w:rsidRDefault="00BE08DE" w:rsidP="00BE08DE">
      <w:pPr>
        <w:pStyle w:val="Body"/>
        <w:rPr>
          <w:rFonts w:ascii="Arial" w:hAnsi="Arial" w:cs="Arial"/>
          <w:b/>
        </w:rPr>
      </w:pPr>
      <w:r>
        <w:rPr>
          <w:rFonts w:ascii="Arial" w:hAnsi="Arial" w:cs="Arial"/>
          <w:b/>
        </w:rPr>
        <w:t>3.2. Leaf Phosphorus Content (%)</w:t>
      </w:r>
    </w:p>
    <w:p w:rsidR="00BE08DE" w:rsidRDefault="00BE08DE" w:rsidP="00BE08DE">
      <w:pPr>
        <w:pStyle w:val="Body"/>
        <w:rPr>
          <w:rFonts w:ascii="Arial" w:hAnsi="Arial" w:cs="Arial"/>
          <w:bCs/>
        </w:rPr>
      </w:pPr>
      <w:r>
        <w:rPr>
          <w:rFonts w:ascii="Arial" w:hAnsi="Arial" w:cs="Arial"/>
          <w:bCs/>
        </w:rPr>
        <w:t xml:space="preserve">Phosphorus content in guava leaves significantly varied with different levels of fertilizer and biofertilizer treatments. Starting from an initial value of 0.13%, the mean phosphorus content increased to 0.26% in pooled data. The application of 100% RDF recorded the highest leaf phosphorus content (0.31%), </w:t>
      </w:r>
      <w:r>
        <w:rPr>
          <w:rFonts w:ascii="Arial" w:hAnsi="Arial" w:cs="Arial"/>
          <w:bCs/>
        </w:rPr>
        <w:lastRenderedPageBreak/>
        <w:t>followed by 80% RDF (0.27%), while the lowest value (0.21%) was found in the 60% RDF treatment. Among the biofertilizer options, liquid biofertilizers led to the highest phosphorus uptake (0.32%), significantly outperforming carrier-based biofertilizers (0.26%) and the no-biofertilizer control (0.21%). The highest phosphorus accumulation (0.39%) occurred with the combined treatment of 100% RDF + liquid biofertilizers. The increase in phosphorus content can be ascribed to the phosphate-solubilizing activity of microbial strains such as PSB (Phosphate Solubilizing Bacteria), which enhance phosphorus availability by releasing organic acids (e.g., citric and oxalic acid) that mobilize fixed forms of phosphorus in the soil. The extensive root colonization by these microbes also increases the absorptive capacity of the root system. Similar mechanisms were documented by Dotaniya et al. (2014), Sundara et al. (2002), and Trivedi et al. (2012), who emphasized the role of biofertilizers in improving phosphorus availability in perennial fruit crops.</w:t>
      </w:r>
    </w:p>
    <w:p w:rsidR="00BE08DE" w:rsidRDefault="00BE08DE" w:rsidP="00BE08DE">
      <w:pPr>
        <w:pStyle w:val="Body"/>
        <w:rPr>
          <w:rFonts w:ascii="Arial" w:hAnsi="Arial" w:cs="Arial"/>
          <w:b/>
        </w:rPr>
      </w:pPr>
      <w:r>
        <w:rPr>
          <w:rFonts w:ascii="Arial" w:hAnsi="Arial" w:cs="Arial"/>
          <w:b/>
        </w:rPr>
        <w:t xml:space="preserve">3.3. Leaf </w:t>
      </w:r>
      <w:commentRangeStart w:id="5"/>
      <w:r>
        <w:rPr>
          <w:rFonts w:ascii="Arial" w:hAnsi="Arial" w:cs="Arial"/>
          <w:b/>
        </w:rPr>
        <w:t>Phosphorus</w:t>
      </w:r>
      <w:commentRangeEnd w:id="5"/>
      <w:r w:rsidR="008B47B4">
        <w:rPr>
          <w:rStyle w:val="CommentReference"/>
          <w:rFonts w:asciiTheme="minorHAnsi" w:eastAsiaTheme="minorHAnsi" w:hAnsiTheme="minorHAnsi" w:cstheme="minorBidi"/>
          <w:kern w:val="2"/>
        </w:rPr>
        <w:commentReference w:id="5"/>
      </w:r>
      <w:r>
        <w:rPr>
          <w:rFonts w:ascii="Arial" w:hAnsi="Arial" w:cs="Arial"/>
          <w:b/>
        </w:rPr>
        <w:t xml:space="preserve"> Content (%)</w:t>
      </w:r>
    </w:p>
    <w:p w:rsidR="00BE08DE" w:rsidRDefault="00BE08DE" w:rsidP="00BE08DE">
      <w:pPr>
        <w:pStyle w:val="Body"/>
        <w:spacing w:after="0"/>
        <w:rPr>
          <w:rFonts w:ascii="Arial" w:hAnsi="Arial" w:cs="Arial"/>
          <w:bCs/>
        </w:rPr>
      </w:pPr>
      <w:r>
        <w:rPr>
          <w:rFonts w:ascii="Arial" w:hAnsi="Arial" w:cs="Arial"/>
          <w:bCs/>
        </w:rPr>
        <w:t>Leaf potassium content also exhibited significant responses to chemical fertilizer levels and biofertilizer treatments. The initial potassium content of 1.18% rose to a pooled average of 1.48%. The application of 100% RDF resulted in the highest potassium level (1.55%), followed by 80% RDF (1.50%), with the minimum (1.38%) recorded under 60% RD. Liquid biofertilizers led to a notable increase in potassium content (1.56%) compared to carrier-based biofertilizers (1.49%) and untreated control (1.38%). The combination of 100% RDF + liquid biofertilizers recorded the highest potassium accumulation in leaf tissue (1.62%). The observed increase in potassium levels is likely due to the activity of potassium-solubilizing bacteria (KSB), which help in converting insoluble forms of potassium into forms readily available to plants. These microbes not only enhance nutrient solubility but also improve root development and rhizospheric nutrient dynamics through the secretion of enzymes and organic acids. The superior performance of liquid biofertilizers could be due to higher microbial load, better shelf-life, and faster colonization in the rhizosphere compared to carrier-based formulations. These findings are in line with the results of Yadav (2006), who reported better potassium uptake in guava with biofertilizer application, and confirm the efficacy of integrating chemical fertilizers with microbial inoculants for improved nutrient uptake.</w:t>
      </w:r>
    </w:p>
    <w:p w:rsidR="00BE08DE" w:rsidRDefault="00BE08DE" w:rsidP="00BE08DE">
      <w:pPr>
        <w:pStyle w:val="Body"/>
        <w:spacing w:after="0"/>
        <w:rPr>
          <w:rFonts w:ascii="Arial" w:hAnsi="Arial" w:cs="Arial"/>
          <w:bCs/>
        </w:rPr>
      </w:pPr>
    </w:p>
    <w:p w:rsidR="00BE08DE" w:rsidRDefault="00BE08DE" w:rsidP="00BE08DE">
      <w:pPr>
        <w:spacing w:after="0" w:line="240" w:lineRule="auto"/>
        <w:rPr>
          <w:rFonts w:ascii="Arial" w:eastAsia="Times New Roman" w:hAnsi="Arial" w:cs="Arial"/>
          <w:b/>
          <w:sz w:val="18"/>
          <w:szCs w:val="18"/>
        </w:rPr>
      </w:pPr>
      <w:r>
        <w:rPr>
          <w:rFonts w:ascii="Arial" w:hAnsi="Arial" w:cs="Arial"/>
          <w:b/>
          <w:sz w:val="18"/>
          <w:szCs w:val="18"/>
        </w:rPr>
        <w:t>Table 1.</w:t>
      </w:r>
      <w:r>
        <w:rPr>
          <w:rFonts w:ascii="Arial" w:eastAsia="Times New Roman" w:hAnsi="Arial" w:cs="Arial"/>
          <w:b/>
          <w:sz w:val="18"/>
          <w:szCs w:val="18"/>
        </w:rPr>
        <w:t xml:space="preserve"> Influence of different </w:t>
      </w:r>
      <w:r>
        <w:rPr>
          <w:rFonts w:ascii="Arial" w:hAnsi="Arial" w:cs="Arial"/>
          <w:b/>
          <w:sz w:val="18"/>
          <w:szCs w:val="18"/>
        </w:rPr>
        <w:t>levels of RDF</w:t>
      </w:r>
      <w:r>
        <w:rPr>
          <w:rFonts w:ascii="Arial" w:eastAsia="Times New Roman" w:hAnsi="Arial" w:cs="Arial"/>
          <w:b/>
          <w:sz w:val="18"/>
          <w:szCs w:val="18"/>
        </w:rPr>
        <w:t xml:space="preserve"> and </w:t>
      </w:r>
      <w:r>
        <w:rPr>
          <w:rFonts w:ascii="Arial" w:hAnsi="Arial" w:cs="Arial"/>
          <w:b/>
          <w:sz w:val="18"/>
          <w:szCs w:val="18"/>
        </w:rPr>
        <w:t>biofertilizers</w:t>
      </w:r>
      <w:r>
        <w:rPr>
          <w:rFonts w:ascii="Arial" w:eastAsia="Times New Roman" w:hAnsi="Arial" w:cs="Arial"/>
          <w:b/>
          <w:sz w:val="18"/>
          <w:szCs w:val="18"/>
        </w:rPr>
        <w:t xml:space="preserve"> on nitrogen, phosphorous and potassium </w:t>
      </w:r>
    </w:p>
    <w:p w:rsidR="00BE08DE" w:rsidRDefault="00BE08DE" w:rsidP="00BE08DE">
      <w:pPr>
        <w:spacing w:after="0" w:line="240" w:lineRule="auto"/>
        <w:rPr>
          <w:rFonts w:ascii="Arial" w:eastAsia="Times New Roman" w:hAnsi="Arial" w:cs="Arial"/>
          <w:b/>
          <w:sz w:val="18"/>
          <w:szCs w:val="18"/>
        </w:rPr>
      </w:pPr>
      <w:r>
        <w:rPr>
          <w:rFonts w:ascii="Arial" w:eastAsia="Times New Roman" w:hAnsi="Arial" w:cs="Arial"/>
          <w:b/>
          <w:sz w:val="18"/>
          <w:szCs w:val="18"/>
        </w:rPr>
        <w:t xml:space="preserve">               content in leaf (%) in guava cv. Taiwan White (Pooled data of 2019-20 &amp; 2020-21)   </w:t>
      </w:r>
    </w:p>
    <w:p w:rsidR="00BE08DE" w:rsidRDefault="00BE08DE" w:rsidP="00BE08DE">
      <w:pPr>
        <w:spacing w:after="0" w:line="240" w:lineRule="auto"/>
        <w:rPr>
          <w:rFonts w:ascii="Arial" w:eastAsia="Times New Roman" w:hAnsi="Arial" w:cs="Arial"/>
          <w:b/>
          <w:sz w:val="18"/>
          <w:szCs w:val="18"/>
        </w:rPr>
      </w:pPr>
      <w:r>
        <w:rPr>
          <w:rFonts w:ascii="Arial" w:eastAsia="Times New Roman" w:hAnsi="Arial" w:cs="Arial"/>
          <w:b/>
          <w:sz w:val="18"/>
          <w:szCs w:val="18"/>
        </w:rPr>
        <w:tab/>
      </w:r>
    </w:p>
    <w:tbl>
      <w:tblPr>
        <w:tblStyle w:val="TableGrid"/>
        <w:tblW w:w="0" w:type="auto"/>
        <w:jc w:val="center"/>
        <w:tblLook w:val="04A0"/>
      </w:tblPr>
      <w:tblGrid>
        <w:gridCol w:w="1775"/>
        <w:gridCol w:w="606"/>
        <w:gridCol w:w="606"/>
        <w:gridCol w:w="606"/>
        <w:gridCol w:w="606"/>
        <w:gridCol w:w="606"/>
        <w:gridCol w:w="606"/>
        <w:gridCol w:w="606"/>
        <w:gridCol w:w="728"/>
        <w:gridCol w:w="606"/>
        <w:gridCol w:w="606"/>
        <w:gridCol w:w="606"/>
        <w:gridCol w:w="728"/>
      </w:tblGrid>
      <w:tr w:rsidR="00BE08DE">
        <w:trPr>
          <w:trHeight w:val="251"/>
          <w:jc w:val="center"/>
        </w:trPr>
        <w:tc>
          <w:tcPr>
            <w:tcW w:w="1775" w:type="dxa"/>
            <w:vMerge w:val="restart"/>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Fertilizers (F)</w:t>
            </w:r>
          </w:p>
        </w:tc>
        <w:tc>
          <w:tcPr>
            <w:tcW w:w="0" w:type="auto"/>
            <w:gridSpan w:val="1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Biofertilizers (B)</w:t>
            </w:r>
          </w:p>
        </w:tc>
      </w:tr>
      <w:tr w:rsidR="00BE08DE">
        <w:trPr>
          <w:trHeight w:val="2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8DE" w:rsidRDefault="00BE08DE">
            <w:pPr>
              <w:spacing w:line="240" w:lineRule="auto"/>
              <w:rPr>
                <w:rFonts w:ascii="Arial" w:hAnsi="Arial" w:cs="Arial"/>
                <w:b/>
                <w:sz w:val="20"/>
                <w:szCs w:val="20"/>
              </w:rPr>
            </w:pPr>
          </w:p>
        </w:tc>
        <w:tc>
          <w:tcPr>
            <w:tcW w:w="0" w:type="auto"/>
            <w:gridSpan w:val="4"/>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sz w:val="20"/>
                <w:szCs w:val="20"/>
              </w:rPr>
              <w:t>Nitrogen content  (%)</w:t>
            </w:r>
          </w:p>
        </w:tc>
        <w:tc>
          <w:tcPr>
            <w:tcW w:w="0" w:type="auto"/>
            <w:gridSpan w:val="4"/>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sz w:val="20"/>
                <w:szCs w:val="20"/>
              </w:rPr>
              <w:t>Phosphorous content  (%)</w:t>
            </w:r>
          </w:p>
        </w:tc>
        <w:tc>
          <w:tcPr>
            <w:tcW w:w="0" w:type="auto"/>
            <w:gridSpan w:val="4"/>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sz w:val="20"/>
                <w:szCs w:val="20"/>
              </w:rPr>
              <w:t>Potassium content  (%)</w:t>
            </w:r>
          </w:p>
        </w:tc>
      </w:tr>
      <w:tr w:rsidR="00BE08DE">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08DE" w:rsidRDefault="00BE08DE">
            <w:pPr>
              <w:spacing w:line="240" w:lineRule="auto"/>
              <w:rPr>
                <w:rFonts w:ascii="Arial" w:hAnsi="Arial" w:cs="Arial"/>
                <w: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ind w:left="-250" w:right="-243" w:firstLine="141"/>
              <w:jc w:val="center"/>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B</w:t>
            </w:r>
            <w:r>
              <w:rPr>
                <w:rFonts w:ascii="Arial" w:hAnsi="Arial" w:cs="Arial"/>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hAnsi="Arial" w:cs="Arial"/>
                <w:b/>
                <w:sz w:val="20"/>
                <w:szCs w:val="20"/>
              </w:rPr>
              <w:t>Mean</w:t>
            </w:r>
          </w:p>
        </w:tc>
      </w:tr>
      <w:tr w:rsidR="00BE08DE">
        <w:trPr>
          <w:trHeight w:val="296"/>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1 </w:t>
            </w:r>
            <w:r>
              <w:rPr>
                <w:rFonts w:ascii="Arial" w:hAnsi="Arial" w:cs="Arial"/>
                <w:b/>
                <w:sz w:val="20"/>
                <w:szCs w:val="20"/>
              </w:rPr>
              <w:t>(100% RDF)</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1.90</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2.06</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0.28</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0.39</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1.55</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1.62</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1.55</w:t>
            </w:r>
          </w:p>
        </w:tc>
      </w:tr>
      <w:tr w:rsidR="00BE08DE">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2 </w:t>
            </w:r>
            <w:r>
              <w:rPr>
                <w:rFonts w:ascii="Arial" w:hAnsi="Arial" w:cs="Arial"/>
                <w:b/>
                <w:sz w:val="20"/>
                <w:szCs w:val="20"/>
              </w:rPr>
              <w:t>(80% RDF)</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1.82</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1.94</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1.67</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1.81</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0.33</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0.22</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0.27</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1.50</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1.41</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1.50</w:t>
            </w:r>
          </w:p>
        </w:tc>
      </w:tr>
      <w:tr w:rsidR="00BE08DE">
        <w:trPr>
          <w:trHeight w:val="341"/>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F</w:t>
            </w:r>
            <w:r>
              <w:rPr>
                <w:rFonts w:ascii="Arial" w:hAnsi="Arial" w:cs="Arial"/>
                <w:b/>
                <w:sz w:val="20"/>
                <w:szCs w:val="20"/>
                <w:vertAlign w:val="subscript"/>
              </w:rPr>
              <w:t xml:space="preserve">3 </w:t>
            </w:r>
            <w:r>
              <w:rPr>
                <w:rFonts w:ascii="Arial" w:hAnsi="Arial" w:cs="Arial"/>
                <w:b/>
                <w:sz w:val="20"/>
                <w:szCs w:val="20"/>
              </w:rPr>
              <w:t>(60% RDF)</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1.69</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1.74</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1.45</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1.63</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0.23</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0.25</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0.15</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1.43</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1.46</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1.38</w:t>
            </w:r>
          </w:p>
        </w:tc>
      </w:tr>
      <w:tr w:rsidR="00BE08DE">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Mean</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1.80</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1.91</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1.64</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1.78</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0.32</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0.21</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0.26</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1.49</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1.56</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1.38</w:t>
            </w:r>
          </w:p>
        </w:tc>
        <w:tc>
          <w:tcPr>
            <w:tcW w:w="0" w:type="auto"/>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rPr>
                <w:rFonts w:ascii="Arial" w:hAnsi="Arial" w:cs="Arial"/>
                <w:color w:val="000000"/>
                <w:sz w:val="20"/>
                <w:szCs w:val="20"/>
              </w:rPr>
            </w:pPr>
            <w:r>
              <w:rPr>
                <w:rFonts w:ascii="Arial" w:hAnsi="Arial" w:cs="Arial"/>
                <w:color w:val="000000"/>
                <w:sz w:val="20"/>
                <w:szCs w:val="20"/>
              </w:rPr>
              <w:t>1.48</w:t>
            </w:r>
          </w:p>
        </w:tc>
      </w:tr>
      <w:tr w:rsidR="00BE08DE">
        <w:trPr>
          <w:trHeight w:val="251"/>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Factor</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S Em</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S Em</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S Em</w:t>
            </w:r>
            <w:r>
              <w:rPr>
                <w:rFonts w:ascii="Arial" w:eastAsia="Times New Roman" w:hAnsi="Arial" w:cs="Arial"/>
                <w:b/>
                <w:sz w:val="20"/>
                <w:szCs w:val="20"/>
                <w:u w:val="single"/>
              </w:rPr>
              <w:t>+</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b/>
                <w:sz w:val="20"/>
                <w:szCs w:val="20"/>
              </w:rPr>
            </w:pPr>
            <w:r>
              <w:rPr>
                <w:rFonts w:ascii="Arial" w:eastAsia="Times New Roman" w:hAnsi="Arial" w:cs="Arial"/>
                <w:b/>
                <w:sz w:val="20"/>
                <w:szCs w:val="20"/>
              </w:rPr>
              <w:t>CD at 5%</w:t>
            </w:r>
          </w:p>
        </w:tc>
      </w:tr>
      <w:tr w:rsidR="00BE08DE">
        <w:trPr>
          <w:trHeight w:val="260"/>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Fertilizers (F)</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0.02</w:t>
            </w:r>
          </w:p>
        </w:tc>
      </w:tr>
      <w:tr w:rsidR="00BE08DE">
        <w:trPr>
          <w:trHeight w:val="350"/>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Biofertilizers (B)</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0.02</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jc w:val="center"/>
              <w:rPr>
                <w:rFonts w:ascii="Arial" w:hAnsi="Arial" w:cs="Arial"/>
                <w:sz w:val="20"/>
                <w:szCs w:val="20"/>
              </w:rPr>
            </w:pPr>
            <w:r>
              <w:rPr>
                <w:rFonts w:ascii="Arial" w:hAnsi="Arial" w:cs="Arial"/>
                <w:sz w:val="20"/>
                <w:szCs w:val="20"/>
              </w:rPr>
              <w:t>0.02</w:t>
            </w:r>
          </w:p>
        </w:tc>
      </w:tr>
      <w:tr w:rsidR="00BE08DE">
        <w:trPr>
          <w:trHeight w:val="269"/>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F x B</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0.04</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0.01</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0.03</w:t>
            </w:r>
          </w:p>
        </w:tc>
      </w:tr>
      <w:tr w:rsidR="00BE08DE">
        <w:trPr>
          <w:trHeight w:val="471"/>
          <w:jc w:val="center"/>
        </w:trPr>
        <w:tc>
          <w:tcPr>
            <w:tcW w:w="1775" w:type="dxa"/>
            <w:tcBorders>
              <w:top w:val="single" w:sz="4" w:space="0" w:color="auto"/>
              <w:left w:val="single" w:sz="4" w:space="0" w:color="auto"/>
              <w:bottom w:val="single" w:sz="4" w:space="0" w:color="auto"/>
              <w:right w:val="single" w:sz="4" w:space="0" w:color="auto"/>
            </w:tcBorders>
            <w:hideMark/>
          </w:tcPr>
          <w:p w:rsidR="00BE08DE" w:rsidRDefault="00BE08DE">
            <w:pPr>
              <w:spacing w:line="240" w:lineRule="auto"/>
              <w:rPr>
                <w:rFonts w:ascii="Arial" w:hAnsi="Arial" w:cs="Arial"/>
                <w:b/>
                <w:sz w:val="20"/>
                <w:szCs w:val="20"/>
              </w:rPr>
            </w:pPr>
            <w:r>
              <w:rPr>
                <w:rFonts w:ascii="Arial" w:hAnsi="Arial" w:cs="Arial"/>
                <w:b/>
                <w:sz w:val="20"/>
                <w:szCs w:val="20"/>
              </w:rPr>
              <w:t>Initial leaf nutrient (%)</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1.32</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BE08DE" w:rsidRDefault="00BE08DE">
            <w:pPr>
              <w:spacing w:line="240" w:lineRule="auto"/>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0.13</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BE08DE" w:rsidRDefault="00BE08DE">
            <w:pPr>
              <w:spacing w:line="240" w:lineRule="auto"/>
              <w:jc w:val="center"/>
              <w:rPr>
                <w:rFonts w:ascii="Arial" w:hAnsi="Arial" w:cs="Arial"/>
                <w:sz w:val="20"/>
                <w:szCs w:val="20"/>
              </w:rPr>
            </w:pP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rsidR="00BE08DE" w:rsidRDefault="00BE08DE">
            <w:pPr>
              <w:spacing w:line="240" w:lineRule="auto"/>
              <w:jc w:val="center"/>
              <w:rPr>
                <w:rFonts w:ascii="Arial" w:hAnsi="Arial" w:cs="Arial"/>
                <w:sz w:val="20"/>
                <w:szCs w:val="20"/>
              </w:rPr>
            </w:pPr>
            <w:r>
              <w:rPr>
                <w:rFonts w:ascii="Arial" w:hAnsi="Arial" w:cs="Arial"/>
                <w:sz w:val="20"/>
                <w:szCs w:val="20"/>
              </w:rPr>
              <w:t>1.18</w:t>
            </w:r>
          </w:p>
        </w:tc>
        <w:tc>
          <w:tcPr>
            <w:tcW w:w="0" w:type="auto"/>
            <w:gridSpan w:val="2"/>
            <w:tcBorders>
              <w:top w:val="single" w:sz="4" w:space="0" w:color="auto"/>
              <w:left w:val="single" w:sz="4" w:space="0" w:color="auto"/>
              <w:bottom w:val="single" w:sz="4" w:space="0" w:color="auto"/>
              <w:right w:val="single" w:sz="4" w:space="0" w:color="auto"/>
            </w:tcBorders>
            <w:vAlign w:val="bottom"/>
          </w:tcPr>
          <w:p w:rsidR="00BE08DE" w:rsidRDefault="00BE08DE">
            <w:pPr>
              <w:spacing w:line="240" w:lineRule="auto"/>
              <w:jc w:val="center"/>
              <w:rPr>
                <w:rFonts w:ascii="Arial" w:hAnsi="Arial" w:cs="Arial"/>
                <w:sz w:val="20"/>
                <w:szCs w:val="20"/>
              </w:rPr>
            </w:pPr>
          </w:p>
        </w:tc>
      </w:tr>
    </w:tbl>
    <w:p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1</w:t>
      </w:r>
      <w:r>
        <w:rPr>
          <w:rFonts w:ascii="Arial" w:hAnsi="Arial" w:cs="Arial"/>
          <w:sz w:val="18"/>
          <w:szCs w:val="18"/>
        </w:rPr>
        <w:t>- 100 % RDF (400:160:400 g NPK per tree) B</w:t>
      </w:r>
      <w:r>
        <w:rPr>
          <w:rFonts w:ascii="Arial" w:hAnsi="Arial" w:cs="Arial"/>
          <w:sz w:val="18"/>
          <w:szCs w:val="18"/>
          <w:vertAlign w:val="subscript"/>
        </w:rPr>
        <w:t>1</w:t>
      </w:r>
      <w:r>
        <w:rPr>
          <w:rFonts w:ascii="Arial" w:hAnsi="Arial" w:cs="Arial"/>
          <w:sz w:val="18"/>
          <w:szCs w:val="18"/>
        </w:rPr>
        <w:t>- Carrier based biofertilizers (NFB + PSB + KSB) @ 100 g per tree</w:t>
      </w:r>
    </w:p>
    <w:p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2</w:t>
      </w:r>
      <w:r>
        <w:rPr>
          <w:rFonts w:ascii="Arial" w:hAnsi="Arial" w:cs="Arial"/>
          <w:sz w:val="18"/>
          <w:szCs w:val="18"/>
        </w:rPr>
        <w:t>- 80 % RDF (320:128:320 g NPK per tree)</w:t>
      </w:r>
      <w:r>
        <w:rPr>
          <w:rFonts w:ascii="Arial" w:hAnsi="Arial" w:cs="Arial"/>
          <w:sz w:val="18"/>
          <w:szCs w:val="18"/>
        </w:rPr>
        <w:tab/>
        <w:t>B</w:t>
      </w:r>
      <w:r>
        <w:rPr>
          <w:rFonts w:ascii="Arial" w:hAnsi="Arial" w:cs="Arial"/>
          <w:sz w:val="18"/>
          <w:szCs w:val="18"/>
          <w:vertAlign w:val="subscript"/>
        </w:rPr>
        <w:t>2</w:t>
      </w:r>
      <w:r>
        <w:rPr>
          <w:rFonts w:ascii="Arial" w:hAnsi="Arial" w:cs="Arial"/>
          <w:sz w:val="18"/>
          <w:szCs w:val="18"/>
        </w:rPr>
        <w:t>- Liquid biofertilizers (NFB + PSB + KSB) @ 5 ml per tree</w:t>
      </w:r>
    </w:p>
    <w:p w:rsidR="00BE08DE" w:rsidRDefault="00BE08DE" w:rsidP="00BE08DE">
      <w:pPr>
        <w:spacing w:after="0" w:line="240" w:lineRule="auto"/>
        <w:rPr>
          <w:rFonts w:ascii="Arial" w:hAnsi="Arial" w:cs="Arial"/>
          <w:sz w:val="18"/>
          <w:szCs w:val="18"/>
        </w:rPr>
      </w:pPr>
      <w:r>
        <w:rPr>
          <w:rFonts w:ascii="Arial" w:hAnsi="Arial" w:cs="Arial"/>
          <w:sz w:val="18"/>
          <w:szCs w:val="18"/>
        </w:rPr>
        <w:t>F</w:t>
      </w:r>
      <w:r>
        <w:rPr>
          <w:rFonts w:ascii="Arial" w:hAnsi="Arial" w:cs="Arial"/>
          <w:sz w:val="18"/>
          <w:szCs w:val="18"/>
          <w:vertAlign w:val="subscript"/>
        </w:rPr>
        <w:t>3</w:t>
      </w:r>
      <w:r>
        <w:rPr>
          <w:rFonts w:ascii="Arial" w:hAnsi="Arial" w:cs="Arial"/>
          <w:sz w:val="18"/>
          <w:szCs w:val="18"/>
        </w:rPr>
        <w:t>- 60 % RDF (240:96:240 g NPK per tree)</w:t>
      </w:r>
      <w:r>
        <w:rPr>
          <w:rFonts w:ascii="Arial" w:hAnsi="Arial" w:cs="Arial"/>
          <w:sz w:val="18"/>
          <w:szCs w:val="18"/>
        </w:rPr>
        <w:tab/>
        <w:t>B</w:t>
      </w:r>
      <w:r>
        <w:rPr>
          <w:rFonts w:ascii="Arial" w:hAnsi="Arial" w:cs="Arial"/>
          <w:sz w:val="18"/>
          <w:szCs w:val="18"/>
          <w:vertAlign w:val="subscript"/>
        </w:rPr>
        <w:t>3</w:t>
      </w:r>
      <w:r>
        <w:rPr>
          <w:rFonts w:ascii="Arial" w:hAnsi="Arial" w:cs="Arial"/>
          <w:sz w:val="18"/>
          <w:szCs w:val="18"/>
        </w:rPr>
        <w:t>- Without biofertilizers</w:t>
      </w:r>
    </w:p>
    <w:p w:rsidR="00BE08DE" w:rsidRDefault="00BE08DE" w:rsidP="00BE08DE">
      <w:pPr>
        <w:pStyle w:val="Body"/>
        <w:spacing w:after="0"/>
        <w:rPr>
          <w:rFonts w:ascii="Arial" w:hAnsi="Arial" w:cs="Arial"/>
          <w:bCs/>
        </w:rPr>
      </w:pPr>
    </w:p>
    <w:p w:rsidR="00BE08DE" w:rsidRDefault="00BE08DE" w:rsidP="00BE08DE">
      <w:pPr>
        <w:pStyle w:val="Body"/>
        <w:spacing w:after="0"/>
        <w:rPr>
          <w:rFonts w:ascii="Arial" w:hAnsi="Arial" w:cs="Arial"/>
          <w:bCs/>
        </w:rPr>
      </w:pPr>
    </w:p>
    <w:p w:rsidR="00BE08DE" w:rsidRDefault="00BE08DE" w:rsidP="00BE08DE">
      <w:pPr>
        <w:pStyle w:val="Body"/>
        <w:spacing w:after="0"/>
        <w:rPr>
          <w:rFonts w:ascii="Arial" w:hAnsi="Arial" w:cs="Arial"/>
          <w:bCs/>
        </w:rPr>
      </w:pPr>
    </w:p>
    <w:p w:rsidR="00BE08DE" w:rsidRDefault="00BE08DE" w:rsidP="00BE08DE">
      <w:pPr>
        <w:pStyle w:val="Body"/>
        <w:spacing w:after="0"/>
        <w:rPr>
          <w:rFonts w:ascii="Arial" w:hAnsi="Arial" w:cs="Arial"/>
          <w:bCs/>
        </w:rPr>
      </w:pPr>
      <w:r>
        <w:rPr>
          <w:noProof/>
        </w:rPr>
        <w:lastRenderedPageBreak/>
        <w:drawing>
          <wp:inline distT="0" distB="0" distL="0" distR="0">
            <wp:extent cx="2586990" cy="1538605"/>
            <wp:effectExtent l="0" t="0" r="16510" b="10795"/>
            <wp:docPr id="10567774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E08DE" w:rsidRDefault="00BE08DE" w:rsidP="00BE08DE">
      <w:pPr>
        <w:spacing w:after="0"/>
        <w:rPr>
          <w:rFonts w:ascii="Arial" w:hAnsi="Arial" w:cs="Arial"/>
          <w:bCs/>
          <w:sz w:val="20"/>
          <w:szCs w:val="20"/>
        </w:rPr>
      </w:pPr>
      <w:r>
        <w:rPr>
          <w:rFonts w:ascii="Arial" w:hAnsi="Arial" w:cs="Arial"/>
          <w:bCs/>
          <w:sz w:val="20"/>
          <w:szCs w:val="20"/>
        </w:rPr>
        <w:t xml:space="preserve">       Fig. 1.  Effect of biofertilizers in combination with different levels of RDF on </w:t>
      </w:r>
    </w:p>
    <w:p w:rsidR="00BE08DE" w:rsidRDefault="00BE08DE" w:rsidP="00BE08DE">
      <w:pPr>
        <w:spacing w:after="0"/>
        <w:rPr>
          <w:rFonts w:ascii="Arial" w:hAnsi="Arial" w:cs="Arial"/>
          <w:bCs/>
          <w:sz w:val="20"/>
          <w:szCs w:val="20"/>
        </w:rPr>
      </w:pPr>
      <w:r>
        <w:rPr>
          <w:rFonts w:ascii="Arial" w:hAnsi="Arial" w:cs="Arial"/>
          <w:bCs/>
          <w:sz w:val="20"/>
          <w:szCs w:val="20"/>
        </w:rPr>
        <w:t xml:space="preserve">                   nutrient uptake of N, P and K (%) in guava leaf cv. Taiwan White.</w:t>
      </w:r>
    </w:p>
    <w:p w:rsidR="00BE08DE" w:rsidRDefault="00BE08DE" w:rsidP="00BE08DE">
      <w:pPr>
        <w:pStyle w:val="Body"/>
        <w:spacing w:after="0"/>
        <w:rPr>
          <w:rFonts w:ascii="Arial" w:hAnsi="Arial" w:cs="Arial"/>
          <w:bCs/>
        </w:rPr>
      </w:pPr>
    </w:p>
    <w:p w:rsidR="00BE08DE" w:rsidRDefault="00BE08DE" w:rsidP="00BE08DE">
      <w:pPr>
        <w:spacing w:after="0" w:line="240" w:lineRule="auto"/>
        <w:jc w:val="both"/>
        <w:rPr>
          <w:rFonts w:ascii="Arial" w:hAnsi="Arial" w:cs="Arial"/>
          <w:sz w:val="20"/>
          <w:szCs w:val="20"/>
        </w:rPr>
      </w:pPr>
    </w:p>
    <w:p w:rsidR="00BE08DE" w:rsidRDefault="00BE08DE" w:rsidP="00BE08DE">
      <w:pPr>
        <w:pStyle w:val="ConcHead"/>
        <w:spacing w:after="0"/>
        <w:jc w:val="both"/>
        <w:rPr>
          <w:rFonts w:ascii="Arial" w:hAnsi="Arial" w:cs="Arial"/>
        </w:rPr>
      </w:pPr>
      <w:r>
        <w:rPr>
          <w:rFonts w:ascii="Arial" w:hAnsi="Arial" w:cs="Arial"/>
        </w:rPr>
        <w:t>4. Conclusion</w:t>
      </w:r>
    </w:p>
    <w:p w:rsidR="00BE08DE" w:rsidRDefault="00BE08DE" w:rsidP="00BE08DE">
      <w:pPr>
        <w:pStyle w:val="ConcHead"/>
        <w:spacing w:after="0"/>
        <w:jc w:val="both"/>
        <w:rPr>
          <w:rFonts w:ascii="Arial" w:hAnsi="Arial" w:cs="Arial"/>
          <w:b w:val="0"/>
          <w:bCs/>
        </w:rPr>
      </w:pPr>
    </w:p>
    <w:p w:rsidR="00BE08DE" w:rsidRDefault="00BE08DE" w:rsidP="00BE08DE">
      <w:pPr>
        <w:pStyle w:val="Body"/>
        <w:spacing w:after="0"/>
        <w:rPr>
          <w:rFonts w:ascii="Arial" w:hAnsi="Arial" w:cs="Arial"/>
          <w:bCs/>
        </w:rPr>
      </w:pPr>
      <w:r>
        <w:rPr>
          <w:rFonts w:ascii="Arial" w:hAnsi="Arial" w:cs="Arial"/>
          <w:bCs/>
        </w:rPr>
        <w:t>The findings of this study clearly demonstrate that the integrated use of liquid biofertilizers with recommended fertilizer doses significantly enhances foliar nutrient status in guava cv. Taiwan White. The 100% RDF + liquid biofertilizer treatment yielded the highest concentrations of N, P, and K in leaf tissue, while 80% RDF + liquid biofertilizers produced comparable phosphorus levels, indicating potential for partial substitution of chemical fertilizers. Superior performance of liquid formulations is likely due to enhanced microbial viability, solubilization efficiency, and rhizosphere activity. These results underscore the agronomic advantage of liquid biofertilizers in precision nutrient management, offering a sustainable pathway to optimize fertilizer inputs without compromising crop nutrition.</w:t>
      </w:r>
    </w:p>
    <w:p w:rsidR="00BE08DE" w:rsidRDefault="00BE08DE" w:rsidP="00BE08DE">
      <w:pPr>
        <w:spacing w:after="0" w:line="240" w:lineRule="auto"/>
        <w:jc w:val="both"/>
        <w:rPr>
          <w:rFonts w:ascii="Arial" w:hAnsi="Arial" w:cs="Arial"/>
          <w:sz w:val="20"/>
          <w:szCs w:val="20"/>
        </w:rPr>
      </w:pPr>
    </w:p>
    <w:p w:rsidR="00BE08DE" w:rsidRDefault="00BE08DE" w:rsidP="00BE08DE">
      <w:pPr>
        <w:spacing w:after="0" w:line="240" w:lineRule="auto"/>
        <w:jc w:val="both"/>
        <w:rPr>
          <w:rFonts w:ascii="Arial" w:hAnsi="Arial" w:cs="Arial"/>
          <w:b/>
          <w:bCs/>
          <w:sz w:val="22"/>
          <w:szCs w:val="22"/>
        </w:rPr>
      </w:pPr>
      <w:r>
        <w:rPr>
          <w:rFonts w:ascii="Arial" w:hAnsi="Arial" w:cs="Arial"/>
          <w:b/>
          <w:bCs/>
          <w:sz w:val="22"/>
          <w:szCs w:val="22"/>
        </w:rPr>
        <w:t>REFERENCES</w:t>
      </w:r>
    </w:p>
    <w:p w:rsidR="00BE08DE" w:rsidRDefault="00BE08DE" w:rsidP="00BE08DE">
      <w:pPr>
        <w:spacing w:after="0" w:line="240" w:lineRule="auto"/>
        <w:jc w:val="both"/>
        <w:rPr>
          <w:rFonts w:ascii="Arial" w:hAnsi="Arial" w:cs="Arial"/>
          <w:b/>
          <w:bCs/>
          <w:sz w:val="22"/>
          <w:szCs w:val="22"/>
        </w:rPr>
      </w:pP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Anubha, R., Kumari, S., &amp; Shukla, S. (2013). Effect of integrated nutrient management on growth, yield and nutrient status of litchi (Litchi chinensis). </w:t>
      </w:r>
      <w:r>
        <w:rPr>
          <w:rStyle w:val="Emphasis"/>
          <w:rFonts w:ascii="Arial" w:hAnsi="Arial" w:cs="Arial"/>
          <w:bCs/>
          <w:color w:val="0F1115"/>
          <w:sz w:val="20"/>
          <w:szCs w:val="20"/>
        </w:rPr>
        <w:t>Progressive Horticulture, 45</w:t>
      </w:r>
      <w:r>
        <w:rPr>
          <w:rFonts w:ascii="Arial" w:hAnsi="Arial" w:cs="Arial"/>
          <w:bCs/>
          <w:color w:val="0F1115"/>
          <w:sz w:val="20"/>
          <w:szCs w:val="20"/>
        </w:rPr>
        <w:t>(2), 319–324.</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Archana, S. (2008). </w:t>
      </w:r>
      <w:r>
        <w:rPr>
          <w:rStyle w:val="Emphasis"/>
          <w:rFonts w:ascii="Arial" w:hAnsi="Arial" w:cs="Arial"/>
          <w:bCs/>
          <w:color w:val="0F1115"/>
          <w:sz w:val="20"/>
          <w:szCs w:val="20"/>
        </w:rPr>
        <w:t>Studies on effect of organic and inorganic sources of nutrition on growth, yield and quality of guava (Psidium guajava L.) cv. Sardar</w:t>
      </w:r>
      <w:r>
        <w:rPr>
          <w:rFonts w:ascii="Arial" w:hAnsi="Arial" w:cs="Arial"/>
          <w:bCs/>
          <w:color w:val="0F1115"/>
          <w:sz w:val="20"/>
          <w:szCs w:val="20"/>
        </w:rPr>
        <w:t> [Master's thesis, Indira Gandhi Krishi Vishwavidyalaya].</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Chauhan, S. P. (2008). *Effect of integrated nutrient management on growth and yield of guava (</w:t>
      </w:r>
      <w:commentRangeStart w:id="6"/>
      <w:r>
        <w:rPr>
          <w:rFonts w:ascii="Arial" w:hAnsi="Arial" w:cs="Arial"/>
          <w:bCs/>
          <w:color w:val="0F1115"/>
          <w:sz w:val="20"/>
          <w:szCs w:val="20"/>
        </w:rPr>
        <w:t>Psidium guajava</w:t>
      </w:r>
      <w:commentRangeEnd w:id="6"/>
      <w:r w:rsidR="00F65AF9">
        <w:rPr>
          <w:rStyle w:val="CommentReference"/>
          <w:rFonts w:asciiTheme="minorHAnsi" w:eastAsiaTheme="minorHAnsi" w:hAnsiTheme="minorHAnsi" w:cstheme="minorBidi"/>
          <w:kern w:val="2"/>
        </w:rPr>
        <w:commentReference w:id="6"/>
      </w:r>
      <w:r>
        <w:rPr>
          <w:rFonts w:ascii="Arial" w:hAnsi="Arial" w:cs="Arial"/>
          <w:bCs/>
          <w:color w:val="0F1115"/>
          <w:sz w:val="20"/>
          <w:szCs w:val="20"/>
        </w:rPr>
        <w:t xml:space="preserve"> L.) cv. L-49* [Master's thesis, Rajmata Vijaya RajeScindia Krishi Vishwavidyalaya].</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Dotaniya, M. L., Meena, V. D., Saha, J. K., &amp; Kumar, S. (2014). Role of soil enzymes in sustainable crop production. </w:t>
      </w:r>
      <w:r>
        <w:rPr>
          <w:rStyle w:val="Emphasis"/>
          <w:rFonts w:ascii="Arial" w:hAnsi="Arial" w:cs="Arial"/>
          <w:bCs/>
          <w:color w:val="0F1115"/>
          <w:sz w:val="20"/>
          <w:szCs w:val="20"/>
        </w:rPr>
        <w:t>International Journal of Agriculture and Crop Sciences, 7</w:t>
      </w:r>
      <w:r>
        <w:rPr>
          <w:rFonts w:ascii="Arial" w:hAnsi="Arial" w:cs="Arial"/>
          <w:bCs/>
          <w:color w:val="0F1115"/>
          <w:sz w:val="20"/>
          <w:szCs w:val="20"/>
        </w:rPr>
        <w:t>(9), 595–598.</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Dutta, P., &amp; Kundu, S. (2012). Effect of integrated nutrient management on productivity, quality and leaf nutrient status of mango. </w:t>
      </w:r>
      <w:r>
        <w:rPr>
          <w:rStyle w:val="Emphasis"/>
          <w:rFonts w:ascii="Arial" w:hAnsi="Arial" w:cs="Arial"/>
          <w:bCs/>
          <w:color w:val="0F1115"/>
          <w:sz w:val="20"/>
          <w:szCs w:val="20"/>
        </w:rPr>
        <w:t>Indian Journal of Horticulture, 69</w:t>
      </w:r>
      <w:r>
        <w:rPr>
          <w:rFonts w:ascii="Arial" w:hAnsi="Arial" w:cs="Arial"/>
          <w:bCs/>
          <w:color w:val="0F1115"/>
          <w:sz w:val="20"/>
          <w:szCs w:val="20"/>
        </w:rPr>
        <w:t>(1), 100–103.</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Dutta, P., Maity, A., &amp; Ghosh, B. (2014). Effect of biofertilizers on growth, yield and nutrient uptake of guava cv. Sardar. </w:t>
      </w:r>
      <w:r>
        <w:rPr>
          <w:rStyle w:val="Emphasis"/>
          <w:rFonts w:ascii="Arial" w:hAnsi="Arial" w:cs="Arial"/>
          <w:bCs/>
          <w:color w:val="0F1115"/>
          <w:sz w:val="20"/>
          <w:szCs w:val="20"/>
        </w:rPr>
        <w:t>Indian Journal of Horticulture, 71</w:t>
      </w:r>
      <w:r>
        <w:rPr>
          <w:rFonts w:ascii="Arial" w:hAnsi="Arial" w:cs="Arial"/>
          <w:bCs/>
          <w:color w:val="0F1115"/>
          <w:sz w:val="20"/>
          <w:szCs w:val="20"/>
        </w:rPr>
        <w:t>(1), 40–44.</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Hazarika, T. K., &amp; Ansari, M. W. (2007). Effect of biofertilizers on growth and nutrient content in Assam lemon (</w:t>
      </w:r>
      <w:commentRangeStart w:id="7"/>
      <w:r>
        <w:rPr>
          <w:rFonts w:ascii="Arial" w:hAnsi="Arial" w:cs="Arial"/>
          <w:bCs/>
          <w:color w:val="0F1115"/>
          <w:sz w:val="20"/>
          <w:szCs w:val="20"/>
        </w:rPr>
        <w:t>Citrus limon</w:t>
      </w:r>
      <w:commentRangeEnd w:id="7"/>
      <w:r w:rsidR="00F65AF9">
        <w:rPr>
          <w:rStyle w:val="CommentReference"/>
          <w:rFonts w:asciiTheme="minorHAnsi" w:eastAsiaTheme="minorHAnsi" w:hAnsiTheme="minorHAnsi" w:cstheme="minorBidi"/>
          <w:kern w:val="2"/>
        </w:rPr>
        <w:commentReference w:id="7"/>
      </w:r>
      <w:r>
        <w:rPr>
          <w:rFonts w:ascii="Arial" w:hAnsi="Arial" w:cs="Arial"/>
          <w:bCs/>
          <w:color w:val="0F1115"/>
          <w:sz w:val="20"/>
          <w:szCs w:val="20"/>
        </w:rPr>
        <w:t>). </w:t>
      </w:r>
      <w:r>
        <w:rPr>
          <w:rStyle w:val="Emphasis"/>
          <w:rFonts w:ascii="Arial" w:hAnsi="Arial" w:cs="Arial"/>
          <w:bCs/>
          <w:color w:val="0F1115"/>
          <w:sz w:val="20"/>
          <w:szCs w:val="20"/>
        </w:rPr>
        <w:t>Indian Journal of Horticulture, 64</w:t>
      </w:r>
      <w:r>
        <w:rPr>
          <w:rFonts w:ascii="Arial" w:hAnsi="Arial" w:cs="Arial"/>
          <w:bCs/>
          <w:color w:val="0F1115"/>
          <w:sz w:val="20"/>
          <w:szCs w:val="20"/>
        </w:rPr>
        <w:t>(1), 51–54.</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Kaushik, R. A., Meena, R. L., Choudhary, V. K., &amp; Jain, H. K. (2018). Effect of organic and inorganic sources of nutrients on growth and nutrient content of guava (</w:t>
      </w:r>
      <w:commentRangeStart w:id="8"/>
      <w:r>
        <w:rPr>
          <w:rFonts w:ascii="Arial" w:hAnsi="Arial" w:cs="Arial"/>
          <w:bCs/>
          <w:color w:val="0F1115"/>
          <w:sz w:val="20"/>
          <w:szCs w:val="20"/>
        </w:rPr>
        <w:t xml:space="preserve">Psidium guajava </w:t>
      </w:r>
      <w:commentRangeEnd w:id="8"/>
      <w:r w:rsidR="00F65AF9">
        <w:rPr>
          <w:rStyle w:val="CommentReference"/>
          <w:rFonts w:asciiTheme="minorHAnsi" w:eastAsiaTheme="minorHAnsi" w:hAnsiTheme="minorHAnsi" w:cstheme="minorBidi"/>
          <w:kern w:val="2"/>
        </w:rPr>
        <w:commentReference w:id="8"/>
      </w:r>
      <w:r>
        <w:rPr>
          <w:rFonts w:ascii="Arial" w:hAnsi="Arial" w:cs="Arial"/>
          <w:bCs/>
          <w:color w:val="0F1115"/>
          <w:sz w:val="20"/>
          <w:szCs w:val="20"/>
        </w:rPr>
        <w:t>L.). </w:t>
      </w:r>
      <w:r>
        <w:rPr>
          <w:rStyle w:val="Emphasis"/>
          <w:rFonts w:ascii="Arial" w:hAnsi="Arial" w:cs="Arial"/>
          <w:bCs/>
          <w:color w:val="0F1115"/>
          <w:sz w:val="20"/>
          <w:szCs w:val="20"/>
        </w:rPr>
        <w:t>Annals of Horticulture, 11</w:t>
      </w:r>
      <w:r>
        <w:rPr>
          <w:rFonts w:ascii="Arial" w:hAnsi="Arial" w:cs="Arial"/>
          <w:bCs/>
          <w:color w:val="0F1115"/>
          <w:sz w:val="20"/>
          <w:szCs w:val="20"/>
        </w:rPr>
        <w:t>(1), 70–76.</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Marathe, R. A., Bharambe, P. R., Jadhav, B. B., Sorte, P. N., &amp; Patil, P. M. (2012). Integrated nutrient management in sweet orange (</w:t>
      </w:r>
      <w:commentRangeStart w:id="9"/>
      <w:r>
        <w:rPr>
          <w:rFonts w:ascii="Arial" w:hAnsi="Arial" w:cs="Arial"/>
          <w:bCs/>
          <w:color w:val="0F1115"/>
          <w:sz w:val="20"/>
          <w:szCs w:val="20"/>
        </w:rPr>
        <w:t>Citrus sinensis</w:t>
      </w:r>
      <w:commentRangeEnd w:id="9"/>
      <w:r w:rsidR="00F65AF9">
        <w:rPr>
          <w:rStyle w:val="CommentReference"/>
          <w:rFonts w:asciiTheme="minorHAnsi" w:eastAsiaTheme="minorHAnsi" w:hAnsiTheme="minorHAnsi" w:cstheme="minorBidi"/>
          <w:kern w:val="2"/>
        </w:rPr>
        <w:commentReference w:id="9"/>
      </w:r>
      <w:r>
        <w:rPr>
          <w:rFonts w:ascii="Arial" w:hAnsi="Arial" w:cs="Arial"/>
          <w:bCs/>
          <w:color w:val="0F1115"/>
          <w:sz w:val="20"/>
          <w:szCs w:val="20"/>
        </w:rPr>
        <w:t>) under drip irrigation. </w:t>
      </w:r>
      <w:r>
        <w:rPr>
          <w:rStyle w:val="Emphasis"/>
          <w:rFonts w:ascii="Arial" w:hAnsi="Arial" w:cs="Arial"/>
          <w:bCs/>
          <w:color w:val="0F1115"/>
          <w:sz w:val="20"/>
          <w:szCs w:val="20"/>
        </w:rPr>
        <w:t>Indian Journal of Agricultural Sciences, 82</w:t>
      </w:r>
      <w:r>
        <w:rPr>
          <w:rFonts w:ascii="Arial" w:hAnsi="Arial" w:cs="Arial"/>
          <w:bCs/>
          <w:color w:val="0F1115"/>
          <w:sz w:val="20"/>
          <w:szCs w:val="20"/>
        </w:rPr>
        <w:t>(3), 213–217.</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Mitra, S. K., Bose, T. K., &amp;Sanyal, D. (2012). </w:t>
      </w:r>
      <w:r>
        <w:rPr>
          <w:rStyle w:val="Emphasis"/>
          <w:rFonts w:ascii="Arial" w:hAnsi="Arial" w:cs="Arial"/>
          <w:bCs/>
          <w:color w:val="0F1115"/>
          <w:sz w:val="20"/>
          <w:szCs w:val="20"/>
        </w:rPr>
        <w:t>Biofertilizers in horticultural crops</w:t>
      </w:r>
      <w:r>
        <w:rPr>
          <w:rFonts w:ascii="Arial" w:hAnsi="Arial" w:cs="Arial"/>
          <w:bCs/>
          <w:color w:val="0F1115"/>
          <w:sz w:val="20"/>
          <w:szCs w:val="20"/>
        </w:rPr>
        <w:t>. Naya Udyog.</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Ram, R. A., Kumar, R., &amp; Yadav, R. K. (2007). Effect of biofertilizers on growth, yield and fruit quality of guava cv. Sardar. </w:t>
      </w:r>
      <w:r>
        <w:rPr>
          <w:rStyle w:val="Emphasis"/>
          <w:rFonts w:ascii="Arial" w:hAnsi="Arial" w:cs="Arial"/>
          <w:bCs/>
          <w:color w:val="0F1115"/>
          <w:sz w:val="20"/>
          <w:szCs w:val="20"/>
        </w:rPr>
        <w:t>Indian Journal of Horticulture, 64</w:t>
      </w:r>
      <w:r>
        <w:rPr>
          <w:rFonts w:ascii="Arial" w:hAnsi="Arial" w:cs="Arial"/>
          <w:bCs/>
          <w:color w:val="0F1115"/>
          <w:sz w:val="20"/>
          <w:szCs w:val="20"/>
        </w:rPr>
        <w:t>(4), 444–449.</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Sharma, R. R., Singh, R., &amp; Singh, D. (2013). Biological management of soil health in horticultural crops. </w:t>
      </w:r>
      <w:r>
        <w:rPr>
          <w:rStyle w:val="Emphasis"/>
          <w:rFonts w:ascii="Arial" w:hAnsi="Arial" w:cs="Arial"/>
          <w:bCs/>
          <w:color w:val="0F1115"/>
          <w:sz w:val="20"/>
          <w:szCs w:val="20"/>
        </w:rPr>
        <w:t>Indian Journal of Horticulture, 70</w:t>
      </w:r>
      <w:r>
        <w:rPr>
          <w:rFonts w:ascii="Arial" w:hAnsi="Arial" w:cs="Arial"/>
          <w:bCs/>
          <w:color w:val="0F1115"/>
          <w:sz w:val="20"/>
          <w:szCs w:val="20"/>
        </w:rPr>
        <w:t>(3), 245–253.</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Sundara, B., Natarajan, V., &amp; Hari, K. (2002). Influence of phosphorus solubilizing bacteria on the changes in soil available phosphorus and sugarcane yields. </w:t>
      </w:r>
      <w:r>
        <w:rPr>
          <w:rStyle w:val="Emphasis"/>
          <w:rFonts w:ascii="Arial" w:hAnsi="Arial" w:cs="Arial"/>
          <w:bCs/>
          <w:color w:val="0F1115"/>
          <w:sz w:val="20"/>
          <w:szCs w:val="20"/>
        </w:rPr>
        <w:t>Field Crops Research, 77</w:t>
      </w:r>
      <w:r>
        <w:rPr>
          <w:rFonts w:ascii="Arial" w:hAnsi="Arial" w:cs="Arial"/>
          <w:bCs/>
          <w:color w:val="0F1115"/>
          <w:sz w:val="20"/>
          <w:szCs w:val="20"/>
        </w:rPr>
        <w:t>, 43–49.</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lastRenderedPageBreak/>
        <w:t>Trivedi, A., Patel, N. L., &amp; Patel, V. B. (2012). Effect of integrated nutrient management on growth, yield and quality of guava (</w:t>
      </w:r>
      <w:commentRangeStart w:id="10"/>
      <w:r>
        <w:rPr>
          <w:rFonts w:ascii="Arial" w:hAnsi="Arial" w:cs="Arial"/>
          <w:bCs/>
          <w:color w:val="0F1115"/>
          <w:sz w:val="20"/>
          <w:szCs w:val="20"/>
        </w:rPr>
        <w:t xml:space="preserve">Psidium guajava </w:t>
      </w:r>
      <w:commentRangeEnd w:id="10"/>
      <w:r w:rsidR="00F65AF9">
        <w:rPr>
          <w:rStyle w:val="CommentReference"/>
          <w:rFonts w:asciiTheme="minorHAnsi" w:eastAsiaTheme="minorHAnsi" w:hAnsiTheme="minorHAnsi" w:cstheme="minorBidi"/>
          <w:kern w:val="2"/>
        </w:rPr>
        <w:commentReference w:id="10"/>
      </w:r>
      <w:r>
        <w:rPr>
          <w:rFonts w:ascii="Arial" w:hAnsi="Arial" w:cs="Arial"/>
          <w:bCs/>
          <w:color w:val="0F1115"/>
          <w:sz w:val="20"/>
          <w:szCs w:val="20"/>
        </w:rPr>
        <w:t>L.) cv. L-49. </w:t>
      </w:r>
      <w:r>
        <w:rPr>
          <w:rStyle w:val="Emphasis"/>
          <w:rFonts w:ascii="Arial" w:hAnsi="Arial" w:cs="Arial"/>
          <w:bCs/>
          <w:color w:val="0F1115"/>
          <w:sz w:val="20"/>
          <w:szCs w:val="20"/>
        </w:rPr>
        <w:t>Asian Journal of Horticulture, 7</w:t>
      </w:r>
      <w:r>
        <w:rPr>
          <w:rFonts w:ascii="Arial" w:hAnsi="Arial" w:cs="Arial"/>
          <w:bCs/>
          <w:color w:val="0F1115"/>
          <w:sz w:val="20"/>
          <w:szCs w:val="20"/>
        </w:rPr>
        <w:t>(2), 460–463.</w:t>
      </w:r>
    </w:p>
    <w:p w:rsidR="00BE08DE" w:rsidRDefault="00BE08DE" w:rsidP="008B47B4">
      <w:pPr>
        <w:pStyle w:val="ds-markdown-paragraph"/>
        <w:shd w:val="clear" w:color="auto" w:fill="FFFFFF"/>
        <w:spacing w:before="0" w:beforeAutospacing="0" w:after="0" w:afterAutospacing="0"/>
        <w:ind w:left="810" w:hanging="810"/>
        <w:jc w:val="both"/>
        <w:rPr>
          <w:rFonts w:ascii="Arial" w:hAnsi="Arial" w:cs="Arial"/>
          <w:bCs/>
          <w:color w:val="0F1115"/>
          <w:sz w:val="20"/>
          <w:szCs w:val="20"/>
        </w:rPr>
      </w:pPr>
      <w:r>
        <w:rPr>
          <w:rFonts w:ascii="Arial" w:hAnsi="Arial" w:cs="Arial"/>
          <w:bCs/>
          <w:color w:val="0F1115"/>
          <w:sz w:val="20"/>
          <w:szCs w:val="20"/>
        </w:rPr>
        <w:t>Yadav, R. K. (2006). Effect of integrated nutrient management on soil properties, growth and yield of guava (</w:t>
      </w:r>
      <w:commentRangeStart w:id="11"/>
      <w:r>
        <w:rPr>
          <w:rFonts w:ascii="Arial" w:hAnsi="Arial" w:cs="Arial"/>
          <w:bCs/>
          <w:color w:val="0F1115"/>
          <w:sz w:val="20"/>
          <w:szCs w:val="20"/>
        </w:rPr>
        <w:t xml:space="preserve">Psidium guajava </w:t>
      </w:r>
      <w:commentRangeEnd w:id="11"/>
      <w:r w:rsidR="00F65AF9">
        <w:rPr>
          <w:rStyle w:val="CommentReference"/>
          <w:rFonts w:asciiTheme="minorHAnsi" w:eastAsiaTheme="minorHAnsi" w:hAnsiTheme="minorHAnsi" w:cstheme="minorBidi"/>
          <w:kern w:val="2"/>
        </w:rPr>
        <w:commentReference w:id="11"/>
      </w:r>
      <w:r>
        <w:rPr>
          <w:rFonts w:ascii="Arial" w:hAnsi="Arial" w:cs="Arial"/>
          <w:bCs/>
          <w:color w:val="0F1115"/>
          <w:sz w:val="20"/>
          <w:szCs w:val="20"/>
        </w:rPr>
        <w:t>L.). </w:t>
      </w:r>
      <w:r>
        <w:rPr>
          <w:rStyle w:val="Emphasis"/>
          <w:rFonts w:ascii="Arial" w:hAnsi="Arial" w:cs="Arial"/>
          <w:bCs/>
          <w:color w:val="0F1115"/>
          <w:sz w:val="20"/>
          <w:szCs w:val="20"/>
        </w:rPr>
        <w:t>Indian Journal of Horticulture, 63</w:t>
      </w:r>
      <w:r>
        <w:rPr>
          <w:rFonts w:ascii="Arial" w:hAnsi="Arial" w:cs="Arial"/>
          <w:bCs/>
          <w:color w:val="0F1115"/>
          <w:sz w:val="20"/>
          <w:szCs w:val="20"/>
        </w:rPr>
        <w:t>(4), 400–403.</w:t>
      </w:r>
    </w:p>
    <w:p w:rsidR="00BE08DE" w:rsidRDefault="00BE08DE" w:rsidP="008B47B4">
      <w:pPr>
        <w:spacing w:after="0" w:line="240" w:lineRule="auto"/>
        <w:ind w:left="810" w:hanging="810"/>
        <w:jc w:val="both"/>
        <w:rPr>
          <w:rFonts w:ascii="Arial" w:hAnsi="Arial" w:cs="Arial"/>
          <w:sz w:val="20"/>
          <w:szCs w:val="20"/>
        </w:rPr>
      </w:pPr>
    </w:p>
    <w:p w:rsidR="00553C46" w:rsidRPr="00BE08DE" w:rsidRDefault="00553C46" w:rsidP="00BE08DE"/>
    <w:sectPr w:rsidR="00553C46" w:rsidRPr="00BE08DE" w:rsidSect="00397E3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10-24T14:57:00Z" w:initials="H">
    <w:p w:rsidR="00257A2F" w:rsidRDefault="00257A2F">
      <w:pPr>
        <w:pStyle w:val="CommentText"/>
      </w:pPr>
      <w:r>
        <w:rPr>
          <w:rStyle w:val="CommentReference"/>
        </w:rPr>
        <w:annotationRef/>
      </w:r>
      <w:r>
        <w:t>Why abstract written like this? It should be summarized with best treatment of the experiment</w:t>
      </w:r>
    </w:p>
  </w:comment>
  <w:comment w:id="2" w:author="HP" w:date="2025-10-24T14:58:00Z" w:initials="H">
    <w:p w:rsidR="00CF5797" w:rsidRDefault="00CF5797">
      <w:pPr>
        <w:pStyle w:val="CommentText"/>
      </w:pPr>
      <w:r>
        <w:rPr>
          <w:rStyle w:val="CommentReference"/>
        </w:rPr>
        <w:annotationRef/>
      </w:r>
      <w:r>
        <w:t>Space between two paragraphs</w:t>
      </w:r>
    </w:p>
  </w:comment>
  <w:comment w:id="3" w:author="HP" w:date="2025-10-24T14:58:00Z" w:initials="H">
    <w:p w:rsidR="00CF5797" w:rsidRDefault="00CF5797">
      <w:pPr>
        <w:pStyle w:val="CommentText"/>
      </w:pPr>
      <w:r>
        <w:rPr>
          <w:rStyle w:val="CommentReference"/>
        </w:rPr>
        <w:annotationRef/>
      </w:r>
      <w:r>
        <w:t>Space between two paragraphs</w:t>
      </w:r>
    </w:p>
  </w:comment>
  <w:comment w:id="4" w:author="HP" w:date="2025-10-24T14:57:00Z" w:initials="H">
    <w:p w:rsidR="00257A2F" w:rsidRDefault="00257A2F">
      <w:pPr>
        <w:pStyle w:val="CommentText"/>
      </w:pPr>
      <w:r>
        <w:rPr>
          <w:rStyle w:val="CommentReference"/>
        </w:rPr>
        <w:annotationRef/>
      </w:r>
      <w:r>
        <w:t>MATERIALS</w:t>
      </w:r>
    </w:p>
  </w:comment>
  <w:comment w:id="5" w:author="HP" w:date="2025-10-24T15:08:00Z" w:initials="H">
    <w:p w:rsidR="008B47B4" w:rsidRDefault="008B47B4">
      <w:pPr>
        <w:pStyle w:val="CommentText"/>
      </w:pPr>
      <w:r>
        <w:rPr>
          <w:rStyle w:val="CommentReference"/>
        </w:rPr>
        <w:annotationRef/>
      </w:r>
      <w:r>
        <w:t>Potassium in place of phosphorus</w:t>
      </w:r>
    </w:p>
  </w:comment>
  <w:comment w:id="6" w:author="HP" w:date="2025-10-24T15:37:00Z" w:initials="H">
    <w:p w:rsidR="00F65AF9" w:rsidRDefault="00F65AF9">
      <w:pPr>
        <w:pStyle w:val="CommentText"/>
      </w:pPr>
      <w:r>
        <w:rPr>
          <w:rStyle w:val="CommentReference"/>
        </w:rPr>
        <w:annotationRef/>
      </w:r>
      <w:r>
        <w:t>Italic</w:t>
      </w:r>
    </w:p>
  </w:comment>
  <w:comment w:id="7" w:author="HP" w:date="2025-10-24T15:37:00Z" w:initials="H">
    <w:p w:rsidR="00F65AF9" w:rsidRDefault="00F65AF9">
      <w:pPr>
        <w:pStyle w:val="CommentText"/>
      </w:pPr>
      <w:r>
        <w:rPr>
          <w:rStyle w:val="CommentReference"/>
        </w:rPr>
        <w:annotationRef/>
      </w:r>
      <w:r>
        <w:t>Italic</w:t>
      </w:r>
    </w:p>
  </w:comment>
  <w:comment w:id="8" w:author="HP" w:date="2025-10-24T15:37:00Z" w:initials="H">
    <w:p w:rsidR="00F65AF9" w:rsidRDefault="00F65AF9">
      <w:pPr>
        <w:pStyle w:val="CommentText"/>
      </w:pPr>
      <w:r>
        <w:rPr>
          <w:rStyle w:val="CommentReference"/>
        </w:rPr>
        <w:annotationRef/>
      </w:r>
      <w:r>
        <w:t>Italic</w:t>
      </w:r>
    </w:p>
  </w:comment>
  <w:comment w:id="9" w:author="HP" w:date="2025-10-24T15:36:00Z" w:initials="H">
    <w:p w:rsidR="00F65AF9" w:rsidRDefault="00F65AF9">
      <w:pPr>
        <w:pStyle w:val="CommentText"/>
      </w:pPr>
      <w:r>
        <w:rPr>
          <w:rStyle w:val="CommentReference"/>
        </w:rPr>
        <w:annotationRef/>
      </w:r>
      <w:r>
        <w:t>Italic</w:t>
      </w:r>
    </w:p>
  </w:comment>
  <w:comment w:id="10" w:author="HP" w:date="2025-10-24T15:38:00Z" w:initials="H">
    <w:p w:rsidR="00F65AF9" w:rsidRDefault="00F65AF9">
      <w:pPr>
        <w:pStyle w:val="CommentText"/>
      </w:pPr>
      <w:r>
        <w:rPr>
          <w:rStyle w:val="CommentReference"/>
        </w:rPr>
        <w:annotationRef/>
      </w:r>
      <w:r>
        <w:t>Italic</w:t>
      </w:r>
    </w:p>
  </w:comment>
  <w:comment w:id="11" w:author="HP" w:date="2025-10-24T15:38:00Z" w:initials="H">
    <w:p w:rsidR="00F65AF9" w:rsidRDefault="00F65AF9">
      <w:pPr>
        <w:pStyle w:val="CommentText"/>
      </w:pPr>
      <w:r>
        <w:rPr>
          <w:rStyle w:val="CommentReference"/>
        </w:rPr>
        <w:annotationRef/>
      </w:r>
      <w:r>
        <w:t>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175" w:rsidRDefault="000E6175" w:rsidP="00F56510">
      <w:pPr>
        <w:spacing w:after="0" w:line="240" w:lineRule="auto"/>
      </w:pPr>
      <w:r>
        <w:separator/>
      </w:r>
    </w:p>
  </w:endnote>
  <w:endnote w:type="continuationSeparator" w:id="1">
    <w:p w:rsidR="000E6175" w:rsidRDefault="000E6175" w:rsidP="00F56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10" w:rsidRDefault="00F565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10" w:rsidRDefault="00F565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10" w:rsidRDefault="00F565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175" w:rsidRDefault="000E6175" w:rsidP="00F56510">
      <w:pPr>
        <w:spacing w:after="0" w:line="240" w:lineRule="auto"/>
      </w:pPr>
      <w:r>
        <w:separator/>
      </w:r>
    </w:p>
  </w:footnote>
  <w:footnote w:type="continuationSeparator" w:id="1">
    <w:p w:rsidR="000E6175" w:rsidRDefault="000E6175" w:rsidP="00F565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10" w:rsidRDefault="00C11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10" w:rsidRDefault="00C11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510" w:rsidRDefault="00C119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886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E08DE"/>
    <w:rsid w:val="0007427C"/>
    <w:rsid w:val="000E6175"/>
    <w:rsid w:val="00206E55"/>
    <w:rsid w:val="00257A2F"/>
    <w:rsid w:val="00312DCB"/>
    <w:rsid w:val="00397E36"/>
    <w:rsid w:val="004C06DE"/>
    <w:rsid w:val="00553C46"/>
    <w:rsid w:val="005F0684"/>
    <w:rsid w:val="00670B87"/>
    <w:rsid w:val="007675FA"/>
    <w:rsid w:val="008B47B4"/>
    <w:rsid w:val="009C3F78"/>
    <w:rsid w:val="00BE08DE"/>
    <w:rsid w:val="00C119B6"/>
    <w:rsid w:val="00CF5797"/>
    <w:rsid w:val="00D66938"/>
    <w:rsid w:val="00F56510"/>
    <w:rsid w:val="00F65A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E"/>
    <w:pPr>
      <w:spacing w:line="276" w:lineRule="auto"/>
    </w:pPr>
  </w:style>
  <w:style w:type="paragraph" w:styleId="Heading1">
    <w:name w:val="heading 1"/>
    <w:basedOn w:val="Normal"/>
    <w:next w:val="Normal"/>
    <w:link w:val="Heading1Char"/>
    <w:uiPriority w:val="9"/>
    <w:qFormat/>
    <w:rsid w:val="00BE08D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8D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8D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8DE"/>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8DE"/>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8DE"/>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8DE"/>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8DE"/>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8DE"/>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8DE"/>
    <w:rPr>
      <w:rFonts w:eastAsiaTheme="majorEastAsia" w:cstheme="majorBidi"/>
      <w:color w:val="272727" w:themeColor="text1" w:themeTint="D8"/>
    </w:rPr>
  </w:style>
  <w:style w:type="paragraph" w:styleId="Title">
    <w:name w:val="Title"/>
    <w:basedOn w:val="Normal"/>
    <w:next w:val="Normal"/>
    <w:link w:val="TitleChar"/>
    <w:uiPriority w:val="10"/>
    <w:qFormat/>
    <w:rsid w:val="00BE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8D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8DE"/>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E08DE"/>
    <w:rPr>
      <w:i/>
      <w:iCs/>
      <w:color w:val="404040" w:themeColor="text1" w:themeTint="BF"/>
    </w:rPr>
  </w:style>
  <w:style w:type="paragraph" w:styleId="ListParagraph">
    <w:name w:val="List Paragraph"/>
    <w:basedOn w:val="Normal"/>
    <w:uiPriority w:val="34"/>
    <w:qFormat/>
    <w:rsid w:val="00BE08DE"/>
    <w:pPr>
      <w:spacing w:line="278" w:lineRule="auto"/>
      <w:ind w:left="720"/>
      <w:contextualSpacing/>
    </w:pPr>
  </w:style>
  <w:style w:type="character" w:styleId="IntenseEmphasis">
    <w:name w:val="Intense Emphasis"/>
    <w:basedOn w:val="DefaultParagraphFont"/>
    <w:uiPriority w:val="21"/>
    <w:qFormat/>
    <w:rsid w:val="00BE08DE"/>
    <w:rPr>
      <w:i/>
      <w:iCs/>
      <w:color w:val="0F4761" w:themeColor="accent1" w:themeShade="BF"/>
    </w:rPr>
  </w:style>
  <w:style w:type="paragraph" w:styleId="IntenseQuote">
    <w:name w:val="Intense Quote"/>
    <w:basedOn w:val="Normal"/>
    <w:next w:val="Normal"/>
    <w:link w:val="IntenseQuoteChar"/>
    <w:uiPriority w:val="30"/>
    <w:qFormat/>
    <w:rsid w:val="00BE08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8DE"/>
    <w:rPr>
      <w:i/>
      <w:iCs/>
      <w:color w:val="0F4761" w:themeColor="accent1" w:themeShade="BF"/>
    </w:rPr>
  </w:style>
  <w:style w:type="character" w:styleId="IntenseReference">
    <w:name w:val="Intense Reference"/>
    <w:basedOn w:val="DefaultParagraphFont"/>
    <w:uiPriority w:val="32"/>
    <w:qFormat/>
    <w:rsid w:val="00BE08DE"/>
    <w:rPr>
      <w:b/>
      <w:bCs/>
      <w:smallCaps/>
      <w:color w:val="0F4761" w:themeColor="accent1" w:themeShade="BF"/>
      <w:spacing w:val="5"/>
    </w:rPr>
  </w:style>
  <w:style w:type="paragraph" w:customStyle="1" w:styleId="ds-markdown-paragraph">
    <w:name w:val="ds-markdown-paragraph"/>
    <w:basedOn w:val="Normal"/>
    <w:rsid w:val="00BE08DE"/>
    <w:pPr>
      <w:spacing w:before="100" w:beforeAutospacing="1" w:after="100" w:afterAutospacing="1" w:line="240" w:lineRule="auto"/>
    </w:pPr>
    <w:rPr>
      <w:rFonts w:ascii="Times New Roman" w:eastAsia="Times New Roman" w:hAnsi="Times New Roman" w:cs="Times New Roman"/>
      <w:kern w:val="0"/>
    </w:rPr>
  </w:style>
  <w:style w:type="paragraph" w:customStyle="1" w:styleId="Author">
    <w:name w:val="Author"/>
    <w:basedOn w:val="Normal"/>
    <w:rsid w:val="00BE08DE"/>
    <w:pPr>
      <w:spacing w:after="0" w:line="280" w:lineRule="exact"/>
      <w:jc w:val="right"/>
    </w:pPr>
    <w:rPr>
      <w:rFonts w:ascii="Helvetica" w:eastAsia="Times New Roman" w:hAnsi="Helvetica" w:cs="Times New Roman"/>
      <w:b/>
      <w:kern w:val="0"/>
      <w:szCs w:val="20"/>
    </w:rPr>
  </w:style>
  <w:style w:type="paragraph" w:customStyle="1" w:styleId="Body">
    <w:name w:val="Body"/>
    <w:basedOn w:val="Normal"/>
    <w:rsid w:val="00BE08DE"/>
    <w:pPr>
      <w:spacing w:after="240" w:line="240" w:lineRule="auto"/>
      <w:jc w:val="both"/>
    </w:pPr>
    <w:rPr>
      <w:rFonts w:ascii="Helvetica" w:eastAsia="Times New Roman" w:hAnsi="Helvetica" w:cs="Times New Roman"/>
      <w:kern w:val="0"/>
      <w:sz w:val="20"/>
      <w:szCs w:val="20"/>
    </w:rPr>
  </w:style>
  <w:style w:type="paragraph" w:customStyle="1" w:styleId="AbstHead">
    <w:name w:val="Abst Head"/>
    <w:basedOn w:val="Normal"/>
    <w:rsid w:val="00BE08DE"/>
    <w:pPr>
      <w:keepNext/>
      <w:spacing w:after="240" w:line="240" w:lineRule="auto"/>
    </w:pPr>
    <w:rPr>
      <w:rFonts w:ascii="Helvetica" w:eastAsia="Times New Roman" w:hAnsi="Helvetica" w:cs="Times New Roman"/>
      <w:b/>
      <w:caps/>
      <w:kern w:val="0"/>
      <w:sz w:val="22"/>
      <w:szCs w:val="20"/>
    </w:rPr>
  </w:style>
  <w:style w:type="paragraph" w:customStyle="1" w:styleId="Head1">
    <w:name w:val="Head1"/>
    <w:basedOn w:val="Normal"/>
    <w:rsid w:val="00BE08DE"/>
    <w:pPr>
      <w:keepNext/>
      <w:spacing w:after="240" w:line="240" w:lineRule="auto"/>
    </w:pPr>
    <w:rPr>
      <w:rFonts w:ascii="Helvetica" w:eastAsia="Times New Roman" w:hAnsi="Helvetica" w:cs="Times New Roman"/>
      <w:b/>
      <w:caps/>
      <w:kern w:val="0"/>
      <w:sz w:val="22"/>
      <w:szCs w:val="20"/>
    </w:rPr>
  </w:style>
  <w:style w:type="paragraph" w:customStyle="1" w:styleId="ConcHead">
    <w:name w:val="Conc Head"/>
    <w:basedOn w:val="Normal"/>
    <w:rsid w:val="00BE08DE"/>
    <w:pPr>
      <w:keepNext/>
      <w:spacing w:after="240" w:line="240" w:lineRule="auto"/>
    </w:pPr>
    <w:rPr>
      <w:rFonts w:ascii="Helvetica" w:eastAsia="Times New Roman" w:hAnsi="Helvetica" w:cs="Times New Roman"/>
      <w:b/>
      <w:caps/>
      <w:kern w:val="0"/>
      <w:sz w:val="22"/>
      <w:szCs w:val="20"/>
    </w:rPr>
  </w:style>
  <w:style w:type="table" w:styleId="TableGrid">
    <w:name w:val="Table Grid"/>
    <w:basedOn w:val="TableNormal"/>
    <w:uiPriority w:val="59"/>
    <w:rsid w:val="00BE08DE"/>
    <w:pPr>
      <w:spacing w:after="0" w:line="240" w:lineRule="auto"/>
    </w:pPr>
    <w:rPr>
      <w:kern w:val="0"/>
      <w:sz w:val="22"/>
      <w:szCs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E08DE"/>
    <w:rPr>
      <w:b/>
      <w:bCs/>
    </w:rPr>
  </w:style>
  <w:style w:type="character" w:styleId="Emphasis">
    <w:name w:val="Emphasis"/>
    <w:basedOn w:val="DefaultParagraphFont"/>
    <w:uiPriority w:val="20"/>
    <w:qFormat/>
    <w:rsid w:val="00BE08DE"/>
    <w:rPr>
      <w:i/>
      <w:iCs/>
    </w:rPr>
  </w:style>
  <w:style w:type="character" w:styleId="Hyperlink">
    <w:name w:val="Hyperlink"/>
    <w:basedOn w:val="DefaultParagraphFont"/>
    <w:uiPriority w:val="99"/>
    <w:unhideWhenUsed/>
    <w:rsid w:val="007675FA"/>
    <w:rPr>
      <w:color w:val="467886" w:themeColor="hyperlink"/>
      <w:u w:val="single"/>
    </w:rPr>
  </w:style>
  <w:style w:type="character" w:customStyle="1" w:styleId="UnresolvedMention">
    <w:name w:val="Unresolved Mention"/>
    <w:basedOn w:val="DefaultParagraphFont"/>
    <w:uiPriority w:val="99"/>
    <w:semiHidden/>
    <w:unhideWhenUsed/>
    <w:rsid w:val="007675FA"/>
    <w:rPr>
      <w:color w:val="605E5C"/>
      <w:shd w:val="clear" w:color="auto" w:fill="E1DFDD"/>
    </w:rPr>
  </w:style>
  <w:style w:type="paragraph" w:styleId="Header">
    <w:name w:val="header"/>
    <w:basedOn w:val="Normal"/>
    <w:link w:val="HeaderChar"/>
    <w:uiPriority w:val="99"/>
    <w:unhideWhenUsed/>
    <w:rsid w:val="00F56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510"/>
  </w:style>
  <w:style w:type="paragraph" w:styleId="Footer">
    <w:name w:val="footer"/>
    <w:basedOn w:val="Normal"/>
    <w:link w:val="FooterChar"/>
    <w:uiPriority w:val="99"/>
    <w:unhideWhenUsed/>
    <w:rsid w:val="00F56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510"/>
  </w:style>
  <w:style w:type="paragraph" w:styleId="BalloonText">
    <w:name w:val="Balloon Text"/>
    <w:basedOn w:val="Normal"/>
    <w:link w:val="BalloonTextChar"/>
    <w:uiPriority w:val="99"/>
    <w:semiHidden/>
    <w:unhideWhenUsed/>
    <w:rsid w:val="0025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A2F"/>
    <w:rPr>
      <w:rFonts w:ascii="Tahoma" w:hAnsi="Tahoma" w:cs="Tahoma"/>
      <w:sz w:val="16"/>
      <w:szCs w:val="16"/>
    </w:rPr>
  </w:style>
  <w:style w:type="character" w:styleId="CommentReference">
    <w:name w:val="annotation reference"/>
    <w:basedOn w:val="DefaultParagraphFont"/>
    <w:uiPriority w:val="99"/>
    <w:semiHidden/>
    <w:unhideWhenUsed/>
    <w:rsid w:val="00257A2F"/>
    <w:rPr>
      <w:sz w:val="16"/>
      <w:szCs w:val="16"/>
    </w:rPr>
  </w:style>
  <w:style w:type="paragraph" w:styleId="CommentText">
    <w:name w:val="annotation text"/>
    <w:basedOn w:val="Normal"/>
    <w:link w:val="CommentTextChar"/>
    <w:uiPriority w:val="99"/>
    <w:semiHidden/>
    <w:unhideWhenUsed/>
    <w:rsid w:val="00257A2F"/>
    <w:pPr>
      <w:spacing w:line="240" w:lineRule="auto"/>
    </w:pPr>
    <w:rPr>
      <w:sz w:val="20"/>
      <w:szCs w:val="20"/>
    </w:rPr>
  </w:style>
  <w:style w:type="character" w:customStyle="1" w:styleId="CommentTextChar">
    <w:name w:val="Comment Text Char"/>
    <w:basedOn w:val="DefaultParagraphFont"/>
    <w:link w:val="CommentText"/>
    <w:uiPriority w:val="99"/>
    <w:semiHidden/>
    <w:rsid w:val="00257A2F"/>
    <w:rPr>
      <w:sz w:val="20"/>
      <w:szCs w:val="20"/>
    </w:rPr>
  </w:style>
  <w:style w:type="paragraph" w:styleId="CommentSubject">
    <w:name w:val="annotation subject"/>
    <w:basedOn w:val="CommentText"/>
    <w:next w:val="CommentText"/>
    <w:link w:val="CommentSubjectChar"/>
    <w:uiPriority w:val="99"/>
    <w:semiHidden/>
    <w:unhideWhenUsed/>
    <w:rsid w:val="00257A2F"/>
    <w:rPr>
      <w:b/>
      <w:bCs/>
    </w:rPr>
  </w:style>
  <w:style w:type="character" w:customStyle="1" w:styleId="CommentSubjectChar">
    <w:name w:val="Comment Subject Char"/>
    <w:basedOn w:val="CommentTextChar"/>
    <w:link w:val="CommentSubject"/>
    <w:uiPriority w:val="99"/>
    <w:semiHidden/>
    <w:rsid w:val="00257A2F"/>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ropbox\My%20PC%20(DESKTOP-IDN38AV)\Desktop\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LEAF!$K$3</c:f>
              <c:strCache>
                <c:ptCount val="1"/>
                <c:pt idx="0">
                  <c:v>N</c:v>
                </c:pt>
              </c:strCache>
            </c:strRef>
          </c:tx>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LEAF!$K$4:$K$12</c:f>
              <c:numCache>
                <c:formatCode>0.00</c:formatCode>
                <c:ptCount val="9"/>
                <c:pt idx="0">
                  <c:v>1.9016666666666662</c:v>
                </c:pt>
                <c:pt idx="1">
                  <c:v>2.0549999999999997</c:v>
                </c:pt>
                <c:pt idx="2">
                  <c:v>1.7800000000000005</c:v>
                </c:pt>
                <c:pt idx="3">
                  <c:v>1.818333333333334</c:v>
                </c:pt>
                <c:pt idx="4">
                  <c:v>1.941666666666666</c:v>
                </c:pt>
                <c:pt idx="5">
                  <c:v>1.6716666666666669</c:v>
                </c:pt>
                <c:pt idx="6">
                  <c:v>1.6916666666666667</c:v>
                </c:pt>
                <c:pt idx="7">
                  <c:v>1.736666666666667</c:v>
                </c:pt>
                <c:pt idx="8">
                  <c:v>1.4533333333333318</c:v>
                </c:pt>
              </c:numCache>
            </c:numRef>
          </c:val>
          <c:extLst xmlns:c16r2="http://schemas.microsoft.com/office/drawing/2015/06/chart">
            <c:ext xmlns:c16="http://schemas.microsoft.com/office/drawing/2014/chart" uri="{C3380CC4-5D6E-409C-BE32-E72D297353CC}">
              <c16:uniqueId val="{00000000-57E4-F145-90B3-5D81F6404D67}"/>
            </c:ext>
          </c:extLst>
        </c:ser>
        <c:ser>
          <c:idx val="1"/>
          <c:order val="1"/>
          <c:tx>
            <c:strRef>
              <c:f>LEAF!$L$3</c:f>
              <c:strCache>
                <c:ptCount val="1"/>
                <c:pt idx="0">
                  <c:v> P</c:v>
                </c:pt>
              </c:strCache>
            </c:strRef>
          </c:tx>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LEAF!$L$4:$L$12</c:f>
              <c:numCache>
                <c:formatCode>0.00</c:formatCode>
                <c:ptCount val="9"/>
                <c:pt idx="0">
                  <c:v>0.27666666666666762</c:v>
                </c:pt>
                <c:pt idx="1">
                  <c:v>0.39166666666666827</c:v>
                </c:pt>
                <c:pt idx="2">
                  <c:v>0.25166666666666682</c:v>
                </c:pt>
                <c:pt idx="3">
                  <c:v>0.26333333333333325</c:v>
                </c:pt>
                <c:pt idx="4">
                  <c:v>0.33000000000000107</c:v>
                </c:pt>
                <c:pt idx="5">
                  <c:v>0.21833333333333399</c:v>
                </c:pt>
                <c:pt idx="6">
                  <c:v>0.22500000000000006</c:v>
                </c:pt>
                <c:pt idx="7">
                  <c:v>0.2466666666666667</c:v>
                </c:pt>
                <c:pt idx="8">
                  <c:v>0.15000000000000024</c:v>
                </c:pt>
              </c:numCache>
            </c:numRef>
          </c:val>
          <c:extLst xmlns:c16r2="http://schemas.microsoft.com/office/drawing/2015/06/chart">
            <c:ext xmlns:c16="http://schemas.microsoft.com/office/drawing/2014/chart" uri="{C3380CC4-5D6E-409C-BE32-E72D297353CC}">
              <c16:uniqueId val="{00000001-57E4-F145-90B3-5D81F6404D67}"/>
            </c:ext>
          </c:extLst>
        </c:ser>
        <c:ser>
          <c:idx val="2"/>
          <c:order val="2"/>
          <c:tx>
            <c:strRef>
              <c:f>LEAF!$M$3</c:f>
              <c:strCache>
                <c:ptCount val="1"/>
                <c:pt idx="0">
                  <c:v>K</c:v>
                </c:pt>
              </c:strCache>
            </c:strRef>
          </c:tx>
          <c:cat>
            <c:strRef>
              <c:f>LEAF!$J$4:$J$12</c:f>
              <c:strCache>
                <c:ptCount val="9"/>
                <c:pt idx="0">
                  <c:v>F1B1</c:v>
                </c:pt>
                <c:pt idx="1">
                  <c:v>F1B2</c:v>
                </c:pt>
                <c:pt idx="2">
                  <c:v>F1B3</c:v>
                </c:pt>
                <c:pt idx="3">
                  <c:v>F2B1</c:v>
                </c:pt>
                <c:pt idx="4">
                  <c:v>F2B2</c:v>
                </c:pt>
                <c:pt idx="5">
                  <c:v>F2B3</c:v>
                </c:pt>
                <c:pt idx="6">
                  <c:v>F3B1</c:v>
                </c:pt>
                <c:pt idx="7">
                  <c:v>F3B2</c:v>
                </c:pt>
                <c:pt idx="8">
                  <c:v>F3B3</c:v>
                </c:pt>
              </c:strCache>
            </c:strRef>
          </c:cat>
          <c:val>
            <c:numRef>
              <c:f>LEAF!$M$4:$M$12</c:f>
              <c:numCache>
                <c:formatCode>0.00</c:formatCode>
                <c:ptCount val="9"/>
                <c:pt idx="0">
                  <c:v>1.55</c:v>
                </c:pt>
                <c:pt idx="1">
                  <c:v>1.6233333333333333</c:v>
                </c:pt>
                <c:pt idx="2">
                  <c:v>1.4866666666666666</c:v>
                </c:pt>
                <c:pt idx="3">
                  <c:v>1.5016666666666658</c:v>
                </c:pt>
                <c:pt idx="4">
                  <c:v>1.5933333333333335</c:v>
                </c:pt>
                <c:pt idx="5">
                  <c:v>1.4049999999999954</c:v>
                </c:pt>
                <c:pt idx="6">
                  <c:v>1.4249999999999954</c:v>
                </c:pt>
                <c:pt idx="7">
                  <c:v>1.46</c:v>
                </c:pt>
                <c:pt idx="8">
                  <c:v>1.2516666666666658</c:v>
                </c:pt>
              </c:numCache>
            </c:numRef>
          </c:val>
          <c:extLst xmlns:c16r2="http://schemas.microsoft.com/office/drawing/2015/06/chart">
            <c:ext xmlns:c16="http://schemas.microsoft.com/office/drawing/2014/chart" uri="{C3380CC4-5D6E-409C-BE32-E72D297353CC}">
              <c16:uniqueId val="{00000002-57E4-F145-90B3-5D81F6404D67}"/>
            </c:ext>
          </c:extLst>
        </c:ser>
        <c:axId val="89918080"/>
        <c:axId val="89920256"/>
      </c:barChart>
      <c:catAx>
        <c:axId val="89918080"/>
        <c:scaling>
          <c:orientation val="minMax"/>
        </c:scaling>
        <c:axPos val="b"/>
        <c:title>
          <c:tx>
            <c:rich>
              <a:bodyPr/>
              <a:lstStyle/>
              <a:p>
                <a:pPr>
                  <a:defRPr/>
                </a:pPr>
                <a:r>
                  <a:rPr lang="en-US"/>
                  <a:t>Treatments</a:t>
                </a:r>
              </a:p>
            </c:rich>
          </c:tx>
        </c:title>
        <c:numFmt formatCode="General" sourceLinked="0"/>
        <c:tickLblPos val="nextTo"/>
        <c:crossAx val="89920256"/>
        <c:crosses val="autoZero"/>
        <c:auto val="1"/>
        <c:lblAlgn val="ctr"/>
        <c:lblOffset val="100"/>
      </c:catAx>
      <c:valAx>
        <c:axId val="89920256"/>
        <c:scaling>
          <c:orientation val="minMax"/>
        </c:scaling>
        <c:axPos val="l"/>
        <c:title>
          <c:tx>
            <c:rich>
              <a:bodyPr rot="-5400000" vert="horz"/>
              <a:lstStyle/>
              <a:p>
                <a:pPr>
                  <a:defRPr/>
                </a:pPr>
                <a:r>
                  <a:rPr lang="en-US"/>
                  <a:t>Leaf</a:t>
                </a:r>
                <a:r>
                  <a:rPr lang="en-US" baseline="0"/>
                  <a:t> nutrient (%)</a:t>
                </a:r>
                <a:endParaRPr lang="en-US"/>
              </a:p>
            </c:rich>
          </c:tx>
        </c:title>
        <c:numFmt formatCode="0.00" sourceLinked="1"/>
        <c:tickLblPos val="nextTo"/>
        <c:crossAx val="89918080"/>
        <c:crosses val="autoZero"/>
        <c:crossBetween val="between"/>
      </c:valAx>
    </c:plotArea>
    <c:legend>
      <c:legendPos val="r"/>
    </c:legend>
    <c:plotVisOnly val="1"/>
    <c:dispBlanksAs val="gap"/>
  </c:chart>
  <c:txPr>
    <a:bodyPr/>
    <a:lstStyle/>
    <a:p>
      <a:pPr>
        <a:defRPr>
          <a:latin typeface="Times New Roman" pitchFamily="18" charset="0"/>
          <a:cs typeface="Times New Roman"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0EBA-0C2B-4A69-AEC6-D03684916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Bokam Jagadish Kumar</dc:creator>
  <cp:keywords/>
  <dc:description/>
  <cp:lastModifiedBy>HP</cp:lastModifiedBy>
  <cp:revision>6</cp:revision>
  <dcterms:created xsi:type="dcterms:W3CDTF">2025-10-17T10:21:00Z</dcterms:created>
  <dcterms:modified xsi:type="dcterms:W3CDTF">2025-10-24T10:08:00Z</dcterms:modified>
</cp:coreProperties>
</file>