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C74" w:rsidRPr="006743B6" w:rsidRDefault="00894C74" w:rsidP="00894C74">
      <w:pPr>
        <w:rPr>
          <w:rFonts w:ascii="Times New Roman" w:hAnsi="Times New Roman" w:cs="Times New Roman"/>
          <w:b/>
          <w:bCs/>
          <w:sz w:val="24"/>
          <w:szCs w:val="24"/>
          <w:u w:val="single"/>
        </w:rPr>
      </w:pPr>
      <w:r w:rsidRPr="006743B6">
        <w:rPr>
          <w:rFonts w:ascii="Times New Roman" w:hAnsi="Times New Roman" w:cs="Times New Roman"/>
          <w:b/>
          <w:bCs/>
          <w:sz w:val="24"/>
          <w:szCs w:val="24"/>
          <w:u w:val="single"/>
        </w:rPr>
        <w:t>Review Article</w:t>
      </w:r>
    </w:p>
    <w:p w:rsidR="00035070" w:rsidRDefault="00DA0758">
      <w:pPr>
        <w:jc w:val="center"/>
        <w:rPr>
          <w:rFonts w:ascii="Times New Roman" w:hAnsi="Times New Roman" w:cs="Times New Roman"/>
          <w:b/>
          <w:bCs/>
          <w:sz w:val="24"/>
          <w:szCs w:val="24"/>
        </w:rPr>
      </w:pPr>
      <w:bookmarkStart w:id="0" w:name="_Hlk211090343"/>
      <w:r>
        <w:rPr>
          <w:rFonts w:ascii="Times New Roman" w:hAnsi="Times New Roman" w:cs="Times New Roman"/>
          <w:b/>
          <w:bCs/>
          <w:sz w:val="24"/>
          <w:szCs w:val="24"/>
        </w:rPr>
        <w:t xml:space="preserve">CAR-T CELL THERAPY </w:t>
      </w:r>
      <w:bookmarkEnd w:id="0"/>
      <w:r>
        <w:rPr>
          <w:rFonts w:ascii="Times New Roman" w:hAnsi="Times New Roman" w:cs="Times New Roman"/>
          <w:b/>
          <w:bCs/>
          <w:sz w:val="24"/>
          <w:szCs w:val="24"/>
        </w:rPr>
        <w:t>IN PEDIATRIC ACUTE</w:t>
      </w:r>
      <w:bookmarkStart w:id="1" w:name="_Hlk201695708"/>
      <w:r w:rsidR="00C92E2C">
        <w:rPr>
          <w:rFonts w:ascii="Times New Roman" w:hAnsi="Times New Roman" w:cs="Times New Roman"/>
          <w:b/>
          <w:bCs/>
          <w:sz w:val="24"/>
          <w:szCs w:val="24"/>
        </w:rPr>
        <w:t xml:space="preserve"> </w:t>
      </w:r>
      <w:r>
        <w:rPr>
          <w:rFonts w:ascii="Times New Roman" w:hAnsi="Times New Roman" w:cs="Times New Roman"/>
          <w:b/>
          <w:bCs/>
          <w:sz w:val="24"/>
          <w:szCs w:val="24"/>
        </w:rPr>
        <w:t>LYMPHOBLASTIC LEUKEMIA</w:t>
      </w:r>
      <w:bookmarkEnd w:id="1"/>
      <w:r>
        <w:rPr>
          <w:rFonts w:ascii="Times New Roman" w:hAnsi="Times New Roman" w:cs="Times New Roman"/>
          <w:b/>
          <w:bCs/>
          <w:sz w:val="24"/>
          <w:szCs w:val="24"/>
        </w:rPr>
        <w:t>: FROM</w:t>
      </w:r>
      <w:r w:rsidR="00C92E2C">
        <w:rPr>
          <w:rFonts w:ascii="Times New Roman" w:hAnsi="Times New Roman" w:cs="Times New Roman"/>
          <w:b/>
          <w:bCs/>
          <w:sz w:val="24"/>
          <w:szCs w:val="24"/>
        </w:rPr>
        <w:t xml:space="preserve"> </w:t>
      </w:r>
      <w:r>
        <w:rPr>
          <w:rFonts w:ascii="Times New Roman" w:hAnsi="Times New Roman" w:cs="Times New Roman"/>
          <w:b/>
          <w:bCs/>
          <w:sz w:val="24"/>
          <w:szCs w:val="24"/>
        </w:rPr>
        <w:t>BREAKTHROUGHS TO ONGOING CHALLENGES AND FUTURE DIRECTION</w:t>
      </w:r>
    </w:p>
    <w:p w:rsidR="00894C74" w:rsidRDefault="00894C74">
      <w:pPr>
        <w:jc w:val="center"/>
        <w:rPr>
          <w:rFonts w:ascii="Times New Roman" w:hAnsi="Times New Roman" w:cs="Times New Roman"/>
          <w:sz w:val="24"/>
          <w:szCs w:val="24"/>
        </w:rPr>
      </w:pPr>
    </w:p>
    <w:p w:rsidR="00035070" w:rsidRDefault="00035070">
      <w:pPr>
        <w:jc w:val="center"/>
        <w:rPr>
          <w:rFonts w:ascii="Times New Roman" w:hAnsi="Times New Roman" w:cs="Times New Roman"/>
          <w:sz w:val="24"/>
          <w:szCs w:val="24"/>
        </w:rPr>
      </w:pPr>
    </w:p>
    <w:p w:rsidR="00035070" w:rsidRDefault="00DA0758">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035070" w:rsidRDefault="00DA0758">
      <w:pPr>
        <w:jc w:val="both"/>
        <w:rPr>
          <w:rFonts w:ascii="Times New Roman" w:hAnsi="Times New Roman" w:cs="Times New Roman"/>
          <w:sz w:val="24"/>
          <w:szCs w:val="24"/>
        </w:rPr>
      </w:pPr>
      <w:r>
        <w:rPr>
          <w:rFonts w:ascii="Times New Roman" w:hAnsi="Times New Roman" w:cs="Times New Roman"/>
          <w:sz w:val="24"/>
          <w:szCs w:val="24"/>
        </w:rPr>
        <w:t>Acute lymphoblastic leukemia (ALL) is the most common pediatric malignancy, and relapsed and refractory patients continue to pose a significant therapeutic challenge despite breakthroughs in chemotherapy and bone marrow transplantation.Over the last several decades, immunotherapy has revolutionized the therapeutic paradigm for hematologic malignancies, culminating in the developme</w:t>
      </w:r>
      <w:bookmarkStart w:id="2" w:name="_GoBack"/>
      <w:bookmarkEnd w:id="2"/>
      <w:r>
        <w:rPr>
          <w:rFonts w:ascii="Times New Roman" w:hAnsi="Times New Roman" w:cs="Times New Roman"/>
          <w:sz w:val="24"/>
          <w:szCs w:val="24"/>
        </w:rPr>
        <w:t>nt and licensure of chimeric antigen receptor T-cell (CAR-T) treatments.This study examines the progress of immunotherapy in blood malignancies, emphasizing its advantages over traditional treatments and its specific application in pediatric ALL. We investigated the mechanism of action and manufacturing stages of CAR-T-cell therapy, focusing on the structural transition from first- to next-generation CAR constructs and its impact on efficacy and safety.</w:t>
      </w:r>
    </w:p>
    <w:p w:rsidR="00035070" w:rsidRDefault="00DA0758">
      <w:pPr>
        <w:jc w:val="both"/>
        <w:rPr>
          <w:rFonts w:ascii="Times New Roman" w:hAnsi="Times New Roman" w:cs="Times New Roman"/>
          <w:sz w:val="24"/>
          <w:szCs w:val="24"/>
        </w:rPr>
      </w:pPr>
      <w:r>
        <w:rPr>
          <w:rFonts w:ascii="Times New Roman" w:hAnsi="Times New Roman" w:cs="Times New Roman"/>
          <w:sz w:val="24"/>
          <w:szCs w:val="24"/>
        </w:rPr>
        <w:t>Keywords: CAR-T-cell therapy, lymphoblastic leukemia, chemotherapy, tumor growth</w:t>
      </w:r>
    </w:p>
    <w:p w:rsidR="00035070" w:rsidRDefault="00DA0758">
      <w:pPr>
        <w:jc w:val="both"/>
        <w:rPr>
          <w:rFonts w:ascii="Times New Roman" w:hAnsi="Times New Roman" w:cs="Times New Roman"/>
          <w:sz w:val="24"/>
          <w:szCs w:val="24"/>
        </w:rPr>
      </w:pPr>
      <w:r>
        <w:rPr>
          <w:rFonts w:ascii="Times New Roman" w:hAnsi="Times New Roman" w:cs="Times New Roman"/>
          <w:sz w:val="24"/>
          <w:szCs w:val="24"/>
        </w:rPr>
        <w:t>INTRODUCTION:</w:t>
      </w:r>
    </w:p>
    <w:p w:rsidR="00035070" w:rsidRDefault="00DA0758">
      <w:pPr>
        <w:jc w:val="both"/>
        <w:rPr>
          <w:rFonts w:ascii="Times New Roman" w:hAnsi="Times New Roman" w:cs="Times New Roman"/>
          <w:color w:val="000000"/>
          <w:sz w:val="24"/>
          <w:szCs w:val="24"/>
        </w:rPr>
      </w:pPr>
      <w:r>
        <w:rPr>
          <w:rFonts w:ascii="Times New Roman" w:hAnsi="Times New Roman" w:cs="Times New Roman"/>
          <w:sz w:val="24"/>
          <w:szCs w:val="24"/>
        </w:rPr>
        <w:t xml:space="preserve">The uncontrolled growth of abnormal cells that can spread to many parts of the body is known as cancer </w:t>
      </w:r>
      <w:r>
        <w:rPr>
          <w:rFonts w:ascii="Times New Roman" w:hAnsi="Times New Roman" w:cs="Times New Roman"/>
          <w:color w:val="000000"/>
          <w:sz w:val="24"/>
          <w:szCs w:val="24"/>
        </w:rPr>
        <w:t>(1). Cancer was less common a century ago, but in the past few decades, its frequency has been rapidly increasing, most likely as a result of our changing habits, lifestyles, and longer life expectancies (2). According to the World Health Organization, the leading cause of death worldwide (244.6 million DALYs) is cancer, which affects both men and women (137.4 and 107.1 million DALYs, respectively). Ischemic heart disease (203.7 million DALYs) and stroke (137.9 million DALYs) followed. The cancer-related burden is slightly but not significantly greater in men than in women</w:t>
      </w:r>
      <w:r w:rsidR="00C92E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(3).The World Cancer Research Fund (WCRF) is associated with the risk of 13 distinct cancers, including bladder, breast, colorectal, kidney, lung, and lymphocytic leukemia; non-Hodgkin’s lymphoma (NHL);and oral cavity/pharyngeal, ovarian, pancreatic, prostate, and uterinecancers(4).The cells that can produce blood or bone marrow are the source of blood cancer, also known ashematological malignancy (5). There are four broad categories of blood cancers: leukaemia, myeloma, Hodgkin lymphoma and non-Hodgkin lymphoma (6). Currently, immunotherapy, radiation, chemotherapy, and transplantation are used to treat blood malignancies (7). Chimeric antigen receptor T (CAR-T) cell therapy is a very promising immunotherapy that has significantly altered the way hematological malignancies are treated in recent years (8).CAR-T-cell therapy involves targeting overexpressed tumor cell surface antigens with modified T cells (9).Early clinical trials involving patients with B-cell lymphomas or pre-B-cell acute lymphoblastic leukemia (ALL) have shown that chimeric antigen receptor (CAR)-T-cell therapy has transformed into anticancer therapy by offering a potentially curative option for patients who do not respond to standard treatments (10).</w:t>
      </w:r>
    </w:p>
    <w:p w:rsidR="00035070" w:rsidRDefault="00035070">
      <w:pPr>
        <w:jc w:val="both"/>
        <w:rPr>
          <w:rFonts w:ascii="Times New Roman" w:hAnsi="Times New Roman" w:cs="Times New Roman"/>
          <w:sz w:val="24"/>
          <w:szCs w:val="24"/>
        </w:rPr>
      </w:pPr>
    </w:p>
    <w:p w:rsidR="00035070" w:rsidRDefault="00DA0758">
      <w:pPr>
        <w:jc w:val="both"/>
        <w:rPr>
          <w:rFonts w:ascii="Times New Roman" w:hAnsi="Times New Roman" w:cs="Times New Roman"/>
          <w:b/>
          <w:bCs/>
          <w:sz w:val="24"/>
          <w:szCs w:val="24"/>
        </w:rPr>
      </w:pPr>
      <w:r>
        <w:rPr>
          <w:rFonts w:ascii="Times New Roman" w:hAnsi="Times New Roman" w:cs="Times New Roman"/>
          <w:b/>
          <w:bCs/>
          <w:sz w:val="24"/>
          <w:szCs w:val="24"/>
        </w:rPr>
        <w:lastRenderedPageBreak/>
        <w:t>THE HISTORY OF IMMUNOTHERAPY IN HEMATOLOGIC MALIGNANCIES:</w:t>
      </w:r>
    </w:p>
    <w:p w:rsidR="00035070" w:rsidRDefault="00DA0758">
      <w:pPr>
        <w:jc w:val="both"/>
        <w:rPr>
          <w:rFonts w:ascii="Times New Roman" w:hAnsi="Times New Roman" w:cs="Times New Roman"/>
          <w:color w:val="000000"/>
          <w:sz w:val="24"/>
          <w:szCs w:val="24"/>
        </w:rPr>
      </w:pPr>
      <w:r>
        <w:rPr>
          <w:rFonts w:ascii="Times New Roman" w:hAnsi="Times New Roman" w:cs="Times New Roman"/>
          <w:sz w:val="24"/>
          <w:szCs w:val="24"/>
        </w:rPr>
        <w:t xml:space="preserve">For </w:t>
      </w:r>
      <w:r>
        <w:rPr>
          <w:rFonts w:ascii="Times New Roman" w:hAnsi="Times New Roman" w:cs="Times New Roman"/>
          <w:color w:val="000000"/>
          <w:sz w:val="24"/>
          <w:szCs w:val="24"/>
        </w:rPr>
        <w:t>many years, ionizing radiation and chemotherapy have been used in initial cancer therapies to remove the majority of the tumor mass. Although there have been some cures and notable benefits from many of these medicines, a major issue is the incidence of tumor relapse, which is caused by drug resistance mechanisms developing in some tumor cells.</w:t>
      </w:r>
      <w:r w:rsidR="00C92E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Therefore, it is necessary to develop additional therapeutic approaches to eliminate these resistant tumor cells (11). However, since Coley’s discovery in 1890 that bacterial products, or Coley toxins, could help treat incurable cancers and the subsequent use of Bacillus Calmette-Guerin (BCG) and other unrefined immunostimulants, a fourth immunotherapy modality has been thoroughly documented (12). Immunotherapeutic techniques have advanced significantly because of the intricate interactions between cancer cells and the immune system.</w:t>
      </w:r>
      <w:r w:rsidR="00C92E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promote tumor growth, tumors frequently take advantage of tissue-resident immune cells, endothelial cells, fibroblasts, and neurons. Tumor growth is aided by immune cells such as tumor-associated neutrophils (TANs), regulatory T cells (Tregs), tumor-associated macrophages (TAMs), and myeloid-derived suppressor cells (MDSCs) (13).Targeted antibodies, immune checkpoint inhibitors (ICIs), tumor vaccines, adoptive cell therapy (ACT), and stem cell transplantation are the primary components of immunotherapy in the treatment of hematologic malignancies (14).</w:t>
      </w:r>
      <w:r>
        <w:rPr>
          <w:rFonts w:ascii="Times New Roman" w:hAnsi="Times New Roman" w:cs="Times New Roman"/>
          <w:color w:val="000000"/>
          <w:sz w:val="24"/>
          <w:szCs w:val="24"/>
          <w:lang w:val="en-US"/>
        </w:rPr>
        <w:t xml:space="preserve">An overview of immunotherapy for hematologic malignancies (blood cancers) and its historical timeline of key developments depicted in </w:t>
      </w:r>
      <w:r w:rsidRPr="00C92E2C">
        <w:rPr>
          <w:rFonts w:ascii="Times New Roman" w:hAnsi="Times New Roman" w:cs="Times New Roman"/>
          <w:strike/>
          <w:color w:val="FF0000"/>
          <w:sz w:val="24"/>
          <w:szCs w:val="24"/>
          <w:lang w:val="en-US"/>
        </w:rPr>
        <w:t>Image</w:t>
      </w:r>
      <w:r w:rsidR="00C92E2C">
        <w:rPr>
          <w:rFonts w:ascii="Times New Roman" w:hAnsi="Times New Roman" w:cs="Times New Roman"/>
          <w:color w:val="00B050"/>
          <w:sz w:val="24"/>
          <w:szCs w:val="24"/>
          <w:lang w:val="en-US"/>
        </w:rPr>
        <w:t>figure</w:t>
      </w:r>
      <w:r>
        <w:rPr>
          <w:rFonts w:ascii="Times New Roman" w:hAnsi="Times New Roman" w:cs="Times New Roman"/>
          <w:color w:val="000000"/>
          <w:sz w:val="24"/>
          <w:szCs w:val="24"/>
          <w:lang w:val="en-US"/>
        </w:rPr>
        <w:t xml:space="preserve"> 1.</w:t>
      </w:r>
    </w:p>
    <w:p w:rsidR="00035070" w:rsidRDefault="00035070">
      <w:pPr>
        <w:jc w:val="both"/>
        <w:rPr>
          <w:rFonts w:ascii="Times New Roman" w:hAnsi="Times New Roman" w:cs="Times New Roman"/>
          <w:color w:val="000000"/>
          <w:sz w:val="24"/>
          <w:szCs w:val="24"/>
        </w:rPr>
      </w:pPr>
    </w:p>
    <w:p w:rsidR="00035070" w:rsidRDefault="00035070">
      <w:pPr>
        <w:jc w:val="both"/>
        <w:rPr>
          <w:rFonts w:ascii="Times New Roman" w:hAnsi="Times New Roman" w:cs="Times New Roman"/>
          <w:color w:val="000000"/>
          <w:sz w:val="24"/>
          <w:szCs w:val="24"/>
        </w:rPr>
      </w:pPr>
    </w:p>
    <w:p w:rsidR="00035070" w:rsidRDefault="00DA0758">
      <w:pPr>
        <w:ind w:left="-709"/>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drawing>
          <wp:inline distT="0" distB="0" distL="0" distR="0">
            <wp:extent cx="5097343" cy="2599055"/>
            <wp:effectExtent l="0" t="0" r="8255" b="0"/>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cstate="print"/>
                    <a:srcRect l="1392" t="134" r="23096" b="55310"/>
                    <a:stretch/>
                  </pic:blipFill>
                  <pic:spPr>
                    <a:xfrm>
                      <a:off x="0" y="0"/>
                      <a:ext cx="5097343" cy="2599055"/>
                    </a:xfrm>
                    <a:prstGeom prst="rect">
                      <a:avLst/>
                    </a:prstGeom>
                    <a:ln>
                      <a:noFill/>
                    </a:ln>
                  </pic:spPr>
                </pic:pic>
              </a:graphicData>
            </a:graphic>
          </wp:inline>
        </w:drawing>
      </w:r>
    </w:p>
    <w:p w:rsidR="00035070" w:rsidRDefault="00D179DD">
      <w:pPr>
        <w:ind w:left="-709"/>
        <w:jc w:val="center"/>
        <w:rPr>
          <w:rFonts w:ascii="Times New Roman" w:hAnsi="Times New Roman" w:cs="Times New Roman"/>
          <w:b/>
          <w:bCs/>
          <w:i/>
          <w:iCs/>
          <w:color w:val="000000"/>
          <w:sz w:val="24"/>
          <w:szCs w:val="24"/>
        </w:rPr>
      </w:pPr>
      <w:r>
        <w:rPr>
          <w:rFonts w:ascii="Times New Roman" w:hAnsi="Times New Roman" w:cs="Times New Roman"/>
          <w:b/>
          <w:bCs/>
          <w:i/>
          <w:iCs/>
          <w:noProof/>
          <w:color w:val="000000"/>
          <w:sz w:val="24"/>
          <w:szCs w:val="24"/>
          <w:lang w:val="en-US"/>
        </w:rPr>
        <w:t>FIGURE 1</w:t>
      </w:r>
    </w:p>
    <w:p w:rsidR="00035070" w:rsidRDefault="00035070">
      <w:pPr>
        <w:jc w:val="both"/>
        <w:rPr>
          <w:rFonts w:ascii="Times New Roman" w:hAnsi="Times New Roman" w:cs="Times New Roman"/>
          <w:color w:val="000000"/>
          <w:sz w:val="24"/>
          <w:szCs w:val="24"/>
        </w:rPr>
      </w:pPr>
    </w:p>
    <w:p w:rsidR="00035070" w:rsidRDefault="00035070">
      <w:pPr>
        <w:jc w:val="both"/>
        <w:rPr>
          <w:rFonts w:ascii="Times New Roman" w:hAnsi="Times New Roman" w:cs="Times New Roman"/>
          <w:color w:val="000000"/>
          <w:sz w:val="24"/>
          <w:szCs w:val="24"/>
        </w:rPr>
      </w:pPr>
    </w:p>
    <w:p w:rsidR="00035070" w:rsidRDefault="00DA0758">
      <w:pPr>
        <w:jc w:val="both"/>
        <w:rPr>
          <w:rFonts w:ascii="Times New Roman" w:hAnsi="Times New Roman" w:cs="Times New Roman"/>
          <w:color w:val="000000"/>
          <w:sz w:val="24"/>
          <w:szCs w:val="24"/>
        </w:rPr>
      </w:pPr>
      <w:r>
        <w:rPr>
          <w:rFonts w:ascii="Times New Roman" w:hAnsi="Times New Roman" w:cs="Times New Roman"/>
          <w:sz w:val="24"/>
          <w:szCs w:val="24"/>
        </w:rPr>
        <w:t>CAR-T-cell therapy:</w:t>
      </w:r>
    </w:p>
    <w:p w:rsidR="00035070" w:rsidRDefault="00DA075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chimeric antigen receptor (CAR)-T-cell therapy has been remarkably successful and durable, which makes it a novel approach (15). Consequently, the development of genetically </w:t>
      </w:r>
      <w:r>
        <w:rPr>
          <w:rFonts w:ascii="Times New Roman" w:hAnsi="Times New Roman" w:cs="Times New Roman"/>
          <w:color w:val="000000"/>
          <w:sz w:val="24"/>
          <w:szCs w:val="24"/>
        </w:rPr>
        <w:lastRenderedPageBreak/>
        <w:t>modifiedT-cell receptors to target a particular tumor antigen marked the beginning of a new era in cellular immunotherapy (16).Chimeric antigen receptor (CAR) is a modular fusion protein that consists of an intracellular signalling domain with CD3z connected to zero or one or two costimulatory molecules, such as CD28, CD137, and CD134, an extracellular target binding domain that is typically derived from the single-chain variable fragment (scFv) of an antibody and a spacer domain and transmembrane domain (17). The patient is asked to provide peripheral blood samples. T cells are separated and genetically modified to detect a particular tumor-associated antigen (TAA) and express chimeric antigen receptors (CARs). The patient is infused with expanded CAR-T cells that were acquired (18).Blood banks currently use apheresis to obtain platelets and other blood components for the treatment of a number of illnesses, such as renal and hematologic conditions. As a result, it is thought to be a safe procedure for patients and healthy people (19).CAR-T cells are composed of three parts: the transmembrane domain, endodomain, and ectodomain (20).</w:t>
      </w:r>
    </w:p>
    <w:p w:rsidR="00035070" w:rsidRDefault="00035070">
      <w:pPr>
        <w:jc w:val="both"/>
        <w:rPr>
          <w:rFonts w:ascii="Times New Roman" w:hAnsi="Times New Roman" w:cs="Times New Roman"/>
          <w:sz w:val="24"/>
          <w:szCs w:val="24"/>
        </w:rPr>
      </w:pPr>
    </w:p>
    <w:p w:rsidR="00035070" w:rsidRDefault="00035070">
      <w:pPr>
        <w:jc w:val="both"/>
        <w:rPr>
          <w:rFonts w:ascii="Times New Roman" w:hAnsi="Times New Roman" w:cs="Times New Roman"/>
          <w:color w:val="0070C0"/>
          <w:sz w:val="24"/>
          <w:szCs w:val="24"/>
        </w:rPr>
      </w:pPr>
    </w:p>
    <w:p w:rsidR="00035070" w:rsidRDefault="00DA0758">
      <w:pPr>
        <w:jc w:val="both"/>
        <w:rPr>
          <w:rFonts w:ascii="Times New Roman" w:hAnsi="Times New Roman" w:cs="Times New Roman"/>
          <w:color w:val="000000"/>
          <w:sz w:val="24"/>
          <w:szCs w:val="24"/>
        </w:rPr>
      </w:pPr>
      <w:r>
        <w:rPr>
          <w:rFonts w:ascii="Times New Roman" w:hAnsi="Times New Roman" w:cs="Times New Roman"/>
          <w:color w:val="000000"/>
          <w:sz w:val="24"/>
          <w:szCs w:val="24"/>
        </w:rPr>
        <w:t>PEDIATRIC ACUTE LYMPHOBLASTIC LEUKEMIA:</w:t>
      </w:r>
    </w:p>
    <w:p w:rsidR="00035070" w:rsidRDefault="00DA0758">
      <w:pPr>
        <w:jc w:val="both"/>
        <w:rPr>
          <w:rFonts w:ascii="Times New Roman" w:hAnsi="Times New Roman" w:cs="Times New Roman"/>
          <w:color w:val="000000"/>
          <w:sz w:val="24"/>
          <w:szCs w:val="24"/>
        </w:rPr>
      </w:pPr>
      <w:r>
        <w:rPr>
          <w:rFonts w:ascii="Times New Roman" w:hAnsi="Times New Roman" w:cs="Times New Roman"/>
          <w:color w:val="000000"/>
          <w:sz w:val="24"/>
          <w:szCs w:val="24"/>
        </w:rPr>
        <w:t>Acute lymphoblastic leukemia is the most common childhood cancer,with an overall incidence of 42 cases per million children. Between the ages of one and four, the incidence peaks early in life, approaching 100 cases per million (21).Among all pediatricleukemia cases,72% and over 25% arepediatric cancer cases. Every year, approximately 3,000 children in the US and 5,000 in Europe receive an ALL diagnosis (22).Numerous research avenues suggest that a portion of childhood leukemia cases occur prior to birth. Years before leukemia manifests clinically, chromosomal translocations, specifically ETV6-RUNX1 (TEL-AML1), can be found in cord blood and blood spots at birth, supporting a multistep leukemogenesis process. The genetic identification of the initial lesions and the identification of secondary genetic modifications indicating intertwin, intrauterine transmission of leukemia are demonstrated by genomic analysis of monozygotic, monochorionic twins that are concordant withleukemia (23) (24).The origins of ALL seem to be genetically unique and associated with several causal processes. Ionizing radiation and chemical mutagens are examples of environmental factors that have been linked to the development of ALL in certain people. However, in the great majority of cases, there are no obvious causative causes. The preferred theory holds that leukemogenesis is a reflection of the interplay between many environmental and genetic factors (25).Exome sequencing, transcriptome sequencing, and whole-genome sequencing are examples of next-generation sequencing used in current studies to describe the landscape of genetic changes in ALL (26).</w:t>
      </w:r>
    </w:p>
    <w:p w:rsidR="00035070" w:rsidRDefault="00035070">
      <w:pPr>
        <w:jc w:val="both"/>
        <w:rPr>
          <w:rFonts w:ascii="Times New Roman" w:hAnsi="Times New Roman" w:cs="Times New Roman"/>
          <w:color w:val="000000"/>
          <w:sz w:val="24"/>
          <w:szCs w:val="24"/>
        </w:rPr>
      </w:pPr>
    </w:p>
    <w:p w:rsidR="00035070" w:rsidRDefault="00035070">
      <w:pPr>
        <w:jc w:val="both"/>
        <w:rPr>
          <w:rFonts w:ascii="Times New Roman" w:hAnsi="Times New Roman" w:cs="Times New Roman"/>
          <w:b/>
          <w:bCs/>
          <w:color w:val="000000"/>
          <w:sz w:val="24"/>
          <w:szCs w:val="24"/>
        </w:rPr>
      </w:pPr>
    </w:p>
    <w:p w:rsidR="00035070" w:rsidRDefault="00967DA8">
      <w:pPr>
        <w:jc w:val="both"/>
        <w:rPr>
          <w:rFonts w:ascii="Times New Roman" w:hAnsi="Times New Roman" w:cs="Times New Roman"/>
          <w:b/>
          <w:bCs/>
          <w:color w:val="000000"/>
          <w:sz w:val="24"/>
          <w:szCs w:val="24"/>
        </w:rPr>
      </w:pPr>
      <w:r w:rsidRPr="004C7B49">
        <w:rPr>
          <w:rFonts w:ascii="Times New Roman" w:hAnsi="Times New Roman" w:cs="Times New Roman"/>
          <w:b/>
          <w:bCs/>
          <w:strike/>
          <w:color w:val="FF0000"/>
          <w:sz w:val="24"/>
          <w:szCs w:val="24"/>
        </w:rPr>
        <w:t>FIG</w:t>
      </w:r>
      <w:r w:rsidR="004C7B49" w:rsidRPr="004C7B49">
        <w:rPr>
          <w:rFonts w:ascii="Times New Roman" w:hAnsi="Times New Roman" w:cs="Times New Roman"/>
          <w:b/>
          <w:bCs/>
          <w:color w:val="00B050"/>
          <w:sz w:val="24"/>
          <w:szCs w:val="24"/>
        </w:rPr>
        <w:t>FIGURE</w:t>
      </w:r>
      <w:r w:rsidR="004C7B4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2. DIAGRAMMATIC REPRESENTATION OF CAR T-CELL THERAPY PROCESS IN ACUTE LYMPHOBLASTIC LEUKEMIA:</w:t>
      </w:r>
    </w:p>
    <w:p w:rsidR="00035070" w:rsidRDefault="00035070">
      <w:pPr>
        <w:jc w:val="both"/>
        <w:rPr>
          <w:rFonts w:ascii="Times New Roman" w:hAnsi="Times New Roman" w:cs="Times New Roman"/>
          <w:color w:val="000000"/>
          <w:sz w:val="24"/>
          <w:szCs w:val="24"/>
        </w:rPr>
      </w:pPr>
    </w:p>
    <w:p w:rsidR="00035070" w:rsidRDefault="00035070">
      <w:pPr>
        <w:jc w:val="both"/>
        <w:rPr>
          <w:rFonts w:ascii="Times New Roman" w:hAnsi="Times New Roman" w:cs="Times New Roman"/>
          <w:color w:val="000000"/>
          <w:sz w:val="24"/>
          <w:szCs w:val="24"/>
        </w:rPr>
      </w:pPr>
    </w:p>
    <w:p w:rsidR="00035070" w:rsidRDefault="00DA0758">
      <w:pPr>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lastRenderedPageBreak/>
        <w:drawing>
          <wp:inline distT="0" distB="0" distL="0" distR="0">
            <wp:extent cx="3542084" cy="1086738"/>
            <wp:effectExtent l="0" t="0" r="0" b="0"/>
            <wp:docPr id="102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11" cstate="print"/>
                    <a:srcRect l="7875" t="13390" r="67809" b="62362"/>
                    <a:stretch/>
                  </pic:blipFill>
                  <pic:spPr>
                    <a:xfrm>
                      <a:off x="0" y="0"/>
                      <a:ext cx="3542084" cy="1086738"/>
                    </a:xfrm>
                    <a:prstGeom prst="rect">
                      <a:avLst/>
                    </a:prstGeom>
                    <a:ln>
                      <a:noFill/>
                    </a:ln>
                  </pic:spPr>
                </pic:pic>
              </a:graphicData>
            </a:graphic>
          </wp:inline>
        </w:drawing>
      </w:r>
    </w:p>
    <w:p w:rsidR="00035070" w:rsidRDefault="00DA0758">
      <w:pPr>
        <w:jc w:val="both"/>
        <w:rPr>
          <w:rFonts w:ascii="Cambria Math" w:hAnsi="Cambria Math" w:cs="Cambria Math"/>
          <w:color w:val="000000"/>
          <w:sz w:val="56"/>
          <w:szCs w:val="56"/>
        </w:rPr>
      </w:pPr>
      <w:r>
        <w:rPr>
          <w:rFonts w:ascii="Cambria Math" w:hAnsi="Cambria Math" w:cs="Cambria Math"/>
          <w:color w:val="000000"/>
          <w:sz w:val="56"/>
          <w:szCs w:val="56"/>
        </w:rPr>
        <w:t>⬇</w:t>
      </w:r>
    </w:p>
    <w:p w:rsidR="00035070" w:rsidRDefault="00DA0758">
      <w:pPr>
        <w:jc w:val="both"/>
        <w:rPr>
          <w:rFonts w:ascii="Cambria Math" w:hAnsi="Cambria Math" w:cs="Cambria Math"/>
          <w:color w:val="000000"/>
          <w:sz w:val="56"/>
          <w:szCs w:val="56"/>
        </w:rPr>
      </w:pPr>
      <w:r>
        <w:rPr>
          <w:rFonts w:ascii="Cambria Math" w:hAnsi="Cambria Math" w:cs="Cambria Math"/>
          <w:noProof/>
          <w:color w:val="000000"/>
          <w:sz w:val="56"/>
          <w:szCs w:val="56"/>
          <w:lang w:val="en-US"/>
        </w:rPr>
        <w:drawing>
          <wp:inline distT="0" distB="0" distL="0" distR="0">
            <wp:extent cx="1546860" cy="737898"/>
            <wp:effectExtent l="0" t="0" r="0" b="5080"/>
            <wp:docPr id="1028"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1"/>
                    <pic:cNvPicPr/>
                  </pic:nvPicPr>
                  <pic:blipFill>
                    <a:blip r:embed="rId12" cstate="print"/>
                    <a:srcRect/>
                    <a:stretch/>
                  </pic:blipFill>
                  <pic:spPr>
                    <a:xfrm>
                      <a:off x="0" y="0"/>
                      <a:ext cx="1546860" cy="737898"/>
                    </a:xfrm>
                    <a:prstGeom prst="rect">
                      <a:avLst/>
                    </a:prstGeom>
                  </pic:spPr>
                </pic:pic>
              </a:graphicData>
            </a:graphic>
          </wp:inline>
        </w:drawing>
      </w:r>
    </w:p>
    <w:p w:rsidR="00035070" w:rsidRDefault="00DA0758">
      <w:pPr>
        <w:jc w:val="both"/>
        <w:rPr>
          <w:rFonts w:ascii="Cambria Math" w:hAnsi="Cambria Math" w:cs="Cambria Math"/>
          <w:color w:val="000000"/>
          <w:sz w:val="56"/>
          <w:szCs w:val="56"/>
        </w:rPr>
      </w:pPr>
      <w:r>
        <w:rPr>
          <w:rFonts w:ascii="Cambria Math" w:hAnsi="Cambria Math" w:cs="Cambria Math"/>
          <w:color w:val="000000"/>
          <w:sz w:val="56"/>
          <w:szCs w:val="56"/>
        </w:rPr>
        <w:t>⬇</w:t>
      </w:r>
    </w:p>
    <w:p w:rsidR="00035070" w:rsidRDefault="00DA0758">
      <w:pPr>
        <w:jc w:val="both"/>
        <w:rPr>
          <w:rFonts w:ascii="Times New Roman" w:hAnsi="Times New Roman" w:cs="Times New Roman"/>
          <w:color w:val="000000"/>
          <w:sz w:val="44"/>
          <w:szCs w:val="44"/>
        </w:rPr>
      </w:pPr>
      <w:r>
        <w:rPr>
          <w:rFonts w:ascii="Times New Roman" w:hAnsi="Times New Roman" w:cs="Times New Roman"/>
          <w:noProof/>
          <w:color w:val="000000"/>
          <w:sz w:val="24"/>
          <w:szCs w:val="24"/>
          <w:lang w:val="en-US"/>
        </w:rPr>
        <w:drawing>
          <wp:inline distT="0" distB="0" distL="0" distR="0">
            <wp:extent cx="2042160" cy="1061577"/>
            <wp:effectExtent l="0" t="0" r="0" b="5715"/>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srcRect/>
                    <a:stretch/>
                  </pic:blipFill>
                  <pic:spPr>
                    <a:xfrm>
                      <a:off x="0" y="0"/>
                      <a:ext cx="2042160" cy="1061577"/>
                    </a:xfrm>
                    <a:prstGeom prst="rect">
                      <a:avLst/>
                    </a:prstGeom>
                  </pic:spPr>
                </pic:pic>
              </a:graphicData>
            </a:graphic>
          </wp:inline>
        </w:drawing>
      </w:r>
    </w:p>
    <w:p w:rsidR="00035070" w:rsidRDefault="00DA0758">
      <w:pPr>
        <w:jc w:val="both"/>
        <w:rPr>
          <w:rFonts w:ascii="Times New Roman" w:hAnsi="Times New Roman" w:cs="Times New Roman"/>
          <w:color w:val="000000"/>
          <w:sz w:val="44"/>
          <w:szCs w:val="44"/>
        </w:rPr>
      </w:pPr>
      <w:r>
        <w:rPr>
          <w:rFonts w:ascii="Cambria Math" w:hAnsi="Cambria Math" w:cs="Cambria Math"/>
          <w:color w:val="000000"/>
          <w:sz w:val="56"/>
          <w:szCs w:val="56"/>
        </w:rPr>
        <w:t>⬇</w:t>
      </w:r>
    </w:p>
    <w:p w:rsidR="00035070" w:rsidRDefault="00DA0758">
      <w:pPr>
        <w:jc w:val="both"/>
        <w:rPr>
          <w:rFonts w:ascii="Times New Roman" w:hAnsi="Times New Roman" w:cs="Times New Roman"/>
          <w:color w:val="000000"/>
          <w:sz w:val="44"/>
          <w:szCs w:val="44"/>
        </w:rPr>
      </w:pPr>
      <w:r>
        <w:rPr>
          <w:rFonts w:ascii="Segoe UI Symbol" w:hAnsi="Segoe UI Symbol" w:cs="Segoe UI Symbol"/>
          <w:noProof/>
          <w:color w:val="000000"/>
          <w:sz w:val="60"/>
          <w:szCs w:val="60"/>
          <w:lang w:val="en-US"/>
        </w:rPr>
        <w:drawing>
          <wp:inline distT="0" distB="0" distL="0" distR="0">
            <wp:extent cx="1485900" cy="884292"/>
            <wp:effectExtent l="0" t="0" r="0" b="0"/>
            <wp:docPr id="10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srcRect/>
                    <a:stretch/>
                  </pic:blipFill>
                  <pic:spPr>
                    <a:xfrm>
                      <a:off x="0" y="0"/>
                      <a:ext cx="1485900" cy="884292"/>
                    </a:xfrm>
                    <a:prstGeom prst="rect">
                      <a:avLst/>
                    </a:prstGeom>
                  </pic:spPr>
                </pic:pic>
              </a:graphicData>
            </a:graphic>
          </wp:inline>
        </w:drawing>
      </w:r>
    </w:p>
    <w:p w:rsidR="00035070" w:rsidRDefault="00DA0758">
      <w:pPr>
        <w:jc w:val="both"/>
        <w:rPr>
          <w:rFonts w:ascii="Times New Roman" w:hAnsi="Times New Roman" w:cs="Times New Roman"/>
          <w:color w:val="000000"/>
          <w:sz w:val="44"/>
          <w:szCs w:val="44"/>
        </w:rPr>
      </w:pPr>
      <w:r>
        <w:rPr>
          <w:rFonts w:ascii="Cambria Math" w:hAnsi="Cambria Math" w:cs="Cambria Math"/>
          <w:color w:val="000000"/>
          <w:sz w:val="56"/>
          <w:szCs w:val="56"/>
        </w:rPr>
        <w:t>⬇</w:t>
      </w:r>
    </w:p>
    <w:p w:rsidR="00035070" w:rsidRDefault="00DA0758">
      <w:pPr>
        <w:jc w:val="both"/>
        <w:rPr>
          <w:rFonts w:ascii="Times New Roman" w:hAnsi="Times New Roman" w:cs="Times New Roman"/>
          <w:color w:val="000000"/>
          <w:sz w:val="44"/>
          <w:szCs w:val="44"/>
        </w:rPr>
      </w:pPr>
      <w:r>
        <w:rPr>
          <w:rFonts w:ascii="Times New Roman" w:hAnsi="Times New Roman" w:cs="Times New Roman"/>
          <w:noProof/>
          <w:color w:val="000000"/>
          <w:sz w:val="44"/>
          <w:szCs w:val="44"/>
          <w:lang w:val="en-US"/>
        </w:rPr>
        <w:drawing>
          <wp:inline distT="0" distB="0" distL="0" distR="0">
            <wp:extent cx="3189596" cy="1424937"/>
            <wp:effectExtent l="0" t="0" r="0" b="4445"/>
            <wp:docPr id="103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pic:cNvPicPr/>
                  </pic:nvPicPr>
                  <pic:blipFill>
                    <a:blip r:embed="rId15" cstate="print"/>
                    <a:srcRect/>
                    <a:stretch/>
                  </pic:blipFill>
                  <pic:spPr>
                    <a:xfrm>
                      <a:off x="0" y="0"/>
                      <a:ext cx="3189596" cy="1424937"/>
                    </a:xfrm>
                    <a:prstGeom prst="rect">
                      <a:avLst/>
                    </a:prstGeom>
                  </pic:spPr>
                </pic:pic>
              </a:graphicData>
            </a:graphic>
          </wp:inline>
        </w:drawing>
      </w:r>
    </w:p>
    <w:p w:rsidR="00035070" w:rsidRDefault="00DA0758">
      <w:pPr>
        <w:jc w:val="both"/>
        <w:rPr>
          <w:rFonts w:ascii="Times New Roman" w:hAnsi="Times New Roman" w:cs="Times New Roman"/>
          <w:color w:val="000000"/>
          <w:sz w:val="44"/>
          <w:szCs w:val="44"/>
        </w:rPr>
      </w:pPr>
      <w:r>
        <w:rPr>
          <w:rFonts w:ascii="Cambria Math" w:hAnsi="Cambria Math" w:cs="Cambria Math"/>
          <w:color w:val="000000"/>
          <w:sz w:val="56"/>
          <w:szCs w:val="56"/>
        </w:rPr>
        <w:t>⬇</w:t>
      </w:r>
    </w:p>
    <w:p w:rsidR="00035070" w:rsidRDefault="00DA0758">
      <w:pPr>
        <w:jc w:val="both"/>
        <w:rPr>
          <w:rFonts w:ascii="Times New Roman" w:hAnsi="Times New Roman" w:cs="Times New Roman"/>
          <w:color w:val="000000"/>
          <w:sz w:val="24"/>
          <w:szCs w:val="24"/>
        </w:rPr>
      </w:pPr>
      <w:r>
        <w:rPr>
          <w:rFonts w:ascii="Times New Roman" w:hAnsi="Times New Roman" w:cs="Times New Roman"/>
          <w:noProof/>
          <w:color w:val="000000"/>
          <w:sz w:val="44"/>
          <w:szCs w:val="44"/>
          <w:lang w:val="en-US"/>
        </w:rPr>
        <w:lastRenderedPageBreak/>
        <w:drawing>
          <wp:inline distT="0" distB="0" distL="0" distR="0">
            <wp:extent cx="2359752" cy="1440180"/>
            <wp:effectExtent l="0" t="0" r="2540" b="7620"/>
            <wp:docPr id="103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2"/>
                    <pic:cNvPicPr/>
                  </pic:nvPicPr>
                  <pic:blipFill>
                    <a:blip r:embed="rId16" cstate="print"/>
                    <a:srcRect/>
                    <a:stretch/>
                  </pic:blipFill>
                  <pic:spPr>
                    <a:xfrm>
                      <a:off x="0" y="0"/>
                      <a:ext cx="2359752" cy="1440180"/>
                    </a:xfrm>
                    <a:prstGeom prst="rect">
                      <a:avLst/>
                    </a:prstGeom>
                  </pic:spPr>
                </pic:pic>
              </a:graphicData>
            </a:graphic>
          </wp:inline>
        </w:drawing>
      </w:r>
    </w:p>
    <w:p w:rsidR="00035070" w:rsidRDefault="00035070">
      <w:pPr>
        <w:jc w:val="both"/>
        <w:rPr>
          <w:rFonts w:ascii="Times New Roman" w:hAnsi="Times New Roman" w:cs="Times New Roman"/>
          <w:color w:val="000000"/>
          <w:sz w:val="24"/>
          <w:szCs w:val="24"/>
        </w:rPr>
      </w:pPr>
    </w:p>
    <w:p w:rsidR="00035070" w:rsidRDefault="00DA0758">
      <w:pPr>
        <w:numPr>
          <w:ilvl w:val="0"/>
          <w:numId w:val="5"/>
        </w:num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T cells: </w:t>
      </w:r>
      <w:r>
        <w:rPr>
          <w:rFonts w:ascii="Times New Roman" w:hAnsi="Times New Roman" w:cs="Times New Roman"/>
          <w:color w:val="000000"/>
          <w:sz w:val="24"/>
          <w:szCs w:val="24"/>
        </w:rPr>
        <w:t>T cells are collected through apheresis.</w:t>
      </w:r>
    </w:p>
    <w:p w:rsidR="00035070" w:rsidRDefault="00DA0758">
      <w:pPr>
        <w:numPr>
          <w:ilvl w:val="0"/>
          <w:numId w:val="5"/>
        </w:num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Separation of T cells: </w:t>
      </w:r>
      <w:r>
        <w:rPr>
          <w:rFonts w:ascii="Times New Roman" w:hAnsi="Times New Roman" w:cs="Times New Roman"/>
          <w:color w:val="000000"/>
          <w:sz w:val="24"/>
          <w:szCs w:val="24"/>
        </w:rPr>
        <w:t>This easy, noninvasive procedure returns the remaining blood to the body after removing the T cells from it (similar to donating blood).</w:t>
      </w:r>
    </w:p>
    <w:p w:rsidR="00035070" w:rsidRDefault="00DA0758">
      <w:pPr>
        <w:numPr>
          <w:ilvl w:val="0"/>
          <w:numId w:val="5"/>
        </w:num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Supercharging T cells:</w:t>
      </w:r>
      <w:r>
        <w:rPr>
          <w:rFonts w:ascii="Times New Roman" w:hAnsi="Times New Roman" w:cs="Times New Roman"/>
          <w:color w:val="000000"/>
          <w:sz w:val="24"/>
          <w:szCs w:val="24"/>
        </w:rPr>
        <w:t> On the surface of T cells, researchers introduce a protein known as a chimeric antigen receptor (CAR), which resembles an antibody.</w:t>
      </w:r>
    </w:p>
    <w:p w:rsidR="00035070" w:rsidRDefault="00DA0758">
      <w:pPr>
        <w:numPr>
          <w:ilvl w:val="0"/>
          <w:numId w:val="5"/>
        </w:num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Multiplying the CAR-T cells:</w:t>
      </w:r>
      <w:r>
        <w:rPr>
          <w:rFonts w:ascii="Times New Roman" w:hAnsi="Times New Roman" w:cs="Times New Roman"/>
          <w:color w:val="000000"/>
          <w:sz w:val="24"/>
          <w:szCs w:val="24"/>
        </w:rPr>
        <w:t xml:space="preserve"> In the laboratory, CAR-T cells proliferate until they reach millions. After that, the cells are frozen and sent back to the patient’s hospital for treatment.</w:t>
      </w:r>
    </w:p>
    <w:p w:rsidR="00035070" w:rsidRDefault="00DA0758">
      <w:pPr>
        <w:numPr>
          <w:ilvl w:val="0"/>
          <w:numId w:val="5"/>
        </w:num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Infusion of CAR-T cells: </w:t>
      </w:r>
      <w:r>
        <w:rPr>
          <w:rFonts w:ascii="Times New Roman" w:hAnsi="Times New Roman" w:cs="Times New Roman"/>
          <w:color w:val="000000"/>
          <w:sz w:val="24"/>
          <w:szCs w:val="24"/>
        </w:rPr>
        <w:t>Most patients receive chemotherapy for a brief period of time. CAR-T cells continue to proliferate after being returned to the patient’s circulation. As “attacker” cells, they now locate, identify, and eliminate cancer cells that have the specific antigen on their surface.</w:t>
      </w:r>
    </w:p>
    <w:p w:rsidR="00035070" w:rsidRDefault="00DA0758">
      <w:pPr>
        <w:numPr>
          <w:ilvl w:val="0"/>
          <w:numId w:val="5"/>
        </w:num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After CAR-T-cell therapy</w:t>
      </w:r>
      <w:r>
        <w:rPr>
          <w:rFonts w:ascii="Times New Roman" w:hAnsi="Times New Roman" w:cs="Times New Roman"/>
          <w:color w:val="000000"/>
          <w:sz w:val="24"/>
          <w:szCs w:val="24"/>
        </w:rPr>
        <w:t>, to monitor and treat side effects, including possible adverse events, patients remain in the hospital for at least two weeks. Long-term remission can be achieved with CAR-T cells, which can remain active in the body and protect patients against cancer recurrence</w:t>
      </w:r>
      <w:r w:rsidR="004C7B49">
        <w:rPr>
          <w:rFonts w:ascii="Times New Roman" w:hAnsi="Times New Roman" w:cs="Times New Roman"/>
          <w:color w:val="000000"/>
          <w:sz w:val="24"/>
          <w:szCs w:val="24"/>
        </w:rPr>
        <w:t xml:space="preserve"> </w:t>
      </w:r>
      <w:r w:rsidR="004C7B49" w:rsidRPr="004C7B49">
        <w:rPr>
          <w:rFonts w:ascii="Times New Roman" w:hAnsi="Times New Roman" w:cs="Times New Roman"/>
          <w:b/>
          <w:color w:val="00B050"/>
          <w:sz w:val="24"/>
          <w:szCs w:val="24"/>
        </w:rPr>
        <w:t>as shown in figure 2</w:t>
      </w:r>
      <w:r>
        <w:rPr>
          <w:rFonts w:ascii="Times New Roman" w:hAnsi="Times New Roman" w:cs="Times New Roman"/>
          <w:color w:val="000000"/>
          <w:sz w:val="24"/>
          <w:szCs w:val="24"/>
        </w:rPr>
        <w:t xml:space="preserve"> (27).</w:t>
      </w:r>
    </w:p>
    <w:p w:rsidR="00035070" w:rsidRDefault="00035070">
      <w:pPr>
        <w:jc w:val="both"/>
        <w:rPr>
          <w:rFonts w:ascii="Times New Roman" w:hAnsi="Times New Roman" w:cs="Times New Roman"/>
          <w:color w:val="000000"/>
          <w:sz w:val="24"/>
          <w:szCs w:val="24"/>
        </w:rPr>
      </w:pPr>
    </w:p>
    <w:p w:rsidR="00035070" w:rsidRDefault="00035070">
      <w:pPr>
        <w:jc w:val="both"/>
        <w:rPr>
          <w:rFonts w:ascii="Times New Roman" w:hAnsi="Times New Roman" w:cs="Times New Roman"/>
          <w:color w:val="000000"/>
          <w:sz w:val="24"/>
          <w:szCs w:val="24"/>
        </w:rPr>
      </w:pPr>
    </w:p>
    <w:p w:rsidR="00035070" w:rsidRDefault="00DA075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GENERATION OF A CHIMERIC ANTIGEN RECEPTOR:</w:t>
      </w:r>
    </w:p>
    <w:p w:rsidR="00035070" w:rsidRDefault="00DA0758">
      <w:pPr>
        <w:jc w:val="both"/>
        <w:rPr>
          <w:rFonts w:ascii="Times New Roman" w:hAnsi="Times New Roman" w:cs="Times New Roman"/>
          <w:color w:val="000000"/>
          <w:sz w:val="24"/>
          <w:szCs w:val="24"/>
        </w:rPr>
      </w:pPr>
      <w:r>
        <w:rPr>
          <w:rFonts w:ascii="Times New Roman" w:hAnsi="Times New Roman" w:cs="Times New Roman"/>
          <w:color w:val="000000"/>
          <w:sz w:val="24"/>
          <w:szCs w:val="24"/>
        </w:rPr>
        <w:t>Targeted cancer immunotherapy is made possible by chimeric antigen receptors (CARs), which are modified receptors that combine antigen recognition and T-cell activation capabilities (28). Since the early days of immunotherapy, the use of CAR-Tcells has evolved. CAR-T cells exist in four generations.</w:t>
      </w:r>
    </w:p>
    <w:p w:rsidR="00035070" w:rsidRDefault="00035070">
      <w:pPr>
        <w:jc w:val="both"/>
        <w:rPr>
          <w:rFonts w:ascii="Times New Roman" w:hAnsi="Times New Roman" w:cs="Times New Roman"/>
          <w:color w:val="000000"/>
          <w:sz w:val="24"/>
          <w:szCs w:val="24"/>
        </w:rPr>
      </w:pP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First generation: </w:t>
      </w:r>
      <w:r>
        <w:rPr>
          <w:rFonts w:ascii="Times New Roman" w:hAnsi="Times New Roman" w:cs="Times New Roman"/>
          <w:color w:val="000000"/>
          <w:sz w:val="24"/>
          <w:szCs w:val="24"/>
        </w:rPr>
        <w:t>The first generation consists of the basic structure of CD3-ζ, which is found in the endodomain, a major signal transmitter (29).Although first-generation CARs are effective at rerouting T-cell cytotoxicity, they are not able to sustain proliferation or survival (30).Another trial assessed CYAD-01, a first-generation NKG2D CAR-T-cell product, in patients with myelodysplastic syndrome and relapsed/refractory acute myeloid leukemia. The results showed good objective response rates, although they were transient (31).</w:t>
      </w: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Second generation: </w:t>
      </w:r>
      <w:r>
        <w:rPr>
          <w:rFonts w:ascii="Times New Roman" w:hAnsi="Times New Roman" w:cs="Times New Roman"/>
          <w:color w:val="000000"/>
          <w:sz w:val="24"/>
          <w:szCs w:val="24"/>
        </w:rPr>
        <w:t>Clinical results have improved with second-generation CARs that incorporate costimulatory domains such as CD28 or 4-1BB (32).Clinical outcomes with second-generation chimeric antigen receptors (CARs) in the treatment of B-cell malignancies have been impressive.These CARs include costimulatory and activating domains, usually CD28 or 4-1BB, which have a significant effect on T-cell persistence, differentiation, and function (33).</w:t>
      </w: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Third generation: </w:t>
      </w:r>
      <w:r>
        <w:rPr>
          <w:rFonts w:ascii="Times New Roman" w:hAnsi="Times New Roman" w:cs="Times New Roman"/>
          <w:color w:val="000000"/>
          <w:sz w:val="24"/>
          <w:szCs w:val="24"/>
        </w:rPr>
        <w:t>Third-generation CARs, which combine CD28 and 4-1BB, are designed to eliminate tumors quickly while maintaining their effectiveness over time.Third-generation CAR-T-cell early clinical trials have produced encouraging outcomes with good safety profiles(34). Third-generation CAR-T cells that target CD19 were used in a phase I/Iia trial for patients with leukemia and lymphoma. The trial revealed that the treatment was generally safe, had little toxicity, and that some patients experienced first full responses (32).In vitro and in vivo, third-generation lentiviral vector-transduced CAR-CD19 T cells are more effective than second-generation CAR-T cells in treating B-cell malignancies (35).</w:t>
      </w: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Fourth generation: </w:t>
      </w:r>
      <w:r>
        <w:rPr>
          <w:rFonts w:ascii="Times New Roman" w:hAnsi="Times New Roman" w:cs="Times New Roman"/>
          <w:color w:val="000000"/>
          <w:sz w:val="24"/>
          <w:szCs w:val="24"/>
        </w:rPr>
        <w:t>Adoptive cell therapy for cancer treatment has advanced with fourth-generation CAR-T cells, sometimes referred to as TRUCKs (T cells redirected for antigen-unrestricted cytokine-initiated killing) (36). When CAR signalling occurs, these cells are programmed to generate transgenic cytokines, which promote inflammation in solid tumors. For this purpose, several cytokines, such as IL-7, IL-12, IL-15, IL-18, and IL-23, are being investigated (37).The production of cytokines aids in overcoming obstacles such as the suppressive tumor microenvironment, low potency, and antigenic heterogeneity.To increase their antitumour potential, fourth-generation CAR-T cells can be equipped with additional proteins, such as membrane receptors, antibodies, and enzymes, in addition to cytokines (38).These advancements are anticipated to broaden the use of CAR-T-cell therapy beyond hematological malignancies to solid tumors in conjunction with advancements in CAR-T-cell structure and manufacturing technology (39).</w:t>
      </w:r>
    </w:p>
    <w:p w:rsidR="00035070" w:rsidRDefault="00035070">
      <w:pPr>
        <w:jc w:val="both"/>
        <w:rPr>
          <w:rFonts w:ascii="Times New Roman" w:hAnsi="Times New Roman" w:cs="Times New Roman"/>
          <w:b/>
          <w:bCs/>
          <w:color w:val="000000"/>
          <w:sz w:val="24"/>
          <w:szCs w:val="24"/>
        </w:rPr>
      </w:pPr>
    </w:p>
    <w:p w:rsidR="00035070" w:rsidRDefault="00DA075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CAR T CELL IN PAEDIATRIC ACUTE LYMPHOBLATIC LEUKEMIA:</w:t>
      </w:r>
    </w:p>
    <w:p w:rsidR="00035070" w:rsidRDefault="00DA0758">
      <w:pPr>
        <w:jc w:val="both"/>
        <w:rPr>
          <w:rFonts w:ascii="Times New Roman" w:hAnsi="Times New Roman" w:cs="Times New Roman"/>
          <w:color w:val="000000"/>
          <w:sz w:val="24"/>
          <w:szCs w:val="24"/>
        </w:rPr>
      </w:pPr>
      <w:r>
        <w:rPr>
          <w:rFonts w:ascii="Times New Roman" w:hAnsi="Times New Roman" w:cs="Times New Roman"/>
          <w:color w:val="000000"/>
          <w:sz w:val="24"/>
          <w:szCs w:val="24"/>
        </w:rPr>
        <w:t>Although newly diagnosed individuals with B-ALL have high cure rates, treatments that help children with relapsed or refractory B-ALL (40).Patients between the ages of 0 and 30 years have shown excellent complete remission rates of 82% with this therapy (41).Children and young adults under the age of 26 have demonstrated controllable safety profiles and long-lasting responses when given CD19-specific CAR-T cells (40). However, there are still issues, such as relapses that are both antigen-positive and antigen-negative, as well as toxicities linked to treatment, such as neurotoxicity and cytokine release syndrome (42).In vivo CAR activity is indicated by long-term B-cell aplasia, which is linked to longer remission but also an increased risk of antigen-negative recurrence (43).Tisagenlecleucel, a type of CAR-T-cell therapy, has demonstrated encouraging outcomes in the treatment of pediatric and adolescent patients with relapsed or refractory B-ALL. (44)</w:t>
      </w:r>
    </w:p>
    <w:p w:rsidR="00035070" w:rsidRDefault="00035070">
      <w:pPr>
        <w:jc w:val="both"/>
        <w:rPr>
          <w:rFonts w:ascii="Times New Roman" w:hAnsi="Times New Roman" w:cs="Times New Roman"/>
          <w:color w:val="000000"/>
          <w:sz w:val="24"/>
          <w:szCs w:val="24"/>
        </w:rPr>
      </w:pPr>
    </w:p>
    <w:p w:rsidR="00035070" w:rsidRDefault="00DA075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ONGOING CLINICAL TRIAL:</w:t>
      </w:r>
    </w:p>
    <w:p w:rsidR="00035070" w:rsidRDefault="00DA0758">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Tisagenlecleucel, the first chimeric antigen receptor T-cell therapy, was approved by the FDA to treat B-cell precursor acute lymphoblastic leukemia patients up to 25 years of age who have not responded to conventional therapy or who have experienced at least two relapses (45).The FDA authorized the use of axicabtageneciloleucel, a chimeric antigen receptor for T-cell therapy, which is the second best way to treat blood malignancies in the U.S. For people with certain non-Hodgkin lymphomas who have tried at least two prior therapies, therapy is recommended (46).Axicabtageneciloleucel and tisanecleucel have been approved for the treatment of hematological malignancies because they areencouraging phase I and II clinical study outcomes (47). Owing to their exceptional response rates and longevity in high-risk patients, these treatments are now considered standard care for patients who have not responded to several prior treatments.Nevertheless, there are still issues, such as toxicity, neurotoxicity and cytokine release syndrome.The goal of ongoing research is to investigate the causes underlying therapy failure and create solutions for these problems (48).</w:t>
      </w:r>
    </w:p>
    <w:p w:rsidR="00035070" w:rsidRDefault="00DA075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Side effects:</w:t>
      </w: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Tisagenlecleucel: </w:t>
      </w:r>
      <w:r>
        <w:rPr>
          <w:rFonts w:ascii="Times New Roman" w:hAnsi="Times New Roman" w:cs="Times New Roman"/>
          <w:color w:val="000000"/>
          <w:sz w:val="24"/>
          <w:szCs w:val="24"/>
        </w:rPr>
        <w:t>Tisagenlecleucel is associated with specific toxicities, mainly immune effector cell-associated neurotoxicity syndrome (ICANS) and cytokine release syndrome (CRS) (49).ICANS symptoms include seizures, encephalopathy, and cognitive impairments, whereas CRS symptoms include fever, hypotension, and organ malfunction (50). Additionally, it results in coagulopathy, tumor invasion-associated neurotoxicity (TIAN), immune effector cell-associated hematotoxicity (ICAHT), infections, and immune effector cell-associated HLH-like syndrome (IECHS) (51).Hypogammaglobulinemia and cytopenias are additional possible adverse effects (52). Clinical variables can influence the severity of toxicity, and in rare instances, severe CRS might develop into hemophagocytic lymphohistiocytosis.First-line therapies for these toxicities usually include corticosteroids and tocilizumab(53).</w:t>
      </w: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Axicabtageneciloleucel:</w:t>
      </w:r>
      <w:r>
        <w:rPr>
          <w:rFonts w:ascii="Times New Roman" w:hAnsi="Times New Roman" w:cs="Times New Roman"/>
          <w:color w:val="000000"/>
          <w:sz w:val="24"/>
          <w:szCs w:val="24"/>
        </w:rPr>
        <w:t>However, there are serious adverse effects associated with this agent, namely, neurotoxicity and cytokine release syndrome.Encephalopathy, headaches, and tremors are among the most commonly reported symptoms of neurological adverse events and can be severe and prevalent(</w:t>
      </w:r>
      <w:r>
        <w:rPr>
          <w:rFonts w:ascii="Times New Roman" w:hAnsi="Times New Roman" w:cs="Times New Roman"/>
          <w:color w:val="000000"/>
          <w:sz w:val="24"/>
          <w:szCs w:val="24"/>
          <w:u w:val="single"/>
        </w:rPr>
        <w:t>54</w:t>
      </w:r>
      <w:r>
        <w:rPr>
          <w:rFonts w:ascii="Times New Roman" w:hAnsi="Times New Roman" w:cs="Times New Roman"/>
          <w:color w:val="000000"/>
          <w:sz w:val="24"/>
          <w:szCs w:val="24"/>
        </w:rPr>
        <w:t>). According to real-world pharmacovigilance data, 25.6% of reported adverse events are related to nervous system problems, suggesting that axi-cel may be more neurotoxic than other CAR-T-cell treatments are (55).These potentially fatal adverse effects are also a result of immunological activation, which makes axi-cel effective (56).Axicabtageneciloleucel, a CAR-T-cell treatment, frequently causes neurotoxicity in 47% of patients, with 21% of those cases resulting in grade 3 or greater neurotoxicity (57).</w:t>
      </w:r>
    </w:p>
    <w:p w:rsidR="00035070" w:rsidRDefault="00DA075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Cost:</w:t>
      </w: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Tisagenlecleucel:</w:t>
      </w:r>
      <w:r>
        <w:rPr>
          <w:rFonts w:ascii="Times New Roman" w:hAnsi="Times New Roman" w:cs="Times New Roman"/>
          <w:color w:val="000000"/>
          <w:sz w:val="24"/>
          <w:szCs w:val="24"/>
        </w:rPr>
        <w:t> At a willingness-to-pay threshold of $150,000/QALY, it was shown to have a 32% chance of becoming cost-effective in Canada; this likelihood could increase if long-term cure rates surpass 40% or if there is a 49% price reduction (58). The entire cost of administering tisagenlecleucel, including hospitalization and adverse event care, was projected to be $437,927 for the first two months after infusion from the standpoint of a US hospital (59). In contrast to traditional salvage therapy, which only achieves complete responses in 7% of individuals with relapsed or recurrent lymphoma, CAR-T-cell therapies, such as tisagenlecleucel, provide substantial therapeutic benefits despite their high cost (60).</w:t>
      </w: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Axicabtageneciloleucel:</w:t>
      </w:r>
      <w:r>
        <w:rPr>
          <w:rFonts w:ascii="Times New Roman" w:hAnsi="Times New Roman" w:cs="Times New Roman"/>
          <w:color w:val="000000"/>
          <w:sz w:val="24"/>
          <w:szCs w:val="24"/>
        </w:rPr>
        <w:t xml:space="preserve"> With estimates ranging from $58,146 to $1,615,000 per quality-adjusted life year (QALY) gained, cost-effectiveness assessments have produced inconsistent findings (61). Axi-cel's cost-effectiveness varies by nation and seems to be strongly influenced by long-term survival results. With an incremental cost-effectiveness ratio (ICER) of $142,326.94/QALY, below the $150,000 barrier, axi-cel was determined to be a cost-effective second-line treatment for diffuse large B-cell lymphoma in the United States (62). With full response rates of 40–54% versus 7%, axi-cel has demonstrated improved efficacy over salvage chemotherapy, despite its high cost (60).</w:t>
      </w:r>
    </w:p>
    <w:p w:rsidR="00035070" w:rsidRDefault="00035070">
      <w:pPr>
        <w:jc w:val="both"/>
        <w:rPr>
          <w:rFonts w:ascii="Times New Roman" w:hAnsi="Times New Roman" w:cs="Times New Roman"/>
          <w:color w:val="000000"/>
          <w:sz w:val="24"/>
          <w:szCs w:val="24"/>
        </w:rPr>
      </w:pPr>
    </w:p>
    <w:p w:rsidR="00035070" w:rsidRDefault="00035070">
      <w:pPr>
        <w:jc w:val="both"/>
        <w:rPr>
          <w:rFonts w:ascii="Times New Roman" w:hAnsi="Times New Roman" w:cs="Times New Roman"/>
          <w:color w:val="000000"/>
          <w:sz w:val="24"/>
          <w:szCs w:val="24"/>
        </w:rPr>
      </w:pPr>
    </w:p>
    <w:p w:rsidR="00035070" w:rsidRDefault="00DA075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BEACON OF HOPE – FUTURE DIRECTION </w:t>
      </w:r>
      <w:r>
        <w:rPr>
          <w:rFonts w:ascii="Times New Roman" w:hAnsi="Times New Roman" w:cs="Times New Roman"/>
          <w:b/>
          <w:bCs/>
          <w:sz w:val="24"/>
          <w:szCs w:val="24"/>
        </w:rPr>
        <w:t>FROM BREAKTHROUGHS TO ONGOING CHALLENGES</w:t>
      </w:r>
    </w:p>
    <w:p w:rsidR="00035070" w:rsidRDefault="00DA075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1.Proactive Toxicity Management:</w:t>
      </w:r>
    </w:p>
    <w:p w:rsidR="00035070" w:rsidRDefault="00DA0758">
      <w:pPr>
        <w:pStyle w:val="ListParagraph"/>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Future directions include </w:t>
      </w:r>
      <w:r>
        <w:rPr>
          <w:rFonts w:ascii="Times New Roman" w:hAnsi="Times New Roman" w:cs="Times New Roman"/>
          <w:b/>
          <w:bCs/>
          <w:color w:val="000000"/>
          <w:sz w:val="24"/>
          <w:szCs w:val="24"/>
        </w:rPr>
        <w:t>biologic prophylactics</w:t>
      </w:r>
      <w:r>
        <w:rPr>
          <w:rFonts w:ascii="Times New Roman" w:hAnsi="Times New Roman" w:cs="Times New Roman"/>
          <w:color w:val="000000"/>
          <w:sz w:val="24"/>
          <w:szCs w:val="24"/>
        </w:rPr>
        <w:t xml:space="preserve"> to prevent toxicity </w:t>
      </w:r>
      <w:r>
        <w:rPr>
          <w:rFonts w:ascii="Times New Roman" w:hAnsi="Times New Roman" w:cs="Times New Roman"/>
          <w:b/>
          <w:bCs/>
          <w:color w:val="000000"/>
          <w:sz w:val="24"/>
          <w:szCs w:val="24"/>
        </w:rPr>
        <w:t>before it occurs</w:t>
      </w:r>
      <w:r>
        <w:rPr>
          <w:rFonts w:ascii="Times New Roman" w:hAnsi="Times New Roman" w:cs="Times New Roman"/>
          <w:color w:val="000000"/>
          <w:sz w:val="24"/>
          <w:szCs w:val="24"/>
        </w:rPr>
        <w:t>.</w:t>
      </w: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Siltuximab (anti-IL-6) for CRS prevention: </w:t>
      </w:r>
      <w:r>
        <w:rPr>
          <w:rFonts w:ascii="Times New Roman" w:hAnsi="Times New Roman" w:cs="Times New Roman"/>
          <w:color w:val="000000"/>
          <w:sz w:val="24"/>
          <w:szCs w:val="24"/>
        </w:rPr>
        <w:t>Siltuximab has been investigated in recent research as a potential substitute for tocilizumab in the treatment of immune effector cell-associated neurotoxicity syndrome (ICANS) and cytokine release syndrome (CRS) in CAR-T-cell therapy. Although the efficacy of siltuximabfor ICANS is only moderate (45%), a phase 2 trial revealed that it has a high response rate (79%) and quickly resolved CRS (63). The objective response rates with siltuximab were 75% for CRS patients and 60% for ICANS patients, according to a multicenter retrospective investigation (64). Siltuximabshows comparable effectiveness in treating CRS to tocilizumab, but it decreases the incidence and infection rates of ICANS (65). As a first-line treatment for CRS, siltuximab was also determined to be safe and practical, requiring similar amounts of hospital resources as protocols based on tocilizumab (66).</w:t>
      </w:r>
    </w:p>
    <w:p w:rsidR="00035070" w:rsidRDefault="00035070">
      <w:pPr>
        <w:jc w:val="both"/>
        <w:rPr>
          <w:rFonts w:ascii="Times New Roman" w:hAnsi="Times New Roman" w:cs="Times New Roman"/>
          <w:b/>
          <w:bCs/>
          <w:color w:val="000000"/>
          <w:sz w:val="24"/>
          <w:szCs w:val="24"/>
        </w:rPr>
      </w:pPr>
    </w:p>
    <w:p w:rsidR="00035070" w:rsidRDefault="00035070">
      <w:pPr>
        <w:jc w:val="both"/>
        <w:rPr>
          <w:rFonts w:ascii="Times New Roman" w:hAnsi="Times New Roman" w:cs="Times New Roman"/>
          <w:b/>
          <w:bCs/>
          <w:color w:val="000000"/>
          <w:sz w:val="24"/>
          <w:szCs w:val="24"/>
        </w:rPr>
      </w:pP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Anakinra (IL-1 receptor antagonist) for CRS and ICANS control:</w:t>
      </w:r>
      <w:r>
        <w:rPr>
          <w:rFonts w:ascii="Times New Roman" w:hAnsi="Times New Roman" w:cs="Times New Roman"/>
          <w:color w:val="000000"/>
          <w:sz w:val="24"/>
          <w:szCs w:val="24"/>
        </w:rPr>
        <w:t>Anakinra, an IL-1 receptor antagonist, has been investigated in recent research as a means of treating immunological effector cell-associated neurotoxicity syndrome (ICANS) and cytokine release syndrome (CRS) in CAR-T-cell therapy. Higher dosages of anakinra are associated with faster resolution and a decreased treatment-related mortality rate, suggesting that it may be useful in treating refractory CRS and ICANS. Prophylactic use of anakinra during lisocabtagenemaraleucel treatment was associated with a reduced incidence of CRS compared with that in a real-world cohort, as well as good tolerability and retained antitumour activity (67). Early anakinra therapy for individuals at risk of severe ICANS may help lower the incidence of the condition and the need for corticosteroids, according to a phase II trial (68).Prophylactic administration of anakinra on day 0 of CAR-T-cell therapy was associated with better CRS and ICANS outcomes, according to another study (69). Anakinra may be a potential treatment for CAR-T-cell-related toxicity, according to these data.</w:t>
      </w:r>
    </w:p>
    <w:p w:rsidR="00035070" w:rsidRDefault="00035070">
      <w:pPr>
        <w:jc w:val="both"/>
        <w:rPr>
          <w:rFonts w:ascii="Times New Roman" w:hAnsi="Times New Roman" w:cs="Times New Roman"/>
          <w:color w:val="000000"/>
          <w:sz w:val="24"/>
          <w:szCs w:val="24"/>
        </w:rPr>
      </w:pPr>
    </w:p>
    <w:p w:rsidR="00035070" w:rsidRDefault="00035070">
      <w:pPr>
        <w:jc w:val="both"/>
        <w:rPr>
          <w:rFonts w:ascii="Times New Roman" w:hAnsi="Times New Roman" w:cs="Times New Roman"/>
          <w:b/>
          <w:bCs/>
          <w:color w:val="000000"/>
          <w:sz w:val="24"/>
          <w:szCs w:val="24"/>
        </w:rPr>
      </w:pP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Lenzilumab (anti-GM-CSF) reduces neuroinflammation.</w:t>
      </w:r>
      <w:r>
        <w:rPr>
          <w:rFonts w:ascii="Times New Roman" w:hAnsi="Times New Roman" w:cs="Times New Roman"/>
          <w:color w:val="000000"/>
          <w:sz w:val="24"/>
          <w:szCs w:val="24"/>
        </w:rPr>
        <w:t xml:space="preserve"> Beyond COVID-19, lenzilumab has shown promise in treating CAR-T-cell therapy-related neuroinflammation. Lenzilumab-mediated GM-CSF neutralization decreased myeloid and T-cell infiltration in the central nervous system in a xenograft model, eliminating cytokine release syndrome and reducing neuroinflammation without impairing CAR-T-cell activity (70). These results suggest thatlenzilumab may be useful in the treatment of a number of inflammatory diseases, especially those involving neuroinflammation.</w:t>
      </w:r>
    </w:p>
    <w:p w:rsidR="00035070" w:rsidRDefault="00035070">
      <w:pPr>
        <w:jc w:val="both"/>
        <w:rPr>
          <w:rFonts w:ascii="Times New Roman" w:hAnsi="Times New Roman" w:cs="Times New Roman"/>
          <w:color w:val="000000"/>
          <w:sz w:val="24"/>
          <w:szCs w:val="24"/>
        </w:rPr>
      </w:pPr>
    </w:p>
    <w:p w:rsidR="00035070" w:rsidRDefault="00035070">
      <w:pPr>
        <w:jc w:val="both"/>
        <w:rPr>
          <w:rFonts w:ascii="Times New Roman" w:hAnsi="Times New Roman" w:cs="Times New Roman"/>
          <w:color w:val="000000"/>
          <w:sz w:val="24"/>
          <w:szCs w:val="24"/>
        </w:rPr>
      </w:pPr>
    </w:p>
    <w:p w:rsidR="00035070" w:rsidRDefault="00DA0758">
      <w:pPr>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b/>
          <w:bCs/>
          <w:color w:val="000000"/>
          <w:sz w:val="24"/>
          <w:szCs w:val="24"/>
        </w:rPr>
        <w:t>Next-generation CAR designs</w:t>
      </w: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Dual-target CARs (e.g., CD19/CD22) to minimize relapse from antigen escape</w:t>
      </w:r>
      <w:r>
        <w:rPr>
          <w:rFonts w:ascii="Times New Roman" w:hAnsi="Times New Roman" w:cs="Times New Roman"/>
          <w:color w:val="000000"/>
          <w:sz w:val="24"/>
          <w:szCs w:val="24"/>
        </w:rPr>
        <w:t>: Targeting CD19 and CD22 with dual-target CAR-T-cell therapy has become a viable strategy to combat antigen escape in B-cell cancers. The possibility of creating bivalent CD19/CD22 CAR complexes that remain effective against both antigens has been shown in preclinical research (71). Dual-targeting approaches, such as the use of cotransduced CD19/22 CAR-T cells, have demonstrated positive safety profiles and effectiveness in patients with relapsed/refractory ALL according to clinical trials (72). To address issues related to low CD22 antigen density, new high-sensitivity CD22 CARs have been created (73). There are still issues, such as CAR-T-cell persistence and the prevalence of antigen-positive relapses, even though dual-targeting strategies have demonstrated promise in lowering antigen-negative relapses (74).</w:t>
      </w:r>
    </w:p>
    <w:p w:rsidR="00035070" w:rsidRDefault="00035070">
      <w:pPr>
        <w:jc w:val="both"/>
        <w:rPr>
          <w:rFonts w:ascii="Times New Roman" w:hAnsi="Times New Roman" w:cs="Times New Roman"/>
          <w:color w:val="000000"/>
          <w:sz w:val="24"/>
          <w:szCs w:val="24"/>
        </w:rPr>
      </w:pP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“Suicide switches” to deactivate CAR-T cells if toxicity becomes uncontrollable:</w:t>
      </w:r>
      <w:r>
        <w:rPr>
          <w:rFonts w:ascii="Times New Roman" w:hAnsi="Times New Roman" w:cs="Times New Roman"/>
          <w:color w:val="000000"/>
          <w:sz w:val="24"/>
          <w:szCs w:val="24"/>
        </w:rPr>
        <w:t xml:space="preserve"> In the event that toxicity becomes unmanageable, suicide switches are safety measures intended to disable chimeric antigen receptor (CAR)-T cells. One such method is the inducible caspase-9 (iCasp9) system, which enables CAR-T cells to undergo rapid death when a small-molecule dimerization agent is administered. Preclinical research and phase 1 clinical trials have demonstrated the effectiveness of this approach (75). To address concerns regarding toxicity, including cytokine release syndrome and on-target off-tumor consequences, these safety mechanisms are essential for striking a balance between the possibility of uncontrolled activation and efficient T-cell activation. On-switch CARs, inhibitory CARs, and synthetic Notch receptors are further safety measures (76).In vitro and in animal models, the combination of a CD20CAR with iCasp9 and a shortened CD19 selectable marker has shown encouraging results, enabling effective elimination of transduced Tcells when needed (77).</w:t>
      </w:r>
    </w:p>
    <w:p w:rsidR="00035070" w:rsidRDefault="00035070">
      <w:pPr>
        <w:jc w:val="both"/>
        <w:rPr>
          <w:rFonts w:ascii="Times New Roman" w:hAnsi="Times New Roman" w:cs="Times New Roman"/>
          <w:color w:val="000000"/>
          <w:sz w:val="24"/>
          <w:szCs w:val="24"/>
        </w:rPr>
      </w:pPr>
    </w:p>
    <w:p w:rsidR="00035070" w:rsidRDefault="00DA0758">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Armored CARs with controlled cytokine signalling to fine-tune immune responses: </w:t>
      </w:r>
      <w:r>
        <w:rPr>
          <w:rFonts w:ascii="Times New Roman" w:hAnsi="Times New Roman" w:cs="Times New Roman"/>
          <w:color w:val="000000"/>
          <w:sz w:val="24"/>
          <w:szCs w:val="24"/>
        </w:rPr>
        <w:t xml:space="preserve">These cells are usually second-generation CAR-T cells that have been engineered to perform better in hostile tumor microenvironments by expressing ligands or secreting cytokines. Strategies to improve CAR-T-cell performance include the expression of IL-12, CD40L, and 4-1BBL (78). However, optimizing CAR design is essential because hyperactive CARs may </w:t>
      </w:r>
      <w:r>
        <w:rPr>
          <w:rFonts w:ascii="Times New Roman" w:hAnsi="Times New Roman" w:cs="Times New Roman"/>
          <w:color w:val="000000"/>
          <w:sz w:val="24"/>
          <w:szCs w:val="24"/>
        </w:rPr>
        <w:lastRenderedPageBreak/>
        <w:t>reduce antitumour effectiveness in vivo by causing activation-induced cell death (AICD) as a result of elevated FasL expression. Achieving clinical action against solid tumors may require adjusting CAR signalling to moderate levels. (79).</w:t>
      </w:r>
    </w:p>
    <w:p w:rsidR="00035070" w:rsidRDefault="00035070">
      <w:pPr>
        <w:jc w:val="both"/>
        <w:rPr>
          <w:rFonts w:ascii="Times New Roman" w:hAnsi="Times New Roman" w:cs="Times New Roman"/>
          <w:color w:val="000000"/>
          <w:sz w:val="24"/>
          <w:szCs w:val="24"/>
        </w:rPr>
      </w:pPr>
    </w:p>
    <w:p w:rsidR="00035070" w:rsidRDefault="00035070">
      <w:pPr>
        <w:jc w:val="both"/>
        <w:rPr>
          <w:rFonts w:ascii="Times New Roman" w:hAnsi="Times New Roman" w:cs="Times New Roman"/>
          <w:color w:val="000000"/>
          <w:sz w:val="24"/>
          <w:szCs w:val="24"/>
        </w:rPr>
      </w:pPr>
    </w:p>
    <w:p w:rsidR="00035070" w:rsidRDefault="00035070">
      <w:pPr>
        <w:jc w:val="both"/>
        <w:rPr>
          <w:rFonts w:ascii="Times New Roman" w:hAnsi="Times New Roman" w:cs="Times New Roman"/>
          <w:b/>
          <w:bCs/>
          <w:color w:val="000000"/>
          <w:sz w:val="24"/>
          <w:szCs w:val="24"/>
        </w:rPr>
      </w:pPr>
    </w:p>
    <w:p w:rsidR="00035070" w:rsidRDefault="00DA075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 In Vivo CAR-T-cell Programming In a transformative shift, mRNA-based lipid nanoparticles</w:t>
      </w:r>
    </w:p>
    <w:p w:rsidR="00035070" w:rsidRDefault="00DA0758">
      <w:pPr>
        <w:jc w:val="both"/>
        <w:rPr>
          <w:rFonts w:ascii="Times New Roman" w:hAnsi="Times New Roman" w:cs="Times New Roman"/>
          <w:color w:val="000000"/>
          <w:sz w:val="24"/>
          <w:szCs w:val="24"/>
        </w:rPr>
      </w:pPr>
      <w:r>
        <w:rPr>
          <w:rFonts w:ascii="Times New Roman" w:hAnsi="Times New Roman" w:cs="Times New Roman"/>
          <w:color w:val="000000"/>
          <w:sz w:val="24"/>
          <w:szCs w:val="24"/>
        </w:rPr>
        <w:t>By overcoming the drawbacks of conventional ex vivo techniques, recent developments in mRNA-based lipid nanoparticle (LNP) technology have created new opportunities for in vivo CAR-T-cell creation. Effective T-cell transfection and functional CAR expression in vivo have been reported via targeted LNPs with extrahepatic tropism (80). This strategy offers possible answers to problems in CAR-T-cell therapy, especially for solid tumors, and is motivated by the efficacy of the COVID-19 mRNA vaccine (81). According to studies, tailored LNP systems can cause antigen-specific cell death, maintain cytotoxicity, and increase CAR expression in circulating T cells without causing severe toxicity (82). In addition, new CAR designs that make use of signalling adaptors unique to myeloid cells have demonstrated promise in reprogramming the tumor microenvironment, triggering both innate and adaptive immune responses against a variety of target antigens (83).</w:t>
      </w:r>
    </w:p>
    <w:p w:rsidR="00035070" w:rsidRDefault="00DA075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CONCLUSION:</w:t>
      </w:r>
    </w:p>
    <w:p w:rsidR="00035070" w:rsidRDefault="00DA0758">
      <w:pPr>
        <w:jc w:val="both"/>
        <w:rPr>
          <w:rFonts w:ascii="Times New Roman" w:hAnsi="Times New Roman" w:cs="Times New Roman"/>
          <w:color w:val="000000"/>
          <w:sz w:val="24"/>
          <w:szCs w:val="24"/>
        </w:rPr>
      </w:pPr>
      <w:r>
        <w:rPr>
          <w:rFonts w:ascii="Times New Roman" w:hAnsi="Times New Roman" w:cs="Times New Roman"/>
          <w:color w:val="000000"/>
          <w:sz w:val="24"/>
          <w:szCs w:val="24"/>
        </w:rPr>
        <w:t>CAR-T-cell therapy has emerged as a life-saving breakthrough for children with relapsed or refractory acute lymphoblastic leukemia (ALL), offering long-term remission where conventional treatments have failed. Despite its remarkable success, therapy faces challenges such as cytokine release syndrome (CRS), neurotoxicity, manufacturing delays, and high costs.</w:t>
      </w:r>
    </w:p>
    <w:p w:rsidR="00035070" w:rsidRDefault="00DA075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However, the future holds tremendous promise. With advances in </w:t>
      </w:r>
      <w:r>
        <w:rPr>
          <w:rFonts w:ascii="Times New Roman" w:hAnsi="Times New Roman" w:cs="Times New Roman"/>
          <w:b/>
          <w:bCs/>
          <w:color w:val="000000"/>
          <w:sz w:val="24"/>
          <w:szCs w:val="24"/>
        </w:rPr>
        <w:t>biologic prophylaxis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next-generation CAR constructs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dual-targeting strategies</w:t>
      </w:r>
      <w:r>
        <w:rPr>
          <w:rFonts w:ascii="Times New Roman" w:hAnsi="Times New Roman" w:cs="Times New Roman"/>
          <w:color w:val="000000"/>
          <w:sz w:val="24"/>
          <w:szCs w:val="24"/>
        </w:rPr>
        <w:t xml:space="preserve">, and </w:t>
      </w:r>
      <w:r>
        <w:rPr>
          <w:rFonts w:ascii="Times New Roman" w:hAnsi="Times New Roman" w:cs="Times New Roman"/>
          <w:b/>
          <w:bCs/>
          <w:color w:val="000000"/>
          <w:sz w:val="24"/>
          <w:szCs w:val="24"/>
        </w:rPr>
        <w:t>in vivo CAR programming via mRNA technology</w:t>
      </w:r>
      <w:r>
        <w:rPr>
          <w:rFonts w:ascii="Times New Roman" w:hAnsi="Times New Roman" w:cs="Times New Roman"/>
          <w:color w:val="000000"/>
          <w:sz w:val="24"/>
          <w:szCs w:val="24"/>
        </w:rPr>
        <w:t xml:space="preserve">, we are moving toward a more </w:t>
      </w:r>
      <w:r>
        <w:rPr>
          <w:rFonts w:ascii="Times New Roman" w:hAnsi="Times New Roman" w:cs="Times New Roman"/>
          <w:b/>
          <w:bCs/>
          <w:color w:val="000000"/>
          <w:sz w:val="24"/>
          <w:szCs w:val="24"/>
        </w:rPr>
        <w:t>precise, safer, and accessible</w:t>
      </w:r>
      <w:r>
        <w:rPr>
          <w:rFonts w:ascii="Times New Roman" w:hAnsi="Times New Roman" w:cs="Times New Roman"/>
          <w:color w:val="000000"/>
          <w:sz w:val="24"/>
          <w:szCs w:val="24"/>
        </w:rPr>
        <w:t xml:space="preserve"> form of immunotherapy for pediatric patients. Research focused on </w:t>
      </w:r>
      <w:r>
        <w:rPr>
          <w:rFonts w:ascii="Times New Roman" w:hAnsi="Times New Roman" w:cs="Times New Roman"/>
          <w:b/>
          <w:bCs/>
          <w:color w:val="000000"/>
          <w:sz w:val="24"/>
          <w:szCs w:val="24"/>
        </w:rPr>
        <w:t>predictive biomarkers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suicide switches</w:t>
      </w:r>
      <w:r>
        <w:rPr>
          <w:rFonts w:ascii="Times New Roman" w:hAnsi="Times New Roman" w:cs="Times New Roman"/>
          <w:color w:val="000000"/>
          <w:sz w:val="24"/>
          <w:szCs w:val="24"/>
        </w:rPr>
        <w:t xml:space="preserve">, and </w:t>
      </w:r>
      <w:r>
        <w:rPr>
          <w:rFonts w:ascii="Times New Roman" w:hAnsi="Times New Roman" w:cs="Times New Roman"/>
          <w:b/>
          <w:bCs/>
          <w:color w:val="000000"/>
          <w:sz w:val="24"/>
          <w:szCs w:val="24"/>
        </w:rPr>
        <w:t>universal donor cells</w:t>
      </w:r>
      <w:r>
        <w:rPr>
          <w:rFonts w:ascii="Times New Roman" w:hAnsi="Times New Roman" w:cs="Times New Roman"/>
          <w:color w:val="000000"/>
          <w:sz w:val="24"/>
          <w:szCs w:val="24"/>
        </w:rPr>
        <w:t xml:space="preserve"> is further paving the way for a new era in personalized cancer care.</w:t>
      </w:r>
    </w:p>
    <w:p w:rsidR="00035070" w:rsidRDefault="00DA075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Thus, CAR-T-cell therapy stands not just as a treatment but also as a </w:t>
      </w:r>
      <w:r>
        <w:rPr>
          <w:rFonts w:ascii="Times New Roman" w:hAnsi="Times New Roman" w:cs="Times New Roman"/>
          <w:b/>
          <w:bCs/>
          <w:color w:val="000000"/>
          <w:sz w:val="24"/>
          <w:szCs w:val="24"/>
        </w:rPr>
        <w:t>BEACON OF HOPE,</w:t>
      </w:r>
      <w:r>
        <w:rPr>
          <w:rFonts w:ascii="Times New Roman" w:hAnsi="Times New Roman" w:cs="Times New Roman"/>
          <w:color w:val="000000"/>
          <w:sz w:val="24"/>
          <w:szCs w:val="24"/>
        </w:rPr>
        <w:t>a transformative and evolving platform that is redefining the future of pediatricleukemia care across the globe.</w:t>
      </w:r>
    </w:p>
    <w:p w:rsidR="00035070" w:rsidRDefault="00DA0758">
      <w:pPr>
        <w:jc w:val="both"/>
        <w:rPr>
          <w:rFonts w:ascii="Times New Roman" w:hAnsi="Times New Roman" w:cs="Times New Roman"/>
          <w:sz w:val="24"/>
          <w:szCs w:val="24"/>
        </w:rPr>
      </w:pPr>
      <w:r>
        <w:rPr>
          <w:rFonts w:ascii="Times New Roman" w:hAnsi="Times New Roman" w:cs="Times New Roman"/>
          <w:sz w:val="24"/>
          <w:szCs w:val="24"/>
        </w:rPr>
        <w:t>REFERENCE:</w:t>
      </w:r>
    </w:p>
    <w:p w:rsidR="00035070" w:rsidRDefault="00DA0758">
      <w:pPr>
        <w:pStyle w:val="NormalWeb"/>
        <w:spacing w:before="0" w:beforeAutospacing="0" w:after="0" w:afterAutospacing="0" w:line="480" w:lineRule="auto"/>
        <w:jc w:val="both"/>
      </w:pPr>
      <w:r>
        <w:t xml:space="preserve">1)Rupapara, V., Rustam, F., Aljedaani, W., Shahzad, H. F., Lee, E., &amp; Ashraf, I. (2022c). Blood cancer prediction using leukemia microarray gene data and hybrid logistic vector trees model. </w:t>
      </w:r>
      <w:r>
        <w:rPr>
          <w:i/>
          <w:iCs/>
        </w:rPr>
        <w:t>Scientific Reports</w:t>
      </w:r>
      <w:r>
        <w:t xml:space="preserve">, </w:t>
      </w:r>
      <w:r>
        <w:rPr>
          <w:i/>
          <w:iCs/>
        </w:rPr>
        <w:t>12</w:t>
      </w:r>
      <w:r>
        <w:t xml:space="preserve">(1). </w:t>
      </w:r>
      <w:hyperlink r:id="rId17" w:history="1">
        <w:r w:rsidR="00035070">
          <w:rPr>
            <w:rStyle w:val="Hyperlink"/>
          </w:rPr>
          <w:t>https://doi.org/10.1038/s41598-022-04835-6</w:t>
        </w:r>
      </w:hyperlink>
    </w:p>
    <w:p w:rsidR="00035070" w:rsidRDefault="00DA0758">
      <w:pPr>
        <w:pStyle w:val="NormalWeb"/>
        <w:spacing w:before="0" w:beforeAutospacing="0" w:after="0" w:afterAutospacing="0" w:line="480" w:lineRule="auto"/>
        <w:jc w:val="both"/>
        <w:rPr>
          <w:rStyle w:val="url"/>
        </w:rPr>
      </w:pPr>
      <w:r>
        <w:lastRenderedPageBreak/>
        <w:t xml:space="preserve">2)Roy, P. S., &amp;Saikia, B. J. (2016). Cancer and cure: A critical analysis. </w:t>
      </w:r>
      <w:r>
        <w:rPr>
          <w:i/>
          <w:iCs/>
        </w:rPr>
        <w:t>Indian Journal of Cancer</w:t>
      </w:r>
      <w:r>
        <w:t xml:space="preserve">, </w:t>
      </w:r>
      <w:r>
        <w:rPr>
          <w:i/>
          <w:iCs/>
        </w:rPr>
        <w:t>53</w:t>
      </w:r>
      <w:r>
        <w:t xml:space="preserve">(3), 441. </w:t>
      </w:r>
      <w:hyperlink r:id="rId18" w:history="1">
        <w:r w:rsidR="00035070">
          <w:rPr>
            <w:rStyle w:val="Hyperlink"/>
          </w:rPr>
          <w:t>https://doi.org/10.4103/0019-509x.200658</w:t>
        </w:r>
      </w:hyperlink>
    </w:p>
    <w:p w:rsidR="00035070" w:rsidRDefault="00DA0758">
      <w:pPr>
        <w:pStyle w:val="NormalWeb"/>
        <w:spacing w:before="0" w:beforeAutospacing="0" w:after="0" w:afterAutospacing="0" w:line="480" w:lineRule="auto"/>
        <w:jc w:val="both"/>
      </w:pPr>
      <w:r>
        <w:rPr>
          <w:rStyle w:val="url"/>
        </w:rPr>
        <w:t>3)</w:t>
      </w:r>
      <w:r>
        <w:t xml:space="preserve">Mattiuzzi, C., &amp; Lippi, G. (2019). Current Cancer Epidemiology. </w:t>
      </w:r>
      <w:r>
        <w:rPr>
          <w:i/>
          <w:iCs/>
        </w:rPr>
        <w:t>Journal of Epidemiology and Global Health</w:t>
      </w:r>
      <w:r>
        <w:t xml:space="preserve">, </w:t>
      </w:r>
      <w:r>
        <w:rPr>
          <w:i/>
          <w:iCs/>
        </w:rPr>
        <w:t>9</w:t>
      </w:r>
      <w:r>
        <w:t xml:space="preserve">(4), 217. </w:t>
      </w:r>
      <w:hyperlink r:id="rId19" w:history="1">
        <w:r w:rsidR="00035070">
          <w:rPr>
            <w:rStyle w:val="Hyperlink"/>
          </w:rPr>
          <w:t>https://doi.org/10.2991/jegh.k.191008.001</w:t>
        </w:r>
      </w:hyperlink>
    </w:p>
    <w:p w:rsidR="00035070" w:rsidRDefault="00DA0758">
      <w:pPr>
        <w:pStyle w:val="NormalWeb"/>
        <w:spacing w:before="0" w:beforeAutospacing="0" w:after="0" w:afterAutospacing="0" w:line="480" w:lineRule="auto"/>
        <w:jc w:val="both"/>
        <w:rPr>
          <w:rFonts w:eastAsia="Calibri"/>
          <w:color w:val="1B1B1B"/>
          <w:shd w:val="clear" w:color="auto" w:fill="FFFFFF"/>
          <w:lang w:eastAsia="en-US"/>
        </w:rPr>
      </w:pPr>
      <w:r>
        <w:t>4)</w:t>
      </w:r>
      <w:r>
        <w:rPr>
          <w:rFonts w:eastAsia="Calibri"/>
          <w:color w:val="1B1B1B"/>
          <w:shd w:val="clear" w:color="auto" w:fill="FFFFFF"/>
          <w:lang w:eastAsia="en-US"/>
        </w:rPr>
        <w:t xml:space="preserve"> Byrne, S., Boyle, T., Ahmed, M., Lee, S. H., Benyamin, B., &amp;Hyppönen, E. (2023). Lifestyle, genetic risk and incidence of cancer: a prospective cohort study of 13 cancer types. </w:t>
      </w:r>
      <w:r>
        <w:rPr>
          <w:rFonts w:eastAsia="Calibri"/>
          <w:i/>
          <w:iCs/>
          <w:color w:val="1B1B1B"/>
          <w:shd w:val="clear" w:color="auto" w:fill="FFFFFF"/>
          <w:lang w:eastAsia="en-US"/>
        </w:rPr>
        <w:t>International Journal of Epidemiology</w:t>
      </w:r>
      <w:r>
        <w:rPr>
          <w:rFonts w:eastAsia="Calibri"/>
          <w:color w:val="1B1B1B"/>
          <w:shd w:val="clear" w:color="auto" w:fill="FFFFFF"/>
          <w:lang w:eastAsia="en-US"/>
        </w:rPr>
        <w:t xml:space="preserve">, </w:t>
      </w:r>
      <w:r>
        <w:rPr>
          <w:rFonts w:eastAsia="Calibri"/>
          <w:i/>
          <w:iCs/>
          <w:color w:val="1B1B1B"/>
          <w:shd w:val="clear" w:color="auto" w:fill="FFFFFF"/>
          <w:lang w:eastAsia="en-US"/>
        </w:rPr>
        <w:t>52</w:t>
      </w:r>
      <w:r>
        <w:rPr>
          <w:rFonts w:eastAsia="Calibri"/>
          <w:color w:val="1B1B1B"/>
          <w:shd w:val="clear" w:color="auto" w:fill="FFFFFF"/>
          <w:lang w:eastAsia="en-US"/>
        </w:rPr>
        <w:t xml:space="preserve">(3), 817–826. </w:t>
      </w:r>
      <w:hyperlink r:id="rId20" w:history="1">
        <w:r w:rsidR="00035070">
          <w:rPr>
            <w:rStyle w:val="Hyperlink"/>
            <w:rFonts w:eastAsia="Calibri"/>
            <w:shd w:val="clear" w:color="auto" w:fill="FFFFFF"/>
            <w:lang w:eastAsia="en-US"/>
          </w:rPr>
          <w:t>https://doi.org/10.1093/ije/dyac238</w:t>
        </w:r>
      </w:hyperlink>
    </w:p>
    <w:p w:rsidR="00035070" w:rsidRDefault="00DA0758">
      <w:pPr>
        <w:pStyle w:val="NormalWeb"/>
        <w:spacing w:before="0" w:beforeAutospacing="0" w:after="0" w:afterAutospacing="0" w:line="480" w:lineRule="auto"/>
        <w:jc w:val="both"/>
      </w:pPr>
      <w:r>
        <w:t xml:space="preserve">5) Shehta, A. I., Nasr, M., &amp; Ghazali, A. E. D. M. E. (2025b). Blood cancer prediction model based on deep learning technique. </w:t>
      </w:r>
      <w:r>
        <w:rPr>
          <w:i/>
          <w:iCs/>
        </w:rPr>
        <w:t>Scientific Reports</w:t>
      </w:r>
      <w:r>
        <w:t xml:space="preserve">, </w:t>
      </w:r>
      <w:r>
        <w:rPr>
          <w:i/>
          <w:iCs/>
        </w:rPr>
        <w:t>15</w:t>
      </w:r>
      <w:r>
        <w:t xml:space="preserve">(1). </w:t>
      </w:r>
      <w:hyperlink r:id="rId21" w:history="1">
        <w:r w:rsidR="00035070">
          <w:rPr>
            <w:rStyle w:val="Hyperlink"/>
          </w:rPr>
          <w:t>https://doi.org/10.1038/s41598-024-84475-0</w:t>
        </w:r>
      </w:hyperlink>
    </w:p>
    <w:p w:rsidR="00035070" w:rsidRDefault="00DA0758">
      <w:pPr>
        <w:pStyle w:val="NormalWeb"/>
        <w:spacing w:before="0" w:beforeAutospacing="0" w:after="0" w:afterAutospacing="0" w:line="480" w:lineRule="auto"/>
        <w:jc w:val="both"/>
      </w:pPr>
      <w:r>
        <w:t xml:space="preserve">6) McCabe, B., Liberante, F., &amp; Mills, K. I. (2015b). Repurposing medicinal compounds for blood cancer treatment. </w:t>
      </w:r>
      <w:r>
        <w:rPr>
          <w:i/>
          <w:iCs/>
        </w:rPr>
        <w:t>Annals of Hematology</w:t>
      </w:r>
      <w:r>
        <w:t xml:space="preserve">, </w:t>
      </w:r>
      <w:r>
        <w:rPr>
          <w:i/>
          <w:iCs/>
        </w:rPr>
        <w:t>94</w:t>
      </w:r>
      <w:r>
        <w:t xml:space="preserve">(8), 1267–1276. </w:t>
      </w:r>
      <w:hyperlink r:id="rId22" w:history="1">
        <w:r w:rsidR="00035070">
          <w:rPr>
            <w:rStyle w:val="Hyperlink"/>
          </w:rPr>
          <w:t>https://doi.org/10.1007/s00277-015-2412-1</w:t>
        </w:r>
      </w:hyperlink>
    </w:p>
    <w:p w:rsidR="00035070" w:rsidRDefault="00DA0758">
      <w:pPr>
        <w:pStyle w:val="NormalWeb"/>
        <w:spacing w:before="0" w:beforeAutospacing="0" w:after="0" w:afterAutospacing="0" w:line="480" w:lineRule="auto"/>
        <w:jc w:val="both"/>
      </w:pPr>
      <w:r>
        <w:t>7)</w:t>
      </w:r>
      <w:r>
        <w:rPr>
          <w:rFonts w:eastAsia="Calibri"/>
          <w:color w:val="1B1B1B"/>
          <w:shd w:val="clear" w:color="auto" w:fill="FFFFFF"/>
          <w:lang w:eastAsia="en-US"/>
        </w:rPr>
        <w:t xml:space="preserve"> Jiang, Y., Lin, W., &amp; Zhu, L. (2022). Targeted drug delivery for the treatment of blood cancers. </w:t>
      </w:r>
      <w:r>
        <w:rPr>
          <w:rFonts w:eastAsia="Calibri"/>
          <w:i/>
          <w:iCs/>
          <w:color w:val="1B1B1B"/>
          <w:shd w:val="clear" w:color="auto" w:fill="FFFFFF"/>
          <w:lang w:eastAsia="en-US"/>
        </w:rPr>
        <w:t>Molecules</w:t>
      </w:r>
      <w:r>
        <w:rPr>
          <w:rFonts w:eastAsia="Calibri"/>
          <w:color w:val="1B1B1B"/>
          <w:shd w:val="clear" w:color="auto" w:fill="FFFFFF"/>
          <w:lang w:eastAsia="en-US"/>
        </w:rPr>
        <w:t xml:space="preserve">, </w:t>
      </w:r>
      <w:r>
        <w:rPr>
          <w:rFonts w:eastAsia="Calibri"/>
          <w:i/>
          <w:iCs/>
          <w:color w:val="1B1B1B"/>
          <w:shd w:val="clear" w:color="auto" w:fill="FFFFFF"/>
          <w:lang w:eastAsia="en-US"/>
        </w:rPr>
        <w:t>27</w:t>
      </w:r>
      <w:r>
        <w:rPr>
          <w:rFonts w:eastAsia="Calibri"/>
          <w:color w:val="1B1B1B"/>
          <w:shd w:val="clear" w:color="auto" w:fill="FFFFFF"/>
          <w:lang w:eastAsia="en-US"/>
        </w:rPr>
        <w:t xml:space="preserve">(4), 1310. </w:t>
      </w:r>
      <w:hyperlink r:id="rId23" w:history="1">
        <w:r w:rsidR="00035070">
          <w:rPr>
            <w:rStyle w:val="Hyperlink"/>
            <w:rFonts w:eastAsia="Calibri"/>
            <w:shd w:val="clear" w:color="auto" w:fill="FFFFFF"/>
            <w:lang w:eastAsia="en-US"/>
          </w:rPr>
          <w:t>https://doi.org/10.3390/molecules27041310</w:t>
        </w:r>
      </w:hyperlink>
    </w:p>
    <w:p w:rsidR="00035070" w:rsidRDefault="00DA0758">
      <w:pPr>
        <w:pStyle w:val="NormalWeb"/>
        <w:spacing w:before="0" w:beforeAutospacing="0" w:after="0" w:afterAutospacing="0" w:line="480" w:lineRule="auto"/>
        <w:jc w:val="both"/>
      </w:pPr>
      <w:r>
        <w:t xml:space="preserve">8)Zhang, X., Zhang, H., Lan, H., Wu, J., &amp; Xiao, Y. (2023b). CAR-T-cell therapy in multiple myeloma: Current limitations and potential strategies. </w:t>
      </w:r>
      <w:r>
        <w:rPr>
          <w:i/>
          <w:iCs/>
        </w:rPr>
        <w:t>Frontiers in Immunology</w:t>
      </w:r>
      <w:r>
        <w:t xml:space="preserve">, </w:t>
      </w:r>
      <w:r>
        <w:rPr>
          <w:i/>
          <w:iCs/>
        </w:rPr>
        <w:t>14</w:t>
      </w:r>
      <w:r>
        <w:t xml:space="preserve">. </w:t>
      </w:r>
      <w:hyperlink r:id="rId24" w:history="1">
        <w:r w:rsidR="00035070">
          <w:rPr>
            <w:rStyle w:val="Hyperlink"/>
          </w:rPr>
          <w:t>https://doi.org/10.3389/fimmu.2023.1101495</w:t>
        </w:r>
      </w:hyperlink>
    </w:p>
    <w:p w:rsidR="00035070" w:rsidRDefault="00DA0758">
      <w:pPr>
        <w:pStyle w:val="NormalWeb"/>
        <w:spacing w:before="0" w:beforeAutospacing="0" w:after="0" w:afterAutospacing="0" w:line="480" w:lineRule="auto"/>
        <w:jc w:val="both"/>
      </w:pPr>
      <w:r>
        <w:t xml:space="preserve">9) Chohan, K. L., Siegler, E. L., &amp;Kenderian, S. S. (2023). CAR-T-Cell Therapy: the Efficacy and Toxicity Balance. </w:t>
      </w:r>
      <w:r>
        <w:rPr>
          <w:i/>
          <w:iCs/>
        </w:rPr>
        <w:t>Current Hematologic Malignancy Reports</w:t>
      </w:r>
      <w:r>
        <w:t xml:space="preserve">, </w:t>
      </w:r>
      <w:r>
        <w:rPr>
          <w:i/>
          <w:iCs/>
        </w:rPr>
        <w:t>18</w:t>
      </w:r>
      <w:r>
        <w:t xml:space="preserve">(2), 9–18. </w:t>
      </w:r>
      <w:hyperlink r:id="rId25" w:history="1">
        <w:r w:rsidR="00035070">
          <w:rPr>
            <w:rStyle w:val="Hyperlink"/>
          </w:rPr>
          <w:t>https://doi.org/10.1007/s11899-023-00687-7</w:t>
        </w:r>
      </w:hyperlink>
    </w:p>
    <w:p w:rsidR="00035070" w:rsidRDefault="00DA0758">
      <w:pPr>
        <w:pStyle w:val="NormalWeb"/>
        <w:spacing w:before="0" w:beforeAutospacing="0" w:after="0" w:afterAutospacing="0" w:line="480" w:lineRule="auto"/>
        <w:jc w:val="both"/>
      </w:pPr>
      <w:r>
        <w:t xml:space="preserve">10) Shah, N. N., &amp; Fry, T. J. (2019). Mechanisms of resistance to CAR T-cell therapy. </w:t>
      </w:r>
      <w:r>
        <w:rPr>
          <w:i/>
          <w:iCs/>
        </w:rPr>
        <w:t>Nature Reviews Clinical Oncology</w:t>
      </w:r>
      <w:r>
        <w:t xml:space="preserve">. </w:t>
      </w:r>
      <w:hyperlink r:id="rId26" w:history="1">
        <w:r w:rsidR="00035070">
          <w:rPr>
            <w:rStyle w:val="Hyperlink"/>
          </w:rPr>
          <w:t>https://doi.org/10.1038/s41571-019-0184-6</w:t>
        </w:r>
      </w:hyperlink>
    </w:p>
    <w:p w:rsidR="00035070" w:rsidRDefault="00DA0758">
      <w:pPr>
        <w:pStyle w:val="NormalWeb"/>
        <w:spacing w:before="0" w:beforeAutospacing="0" w:after="0" w:afterAutospacing="0" w:line="480" w:lineRule="auto"/>
        <w:jc w:val="both"/>
      </w:pPr>
      <w:r>
        <w:lastRenderedPageBreak/>
        <w:t xml:space="preserve">11) Borghaei, H., Smith, M. R., &amp; Campbell, K. S. (2009). Immunotherapy of cancer. </w:t>
      </w:r>
      <w:r>
        <w:rPr>
          <w:i/>
          <w:iCs/>
        </w:rPr>
        <w:t>European Journal of Pharmacology</w:t>
      </w:r>
      <w:r>
        <w:t xml:space="preserve">, </w:t>
      </w:r>
      <w:r>
        <w:rPr>
          <w:i/>
          <w:iCs/>
        </w:rPr>
        <w:t>625</w:t>
      </w:r>
      <w:r>
        <w:t xml:space="preserve">(1–3), 41–54. </w:t>
      </w:r>
      <w:hyperlink r:id="rId27" w:history="1">
        <w:r w:rsidR="00035070">
          <w:rPr>
            <w:rStyle w:val="Hyperlink"/>
          </w:rPr>
          <w:t>https://doi.org/10.1016/j.ejphar.2009.09.067</w:t>
        </w:r>
      </w:hyperlink>
      <w:r>
        <w:t>.</w:t>
      </w:r>
    </w:p>
    <w:p w:rsidR="00035070" w:rsidRDefault="00DA0758">
      <w:pPr>
        <w:pStyle w:val="NormalWeb"/>
        <w:spacing w:before="0" w:beforeAutospacing="0" w:after="0" w:afterAutospacing="0" w:line="480" w:lineRule="auto"/>
        <w:jc w:val="both"/>
      </w:pPr>
      <w:r>
        <w:t xml:space="preserve">12) Kirkwood, J. M., Butterfield, L. H., Tarhini, A. A., Zarour, H., Kalinski, P., &amp; Ferrone, S. (2012). Immunotherapy of cancer in 2012. </w:t>
      </w:r>
      <w:r>
        <w:rPr>
          <w:i/>
          <w:iCs/>
        </w:rPr>
        <w:t>CA a Cancer Journal for Clinicians</w:t>
      </w:r>
      <w:r>
        <w:t xml:space="preserve">, </w:t>
      </w:r>
      <w:r>
        <w:rPr>
          <w:i/>
          <w:iCs/>
        </w:rPr>
        <w:t>62</w:t>
      </w:r>
      <w:r>
        <w:t xml:space="preserve">(5), 309–335. </w:t>
      </w:r>
      <w:hyperlink r:id="rId28" w:history="1">
        <w:r w:rsidR="00035070">
          <w:rPr>
            <w:rStyle w:val="Hyperlink"/>
          </w:rPr>
          <w:t>https://doi.org/10.3322/caac.20132</w:t>
        </w:r>
      </w:hyperlink>
    </w:p>
    <w:p w:rsidR="00035070" w:rsidRDefault="00DA0758">
      <w:pPr>
        <w:pStyle w:val="NormalWeb"/>
        <w:spacing w:before="0" w:beforeAutospacing="0" w:after="0" w:afterAutospacing="0" w:line="480" w:lineRule="auto"/>
        <w:jc w:val="both"/>
      </w:pPr>
      <w:r>
        <w:t xml:space="preserve">13) Sareen, G., Mohan, M., Mannan, A., Dua, K., &amp; Singh, T. G. (2025). A new era of cancer immunotherapy: vaccines and miRNAs. </w:t>
      </w:r>
      <w:r>
        <w:rPr>
          <w:i/>
          <w:iCs/>
        </w:rPr>
        <w:t>Cancer Immunology Immunotherapy</w:t>
      </w:r>
      <w:r>
        <w:t xml:space="preserve">, </w:t>
      </w:r>
      <w:r>
        <w:rPr>
          <w:i/>
          <w:iCs/>
        </w:rPr>
        <w:t>74</w:t>
      </w:r>
      <w:r>
        <w:t xml:space="preserve">(5). </w:t>
      </w:r>
      <w:hyperlink r:id="rId29" w:history="1">
        <w:r w:rsidR="00035070">
          <w:rPr>
            <w:rStyle w:val="Hyperlink"/>
          </w:rPr>
          <w:t>https://doi.org/10.1007/s00262-025-04011-5</w:t>
        </w:r>
      </w:hyperlink>
    </w:p>
    <w:p w:rsidR="00035070" w:rsidRDefault="00DA0758">
      <w:pPr>
        <w:pStyle w:val="NormalWeb"/>
        <w:spacing w:before="0" w:beforeAutospacing="0" w:after="0" w:afterAutospacing="0" w:line="480" w:lineRule="auto"/>
        <w:jc w:val="both"/>
      </w:pPr>
      <w:r>
        <w:t>14) Tang, L., Huang, Z., Mei, H. </w:t>
      </w:r>
      <w:r>
        <w:rPr>
          <w:i/>
          <w:iCs/>
        </w:rPr>
        <w:t>et al.</w:t>
      </w:r>
      <w:r>
        <w:t> Immunotherapy in hematologic malignancies: achievements, challenges and future prospects. </w:t>
      </w:r>
      <w:r>
        <w:rPr>
          <w:i/>
          <w:iCs/>
        </w:rPr>
        <w:t>Sig Transduct Target Ther</w:t>
      </w:r>
      <w:r>
        <w:t> </w:t>
      </w:r>
      <w:r>
        <w:rPr>
          <w:b/>
          <w:bCs/>
        </w:rPr>
        <w:t>8</w:t>
      </w:r>
      <w:r>
        <w:t xml:space="preserve">, 306 (2023). </w:t>
      </w:r>
      <w:hyperlink r:id="rId30" w:history="1">
        <w:r w:rsidR="00035070">
          <w:rPr>
            <w:rStyle w:val="Hyperlink"/>
          </w:rPr>
          <w:t>https://doi.org/10.1038/s41392-023-01521-5</w:t>
        </w:r>
      </w:hyperlink>
    </w:p>
    <w:p w:rsidR="00035070" w:rsidRDefault="00DA0758">
      <w:pPr>
        <w:pStyle w:val="NormalWeb"/>
        <w:spacing w:before="0" w:beforeAutospacing="0" w:after="0" w:afterAutospacing="0" w:line="480" w:lineRule="auto"/>
        <w:jc w:val="both"/>
      </w:pPr>
      <w:r>
        <w:t xml:space="preserve">15) Sterner, R. C., &amp; Sterner, R. M. (2021). CAR-T-cell therapy: current limitations and potential strategies. </w:t>
      </w:r>
      <w:r>
        <w:rPr>
          <w:i/>
          <w:iCs/>
        </w:rPr>
        <w:t>Blood Cancer Journal</w:t>
      </w:r>
      <w:r>
        <w:t xml:space="preserve">, </w:t>
      </w:r>
      <w:r>
        <w:rPr>
          <w:i/>
          <w:iCs/>
        </w:rPr>
        <w:t>11</w:t>
      </w:r>
      <w:r>
        <w:t xml:space="preserve">(4). </w:t>
      </w:r>
      <w:hyperlink r:id="rId31" w:history="1">
        <w:r w:rsidR="00035070">
          <w:rPr>
            <w:rStyle w:val="Hyperlink"/>
          </w:rPr>
          <w:t>https://doi.org/10.1038/s41408-021-00459-7</w:t>
        </w:r>
      </w:hyperlink>
    </w:p>
    <w:p w:rsidR="00035070" w:rsidRDefault="00DA0758">
      <w:pPr>
        <w:pStyle w:val="NormalWeb"/>
        <w:spacing w:before="0" w:beforeAutospacing="0" w:after="0" w:afterAutospacing="0" w:line="480" w:lineRule="auto"/>
        <w:jc w:val="both"/>
      </w:pPr>
      <w:r>
        <w:t xml:space="preserve">16) Huang, J., Huang, X., &amp; Huang, J. (2022). CAR-T-cell therapy for hematological malignancies: Limitations and optimization strategies. </w:t>
      </w:r>
      <w:r>
        <w:rPr>
          <w:i/>
          <w:iCs/>
        </w:rPr>
        <w:t>Frontiers in Immunology</w:t>
      </w:r>
      <w:r>
        <w:t xml:space="preserve">, </w:t>
      </w:r>
      <w:r>
        <w:rPr>
          <w:i/>
          <w:iCs/>
        </w:rPr>
        <w:t>13</w:t>
      </w:r>
      <w:r>
        <w:t xml:space="preserve">. </w:t>
      </w:r>
      <w:hyperlink r:id="rId32" w:history="1">
        <w:r w:rsidR="00035070">
          <w:rPr>
            <w:rStyle w:val="Hyperlink"/>
          </w:rPr>
          <w:t>https://doi.org/10.3389/fimmu.2022.1019115</w:t>
        </w:r>
      </w:hyperlink>
    </w:p>
    <w:p w:rsidR="00035070" w:rsidRDefault="00DA0758">
      <w:pPr>
        <w:pStyle w:val="NormalWeb"/>
        <w:spacing w:before="0" w:beforeAutospacing="0" w:after="0" w:afterAutospacing="0" w:line="480" w:lineRule="auto"/>
        <w:jc w:val="both"/>
      </w:pPr>
      <w:r>
        <w:t xml:space="preserve">17) Wang, Z., Wu, Z., Liu, Y., &amp; Han, W. (2017). New development in CAR-T-cell therapy. </w:t>
      </w:r>
      <w:r>
        <w:rPr>
          <w:i/>
          <w:iCs/>
        </w:rPr>
        <w:t>Journal of Hematology&amp; Oncology</w:t>
      </w:r>
      <w:r>
        <w:t xml:space="preserve">, </w:t>
      </w:r>
      <w:r>
        <w:rPr>
          <w:i/>
          <w:iCs/>
        </w:rPr>
        <w:t>10</w:t>
      </w:r>
      <w:r>
        <w:t xml:space="preserve">(1). </w:t>
      </w:r>
      <w:hyperlink r:id="rId33" w:history="1">
        <w:r w:rsidR="00035070">
          <w:rPr>
            <w:rStyle w:val="Hyperlink"/>
          </w:rPr>
          <w:t>https://doi.org/10.1186/s13045-017-0423-1</w:t>
        </w:r>
      </w:hyperlink>
    </w:p>
    <w:p w:rsidR="00035070" w:rsidRDefault="00DA0758">
      <w:pPr>
        <w:pStyle w:val="NormalWeb"/>
        <w:spacing w:before="0" w:beforeAutospacing="0" w:after="0" w:afterAutospacing="0" w:line="480" w:lineRule="auto"/>
        <w:jc w:val="both"/>
      </w:pPr>
      <w:r>
        <w:t xml:space="preserve">18) Abbasi, S., Totmaj, M. A., Abbasi, M., Hajazimian, S., Goleij, P., Behroozi, J., Shademan, B., Isazadeh, A., &amp;Baradaran, B. (2022). Chimeric antigen receptor T (CAR‐T) cells: Novel cell therapy for hematological malignancies. </w:t>
      </w:r>
      <w:r>
        <w:rPr>
          <w:i/>
          <w:iCs/>
        </w:rPr>
        <w:t>Cancer Medicine</w:t>
      </w:r>
      <w:r>
        <w:t xml:space="preserve">, </w:t>
      </w:r>
      <w:r>
        <w:rPr>
          <w:i/>
          <w:iCs/>
        </w:rPr>
        <w:t>12</w:t>
      </w:r>
      <w:r>
        <w:t xml:space="preserve">(7), 7844–7858. </w:t>
      </w:r>
      <w:hyperlink r:id="rId34" w:history="1">
        <w:r w:rsidR="00035070">
          <w:rPr>
            <w:rStyle w:val="Hyperlink"/>
          </w:rPr>
          <w:t>https://doi.org/10.1002/cam4.5551</w:t>
        </w:r>
      </w:hyperlink>
    </w:p>
    <w:p w:rsidR="00035070" w:rsidRDefault="00DA0758">
      <w:pPr>
        <w:pStyle w:val="NormalWeb"/>
        <w:spacing w:before="0" w:beforeAutospacing="0" w:after="0" w:afterAutospacing="0" w:line="480" w:lineRule="auto"/>
        <w:jc w:val="both"/>
      </w:pPr>
      <w:r>
        <w:lastRenderedPageBreak/>
        <w:t xml:space="preserve">19) Mohanty, R., Chowdhury, C., Arega, S., Sen, P., Ganguly, P., &amp;Ganguly, N. (2019). CAR T-cell therapy: A new era for cancer treatment (Review). </w:t>
      </w:r>
      <w:r>
        <w:rPr>
          <w:i/>
          <w:iCs/>
        </w:rPr>
        <w:t>Oncology Reports</w:t>
      </w:r>
      <w:r>
        <w:t xml:space="preserve">. </w:t>
      </w:r>
      <w:hyperlink r:id="rId35" w:history="1">
        <w:r w:rsidR="00035070">
          <w:rPr>
            <w:rStyle w:val="Hyperlink"/>
          </w:rPr>
          <w:t>https://doi.org/10.3892/or.2019.7335</w:t>
        </w:r>
      </w:hyperlink>
    </w:p>
    <w:p w:rsidR="00035070" w:rsidRDefault="00DA0758">
      <w:pPr>
        <w:pStyle w:val="NormalWeb"/>
        <w:spacing w:before="0" w:beforeAutospacing="0" w:after="0" w:afterAutospacing="0" w:line="480" w:lineRule="auto"/>
        <w:jc w:val="both"/>
      </w:pPr>
      <w:r>
        <w:t xml:space="preserve">20) Liu, J., Zhong, J. F., Zhang, X., &amp; Zhang, C. (2017). Allogeneic CD19-CAR-T-cell infusion after allogeneic hematopoietic stem cell transplantation in B-cell malignancies. </w:t>
      </w:r>
      <w:r>
        <w:rPr>
          <w:i/>
          <w:iCs/>
        </w:rPr>
        <w:t>Journal of Hematology&amp; Oncology</w:t>
      </w:r>
      <w:r>
        <w:t xml:space="preserve">, </w:t>
      </w:r>
      <w:r>
        <w:rPr>
          <w:i/>
          <w:iCs/>
        </w:rPr>
        <w:t>10</w:t>
      </w:r>
      <w:r>
        <w:t xml:space="preserve">(1). </w:t>
      </w:r>
      <w:hyperlink r:id="rId36" w:history="1">
        <w:r w:rsidR="00035070">
          <w:rPr>
            <w:rStyle w:val="Hyperlink"/>
          </w:rPr>
          <w:t>https://doi.org/10.1186/s13045-017-0405-3</w:t>
        </w:r>
      </w:hyperlink>
    </w:p>
    <w:p w:rsidR="00035070" w:rsidRDefault="00DA0758">
      <w:pPr>
        <w:pStyle w:val="NormalWeb"/>
        <w:spacing w:before="0" w:beforeAutospacing="0" w:after="0" w:afterAutospacing="0" w:line="480" w:lineRule="auto"/>
        <w:jc w:val="both"/>
      </w:pPr>
      <w:r>
        <w:t xml:space="preserve">21) Marcotte, E. L., Spector, L. G., Mendes-De-Almeida, D. P., &amp; Nelson, H. H. (2021). The Prenatal Origin of Childhood leukemia: Potential applications for epidemiology and newborn screening. </w:t>
      </w:r>
      <w:r>
        <w:rPr>
          <w:i/>
          <w:iCs/>
        </w:rPr>
        <w:t>Frontiers in Pediatrics</w:t>
      </w:r>
      <w:r>
        <w:t xml:space="preserve">, </w:t>
      </w:r>
      <w:r>
        <w:rPr>
          <w:i/>
          <w:iCs/>
        </w:rPr>
        <w:t>9</w:t>
      </w:r>
      <w:r>
        <w:t xml:space="preserve">. </w:t>
      </w:r>
      <w:hyperlink r:id="rId37" w:history="1">
        <w:r w:rsidR="00035070">
          <w:rPr>
            <w:rStyle w:val="Hyperlink"/>
          </w:rPr>
          <w:t>https://doi.org/10.3389/fped.2021.639479</w:t>
        </w:r>
      </w:hyperlink>
    </w:p>
    <w:p w:rsidR="00035070" w:rsidRDefault="00DA0758">
      <w:pPr>
        <w:pStyle w:val="NormalWeb"/>
        <w:spacing w:before="0" w:beforeAutospacing="0" w:after="0" w:afterAutospacing="0" w:line="480" w:lineRule="auto"/>
        <w:jc w:val="both"/>
      </w:pPr>
      <w:r>
        <w:t xml:space="preserve">22) Roganovic, J. (2013). Acute lymphoblastic leukemia in children. In </w:t>
      </w:r>
      <w:r>
        <w:rPr>
          <w:i/>
          <w:iCs/>
        </w:rPr>
        <w:t>Leukemia</w:t>
      </w:r>
      <w:r>
        <w:t xml:space="preserve">. </w:t>
      </w:r>
      <w:hyperlink r:id="rId38" w:history="1">
        <w:r w:rsidR="00035070">
          <w:rPr>
            <w:rStyle w:val="Hyperlink"/>
          </w:rPr>
          <w:t>https://doi.org/10.5772/55655</w:t>
        </w:r>
      </w:hyperlink>
    </w:p>
    <w:p w:rsidR="00035070" w:rsidRDefault="00DA0758">
      <w:pPr>
        <w:pStyle w:val="NormalWeb"/>
        <w:spacing w:before="0" w:beforeAutospacing="0" w:after="0" w:afterAutospacing="0" w:line="480" w:lineRule="auto"/>
        <w:jc w:val="both"/>
        <w:rPr>
          <w:rFonts w:eastAsia="Calibri"/>
          <w:color w:val="212121"/>
          <w:shd w:val="clear" w:color="auto" w:fill="FFFFFF"/>
          <w:lang w:eastAsia="en-US"/>
        </w:rPr>
      </w:pPr>
      <w:r>
        <w:t>23)</w:t>
      </w:r>
      <w:r>
        <w:rPr>
          <w:rFonts w:eastAsia="Calibri"/>
          <w:color w:val="212121"/>
          <w:shd w:val="clear" w:color="auto" w:fill="FFFFFF"/>
          <w:lang w:eastAsia="en-US"/>
        </w:rPr>
        <w:t xml:space="preserve">Inaba, H., &amp;Mullighan, C. G. (2020b). Pediatric acute lymphoblastic leukemia. </w:t>
      </w:r>
      <w:r>
        <w:rPr>
          <w:rFonts w:eastAsia="Calibri"/>
          <w:i/>
          <w:iCs/>
          <w:color w:val="212121"/>
          <w:shd w:val="clear" w:color="auto" w:fill="FFFFFF"/>
          <w:lang w:eastAsia="en-US"/>
        </w:rPr>
        <w:t>Haematologica</w:t>
      </w:r>
      <w:r>
        <w:rPr>
          <w:rFonts w:eastAsia="Calibri"/>
          <w:color w:val="212121"/>
          <w:shd w:val="clear" w:color="auto" w:fill="FFFFFF"/>
          <w:lang w:eastAsia="en-US"/>
        </w:rPr>
        <w:t xml:space="preserve">, </w:t>
      </w:r>
      <w:r>
        <w:rPr>
          <w:rFonts w:eastAsia="Calibri"/>
          <w:i/>
          <w:iCs/>
          <w:color w:val="212121"/>
          <w:shd w:val="clear" w:color="auto" w:fill="FFFFFF"/>
          <w:lang w:eastAsia="en-US"/>
        </w:rPr>
        <w:t>105</w:t>
      </w:r>
      <w:r>
        <w:rPr>
          <w:rFonts w:eastAsia="Calibri"/>
          <w:color w:val="212121"/>
          <w:shd w:val="clear" w:color="auto" w:fill="FFFFFF"/>
          <w:lang w:eastAsia="en-US"/>
        </w:rPr>
        <w:t xml:space="preserve">(11), 2524–2539. </w:t>
      </w:r>
      <w:hyperlink r:id="rId39" w:history="1">
        <w:r w:rsidR="00035070">
          <w:rPr>
            <w:rStyle w:val="Hyperlink"/>
            <w:rFonts w:eastAsia="Calibri"/>
            <w:shd w:val="clear" w:color="auto" w:fill="FFFFFF"/>
            <w:lang w:eastAsia="en-US"/>
          </w:rPr>
          <w:t>https://doi.org/10.3324/haematol.2020.247031</w:t>
        </w:r>
      </w:hyperlink>
    </w:p>
    <w:p w:rsidR="00035070" w:rsidRDefault="00DA0758">
      <w:pPr>
        <w:pStyle w:val="NormalWeb"/>
        <w:spacing w:before="0" w:beforeAutospacing="0" w:after="0" w:afterAutospacing="0" w:line="480" w:lineRule="auto"/>
        <w:jc w:val="both"/>
      </w:pPr>
      <w:r>
        <w:t xml:space="preserve">24) Greaves, M. F., Maia, A. T., Wiemels, J. L., &amp; Ford, A. M. (2003). Leukemia in twins: lessons in natural history. </w:t>
      </w:r>
      <w:r>
        <w:rPr>
          <w:i/>
          <w:iCs/>
        </w:rPr>
        <w:t>Blood</w:t>
      </w:r>
      <w:r>
        <w:t xml:space="preserve">, </w:t>
      </w:r>
      <w:r>
        <w:rPr>
          <w:i/>
          <w:iCs/>
        </w:rPr>
        <w:t>102</w:t>
      </w:r>
      <w:r>
        <w:t xml:space="preserve">(7), 2321–2333. </w:t>
      </w:r>
      <w:hyperlink r:id="rId40" w:history="1">
        <w:r w:rsidR="00035070">
          <w:rPr>
            <w:rStyle w:val="Hyperlink"/>
          </w:rPr>
          <w:t>https://doi.org/10.1182/blood-2002-12-3817</w:t>
        </w:r>
      </w:hyperlink>
    </w:p>
    <w:p w:rsidR="00035070" w:rsidRDefault="00DA0758">
      <w:pPr>
        <w:pStyle w:val="NormalWeb"/>
        <w:spacing w:before="0" w:beforeAutospacing="0" w:after="0" w:afterAutospacing="0" w:line="480" w:lineRule="auto"/>
        <w:jc w:val="both"/>
      </w:pPr>
      <w:r>
        <w:t xml:space="preserve">25) Medtextfree. (2012, January 23). </w:t>
      </w:r>
      <w:r>
        <w:rPr>
          <w:i/>
          <w:iCs/>
        </w:rPr>
        <w:t>CHAPTER 97 ACUTE LYMPHOBLASTIC LEUKEMIA</w:t>
      </w:r>
      <w:r>
        <w:t xml:space="preserve">. Free Medical Textbook. </w:t>
      </w:r>
      <w:hyperlink r:id="rId41" w:history="1">
        <w:r w:rsidR="00035070">
          <w:rPr>
            <w:rStyle w:val="Hyperlink"/>
          </w:rPr>
          <w:t>https://medtextfree.wordpress.com/2012/01/23/chapter-97-acute-lymphoblastic-leukemia/</w:t>
        </w:r>
      </w:hyperlink>
    </w:p>
    <w:p w:rsidR="00035070" w:rsidRDefault="00DA0758">
      <w:pPr>
        <w:pStyle w:val="NormalWeb"/>
        <w:spacing w:before="0" w:beforeAutospacing="0" w:after="0" w:afterAutospacing="0" w:line="480" w:lineRule="auto"/>
        <w:jc w:val="both"/>
      </w:pPr>
      <w:r>
        <w:t xml:space="preserve">26) Mullighan, C. G. (2014). The genomic landscape of acute lymphoblastic leukemia in children and young adults. </w:t>
      </w:r>
      <w:r>
        <w:rPr>
          <w:i/>
          <w:iCs/>
        </w:rPr>
        <w:t>Hematology</w:t>
      </w:r>
      <w:r>
        <w:t xml:space="preserve">, </w:t>
      </w:r>
      <w:r>
        <w:rPr>
          <w:i/>
          <w:iCs/>
        </w:rPr>
        <w:t>2014</w:t>
      </w:r>
      <w:r>
        <w:t xml:space="preserve">(1), 174–180. </w:t>
      </w:r>
      <w:hyperlink r:id="rId42" w:history="1">
        <w:r w:rsidR="00035070">
          <w:rPr>
            <w:rStyle w:val="Hyperlink"/>
          </w:rPr>
          <w:t>https://doi.org/10.1182/asheducation-2014.1.174</w:t>
        </w:r>
      </w:hyperlink>
    </w:p>
    <w:p w:rsidR="00035070" w:rsidRDefault="00DA0758">
      <w:pPr>
        <w:pStyle w:val="NormalWeb"/>
        <w:spacing w:before="0" w:beforeAutospacing="0" w:after="0" w:afterAutospacing="0" w:line="480" w:lineRule="auto"/>
        <w:jc w:val="both"/>
      </w:pPr>
      <w:r>
        <w:t>27)</w:t>
      </w:r>
      <w:r>
        <w:rPr>
          <w:i/>
          <w:iCs/>
        </w:rPr>
        <w:t xml:space="preserve"> How CAR T-cell therapy works - UChicago Medicine</w:t>
      </w:r>
      <w:r>
        <w:t xml:space="preserve">. (n.d.). </w:t>
      </w:r>
      <w:hyperlink r:id="rId43" w:history="1">
        <w:r w:rsidR="00035070">
          <w:rPr>
            <w:rStyle w:val="Hyperlink"/>
          </w:rPr>
          <w:t>https://www.uchicagomedicine.org/cancer/types-treatments/car-t-cell-therapy/how-car-t-cell-therapy-works?utm_source=chatgpt.com</w:t>
        </w:r>
      </w:hyperlink>
    </w:p>
    <w:p w:rsidR="00035070" w:rsidRDefault="00DA0758">
      <w:pPr>
        <w:pStyle w:val="NormalWeb"/>
        <w:spacing w:before="0" w:beforeAutospacing="0" w:after="0" w:afterAutospacing="0" w:line="480" w:lineRule="auto"/>
        <w:jc w:val="both"/>
      </w:pPr>
      <w:r>
        <w:lastRenderedPageBreak/>
        <w:t xml:space="preserve">28) Sadelain, M., Brentjens, R., &amp; Rivière, I. (2009). The promise and potential pitfalls of chimeric antigen receptors. </w:t>
      </w:r>
      <w:r>
        <w:rPr>
          <w:i/>
          <w:iCs/>
        </w:rPr>
        <w:t>Current Opinion in Immunology</w:t>
      </w:r>
      <w:r>
        <w:t xml:space="preserve">, </w:t>
      </w:r>
      <w:r>
        <w:rPr>
          <w:i/>
          <w:iCs/>
        </w:rPr>
        <w:t>21</w:t>
      </w:r>
      <w:r>
        <w:t xml:space="preserve">(2), 215–223. </w:t>
      </w:r>
      <w:hyperlink r:id="rId44" w:history="1">
        <w:r w:rsidR="00035070">
          <w:rPr>
            <w:rStyle w:val="Hyperlink"/>
          </w:rPr>
          <w:t>https://doi.org/10.1016/j.coi.2009.02.009</w:t>
        </w:r>
      </w:hyperlink>
    </w:p>
    <w:p w:rsidR="00035070" w:rsidRDefault="00DA0758">
      <w:pPr>
        <w:pStyle w:val="NormalWeb"/>
        <w:spacing w:before="0" w:beforeAutospacing="0" w:after="0" w:afterAutospacing="0" w:line="480" w:lineRule="auto"/>
        <w:jc w:val="both"/>
      </w:pPr>
      <w:r>
        <w:t xml:space="preserve">29) Raghunathan, K., &amp; P, B. D. (2019). CHIMERIC ANTIGEN RECEPTOR FOR CHRONIC LYMPHOCYTIC LEUKEMIA - A REVIEW. </w:t>
      </w:r>
      <w:r>
        <w:rPr>
          <w:i/>
          <w:iCs/>
        </w:rPr>
        <w:t>Asian Journal of Pharmaceutical and Clinical Research</w:t>
      </w:r>
      <w:r>
        <w:t xml:space="preserve">, </w:t>
      </w:r>
      <w:r>
        <w:rPr>
          <w:i/>
          <w:iCs/>
        </w:rPr>
        <w:t>12</w:t>
      </w:r>
      <w:r>
        <w:t xml:space="preserve">(1), 62. </w:t>
      </w:r>
      <w:hyperlink r:id="rId45" w:history="1">
        <w:r w:rsidR="00035070">
          <w:rPr>
            <w:rStyle w:val="Hyperlink"/>
          </w:rPr>
          <w:t>https://doi.org/10.22159/ajpcr.2019.v12i1.29642</w:t>
        </w:r>
      </w:hyperlink>
    </w:p>
    <w:p w:rsidR="00035070" w:rsidRDefault="00DA0758">
      <w:pPr>
        <w:pStyle w:val="NormalWeb"/>
        <w:spacing w:before="0" w:beforeAutospacing="0" w:after="0" w:afterAutospacing="0" w:line="480" w:lineRule="auto"/>
        <w:jc w:val="both"/>
      </w:pPr>
      <w:r>
        <w:t xml:space="preserve">30) Sadelain, M., Brentjens, R., &amp; Rivière, I. (2009b). The promise and potential pitfalls of chimeric antigen receptors. </w:t>
      </w:r>
      <w:r>
        <w:rPr>
          <w:i/>
          <w:iCs/>
        </w:rPr>
        <w:t>Current Opinion in Immunology</w:t>
      </w:r>
      <w:r>
        <w:t xml:space="preserve">, </w:t>
      </w:r>
      <w:r>
        <w:rPr>
          <w:i/>
          <w:iCs/>
        </w:rPr>
        <w:t>21</w:t>
      </w:r>
      <w:r>
        <w:t xml:space="preserve">(2), 215–223. </w:t>
      </w:r>
      <w:hyperlink r:id="rId46" w:history="1">
        <w:r w:rsidR="00035070">
          <w:rPr>
            <w:rStyle w:val="Hyperlink"/>
          </w:rPr>
          <w:t>https://doi.org/10.1016/j.coi.2009.02.009</w:t>
        </w:r>
      </w:hyperlink>
    </w:p>
    <w:p w:rsidR="00035070" w:rsidRDefault="00DA0758">
      <w:pPr>
        <w:pStyle w:val="NormalWeb"/>
        <w:spacing w:before="0" w:beforeAutospacing="0" w:after="0" w:afterAutospacing="0" w:line="480" w:lineRule="auto"/>
        <w:jc w:val="both"/>
      </w:pPr>
      <w:r>
        <w:t xml:space="preserve">31) Sallman, D. A., Al-Homsi, A. S., Davila, M. L., Kerre, T., Moors, I., Poire, X., Havelange, V., Lewalle, P., Pollyea, D. A., Wang, E. S., Blum, W., Demoulin, B., Sotiropoulou, P. A., Alcantar-Orozco, E., Breman, E., Dheur, M., Braun, N., Lonez, C., Gilham, D. E., . . . Lehmann, F. F. (2020). The results from the Phase I Clinical Studies Evaluating Cyad-01, a First-Generation NKG2D CAR T-Cell Product in Relapsed or Refractory Acute Myeloid Leukemia and Myelodysplastic Syndrome Patients. </w:t>
      </w:r>
      <w:r>
        <w:rPr>
          <w:i/>
          <w:iCs/>
        </w:rPr>
        <w:t>Blood</w:t>
      </w:r>
      <w:r>
        <w:t xml:space="preserve">, </w:t>
      </w:r>
      <w:r>
        <w:rPr>
          <w:i/>
          <w:iCs/>
        </w:rPr>
        <w:t>136</w:t>
      </w:r>
      <w:r>
        <w:t>(Supplement 1), 40–41. https://doi.org/10.1182/blood-2020-139609</w:t>
      </w:r>
    </w:p>
    <w:p w:rsidR="00035070" w:rsidRDefault="00DA0758">
      <w:pPr>
        <w:pStyle w:val="NormalWeb"/>
        <w:spacing w:before="0" w:beforeAutospacing="0" w:after="0" w:afterAutospacing="0" w:line="480" w:lineRule="auto"/>
        <w:jc w:val="both"/>
      </w:pPr>
      <w:r>
        <w:t xml:space="preserve">32) Enblad, G., Karlsson, H., Gammelgård, G., Wenthe, J., Lövgren, T., Amini, R. M., Wikstrom, K. I., Essand, M., Savoldo, B., Hallböök, H., Höglund, M., Dotti, G., Brenner, M. K., Hagberg, H., &amp;Loskog, A. (2018). A Phase I/IIA trial using CD19-Targeted Third-Generation CAR T cells for lymphoma and leukemia. </w:t>
      </w:r>
      <w:r>
        <w:rPr>
          <w:i/>
          <w:iCs/>
        </w:rPr>
        <w:t>Clinical Cancer Research</w:t>
      </w:r>
      <w:r>
        <w:t xml:space="preserve">, </w:t>
      </w:r>
      <w:r>
        <w:rPr>
          <w:i/>
          <w:iCs/>
        </w:rPr>
        <w:t>24</w:t>
      </w:r>
      <w:r>
        <w:t xml:space="preserve">(24), 6185–6194. </w:t>
      </w:r>
      <w:hyperlink r:id="rId47" w:history="1">
        <w:r w:rsidR="00035070">
          <w:rPr>
            <w:rStyle w:val="Hyperlink"/>
          </w:rPr>
          <w:t>https://doi.org/10.1158/1078-0432.ccr-18-0426</w:t>
        </w:r>
      </w:hyperlink>
    </w:p>
    <w:p w:rsidR="00035070" w:rsidRDefault="00DA0758">
      <w:pPr>
        <w:pStyle w:val="NormalWeb"/>
        <w:spacing w:before="0" w:beforeAutospacing="0" w:after="0" w:afterAutospacing="0" w:line="480" w:lineRule="auto"/>
        <w:jc w:val="both"/>
      </w:pPr>
      <w:r>
        <w:t xml:space="preserve">33) Van Der Stegen, S. J. C., Hamieh, M., &amp;Sadelain, M. (2015). The pharmacology of second-generation chimeric antigen receptors. </w:t>
      </w:r>
      <w:r>
        <w:rPr>
          <w:i/>
          <w:iCs/>
        </w:rPr>
        <w:t>Nature Reviews Drug Discovery</w:t>
      </w:r>
      <w:r>
        <w:t xml:space="preserve">, </w:t>
      </w:r>
      <w:r>
        <w:rPr>
          <w:i/>
          <w:iCs/>
        </w:rPr>
        <w:t>14</w:t>
      </w:r>
      <w:r>
        <w:t xml:space="preserve">(7), 499–509. </w:t>
      </w:r>
      <w:hyperlink r:id="rId48" w:history="1">
        <w:r w:rsidR="00035070">
          <w:rPr>
            <w:rStyle w:val="Hyperlink"/>
          </w:rPr>
          <w:t>https://doi.org/10.1038/nrd4597</w:t>
        </w:r>
      </w:hyperlink>
    </w:p>
    <w:p w:rsidR="00035070" w:rsidRDefault="00DA0758">
      <w:pPr>
        <w:pStyle w:val="NormalWeb"/>
        <w:spacing w:before="0" w:beforeAutospacing="0" w:after="0" w:afterAutospacing="0" w:line="480" w:lineRule="auto"/>
        <w:jc w:val="both"/>
      </w:pPr>
      <w:r>
        <w:lastRenderedPageBreak/>
        <w:t xml:space="preserve">34) Schubert, M., Schmitt, A., Neuber, B., Hückelhoven-Krauss, A., Kunz, A., Wang, L., Gern, U., Michels, B., Sellner, L., Hofmann, S., Müller-Tidow, C., Dreger, P., &amp; Schmitt, M. (2019). Third-Generation CAR T Cells Targeting CD19 Are Associated with an Excellent Safety Profile and Might Improve Persistence of CAR T Cells in Treated Patients. </w:t>
      </w:r>
      <w:r>
        <w:rPr>
          <w:i/>
          <w:iCs/>
        </w:rPr>
        <w:t>Blood</w:t>
      </w:r>
      <w:r>
        <w:t xml:space="preserve">, </w:t>
      </w:r>
      <w:r>
        <w:rPr>
          <w:i/>
          <w:iCs/>
        </w:rPr>
        <w:t>134</w:t>
      </w:r>
      <w:r>
        <w:t xml:space="preserve">(Supplement_1), 51. </w:t>
      </w:r>
      <w:hyperlink r:id="rId49" w:history="1">
        <w:r w:rsidR="00035070">
          <w:rPr>
            <w:rStyle w:val="Hyperlink"/>
          </w:rPr>
          <w:t>https://doi.org/10.1182/blood-2019-125423</w:t>
        </w:r>
      </w:hyperlink>
    </w:p>
    <w:p w:rsidR="00035070" w:rsidRDefault="00DA0758">
      <w:pPr>
        <w:pStyle w:val="NormalWeb"/>
        <w:spacing w:before="0" w:beforeAutospacing="0" w:after="0" w:afterAutospacing="0" w:line="480" w:lineRule="auto"/>
        <w:jc w:val="both"/>
      </w:pPr>
      <w:r>
        <w:t xml:space="preserve">35) Sawaisorn, P., Atjanasuppat, K., Uaesoontrachoon, K., Rattananon, P., Treesuppharat, W., Hongeng, S., &amp;Anurathapan, U. (2023). Comparison of the efficacy of second and third generation lentiviral vector transduced CAR CD19 T cells for use in the treatment of acute lymphoblastic leukemia both in vitro and in vivo models. </w:t>
      </w:r>
      <w:r>
        <w:rPr>
          <w:i/>
          <w:iCs/>
        </w:rPr>
        <w:t>PLoS ONE</w:t>
      </w:r>
      <w:r>
        <w:t xml:space="preserve">, </w:t>
      </w:r>
      <w:r>
        <w:rPr>
          <w:i/>
          <w:iCs/>
        </w:rPr>
        <w:t>18</w:t>
      </w:r>
      <w:r>
        <w:t xml:space="preserve">(2), e0281735. </w:t>
      </w:r>
      <w:hyperlink r:id="rId50" w:history="1">
        <w:r w:rsidR="00035070">
          <w:rPr>
            <w:rStyle w:val="Hyperlink"/>
          </w:rPr>
          <w:t>https://doi.org/10.1371/journal.pone.0281735</w:t>
        </w:r>
      </w:hyperlink>
    </w:p>
    <w:p w:rsidR="00035070" w:rsidRDefault="00DA0758">
      <w:pPr>
        <w:pStyle w:val="NormalWeb"/>
        <w:spacing w:before="0" w:beforeAutospacing="0" w:after="0" w:afterAutospacing="0" w:line="480" w:lineRule="auto"/>
        <w:jc w:val="both"/>
      </w:pPr>
      <w:r>
        <w:t xml:space="preserve">36) Van Schandevyl, S., &amp;Kerre, T. (2018). Chimeric antigen receptor T-cell therapy: design improvements and therapeutic strategies in cancer treatment. </w:t>
      </w:r>
      <w:r>
        <w:rPr>
          <w:i/>
          <w:iCs/>
        </w:rPr>
        <w:t>Acta ClinicaBelgica</w:t>
      </w:r>
      <w:r>
        <w:t xml:space="preserve">, </w:t>
      </w:r>
      <w:r>
        <w:rPr>
          <w:i/>
          <w:iCs/>
        </w:rPr>
        <w:t>75</w:t>
      </w:r>
      <w:r>
        <w:t xml:space="preserve">(1), 26–32. </w:t>
      </w:r>
      <w:hyperlink r:id="rId51" w:history="1">
        <w:r w:rsidR="00035070">
          <w:rPr>
            <w:rStyle w:val="Hyperlink"/>
          </w:rPr>
          <w:t>https://doi.org/10.1080/17843286.2018.1545373</w:t>
        </w:r>
      </w:hyperlink>
    </w:p>
    <w:p w:rsidR="00035070" w:rsidRDefault="00DA0758">
      <w:pPr>
        <w:pStyle w:val="NormalWeb"/>
        <w:spacing w:before="0" w:beforeAutospacing="0" w:after="0" w:afterAutospacing="0" w:line="480" w:lineRule="auto"/>
        <w:jc w:val="both"/>
      </w:pPr>
      <w:r>
        <w:t xml:space="preserve">37) Chmielewski, M., &amp;Abken, H. (2020). TRUCKS, the fourth‐generation CAR T cells: Current developments and clinical translation. </w:t>
      </w:r>
      <w:r>
        <w:rPr>
          <w:i/>
          <w:iCs/>
        </w:rPr>
        <w:t>Advances in Cell and Gene Therapy</w:t>
      </w:r>
      <w:r>
        <w:t xml:space="preserve">, </w:t>
      </w:r>
      <w:r>
        <w:rPr>
          <w:i/>
          <w:iCs/>
        </w:rPr>
        <w:t>3</w:t>
      </w:r>
      <w:r>
        <w:t xml:space="preserve">(3). </w:t>
      </w:r>
      <w:hyperlink r:id="rId52" w:history="1">
        <w:r w:rsidR="00035070">
          <w:rPr>
            <w:rStyle w:val="Hyperlink"/>
          </w:rPr>
          <w:t>https://doi.org/10.1002/acg2.84</w:t>
        </w:r>
      </w:hyperlink>
    </w:p>
    <w:p w:rsidR="00035070" w:rsidRDefault="00DA0758">
      <w:pPr>
        <w:pStyle w:val="NormalWeb"/>
        <w:spacing w:before="0" w:beforeAutospacing="0" w:after="0" w:afterAutospacing="0" w:line="480" w:lineRule="auto"/>
        <w:jc w:val="both"/>
      </w:pPr>
      <w:r>
        <w:t xml:space="preserve">38) Tang, L., Pan, S., Wei, X., Xu, X., &amp;Wei, Q. (2023). Arming CAR-T cells with cytokines and more: Innovations in the fourth-generation CAR-T development. </w:t>
      </w:r>
      <w:r>
        <w:rPr>
          <w:i/>
          <w:iCs/>
        </w:rPr>
        <w:t>Molecular Therapy</w:t>
      </w:r>
      <w:r>
        <w:t xml:space="preserve">, </w:t>
      </w:r>
      <w:r>
        <w:rPr>
          <w:i/>
          <w:iCs/>
        </w:rPr>
        <w:t>31</w:t>
      </w:r>
      <w:r>
        <w:t xml:space="preserve">(11), 3146–3162. </w:t>
      </w:r>
      <w:hyperlink r:id="rId53" w:history="1">
        <w:r w:rsidR="00035070">
          <w:rPr>
            <w:rStyle w:val="Hyperlink"/>
          </w:rPr>
          <w:t>https://doi.org/10.1016/j.ymthe.2023.09.021</w:t>
        </w:r>
      </w:hyperlink>
    </w:p>
    <w:p w:rsidR="00035070" w:rsidRDefault="00DA0758">
      <w:pPr>
        <w:pStyle w:val="NormalWeb"/>
        <w:spacing w:before="0" w:beforeAutospacing="0" w:after="0" w:afterAutospacing="0" w:line="480" w:lineRule="auto"/>
        <w:jc w:val="both"/>
      </w:pPr>
      <w:r>
        <w:t xml:space="preserve">39) Huang, R., Li, X., He, Y., Zhu, W., Gao, L., Liu, Y., Gao, L., Wen, Q., Zhong, J. F., Zhang, C., &amp; Zhang, X. (2020). Recent advances in CAR-T-cell engineering. </w:t>
      </w:r>
      <w:r>
        <w:rPr>
          <w:i/>
          <w:iCs/>
        </w:rPr>
        <w:t>Journal of Hematology&amp; Oncology</w:t>
      </w:r>
      <w:r>
        <w:t xml:space="preserve">, </w:t>
      </w:r>
      <w:r>
        <w:rPr>
          <w:i/>
          <w:iCs/>
        </w:rPr>
        <w:t>13</w:t>
      </w:r>
      <w:r>
        <w:t xml:space="preserve">(1). </w:t>
      </w:r>
      <w:hyperlink r:id="rId54" w:history="1">
        <w:r w:rsidR="00035070">
          <w:rPr>
            <w:rStyle w:val="Hyperlink"/>
          </w:rPr>
          <w:t>https://doi.org/10.1186/s13045-020-00910-5</w:t>
        </w:r>
      </w:hyperlink>
    </w:p>
    <w:p w:rsidR="00035070" w:rsidRDefault="00DA0758">
      <w:pPr>
        <w:pStyle w:val="NormalWeb"/>
        <w:spacing w:before="0" w:beforeAutospacing="0" w:after="0" w:afterAutospacing="0" w:line="480" w:lineRule="auto"/>
        <w:jc w:val="both"/>
      </w:pPr>
      <w:r>
        <w:t xml:space="preserve">40) Laetsch, T. W., Yanik, G. A., Boyer, M. W., &amp; Rheingold, S. R. (2021). An owner’s manual for CD19 “CAR”-T-cell therapy in managing pediatric and young adult B-cell acute </w:t>
      </w:r>
      <w:r>
        <w:lastRenderedPageBreak/>
        <w:t xml:space="preserve">lymphoblastic leukemia. </w:t>
      </w:r>
      <w:r>
        <w:rPr>
          <w:i/>
          <w:iCs/>
        </w:rPr>
        <w:t>Blood Reviews</w:t>
      </w:r>
      <w:r>
        <w:t xml:space="preserve">, </w:t>
      </w:r>
      <w:r>
        <w:rPr>
          <w:i/>
          <w:iCs/>
        </w:rPr>
        <w:t>50</w:t>
      </w:r>
      <w:r>
        <w:t xml:space="preserve">, 100848. </w:t>
      </w:r>
      <w:hyperlink r:id="rId55" w:history="1">
        <w:r w:rsidR="00035070">
          <w:rPr>
            <w:rStyle w:val="Hyperlink"/>
          </w:rPr>
          <w:t>https://doi.org/10.1016/j.blre.2021.100848</w:t>
        </w:r>
      </w:hyperlink>
    </w:p>
    <w:p w:rsidR="00035070" w:rsidRDefault="00DA0758">
      <w:pPr>
        <w:pStyle w:val="NormalWeb"/>
        <w:spacing w:before="0" w:beforeAutospacing="0" w:after="0" w:afterAutospacing="0" w:line="480" w:lineRule="auto"/>
        <w:jc w:val="both"/>
      </w:pPr>
      <w:r>
        <w:t xml:space="preserve">41) Aamir, S., Anwar, M. Y., Khalid, F., Khan, S. I., Ali, M. A., &amp;Khattak, Z. E. (2020). Systematic Review and Meta-analysis of CD19-Specific CAR-T-cell therapy in Relapsed/Refractory Acute Lymphoblastic Leukemia in the pediatric and Young adult population: Safety and efficacy Outcomes. </w:t>
      </w:r>
      <w:r>
        <w:rPr>
          <w:i/>
          <w:iCs/>
        </w:rPr>
        <w:t>Clinical Lymphoma Myeloma &amp;Leukemia</w:t>
      </w:r>
      <w:r>
        <w:t xml:space="preserve">, </w:t>
      </w:r>
      <w:r>
        <w:rPr>
          <w:i/>
          <w:iCs/>
        </w:rPr>
        <w:t>21</w:t>
      </w:r>
      <w:r>
        <w:t xml:space="preserve">(4), e334–e347. </w:t>
      </w:r>
      <w:hyperlink r:id="rId56" w:history="1">
        <w:r w:rsidR="00035070">
          <w:rPr>
            <w:rStyle w:val="Hyperlink"/>
          </w:rPr>
          <w:t>https://doi.org/10.1016/j.clml.2020.12.010</w:t>
        </w:r>
      </w:hyperlink>
    </w:p>
    <w:p w:rsidR="00035070" w:rsidRDefault="00DA0758">
      <w:pPr>
        <w:pStyle w:val="NormalWeb"/>
        <w:spacing w:before="0" w:beforeAutospacing="0" w:after="0" w:afterAutospacing="0" w:line="480" w:lineRule="auto"/>
        <w:jc w:val="both"/>
      </w:pPr>
      <w:r>
        <w:t xml:space="preserve">42) Myers, R. M., Dolan, J., &amp;Teachey, D. T. (2020). Chimeric antigen receptor T-cell therapy for pediatric and young adult B-cell acute lymphoblastic leukemia. </w:t>
      </w:r>
      <w:r>
        <w:rPr>
          <w:i/>
          <w:iCs/>
        </w:rPr>
        <w:t>Expert Review of Clinical Immunology</w:t>
      </w:r>
      <w:r>
        <w:t xml:space="preserve">, </w:t>
      </w:r>
      <w:r>
        <w:rPr>
          <w:i/>
          <w:iCs/>
        </w:rPr>
        <w:t>16</w:t>
      </w:r>
      <w:r>
        <w:t xml:space="preserve">(10), 1029–1042. </w:t>
      </w:r>
      <w:hyperlink r:id="rId57" w:history="1">
        <w:r w:rsidR="00035070">
          <w:rPr>
            <w:rStyle w:val="Hyperlink"/>
          </w:rPr>
          <w:t>https://doi.org/10.1080/1744666x.2021.1828067</w:t>
        </w:r>
      </w:hyperlink>
    </w:p>
    <w:p w:rsidR="00035070" w:rsidRDefault="00DA0758">
      <w:pPr>
        <w:pStyle w:val="NormalWeb"/>
        <w:spacing w:before="0" w:beforeAutospacing="0" w:after="0" w:afterAutospacing="0" w:line="480" w:lineRule="auto"/>
        <w:jc w:val="both"/>
      </w:pPr>
      <w:r>
        <w:t xml:space="preserve">43) Barrett, D. M. (2019). Improving CAR T-cell immunotherapy–mediated remissions for pediatricleukemia. </w:t>
      </w:r>
      <w:r>
        <w:rPr>
          <w:i/>
          <w:iCs/>
        </w:rPr>
        <w:t>Journal of Clinical Investigation</w:t>
      </w:r>
      <w:r>
        <w:t xml:space="preserve">, </w:t>
      </w:r>
      <w:r>
        <w:rPr>
          <w:i/>
          <w:iCs/>
        </w:rPr>
        <w:t>129</w:t>
      </w:r>
      <w:r>
        <w:t xml:space="preserve">(5), 1842–1844. </w:t>
      </w:r>
      <w:hyperlink r:id="rId58" w:history="1">
        <w:r w:rsidR="00035070">
          <w:rPr>
            <w:rStyle w:val="Hyperlink"/>
          </w:rPr>
          <w:t>https://doi.org/10.1172/jci128743</w:t>
        </w:r>
      </w:hyperlink>
    </w:p>
    <w:p w:rsidR="00035070" w:rsidRDefault="00DA0758">
      <w:pPr>
        <w:pStyle w:val="NormalWeb"/>
        <w:spacing w:before="0" w:beforeAutospacing="0" w:after="0" w:afterAutospacing="0" w:line="480" w:lineRule="auto"/>
        <w:jc w:val="both"/>
      </w:pPr>
      <w:r>
        <w:t xml:space="preserve">44) Hucks, G., &amp; Rheingold, S. R. (2019). The journey to CAR T-cell therapy: the pediatric and young adult experience with relapsed or refractory B-ALL. </w:t>
      </w:r>
      <w:r>
        <w:rPr>
          <w:i/>
          <w:iCs/>
        </w:rPr>
        <w:t>Blood Cancer Journal</w:t>
      </w:r>
      <w:r>
        <w:t xml:space="preserve">, </w:t>
      </w:r>
      <w:r>
        <w:rPr>
          <w:i/>
          <w:iCs/>
        </w:rPr>
        <w:t>9</w:t>
      </w:r>
      <w:r>
        <w:t xml:space="preserve">(2). </w:t>
      </w:r>
      <w:hyperlink r:id="rId59" w:history="1">
        <w:r w:rsidR="00035070">
          <w:rPr>
            <w:rStyle w:val="Hyperlink"/>
          </w:rPr>
          <w:t>https://doi.org/10.1038/s41408-018-0164-6</w:t>
        </w:r>
      </w:hyperlink>
    </w:p>
    <w:p w:rsidR="00035070" w:rsidRDefault="00DA0758">
      <w:pPr>
        <w:pStyle w:val="NormalWeb"/>
        <w:spacing w:before="0" w:beforeAutospacing="0" w:after="0" w:afterAutospacing="0" w:line="480" w:lineRule="auto"/>
        <w:jc w:val="both"/>
      </w:pPr>
      <w:r>
        <w:t xml:space="preserve">45) First-Ever CAR T-cell therapy approved in U.S. (2017). </w:t>
      </w:r>
      <w:r>
        <w:rPr>
          <w:i/>
          <w:iCs/>
        </w:rPr>
        <w:t>Cancer Discovery</w:t>
      </w:r>
      <w:r>
        <w:t xml:space="preserve">, </w:t>
      </w:r>
      <w:r>
        <w:rPr>
          <w:i/>
          <w:iCs/>
        </w:rPr>
        <w:t>7</w:t>
      </w:r>
      <w:r>
        <w:t xml:space="preserve">(10), OF1. </w:t>
      </w:r>
      <w:hyperlink r:id="rId60" w:history="1">
        <w:r w:rsidR="00035070">
          <w:rPr>
            <w:rStyle w:val="Hyperlink"/>
          </w:rPr>
          <w:t>https://doi.org/10.1158/2159-8290.cd-nb2017-126</w:t>
        </w:r>
      </w:hyperlink>
    </w:p>
    <w:p w:rsidR="00035070" w:rsidRDefault="00DA0758">
      <w:pPr>
        <w:pStyle w:val="NormalWeb"/>
        <w:spacing w:before="0" w:beforeAutospacing="0" w:after="0" w:afterAutospacing="0" w:line="480" w:lineRule="auto"/>
        <w:jc w:val="both"/>
      </w:pPr>
      <w:r>
        <w:t xml:space="preserve">46) FDA approves second CAR T-cell therapy. (2017). </w:t>
      </w:r>
      <w:r>
        <w:rPr>
          <w:i/>
          <w:iCs/>
        </w:rPr>
        <w:t>Cancer Discovery</w:t>
      </w:r>
      <w:r>
        <w:t xml:space="preserve">, </w:t>
      </w:r>
      <w:r>
        <w:rPr>
          <w:i/>
          <w:iCs/>
        </w:rPr>
        <w:t>8</w:t>
      </w:r>
      <w:r>
        <w:t xml:space="preserve">(1), 5–6. </w:t>
      </w:r>
      <w:hyperlink r:id="rId61" w:history="1">
        <w:r w:rsidR="00035070">
          <w:rPr>
            <w:rStyle w:val="Hyperlink"/>
          </w:rPr>
          <w:t>https://doi.org/10.1158/2159-8290.cd-nb2017-155</w:t>
        </w:r>
      </w:hyperlink>
    </w:p>
    <w:p w:rsidR="00035070" w:rsidRDefault="00DA0758">
      <w:pPr>
        <w:pStyle w:val="NormalWeb"/>
        <w:spacing w:before="0" w:beforeAutospacing="0" w:after="0" w:afterAutospacing="0" w:line="480" w:lineRule="auto"/>
        <w:jc w:val="both"/>
      </w:pPr>
      <w:r>
        <w:t xml:space="preserve">47) Ahmad, A., Uddin, S., &amp; Steinhoff, M. (2020). CAR-T-Cell Therapies: An Overview of Clinical Studies Supporting Their Approved Use against Acute Lymphoblastic Leukemia and Large B-Cell Lymphomas. </w:t>
      </w:r>
      <w:r>
        <w:rPr>
          <w:i/>
          <w:iCs/>
        </w:rPr>
        <w:t>International Journal of Molecular Sciences</w:t>
      </w:r>
      <w:r>
        <w:t xml:space="preserve">, </w:t>
      </w:r>
      <w:r>
        <w:rPr>
          <w:i/>
          <w:iCs/>
        </w:rPr>
        <w:t>21</w:t>
      </w:r>
      <w:r>
        <w:t xml:space="preserve">(11), 3906. </w:t>
      </w:r>
      <w:hyperlink r:id="rId62" w:history="1">
        <w:r w:rsidR="00035070">
          <w:rPr>
            <w:rStyle w:val="Hyperlink"/>
          </w:rPr>
          <w:t>https://doi.org/10.3390/ijms21113906</w:t>
        </w:r>
      </w:hyperlink>
    </w:p>
    <w:p w:rsidR="00035070" w:rsidRDefault="00DA0758">
      <w:pPr>
        <w:pStyle w:val="NormalWeb"/>
        <w:spacing w:before="0" w:beforeAutospacing="0" w:after="0" w:afterAutospacing="0" w:line="480" w:lineRule="auto"/>
        <w:jc w:val="both"/>
      </w:pPr>
      <w:r>
        <w:lastRenderedPageBreak/>
        <w:t xml:space="preserve">48) Denlinger, N., Bond, D., &amp;Jaglowski, S. (2021). CAR T-cell therapy for B-cell lymphoma. </w:t>
      </w:r>
      <w:r>
        <w:rPr>
          <w:i/>
          <w:iCs/>
        </w:rPr>
        <w:t>Current Problems in Cancer</w:t>
      </w:r>
      <w:r>
        <w:t xml:space="preserve">, </w:t>
      </w:r>
      <w:r>
        <w:rPr>
          <w:i/>
          <w:iCs/>
        </w:rPr>
        <w:t>46</w:t>
      </w:r>
      <w:r>
        <w:t xml:space="preserve">(1), 100826. </w:t>
      </w:r>
      <w:hyperlink r:id="rId63" w:history="1">
        <w:r w:rsidR="00035070">
          <w:rPr>
            <w:rStyle w:val="Hyperlink"/>
          </w:rPr>
          <w:t>https://doi.org/10.1016/j.currproblcancer.2021.100826</w:t>
        </w:r>
      </w:hyperlink>
    </w:p>
    <w:p w:rsidR="00035070" w:rsidRDefault="00DA0758">
      <w:pPr>
        <w:pStyle w:val="NormalWeb"/>
        <w:spacing w:before="0" w:beforeAutospacing="0" w:after="0" w:afterAutospacing="0" w:line="480" w:lineRule="auto"/>
        <w:jc w:val="both"/>
      </w:pPr>
      <w:r>
        <w:t xml:space="preserve">49) Dholaria, B. R., Bachmeier, C. A., &amp; Locke, F. (2018). Mechanisms and Management of Chimeric Antigen Receptor T-Cell Therapy-Related toxicities. </w:t>
      </w:r>
      <w:r>
        <w:rPr>
          <w:i/>
          <w:iCs/>
        </w:rPr>
        <w:t>BioDrugs</w:t>
      </w:r>
      <w:r>
        <w:t xml:space="preserve">, </w:t>
      </w:r>
      <w:r>
        <w:rPr>
          <w:i/>
          <w:iCs/>
        </w:rPr>
        <w:t>33</w:t>
      </w:r>
      <w:r>
        <w:t xml:space="preserve">(1), 45–60. </w:t>
      </w:r>
      <w:hyperlink r:id="rId64" w:history="1">
        <w:r w:rsidR="00035070">
          <w:rPr>
            <w:rStyle w:val="Hyperlink"/>
          </w:rPr>
          <w:t>https://doi.org/10.1007/s40259-018-0324-z</w:t>
        </w:r>
      </w:hyperlink>
    </w:p>
    <w:p w:rsidR="00035070" w:rsidRDefault="00DA0758">
      <w:pPr>
        <w:pStyle w:val="NormalWeb"/>
        <w:spacing w:before="0" w:beforeAutospacing="0" w:after="0" w:afterAutospacing="0" w:line="480" w:lineRule="auto"/>
        <w:jc w:val="both"/>
      </w:pPr>
      <w:r>
        <w:t xml:space="preserve">50) Gil, L., Łojko-Dankowska, A., Matuszak, M., Wache, A., Nowicki, A., Graduszewska, A., Niezgoda, A., &amp;Dytfeld, D. (2020). CAR-T-cell therapy – toxicity and its management. </w:t>
      </w:r>
      <w:r>
        <w:rPr>
          <w:i/>
          <w:iCs/>
        </w:rPr>
        <w:t>Acta Haematologica Polonica</w:t>
      </w:r>
      <w:r>
        <w:t xml:space="preserve">, </w:t>
      </w:r>
      <w:r>
        <w:rPr>
          <w:i/>
          <w:iCs/>
        </w:rPr>
        <w:t>51</w:t>
      </w:r>
      <w:r>
        <w:t xml:space="preserve">(1), 6–10. </w:t>
      </w:r>
      <w:hyperlink r:id="rId65" w:history="1">
        <w:r w:rsidR="00035070">
          <w:rPr>
            <w:rStyle w:val="Hyperlink"/>
          </w:rPr>
          <w:t>https://doi.org/10.2478/ahp-2020-0003</w:t>
        </w:r>
      </w:hyperlink>
    </w:p>
    <w:p w:rsidR="00035070" w:rsidRDefault="00DA0758">
      <w:pPr>
        <w:pStyle w:val="NormalWeb"/>
        <w:spacing w:before="0" w:beforeAutospacing="0" w:after="0" w:afterAutospacing="0" w:line="480" w:lineRule="auto"/>
        <w:jc w:val="both"/>
      </w:pPr>
      <w:r>
        <w:t xml:space="preserve">51) Rankin, A. W., Duncan, B. B., Allen, C., Silbert, S. K., &amp; Shah, N. N. (2024). Evolving strategies for addressing CAR T-cell toxicities. </w:t>
      </w:r>
      <w:r>
        <w:rPr>
          <w:i/>
          <w:iCs/>
        </w:rPr>
        <w:t>Cancer and Metastasis Reviews</w:t>
      </w:r>
      <w:r>
        <w:t xml:space="preserve">, </w:t>
      </w:r>
      <w:r>
        <w:rPr>
          <w:i/>
          <w:iCs/>
        </w:rPr>
        <w:t>44</w:t>
      </w:r>
      <w:r>
        <w:t xml:space="preserve">(1). </w:t>
      </w:r>
      <w:hyperlink r:id="rId66" w:history="1">
        <w:r w:rsidR="00035070">
          <w:rPr>
            <w:rStyle w:val="Hyperlink"/>
          </w:rPr>
          <w:t>https://doi.org/10.1007/s10555-024-10227-1</w:t>
        </w:r>
      </w:hyperlink>
    </w:p>
    <w:p w:rsidR="00035070" w:rsidRDefault="00DA0758">
      <w:pPr>
        <w:pStyle w:val="NormalWeb"/>
        <w:spacing w:before="0" w:beforeAutospacing="0" w:after="0" w:afterAutospacing="0" w:line="480" w:lineRule="auto"/>
        <w:jc w:val="both"/>
      </w:pPr>
      <w:r>
        <w:t xml:space="preserve">52) Schubert, M., Schmitt, M., Wang, L., Ramos, C., Jordan, K., Müller-Tidow, C., &amp; Dreger, P. (2020). Side-effect management of chimeric antigen receptor (CAR) T-cell therapy. </w:t>
      </w:r>
      <w:r>
        <w:rPr>
          <w:i/>
          <w:iCs/>
        </w:rPr>
        <w:t>Annals of Oncology</w:t>
      </w:r>
      <w:r>
        <w:t xml:space="preserve">, </w:t>
      </w:r>
      <w:r>
        <w:rPr>
          <w:i/>
          <w:iCs/>
        </w:rPr>
        <w:t>32</w:t>
      </w:r>
      <w:r>
        <w:t xml:space="preserve">(1), 34–48. </w:t>
      </w:r>
      <w:hyperlink r:id="rId67" w:history="1">
        <w:r w:rsidR="00035070">
          <w:rPr>
            <w:rStyle w:val="Hyperlink"/>
          </w:rPr>
          <w:t>https://doi.org/10.1016/j.annonc.2020.10.478</w:t>
        </w:r>
      </w:hyperlink>
    </w:p>
    <w:p w:rsidR="00035070" w:rsidRDefault="00DA0758">
      <w:pPr>
        <w:pStyle w:val="NormalWeb"/>
        <w:spacing w:before="0" w:beforeAutospacing="0" w:after="0" w:afterAutospacing="0" w:line="480" w:lineRule="auto"/>
        <w:jc w:val="both"/>
      </w:pPr>
      <w:r>
        <w:t xml:space="preserve">53) Yoo, J. W. (2023). Management of adverse events in young adults and children with acute B-cell lymphoblastic leukemia receiving anti-CD19 chimeric antigen receptor (CAR) T-cell therapy. </w:t>
      </w:r>
      <w:r>
        <w:rPr>
          <w:i/>
          <w:iCs/>
        </w:rPr>
        <w:t>Blood Research</w:t>
      </w:r>
      <w:r>
        <w:t xml:space="preserve">, </w:t>
      </w:r>
      <w:r>
        <w:rPr>
          <w:i/>
          <w:iCs/>
        </w:rPr>
        <w:t>58</w:t>
      </w:r>
      <w:r>
        <w:t xml:space="preserve">(S1), S20–S28. </w:t>
      </w:r>
      <w:hyperlink r:id="rId68" w:history="1">
        <w:r w:rsidR="00035070">
          <w:rPr>
            <w:rStyle w:val="Hyperlink"/>
          </w:rPr>
          <w:t>https://doi.org/10.5045/br.2023.2023026</w:t>
        </w:r>
      </w:hyperlink>
    </w:p>
    <w:p w:rsidR="00035070" w:rsidRDefault="00DA0758">
      <w:pPr>
        <w:pStyle w:val="NormalWeb"/>
        <w:spacing w:before="0" w:beforeAutospacing="0" w:after="0" w:afterAutospacing="0" w:line="480" w:lineRule="auto"/>
        <w:jc w:val="both"/>
      </w:pPr>
      <w:r>
        <w:t xml:space="preserve">54) Gajra, A., Zettler, M. E., Phillips, E. G., Jr, Klink, A. J., Kish, J. K., Mehta, S., &amp; Feinberg, B. (2019). Neurological Adverse Events Following CAR-T-Cell Therapy: A Real-World Analysis of Adult Patients Treated with AxicabtageneCiloleucel or Tisagenlecleucel. </w:t>
      </w:r>
      <w:r>
        <w:rPr>
          <w:i/>
          <w:iCs/>
        </w:rPr>
        <w:t>Blood</w:t>
      </w:r>
      <w:r>
        <w:t xml:space="preserve">, </w:t>
      </w:r>
      <w:r>
        <w:rPr>
          <w:i/>
          <w:iCs/>
        </w:rPr>
        <w:t>134</w:t>
      </w:r>
      <w:r>
        <w:t xml:space="preserve">(Supplement_1), 1952. </w:t>
      </w:r>
      <w:hyperlink r:id="rId69" w:history="1">
        <w:r w:rsidR="00035070">
          <w:rPr>
            <w:rStyle w:val="Hyperlink"/>
          </w:rPr>
          <w:t>https://doi.org/10.1182/blood-2019-129593</w:t>
        </w:r>
      </w:hyperlink>
    </w:p>
    <w:p w:rsidR="00035070" w:rsidRDefault="00DA0758">
      <w:pPr>
        <w:pStyle w:val="NormalWeb"/>
        <w:spacing w:before="0" w:beforeAutospacing="0" w:after="0" w:afterAutospacing="0" w:line="480" w:lineRule="auto"/>
        <w:jc w:val="both"/>
      </w:pPr>
      <w:r>
        <w:t xml:space="preserve">55) Rafaniello, C., Liguori, V., Zinzi, A., Gaio, M., Falco, A., Di Costanzo, L., Gargano, F., Trimarco, V., Cataldi, M., &amp; Capuano, A. (2023). A Pharmacovigilance Study on the Safety </w:t>
      </w:r>
      <w:r>
        <w:lastRenderedPageBreak/>
        <w:t xml:space="preserve">of AxicabtageneCiloleucel Based on Spontaneous Reports from the EudraVigilance Database. </w:t>
      </w:r>
      <w:r>
        <w:rPr>
          <w:i/>
          <w:iCs/>
        </w:rPr>
        <w:t>Biomedicines</w:t>
      </w:r>
      <w:r>
        <w:t xml:space="preserve">, </w:t>
      </w:r>
      <w:r>
        <w:rPr>
          <w:i/>
          <w:iCs/>
        </w:rPr>
        <w:t>11</w:t>
      </w:r>
      <w:r>
        <w:t xml:space="preserve">(8), 2162. </w:t>
      </w:r>
      <w:hyperlink r:id="rId70" w:history="1">
        <w:r w:rsidR="00035070">
          <w:rPr>
            <w:rStyle w:val="Hyperlink"/>
          </w:rPr>
          <w:t>https://doi.org/10.3390/biomedicines11082162</w:t>
        </w:r>
      </w:hyperlink>
    </w:p>
    <w:p w:rsidR="00035070" w:rsidRDefault="00DA0758">
      <w:pPr>
        <w:pStyle w:val="NormalWeb"/>
        <w:spacing w:before="0" w:beforeAutospacing="0" w:after="0" w:afterAutospacing="0" w:line="480" w:lineRule="auto"/>
        <w:jc w:val="both"/>
      </w:pPr>
      <w:r>
        <w:t xml:space="preserve">56) Bcop, A. C. K. P., &amp; PharmD, J. S. O. (2019). AxicabtageneCiloleucel: the first FDA-Approved CAR T-Cell therapy for Relapsed/Refractory large B-Cell lymphoma. </w:t>
      </w:r>
      <w:r>
        <w:rPr>
          <w:i/>
          <w:iCs/>
        </w:rPr>
        <w:t>Journal of the Advanced Practitioner in Oncology</w:t>
      </w:r>
      <w:r>
        <w:t xml:space="preserve">, </w:t>
      </w:r>
      <w:r>
        <w:rPr>
          <w:i/>
          <w:iCs/>
        </w:rPr>
        <w:t>10</w:t>
      </w:r>
      <w:r>
        <w:t xml:space="preserve">(8). </w:t>
      </w:r>
      <w:hyperlink r:id="rId71" w:history="1">
        <w:r w:rsidR="00035070">
          <w:rPr>
            <w:rStyle w:val="Hyperlink"/>
          </w:rPr>
          <w:t>https://doi.org/10.6004/jadpro.2019.10.8.9</w:t>
        </w:r>
      </w:hyperlink>
    </w:p>
    <w:p w:rsidR="00035070" w:rsidRDefault="00DA0758">
      <w:pPr>
        <w:pStyle w:val="NormalWeb"/>
        <w:spacing w:before="0" w:beforeAutospacing="0" w:after="0" w:afterAutospacing="0" w:line="480" w:lineRule="auto"/>
        <w:jc w:val="both"/>
      </w:pPr>
      <w:r>
        <w:t xml:space="preserve">57) Quinn, R., Thakkar, A., Zareef, S., Elkind, R., Wright, K., Fehn, K., Sakalian, S., Abreu, M., De Castro, A., Mustafa, J., Khatun, F., Lombardo, A., Nugent, L. T., Gritsman, K., Goldfinger, M., Kornblum, N., Shastri, A., Mantzaris, I., Rodriguez, L. B., . . . Sica, R. A. (2021). Neurotoxicity of Axicabtageneciloleucel and Long-Term outcomes - in a minority rich, ethnically diverse real world cohort. </w:t>
      </w:r>
      <w:r>
        <w:rPr>
          <w:i/>
          <w:iCs/>
        </w:rPr>
        <w:t>Blood</w:t>
      </w:r>
      <w:r>
        <w:t xml:space="preserve">, </w:t>
      </w:r>
      <w:r>
        <w:rPr>
          <w:i/>
          <w:iCs/>
        </w:rPr>
        <w:t>138</w:t>
      </w:r>
      <w:r>
        <w:t xml:space="preserve">(Supplement 1), 4842. </w:t>
      </w:r>
      <w:hyperlink r:id="rId72" w:history="1">
        <w:r w:rsidR="00035070">
          <w:rPr>
            <w:rStyle w:val="Hyperlink"/>
          </w:rPr>
          <w:t>https://doi.org/10.1182/blood-2021-153917</w:t>
        </w:r>
      </w:hyperlink>
    </w:p>
    <w:p w:rsidR="00035070" w:rsidRDefault="00DA0758">
      <w:pPr>
        <w:pStyle w:val="NormalWeb"/>
        <w:spacing w:before="0" w:beforeAutospacing="0" w:after="0" w:afterAutospacing="0" w:line="480" w:lineRule="auto"/>
        <w:jc w:val="both"/>
      </w:pPr>
      <w:r>
        <w:t xml:space="preserve">58) Furzer, J., Gupta, S., Nathan, P. C., Schechter, T., Pole, J. D., Krueger, J., &amp;Pechlivanoglou, P. (2020). Cost-effectiveness of Tisagenlecleucel vs Standard Care in High-risk Relapsed Pediatric Acute Lymphoblastic Leukemia in Canada. </w:t>
      </w:r>
      <w:r>
        <w:rPr>
          <w:i/>
          <w:iCs/>
        </w:rPr>
        <w:t>JAMA Oncology</w:t>
      </w:r>
      <w:r>
        <w:t xml:space="preserve">, </w:t>
      </w:r>
      <w:r>
        <w:rPr>
          <w:i/>
          <w:iCs/>
        </w:rPr>
        <w:t>6</w:t>
      </w:r>
      <w:r>
        <w:t xml:space="preserve">(3), 393. </w:t>
      </w:r>
      <w:hyperlink r:id="rId73" w:history="1">
        <w:r w:rsidR="00035070">
          <w:rPr>
            <w:rStyle w:val="Hyperlink"/>
          </w:rPr>
          <w:t>https://doi.org/10.1001/jamaoncol.2019.5909</w:t>
        </w:r>
      </w:hyperlink>
    </w:p>
    <w:p w:rsidR="00035070" w:rsidRDefault="00DA0758">
      <w:pPr>
        <w:pStyle w:val="NormalWeb"/>
        <w:spacing w:before="0" w:beforeAutospacing="0" w:after="0" w:afterAutospacing="0" w:line="480" w:lineRule="auto"/>
        <w:jc w:val="both"/>
      </w:pPr>
      <w:r>
        <w:t xml:space="preserve">59) Yang, H., Hao, Y., Chai, X., Qi, C. Z., &amp; Wu, E. Q. (2019). Estimation of Total Costs in Patients with Relapsed or Refractory Diffuse Large B-Cell Lymphoma Receiving Tisagenlecleucel from a US Hospital’s Perspective. </w:t>
      </w:r>
      <w:r>
        <w:rPr>
          <w:i/>
          <w:iCs/>
        </w:rPr>
        <w:t>Blood</w:t>
      </w:r>
      <w:r>
        <w:t xml:space="preserve">, </w:t>
      </w:r>
      <w:r>
        <w:rPr>
          <w:i/>
          <w:iCs/>
        </w:rPr>
        <w:t>134</w:t>
      </w:r>
      <w:r>
        <w:t xml:space="preserve">(Supplement_1), 3419. </w:t>
      </w:r>
      <w:hyperlink r:id="rId74" w:history="1">
        <w:r w:rsidR="00035070">
          <w:rPr>
            <w:rStyle w:val="Hyperlink"/>
          </w:rPr>
          <w:t>https://doi.org/10.1182/blood-2019-129070</w:t>
        </w:r>
      </w:hyperlink>
    </w:p>
    <w:p w:rsidR="00035070" w:rsidRDefault="00DA0758">
      <w:pPr>
        <w:pStyle w:val="NormalWeb"/>
        <w:spacing w:before="0" w:beforeAutospacing="0" w:after="0" w:afterAutospacing="0" w:line="480" w:lineRule="auto"/>
        <w:jc w:val="both"/>
      </w:pPr>
      <w:r>
        <w:t xml:space="preserve">60) Manz, C. R., Porter, D. L., &amp;Bekelman, J. E. (2019). Innovation and access at the mercy of payment Policy: The future of chimeric antigen receptor therapies. </w:t>
      </w:r>
      <w:r>
        <w:rPr>
          <w:i/>
          <w:iCs/>
        </w:rPr>
        <w:t>Journal of Clinical Oncology</w:t>
      </w:r>
      <w:r>
        <w:t xml:space="preserve">, </w:t>
      </w:r>
      <w:r>
        <w:rPr>
          <w:i/>
          <w:iCs/>
        </w:rPr>
        <w:t>38</w:t>
      </w:r>
      <w:r>
        <w:t xml:space="preserve">(5), 384–387. </w:t>
      </w:r>
      <w:hyperlink r:id="rId75" w:history="1">
        <w:r w:rsidR="00035070">
          <w:rPr>
            <w:rStyle w:val="Hyperlink"/>
          </w:rPr>
          <w:t>https://doi.org/10.1200/jco.19.01691</w:t>
        </w:r>
      </w:hyperlink>
    </w:p>
    <w:p w:rsidR="00035070" w:rsidRDefault="00DA0758">
      <w:pPr>
        <w:pStyle w:val="NormalWeb"/>
        <w:spacing w:before="0" w:beforeAutospacing="0" w:after="0" w:afterAutospacing="0" w:line="480" w:lineRule="auto"/>
        <w:jc w:val="both"/>
      </w:pPr>
      <w:r>
        <w:t xml:space="preserve">61) Roth, J. A., Sullivan, S. D., Lin, V. W., Bansal, A., Purdum, A. G., Navale, L., Cheng, P., &amp; Ramsey, S. D. (2018). Cost-effectiveness of axicabtageneciloleucel for adult patients with </w:t>
      </w:r>
      <w:r>
        <w:lastRenderedPageBreak/>
        <w:t xml:space="preserve">relapsed or refractory large B-cell lymphoma in the United States. </w:t>
      </w:r>
      <w:r>
        <w:rPr>
          <w:i/>
          <w:iCs/>
        </w:rPr>
        <w:t>Journal of Medical Economics</w:t>
      </w:r>
      <w:r>
        <w:t xml:space="preserve">, </w:t>
      </w:r>
      <w:r>
        <w:rPr>
          <w:i/>
          <w:iCs/>
        </w:rPr>
        <w:t>21</w:t>
      </w:r>
      <w:r>
        <w:t xml:space="preserve">(12), 1238–1245. </w:t>
      </w:r>
      <w:hyperlink r:id="rId76" w:history="1">
        <w:r w:rsidR="00035070">
          <w:rPr>
            <w:rStyle w:val="Hyperlink"/>
          </w:rPr>
          <w:t>https://doi.org/10.1080/13696998.2018.1529674</w:t>
        </w:r>
      </w:hyperlink>
    </w:p>
    <w:p w:rsidR="00035070" w:rsidRDefault="00DA0758">
      <w:pPr>
        <w:pStyle w:val="NormalWeb"/>
        <w:spacing w:before="0" w:beforeAutospacing="0" w:after="0" w:afterAutospacing="0" w:line="480" w:lineRule="auto"/>
        <w:jc w:val="both"/>
      </w:pPr>
      <w:r>
        <w:t xml:space="preserve">62) Li, N., Lei, J., Zhang, J., Cai, H., Zheng, B., Yang, T., Liu, M., &amp; Hu, J. (2023). Cost-effectiveness analysis of axicabtageneciloleucel as a second-line treatment for diffuse large B-cell lymphoma in China and the United States. </w:t>
      </w:r>
      <w:r>
        <w:rPr>
          <w:i/>
          <w:iCs/>
        </w:rPr>
        <w:t>Therapeutic Advances in Hematology</w:t>
      </w:r>
      <w:r>
        <w:t xml:space="preserve">, </w:t>
      </w:r>
      <w:r>
        <w:rPr>
          <w:i/>
          <w:iCs/>
        </w:rPr>
        <w:t>14</w:t>
      </w:r>
      <w:r>
        <w:t xml:space="preserve">, 204062072311682. </w:t>
      </w:r>
      <w:hyperlink r:id="rId77" w:history="1">
        <w:r w:rsidR="00035070">
          <w:rPr>
            <w:rStyle w:val="Hyperlink"/>
          </w:rPr>
          <w:t>https://doi.org/10.1177/20406207231168215</w:t>
        </w:r>
      </w:hyperlink>
    </w:p>
    <w:p w:rsidR="00035070" w:rsidRDefault="00DA0758">
      <w:pPr>
        <w:pStyle w:val="NormalWeb"/>
        <w:spacing w:before="0" w:beforeAutospacing="0" w:after="0" w:afterAutospacing="0" w:line="480" w:lineRule="auto"/>
        <w:jc w:val="both"/>
      </w:pPr>
      <w:r>
        <w:t xml:space="preserve">63) Narkhede, M. S., Di Stasi, A., Shea, L. K., Bal, S., Ravi, G., Goyal, G., Hardwick, P., Giri, S., Salzman, D., Bhatia, R., Costa, L. J., &amp; Mehta, A. (2024). Phase 2 trial of Siltuximab for the treatment of cytokine release syndrome and immune effector cell associated neurotoxicity related to CAR-T-cell therapy. </w:t>
      </w:r>
      <w:r>
        <w:rPr>
          <w:i/>
          <w:iCs/>
        </w:rPr>
        <w:t>Blood</w:t>
      </w:r>
      <w:r>
        <w:t xml:space="preserve">, </w:t>
      </w:r>
      <w:r>
        <w:rPr>
          <w:i/>
          <w:iCs/>
        </w:rPr>
        <w:t>144</w:t>
      </w:r>
      <w:r>
        <w:t xml:space="preserve">(Supplement 1), 3449. </w:t>
      </w:r>
      <w:hyperlink r:id="rId78" w:history="1">
        <w:r w:rsidR="00035070">
          <w:rPr>
            <w:rStyle w:val="Hyperlink"/>
          </w:rPr>
          <w:t>https://doi.org/10.1182/blood-2024-205205</w:t>
        </w:r>
      </w:hyperlink>
    </w:p>
    <w:p w:rsidR="00035070" w:rsidRDefault="00DA0758">
      <w:pPr>
        <w:pStyle w:val="NormalWeb"/>
        <w:spacing w:before="0" w:beforeAutospacing="0" w:after="0" w:afterAutospacing="0" w:line="480" w:lineRule="auto"/>
        <w:jc w:val="both"/>
      </w:pPr>
      <w:r>
        <w:t xml:space="preserve">64) Bajwa, A., Zhao, Q., Geer, M. J., Lin, C., Westholder, J., Maakaron, J., Ghosh, M., Frame, D. G., Galal, A., Tossey, J., Ahmed, N., Bezerra, E. D., Denlinger, N., De Lima, M. J., Epperla, N., Caimi, P. F., &amp; Voorhees, T. J. (2024). Siltuximab for chimeric antigen receptor T-Cell therapy related CRS and ICANS - A Multicenter Retrospective analysis. </w:t>
      </w:r>
      <w:r>
        <w:rPr>
          <w:i/>
          <w:iCs/>
        </w:rPr>
        <w:t>Blood Advances</w:t>
      </w:r>
      <w:r>
        <w:t xml:space="preserve">. </w:t>
      </w:r>
      <w:hyperlink r:id="rId79" w:history="1">
        <w:r w:rsidR="00035070">
          <w:rPr>
            <w:rStyle w:val="Hyperlink"/>
          </w:rPr>
          <w:t>https://doi.org/10.1182/bloodadvances.2024013688</w:t>
        </w:r>
      </w:hyperlink>
    </w:p>
    <w:p w:rsidR="00035070" w:rsidRDefault="00DA0758">
      <w:pPr>
        <w:pStyle w:val="NormalWeb"/>
        <w:spacing w:before="0" w:beforeAutospacing="0" w:after="0" w:afterAutospacing="0" w:line="480" w:lineRule="auto"/>
        <w:jc w:val="both"/>
      </w:pPr>
      <w:r>
        <w:t xml:space="preserve">65) Liu, R., Yang, F., Ma, L., Guo, Y., Fu, Z., Deng, B., Chen, C., Ke, X., &amp; Hu, K. (2024). Retrospective comparison of the roles of tocilizumab and siltuximab in the management of toxicity in CAR-T-cell therapy for Relapsed/Refractory B-NHL. </w:t>
      </w:r>
      <w:r>
        <w:rPr>
          <w:i/>
          <w:iCs/>
        </w:rPr>
        <w:t>Blood</w:t>
      </w:r>
      <w:r>
        <w:t xml:space="preserve">, </w:t>
      </w:r>
      <w:r>
        <w:rPr>
          <w:i/>
          <w:iCs/>
        </w:rPr>
        <w:t>144</w:t>
      </w:r>
      <w:r>
        <w:t xml:space="preserve">(Supplement 1), 7247. </w:t>
      </w:r>
      <w:hyperlink r:id="rId80" w:history="1">
        <w:r w:rsidR="00035070">
          <w:rPr>
            <w:rStyle w:val="Hyperlink"/>
          </w:rPr>
          <w:t>https://doi.org/10.1182/blood-2024-201274</w:t>
        </w:r>
      </w:hyperlink>
    </w:p>
    <w:p w:rsidR="00035070" w:rsidRDefault="00DA0758">
      <w:pPr>
        <w:pStyle w:val="NormalWeb"/>
        <w:spacing w:before="0" w:beforeAutospacing="0" w:after="0" w:afterAutospacing="0" w:line="480" w:lineRule="auto"/>
        <w:jc w:val="both"/>
      </w:pPr>
      <w:r>
        <w:t xml:space="preserve">66) Patel, S., Cenin, D., Corrigan, D., Hamilton, B. K., Kalaycio, M., Sobecks, R. M., Anwer, F., Khouri, J., Dean, R. M., Winter, A., Jagadeesh, D., Pohlman, B., Hill, B. T., Sauter, C. S., &amp;Caimi, P. F. (2022). Siltuximab for First-Line Treatment of Cytokine Release Syndrome: A response to the national shortage of tocilizumab. </w:t>
      </w:r>
      <w:r>
        <w:rPr>
          <w:i/>
          <w:iCs/>
        </w:rPr>
        <w:t>Blood</w:t>
      </w:r>
      <w:r>
        <w:t xml:space="preserve">, </w:t>
      </w:r>
      <w:r>
        <w:rPr>
          <w:i/>
          <w:iCs/>
        </w:rPr>
        <w:t>140</w:t>
      </w:r>
      <w:r>
        <w:t xml:space="preserve">(Supplement 1), 5073–5074. </w:t>
      </w:r>
      <w:hyperlink r:id="rId81" w:history="1">
        <w:r w:rsidR="00035070">
          <w:rPr>
            <w:rStyle w:val="Hyperlink"/>
          </w:rPr>
          <w:t>https://doi.org/10.1182/blood-2022-169809</w:t>
        </w:r>
      </w:hyperlink>
    </w:p>
    <w:p w:rsidR="00035070" w:rsidRDefault="00DA0758">
      <w:pPr>
        <w:pStyle w:val="NormalWeb"/>
        <w:spacing w:before="0" w:beforeAutospacing="0" w:after="0" w:afterAutospacing="0" w:line="480" w:lineRule="auto"/>
        <w:jc w:val="both"/>
      </w:pPr>
      <w:r>
        <w:lastRenderedPageBreak/>
        <w:t xml:space="preserve">67) Gazeau, N., Liang, E. C., Wu, Q. “., Voutsinas, J. M., Barba, P., Iacoboni, G., Kwon, M., Ortega, J. L. R., López-Corral, L., Hernani, R., Ortiz-Maldonado, V., Martínez-Cibrian, N., Martinez, A. P., Maziarz, R. T., Williamson, S., Nemecek, E. R., Shadman, M., Cowan, A. J., Green, D. J., . . . Gauthier, J. (2023). Anakinra for Refractory Cytokine Release Syndrome or Immune Effector Cell-Associated Neurotoxicity Syndrome after Chimeric Antigen Receptor T-Cell Therapy. </w:t>
      </w:r>
      <w:r>
        <w:rPr>
          <w:i/>
          <w:iCs/>
        </w:rPr>
        <w:t>Transplantation and Cellular Therapy</w:t>
      </w:r>
      <w:r>
        <w:t xml:space="preserve">, </w:t>
      </w:r>
      <w:r>
        <w:rPr>
          <w:i/>
          <w:iCs/>
        </w:rPr>
        <w:t>29</w:t>
      </w:r>
      <w:r>
        <w:t xml:space="preserve">(7), 430–437. </w:t>
      </w:r>
      <w:hyperlink r:id="rId82" w:history="1">
        <w:r w:rsidR="00035070">
          <w:rPr>
            <w:rStyle w:val="Hyperlink"/>
          </w:rPr>
          <w:t>https://doi.org/10.1016/j.jtct.2023.04.001</w:t>
        </w:r>
      </w:hyperlink>
    </w:p>
    <w:p w:rsidR="00035070" w:rsidRDefault="00DA0758">
      <w:pPr>
        <w:pStyle w:val="NormalWeb"/>
        <w:spacing w:before="0" w:beforeAutospacing="0" w:after="0" w:afterAutospacing="0" w:line="480" w:lineRule="auto"/>
        <w:jc w:val="both"/>
      </w:pPr>
      <w:r>
        <w:t xml:space="preserve">68) Oliai, C., Crosetti, A., De Vos, S., Eradat, H., Mead, M. D., Larson, S. M., Tsai, S., Liu, A., Khachatrian, G., Hannigan, C., Yamada, R. E., Rokni, N., &amp; Timmerman, J. (2021). IL-1 receptor antagonist for prevention of severe immune effector cell-associated neurotoxicity syndrome. </w:t>
      </w:r>
      <w:r>
        <w:rPr>
          <w:i/>
          <w:iCs/>
        </w:rPr>
        <w:t>Journal of Clinical Oncology</w:t>
      </w:r>
      <w:r>
        <w:t xml:space="preserve">, </w:t>
      </w:r>
      <w:r>
        <w:rPr>
          <w:i/>
          <w:iCs/>
        </w:rPr>
        <w:t>39</w:t>
      </w:r>
      <w:r>
        <w:t xml:space="preserve">(15_suppl), 7566. </w:t>
      </w:r>
      <w:hyperlink r:id="rId83" w:history="1">
        <w:r w:rsidR="00035070">
          <w:rPr>
            <w:rStyle w:val="Hyperlink"/>
          </w:rPr>
          <w:t>https://doi.org/10.1200/jco.2021.39.15_suppl.7566</w:t>
        </w:r>
      </w:hyperlink>
    </w:p>
    <w:p w:rsidR="00035070" w:rsidRDefault="00DA0758">
      <w:pPr>
        <w:pStyle w:val="NormalWeb"/>
        <w:spacing w:before="0" w:beforeAutospacing="0" w:after="0" w:afterAutospacing="0" w:line="480" w:lineRule="auto"/>
        <w:jc w:val="both"/>
      </w:pPr>
      <w:r>
        <w:t xml:space="preserve">69) Nain, P., Singh, R., Yerraguntla, S., Branham, Z., Kubiak, M. J., Dalgetty, M., Pavkov, I., Dontu, S., Mian, M., Chauhan, A., Keruakous, A. R., Bryan, L. J., Jillella, A. P., &amp; Kota, V. (2023). Single center experience of using Anakinra prophylactically on Day 0 to reduce CD19 CART toxicities. </w:t>
      </w:r>
      <w:r>
        <w:rPr>
          <w:i/>
          <w:iCs/>
        </w:rPr>
        <w:t>Journal of Clinical Oncology</w:t>
      </w:r>
      <w:r>
        <w:t xml:space="preserve">, </w:t>
      </w:r>
      <w:r>
        <w:rPr>
          <w:i/>
          <w:iCs/>
        </w:rPr>
        <w:t>41</w:t>
      </w:r>
      <w:r>
        <w:t xml:space="preserve">(16_suppl), e19503. </w:t>
      </w:r>
      <w:hyperlink r:id="rId84" w:history="1">
        <w:r w:rsidR="00035070">
          <w:rPr>
            <w:rStyle w:val="Hyperlink"/>
          </w:rPr>
          <w:t>https://doi.org/10.1200/jco.2023.41.16_suppl.e19503</w:t>
        </w:r>
      </w:hyperlink>
    </w:p>
    <w:p w:rsidR="00035070" w:rsidRDefault="00DA0758">
      <w:pPr>
        <w:pStyle w:val="NormalWeb"/>
        <w:spacing w:before="0" w:beforeAutospacing="0" w:after="0" w:afterAutospacing="0" w:line="480" w:lineRule="auto"/>
        <w:jc w:val="both"/>
      </w:pPr>
      <w:r>
        <w:t xml:space="preserve">70) Sterner, R. M., Sakemura, R., Cox, M. J., Yang, N., Khadka, R. H., Forsman, C. L., Hansen, M. J., Jin, F., Ayasoufi, K., Hefazi, M., Schick, K. J., Walters, D. K., Ahmed, O., Chappell, D., Sahmoud, T., Durrant, C., Nevala, W. K., Patnaik, M. M., Pease, L. R., . . . Kenderian, S. S. (2018). GM-CSF inhibition reduces cytokine release syndrome and neuroinflammation but enhances CAR-T-cell function in xenografts. </w:t>
      </w:r>
      <w:r>
        <w:rPr>
          <w:i/>
          <w:iCs/>
        </w:rPr>
        <w:t>Blood</w:t>
      </w:r>
      <w:r>
        <w:t xml:space="preserve">, </w:t>
      </w:r>
      <w:r>
        <w:rPr>
          <w:i/>
          <w:iCs/>
        </w:rPr>
        <w:t>133</w:t>
      </w:r>
      <w:r>
        <w:t xml:space="preserve">(7), 697–709. </w:t>
      </w:r>
      <w:hyperlink r:id="rId85" w:history="1">
        <w:r w:rsidR="00035070">
          <w:rPr>
            <w:rStyle w:val="Hyperlink"/>
          </w:rPr>
          <w:t>https://doi.org/10.1182/blood-2018-10-881722</w:t>
        </w:r>
      </w:hyperlink>
    </w:p>
    <w:p w:rsidR="00035070" w:rsidRDefault="00DA0758">
      <w:pPr>
        <w:pStyle w:val="NormalWeb"/>
        <w:spacing w:before="0" w:beforeAutospacing="0" w:after="0" w:afterAutospacing="0" w:line="480" w:lineRule="auto"/>
        <w:ind w:left="720"/>
        <w:jc w:val="both"/>
      </w:pPr>
      <w:r>
        <w:t xml:space="preserve">71) Qin, H., Ramakrishna, S., Nguyen, S., Fountaine, T. J., Ponduri, A., Stetler-Stevenson, M., Yuan, C. M., Haso, W., Shern, J. F., Shah, N. N., &amp; Fry, T. J. (2018). </w:t>
      </w:r>
      <w:r>
        <w:lastRenderedPageBreak/>
        <w:t xml:space="preserve">Preclinical development of bivalent chimeric antigen receptors targeting both CD19 and CD22. </w:t>
      </w:r>
      <w:r>
        <w:rPr>
          <w:i/>
          <w:iCs/>
        </w:rPr>
        <w:t>Molecular Therapy — Oncolytics</w:t>
      </w:r>
      <w:r>
        <w:t xml:space="preserve">, </w:t>
      </w:r>
      <w:r>
        <w:rPr>
          <w:i/>
          <w:iCs/>
        </w:rPr>
        <w:t>11</w:t>
      </w:r>
      <w:r>
        <w:t xml:space="preserve">, 127–137. </w:t>
      </w:r>
      <w:hyperlink r:id="rId86" w:history="1">
        <w:r w:rsidR="00035070">
          <w:rPr>
            <w:rStyle w:val="Hyperlink"/>
          </w:rPr>
          <w:t>https://doi.org/10.1016/j.omto.2018.10.006</w:t>
        </w:r>
      </w:hyperlink>
    </w:p>
    <w:p w:rsidR="00035070" w:rsidRDefault="00DA0758">
      <w:pPr>
        <w:pStyle w:val="NormalWeb"/>
        <w:spacing w:before="0" w:beforeAutospacing="0" w:after="0" w:afterAutospacing="0" w:line="480" w:lineRule="auto"/>
        <w:ind w:left="720"/>
        <w:jc w:val="both"/>
      </w:pPr>
      <w:r>
        <w:t xml:space="preserve">72) Ghorashian, S., Lucchini, G., Richardson, R., Nguyen, K., Terris, C., Oporto-Espuelas, M., Yeung, J., Pinner, D., Chu, J., Williams, L., Ko, K., Walding, C., Watts, K., Inglott, S., Adams, S., Gravett, E., Gilmour, K., Lal, A., Kunaseelan, S., . . . Amrolia, P. J. (2022). Dual Antigen Targeting with Co-Transduced CD19/22 CAR T Cells May Prevent Antigen-Negative Relapse after CAR T-Cell Therapy for Relapsed/Refractory ALL. </w:t>
      </w:r>
      <w:r>
        <w:rPr>
          <w:i/>
          <w:iCs/>
        </w:rPr>
        <w:t>Blood</w:t>
      </w:r>
      <w:r>
        <w:t xml:space="preserve">, </w:t>
      </w:r>
      <w:r>
        <w:rPr>
          <w:i/>
          <w:iCs/>
        </w:rPr>
        <w:t>140</w:t>
      </w:r>
      <w:r>
        <w:t>(Supplement 1), 10352–10354.</w:t>
      </w:r>
      <w:hyperlink r:id="rId87" w:history="1">
        <w:r w:rsidR="00035070">
          <w:rPr>
            <w:rStyle w:val="Hyperlink"/>
          </w:rPr>
          <w:t>https://doi.org/10.1182/blood-2022-164879</w:t>
        </w:r>
      </w:hyperlink>
    </w:p>
    <w:p w:rsidR="00035070" w:rsidRDefault="00DA0758">
      <w:pPr>
        <w:pStyle w:val="NormalWeb"/>
        <w:spacing w:before="0" w:beforeAutospacing="0" w:after="0" w:afterAutospacing="0" w:line="480" w:lineRule="auto"/>
        <w:ind w:left="720"/>
        <w:jc w:val="both"/>
      </w:pPr>
      <w:r>
        <w:t xml:space="preserve">73) Kokalaki, E., Ma, B., Ferrari, M., Grothier, T., Hazelton, W., Manzoor, S., Costu, E., Taylor, J., Bulek, A., Srivastava, S., Gannon, I., Jha, R., Gealy, R., Stanczuk, L., Rizou, T., Robson, M., El-Kholy, M., Baldan, V., Righi, M., . . . Pule, M. (2023). Dual targeting of CD19 and CD22 against B-ALL using a novel high-sensitivity aCD22 CAR. </w:t>
      </w:r>
      <w:r>
        <w:rPr>
          <w:i/>
          <w:iCs/>
        </w:rPr>
        <w:t>Molecular Therapy</w:t>
      </w:r>
      <w:r>
        <w:t xml:space="preserve">, </w:t>
      </w:r>
      <w:r>
        <w:rPr>
          <w:i/>
          <w:iCs/>
        </w:rPr>
        <w:t>31</w:t>
      </w:r>
      <w:r>
        <w:t xml:space="preserve">(7), 2089–2104. </w:t>
      </w:r>
      <w:hyperlink r:id="rId88" w:history="1">
        <w:r w:rsidR="00035070">
          <w:rPr>
            <w:rStyle w:val="Hyperlink"/>
          </w:rPr>
          <w:t>https://doi.org/10.1016/j.ymthe.2023.03.020</w:t>
        </w:r>
      </w:hyperlink>
    </w:p>
    <w:p w:rsidR="00035070" w:rsidRDefault="00DA0758">
      <w:pPr>
        <w:pStyle w:val="NormalWeb"/>
        <w:spacing w:before="0" w:beforeAutospacing="0" w:after="0" w:afterAutospacing="0" w:line="480" w:lineRule="auto"/>
        <w:ind w:left="720"/>
        <w:jc w:val="both"/>
      </w:pPr>
      <w:r>
        <w:t xml:space="preserve">74) De Oliveira Canedo, G., Roddie, C., &amp;Amrolia, P. J. (2024b). Dual targeting CAR-T cells for B-cell acute lymphoblastic leukaemia and B-cell non-Hodgkin lymphoma. </w:t>
      </w:r>
      <w:r>
        <w:rPr>
          <w:i/>
          <w:iCs/>
        </w:rPr>
        <w:t>Blood Advances</w:t>
      </w:r>
      <w:r>
        <w:t xml:space="preserve">. </w:t>
      </w:r>
      <w:hyperlink r:id="rId89" w:history="1">
        <w:r w:rsidR="00035070">
          <w:rPr>
            <w:rStyle w:val="Hyperlink"/>
          </w:rPr>
          <w:t>https://doi.org/10.1182/bloodadvances.2024013586</w:t>
        </w:r>
      </w:hyperlink>
    </w:p>
    <w:p w:rsidR="00035070" w:rsidRDefault="00DA0758">
      <w:pPr>
        <w:pStyle w:val="NormalWeb"/>
        <w:spacing w:before="0" w:beforeAutospacing="0" w:after="0" w:afterAutospacing="0" w:line="480" w:lineRule="auto"/>
        <w:ind w:left="720"/>
        <w:jc w:val="both"/>
      </w:pPr>
      <w:r>
        <w:t xml:space="preserve">75) Gargett, T., &amp; Brown, M. P. (2014). The inducible caspase-9 suicide gene system as a â€œsafetyswitchâ€ to limit on-target, off-tumor toxicities of chimeric antigen receptor T cells. </w:t>
      </w:r>
      <w:r>
        <w:rPr>
          <w:i/>
          <w:iCs/>
        </w:rPr>
        <w:t>Frontiers in Pharmacology</w:t>
      </w:r>
      <w:r>
        <w:t xml:space="preserve">, </w:t>
      </w:r>
      <w:r>
        <w:rPr>
          <w:i/>
          <w:iCs/>
        </w:rPr>
        <w:t>5</w:t>
      </w:r>
      <w:r>
        <w:t xml:space="preserve">. </w:t>
      </w:r>
      <w:hyperlink r:id="rId90" w:history="1">
        <w:r w:rsidR="00035070">
          <w:rPr>
            <w:rStyle w:val="Hyperlink"/>
          </w:rPr>
          <w:t>https://doi.org/10.3389/fphar.2014.00235</w:t>
        </w:r>
      </w:hyperlink>
    </w:p>
    <w:p w:rsidR="00035070" w:rsidRDefault="00DA0758">
      <w:pPr>
        <w:pStyle w:val="NormalWeb"/>
        <w:spacing w:before="0" w:beforeAutospacing="0" w:after="0" w:afterAutospacing="0" w:line="480" w:lineRule="auto"/>
        <w:ind w:left="720"/>
        <w:jc w:val="both"/>
      </w:pPr>
      <w:r>
        <w:lastRenderedPageBreak/>
        <w:t xml:space="preserve">76) Yu, S., Yi, M., Qin, S., &amp;Wu, K. (2019). Next generation chimeric antigen receptor T cells: safety strategies to overcome toxicity. </w:t>
      </w:r>
      <w:r>
        <w:rPr>
          <w:i/>
          <w:iCs/>
        </w:rPr>
        <w:t>Molecular Cancer</w:t>
      </w:r>
      <w:r>
        <w:t xml:space="preserve">, </w:t>
      </w:r>
      <w:r>
        <w:rPr>
          <w:i/>
          <w:iCs/>
        </w:rPr>
        <w:t>18</w:t>
      </w:r>
      <w:r>
        <w:t xml:space="preserve">(1). </w:t>
      </w:r>
      <w:hyperlink r:id="rId91" w:history="1">
        <w:r w:rsidR="00035070">
          <w:rPr>
            <w:rStyle w:val="Hyperlink"/>
          </w:rPr>
          <w:t>https://doi.org/10.1186/s12943-019-1057-4</w:t>
        </w:r>
      </w:hyperlink>
    </w:p>
    <w:p w:rsidR="00035070" w:rsidRDefault="00DA0758">
      <w:pPr>
        <w:pStyle w:val="NormalWeb"/>
        <w:spacing w:before="0" w:beforeAutospacing="0" w:after="0" w:afterAutospacing="0" w:line="480" w:lineRule="auto"/>
        <w:ind w:left="720"/>
        <w:jc w:val="both"/>
      </w:pPr>
      <w:r>
        <w:t xml:space="preserve">77) Budde, L. E., Berger, C., Lin, Y., Wang, J., Lin, X., Frayo, S. E., Brouns, S. A., Spencer, D. M., Till, B. G., Jensen, M. C., Riddell, S. R., &amp; Press, O. W. (2013). Combining a CD20 chimeric antigen receptor and an inducible Caspase 9 suicide switch to improve the efficacy and safety of T-cell adoptive immunotherapy for lymphoma. </w:t>
      </w:r>
      <w:r>
        <w:rPr>
          <w:i/>
          <w:iCs/>
        </w:rPr>
        <w:t>PLoS ONE</w:t>
      </w:r>
      <w:r>
        <w:t xml:space="preserve">, </w:t>
      </w:r>
      <w:r>
        <w:rPr>
          <w:i/>
          <w:iCs/>
        </w:rPr>
        <w:t>8</w:t>
      </w:r>
      <w:r>
        <w:t xml:space="preserve">(12), e82742. </w:t>
      </w:r>
      <w:hyperlink r:id="rId92" w:history="1">
        <w:r w:rsidR="00035070">
          <w:rPr>
            <w:rStyle w:val="Hyperlink"/>
          </w:rPr>
          <w:t>https://doi.org/10.1371/journal.pone.0082742</w:t>
        </w:r>
      </w:hyperlink>
    </w:p>
    <w:p w:rsidR="00035070" w:rsidRDefault="00DA0758">
      <w:pPr>
        <w:pStyle w:val="NormalWeb"/>
        <w:spacing w:before="0" w:beforeAutospacing="0" w:after="0" w:afterAutospacing="0" w:line="480" w:lineRule="auto"/>
        <w:ind w:left="720"/>
        <w:jc w:val="both"/>
      </w:pPr>
      <w:r>
        <w:t xml:space="preserve">78) Yeku, O. O., &amp;Brentjens, R. J. (2016). Armored CAR T cells: utilizing cytokines and pro-inflammatory ligands to enhance CAR T-cell antitumour efficacy. </w:t>
      </w:r>
      <w:r>
        <w:rPr>
          <w:i/>
          <w:iCs/>
        </w:rPr>
        <w:t>Biochemical Society Transactions</w:t>
      </w:r>
      <w:r>
        <w:t xml:space="preserve">, </w:t>
      </w:r>
      <w:r>
        <w:rPr>
          <w:i/>
          <w:iCs/>
        </w:rPr>
        <w:t>44</w:t>
      </w:r>
      <w:r>
        <w:t xml:space="preserve">(2), 412–418. </w:t>
      </w:r>
      <w:hyperlink r:id="rId93" w:history="1">
        <w:r w:rsidR="00035070">
          <w:rPr>
            <w:rStyle w:val="Hyperlink"/>
          </w:rPr>
          <w:t>https://doi.org/10.1042/bst20150291</w:t>
        </w:r>
      </w:hyperlink>
    </w:p>
    <w:p w:rsidR="00035070" w:rsidRDefault="00DA0758">
      <w:pPr>
        <w:pStyle w:val="NormalWeb"/>
        <w:spacing w:before="0" w:beforeAutospacing="0" w:after="0" w:afterAutospacing="0" w:line="480" w:lineRule="auto"/>
        <w:ind w:left="720"/>
        <w:jc w:val="both"/>
      </w:pPr>
      <w:r>
        <w:t xml:space="preserve">79) Künkele, A., Johnson, A. J., Rolczynski, L. S., Chang, C. A., Hoglund, V., Kelly Spratt, K. S., &amp; Jensen, M. C. (2015). Functional Tuning of CARs Reveals Signalling Threshold above Which CD8+ CTL Antitumour Potency Is Attenuated due to Cell Fas–FasL-Dependent AICD. </w:t>
      </w:r>
      <w:r>
        <w:rPr>
          <w:i/>
          <w:iCs/>
        </w:rPr>
        <w:t>Cancer Immunology Research</w:t>
      </w:r>
      <w:r>
        <w:t xml:space="preserve">, </w:t>
      </w:r>
      <w:r>
        <w:rPr>
          <w:i/>
          <w:iCs/>
        </w:rPr>
        <w:t>3</w:t>
      </w:r>
      <w:r>
        <w:t xml:space="preserve">(4), 368–379. </w:t>
      </w:r>
      <w:hyperlink r:id="rId94" w:history="1">
        <w:r w:rsidR="00035070">
          <w:rPr>
            <w:rStyle w:val="Hyperlink"/>
          </w:rPr>
          <w:t>https://doi.org/10.1158/2326-6066.cir-14-0200</w:t>
        </w:r>
      </w:hyperlink>
    </w:p>
    <w:p w:rsidR="00035070" w:rsidRDefault="00DA0758">
      <w:pPr>
        <w:pStyle w:val="NormalWeb"/>
        <w:spacing w:before="0" w:beforeAutospacing="0" w:after="0" w:afterAutospacing="0" w:line="480" w:lineRule="auto"/>
        <w:ind w:left="720"/>
        <w:jc w:val="both"/>
      </w:pPr>
      <w:r>
        <w:t xml:space="preserve">80) Billingsley, M. M., Gong, N., Mukalel, A. J., Thatte, A. S., El‐Mayta, R., Patel, S. K., Metzloff, A. E., Swingle, K. L., Han, X., Xue, L., Hamilton, A. G., Safford, H. C., Alameh, M., Papp, T. E., Parhiz, H., Weissman, D., &amp; Mitchell, M. J. (2023). In Vivo mRNA CAR T-Cell Engineering via Targeted Ionizable Lipid Nanoparticles with Extrahepatic Tropism. </w:t>
      </w:r>
      <w:r>
        <w:rPr>
          <w:i/>
          <w:iCs/>
        </w:rPr>
        <w:t>Small</w:t>
      </w:r>
      <w:r>
        <w:t xml:space="preserve">, </w:t>
      </w:r>
      <w:r>
        <w:rPr>
          <w:i/>
          <w:iCs/>
        </w:rPr>
        <w:t>20</w:t>
      </w:r>
      <w:r>
        <w:t xml:space="preserve">(11). </w:t>
      </w:r>
      <w:hyperlink r:id="rId95" w:history="1">
        <w:r w:rsidR="00035070">
          <w:rPr>
            <w:rStyle w:val="Hyperlink"/>
          </w:rPr>
          <w:t>https://doi.org/10.1002/smll.202304378</w:t>
        </w:r>
      </w:hyperlink>
    </w:p>
    <w:p w:rsidR="00035070" w:rsidRDefault="00DA0758">
      <w:pPr>
        <w:pStyle w:val="NormalWeb"/>
        <w:spacing w:before="0" w:beforeAutospacing="0" w:after="0" w:afterAutospacing="0" w:line="480" w:lineRule="auto"/>
        <w:ind w:left="720"/>
        <w:jc w:val="both"/>
      </w:pPr>
      <w:r>
        <w:t xml:space="preserve">81) Meng, S., Hara, T., Miura, Y., Arao, Y., Saito, Y., Inoue, K., Hirotsu, T., Vecchione, A., Satoh, T., &amp; Ishii, H. (2025). In Vivo Engineered CAR-T-Cell </w:t>
      </w:r>
      <w:r>
        <w:lastRenderedPageBreak/>
        <w:t xml:space="preserve">Therapy: Lessons Built from COVID-19 mRNA Vaccines. </w:t>
      </w:r>
      <w:r>
        <w:rPr>
          <w:i/>
          <w:iCs/>
        </w:rPr>
        <w:t>International Journal of Molecular Sciences</w:t>
      </w:r>
      <w:r>
        <w:t xml:space="preserve">, </w:t>
      </w:r>
      <w:r>
        <w:rPr>
          <w:i/>
          <w:iCs/>
        </w:rPr>
        <w:t>26</w:t>
      </w:r>
      <w:r>
        <w:t xml:space="preserve">(7), 3119. </w:t>
      </w:r>
      <w:hyperlink r:id="rId96" w:history="1">
        <w:r w:rsidR="00035070">
          <w:rPr>
            <w:rStyle w:val="Hyperlink"/>
          </w:rPr>
          <w:t>https://doi.org/10.3390/ijms26073119</w:t>
        </w:r>
      </w:hyperlink>
    </w:p>
    <w:p w:rsidR="00035070" w:rsidRDefault="00DA0758">
      <w:pPr>
        <w:pStyle w:val="NormalWeb"/>
        <w:spacing w:before="0" w:beforeAutospacing="0" w:after="0" w:afterAutospacing="0" w:line="480" w:lineRule="auto"/>
        <w:ind w:left="720"/>
        <w:jc w:val="both"/>
      </w:pPr>
      <w:r>
        <w:t xml:space="preserve">82) Lemgart, V., Richards, J., Strauss, L., Jiao, J., Quido, B., Powers, L., Caron, A., Shin, E., Boesch, A., Shah, D., Le, T., Kunden, R., Stewart, S., Nasimi, F., Maiti, S., Ali, M., Lihoradova, O., Griset, A., Borges, C. M., . . . Sawyer, A. J. (2024). In vitro and in vivo activity of a lipid nanoparticle system for the in vivo generation of CAR T cells. </w:t>
      </w:r>
      <w:r>
        <w:rPr>
          <w:i/>
          <w:iCs/>
        </w:rPr>
        <w:t>Blood</w:t>
      </w:r>
      <w:r>
        <w:t xml:space="preserve">, </w:t>
      </w:r>
      <w:r>
        <w:rPr>
          <w:i/>
          <w:iCs/>
        </w:rPr>
        <w:t>144</w:t>
      </w:r>
      <w:r>
        <w:t xml:space="preserve">(Supplement 1), 3421. </w:t>
      </w:r>
      <w:hyperlink r:id="rId97" w:history="1">
        <w:r w:rsidR="00035070">
          <w:rPr>
            <w:rStyle w:val="Hyperlink"/>
          </w:rPr>
          <w:t>https://doi.org/10.1182/blood-2024-207566</w:t>
        </w:r>
      </w:hyperlink>
    </w:p>
    <w:p w:rsidR="00035070" w:rsidRDefault="00DA0758">
      <w:pPr>
        <w:pStyle w:val="NormalWeb"/>
        <w:spacing w:before="0" w:beforeAutospacing="0" w:after="0" w:afterAutospacing="0" w:line="480" w:lineRule="auto"/>
        <w:ind w:left="720"/>
        <w:jc w:val="both"/>
      </w:pPr>
      <w:r>
        <w:t xml:space="preserve">83) Argueta, S., Melber, F. K., Gorgievski, M., Divangi, N., Cochran, E., Chu, T., Wang, Y., Ding, J., &amp;Getts, D. (2024). Abstract 1321: In vivo immune cell programming using mRNA-LNP chimeric antigen receptors. </w:t>
      </w:r>
      <w:r>
        <w:rPr>
          <w:i/>
          <w:iCs/>
        </w:rPr>
        <w:t>Cancer Research</w:t>
      </w:r>
      <w:r>
        <w:t xml:space="preserve">, </w:t>
      </w:r>
      <w:r>
        <w:rPr>
          <w:i/>
          <w:iCs/>
        </w:rPr>
        <w:t>84</w:t>
      </w:r>
      <w:r>
        <w:t xml:space="preserve">(6_Supplement), 1321. </w:t>
      </w:r>
      <w:hyperlink r:id="rId98" w:history="1">
        <w:r w:rsidR="00035070">
          <w:rPr>
            <w:rStyle w:val="Hyperlink"/>
          </w:rPr>
          <w:t>https://doi.org/10.1158/1538-7445.am2024-1321</w:t>
        </w:r>
      </w:hyperlink>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right"/>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ind w:left="720"/>
        <w:jc w:val="both"/>
      </w:pPr>
    </w:p>
    <w:p w:rsidR="00035070" w:rsidRDefault="00035070">
      <w:pPr>
        <w:pStyle w:val="NormalWeb"/>
        <w:spacing w:before="0" w:beforeAutospacing="0" w:after="0" w:afterAutospacing="0" w:line="480" w:lineRule="auto"/>
        <w:jc w:val="both"/>
      </w:pPr>
    </w:p>
    <w:p w:rsidR="00035070" w:rsidRDefault="00035070">
      <w:pPr>
        <w:pStyle w:val="NormalWeb"/>
        <w:spacing w:before="0" w:beforeAutospacing="0" w:after="0" w:afterAutospacing="0" w:line="480" w:lineRule="auto"/>
        <w:jc w:val="both"/>
      </w:pPr>
    </w:p>
    <w:p w:rsidR="00035070" w:rsidRDefault="00035070">
      <w:pPr>
        <w:pStyle w:val="NormalWeb"/>
        <w:spacing w:before="0" w:beforeAutospacing="0" w:after="0" w:afterAutospacing="0" w:line="480" w:lineRule="auto"/>
        <w:jc w:val="both"/>
      </w:pPr>
    </w:p>
    <w:p w:rsidR="00035070" w:rsidRDefault="00035070">
      <w:pPr>
        <w:pStyle w:val="NormalWeb"/>
        <w:spacing w:before="0" w:beforeAutospacing="0" w:after="0" w:afterAutospacing="0" w:line="480" w:lineRule="auto"/>
        <w:jc w:val="both"/>
      </w:pPr>
    </w:p>
    <w:p w:rsidR="00035070" w:rsidRDefault="00035070">
      <w:pPr>
        <w:pStyle w:val="NormalWeb"/>
        <w:spacing w:before="0" w:beforeAutospacing="0" w:after="0" w:afterAutospacing="0" w:line="480" w:lineRule="auto"/>
        <w:ind w:left="720"/>
        <w:jc w:val="both"/>
      </w:pPr>
    </w:p>
    <w:sectPr w:rsidR="00035070" w:rsidSect="00882FFA">
      <w:headerReference w:type="even" r:id="rId99"/>
      <w:headerReference w:type="default" r:id="rId100"/>
      <w:footerReference w:type="even" r:id="rId101"/>
      <w:footerReference w:type="default" r:id="rId102"/>
      <w:headerReference w:type="first" r:id="rId103"/>
      <w:footerReference w:type="first" r:id="rId10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FA0" w:rsidRDefault="00862FA0" w:rsidP="00D647B1">
      <w:pPr>
        <w:spacing w:after="0" w:line="240" w:lineRule="auto"/>
      </w:pPr>
      <w:r>
        <w:separator/>
      </w:r>
    </w:p>
  </w:endnote>
  <w:endnote w:type="continuationSeparator" w:id="1">
    <w:p w:rsidR="00862FA0" w:rsidRDefault="00862FA0" w:rsidP="00D647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B1" w:rsidRDefault="00D647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B1" w:rsidRDefault="00D647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B1" w:rsidRDefault="00D647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FA0" w:rsidRDefault="00862FA0" w:rsidP="00D647B1">
      <w:pPr>
        <w:spacing w:after="0" w:line="240" w:lineRule="auto"/>
      </w:pPr>
      <w:r>
        <w:separator/>
      </w:r>
    </w:p>
  </w:footnote>
  <w:footnote w:type="continuationSeparator" w:id="1">
    <w:p w:rsidR="00862FA0" w:rsidRDefault="00862FA0" w:rsidP="00D647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B1" w:rsidRDefault="00882FFA">
    <w:pPr>
      <w:pStyle w:val="Header"/>
    </w:pPr>
    <w:r w:rsidRPr="00882FF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02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B1" w:rsidRDefault="00882FFA">
    <w:pPr>
      <w:pStyle w:val="Header"/>
    </w:pPr>
    <w:r w:rsidRPr="00882FF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02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B1" w:rsidRDefault="00882FFA">
    <w:pPr>
      <w:pStyle w:val="Header"/>
    </w:pPr>
    <w:r w:rsidRPr="00882FF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02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52CB24A"/>
    <w:lvl w:ilvl="0" w:tplc="F31294B8">
      <w:start w:val="1"/>
      <w:numFmt w:val="decimal"/>
      <w:lvlText w:val="%1)"/>
      <w:lvlJc w:val="left"/>
      <w:pPr>
        <w:ind w:left="720" w:hanging="360"/>
      </w:pPr>
      <w:rPr>
        <w:rFonts w:hint="default"/>
      </w:rPr>
    </w:lvl>
    <w:lvl w:ilvl="1" w:tplc="C7F6BD0A" w:tentative="1">
      <w:start w:val="1"/>
      <w:numFmt w:val="lowerLetter"/>
      <w:lvlText w:val="%2."/>
      <w:lvlJc w:val="left"/>
      <w:pPr>
        <w:ind w:left="1440" w:hanging="360"/>
      </w:pPr>
    </w:lvl>
    <w:lvl w:ilvl="2" w:tplc="C3C00F9E" w:tentative="1">
      <w:start w:val="1"/>
      <w:numFmt w:val="lowerRoman"/>
      <w:lvlText w:val="%3."/>
      <w:lvlJc w:val="right"/>
      <w:pPr>
        <w:ind w:left="2160" w:hanging="180"/>
      </w:pPr>
    </w:lvl>
    <w:lvl w:ilvl="3" w:tplc="99BC2BDA" w:tentative="1">
      <w:start w:val="1"/>
      <w:numFmt w:val="decimal"/>
      <w:lvlText w:val="%4."/>
      <w:lvlJc w:val="left"/>
      <w:pPr>
        <w:ind w:left="2880" w:hanging="360"/>
      </w:pPr>
    </w:lvl>
    <w:lvl w:ilvl="4" w:tplc="CE52D478" w:tentative="1">
      <w:start w:val="1"/>
      <w:numFmt w:val="lowerLetter"/>
      <w:lvlText w:val="%5."/>
      <w:lvlJc w:val="left"/>
      <w:pPr>
        <w:ind w:left="3600" w:hanging="360"/>
      </w:pPr>
    </w:lvl>
    <w:lvl w:ilvl="5" w:tplc="A8C64F86" w:tentative="1">
      <w:start w:val="1"/>
      <w:numFmt w:val="lowerRoman"/>
      <w:lvlText w:val="%6."/>
      <w:lvlJc w:val="right"/>
      <w:pPr>
        <w:ind w:left="4320" w:hanging="180"/>
      </w:pPr>
    </w:lvl>
    <w:lvl w:ilvl="6" w:tplc="1DE68BD2" w:tentative="1">
      <w:start w:val="1"/>
      <w:numFmt w:val="decimal"/>
      <w:lvlText w:val="%7."/>
      <w:lvlJc w:val="left"/>
      <w:pPr>
        <w:ind w:left="5040" w:hanging="360"/>
      </w:pPr>
    </w:lvl>
    <w:lvl w:ilvl="7" w:tplc="70EA620A" w:tentative="1">
      <w:start w:val="1"/>
      <w:numFmt w:val="lowerLetter"/>
      <w:lvlText w:val="%8."/>
      <w:lvlJc w:val="left"/>
      <w:pPr>
        <w:ind w:left="5760" w:hanging="360"/>
      </w:pPr>
    </w:lvl>
    <w:lvl w:ilvl="8" w:tplc="9710E506" w:tentative="1">
      <w:start w:val="1"/>
      <w:numFmt w:val="lowerRoman"/>
      <w:lvlText w:val="%9."/>
      <w:lvlJc w:val="right"/>
      <w:pPr>
        <w:ind w:left="6480" w:hanging="180"/>
      </w:pPr>
    </w:lvl>
  </w:abstractNum>
  <w:abstractNum w:abstractNumId="1">
    <w:nsid w:val="00000002"/>
    <w:multiLevelType w:val="hybridMultilevel"/>
    <w:tmpl w:val="C19E6D90"/>
    <w:lvl w:ilvl="0" w:tplc="C030A5C8">
      <w:start w:val="1"/>
      <w:numFmt w:val="decimal"/>
      <w:lvlText w:val="%1)"/>
      <w:lvlJc w:val="left"/>
      <w:pPr>
        <w:ind w:left="720" w:hanging="360"/>
      </w:pPr>
      <w:rPr>
        <w:rFonts w:hint="default"/>
      </w:rPr>
    </w:lvl>
    <w:lvl w:ilvl="1" w:tplc="8C0883D2" w:tentative="1">
      <w:start w:val="1"/>
      <w:numFmt w:val="lowerLetter"/>
      <w:lvlText w:val="%2."/>
      <w:lvlJc w:val="left"/>
      <w:pPr>
        <w:ind w:left="1440" w:hanging="360"/>
      </w:pPr>
    </w:lvl>
    <w:lvl w:ilvl="2" w:tplc="A5B81582" w:tentative="1">
      <w:start w:val="1"/>
      <w:numFmt w:val="lowerRoman"/>
      <w:lvlText w:val="%3."/>
      <w:lvlJc w:val="right"/>
      <w:pPr>
        <w:ind w:left="2160" w:hanging="180"/>
      </w:pPr>
    </w:lvl>
    <w:lvl w:ilvl="3" w:tplc="71762B4E" w:tentative="1">
      <w:start w:val="1"/>
      <w:numFmt w:val="decimal"/>
      <w:lvlText w:val="%4."/>
      <w:lvlJc w:val="left"/>
      <w:pPr>
        <w:ind w:left="2880" w:hanging="360"/>
      </w:pPr>
    </w:lvl>
    <w:lvl w:ilvl="4" w:tplc="A0CC41CA" w:tentative="1">
      <w:start w:val="1"/>
      <w:numFmt w:val="lowerLetter"/>
      <w:lvlText w:val="%5."/>
      <w:lvlJc w:val="left"/>
      <w:pPr>
        <w:ind w:left="3600" w:hanging="360"/>
      </w:pPr>
    </w:lvl>
    <w:lvl w:ilvl="5" w:tplc="680CF578" w:tentative="1">
      <w:start w:val="1"/>
      <w:numFmt w:val="lowerRoman"/>
      <w:lvlText w:val="%6."/>
      <w:lvlJc w:val="right"/>
      <w:pPr>
        <w:ind w:left="4320" w:hanging="180"/>
      </w:pPr>
    </w:lvl>
    <w:lvl w:ilvl="6" w:tplc="B7B87EB8" w:tentative="1">
      <w:start w:val="1"/>
      <w:numFmt w:val="decimal"/>
      <w:lvlText w:val="%7."/>
      <w:lvlJc w:val="left"/>
      <w:pPr>
        <w:ind w:left="5040" w:hanging="360"/>
      </w:pPr>
    </w:lvl>
    <w:lvl w:ilvl="7" w:tplc="E6A86270" w:tentative="1">
      <w:start w:val="1"/>
      <w:numFmt w:val="lowerLetter"/>
      <w:lvlText w:val="%8."/>
      <w:lvlJc w:val="left"/>
      <w:pPr>
        <w:ind w:left="5760" w:hanging="360"/>
      </w:pPr>
    </w:lvl>
    <w:lvl w:ilvl="8" w:tplc="BA828F9E" w:tentative="1">
      <w:start w:val="1"/>
      <w:numFmt w:val="lowerRoman"/>
      <w:lvlText w:val="%9."/>
      <w:lvlJc w:val="right"/>
      <w:pPr>
        <w:ind w:left="6480" w:hanging="180"/>
      </w:pPr>
    </w:lvl>
  </w:abstractNum>
  <w:abstractNum w:abstractNumId="2">
    <w:nsid w:val="00000003"/>
    <w:multiLevelType w:val="hybridMultilevel"/>
    <w:tmpl w:val="9D6CBBBC"/>
    <w:lvl w:ilvl="0" w:tplc="9A146878">
      <w:start w:val="1"/>
      <w:numFmt w:val="decimal"/>
      <w:lvlText w:val="%1."/>
      <w:lvlJc w:val="left"/>
      <w:pPr>
        <w:ind w:left="720" w:hanging="360"/>
      </w:pPr>
      <w:rPr>
        <w:rFonts w:hint="default"/>
        <w:b w:val="0"/>
      </w:rPr>
    </w:lvl>
    <w:lvl w:ilvl="1" w:tplc="550CFD74" w:tentative="1">
      <w:start w:val="1"/>
      <w:numFmt w:val="lowerLetter"/>
      <w:lvlText w:val="%2."/>
      <w:lvlJc w:val="left"/>
      <w:pPr>
        <w:ind w:left="1440" w:hanging="360"/>
      </w:pPr>
    </w:lvl>
    <w:lvl w:ilvl="2" w:tplc="D4D812FC" w:tentative="1">
      <w:start w:val="1"/>
      <w:numFmt w:val="lowerRoman"/>
      <w:lvlText w:val="%3."/>
      <w:lvlJc w:val="right"/>
      <w:pPr>
        <w:ind w:left="2160" w:hanging="180"/>
      </w:pPr>
    </w:lvl>
    <w:lvl w:ilvl="3" w:tplc="C57A835C" w:tentative="1">
      <w:start w:val="1"/>
      <w:numFmt w:val="decimal"/>
      <w:lvlText w:val="%4."/>
      <w:lvlJc w:val="left"/>
      <w:pPr>
        <w:ind w:left="2880" w:hanging="360"/>
      </w:pPr>
    </w:lvl>
    <w:lvl w:ilvl="4" w:tplc="0168374E" w:tentative="1">
      <w:start w:val="1"/>
      <w:numFmt w:val="lowerLetter"/>
      <w:lvlText w:val="%5."/>
      <w:lvlJc w:val="left"/>
      <w:pPr>
        <w:ind w:left="3600" w:hanging="360"/>
      </w:pPr>
    </w:lvl>
    <w:lvl w:ilvl="5" w:tplc="FA1809FC" w:tentative="1">
      <w:start w:val="1"/>
      <w:numFmt w:val="lowerRoman"/>
      <w:lvlText w:val="%6."/>
      <w:lvlJc w:val="right"/>
      <w:pPr>
        <w:ind w:left="4320" w:hanging="180"/>
      </w:pPr>
    </w:lvl>
    <w:lvl w:ilvl="6" w:tplc="4C224A4E" w:tentative="1">
      <w:start w:val="1"/>
      <w:numFmt w:val="decimal"/>
      <w:lvlText w:val="%7."/>
      <w:lvlJc w:val="left"/>
      <w:pPr>
        <w:ind w:left="5040" w:hanging="360"/>
      </w:pPr>
    </w:lvl>
    <w:lvl w:ilvl="7" w:tplc="F96E7F38" w:tentative="1">
      <w:start w:val="1"/>
      <w:numFmt w:val="lowerLetter"/>
      <w:lvlText w:val="%8."/>
      <w:lvlJc w:val="left"/>
      <w:pPr>
        <w:ind w:left="5760" w:hanging="360"/>
      </w:pPr>
    </w:lvl>
    <w:lvl w:ilvl="8" w:tplc="037E57A6" w:tentative="1">
      <w:start w:val="1"/>
      <w:numFmt w:val="lowerRoman"/>
      <w:lvlText w:val="%9."/>
      <w:lvlJc w:val="right"/>
      <w:pPr>
        <w:ind w:left="6480" w:hanging="180"/>
      </w:pPr>
    </w:lvl>
  </w:abstractNum>
  <w:abstractNum w:abstractNumId="3">
    <w:nsid w:val="00000004"/>
    <w:multiLevelType w:val="hybridMultilevel"/>
    <w:tmpl w:val="62F85CAE"/>
    <w:lvl w:ilvl="0" w:tplc="81401CFE">
      <w:start w:val="1"/>
      <w:numFmt w:val="decimal"/>
      <w:lvlText w:val="%1)"/>
      <w:lvlJc w:val="left"/>
      <w:pPr>
        <w:ind w:left="720" w:hanging="360"/>
      </w:pPr>
      <w:rPr>
        <w:rFonts w:hint="default"/>
      </w:rPr>
    </w:lvl>
    <w:lvl w:ilvl="1" w:tplc="97285512" w:tentative="1">
      <w:start w:val="1"/>
      <w:numFmt w:val="lowerLetter"/>
      <w:lvlText w:val="%2."/>
      <w:lvlJc w:val="left"/>
      <w:pPr>
        <w:ind w:left="1440" w:hanging="360"/>
      </w:pPr>
    </w:lvl>
    <w:lvl w:ilvl="2" w:tplc="F4F859DE" w:tentative="1">
      <w:start w:val="1"/>
      <w:numFmt w:val="lowerRoman"/>
      <w:lvlText w:val="%3."/>
      <w:lvlJc w:val="right"/>
      <w:pPr>
        <w:ind w:left="2160" w:hanging="180"/>
      </w:pPr>
    </w:lvl>
    <w:lvl w:ilvl="3" w:tplc="FB22DD22" w:tentative="1">
      <w:start w:val="1"/>
      <w:numFmt w:val="decimal"/>
      <w:lvlText w:val="%4."/>
      <w:lvlJc w:val="left"/>
      <w:pPr>
        <w:ind w:left="2880" w:hanging="360"/>
      </w:pPr>
    </w:lvl>
    <w:lvl w:ilvl="4" w:tplc="E4D0944A" w:tentative="1">
      <w:start w:val="1"/>
      <w:numFmt w:val="lowerLetter"/>
      <w:lvlText w:val="%5."/>
      <w:lvlJc w:val="left"/>
      <w:pPr>
        <w:ind w:left="3600" w:hanging="360"/>
      </w:pPr>
    </w:lvl>
    <w:lvl w:ilvl="5" w:tplc="6B6A5D26" w:tentative="1">
      <w:start w:val="1"/>
      <w:numFmt w:val="lowerRoman"/>
      <w:lvlText w:val="%6."/>
      <w:lvlJc w:val="right"/>
      <w:pPr>
        <w:ind w:left="4320" w:hanging="180"/>
      </w:pPr>
    </w:lvl>
    <w:lvl w:ilvl="6" w:tplc="D21C109E" w:tentative="1">
      <w:start w:val="1"/>
      <w:numFmt w:val="decimal"/>
      <w:lvlText w:val="%7."/>
      <w:lvlJc w:val="left"/>
      <w:pPr>
        <w:ind w:left="5040" w:hanging="360"/>
      </w:pPr>
    </w:lvl>
    <w:lvl w:ilvl="7" w:tplc="C77A0FEC" w:tentative="1">
      <w:start w:val="1"/>
      <w:numFmt w:val="lowerLetter"/>
      <w:lvlText w:val="%8."/>
      <w:lvlJc w:val="left"/>
      <w:pPr>
        <w:ind w:left="5760" w:hanging="360"/>
      </w:pPr>
    </w:lvl>
    <w:lvl w:ilvl="8" w:tplc="393AD398" w:tentative="1">
      <w:start w:val="1"/>
      <w:numFmt w:val="lowerRoman"/>
      <w:lvlText w:val="%9."/>
      <w:lvlJc w:val="right"/>
      <w:pPr>
        <w:ind w:left="6480" w:hanging="180"/>
      </w:pPr>
    </w:lvl>
  </w:abstractNum>
  <w:abstractNum w:abstractNumId="4">
    <w:nsid w:val="00000005"/>
    <w:multiLevelType w:val="hybridMultilevel"/>
    <w:tmpl w:val="CF82395C"/>
    <w:lvl w:ilvl="0" w:tplc="3C862ED6">
      <w:start w:val="1"/>
      <w:numFmt w:val="decimal"/>
      <w:lvlText w:val="%1."/>
      <w:lvlJc w:val="left"/>
      <w:pPr>
        <w:ind w:left="900" w:hanging="360"/>
      </w:pPr>
      <w:rPr>
        <w:rFonts w:hint="default"/>
      </w:rPr>
    </w:lvl>
    <w:lvl w:ilvl="1" w:tplc="2B969246" w:tentative="1">
      <w:start w:val="1"/>
      <w:numFmt w:val="lowerLetter"/>
      <w:lvlText w:val="%2."/>
      <w:lvlJc w:val="left"/>
      <w:pPr>
        <w:ind w:left="1620" w:hanging="360"/>
      </w:pPr>
    </w:lvl>
    <w:lvl w:ilvl="2" w:tplc="168A1174" w:tentative="1">
      <w:start w:val="1"/>
      <w:numFmt w:val="lowerRoman"/>
      <w:lvlText w:val="%3."/>
      <w:lvlJc w:val="right"/>
      <w:pPr>
        <w:ind w:left="2340" w:hanging="180"/>
      </w:pPr>
    </w:lvl>
    <w:lvl w:ilvl="3" w:tplc="018A64F6" w:tentative="1">
      <w:start w:val="1"/>
      <w:numFmt w:val="decimal"/>
      <w:lvlText w:val="%4."/>
      <w:lvlJc w:val="left"/>
      <w:pPr>
        <w:ind w:left="3060" w:hanging="360"/>
      </w:pPr>
    </w:lvl>
    <w:lvl w:ilvl="4" w:tplc="A6EE81B2" w:tentative="1">
      <w:start w:val="1"/>
      <w:numFmt w:val="lowerLetter"/>
      <w:lvlText w:val="%5."/>
      <w:lvlJc w:val="left"/>
      <w:pPr>
        <w:ind w:left="3780" w:hanging="360"/>
      </w:pPr>
    </w:lvl>
    <w:lvl w:ilvl="5" w:tplc="E83E2E28" w:tentative="1">
      <w:start w:val="1"/>
      <w:numFmt w:val="lowerRoman"/>
      <w:lvlText w:val="%6."/>
      <w:lvlJc w:val="right"/>
      <w:pPr>
        <w:ind w:left="4500" w:hanging="180"/>
      </w:pPr>
    </w:lvl>
    <w:lvl w:ilvl="6" w:tplc="0358A51E" w:tentative="1">
      <w:start w:val="1"/>
      <w:numFmt w:val="decimal"/>
      <w:lvlText w:val="%7."/>
      <w:lvlJc w:val="left"/>
      <w:pPr>
        <w:ind w:left="5220" w:hanging="360"/>
      </w:pPr>
    </w:lvl>
    <w:lvl w:ilvl="7" w:tplc="108AD216" w:tentative="1">
      <w:start w:val="1"/>
      <w:numFmt w:val="lowerLetter"/>
      <w:lvlText w:val="%8."/>
      <w:lvlJc w:val="left"/>
      <w:pPr>
        <w:ind w:left="5940" w:hanging="360"/>
      </w:pPr>
    </w:lvl>
    <w:lvl w:ilvl="8" w:tplc="36306172" w:tentative="1">
      <w:start w:val="1"/>
      <w:numFmt w:val="lowerRoman"/>
      <w:lvlText w:val="%9."/>
      <w:lvlJc w:val="right"/>
      <w:pPr>
        <w:ind w:left="6660" w:hanging="180"/>
      </w:pPr>
    </w:lvl>
  </w:abstractNum>
  <w:abstractNum w:abstractNumId="5">
    <w:nsid w:val="69E01725"/>
    <w:multiLevelType w:val="multilevel"/>
    <w:tmpl w:val="887467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35070"/>
    <w:rsid w:val="00035070"/>
    <w:rsid w:val="002628AE"/>
    <w:rsid w:val="003F0187"/>
    <w:rsid w:val="00460BC2"/>
    <w:rsid w:val="004C7B49"/>
    <w:rsid w:val="006743B6"/>
    <w:rsid w:val="006C78DB"/>
    <w:rsid w:val="00862FA0"/>
    <w:rsid w:val="00882FFA"/>
    <w:rsid w:val="00894C74"/>
    <w:rsid w:val="00967DA8"/>
    <w:rsid w:val="00A3042D"/>
    <w:rsid w:val="00A53A5F"/>
    <w:rsid w:val="00AB2135"/>
    <w:rsid w:val="00C92E2C"/>
    <w:rsid w:val="00CA5EAE"/>
    <w:rsid w:val="00D179DD"/>
    <w:rsid w:val="00D647B1"/>
    <w:rsid w:val="00DA0758"/>
    <w:rsid w:val="00DD7817"/>
    <w:rsid w:val="00F71B71"/>
    <w:rsid w:val="00FD58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FF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FFA"/>
    <w:pPr>
      <w:ind w:left="720"/>
      <w:contextualSpacing/>
    </w:pPr>
  </w:style>
  <w:style w:type="paragraph" w:styleId="NormalWeb">
    <w:name w:val="Normal (Web)"/>
    <w:basedOn w:val="Normal"/>
    <w:uiPriority w:val="99"/>
    <w:rsid w:val="00882FF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rl">
    <w:name w:val="url"/>
    <w:basedOn w:val="DefaultParagraphFont"/>
    <w:rsid w:val="00882FFA"/>
  </w:style>
  <w:style w:type="character" w:styleId="Hyperlink">
    <w:name w:val="Hyperlink"/>
    <w:basedOn w:val="DefaultParagraphFont"/>
    <w:uiPriority w:val="99"/>
    <w:rsid w:val="00882FFA"/>
    <w:rPr>
      <w:color w:val="0563C1"/>
      <w:u w:val="single"/>
    </w:rPr>
  </w:style>
  <w:style w:type="character" w:customStyle="1" w:styleId="UnresolvedMention1">
    <w:name w:val="Unresolved Mention1"/>
    <w:basedOn w:val="DefaultParagraphFont"/>
    <w:uiPriority w:val="99"/>
    <w:rsid w:val="00882FFA"/>
    <w:rPr>
      <w:color w:val="605E5C"/>
      <w:shd w:val="clear" w:color="auto" w:fill="E1DFDD"/>
    </w:rPr>
  </w:style>
  <w:style w:type="character" w:styleId="FollowedHyperlink">
    <w:name w:val="FollowedHyperlink"/>
    <w:basedOn w:val="DefaultParagraphFont"/>
    <w:uiPriority w:val="99"/>
    <w:rsid w:val="00882FFA"/>
    <w:rPr>
      <w:color w:val="954F72"/>
      <w:u w:val="single"/>
    </w:rPr>
  </w:style>
  <w:style w:type="character" w:styleId="CommentReference">
    <w:name w:val="annotation reference"/>
    <w:basedOn w:val="DefaultParagraphFont"/>
    <w:uiPriority w:val="99"/>
    <w:rsid w:val="00882FFA"/>
    <w:rPr>
      <w:sz w:val="16"/>
      <w:szCs w:val="16"/>
    </w:rPr>
  </w:style>
  <w:style w:type="paragraph" w:styleId="CommentText">
    <w:name w:val="annotation text"/>
    <w:basedOn w:val="Normal"/>
    <w:link w:val="CommentTextChar"/>
    <w:uiPriority w:val="99"/>
    <w:semiHidden/>
    <w:unhideWhenUsed/>
    <w:rsid w:val="00882FFA"/>
    <w:pPr>
      <w:spacing w:line="240" w:lineRule="auto"/>
    </w:pPr>
    <w:rPr>
      <w:sz w:val="20"/>
      <w:szCs w:val="20"/>
    </w:rPr>
  </w:style>
  <w:style w:type="character" w:customStyle="1" w:styleId="CommentTextChar">
    <w:name w:val="Comment Text Char"/>
    <w:basedOn w:val="DefaultParagraphFont"/>
    <w:link w:val="CommentText"/>
    <w:uiPriority w:val="99"/>
    <w:semiHidden/>
    <w:rsid w:val="00882FFA"/>
    <w:rPr>
      <w:sz w:val="20"/>
      <w:szCs w:val="20"/>
      <w:lang w:val="en-GB"/>
    </w:rPr>
  </w:style>
  <w:style w:type="character" w:customStyle="1" w:styleId="UnresolvedMention">
    <w:name w:val="Unresolved Mention"/>
    <w:basedOn w:val="DefaultParagraphFont"/>
    <w:uiPriority w:val="99"/>
    <w:semiHidden/>
    <w:unhideWhenUsed/>
    <w:rsid w:val="003F0187"/>
    <w:rPr>
      <w:color w:val="605E5C"/>
      <w:shd w:val="clear" w:color="auto" w:fill="E1DFDD"/>
    </w:rPr>
  </w:style>
  <w:style w:type="paragraph" w:styleId="Header">
    <w:name w:val="header"/>
    <w:basedOn w:val="Normal"/>
    <w:link w:val="HeaderChar"/>
    <w:uiPriority w:val="99"/>
    <w:unhideWhenUsed/>
    <w:rsid w:val="00D64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7B1"/>
    <w:rPr>
      <w:lang w:val="en-GB"/>
    </w:rPr>
  </w:style>
  <w:style w:type="paragraph" w:styleId="Footer">
    <w:name w:val="footer"/>
    <w:basedOn w:val="Normal"/>
    <w:link w:val="FooterChar"/>
    <w:uiPriority w:val="99"/>
    <w:unhideWhenUsed/>
    <w:rsid w:val="00D64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7B1"/>
    <w:rPr>
      <w:lang w:val="en-GB"/>
    </w:rPr>
  </w:style>
  <w:style w:type="paragraph" w:styleId="BalloonText">
    <w:name w:val="Balloon Text"/>
    <w:basedOn w:val="Normal"/>
    <w:link w:val="BalloonTextChar"/>
    <w:uiPriority w:val="99"/>
    <w:semiHidden/>
    <w:unhideWhenUsed/>
    <w:rsid w:val="00C92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E2C"/>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doi.org/10.1038/s41571-019-0184-6" TargetMode="External"/><Relationship Id="rId21" Type="http://schemas.openxmlformats.org/officeDocument/2006/relationships/hyperlink" Target="https://doi.org/10.1038/s41598-024-84475-0" TargetMode="External"/><Relationship Id="rId42" Type="http://schemas.openxmlformats.org/officeDocument/2006/relationships/hyperlink" Target="https://doi.org/10.1182/asheducation-2014.1.174" TargetMode="External"/><Relationship Id="rId47" Type="http://schemas.openxmlformats.org/officeDocument/2006/relationships/hyperlink" Target="https://doi.org/10.1158/1078-0432.ccr-18-0426" TargetMode="External"/><Relationship Id="rId63" Type="http://schemas.openxmlformats.org/officeDocument/2006/relationships/hyperlink" Target="https://doi.org/10.1016/j.currproblcancer.2021.100826" TargetMode="External"/><Relationship Id="rId68" Type="http://schemas.openxmlformats.org/officeDocument/2006/relationships/hyperlink" Target="https://doi.org/10.5045/br.2023.2023026" TargetMode="External"/><Relationship Id="rId84" Type="http://schemas.openxmlformats.org/officeDocument/2006/relationships/hyperlink" Target="https://doi.org/10.1200/jco.2023.41.16_suppl.e19503" TargetMode="External"/><Relationship Id="rId89" Type="http://schemas.openxmlformats.org/officeDocument/2006/relationships/hyperlink" Target="https://doi.org/10.1182/bloodadvances.2024013586" TargetMode="External"/><Relationship Id="rId7" Type="http://schemas.openxmlformats.org/officeDocument/2006/relationships/webSettings" Target="webSettings.xml"/><Relationship Id="rId71" Type="http://schemas.openxmlformats.org/officeDocument/2006/relationships/hyperlink" Target="https://doi.org/10.6004/jadpro.2019.10.8.9" TargetMode="External"/><Relationship Id="rId92" Type="http://schemas.openxmlformats.org/officeDocument/2006/relationships/hyperlink" Target="https://doi.org/10.1371/journal.pone.0082742" TargetMode="External"/><Relationship Id="rId2" Type="http://schemas.openxmlformats.org/officeDocument/2006/relationships/customXml" Target="../customXml/item2.xml"/><Relationship Id="rId16" Type="http://schemas.openxmlformats.org/officeDocument/2006/relationships/image" Target="NULL"/><Relationship Id="rId29" Type="http://schemas.openxmlformats.org/officeDocument/2006/relationships/hyperlink" Target="https://doi.org/10.1007/s00262-025-04011-5" TargetMode="External"/><Relationship Id="rId11" Type="http://schemas.openxmlformats.org/officeDocument/2006/relationships/image" Target="NULL"/><Relationship Id="rId24" Type="http://schemas.openxmlformats.org/officeDocument/2006/relationships/hyperlink" Target="https://doi.org/10.3389/fimmu.2023.1101495" TargetMode="External"/><Relationship Id="rId32" Type="http://schemas.openxmlformats.org/officeDocument/2006/relationships/hyperlink" Target="https://doi.org/10.3389/fimmu.2022.1019115" TargetMode="External"/><Relationship Id="rId37" Type="http://schemas.openxmlformats.org/officeDocument/2006/relationships/hyperlink" Target="https://doi.org/10.3389/fped.2021.639479" TargetMode="External"/><Relationship Id="rId40" Type="http://schemas.openxmlformats.org/officeDocument/2006/relationships/hyperlink" Target="https://doi.org/10.1182/blood-2002-12-3817" TargetMode="External"/><Relationship Id="rId45" Type="http://schemas.openxmlformats.org/officeDocument/2006/relationships/hyperlink" Target="https://doi.org/10.22159/ajpcr.2019.v12i1.29642" TargetMode="External"/><Relationship Id="rId53" Type="http://schemas.openxmlformats.org/officeDocument/2006/relationships/hyperlink" Target="https://doi.org/10.1016/j.ymthe.2023.09.021" TargetMode="External"/><Relationship Id="rId58" Type="http://schemas.openxmlformats.org/officeDocument/2006/relationships/hyperlink" Target="https://doi.org/10.1172/jci128743" TargetMode="External"/><Relationship Id="rId66" Type="http://schemas.openxmlformats.org/officeDocument/2006/relationships/hyperlink" Target="https://doi.org/10.1007/s10555-024-10227-1" TargetMode="External"/><Relationship Id="rId74" Type="http://schemas.openxmlformats.org/officeDocument/2006/relationships/hyperlink" Target="https://doi.org/10.1182/blood-2019-129070" TargetMode="External"/><Relationship Id="rId79" Type="http://schemas.openxmlformats.org/officeDocument/2006/relationships/hyperlink" Target="https://doi.org/10.1182/bloodadvances.2024013688" TargetMode="External"/><Relationship Id="rId87" Type="http://schemas.openxmlformats.org/officeDocument/2006/relationships/hyperlink" Target="https://doi.org/10.1182/blood-2022-164879" TargetMode="External"/><Relationship Id="rId102" Type="http://schemas.openxmlformats.org/officeDocument/2006/relationships/footer" Target="footer2.xml"/><Relationship Id="rId5" Type="http://schemas.openxmlformats.org/officeDocument/2006/relationships/styles" Target="styles.xml"/><Relationship Id="rId61" Type="http://schemas.openxmlformats.org/officeDocument/2006/relationships/hyperlink" Target="https://doi.org/10.1158/2159-8290.cd-nb2017-155" TargetMode="External"/><Relationship Id="rId82" Type="http://schemas.openxmlformats.org/officeDocument/2006/relationships/hyperlink" Target="https://doi.org/10.1016/j.jtct.2023.04.001" TargetMode="External"/><Relationship Id="rId90" Type="http://schemas.openxmlformats.org/officeDocument/2006/relationships/hyperlink" Target="https://doi.org/10.3389/fphar.2014.00235" TargetMode="External"/><Relationship Id="rId95" Type="http://schemas.openxmlformats.org/officeDocument/2006/relationships/hyperlink" Target="https://doi.org/10.1002/smll.202304378" TargetMode="External"/><Relationship Id="rId19" Type="http://schemas.openxmlformats.org/officeDocument/2006/relationships/hyperlink" Target="https://doi.org/10.2991/jegh.k.191008.001" TargetMode="External"/><Relationship Id="rId14" Type="http://schemas.openxmlformats.org/officeDocument/2006/relationships/image" Target="NULL"/><Relationship Id="rId22" Type="http://schemas.openxmlformats.org/officeDocument/2006/relationships/hyperlink" Target="https://doi.org/10.1007/s00277-015-2412-1" TargetMode="External"/><Relationship Id="rId27" Type="http://schemas.openxmlformats.org/officeDocument/2006/relationships/hyperlink" Target="https://doi.org/10.1016/j.ejphar.2009.09.067" TargetMode="External"/><Relationship Id="rId30" Type="http://schemas.openxmlformats.org/officeDocument/2006/relationships/hyperlink" Target="https://doi.org/10.1038/s41392-023-01521-5" TargetMode="External"/><Relationship Id="rId35" Type="http://schemas.openxmlformats.org/officeDocument/2006/relationships/hyperlink" Target="https://doi.org/10.3892/or.2019.7335" TargetMode="External"/><Relationship Id="rId43" Type="http://schemas.openxmlformats.org/officeDocument/2006/relationships/hyperlink" Target="https://www.uchicagomedicine.org/cancer/types-treatments/car-t-cell-therapy/how-car-t-cell-therapy-works?utm_source=chatgpt.com" TargetMode="External"/><Relationship Id="rId48" Type="http://schemas.openxmlformats.org/officeDocument/2006/relationships/hyperlink" Target="https://doi.org/10.1038/nrd4597" TargetMode="External"/><Relationship Id="rId56" Type="http://schemas.openxmlformats.org/officeDocument/2006/relationships/hyperlink" Target="https://doi.org/10.1016/j.clml.2020.12.010" TargetMode="External"/><Relationship Id="rId64" Type="http://schemas.openxmlformats.org/officeDocument/2006/relationships/hyperlink" Target="https://doi.org/10.1007/s40259-018-0324-z" TargetMode="External"/><Relationship Id="rId69" Type="http://schemas.openxmlformats.org/officeDocument/2006/relationships/hyperlink" Target="https://doi.org/10.1182/blood-2019-129593" TargetMode="External"/><Relationship Id="rId77" Type="http://schemas.openxmlformats.org/officeDocument/2006/relationships/hyperlink" Target="https://doi.org/10.1177/20406207231168215"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doi.org/10.1080/17843286.2018.1545373" TargetMode="External"/><Relationship Id="rId72" Type="http://schemas.openxmlformats.org/officeDocument/2006/relationships/hyperlink" Target="https://doi.org/10.1182/blood-2021-153917" TargetMode="External"/><Relationship Id="rId80" Type="http://schemas.openxmlformats.org/officeDocument/2006/relationships/hyperlink" Target="https://doi.org/10.1182/blood-2024-201274" TargetMode="External"/><Relationship Id="rId85" Type="http://schemas.openxmlformats.org/officeDocument/2006/relationships/hyperlink" Target="https://doi.org/10.1182/blood-2018-10-881722" TargetMode="External"/><Relationship Id="rId93" Type="http://schemas.openxmlformats.org/officeDocument/2006/relationships/hyperlink" Target="https://doi.org/10.1042/bst20150291" TargetMode="External"/><Relationship Id="rId98" Type="http://schemas.openxmlformats.org/officeDocument/2006/relationships/hyperlink" Target="https://doi.org/10.1158/1538-7445.am2024-1321" TargetMode="External"/><Relationship Id="rId3" Type="http://schemas.openxmlformats.org/officeDocument/2006/relationships/customXml" Target="../customXml/item3.xml"/><Relationship Id="rId12" Type="http://schemas.openxmlformats.org/officeDocument/2006/relationships/image" Target="NULL"/><Relationship Id="rId17" Type="http://schemas.openxmlformats.org/officeDocument/2006/relationships/hyperlink" Target="https://doi.org/10.1038/s41598-022-04835-6" TargetMode="External"/><Relationship Id="rId25" Type="http://schemas.openxmlformats.org/officeDocument/2006/relationships/hyperlink" Target="https://doi.org/10.1007/s11899-023-00687-7" TargetMode="External"/><Relationship Id="rId33" Type="http://schemas.openxmlformats.org/officeDocument/2006/relationships/hyperlink" Target="https://doi.org/10.1186/s13045-017-0423-1" TargetMode="External"/><Relationship Id="rId38" Type="http://schemas.openxmlformats.org/officeDocument/2006/relationships/hyperlink" Target="https://doi.org/10.5772/55655" TargetMode="External"/><Relationship Id="rId46" Type="http://schemas.openxmlformats.org/officeDocument/2006/relationships/hyperlink" Target="https://doi.org/10.1016/j.coi.2009.02.009" TargetMode="External"/><Relationship Id="rId59" Type="http://schemas.openxmlformats.org/officeDocument/2006/relationships/hyperlink" Target="https://doi.org/10.1038/s41408-018-0164-6" TargetMode="External"/><Relationship Id="rId67" Type="http://schemas.openxmlformats.org/officeDocument/2006/relationships/hyperlink" Target="https://doi.org/10.1016/j.annonc.2020.10.478" TargetMode="External"/><Relationship Id="rId103" Type="http://schemas.openxmlformats.org/officeDocument/2006/relationships/header" Target="header3.xml"/><Relationship Id="rId20" Type="http://schemas.openxmlformats.org/officeDocument/2006/relationships/hyperlink" Target="https://doi.org/10.1093/ije/dyac238" TargetMode="External"/><Relationship Id="rId41" Type="http://schemas.openxmlformats.org/officeDocument/2006/relationships/hyperlink" Target="https://medtextfree.wordpress.com/2012/01/23/chapter-97-acute-lymphoblastic-leukemia/" TargetMode="External"/><Relationship Id="rId54" Type="http://schemas.openxmlformats.org/officeDocument/2006/relationships/hyperlink" Target="https://doi.org/10.1186/s13045-020-00910-5" TargetMode="External"/><Relationship Id="rId62" Type="http://schemas.openxmlformats.org/officeDocument/2006/relationships/hyperlink" Target="https://doi.org/10.3390/ijms21113906" TargetMode="External"/><Relationship Id="rId70" Type="http://schemas.openxmlformats.org/officeDocument/2006/relationships/hyperlink" Target="https://doi.org/10.3390/biomedicines11082162" TargetMode="External"/><Relationship Id="rId75" Type="http://schemas.openxmlformats.org/officeDocument/2006/relationships/hyperlink" Target="https://doi.org/10.1200/jco.19.01691" TargetMode="External"/><Relationship Id="rId83" Type="http://schemas.openxmlformats.org/officeDocument/2006/relationships/hyperlink" Target="https://doi.org/10.1200/jco.2021.39.15_suppl.7566" TargetMode="External"/><Relationship Id="rId88" Type="http://schemas.openxmlformats.org/officeDocument/2006/relationships/hyperlink" Target="https://doi.org/10.1016/j.ymthe.2023.03.020" TargetMode="External"/><Relationship Id="rId91" Type="http://schemas.openxmlformats.org/officeDocument/2006/relationships/hyperlink" Target="https://doi.org/10.1186/s12943-019-1057-4" TargetMode="External"/><Relationship Id="rId96" Type="http://schemas.openxmlformats.org/officeDocument/2006/relationships/hyperlink" Target="https://doi.org/10.3390/ijms26073119"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NULL"/><Relationship Id="rId23" Type="http://schemas.openxmlformats.org/officeDocument/2006/relationships/hyperlink" Target="https://doi.org/10.3390/molecules27041310" TargetMode="External"/><Relationship Id="rId28" Type="http://schemas.openxmlformats.org/officeDocument/2006/relationships/hyperlink" Target="https://doi.org/10.3322/caac.20132" TargetMode="External"/><Relationship Id="rId36" Type="http://schemas.openxmlformats.org/officeDocument/2006/relationships/hyperlink" Target="https://doi.org/10.1186/s13045-017-0405-3" TargetMode="External"/><Relationship Id="rId49" Type="http://schemas.openxmlformats.org/officeDocument/2006/relationships/hyperlink" Target="https://doi.org/10.1182/blood-2019-125423" TargetMode="External"/><Relationship Id="rId57" Type="http://schemas.openxmlformats.org/officeDocument/2006/relationships/hyperlink" Target="https://doi.org/10.1080/1744666x.2021.1828067" TargetMode="External"/><Relationship Id="rId106" Type="http://schemas.openxmlformats.org/officeDocument/2006/relationships/theme" Target="theme/theme1.xml"/><Relationship Id="rId10" Type="http://schemas.openxmlformats.org/officeDocument/2006/relationships/image" Target="NULL"/><Relationship Id="rId31" Type="http://schemas.openxmlformats.org/officeDocument/2006/relationships/hyperlink" Target="https://doi.org/10.1038/s41408-021-00459-7" TargetMode="External"/><Relationship Id="rId44" Type="http://schemas.openxmlformats.org/officeDocument/2006/relationships/hyperlink" Target="https://doi.org/10.1016/j.coi.2009.02.009" TargetMode="External"/><Relationship Id="rId52" Type="http://schemas.openxmlformats.org/officeDocument/2006/relationships/hyperlink" Target="https://doi.org/10.1002/acg2.84" TargetMode="External"/><Relationship Id="rId60" Type="http://schemas.openxmlformats.org/officeDocument/2006/relationships/hyperlink" Target="https://doi.org/10.1158/2159-8290.cd-nb2017-126" TargetMode="External"/><Relationship Id="rId65" Type="http://schemas.openxmlformats.org/officeDocument/2006/relationships/hyperlink" Target="https://doi.org/10.2478/ahp-2020-0003" TargetMode="External"/><Relationship Id="rId73" Type="http://schemas.openxmlformats.org/officeDocument/2006/relationships/hyperlink" Target="https://doi.org/10.1001/jamaoncol.2019.5909" TargetMode="External"/><Relationship Id="rId78" Type="http://schemas.openxmlformats.org/officeDocument/2006/relationships/hyperlink" Target="https://doi.org/10.1182/blood-2024-205205" TargetMode="External"/><Relationship Id="rId81" Type="http://schemas.openxmlformats.org/officeDocument/2006/relationships/hyperlink" Target="https://doi.org/10.1182/blood-2022-169809" TargetMode="External"/><Relationship Id="rId86" Type="http://schemas.openxmlformats.org/officeDocument/2006/relationships/hyperlink" Target="https://doi.org/10.1016/j.omto.2018.10.006" TargetMode="External"/><Relationship Id="rId94" Type="http://schemas.openxmlformats.org/officeDocument/2006/relationships/hyperlink" Target="https://doi.org/10.1158/2326-6066.cir-14-0200"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NULL"/><Relationship Id="rId18" Type="http://schemas.openxmlformats.org/officeDocument/2006/relationships/hyperlink" Target="https://doi.org/10.4103/0019-509x.200658" TargetMode="External"/><Relationship Id="rId39" Type="http://schemas.openxmlformats.org/officeDocument/2006/relationships/hyperlink" Target="https://doi.org/10.3324/haematol.2020.247031" TargetMode="External"/><Relationship Id="rId34" Type="http://schemas.openxmlformats.org/officeDocument/2006/relationships/hyperlink" Target="https://doi.org/10.1002/cam4.5551" TargetMode="External"/><Relationship Id="rId50" Type="http://schemas.openxmlformats.org/officeDocument/2006/relationships/hyperlink" Target="https://doi.org/10.1371/journal.pone.0281735" TargetMode="External"/><Relationship Id="rId55" Type="http://schemas.openxmlformats.org/officeDocument/2006/relationships/hyperlink" Target="https://doi.org/10.1016/j.blre.2021.100848" TargetMode="External"/><Relationship Id="rId76" Type="http://schemas.openxmlformats.org/officeDocument/2006/relationships/hyperlink" Target="https://doi.org/10.1080/13696998.2018.1529674" TargetMode="External"/><Relationship Id="rId97" Type="http://schemas.openxmlformats.org/officeDocument/2006/relationships/hyperlink" Target="https://doi.org/10.1182/blood-2024-207566" TargetMode="External"/><Relationship Id="rId10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FC743281-47FA-4CCA-8B44-56E870AF3777}">
  <ds:schemaRefs>
    <ds:schemaRef ds:uri="http://www.wps.cn/android/officeDocument/2013/mofficeCustomData"/>
  </ds:schemaRefs>
</ds:datastoreItem>
</file>

<file path=customXml/itemProps2.xml><?xml version="1.0" encoding="utf-8"?>
<ds:datastoreItem xmlns:ds="http://schemas.openxmlformats.org/officeDocument/2006/customXml" ds:itemID="{E2ECCA35-2E17-4A80-9D75-55E3A22387F4}">
  <ds:schemaRefs>
    <ds:schemaRef ds:uri="http://schemas.openxmlformats.org/officeDocument/2006/bibliography"/>
  </ds:schemaRefs>
</ds:datastoreItem>
</file>

<file path=customXml/itemProps3.xml><?xml version="1.0" encoding="utf-8"?>
<ds:datastoreItem xmlns:ds="http://schemas.openxmlformats.org/officeDocument/2006/customXml" ds:itemID="{EAE451E4-2F04-454E-82F2-5DA1750674C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7893</Words>
  <Characters>44993</Characters>
  <Application>Microsoft Office Word</Application>
  <DocSecurity>0</DocSecurity>
  <Lines>374</Lines>
  <Paragraphs>105</Paragraphs>
  <ScaleCrop>false</ScaleCrop>
  <Company/>
  <LinksUpToDate>false</LinksUpToDate>
  <CharactersWithSpaces>52781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MASCO M</dc:creator>
  <cp:lastModifiedBy>KYAMCH</cp:lastModifiedBy>
  <cp:revision>3</cp:revision>
  <dcterms:created xsi:type="dcterms:W3CDTF">2025-10-12T08:38:00Z</dcterms:created>
  <dcterms:modified xsi:type="dcterms:W3CDTF">2025-10-12T09:38:00Z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2025-08-25T04:53:49Z</vt:filetime>
  </property>
  <property fmtid="{D5CDD505-2E9C-101B-9397-08002B2CF9AE}" pid="3" name="ICV">
    <vt:lpwstr>c01feeb86bf34595aa5a7f13d275eb99</vt:lpwstr>
  </property>
</Properties>
</file>