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9E1BE" w14:textId="77777777" w:rsidR="00396FE0" w:rsidRDefault="00396FE0" w:rsidP="00F43728">
      <w:pPr>
        <w:spacing w:line="360" w:lineRule="auto"/>
        <w:jc w:val="both"/>
        <w:rPr>
          <w:rFonts w:ascii="Times New Roman" w:hAnsi="Times New Roman" w:cs="Times New Roman"/>
          <w:b/>
          <w:bCs/>
          <w:lang w:val="en-US"/>
        </w:rPr>
      </w:pPr>
      <w:r w:rsidRPr="00396FE0">
        <w:rPr>
          <w:rFonts w:ascii="Times New Roman" w:hAnsi="Times New Roman" w:cs="Times New Roman"/>
          <w:b/>
          <w:bCs/>
          <w:lang w:val="en-US"/>
        </w:rPr>
        <w:t>Original Research Article</w:t>
      </w:r>
    </w:p>
    <w:p w14:paraId="595662C9" w14:textId="0AEFCDE1" w:rsidR="00336571" w:rsidRPr="00452E78" w:rsidRDefault="00336571" w:rsidP="00F43728">
      <w:pPr>
        <w:spacing w:line="360" w:lineRule="auto"/>
        <w:jc w:val="both"/>
        <w:rPr>
          <w:rFonts w:ascii="Times New Roman" w:hAnsi="Times New Roman" w:cs="Times New Roman"/>
          <w:b/>
          <w:bCs/>
          <w:lang w:val="en-US"/>
        </w:rPr>
      </w:pPr>
      <w:r w:rsidRPr="00452E78">
        <w:rPr>
          <w:rFonts w:ascii="Times New Roman" w:hAnsi="Times New Roman" w:cs="Times New Roman"/>
          <w:b/>
          <w:bCs/>
          <w:lang w:val="en-US"/>
        </w:rPr>
        <w:t xml:space="preserve">Analyzing Land Use and Land Cover Changes </w:t>
      </w:r>
      <w:r w:rsidR="00452E78" w:rsidRPr="00452E78">
        <w:rPr>
          <w:rFonts w:ascii="Times New Roman" w:hAnsi="Times New Roman" w:cs="Times New Roman"/>
          <w:b/>
          <w:bCs/>
          <w:lang w:val="en-US"/>
        </w:rPr>
        <w:t>using</w:t>
      </w:r>
      <w:r w:rsidRPr="00452E78">
        <w:rPr>
          <w:rFonts w:ascii="Times New Roman" w:hAnsi="Times New Roman" w:cs="Times New Roman"/>
          <w:b/>
          <w:bCs/>
          <w:lang w:val="en-US"/>
        </w:rPr>
        <w:t xml:space="preserve"> Remote Sensing and GIS in </w:t>
      </w:r>
      <w:proofErr w:type="spellStart"/>
      <w:r w:rsidRPr="00452E78">
        <w:rPr>
          <w:rFonts w:ascii="Times New Roman" w:hAnsi="Times New Roman" w:cs="Times New Roman"/>
          <w:b/>
          <w:bCs/>
          <w:lang w:val="en-US"/>
        </w:rPr>
        <w:t>Churachandpur</w:t>
      </w:r>
      <w:proofErr w:type="spellEnd"/>
      <w:r w:rsidRPr="00452E78">
        <w:rPr>
          <w:rFonts w:ascii="Times New Roman" w:hAnsi="Times New Roman" w:cs="Times New Roman"/>
          <w:b/>
          <w:bCs/>
          <w:lang w:val="en-US"/>
        </w:rPr>
        <w:t xml:space="preserve"> District, Manipur,</w:t>
      </w:r>
      <w:r w:rsidR="00347BAC" w:rsidRPr="00452E78">
        <w:rPr>
          <w:rFonts w:ascii="Times New Roman" w:hAnsi="Times New Roman" w:cs="Times New Roman"/>
          <w:b/>
          <w:bCs/>
          <w:lang w:val="en-US"/>
        </w:rPr>
        <w:t xml:space="preserve"> </w:t>
      </w:r>
      <w:r w:rsidRPr="00452E78">
        <w:rPr>
          <w:rFonts w:ascii="Times New Roman" w:hAnsi="Times New Roman" w:cs="Times New Roman"/>
          <w:b/>
          <w:bCs/>
          <w:lang w:val="en-US"/>
        </w:rPr>
        <w:t>Northeast India</w:t>
      </w:r>
    </w:p>
    <w:p w14:paraId="68B97756" w14:textId="77777777" w:rsidR="00A331EE" w:rsidRPr="00452E78" w:rsidRDefault="00A331EE" w:rsidP="00F43728">
      <w:pPr>
        <w:spacing w:after="0" w:line="360" w:lineRule="auto"/>
        <w:jc w:val="both"/>
        <w:rPr>
          <w:rFonts w:ascii="Times New Roman" w:hAnsi="Times New Roman" w:cs="Times New Roman"/>
          <w:lang w:val="en-US"/>
        </w:rPr>
      </w:pPr>
    </w:p>
    <w:p w14:paraId="172885D2" w14:textId="6DEF0DCB" w:rsidR="00336571" w:rsidRPr="00452E78" w:rsidRDefault="00336571" w:rsidP="00F43728">
      <w:pPr>
        <w:spacing w:line="360" w:lineRule="auto"/>
        <w:jc w:val="center"/>
        <w:rPr>
          <w:rFonts w:ascii="Times New Roman" w:hAnsi="Times New Roman" w:cs="Times New Roman"/>
          <w:b/>
          <w:bCs/>
          <w:lang w:val="en-US"/>
        </w:rPr>
      </w:pPr>
      <w:r w:rsidRPr="00452E78">
        <w:rPr>
          <w:rFonts w:ascii="Times New Roman" w:hAnsi="Times New Roman" w:cs="Times New Roman"/>
          <w:b/>
          <w:bCs/>
          <w:lang w:val="en-US"/>
        </w:rPr>
        <w:t>Abstract</w:t>
      </w:r>
    </w:p>
    <w:p w14:paraId="36BD211A" w14:textId="77777777" w:rsidR="00FB0633" w:rsidRPr="00452E78" w:rsidRDefault="00FB0633" w:rsidP="00F43728">
      <w:pPr>
        <w:spacing w:line="360" w:lineRule="auto"/>
        <w:jc w:val="both"/>
        <w:rPr>
          <w:rFonts w:ascii="Times New Roman" w:hAnsi="Times New Roman" w:cs="Times New Roman"/>
        </w:rPr>
      </w:pPr>
      <w:commentRangeStart w:id="0"/>
      <w:r w:rsidRPr="00452E78">
        <w:rPr>
          <w:rFonts w:ascii="Times New Roman" w:hAnsi="Times New Roman" w:cs="Times New Roman"/>
        </w:rPr>
        <w:t xml:space="preserve">Over the past decade,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in Manipur has seen significant changes in land use and land cover (LULC), influenced by both natural processes and human activities. This study looks at these changes from 2017 to 2024 using Geographic Information Systems (GIS) and remote sensing tools to understand how the landscape has developed. We </w:t>
      </w:r>
      <w:proofErr w:type="spellStart"/>
      <w:r w:rsidRPr="00452E78">
        <w:rPr>
          <w:rFonts w:ascii="Times New Roman" w:hAnsi="Times New Roman" w:cs="Times New Roman"/>
        </w:rPr>
        <w:t>analyzed</w:t>
      </w:r>
      <w:proofErr w:type="spellEnd"/>
      <w:r w:rsidRPr="00452E78">
        <w:rPr>
          <w:rFonts w:ascii="Times New Roman" w:hAnsi="Times New Roman" w:cs="Times New Roman"/>
        </w:rPr>
        <w:t xml:space="preserve"> multi-temporal satellite images and confirmed the data through accuracy checks to track changes in forest cover, rangelands, agricultural areas, and urban settlements. The analysis shows major land transformations. Forest cover dropped by about 78 sq. km, reflecting a 1.65% decrease. Rangelands increased by roughly 67.23 sq. km, or 1.42%, while urban areas grew by 17.49 sq. km, a 0.37% rise. A transition matrix indicated that much of this conversion came from forested areas being changed into rangelands or built-up zones, showing increased human pressure on natural ecosystems. The classification results were reliable, with overall accuracy improving from 83.33% in 2017 to 93.33% in 2024. Kappa coefficients also rose from 75.84%, which indicates substantial agreement, to 91.92%, showing almost perfect agreement. Although forests still cover about 93.24% of the district’s area, the decline points to ongoing degradation and fragmentation of forest ecosystems. The findings also underscore how socio-economic changes affect land use, reflecting a broader trend across Northeast India. Small reductions in agricultural land of 5.62 sq. km (0.12% decrease) and water bodies of 1.35 sq. km (0.03% decrease) suggest a move away from traditional farming and possible stress on local water systems.</w:t>
      </w:r>
    </w:p>
    <w:p w14:paraId="6F9CF74A" w14:textId="0879CF0D" w:rsidR="00336571" w:rsidRPr="00452E78" w:rsidRDefault="00FB0633" w:rsidP="00F43728">
      <w:pPr>
        <w:spacing w:line="360" w:lineRule="auto"/>
        <w:jc w:val="both"/>
        <w:rPr>
          <w:rFonts w:ascii="Times New Roman" w:hAnsi="Times New Roman" w:cs="Times New Roman"/>
          <w:lang w:val="en-US"/>
        </w:rPr>
      </w:pPr>
      <w:r w:rsidRPr="00452E78">
        <w:rPr>
          <w:rFonts w:ascii="Times New Roman" w:hAnsi="Times New Roman" w:cs="Times New Roman"/>
        </w:rPr>
        <w:t xml:space="preserve">Overall, this study offers important insights to guide sustainable land management, biodiversity conservation, and community-based development in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The observed patterns highlight the urgent need to balance developmental needs with environmental protection through informed policies and active community involvement. Beyond its local significance, the study’s methods and findings can aid similar research in other mountainous areas of the Eastern Himalayas facing similar ecological challenges</w:t>
      </w:r>
      <w:r w:rsidR="00056BFD" w:rsidRPr="00452E78">
        <w:rPr>
          <w:rFonts w:ascii="Times New Roman" w:hAnsi="Times New Roman" w:cs="Times New Roman"/>
        </w:rPr>
        <w:t>.</w:t>
      </w:r>
      <w:commentRangeEnd w:id="0"/>
      <w:r w:rsidR="00EB0C6A">
        <w:rPr>
          <w:rStyle w:val="CommentReference"/>
        </w:rPr>
        <w:commentReference w:id="0"/>
      </w:r>
    </w:p>
    <w:p w14:paraId="590CA7C5" w14:textId="4699D47D" w:rsidR="002E2327" w:rsidRPr="00452E78" w:rsidRDefault="00336571" w:rsidP="00F43728">
      <w:pPr>
        <w:spacing w:line="360" w:lineRule="auto"/>
        <w:jc w:val="both"/>
        <w:rPr>
          <w:rFonts w:ascii="Times New Roman" w:hAnsi="Times New Roman" w:cs="Times New Roman"/>
          <w:i/>
          <w:iCs/>
          <w:lang w:val="en-US"/>
        </w:rPr>
      </w:pPr>
      <w:r w:rsidRPr="00452E78">
        <w:rPr>
          <w:rFonts w:ascii="Times New Roman" w:hAnsi="Times New Roman" w:cs="Times New Roman"/>
          <w:i/>
          <w:iCs/>
          <w:lang w:val="en-US"/>
        </w:rPr>
        <w:t xml:space="preserve">Keywords: Land use and land cover, GIS, Remote sensing, Forest change, Urban expansion, Ecosystem conservation, </w:t>
      </w:r>
      <w:proofErr w:type="spellStart"/>
      <w:r w:rsidRPr="00452E78">
        <w:rPr>
          <w:rFonts w:ascii="Times New Roman" w:hAnsi="Times New Roman" w:cs="Times New Roman"/>
          <w:i/>
          <w:iCs/>
          <w:lang w:val="en-US"/>
        </w:rPr>
        <w:t>Churachandpur</w:t>
      </w:r>
      <w:proofErr w:type="spellEnd"/>
      <w:r w:rsidRPr="00452E78">
        <w:rPr>
          <w:rFonts w:ascii="Times New Roman" w:hAnsi="Times New Roman" w:cs="Times New Roman"/>
          <w:i/>
          <w:iCs/>
          <w:lang w:val="en-US"/>
        </w:rPr>
        <w:t xml:space="preserve"> district</w:t>
      </w:r>
    </w:p>
    <w:p w14:paraId="64A7F118" w14:textId="77777777" w:rsidR="00A02458" w:rsidRPr="00452E78" w:rsidRDefault="00A02458" w:rsidP="00F43728">
      <w:pPr>
        <w:spacing w:line="360" w:lineRule="auto"/>
        <w:jc w:val="both"/>
        <w:rPr>
          <w:rFonts w:ascii="Times New Roman" w:hAnsi="Times New Roman" w:cs="Times New Roman"/>
          <w:b/>
          <w:bCs/>
          <w:lang w:val="en-US"/>
        </w:rPr>
      </w:pPr>
    </w:p>
    <w:p w14:paraId="23053937" w14:textId="59E96614" w:rsidR="002E2327" w:rsidRPr="00452E78" w:rsidRDefault="00EC3B0B" w:rsidP="00F43728">
      <w:pPr>
        <w:spacing w:line="360" w:lineRule="auto"/>
        <w:jc w:val="both"/>
        <w:rPr>
          <w:rFonts w:ascii="Times New Roman" w:hAnsi="Times New Roman" w:cs="Times New Roman"/>
          <w:b/>
          <w:bCs/>
          <w:lang w:val="en-US"/>
        </w:rPr>
      </w:pPr>
      <w:r w:rsidRPr="00452E78">
        <w:rPr>
          <w:rFonts w:ascii="Times New Roman" w:hAnsi="Times New Roman" w:cs="Times New Roman"/>
          <w:b/>
          <w:bCs/>
          <w:lang w:val="en-US"/>
        </w:rPr>
        <w:lastRenderedPageBreak/>
        <w:t xml:space="preserve">1 </w:t>
      </w:r>
      <w:r w:rsidR="002E2327" w:rsidRPr="00452E78">
        <w:rPr>
          <w:rFonts w:ascii="Times New Roman" w:hAnsi="Times New Roman" w:cs="Times New Roman"/>
          <w:b/>
          <w:bCs/>
          <w:lang w:val="en-US"/>
        </w:rPr>
        <w:t>INTRODUCTION</w:t>
      </w:r>
    </w:p>
    <w:p w14:paraId="1E6AFE1B" w14:textId="60109985" w:rsidR="00437879" w:rsidRPr="00452E78" w:rsidRDefault="00437879" w:rsidP="00F43728">
      <w:pPr>
        <w:spacing w:line="360" w:lineRule="auto"/>
        <w:jc w:val="both"/>
        <w:rPr>
          <w:rFonts w:ascii="Times New Roman" w:hAnsi="Times New Roman" w:cs="Times New Roman"/>
        </w:rPr>
      </w:pPr>
      <w:r w:rsidRPr="00452E78">
        <w:rPr>
          <w:rFonts w:ascii="Times New Roman" w:hAnsi="Times New Roman" w:cs="Times New Roman"/>
        </w:rPr>
        <w:t>Land use and land cover (LULC) change is a crucial environmental process that shapes the Earth’s surface today. It significantly influences ecosystem functions, biodiversity patterns, and the potential for sustainable development (Lambin et al., 20</w:t>
      </w:r>
      <w:r w:rsidR="00242019" w:rsidRPr="00452E78">
        <w:rPr>
          <w:rFonts w:ascii="Times New Roman" w:hAnsi="Times New Roman" w:cs="Times New Roman"/>
        </w:rPr>
        <w:t>0</w:t>
      </w:r>
      <w:r w:rsidRPr="00452E78">
        <w:rPr>
          <w:rFonts w:ascii="Times New Roman" w:hAnsi="Times New Roman" w:cs="Times New Roman"/>
        </w:rPr>
        <w:t>1; Turner et al., 2007). Understanding how land is used and how it changes over time helps researchers and policymakers see the complex link between human activities and the natural environment. This understanding is vital for developing effective land management strategies and ensuring long-term ecological balance (Foley et al., 2005; Verburg et al., 2015).</w:t>
      </w:r>
    </w:p>
    <w:p w14:paraId="09A308BC" w14:textId="0937D392" w:rsidR="00437879" w:rsidRPr="00452E78" w:rsidRDefault="00437879" w:rsidP="00F43728">
      <w:pPr>
        <w:spacing w:line="360" w:lineRule="auto"/>
        <w:jc w:val="both"/>
        <w:rPr>
          <w:rFonts w:ascii="Times New Roman" w:hAnsi="Times New Roman" w:cs="Times New Roman"/>
        </w:rPr>
      </w:pPr>
      <w:r w:rsidRPr="00452E78">
        <w:rPr>
          <w:rFonts w:ascii="Times New Roman" w:hAnsi="Times New Roman" w:cs="Times New Roman"/>
        </w:rPr>
        <w:t>Globally, human-driven changes in land use - through urban expansion, increased agriculture, deforestation, and infrastructure development - have caused significant ecological and social-economic changes (Hussain et al., 20</w:t>
      </w:r>
      <w:r w:rsidR="00826AE8" w:rsidRPr="00452E78">
        <w:rPr>
          <w:rFonts w:ascii="Times New Roman" w:hAnsi="Times New Roman" w:cs="Times New Roman"/>
        </w:rPr>
        <w:t>19</w:t>
      </w:r>
      <w:r w:rsidRPr="00452E78">
        <w:rPr>
          <w:rFonts w:ascii="Times New Roman" w:hAnsi="Times New Roman" w:cs="Times New Roman"/>
        </w:rPr>
        <w:t>). The same patterns are visible in India, where rapid population growth and economic development have put pressure on limited land resources, making sustainable management more critical (</w:t>
      </w:r>
      <w:proofErr w:type="spellStart"/>
      <w:r w:rsidRPr="00452E78">
        <w:rPr>
          <w:rFonts w:ascii="Times New Roman" w:hAnsi="Times New Roman" w:cs="Times New Roman"/>
        </w:rPr>
        <w:t>Lalhmachhuana</w:t>
      </w:r>
      <w:proofErr w:type="spellEnd"/>
      <w:r w:rsidRPr="00452E78">
        <w:rPr>
          <w:rFonts w:ascii="Times New Roman" w:hAnsi="Times New Roman" w:cs="Times New Roman"/>
        </w:rPr>
        <w:t xml:space="preserve"> et al., 2022). In the northeastern states, especially in Manipur, demographic growth, changes in livelihoods, and modernization of agricultural practices have led to significant alterations in natural landscapes (Sharma et al., 201</w:t>
      </w:r>
      <w:r w:rsidR="00826AE8" w:rsidRPr="00452E78">
        <w:rPr>
          <w:rFonts w:ascii="Times New Roman" w:hAnsi="Times New Roman" w:cs="Times New Roman"/>
        </w:rPr>
        <w:t>9</w:t>
      </w:r>
      <w:r w:rsidRPr="00452E78">
        <w:rPr>
          <w:rFonts w:ascii="Times New Roman" w:hAnsi="Times New Roman" w:cs="Times New Roman"/>
        </w:rPr>
        <w:t>; Ramachandra et al., 201</w:t>
      </w:r>
      <w:r w:rsidR="0010749C" w:rsidRPr="00452E78">
        <w:rPr>
          <w:rFonts w:ascii="Times New Roman" w:hAnsi="Times New Roman" w:cs="Times New Roman"/>
        </w:rPr>
        <w:t>7</w:t>
      </w:r>
      <w:r w:rsidRPr="00452E78">
        <w:rPr>
          <w:rFonts w:ascii="Times New Roman" w:hAnsi="Times New Roman" w:cs="Times New Roman"/>
        </w:rPr>
        <w:t>).</w:t>
      </w:r>
    </w:p>
    <w:p w14:paraId="4E92CD3E" w14:textId="56923065" w:rsidR="00437879" w:rsidRPr="00452E78" w:rsidRDefault="00437879" w:rsidP="00F43728">
      <w:pPr>
        <w:spacing w:line="360" w:lineRule="auto"/>
        <w:jc w:val="both"/>
        <w:rPr>
          <w:rFonts w:ascii="Times New Roman" w:hAnsi="Times New Roman" w:cs="Times New Roman"/>
        </w:rPr>
      </w:pPr>
      <w:r w:rsidRPr="00452E78">
        <w:rPr>
          <w:rFonts w:ascii="Times New Roman" w:hAnsi="Times New Roman" w:cs="Times New Roman"/>
        </w:rPr>
        <w:t xml:space="preserve">The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of Manipur is a notable example of these changes. Known for its rich ecological diversity and varied terrain, this district has experienced significant shifts in land use patterns in recent years. As the largest district in the state, </w:t>
      </w:r>
      <w:proofErr w:type="spellStart"/>
      <w:r w:rsidRPr="00452E78">
        <w:rPr>
          <w:rFonts w:ascii="Times New Roman" w:hAnsi="Times New Roman" w:cs="Times New Roman"/>
        </w:rPr>
        <w:t>Churachandpur’s</w:t>
      </w:r>
      <w:proofErr w:type="spellEnd"/>
      <w:r w:rsidRPr="00452E78">
        <w:rPr>
          <w:rFonts w:ascii="Times New Roman" w:hAnsi="Times New Roman" w:cs="Times New Roman"/>
        </w:rPr>
        <w:t xml:space="preserve"> mostly forested landscape has been increasingly changed by human activities like shifting cultivation (jhum), deforestation, agricultural changes, and urban growth (Kumar </w:t>
      </w:r>
      <w:r w:rsidR="00AF57BC" w:rsidRPr="00452E78">
        <w:rPr>
          <w:rFonts w:ascii="Times New Roman" w:hAnsi="Times New Roman" w:cs="Times New Roman"/>
        </w:rPr>
        <w:t xml:space="preserve">et al., 2013; </w:t>
      </w:r>
      <w:proofErr w:type="spellStart"/>
      <w:r w:rsidR="00AF57BC" w:rsidRPr="00452E78">
        <w:rPr>
          <w:rFonts w:ascii="Times New Roman" w:hAnsi="Times New Roman" w:cs="Times New Roman"/>
        </w:rPr>
        <w:t>Temjen</w:t>
      </w:r>
      <w:proofErr w:type="spellEnd"/>
      <w:r w:rsidR="00AF57BC" w:rsidRPr="00452E78">
        <w:rPr>
          <w:rFonts w:ascii="Times New Roman" w:hAnsi="Times New Roman" w:cs="Times New Roman"/>
        </w:rPr>
        <w:t xml:space="preserve"> et al., 2022)</w:t>
      </w:r>
      <w:r w:rsidRPr="00452E78">
        <w:rPr>
          <w:rFonts w:ascii="Times New Roman" w:hAnsi="Times New Roman" w:cs="Times New Roman"/>
        </w:rPr>
        <w:t>. Like other areas of Northeast India, the region’s fragile ecosystems are facing increasing stress from these activities. Without careful monitoring, such changes can lead to soil erosion, habitat fragmentation, loss of biodiversity, and long-term resource degradation (</w:t>
      </w:r>
      <w:proofErr w:type="spellStart"/>
      <w:r w:rsidRPr="00452E78">
        <w:rPr>
          <w:rFonts w:ascii="Times New Roman" w:hAnsi="Times New Roman" w:cs="Times New Roman"/>
        </w:rPr>
        <w:t>Puyravaud</w:t>
      </w:r>
      <w:proofErr w:type="spellEnd"/>
      <w:r w:rsidRPr="00452E78">
        <w:rPr>
          <w:rFonts w:ascii="Times New Roman" w:hAnsi="Times New Roman" w:cs="Times New Roman"/>
        </w:rPr>
        <w:t xml:space="preserve">, </w:t>
      </w:r>
      <w:proofErr w:type="gramStart"/>
      <w:r w:rsidRPr="00452E78">
        <w:rPr>
          <w:rFonts w:ascii="Times New Roman" w:hAnsi="Times New Roman" w:cs="Times New Roman"/>
        </w:rPr>
        <w:t>2003;</w:t>
      </w:r>
      <w:r w:rsidR="00AF57BC" w:rsidRPr="00452E78">
        <w:rPr>
          <w:rFonts w:ascii="Times New Roman" w:hAnsi="Times New Roman" w:cs="Times New Roman"/>
        </w:rPr>
        <w:t>Roy</w:t>
      </w:r>
      <w:proofErr w:type="gramEnd"/>
      <w:r w:rsidR="00AF57BC" w:rsidRPr="00452E78">
        <w:rPr>
          <w:rFonts w:ascii="Times New Roman" w:hAnsi="Times New Roman" w:cs="Times New Roman"/>
        </w:rPr>
        <w:t xml:space="preserve"> &amp; Joshi, 2002</w:t>
      </w:r>
      <w:r w:rsidRPr="00452E78">
        <w:rPr>
          <w:rFonts w:ascii="Times New Roman" w:hAnsi="Times New Roman" w:cs="Times New Roman"/>
        </w:rPr>
        <w:t xml:space="preserve">; </w:t>
      </w:r>
      <w:proofErr w:type="spellStart"/>
      <w:r w:rsidRPr="00452E78">
        <w:rPr>
          <w:rFonts w:ascii="Times New Roman" w:hAnsi="Times New Roman" w:cs="Times New Roman"/>
        </w:rPr>
        <w:t>Remlalruata</w:t>
      </w:r>
      <w:proofErr w:type="spellEnd"/>
      <w:r w:rsidRPr="00452E78">
        <w:rPr>
          <w:rFonts w:ascii="Times New Roman" w:hAnsi="Times New Roman" w:cs="Times New Roman"/>
        </w:rPr>
        <w:t>, 2023).</w:t>
      </w:r>
    </w:p>
    <w:p w14:paraId="70D89F28" w14:textId="57EF2806" w:rsidR="00437879" w:rsidRPr="00452E78" w:rsidRDefault="00437879" w:rsidP="00F43728">
      <w:pPr>
        <w:spacing w:line="360" w:lineRule="auto"/>
        <w:jc w:val="both"/>
        <w:rPr>
          <w:rFonts w:ascii="Times New Roman" w:hAnsi="Times New Roman" w:cs="Times New Roman"/>
        </w:rPr>
      </w:pPr>
      <w:r w:rsidRPr="00452E78">
        <w:rPr>
          <w:rFonts w:ascii="Times New Roman" w:hAnsi="Times New Roman" w:cs="Times New Roman"/>
        </w:rPr>
        <w:t xml:space="preserve">Modern technologies such as Remote Sensing (RS) and Geographic Information Systems (GIS) now allow for accurate and efficient tracking of these land changes. By </w:t>
      </w:r>
      <w:proofErr w:type="spellStart"/>
      <w:r w:rsidRPr="00452E78">
        <w:rPr>
          <w:rFonts w:ascii="Times New Roman" w:hAnsi="Times New Roman" w:cs="Times New Roman"/>
        </w:rPr>
        <w:t>analyzing</w:t>
      </w:r>
      <w:proofErr w:type="spellEnd"/>
      <w:r w:rsidRPr="00452E78">
        <w:rPr>
          <w:rFonts w:ascii="Times New Roman" w:hAnsi="Times New Roman" w:cs="Times New Roman"/>
        </w:rPr>
        <w:t xml:space="preserve"> satellite images over time, these tools give a clear view of how landscapes change. In this study, GIS and remote sensing methods are used to examine LULC changes in </w:t>
      </w:r>
      <w:r w:rsidR="007B5BAF" w:rsidRPr="00452E78">
        <w:rPr>
          <w:rFonts w:ascii="Times New Roman" w:hAnsi="Times New Roman" w:cs="Times New Roman"/>
        </w:rPr>
        <w:t xml:space="preserve">the </w:t>
      </w:r>
      <w:r w:rsidRPr="00452E78">
        <w:rPr>
          <w:rFonts w:ascii="Times New Roman" w:hAnsi="Times New Roman" w:cs="Times New Roman"/>
        </w:rPr>
        <w:t xml:space="preserve">district over a seven-year period, from 2017 to 2024. Multi-temporal satellite imagery and advanced classification techniques (Lu et al., 2004; Rawat and Kumar, 2015) were applied to identify and quantify variations across major land cover categories, which include forests, rangelands, agricultural zones, built-up areas, and water bodies. Previous studies have shown that supervised classification using satellite data, especially from Landsat and </w:t>
      </w:r>
      <w:r w:rsidRPr="00452E78">
        <w:rPr>
          <w:rFonts w:ascii="Times New Roman" w:hAnsi="Times New Roman" w:cs="Times New Roman"/>
        </w:rPr>
        <w:lastRenderedPageBreak/>
        <w:t xml:space="preserve">Sentinel sensors, can create reliable and accurate LULC maps, often achieving classification accuracies over 80% (Islami et al., 2022; </w:t>
      </w:r>
      <w:proofErr w:type="spellStart"/>
      <w:r w:rsidRPr="00452E78">
        <w:rPr>
          <w:rFonts w:ascii="Times New Roman" w:hAnsi="Times New Roman" w:cs="Times New Roman"/>
        </w:rPr>
        <w:t>Lalhmachhuana</w:t>
      </w:r>
      <w:proofErr w:type="spellEnd"/>
      <w:r w:rsidRPr="00452E78">
        <w:rPr>
          <w:rFonts w:ascii="Times New Roman" w:hAnsi="Times New Roman" w:cs="Times New Roman"/>
        </w:rPr>
        <w:t xml:space="preserve"> et al., 2022).</w:t>
      </w:r>
    </w:p>
    <w:p w14:paraId="415EC75A" w14:textId="77777777" w:rsidR="00437879" w:rsidRPr="00452E78" w:rsidRDefault="00437879" w:rsidP="00F43728">
      <w:pPr>
        <w:spacing w:line="360" w:lineRule="auto"/>
        <w:jc w:val="both"/>
        <w:rPr>
          <w:rFonts w:ascii="Times New Roman" w:hAnsi="Times New Roman" w:cs="Times New Roman"/>
        </w:rPr>
      </w:pPr>
      <w:r w:rsidRPr="00452E78">
        <w:rPr>
          <w:rFonts w:ascii="Times New Roman" w:hAnsi="Times New Roman" w:cs="Times New Roman"/>
        </w:rPr>
        <w:t xml:space="preserve">Despite the increasing number of LULC studies in India,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has not been thoroughly examined through systematic spatial analysis. Given its ecological importance and cultural diversity, understanding the district’s landscape dynamics is essential for guiding conservation and planning efforts. The ongoing challenges of urbanization, deforestation, and shifting cultivation make it crucial to monitor recent land changes and assess their broader impacts on sustainability. This paper aims to address this gap by using RS and GIS to evaluate land use and land cover changes in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from 2017 to 2024. The main objectives of the study are:</w:t>
      </w:r>
    </w:p>
    <w:p w14:paraId="6C12B16B" w14:textId="2B931870" w:rsidR="00437879" w:rsidRPr="00452E78" w:rsidRDefault="00437879" w:rsidP="00F43728">
      <w:pPr>
        <w:pStyle w:val="ListParagraph"/>
        <w:numPr>
          <w:ilvl w:val="0"/>
          <w:numId w:val="5"/>
        </w:numPr>
        <w:spacing w:line="360" w:lineRule="auto"/>
        <w:jc w:val="both"/>
        <w:rPr>
          <w:rFonts w:ascii="Times New Roman" w:hAnsi="Times New Roman" w:cs="Times New Roman"/>
        </w:rPr>
      </w:pPr>
      <w:r w:rsidRPr="00452E78">
        <w:rPr>
          <w:rFonts w:ascii="Times New Roman" w:hAnsi="Times New Roman" w:cs="Times New Roman"/>
        </w:rPr>
        <w:t>To classify and map land use and land cover for the years 2017 and 2024 using multi-temporal satellite imagery;</w:t>
      </w:r>
    </w:p>
    <w:p w14:paraId="242D3B07" w14:textId="39E03D29" w:rsidR="00437879" w:rsidRPr="00452E78" w:rsidRDefault="00437879" w:rsidP="00F43728">
      <w:pPr>
        <w:pStyle w:val="ListParagraph"/>
        <w:numPr>
          <w:ilvl w:val="0"/>
          <w:numId w:val="5"/>
        </w:numPr>
        <w:spacing w:line="360" w:lineRule="auto"/>
        <w:jc w:val="both"/>
        <w:rPr>
          <w:rFonts w:ascii="Times New Roman" w:hAnsi="Times New Roman" w:cs="Times New Roman"/>
        </w:rPr>
      </w:pPr>
      <w:r w:rsidRPr="00452E78">
        <w:rPr>
          <w:rFonts w:ascii="Times New Roman" w:hAnsi="Times New Roman" w:cs="Times New Roman"/>
        </w:rPr>
        <w:t>To quantify and interpret the spatial extent and nature of land transformation; and</w:t>
      </w:r>
    </w:p>
    <w:p w14:paraId="763E3768" w14:textId="3B6488EA" w:rsidR="00437879" w:rsidRPr="00452E78" w:rsidRDefault="00437879" w:rsidP="00F43728">
      <w:pPr>
        <w:pStyle w:val="ListParagraph"/>
        <w:numPr>
          <w:ilvl w:val="0"/>
          <w:numId w:val="5"/>
        </w:numPr>
        <w:spacing w:line="360" w:lineRule="auto"/>
        <w:jc w:val="both"/>
        <w:rPr>
          <w:rFonts w:ascii="Times New Roman" w:hAnsi="Times New Roman" w:cs="Times New Roman"/>
        </w:rPr>
      </w:pPr>
      <w:r w:rsidRPr="00452E78">
        <w:rPr>
          <w:rFonts w:ascii="Times New Roman" w:hAnsi="Times New Roman" w:cs="Times New Roman"/>
        </w:rPr>
        <w:t>To provide evidence-based insights that can help planners and policymakers promote sustainable land management in the region.</w:t>
      </w:r>
    </w:p>
    <w:p w14:paraId="0975B45D" w14:textId="77777777" w:rsidR="00D966AE" w:rsidRPr="00452E78" w:rsidRDefault="00D966AE" w:rsidP="00F43728">
      <w:pPr>
        <w:pStyle w:val="ListParagraph"/>
        <w:spacing w:line="360" w:lineRule="auto"/>
        <w:jc w:val="both"/>
        <w:rPr>
          <w:rFonts w:ascii="Times New Roman" w:hAnsi="Times New Roman" w:cs="Times New Roman"/>
          <w:lang w:val="en-US"/>
        </w:rPr>
      </w:pPr>
    </w:p>
    <w:p w14:paraId="7F42DE0B" w14:textId="5FB4A97C" w:rsidR="00D966AE" w:rsidRPr="00452E78" w:rsidRDefault="00243CDF" w:rsidP="00F43728">
      <w:pPr>
        <w:spacing w:line="360" w:lineRule="auto"/>
        <w:jc w:val="both"/>
        <w:rPr>
          <w:rFonts w:ascii="Times New Roman" w:hAnsi="Times New Roman" w:cs="Times New Roman"/>
          <w:b/>
          <w:bCs/>
          <w:lang w:val="en-US"/>
        </w:rPr>
      </w:pPr>
      <w:r w:rsidRPr="00452E78">
        <w:rPr>
          <w:rFonts w:ascii="Times New Roman" w:hAnsi="Times New Roman" w:cs="Times New Roman"/>
          <w:b/>
          <w:bCs/>
          <w:lang w:val="en-US"/>
        </w:rPr>
        <w:t>2. LOCATION OF THE STUDY AREA</w:t>
      </w:r>
    </w:p>
    <w:p w14:paraId="0A824DD8" w14:textId="74531B33" w:rsidR="00F43728" w:rsidRPr="00452E78" w:rsidRDefault="00F43728" w:rsidP="00F43728">
      <w:pPr>
        <w:spacing w:line="360" w:lineRule="auto"/>
        <w:jc w:val="both"/>
        <w:rPr>
          <w:rFonts w:ascii="Times New Roman" w:hAnsi="Times New Roman" w:cs="Times New Roman"/>
        </w:rPr>
      </w:pP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is in the southwestern part of Manipur, a state in northeastern India. It covers about 4,715 km</w:t>
      </w:r>
      <w:r w:rsidRPr="00452E78">
        <w:rPr>
          <w:rFonts w:ascii="Times New Roman" w:hAnsi="Times New Roman" w:cs="Times New Roman"/>
          <w:vertAlign w:val="superscript"/>
        </w:rPr>
        <w:t>2</w:t>
      </w:r>
      <w:r w:rsidRPr="00452E78">
        <w:rPr>
          <w:rFonts w:ascii="Times New Roman" w:hAnsi="Times New Roman" w:cs="Times New Roman"/>
        </w:rPr>
        <w:t xml:space="preserve">, making it the largest district in the state. The district stretches between latitudes 23°45′ N and 24°45′ N, and longitudes 93°45′ E and 94°30′ E. It holds a key geographic position, sharing an international border with Myanmar to the south and domestic borders with Mizoram to the southwest, Chandel district to the southeast, and Bishnupur and Imphal West districts to the north. The terrain in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is mostly hilly and rugged, with elevations ranging from about 200 meters to over 2,500 meters above mean sea level. Several river systems, like the </w:t>
      </w:r>
      <w:proofErr w:type="spellStart"/>
      <w:r w:rsidRPr="00452E78">
        <w:rPr>
          <w:rFonts w:ascii="Times New Roman" w:hAnsi="Times New Roman" w:cs="Times New Roman"/>
        </w:rPr>
        <w:t>Tuivai</w:t>
      </w:r>
      <w:proofErr w:type="spellEnd"/>
      <w:r w:rsidRPr="00452E78">
        <w:rPr>
          <w:rFonts w:ascii="Times New Roman" w:hAnsi="Times New Roman" w:cs="Times New Roman"/>
        </w:rPr>
        <w:t xml:space="preserve"> and </w:t>
      </w:r>
      <w:proofErr w:type="spellStart"/>
      <w:r w:rsidRPr="00452E78">
        <w:rPr>
          <w:rFonts w:ascii="Times New Roman" w:hAnsi="Times New Roman" w:cs="Times New Roman"/>
        </w:rPr>
        <w:t>Tuiruong</w:t>
      </w:r>
      <w:proofErr w:type="spellEnd"/>
      <w:r w:rsidRPr="00452E78">
        <w:rPr>
          <w:rFonts w:ascii="Times New Roman" w:hAnsi="Times New Roman" w:cs="Times New Roman"/>
        </w:rPr>
        <w:t xml:space="preserve"> (Barak) rivers and their tributaries, flow through the district. These rivers create fertile valleys that allow for some agriculture amidst largely forested slopes. Figure 1 shows the location of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along with </w:t>
      </w:r>
      <w:proofErr w:type="gramStart"/>
      <w:r w:rsidRPr="00452E78">
        <w:rPr>
          <w:rFonts w:ascii="Times New Roman" w:hAnsi="Times New Roman" w:cs="Times New Roman"/>
        </w:rPr>
        <w:t xml:space="preserve">its </w:t>
      </w:r>
      <w:r w:rsidR="00E016F2" w:rsidRPr="00452E78">
        <w:rPr>
          <w:rFonts w:ascii="Times New Roman" w:hAnsi="Times New Roman" w:cs="Times New Roman"/>
        </w:rPr>
        <w:t xml:space="preserve"> major</w:t>
      </w:r>
      <w:proofErr w:type="gramEnd"/>
      <w:r w:rsidR="00E016F2" w:rsidRPr="00452E78">
        <w:rPr>
          <w:rFonts w:ascii="Times New Roman" w:hAnsi="Times New Roman" w:cs="Times New Roman"/>
        </w:rPr>
        <w:t xml:space="preserve"> administrative sub-</w:t>
      </w:r>
      <w:proofErr w:type="gramStart"/>
      <w:r w:rsidR="00E016F2" w:rsidRPr="00452E78">
        <w:rPr>
          <w:rFonts w:ascii="Times New Roman" w:hAnsi="Times New Roman" w:cs="Times New Roman"/>
        </w:rPr>
        <w:t>divisions.</w:t>
      </w:r>
      <w:r w:rsidRPr="00452E78">
        <w:rPr>
          <w:rFonts w:ascii="Times New Roman" w:hAnsi="Times New Roman" w:cs="Times New Roman"/>
        </w:rPr>
        <w:t>.</w:t>
      </w:r>
      <w:proofErr w:type="gramEnd"/>
      <w:r w:rsidRPr="00452E78">
        <w:rPr>
          <w:rFonts w:ascii="Times New Roman" w:hAnsi="Times New Roman" w:cs="Times New Roman"/>
        </w:rPr>
        <w:t xml:space="preserve"> These aspects make the district an ideal site for studying changes in land use and cover in a mountainous area impacted by both natural and human factors.</w:t>
      </w:r>
    </w:p>
    <w:p w14:paraId="614AB804" w14:textId="77777777" w:rsidR="00F43728" w:rsidRPr="00452E78" w:rsidRDefault="00F43728" w:rsidP="00F43728">
      <w:pPr>
        <w:spacing w:line="360" w:lineRule="auto"/>
        <w:jc w:val="both"/>
        <w:rPr>
          <w:rFonts w:ascii="Times New Roman" w:hAnsi="Times New Roman" w:cs="Times New Roman"/>
          <w:b/>
          <w:bCs/>
          <w:lang w:val="en-US"/>
        </w:rPr>
      </w:pPr>
    </w:p>
    <w:p w14:paraId="4F10962F" w14:textId="77777777" w:rsidR="0080597D" w:rsidRPr="00452E78" w:rsidRDefault="0080597D" w:rsidP="0080597D">
      <w:pPr>
        <w:rPr>
          <w:rFonts w:ascii="Times New Roman" w:hAnsi="Times New Roman" w:cs="Times New Roman"/>
          <w:noProof/>
        </w:rPr>
      </w:pPr>
      <w:r w:rsidRPr="00452E78">
        <w:rPr>
          <w:rFonts w:ascii="Times New Roman" w:hAnsi="Times New Roman" w:cs="Times New Roman"/>
          <w:noProof/>
        </w:rPr>
        <w:lastRenderedPageBreak/>
        <w:drawing>
          <wp:inline distT="0" distB="0" distL="0" distR="0" wp14:anchorId="23A929CD" wp14:editId="2BB55CA4">
            <wp:extent cx="5723890" cy="7433945"/>
            <wp:effectExtent l="0" t="0" r="0" b="0"/>
            <wp:docPr id="1064022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3890" cy="7433945"/>
                    </a:xfrm>
                    <a:prstGeom prst="rect">
                      <a:avLst/>
                    </a:prstGeom>
                    <a:noFill/>
                    <a:ln>
                      <a:noFill/>
                    </a:ln>
                  </pic:spPr>
                </pic:pic>
              </a:graphicData>
            </a:graphic>
          </wp:inline>
        </w:drawing>
      </w:r>
    </w:p>
    <w:p w14:paraId="4A5E6DDA" w14:textId="77777777" w:rsidR="0080597D" w:rsidRPr="00452E78" w:rsidRDefault="0080597D" w:rsidP="0080597D">
      <w:pPr>
        <w:tabs>
          <w:tab w:val="left" w:pos="506"/>
        </w:tabs>
        <w:spacing w:line="360" w:lineRule="auto"/>
        <w:jc w:val="both"/>
        <w:rPr>
          <w:rFonts w:ascii="Times New Roman" w:hAnsi="Times New Roman" w:cs="Times New Roman"/>
        </w:rPr>
      </w:pPr>
      <w:r w:rsidRPr="00452E78">
        <w:rPr>
          <w:rFonts w:ascii="Times New Roman" w:hAnsi="Times New Roman" w:cs="Times New Roman"/>
        </w:rPr>
        <w:t xml:space="preserve">Figure 1: Map showing the location of study area: (a) District-wise administrative divisions of Manipur state, (b)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with sub-divisional boundaries (study area).</w:t>
      </w:r>
    </w:p>
    <w:p w14:paraId="05998AD1" w14:textId="77777777" w:rsidR="0080597D" w:rsidRPr="00452E78" w:rsidRDefault="0080597D" w:rsidP="00F43728">
      <w:pPr>
        <w:spacing w:line="360" w:lineRule="auto"/>
        <w:jc w:val="both"/>
        <w:rPr>
          <w:rFonts w:ascii="Times New Roman" w:hAnsi="Times New Roman" w:cs="Times New Roman"/>
          <w:b/>
          <w:bCs/>
          <w:lang w:val="en-US"/>
        </w:rPr>
      </w:pPr>
    </w:p>
    <w:p w14:paraId="689852BF" w14:textId="77777777" w:rsidR="0080597D" w:rsidRPr="00452E78" w:rsidRDefault="0080597D" w:rsidP="00F43728">
      <w:pPr>
        <w:spacing w:line="360" w:lineRule="auto"/>
        <w:jc w:val="both"/>
        <w:rPr>
          <w:rFonts w:ascii="Times New Roman" w:hAnsi="Times New Roman" w:cs="Times New Roman"/>
          <w:b/>
          <w:bCs/>
          <w:lang w:val="en-US"/>
        </w:rPr>
      </w:pPr>
    </w:p>
    <w:p w14:paraId="64474DD8" w14:textId="77777777" w:rsidR="0080597D" w:rsidRPr="00452E78" w:rsidRDefault="0080597D" w:rsidP="00F43728">
      <w:pPr>
        <w:spacing w:line="360" w:lineRule="auto"/>
        <w:jc w:val="both"/>
        <w:rPr>
          <w:rFonts w:ascii="Times New Roman" w:hAnsi="Times New Roman" w:cs="Times New Roman"/>
          <w:b/>
          <w:bCs/>
          <w:lang w:val="en-US"/>
        </w:rPr>
      </w:pPr>
    </w:p>
    <w:p w14:paraId="5D060988" w14:textId="36AB4A1F" w:rsidR="00D966AE" w:rsidRPr="00452E78" w:rsidRDefault="00243CDF" w:rsidP="00F43728">
      <w:pPr>
        <w:spacing w:line="360" w:lineRule="auto"/>
        <w:jc w:val="both"/>
        <w:rPr>
          <w:rFonts w:ascii="Times New Roman" w:hAnsi="Times New Roman" w:cs="Times New Roman"/>
          <w:b/>
          <w:bCs/>
          <w:lang w:val="en-US"/>
        </w:rPr>
      </w:pPr>
      <w:r w:rsidRPr="00452E78">
        <w:rPr>
          <w:rFonts w:ascii="Times New Roman" w:hAnsi="Times New Roman" w:cs="Times New Roman"/>
          <w:b/>
          <w:bCs/>
          <w:lang w:val="en-US"/>
        </w:rPr>
        <w:lastRenderedPageBreak/>
        <w:t>3. M</w:t>
      </w:r>
      <w:r w:rsidR="006C10FE" w:rsidRPr="00452E78">
        <w:rPr>
          <w:rFonts w:ascii="Times New Roman" w:hAnsi="Times New Roman" w:cs="Times New Roman"/>
          <w:b/>
          <w:bCs/>
          <w:lang w:val="en-US"/>
        </w:rPr>
        <w:t>ATERIALS AND METHODS</w:t>
      </w:r>
    </w:p>
    <w:p w14:paraId="1E7452B6" w14:textId="17CC10D4" w:rsidR="00D966AE" w:rsidRPr="00452E78" w:rsidRDefault="00D966AE" w:rsidP="00F43728">
      <w:pPr>
        <w:spacing w:line="360" w:lineRule="auto"/>
        <w:jc w:val="both"/>
        <w:rPr>
          <w:rFonts w:ascii="Times New Roman" w:hAnsi="Times New Roman" w:cs="Times New Roman"/>
          <w:b/>
          <w:bCs/>
          <w:i/>
          <w:iCs/>
          <w:lang w:val="en-US"/>
        </w:rPr>
      </w:pPr>
      <w:r w:rsidRPr="00452E78">
        <w:rPr>
          <w:rFonts w:ascii="Times New Roman" w:hAnsi="Times New Roman" w:cs="Times New Roman"/>
          <w:b/>
          <w:bCs/>
          <w:i/>
          <w:iCs/>
          <w:lang w:val="en-US"/>
        </w:rPr>
        <w:t>3.1 Data Acquisition and Preparation</w:t>
      </w:r>
    </w:p>
    <w:p w14:paraId="60E1DFDA" w14:textId="5595B22A"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xml:space="preserve">The study used Sentinel-2 Global Land Use/Land Cover data with a spatial resolution of 10 meters for the years 2017 and 2024. To enhance the reliability of the analysis, additional reference data were obtained from the Esri Living Atlas of the World. All satellite imagery was processed in ArcGIS software. The imagery was clipped to match the administrative boundary of </w:t>
      </w:r>
      <w:proofErr w:type="spellStart"/>
      <w:r w:rsidRPr="00452E78">
        <w:rPr>
          <w:rFonts w:ascii="Times New Roman" w:hAnsi="Times New Roman" w:cs="Times New Roman"/>
          <w:lang w:val="en-US"/>
        </w:rPr>
        <w:t>Churachandpur</w:t>
      </w:r>
      <w:proofErr w:type="spellEnd"/>
      <w:r w:rsidRPr="00452E78">
        <w:rPr>
          <w:rFonts w:ascii="Times New Roman" w:hAnsi="Times New Roman" w:cs="Times New Roman"/>
          <w:lang w:val="en-US"/>
        </w:rPr>
        <w:t xml:space="preserve"> district, and composite bands were created from both Landsat and Sentinel datasets to improve the spectral detail required for classification.</w:t>
      </w:r>
    </w:p>
    <w:p w14:paraId="742D6673" w14:textId="0AAE5AB4" w:rsidR="00D966AE" w:rsidRPr="00452E78" w:rsidRDefault="00D966AE" w:rsidP="00F43728">
      <w:pPr>
        <w:spacing w:line="360" w:lineRule="auto"/>
        <w:jc w:val="both"/>
        <w:rPr>
          <w:rFonts w:ascii="Times New Roman" w:hAnsi="Times New Roman" w:cs="Times New Roman"/>
          <w:b/>
          <w:bCs/>
          <w:i/>
          <w:iCs/>
          <w:lang w:val="en-US"/>
        </w:rPr>
      </w:pPr>
      <w:r w:rsidRPr="00452E78">
        <w:rPr>
          <w:rFonts w:ascii="Times New Roman" w:hAnsi="Times New Roman" w:cs="Times New Roman"/>
          <w:b/>
          <w:bCs/>
          <w:i/>
          <w:iCs/>
          <w:lang w:val="en-US"/>
        </w:rPr>
        <w:t>3.2 Land Use Classification Method</w:t>
      </w:r>
    </w:p>
    <w:p w14:paraId="6B55E7BD" w14:textId="5421A1C7" w:rsidR="00D966AE" w:rsidRPr="00452E78" w:rsidRDefault="00D966AE" w:rsidP="00F43728">
      <w:pPr>
        <w:spacing w:line="360" w:lineRule="auto"/>
        <w:jc w:val="both"/>
        <w:rPr>
          <w:rFonts w:ascii="Times New Roman" w:hAnsi="Times New Roman" w:cs="Times New Roman"/>
        </w:rPr>
      </w:pPr>
      <w:r w:rsidRPr="00452E78">
        <w:rPr>
          <w:rFonts w:ascii="Times New Roman" w:hAnsi="Times New Roman" w:cs="Times New Roman"/>
          <w:lang w:val="en-US"/>
        </w:rPr>
        <w:t xml:space="preserve">Land use and land cover were mapped using a supervised classification technique, which enables the identification of known land cover types based on training samples </w:t>
      </w:r>
      <w:r w:rsidR="009A28E1" w:rsidRPr="00452E78">
        <w:rPr>
          <w:rFonts w:ascii="Times New Roman" w:hAnsi="Times New Roman" w:cs="Times New Roman"/>
        </w:rPr>
        <w:t xml:space="preserve">(Karan &amp; </w:t>
      </w:r>
      <w:proofErr w:type="spellStart"/>
      <w:r w:rsidR="009A28E1" w:rsidRPr="00452E78">
        <w:rPr>
          <w:rFonts w:ascii="Times New Roman" w:hAnsi="Times New Roman" w:cs="Times New Roman"/>
        </w:rPr>
        <w:t>Samadder</w:t>
      </w:r>
      <w:proofErr w:type="spellEnd"/>
      <w:r w:rsidR="009A28E1" w:rsidRPr="00452E78">
        <w:rPr>
          <w:rFonts w:ascii="Times New Roman" w:hAnsi="Times New Roman" w:cs="Times New Roman"/>
        </w:rPr>
        <w:t>, 2018)</w:t>
      </w:r>
      <w:r w:rsidRPr="00452E78">
        <w:rPr>
          <w:rFonts w:ascii="Times New Roman" w:hAnsi="Times New Roman" w:cs="Times New Roman"/>
          <w:lang w:val="en-US"/>
        </w:rPr>
        <w:t>. This method was selected for its capacity to measure and compare spectral signatures of surface features and to assign unknown pixels to predefined land cover classes with measurable accuracy (Sari et al., 2021). Although supervised classification depends on representative training data, it provides greater control over class definitions and tends to yield higher classification accuracy (Samaniego, 200</w:t>
      </w:r>
      <w:r w:rsidR="009A28E1" w:rsidRPr="00452E78">
        <w:rPr>
          <w:rFonts w:ascii="Times New Roman" w:hAnsi="Times New Roman" w:cs="Times New Roman"/>
          <w:lang w:val="en-US"/>
        </w:rPr>
        <w:t>8</w:t>
      </w:r>
      <w:r w:rsidRPr="00452E78">
        <w:rPr>
          <w:rFonts w:ascii="Times New Roman" w:hAnsi="Times New Roman" w:cs="Times New Roman"/>
          <w:lang w:val="en-US"/>
        </w:rPr>
        <w:t>)</w:t>
      </w:r>
      <w:r w:rsidR="00407265" w:rsidRPr="00452E78">
        <w:rPr>
          <w:rFonts w:ascii="Times New Roman" w:hAnsi="Times New Roman" w:cs="Times New Roman"/>
          <w:lang w:val="en-US"/>
        </w:rPr>
        <w:t xml:space="preserve">. </w:t>
      </w:r>
      <w:r w:rsidRPr="00452E78">
        <w:rPr>
          <w:rFonts w:ascii="Times New Roman" w:hAnsi="Times New Roman" w:cs="Times New Roman"/>
          <w:lang w:val="en-US"/>
        </w:rPr>
        <w:t>The multispectral classification process, widely used for digital mapping (</w:t>
      </w:r>
      <w:r w:rsidR="009A28E1" w:rsidRPr="00452E78">
        <w:rPr>
          <w:rFonts w:ascii="Times New Roman" w:hAnsi="Times New Roman" w:cs="Times New Roman"/>
        </w:rPr>
        <w:t>Islami et al., 2022</w:t>
      </w:r>
      <w:r w:rsidRPr="00452E78">
        <w:rPr>
          <w:rFonts w:ascii="Times New Roman" w:hAnsi="Times New Roman" w:cs="Times New Roman"/>
          <w:lang w:val="en-US"/>
        </w:rPr>
        <w:t>), was carried out in three major steps:</w:t>
      </w:r>
      <w:r w:rsidR="00407265" w:rsidRPr="00452E78">
        <w:rPr>
          <w:rFonts w:ascii="Times New Roman" w:hAnsi="Times New Roman" w:cs="Times New Roman"/>
          <w:lang w:val="en-US"/>
        </w:rPr>
        <w:t xml:space="preserve"> </w:t>
      </w:r>
      <w:r w:rsidR="00EC7994" w:rsidRPr="00452E78">
        <w:rPr>
          <w:rFonts w:ascii="Times New Roman" w:hAnsi="Times New Roman" w:cs="Times New Roman"/>
          <w:lang w:val="en-US"/>
        </w:rPr>
        <w:t>c</w:t>
      </w:r>
      <w:r w:rsidRPr="00452E78">
        <w:rPr>
          <w:rFonts w:ascii="Times New Roman" w:hAnsi="Times New Roman" w:cs="Times New Roman"/>
          <w:lang w:val="en-US"/>
        </w:rPr>
        <w:t>reation of composite bands;</w:t>
      </w:r>
      <w:r w:rsidR="00407265" w:rsidRPr="00452E78">
        <w:rPr>
          <w:rFonts w:ascii="Times New Roman" w:hAnsi="Times New Roman" w:cs="Times New Roman"/>
          <w:lang w:val="en-US"/>
        </w:rPr>
        <w:t xml:space="preserve"> </w:t>
      </w:r>
      <w:r w:rsidR="00EC7994" w:rsidRPr="00452E78">
        <w:rPr>
          <w:rFonts w:ascii="Times New Roman" w:hAnsi="Times New Roman" w:cs="Times New Roman"/>
          <w:lang w:val="en-US"/>
        </w:rPr>
        <w:t>e</w:t>
      </w:r>
      <w:r w:rsidRPr="00452E78">
        <w:rPr>
          <w:rFonts w:ascii="Times New Roman" w:hAnsi="Times New Roman" w:cs="Times New Roman"/>
          <w:lang w:val="en-US"/>
        </w:rPr>
        <w:t>xecution of supervised classification; and</w:t>
      </w:r>
      <w:r w:rsidR="00407265" w:rsidRPr="00452E78">
        <w:rPr>
          <w:rFonts w:ascii="Times New Roman" w:hAnsi="Times New Roman" w:cs="Times New Roman"/>
          <w:lang w:val="en-US"/>
        </w:rPr>
        <w:t xml:space="preserve"> </w:t>
      </w:r>
      <w:r w:rsidR="00EC7994" w:rsidRPr="00452E78">
        <w:rPr>
          <w:rFonts w:ascii="Times New Roman" w:hAnsi="Times New Roman" w:cs="Times New Roman"/>
          <w:lang w:val="en-US"/>
        </w:rPr>
        <w:t>a</w:t>
      </w:r>
      <w:r w:rsidRPr="00452E78">
        <w:rPr>
          <w:rFonts w:ascii="Times New Roman" w:hAnsi="Times New Roman" w:cs="Times New Roman"/>
          <w:lang w:val="en-US"/>
        </w:rPr>
        <w:t>ssessment of classification accuracy</w:t>
      </w:r>
      <w:r w:rsidR="00407265" w:rsidRPr="00452E78">
        <w:rPr>
          <w:rFonts w:ascii="Times New Roman" w:hAnsi="Times New Roman" w:cs="Times New Roman"/>
          <w:lang w:val="en-US"/>
        </w:rPr>
        <w:t xml:space="preserve">. </w:t>
      </w:r>
      <w:r w:rsidRPr="00452E78">
        <w:rPr>
          <w:rFonts w:ascii="Times New Roman" w:hAnsi="Times New Roman" w:cs="Times New Roman"/>
          <w:lang w:val="en-US"/>
        </w:rPr>
        <w:t>Using ArcGIS, the classified outputs were grouped into broader land cover categories to simplify interpretation. The “</w:t>
      </w:r>
      <w:r w:rsidR="00EC7994" w:rsidRPr="00452E78">
        <w:rPr>
          <w:rFonts w:ascii="Times New Roman" w:hAnsi="Times New Roman" w:cs="Times New Roman"/>
          <w:lang w:val="en-US"/>
        </w:rPr>
        <w:t>z</w:t>
      </w:r>
      <w:r w:rsidRPr="00452E78">
        <w:rPr>
          <w:rFonts w:ascii="Times New Roman" w:hAnsi="Times New Roman" w:cs="Times New Roman"/>
          <w:lang w:val="en-US"/>
        </w:rPr>
        <w:t xml:space="preserve">onal </w:t>
      </w:r>
      <w:r w:rsidR="00EC7994" w:rsidRPr="00452E78">
        <w:rPr>
          <w:rFonts w:ascii="Times New Roman" w:hAnsi="Times New Roman" w:cs="Times New Roman"/>
          <w:lang w:val="en-US"/>
        </w:rPr>
        <w:t>h</w:t>
      </w:r>
      <w:r w:rsidRPr="00452E78">
        <w:rPr>
          <w:rFonts w:ascii="Times New Roman" w:hAnsi="Times New Roman" w:cs="Times New Roman"/>
          <w:lang w:val="en-US"/>
        </w:rPr>
        <w:t>istogram” and “</w:t>
      </w:r>
      <w:r w:rsidR="00EC7994" w:rsidRPr="00452E78">
        <w:rPr>
          <w:rFonts w:ascii="Times New Roman" w:hAnsi="Times New Roman" w:cs="Times New Roman"/>
          <w:lang w:val="en-US"/>
        </w:rPr>
        <w:t>z</w:t>
      </w:r>
      <w:r w:rsidRPr="00452E78">
        <w:rPr>
          <w:rFonts w:ascii="Times New Roman" w:hAnsi="Times New Roman" w:cs="Times New Roman"/>
          <w:lang w:val="en-US"/>
        </w:rPr>
        <w:t xml:space="preserve">onal </w:t>
      </w:r>
      <w:r w:rsidR="00EC7994" w:rsidRPr="00452E78">
        <w:rPr>
          <w:rFonts w:ascii="Times New Roman" w:hAnsi="Times New Roman" w:cs="Times New Roman"/>
          <w:lang w:val="en-US"/>
        </w:rPr>
        <w:t>s</w:t>
      </w:r>
      <w:r w:rsidRPr="00452E78">
        <w:rPr>
          <w:rFonts w:ascii="Times New Roman" w:hAnsi="Times New Roman" w:cs="Times New Roman"/>
          <w:lang w:val="en-US"/>
        </w:rPr>
        <w:t>tatistics” tools were then employed to compute the area (in square kilometers) covered by each land cover type.</w:t>
      </w:r>
    </w:p>
    <w:p w14:paraId="240713BB" w14:textId="302FB5DF" w:rsidR="00D966AE" w:rsidRPr="00452E78" w:rsidRDefault="00D966AE" w:rsidP="00F43728">
      <w:pPr>
        <w:spacing w:line="360" w:lineRule="auto"/>
        <w:jc w:val="both"/>
        <w:rPr>
          <w:rFonts w:ascii="Times New Roman" w:hAnsi="Times New Roman" w:cs="Times New Roman"/>
          <w:b/>
          <w:bCs/>
          <w:i/>
          <w:iCs/>
          <w:lang w:val="en-US"/>
        </w:rPr>
      </w:pPr>
      <w:r w:rsidRPr="00452E78">
        <w:rPr>
          <w:rFonts w:ascii="Times New Roman" w:hAnsi="Times New Roman" w:cs="Times New Roman"/>
          <w:b/>
          <w:bCs/>
          <w:i/>
          <w:iCs/>
          <w:lang w:val="en-US"/>
        </w:rPr>
        <w:t xml:space="preserve">3.3 Change </w:t>
      </w:r>
      <w:r w:rsidR="00EC7994" w:rsidRPr="00452E78">
        <w:rPr>
          <w:rFonts w:ascii="Times New Roman" w:hAnsi="Times New Roman" w:cs="Times New Roman"/>
          <w:b/>
          <w:bCs/>
          <w:i/>
          <w:iCs/>
          <w:lang w:val="en-US"/>
        </w:rPr>
        <w:t>d</w:t>
      </w:r>
      <w:r w:rsidRPr="00452E78">
        <w:rPr>
          <w:rFonts w:ascii="Times New Roman" w:hAnsi="Times New Roman" w:cs="Times New Roman"/>
          <w:b/>
          <w:bCs/>
          <w:i/>
          <w:iCs/>
          <w:lang w:val="en-US"/>
        </w:rPr>
        <w:t xml:space="preserve">etection </w:t>
      </w:r>
      <w:r w:rsidR="00EC7994" w:rsidRPr="00452E78">
        <w:rPr>
          <w:rFonts w:ascii="Times New Roman" w:hAnsi="Times New Roman" w:cs="Times New Roman"/>
          <w:b/>
          <w:bCs/>
          <w:i/>
          <w:iCs/>
          <w:lang w:val="en-US"/>
        </w:rPr>
        <w:t>a</w:t>
      </w:r>
      <w:r w:rsidRPr="00452E78">
        <w:rPr>
          <w:rFonts w:ascii="Times New Roman" w:hAnsi="Times New Roman" w:cs="Times New Roman"/>
          <w:b/>
          <w:bCs/>
          <w:i/>
          <w:iCs/>
          <w:lang w:val="en-US"/>
        </w:rPr>
        <w:t>nalysis</w:t>
      </w:r>
    </w:p>
    <w:p w14:paraId="353D3EF2" w14:textId="47E7D777"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xml:space="preserve">To identify and quantify changes between 2017 and 2024, the </w:t>
      </w:r>
      <w:r w:rsidR="00EC7994" w:rsidRPr="00452E78">
        <w:rPr>
          <w:rFonts w:ascii="Times New Roman" w:hAnsi="Times New Roman" w:cs="Times New Roman"/>
          <w:lang w:val="en-US"/>
        </w:rPr>
        <w:t>c</w:t>
      </w:r>
      <w:r w:rsidRPr="00452E78">
        <w:rPr>
          <w:rFonts w:ascii="Times New Roman" w:hAnsi="Times New Roman" w:cs="Times New Roman"/>
          <w:lang w:val="en-US"/>
        </w:rPr>
        <w:t xml:space="preserve">hange </w:t>
      </w:r>
      <w:r w:rsidR="00EC7994" w:rsidRPr="00452E78">
        <w:rPr>
          <w:rFonts w:ascii="Times New Roman" w:hAnsi="Times New Roman" w:cs="Times New Roman"/>
          <w:lang w:val="en-US"/>
        </w:rPr>
        <w:t>d</w:t>
      </w:r>
      <w:r w:rsidRPr="00452E78">
        <w:rPr>
          <w:rFonts w:ascii="Times New Roman" w:hAnsi="Times New Roman" w:cs="Times New Roman"/>
          <w:lang w:val="en-US"/>
        </w:rPr>
        <w:t xml:space="preserve">etection </w:t>
      </w:r>
      <w:r w:rsidR="00EC7994" w:rsidRPr="00452E78">
        <w:rPr>
          <w:rFonts w:ascii="Times New Roman" w:hAnsi="Times New Roman" w:cs="Times New Roman"/>
          <w:lang w:val="en-US"/>
        </w:rPr>
        <w:t>w</w:t>
      </w:r>
      <w:r w:rsidRPr="00452E78">
        <w:rPr>
          <w:rFonts w:ascii="Times New Roman" w:hAnsi="Times New Roman" w:cs="Times New Roman"/>
          <w:lang w:val="en-US"/>
        </w:rPr>
        <w:t xml:space="preserve">izard and </w:t>
      </w:r>
      <w:r w:rsidR="00EC7994" w:rsidRPr="00452E78">
        <w:rPr>
          <w:rFonts w:ascii="Times New Roman" w:hAnsi="Times New Roman" w:cs="Times New Roman"/>
          <w:lang w:val="en-US"/>
        </w:rPr>
        <w:t>r</w:t>
      </w:r>
      <w:r w:rsidRPr="00452E78">
        <w:rPr>
          <w:rFonts w:ascii="Times New Roman" w:hAnsi="Times New Roman" w:cs="Times New Roman"/>
          <w:lang w:val="en-US"/>
        </w:rPr>
        <w:t xml:space="preserve">aster </w:t>
      </w:r>
      <w:r w:rsidR="00EC7994" w:rsidRPr="00452E78">
        <w:rPr>
          <w:rFonts w:ascii="Times New Roman" w:hAnsi="Times New Roman" w:cs="Times New Roman"/>
          <w:lang w:val="en-US"/>
        </w:rPr>
        <w:t>c</w:t>
      </w:r>
      <w:r w:rsidRPr="00452E78">
        <w:rPr>
          <w:rFonts w:ascii="Times New Roman" w:hAnsi="Times New Roman" w:cs="Times New Roman"/>
          <w:lang w:val="en-US"/>
        </w:rPr>
        <w:t>alculator tools in ArcGIS were used. This analysis generated change matrices that revealed how different land cover types transitioned over time</w:t>
      </w:r>
      <w:r w:rsidR="00EC7994" w:rsidRPr="00452E78">
        <w:rPr>
          <w:rFonts w:ascii="Times New Roman" w:hAnsi="Times New Roman" w:cs="Times New Roman"/>
          <w:lang w:val="en-US"/>
        </w:rPr>
        <w:t xml:space="preserve"> - </w:t>
      </w:r>
      <w:r w:rsidRPr="00452E78">
        <w:rPr>
          <w:rFonts w:ascii="Times New Roman" w:hAnsi="Times New Roman" w:cs="Times New Roman"/>
          <w:lang w:val="en-US"/>
        </w:rPr>
        <w:t xml:space="preserve">for example, forest areas converting into rangelands or built-up </w:t>
      </w:r>
      <w:r w:rsidR="00EC7994" w:rsidRPr="00452E78">
        <w:rPr>
          <w:rFonts w:ascii="Times New Roman" w:hAnsi="Times New Roman" w:cs="Times New Roman"/>
          <w:lang w:val="en-US"/>
        </w:rPr>
        <w:t>area</w:t>
      </w:r>
      <w:r w:rsidRPr="00452E78">
        <w:rPr>
          <w:rFonts w:ascii="Times New Roman" w:hAnsi="Times New Roman" w:cs="Times New Roman"/>
          <w:lang w:val="en-US"/>
        </w:rPr>
        <w:t xml:space="preserve">. The process provided a detailed view of the spatial and temporal patterns of land transformation across </w:t>
      </w:r>
      <w:proofErr w:type="spellStart"/>
      <w:r w:rsidRPr="00452E78">
        <w:rPr>
          <w:rFonts w:ascii="Times New Roman" w:hAnsi="Times New Roman" w:cs="Times New Roman"/>
          <w:lang w:val="en-US"/>
        </w:rPr>
        <w:t>Churachandpur</w:t>
      </w:r>
      <w:proofErr w:type="spellEnd"/>
      <w:r w:rsidRPr="00452E78">
        <w:rPr>
          <w:rFonts w:ascii="Times New Roman" w:hAnsi="Times New Roman" w:cs="Times New Roman"/>
          <w:lang w:val="en-US"/>
        </w:rPr>
        <w:t xml:space="preserve"> district.</w:t>
      </w:r>
    </w:p>
    <w:p w14:paraId="0A116CF9" w14:textId="0A84AB21" w:rsidR="00D966AE" w:rsidRPr="00452E78" w:rsidRDefault="00D966AE" w:rsidP="00F43728">
      <w:pPr>
        <w:spacing w:line="360" w:lineRule="auto"/>
        <w:jc w:val="both"/>
        <w:rPr>
          <w:rFonts w:ascii="Times New Roman" w:hAnsi="Times New Roman" w:cs="Times New Roman"/>
          <w:b/>
          <w:bCs/>
          <w:i/>
          <w:iCs/>
          <w:lang w:val="en-US"/>
        </w:rPr>
      </w:pPr>
      <w:r w:rsidRPr="00452E78">
        <w:rPr>
          <w:rFonts w:ascii="Times New Roman" w:hAnsi="Times New Roman" w:cs="Times New Roman"/>
          <w:b/>
          <w:bCs/>
          <w:i/>
          <w:iCs/>
          <w:lang w:val="en-US"/>
        </w:rPr>
        <w:t xml:space="preserve">3.4 Accuracy </w:t>
      </w:r>
      <w:r w:rsidR="00EC7994" w:rsidRPr="00452E78">
        <w:rPr>
          <w:rFonts w:ascii="Times New Roman" w:hAnsi="Times New Roman" w:cs="Times New Roman"/>
          <w:b/>
          <w:bCs/>
          <w:i/>
          <w:iCs/>
          <w:lang w:val="en-US"/>
        </w:rPr>
        <w:t>a</w:t>
      </w:r>
      <w:r w:rsidRPr="00452E78">
        <w:rPr>
          <w:rFonts w:ascii="Times New Roman" w:hAnsi="Times New Roman" w:cs="Times New Roman"/>
          <w:b/>
          <w:bCs/>
          <w:i/>
          <w:iCs/>
          <w:lang w:val="en-US"/>
        </w:rPr>
        <w:t>ssessment</w:t>
      </w:r>
    </w:p>
    <w:p w14:paraId="41A7A074" w14:textId="515C442F"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Accuracy assessment was performed for the classified maps of 2017 and 2024 using 30 randomly distributed validation points. Since field verification was not feasible, high-resolution Google Earth imagery was used to visually confirm the land cover types at each point. This method aligns with contemporary remote sensing validation practices that rely on satellite-based verification when ground surveys are limited (Plourde et al., 200</w:t>
      </w:r>
      <w:r w:rsidR="009A28E1" w:rsidRPr="00452E78">
        <w:rPr>
          <w:rFonts w:ascii="Times New Roman" w:hAnsi="Times New Roman" w:cs="Times New Roman"/>
          <w:lang w:val="en-US"/>
        </w:rPr>
        <w:t>2</w:t>
      </w:r>
      <w:r w:rsidRPr="00452E78">
        <w:rPr>
          <w:rFonts w:ascii="Times New Roman" w:hAnsi="Times New Roman" w:cs="Times New Roman"/>
          <w:lang w:val="en-US"/>
        </w:rPr>
        <w:t>).</w:t>
      </w:r>
    </w:p>
    <w:p w14:paraId="1E846B2E" w14:textId="4D9DF1C8"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lastRenderedPageBreak/>
        <w:t>According to Anderson (1976), interpretation accuracy in LULC classification should not fall below 80%. In this study, an error matrix was used to evaluate accuracy levels, recording both errors of omission and commission (</w:t>
      </w:r>
      <w:proofErr w:type="spellStart"/>
      <w:r w:rsidRPr="00452E78">
        <w:rPr>
          <w:rFonts w:ascii="Times New Roman" w:hAnsi="Times New Roman" w:cs="Times New Roman"/>
          <w:lang w:val="en-US"/>
        </w:rPr>
        <w:t>Congalton</w:t>
      </w:r>
      <w:proofErr w:type="spellEnd"/>
      <w:r w:rsidRPr="00452E78">
        <w:rPr>
          <w:rFonts w:ascii="Times New Roman" w:hAnsi="Times New Roman" w:cs="Times New Roman"/>
          <w:lang w:val="en-US"/>
        </w:rPr>
        <w:t>, 1991; Foody, 2002). The validation points were chosen to represent all major land cover categories within the district, ensuring a balanced evaluation.</w:t>
      </w:r>
    </w:p>
    <w:p w14:paraId="6806DA9E" w14:textId="14ABB819"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Four key metrics were calculated to determine classification performance:</w:t>
      </w:r>
    </w:p>
    <w:p w14:paraId="69FDBC9B" w14:textId="77777777"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b/>
          <w:bCs/>
          <w:i/>
          <w:iCs/>
          <w:lang w:val="en-US"/>
        </w:rPr>
        <w:t>User’s Accuracy:</w:t>
      </w:r>
      <w:r w:rsidRPr="00452E78">
        <w:rPr>
          <w:rFonts w:ascii="Times New Roman" w:hAnsi="Times New Roman" w:cs="Times New Roman"/>
          <w:lang w:val="en-US"/>
        </w:rPr>
        <w:t xml:space="preserve"> the proportion of correctly classified pixels within each category, relative to the total pixels assigned to that class.</w:t>
      </w:r>
    </w:p>
    <w:p w14:paraId="46398503" w14:textId="3F1E266B" w:rsidR="00D966AE" w:rsidRPr="00452E78" w:rsidRDefault="00407265" w:rsidP="00F43728">
      <w:pPr>
        <w:spacing w:after="0" w:line="360" w:lineRule="auto"/>
        <w:jc w:val="both"/>
        <w:rPr>
          <w:rFonts w:ascii="Times New Roman" w:eastAsiaTheme="minorEastAsia" w:hAnsi="Times New Roman" w:cs="Times New Roman"/>
        </w:rPr>
      </w:pPr>
      <w:r w:rsidRPr="00452E78">
        <w:rPr>
          <w:rFonts w:ascii="Times New Roman" w:hAnsi="Times New Roman" w:cs="Times New Roman"/>
          <w:i/>
          <w:iCs/>
        </w:rPr>
        <w:t>User’s Accuracy</w:t>
      </w:r>
      <w:r w:rsidRPr="00452E78">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Number of Correctly Classified Pixels in each Category</m:t>
            </m:r>
          </m:num>
          <m:den>
            <m:r>
              <w:rPr>
                <w:rFonts w:ascii="Cambria Math" w:hAnsi="Cambria Math" w:cs="Times New Roman"/>
              </w:rPr>
              <m:t>Total Number of Reference Pixels in that Category (The Row Total)</m:t>
            </m:r>
          </m:den>
        </m:f>
        <m:r>
          <w:rPr>
            <w:rFonts w:ascii="Cambria Math" w:hAnsi="Cambria Math" w:cs="Times New Roman"/>
          </w:rPr>
          <m:t xml:space="preserve"> x 100</m:t>
        </m:r>
      </m:oMath>
    </w:p>
    <w:p w14:paraId="27B0A3DA" w14:textId="77777777"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b/>
          <w:bCs/>
          <w:i/>
          <w:iCs/>
          <w:lang w:val="en-US"/>
        </w:rPr>
        <w:t>Producer’s Accuracy:</w:t>
      </w:r>
      <w:r w:rsidRPr="00452E78">
        <w:rPr>
          <w:rFonts w:ascii="Times New Roman" w:hAnsi="Times New Roman" w:cs="Times New Roman"/>
          <w:lang w:val="en-US"/>
        </w:rPr>
        <w:t xml:space="preserve"> the ratio of correctly classified pixels in a category to the total reference pixels for that class.</w:t>
      </w:r>
    </w:p>
    <w:p w14:paraId="3E8A9AEB" w14:textId="3C8FC445" w:rsidR="00D966AE" w:rsidRPr="00452E78" w:rsidRDefault="00407265" w:rsidP="00F43728">
      <w:pPr>
        <w:spacing w:after="0" w:line="360" w:lineRule="auto"/>
        <w:jc w:val="both"/>
        <w:rPr>
          <w:rFonts w:ascii="Times New Roman" w:eastAsiaTheme="minorEastAsia" w:hAnsi="Times New Roman" w:cs="Times New Roman"/>
        </w:rPr>
      </w:pPr>
      <w:r w:rsidRPr="00452E78">
        <w:rPr>
          <w:rFonts w:ascii="Times New Roman" w:hAnsi="Times New Roman" w:cs="Times New Roman"/>
          <w:i/>
          <w:iCs/>
        </w:rPr>
        <w:t>Producer Accuracy</w:t>
      </w:r>
      <w:r w:rsidRPr="00452E78">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Number of Correctly Classified Pixels in each Category</m:t>
            </m:r>
          </m:num>
          <m:den>
            <m:r>
              <w:rPr>
                <w:rFonts w:ascii="Cambria Math" w:hAnsi="Cambria Math" w:cs="Times New Roman"/>
              </w:rPr>
              <m:t>Total Number of Reference Pixels in that Category (The Column Total)</m:t>
            </m:r>
          </m:den>
        </m:f>
        <m:r>
          <w:rPr>
            <w:rFonts w:ascii="Cambria Math" w:hAnsi="Cambria Math" w:cs="Times New Roman"/>
          </w:rPr>
          <m:t xml:space="preserve"> x 100</m:t>
        </m:r>
      </m:oMath>
    </w:p>
    <w:p w14:paraId="6665F01A" w14:textId="77777777"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b/>
          <w:bCs/>
          <w:i/>
          <w:iCs/>
          <w:lang w:val="en-US"/>
        </w:rPr>
        <w:t>Overall Accuracy:</w:t>
      </w:r>
      <w:r w:rsidRPr="00452E78">
        <w:rPr>
          <w:rFonts w:ascii="Times New Roman" w:hAnsi="Times New Roman" w:cs="Times New Roman"/>
          <w:lang w:val="en-US"/>
        </w:rPr>
        <w:t xml:space="preserve"> the total number of correctly classified pixels divided by the total number of reference pixels.</w:t>
      </w:r>
    </w:p>
    <w:p w14:paraId="6FB90144" w14:textId="6A8EBC8D" w:rsidR="00D966AE" w:rsidRPr="00452E78" w:rsidRDefault="00407265" w:rsidP="00F43728">
      <w:pPr>
        <w:spacing w:after="0" w:line="360" w:lineRule="auto"/>
        <w:jc w:val="both"/>
        <w:rPr>
          <w:rFonts w:ascii="Times New Roman" w:eastAsiaTheme="minorEastAsia" w:hAnsi="Times New Roman" w:cs="Times New Roman"/>
        </w:rPr>
      </w:pPr>
      <w:r w:rsidRPr="00452E78">
        <w:rPr>
          <w:rFonts w:ascii="Times New Roman" w:hAnsi="Times New Roman" w:cs="Times New Roman"/>
          <w:i/>
          <w:iCs/>
        </w:rPr>
        <w:t>Total Accuracy</w:t>
      </w:r>
      <w:r w:rsidRPr="00452E78">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Total Number of Correctly Classified Pixels (Diagonal)</m:t>
            </m:r>
          </m:num>
          <m:den>
            <m:r>
              <w:rPr>
                <w:rFonts w:ascii="Cambria Math" w:hAnsi="Cambria Math" w:cs="Times New Roman"/>
              </w:rPr>
              <m:t>Total Number of Reference Pixels</m:t>
            </m:r>
          </m:den>
        </m:f>
        <m:r>
          <w:rPr>
            <w:rFonts w:ascii="Cambria Math" w:hAnsi="Cambria Math" w:cs="Times New Roman"/>
          </w:rPr>
          <m:t xml:space="preserve"> x 100</m:t>
        </m:r>
      </m:oMath>
    </w:p>
    <w:p w14:paraId="27727628" w14:textId="77777777"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b/>
          <w:bCs/>
          <w:i/>
          <w:iCs/>
          <w:lang w:val="en-US"/>
        </w:rPr>
        <w:t xml:space="preserve">Kappa Coefficient: </w:t>
      </w:r>
      <w:r w:rsidRPr="00452E78">
        <w:rPr>
          <w:rFonts w:ascii="Times New Roman" w:hAnsi="Times New Roman" w:cs="Times New Roman"/>
          <w:lang w:val="en-US"/>
        </w:rPr>
        <w:t>a statistical measure that accounts for agreement occurring by chance.</w:t>
      </w:r>
    </w:p>
    <w:p w14:paraId="6D2B9819" w14:textId="4FA3792A" w:rsidR="00D966AE" w:rsidRPr="00EB0C6A" w:rsidRDefault="00407265" w:rsidP="00F43728">
      <w:pPr>
        <w:spacing w:after="0" w:line="360" w:lineRule="auto"/>
        <w:jc w:val="both"/>
        <w:rPr>
          <w:rFonts w:ascii="Times New Roman" w:eastAsiaTheme="minorEastAsia" w:hAnsi="Times New Roman" w:cs="Times New Roman"/>
          <w:lang w:val="it-IT"/>
        </w:rPr>
      </w:pPr>
      <w:r w:rsidRPr="00EB0C6A">
        <w:rPr>
          <w:rFonts w:ascii="Times New Roman" w:hAnsi="Times New Roman" w:cs="Times New Roman"/>
          <w:i/>
          <w:iCs/>
          <w:lang w:val="it-IT"/>
        </w:rPr>
        <w:t>Kappa Coefficient (T)</w:t>
      </w:r>
      <w:r w:rsidRPr="00EB0C6A">
        <w:rPr>
          <w:rFonts w:ascii="Times New Roman" w:hAnsi="Times New Roman" w:cs="Times New Roman"/>
          <w:lang w:val="it-IT"/>
        </w:rPr>
        <w:t xml:space="preserve"> = </w:t>
      </w:r>
      <m:oMath>
        <m:f>
          <m:fPr>
            <m:ctrlPr>
              <w:rPr>
                <w:rFonts w:ascii="Cambria Math" w:hAnsi="Cambria Math" w:cs="Times New Roman"/>
                <w:i/>
              </w:rPr>
            </m:ctrlPr>
          </m:fPr>
          <m:num>
            <m:r>
              <w:rPr>
                <w:rFonts w:ascii="Cambria Math" w:hAnsi="Cambria Math" w:cs="Times New Roman"/>
                <w:lang w:val="it-IT"/>
              </w:rPr>
              <m:t>(</m:t>
            </m:r>
            <m:r>
              <w:rPr>
                <w:rFonts w:ascii="Cambria Math" w:hAnsi="Cambria Math" w:cs="Times New Roman"/>
              </w:rPr>
              <m:t>TSxTCS</m:t>
            </m:r>
            <m:r>
              <w:rPr>
                <w:rFonts w:ascii="Cambria Math" w:hAnsi="Cambria Math" w:cs="Times New Roman"/>
                <w:lang w:val="it-IT"/>
              </w:rPr>
              <m:t>)-∑(</m:t>
            </m:r>
            <m:r>
              <w:rPr>
                <w:rFonts w:ascii="Cambria Math" w:hAnsi="Cambria Math" w:cs="Times New Roman"/>
              </w:rPr>
              <m:t>Column</m:t>
            </m:r>
            <m:r>
              <w:rPr>
                <w:rFonts w:ascii="Cambria Math" w:hAnsi="Cambria Math" w:cs="Times New Roman"/>
                <w:lang w:val="it-IT"/>
              </w:rPr>
              <m:t xml:space="preserve"> </m:t>
            </m:r>
            <m:r>
              <w:rPr>
                <w:rFonts w:ascii="Cambria Math" w:hAnsi="Cambria Math" w:cs="Times New Roman"/>
              </w:rPr>
              <m:t>Total</m:t>
            </m:r>
            <m:r>
              <w:rPr>
                <w:rFonts w:ascii="Cambria Math" w:hAnsi="Cambria Math" w:cs="Times New Roman"/>
                <w:lang w:val="it-IT"/>
              </w:rPr>
              <m:t xml:space="preserve"> </m:t>
            </m:r>
            <m:r>
              <w:rPr>
                <w:rFonts w:ascii="Cambria Math" w:hAnsi="Cambria Math" w:cs="Times New Roman"/>
              </w:rPr>
              <m:t>x</m:t>
            </m:r>
            <m:r>
              <w:rPr>
                <w:rFonts w:ascii="Cambria Math" w:hAnsi="Cambria Math" w:cs="Times New Roman"/>
                <w:lang w:val="it-IT"/>
              </w:rPr>
              <m:t xml:space="preserve"> </m:t>
            </m:r>
            <m:r>
              <w:rPr>
                <w:rFonts w:ascii="Cambria Math" w:hAnsi="Cambria Math" w:cs="Times New Roman"/>
              </w:rPr>
              <m:t>Row</m:t>
            </m:r>
            <m:r>
              <w:rPr>
                <w:rFonts w:ascii="Cambria Math" w:hAnsi="Cambria Math" w:cs="Times New Roman"/>
                <w:lang w:val="it-IT"/>
              </w:rPr>
              <m:t xml:space="preserve"> </m:t>
            </m:r>
            <m:r>
              <w:rPr>
                <w:rFonts w:ascii="Cambria Math" w:hAnsi="Cambria Math" w:cs="Times New Roman"/>
              </w:rPr>
              <m:t>Total</m:t>
            </m:r>
            <m:r>
              <w:rPr>
                <w:rFonts w:ascii="Cambria Math" w:hAnsi="Cambria Math" w:cs="Times New Roman"/>
                <w:lang w:val="it-IT"/>
              </w:rPr>
              <m:t>)</m:t>
            </m:r>
          </m:num>
          <m:den>
            <m:r>
              <w:rPr>
                <w:rFonts w:ascii="Cambria Math" w:hAnsi="Cambria Math" w:cs="Times New Roman"/>
              </w:rPr>
              <m:t>TS</m:t>
            </m:r>
            <m:r>
              <w:rPr>
                <w:rFonts w:ascii="Cambria Math" w:hAnsi="Cambria Math" w:cs="Times New Roman"/>
                <w:lang w:val="it-IT"/>
              </w:rPr>
              <m:t>2- ∑(</m:t>
            </m:r>
            <m:r>
              <w:rPr>
                <w:rFonts w:ascii="Cambria Math" w:hAnsi="Cambria Math" w:cs="Times New Roman"/>
              </w:rPr>
              <m:t>Column</m:t>
            </m:r>
            <m:r>
              <w:rPr>
                <w:rFonts w:ascii="Cambria Math" w:hAnsi="Cambria Math" w:cs="Times New Roman"/>
                <w:lang w:val="it-IT"/>
              </w:rPr>
              <m:t xml:space="preserve"> </m:t>
            </m:r>
            <m:r>
              <w:rPr>
                <w:rFonts w:ascii="Cambria Math" w:hAnsi="Cambria Math" w:cs="Times New Roman"/>
              </w:rPr>
              <m:t>Total</m:t>
            </m:r>
            <m:r>
              <w:rPr>
                <w:rFonts w:ascii="Cambria Math" w:hAnsi="Cambria Math" w:cs="Times New Roman"/>
                <w:lang w:val="it-IT"/>
              </w:rPr>
              <m:t xml:space="preserve">- </m:t>
            </m:r>
            <m:r>
              <w:rPr>
                <w:rFonts w:ascii="Cambria Math" w:hAnsi="Cambria Math" w:cs="Times New Roman"/>
              </w:rPr>
              <m:t>Row</m:t>
            </m:r>
            <m:r>
              <w:rPr>
                <w:rFonts w:ascii="Cambria Math" w:hAnsi="Cambria Math" w:cs="Times New Roman"/>
                <w:lang w:val="it-IT"/>
              </w:rPr>
              <m:t xml:space="preserve"> </m:t>
            </m:r>
            <m:r>
              <w:rPr>
                <w:rFonts w:ascii="Cambria Math" w:hAnsi="Cambria Math" w:cs="Times New Roman"/>
              </w:rPr>
              <m:t>Total</m:t>
            </m:r>
            <m:r>
              <w:rPr>
                <w:rFonts w:ascii="Cambria Math" w:hAnsi="Cambria Math" w:cs="Times New Roman"/>
                <w:lang w:val="it-IT"/>
              </w:rPr>
              <m:t>)</m:t>
            </m:r>
          </m:den>
        </m:f>
        <m:r>
          <w:rPr>
            <w:rFonts w:ascii="Cambria Math" w:hAnsi="Cambria Math" w:cs="Times New Roman"/>
            <w:lang w:val="it-IT"/>
          </w:rPr>
          <m:t xml:space="preserve"> </m:t>
        </m:r>
        <m:r>
          <w:rPr>
            <w:rFonts w:ascii="Cambria Math" w:hAnsi="Cambria Math" w:cs="Times New Roman"/>
          </w:rPr>
          <m:t>x</m:t>
        </m:r>
        <m:r>
          <w:rPr>
            <w:rFonts w:ascii="Cambria Math" w:hAnsi="Cambria Math" w:cs="Times New Roman"/>
            <w:lang w:val="it-IT"/>
          </w:rPr>
          <m:t xml:space="preserve"> 100</m:t>
        </m:r>
      </m:oMath>
    </w:p>
    <w:p w14:paraId="07750E34" w14:textId="3C76E06F"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The resulting Kappa values were interpreted following the standards outlined in Table 1, which classify the strength of agreement from poor to almost perfect.</w:t>
      </w:r>
    </w:p>
    <w:p w14:paraId="3DFC9D35" w14:textId="785C84DE" w:rsidR="00490AE1" w:rsidRPr="00452E78" w:rsidRDefault="00490AE1" w:rsidP="00F43728">
      <w:pPr>
        <w:spacing w:after="0" w:line="360" w:lineRule="auto"/>
        <w:jc w:val="both"/>
        <w:rPr>
          <w:rFonts w:ascii="Times New Roman" w:hAnsi="Times New Roman" w:cs="Times New Roman"/>
        </w:rPr>
      </w:pPr>
      <w:commentRangeStart w:id="1"/>
      <w:r w:rsidRPr="00452E78">
        <w:rPr>
          <w:rFonts w:ascii="Times New Roman" w:hAnsi="Times New Roman" w:cs="Times New Roman"/>
          <w:b/>
          <w:bCs/>
        </w:rPr>
        <w:t>Table 1.</w:t>
      </w:r>
      <w:r w:rsidRPr="00452E78">
        <w:rPr>
          <w:rFonts w:ascii="Times New Roman" w:hAnsi="Times New Roman" w:cs="Times New Roman"/>
        </w:rPr>
        <w:t xml:space="preserve"> Rating criteria of Kappa statistics.</w:t>
      </w:r>
      <w:r w:rsidR="00EB0C6A">
        <w:rPr>
          <w:rFonts w:ascii="Times New Roman" w:hAnsi="Times New Roman" w:cs="Times New Roman"/>
        </w:rPr>
        <w:t xml:space="preserve"> </w:t>
      </w:r>
    </w:p>
    <w:tbl>
      <w:tblPr>
        <w:tblStyle w:val="TableGrid"/>
        <w:tblW w:w="7933" w:type="dxa"/>
        <w:tblLook w:val="04A0" w:firstRow="1" w:lastRow="0" w:firstColumn="1" w:lastColumn="0" w:noHBand="0" w:noVBand="1"/>
      </w:tblPr>
      <w:tblGrid>
        <w:gridCol w:w="1129"/>
        <w:gridCol w:w="3402"/>
        <w:gridCol w:w="3402"/>
      </w:tblGrid>
      <w:tr w:rsidR="00490AE1" w:rsidRPr="00452E78" w14:paraId="6CE5AEAA" w14:textId="77777777" w:rsidTr="002566F1">
        <w:tc>
          <w:tcPr>
            <w:tcW w:w="1129" w:type="dxa"/>
          </w:tcPr>
          <w:p w14:paraId="1F27D97D" w14:textId="77777777" w:rsidR="00490AE1" w:rsidRPr="00452E78" w:rsidRDefault="00490AE1" w:rsidP="00F43728">
            <w:pPr>
              <w:spacing w:line="360" w:lineRule="auto"/>
              <w:jc w:val="both"/>
              <w:rPr>
                <w:rFonts w:ascii="Times New Roman" w:hAnsi="Times New Roman" w:cs="Times New Roman"/>
                <w:b/>
                <w:bCs/>
              </w:rPr>
            </w:pPr>
            <w:proofErr w:type="spellStart"/>
            <w:proofErr w:type="gramStart"/>
            <w:r w:rsidRPr="00452E78">
              <w:rPr>
                <w:rFonts w:ascii="Times New Roman" w:hAnsi="Times New Roman" w:cs="Times New Roman"/>
                <w:b/>
                <w:bCs/>
              </w:rPr>
              <w:t>Sl.No</w:t>
            </w:r>
            <w:proofErr w:type="spellEnd"/>
            <w:proofErr w:type="gramEnd"/>
          </w:p>
        </w:tc>
        <w:tc>
          <w:tcPr>
            <w:tcW w:w="3402" w:type="dxa"/>
            <w:vAlign w:val="center"/>
          </w:tcPr>
          <w:p w14:paraId="56CF6514"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b/>
                <w:bCs/>
              </w:rPr>
              <w:t>Kappa statistics</w:t>
            </w:r>
          </w:p>
        </w:tc>
        <w:tc>
          <w:tcPr>
            <w:tcW w:w="3402" w:type="dxa"/>
            <w:vAlign w:val="center"/>
          </w:tcPr>
          <w:p w14:paraId="6D6593D8"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b/>
                <w:bCs/>
              </w:rPr>
              <w:t>Strength of agreement</w:t>
            </w:r>
          </w:p>
        </w:tc>
      </w:tr>
      <w:tr w:rsidR="00490AE1" w:rsidRPr="00452E78" w14:paraId="215707BB" w14:textId="77777777" w:rsidTr="002566F1">
        <w:tc>
          <w:tcPr>
            <w:tcW w:w="1129" w:type="dxa"/>
          </w:tcPr>
          <w:p w14:paraId="426AB0DC"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1</w:t>
            </w:r>
          </w:p>
        </w:tc>
        <w:tc>
          <w:tcPr>
            <w:tcW w:w="3402" w:type="dxa"/>
            <w:vAlign w:val="center"/>
          </w:tcPr>
          <w:p w14:paraId="120FC091" w14:textId="6F843CD3" w:rsidR="00490AE1" w:rsidRPr="00452E78" w:rsidRDefault="00EA338F" w:rsidP="00F43728">
            <w:pPr>
              <w:spacing w:line="360" w:lineRule="auto"/>
              <w:jc w:val="both"/>
              <w:rPr>
                <w:rFonts w:ascii="Times New Roman" w:hAnsi="Times New Roman" w:cs="Times New Roman"/>
              </w:rPr>
            </w:pPr>
            <w:r w:rsidRPr="00452E78">
              <w:rPr>
                <w:rFonts w:ascii="Times New Roman" w:hAnsi="Times New Roman" w:cs="Times New Roman"/>
              </w:rPr>
              <w:t xml:space="preserve">&lt; </w:t>
            </w:r>
            <w:r w:rsidR="00490AE1" w:rsidRPr="00452E78">
              <w:rPr>
                <w:rFonts w:ascii="Times New Roman" w:hAnsi="Times New Roman" w:cs="Times New Roman"/>
              </w:rPr>
              <w:t>0</w:t>
            </w:r>
          </w:p>
        </w:tc>
        <w:tc>
          <w:tcPr>
            <w:tcW w:w="3402" w:type="dxa"/>
            <w:vAlign w:val="center"/>
          </w:tcPr>
          <w:p w14:paraId="015B2996"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Poor</w:t>
            </w:r>
          </w:p>
        </w:tc>
      </w:tr>
      <w:tr w:rsidR="00490AE1" w:rsidRPr="00452E78" w14:paraId="3906E009" w14:textId="77777777" w:rsidTr="002566F1">
        <w:tc>
          <w:tcPr>
            <w:tcW w:w="1129" w:type="dxa"/>
          </w:tcPr>
          <w:p w14:paraId="22D0592B"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2</w:t>
            </w:r>
          </w:p>
        </w:tc>
        <w:tc>
          <w:tcPr>
            <w:tcW w:w="3402" w:type="dxa"/>
            <w:vAlign w:val="center"/>
          </w:tcPr>
          <w:p w14:paraId="2DF9897F" w14:textId="5B9521B8"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 xml:space="preserve">0.00 </w:t>
            </w:r>
            <w:r w:rsidR="00EA338F" w:rsidRPr="00452E78">
              <w:rPr>
                <w:rFonts w:ascii="Times New Roman" w:hAnsi="Times New Roman" w:cs="Times New Roman"/>
              </w:rPr>
              <w:t xml:space="preserve">- </w:t>
            </w:r>
            <w:r w:rsidRPr="00452E78">
              <w:rPr>
                <w:rFonts w:ascii="Times New Roman" w:hAnsi="Times New Roman" w:cs="Times New Roman"/>
              </w:rPr>
              <w:t>0.20</w:t>
            </w:r>
          </w:p>
        </w:tc>
        <w:tc>
          <w:tcPr>
            <w:tcW w:w="3402" w:type="dxa"/>
            <w:vAlign w:val="center"/>
          </w:tcPr>
          <w:p w14:paraId="591C982D"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Slight</w:t>
            </w:r>
          </w:p>
        </w:tc>
      </w:tr>
      <w:tr w:rsidR="00490AE1" w:rsidRPr="00452E78" w14:paraId="462FAC88" w14:textId="77777777" w:rsidTr="002566F1">
        <w:tc>
          <w:tcPr>
            <w:tcW w:w="1129" w:type="dxa"/>
          </w:tcPr>
          <w:p w14:paraId="57CD87CB"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3</w:t>
            </w:r>
          </w:p>
        </w:tc>
        <w:tc>
          <w:tcPr>
            <w:tcW w:w="3402" w:type="dxa"/>
            <w:vAlign w:val="center"/>
          </w:tcPr>
          <w:p w14:paraId="02DF5E60" w14:textId="1FC5553B"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0.21</w:t>
            </w:r>
            <w:r w:rsidR="00EA338F" w:rsidRPr="00452E78">
              <w:rPr>
                <w:rFonts w:ascii="Times New Roman" w:hAnsi="Times New Roman" w:cs="Times New Roman"/>
              </w:rPr>
              <w:t xml:space="preserve"> - </w:t>
            </w:r>
            <w:r w:rsidRPr="00452E78">
              <w:rPr>
                <w:rFonts w:ascii="Times New Roman" w:hAnsi="Times New Roman" w:cs="Times New Roman"/>
              </w:rPr>
              <w:t>0.40</w:t>
            </w:r>
          </w:p>
        </w:tc>
        <w:tc>
          <w:tcPr>
            <w:tcW w:w="3402" w:type="dxa"/>
            <w:vAlign w:val="center"/>
          </w:tcPr>
          <w:p w14:paraId="4E34445E"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Fair</w:t>
            </w:r>
          </w:p>
        </w:tc>
      </w:tr>
      <w:tr w:rsidR="00490AE1" w:rsidRPr="00452E78" w14:paraId="36781190" w14:textId="77777777" w:rsidTr="002566F1">
        <w:tc>
          <w:tcPr>
            <w:tcW w:w="1129" w:type="dxa"/>
          </w:tcPr>
          <w:p w14:paraId="2DFABAD8"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4</w:t>
            </w:r>
          </w:p>
        </w:tc>
        <w:tc>
          <w:tcPr>
            <w:tcW w:w="3402" w:type="dxa"/>
            <w:vAlign w:val="center"/>
          </w:tcPr>
          <w:p w14:paraId="06DEB75B" w14:textId="31F1F18D"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0.41</w:t>
            </w:r>
            <w:r w:rsidR="00EA338F" w:rsidRPr="00452E78">
              <w:rPr>
                <w:rFonts w:ascii="Times New Roman" w:hAnsi="Times New Roman" w:cs="Times New Roman"/>
              </w:rPr>
              <w:t xml:space="preserve"> - </w:t>
            </w:r>
            <w:r w:rsidRPr="00452E78">
              <w:rPr>
                <w:rFonts w:ascii="Times New Roman" w:hAnsi="Times New Roman" w:cs="Times New Roman"/>
              </w:rPr>
              <w:t>0.60</w:t>
            </w:r>
          </w:p>
        </w:tc>
        <w:tc>
          <w:tcPr>
            <w:tcW w:w="3402" w:type="dxa"/>
            <w:vAlign w:val="center"/>
          </w:tcPr>
          <w:p w14:paraId="292CCB18"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Moderate</w:t>
            </w:r>
          </w:p>
        </w:tc>
      </w:tr>
      <w:tr w:rsidR="00490AE1" w:rsidRPr="00452E78" w14:paraId="477E12E2" w14:textId="77777777" w:rsidTr="002566F1">
        <w:tc>
          <w:tcPr>
            <w:tcW w:w="1129" w:type="dxa"/>
          </w:tcPr>
          <w:p w14:paraId="3746A3D8"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5</w:t>
            </w:r>
          </w:p>
        </w:tc>
        <w:tc>
          <w:tcPr>
            <w:tcW w:w="3402" w:type="dxa"/>
            <w:vAlign w:val="center"/>
          </w:tcPr>
          <w:p w14:paraId="2C0869D7" w14:textId="6EA2F245"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0.61</w:t>
            </w:r>
            <w:r w:rsidR="00EA338F" w:rsidRPr="00452E78">
              <w:rPr>
                <w:rFonts w:ascii="Times New Roman" w:hAnsi="Times New Roman" w:cs="Times New Roman"/>
              </w:rPr>
              <w:t xml:space="preserve"> - </w:t>
            </w:r>
            <w:r w:rsidRPr="00452E78">
              <w:rPr>
                <w:rFonts w:ascii="Times New Roman" w:hAnsi="Times New Roman" w:cs="Times New Roman"/>
              </w:rPr>
              <w:t>0.80</w:t>
            </w:r>
          </w:p>
        </w:tc>
        <w:tc>
          <w:tcPr>
            <w:tcW w:w="3402" w:type="dxa"/>
            <w:vAlign w:val="center"/>
          </w:tcPr>
          <w:p w14:paraId="59D124D0"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Substantial</w:t>
            </w:r>
          </w:p>
        </w:tc>
      </w:tr>
      <w:tr w:rsidR="00490AE1" w:rsidRPr="00452E78" w14:paraId="02364BB0" w14:textId="77777777" w:rsidTr="002566F1">
        <w:tc>
          <w:tcPr>
            <w:tcW w:w="1129" w:type="dxa"/>
          </w:tcPr>
          <w:p w14:paraId="4AA74157"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6</w:t>
            </w:r>
          </w:p>
        </w:tc>
        <w:tc>
          <w:tcPr>
            <w:tcW w:w="3402" w:type="dxa"/>
            <w:vAlign w:val="center"/>
          </w:tcPr>
          <w:p w14:paraId="0D828D43" w14:textId="64F7991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0.81</w:t>
            </w:r>
            <w:r w:rsidR="00EA338F" w:rsidRPr="00452E78">
              <w:rPr>
                <w:rFonts w:ascii="Times New Roman" w:hAnsi="Times New Roman" w:cs="Times New Roman"/>
              </w:rPr>
              <w:t xml:space="preserve"> - </w:t>
            </w:r>
            <w:r w:rsidRPr="00452E78">
              <w:rPr>
                <w:rFonts w:ascii="Times New Roman" w:hAnsi="Times New Roman" w:cs="Times New Roman"/>
              </w:rPr>
              <w:t>1.00</w:t>
            </w:r>
          </w:p>
        </w:tc>
        <w:tc>
          <w:tcPr>
            <w:tcW w:w="3402" w:type="dxa"/>
            <w:vAlign w:val="center"/>
          </w:tcPr>
          <w:p w14:paraId="6471F0F8"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Almost perfect</w:t>
            </w:r>
          </w:p>
        </w:tc>
      </w:tr>
    </w:tbl>
    <w:commentRangeEnd w:id="1"/>
    <w:p w14:paraId="7802607F" w14:textId="77777777" w:rsidR="00490AE1" w:rsidRPr="00452E78" w:rsidRDefault="00EB0C6A" w:rsidP="00F43728">
      <w:pPr>
        <w:spacing w:after="0" w:line="360" w:lineRule="auto"/>
        <w:jc w:val="both"/>
        <w:rPr>
          <w:rFonts w:ascii="Times New Roman" w:hAnsi="Times New Roman" w:cs="Times New Roman"/>
        </w:rPr>
      </w:pPr>
      <w:r>
        <w:rPr>
          <w:rStyle w:val="CommentReference"/>
        </w:rPr>
        <w:commentReference w:id="1"/>
      </w:r>
    </w:p>
    <w:p w14:paraId="4ABE59E3" w14:textId="51A3CABA" w:rsidR="00407265"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 xml:space="preserve">The Google Earth-based verification allowed for a detailed visual examination of major land cover types without the need for on-site field surveys. This method ensured a close match between the classified satellite data and the actual features visible on the ground. Although supervised </w:t>
      </w:r>
      <w:r w:rsidRPr="00452E78">
        <w:rPr>
          <w:rFonts w:ascii="Times New Roman" w:hAnsi="Times New Roman" w:cs="Times New Roman"/>
        </w:rPr>
        <w:lastRenderedPageBreak/>
        <w:t>classification and remote validation each have certain limitations, combining these approaches offered a reliable and practical way to evaluate land use and land cover changes in the district during the study period.</w:t>
      </w:r>
    </w:p>
    <w:p w14:paraId="5CECC8DC" w14:textId="77777777" w:rsidR="004E5377" w:rsidRPr="00452E78" w:rsidRDefault="004E5377" w:rsidP="00F43728">
      <w:pPr>
        <w:spacing w:line="360" w:lineRule="auto"/>
        <w:jc w:val="both"/>
        <w:rPr>
          <w:rFonts w:ascii="Times New Roman" w:hAnsi="Times New Roman" w:cs="Times New Roman"/>
        </w:rPr>
      </w:pPr>
    </w:p>
    <w:p w14:paraId="10250B4F" w14:textId="77777777" w:rsidR="004E5377" w:rsidRPr="00452E78" w:rsidRDefault="004E5377" w:rsidP="00F43728">
      <w:pPr>
        <w:spacing w:line="360" w:lineRule="auto"/>
        <w:jc w:val="both"/>
        <w:rPr>
          <w:rFonts w:ascii="Times New Roman" w:hAnsi="Times New Roman" w:cs="Times New Roman"/>
          <w:b/>
          <w:bCs/>
        </w:rPr>
      </w:pPr>
      <w:r w:rsidRPr="00452E78">
        <w:rPr>
          <w:rFonts w:ascii="Times New Roman" w:hAnsi="Times New Roman" w:cs="Times New Roman"/>
          <w:b/>
          <w:bCs/>
        </w:rPr>
        <w:t xml:space="preserve">4. RESULTS </w:t>
      </w:r>
    </w:p>
    <w:p w14:paraId="3E66B763" w14:textId="77777777" w:rsidR="007655F0" w:rsidRPr="00452E78" w:rsidRDefault="007655F0" w:rsidP="00F43728">
      <w:pPr>
        <w:spacing w:line="360" w:lineRule="auto"/>
        <w:jc w:val="both"/>
        <w:rPr>
          <w:rFonts w:ascii="Times New Roman" w:hAnsi="Times New Roman" w:cs="Times New Roman"/>
          <w:b/>
          <w:bCs/>
        </w:rPr>
      </w:pPr>
      <w:r w:rsidRPr="00452E78">
        <w:rPr>
          <w:rFonts w:ascii="Times New Roman" w:hAnsi="Times New Roman" w:cs="Times New Roman"/>
          <w:b/>
          <w:bCs/>
        </w:rPr>
        <w:t>4.1 Land cover classification and mapping</w:t>
      </w:r>
    </w:p>
    <w:p w14:paraId="05963586" w14:textId="5F4177B5" w:rsidR="007655F0" w:rsidRPr="00452E78" w:rsidRDefault="007655F0" w:rsidP="00F43728">
      <w:pPr>
        <w:spacing w:line="360" w:lineRule="auto"/>
        <w:jc w:val="both"/>
        <w:rPr>
          <w:rFonts w:ascii="Times New Roman" w:hAnsi="Times New Roman" w:cs="Times New Roman"/>
          <w:b/>
          <w:bCs/>
        </w:rPr>
      </w:pPr>
      <w:r w:rsidRPr="00452E78">
        <w:rPr>
          <w:rFonts w:ascii="Times New Roman" w:hAnsi="Times New Roman" w:cs="Times New Roman"/>
        </w:rPr>
        <w:t xml:space="preserve">The multi-temporal analysis of satellite images for the study area produced detailed land use and land cover (LULC) maps for 2017 and 2024. </w:t>
      </w:r>
      <w:r w:rsidR="00AD28EF" w:rsidRPr="00452E78">
        <w:rPr>
          <w:rFonts w:ascii="Times New Roman" w:hAnsi="Times New Roman" w:cs="Times New Roman"/>
        </w:rPr>
        <w:t>Four</w:t>
      </w:r>
      <w:r w:rsidRPr="00452E78">
        <w:rPr>
          <w:rFonts w:ascii="Times New Roman" w:hAnsi="Times New Roman" w:cs="Times New Roman"/>
        </w:rPr>
        <w:t xml:space="preserve"> m</w:t>
      </w:r>
      <w:r w:rsidR="00AD28EF" w:rsidRPr="00452E78">
        <w:rPr>
          <w:rFonts w:ascii="Times New Roman" w:hAnsi="Times New Roman" w:cs="Times New Roman"/>
        </w:rPr>
        <w:t>ajor</w:t>
      </w:r>
      <w:r w:rsidRPr="00452E78">
        <w:rPr>
          <w:rFonts w:ascii="Times New Roman" w:hAnsi="Times New Roman" w:cs="Times New Roman"/>
        </w:rPr>
        <w:t xml:space="preserve"> land cover types were identified: forest (tree cover), rangeland, cropland,</w:t>
      </w:r>
      <w:r w:rsidR="00AD28EF" w:rsidRPr="00452E78">
        <w:rPr>
          <w:rFonts w:ascii="Times New Roman" w:hAnsi="Times New Roman" w:cs="Times New Roman"/>
        </w:rPr>
        <w:t xml:space="preserve"> and</w:t>
      </w:r>
      <w:r w:rsidRPr="00452E78">
        <w:rPr>
          <w:rFonts w:ascii="Times New Roman" w:hAnsi="Times New Roman" w:cs="Times New Roman"/>
        </w:rPr>
        <w:t xml:space="preserve"> built-up areas, </w:t>
      </w:r>
      <w:r w:rsidR="00AD28EF" w:rsidRPr="00452E78">
        <w:rPr>
          <w:rFonts w:ascii="Times New Roman" w:hAnsi="Times New Roman" w:cs="Times New Roman"/>
        </w:rPr>
        <w:t xml:space="preserve">and three minor land cover types include </w:t>
      </w:r>
      <w:r w:rsidRPr="00452E78">
        <w:rPr>
          <w:rFonts w:ascii="Times New Roman" w:hAnsi="Times New Roman" w:cs="Times New Roman"/>
        </w:rPr>
        <w:t>water bodies, flooded vegetation, and bare ground. The spatial arrangement of these categories highlights the varied landscape features and ecological diversity of the district, as s</w:t>
      </w:r>
      <w:r w:rsidR="00AD28EF" w:rsidRPr="00452E78">
        <w:rPr>
          <w:rFonts w:ascii="Times New Roman" w:hAnsi="Times New Roman" w:cs="Times New Roman"/>
        </w:rPr>
        <w:t>hown</w:t>
      </w:r>
      <w:r w:rsidRPr="00452E78">
        <w:rPr>
          <w:rFonts w:ascii="Times New Roman" w:hAnsi="Times New Roman" w:cs="Times New Roman"/>
        </w:rPr>
        <w:t xml:space="preserve"> in Figures </w:t>
      </w:r>
      <w:r w:rsidR="00901E9E" w:rsidRPr="00452E78">
        <w:rPr>
          <w:rFonts w:ascii="Times New Roman" w:hAnsi="Times New Roman" w:cs="Times New Roman"/>
        </w:rPr>
        <w:t>2</w:t>
      </w:r>
      <w:r w:rsidRPr="00452E78">
        <w:rPr>
          <w:rFonts w:ascii="Times New Roman" w:hAnsi="Times New Roman" w:cs="Times New Roman"/>
        </w:rPr>
        <w:t xml:space="preserve"> and </w:t>
      </w:r>
      <w:r w:rsidR="00901E9E" w:rsidRPr="00452E78">
        <w:rPr>
          <w:rFonts w:ascii="Times New Roman" w:hAnsi="Times New Roman" w:cs="Times New Roman"/>
        </w:rPr>
        <w:t>3</w:t>
      </w:r>
      <w:r w:rsidR="00AD28EF" w:rsidRPr="00452E78">
        <w:rPr>
          <w:rFonts w:ascii="Times New Roman" w:hAnsi="Times New Roman" w:cs="Times New Roman"/>
        </w:rPr>
        <w:t xml:space="preserve">. These figures provide a foundation for </w:t>
      </w:r>
      <w:proofErr w:type="spellStart"/>
      <w:r w:rsidR="00AD28EF" w:rsidRPr="00452E78">
        <w:rPr>
          <w:rFonts w:ascii="Times New Roman" w:hAnsi="Times New Roman" w:cs="Times New Roman"/>
        </w:rPr>
        <w:t>analyzing</w:t>
      </w:r>
      <w:proofErr w:type="spellEnd"/>
      <w:r w:rsidR="00AD28EF" w:rsidRPr="00452E78">
        <w:rPr>
          <w:rFonts w:ascii="Times New Roman" w:hAnsi="Times New Roman" w:cs="Times New Roman"/>
        </w:rPr>
        <w:t xml:space="preserve"> changes and understanding the landscape dynamics over time.</w:t>
      </w:r>
    </w:p>
    <w:p w14:paraId="5A6A743C" w14:textId="4324EDD9" w:rsidR="0080597D" w:rsidRPr="00452E78" w:rsidRDefault="007655F0" w:rsidP="00AD28EF">
      <w:pPr>
        <w:spacing w:line="360" w:lineRule="auto"/>
        <w:jc w:val="both"/>
        <w:rPr>
          <w:rFonts w:ascii="Times New Roman" w:hAnsi="Times New Roman" w:cs="Times New Roman"/>
        </w:rPr>
      </w:pPr>
      <w:r w:rsidRPr="00452E78">
        <w:rPr>
          <w:rFonts w:ascii="Times New Roman" w:hAnsi="Times New Roman" w:cs="Times New Roman"/>
        </w:rPr>
        <w:t xml:space="preserve">To check the reliability of the classification, an accuracy assessment was conducted. The results showed that the mapping method worked well in both years. In 2017, the overall accuracy was 83.3%, with 25 out of 30 points correctly classified. For 2024, the accuracy improved to 93.3% (28 out of 30 points correct). Among the individual categories, the forest class did particularly well, reaching 100% user accuracy in both periods. The accuracy for the rangeland category also saw a notable increase, from 40% producer’s accuracy in 2017 to 71.4% in 2024. Table </w:t>
      </w:r>
      <w:r w:rsidR="00052308">
        <w:rPr>
          <w:rFonts w:ascii="Times New Roman" w:hAnsi="Times New Roman" w:cs="Times New Roman"/>
        </w:rPr>
        <w:t>2</w:t>
      </w:r>
      <w:r w:rsidR="00901E9E" w:rsidRPr="00452E78">
        <w:rPr>
          <w:rFonts w:ascii="Times New Roman" w:hAnsi="Times New Roman" w:cs="Times New Roman"/>
        </w:rPr>
        <w:t xml:space="preserve"> and</w:t>
      </w:r>
      <w:r w:rsidR="00052308">
        <w:rPr>
          <w:rFonts w:ascii="Times New Roman" w:hAnsi="Times New Roman" w:cs="Times New Roman"/>
        </w:rPr>
        <w:t xml:space="preserve"> </w:t>
      </w:r>
      <w:proofErr w:type="gramStart"/>
      <w:r w:rsidR="00052308">
        <w:rPr>
          <w:rFonts w:ascii="Times New Roman" w:hAnsi="Times New Roman" w:cs="Times New Roman"/>
        </w:rPr>
        <w:t>3</w:t>
      </w:r>
      <w:r w:rsidR="00901E9E" w:rsidRPr="00452E78">
        <w:rPr>
          <w:rFonts w:ascii="Times New Roman" w:hAnsi="Times New Roman" w:cs="Times New Roman"/>
        </w:rPr>
        <w:t xml:space="preserve"> </w:t>
      </w:r>
      <w:r w:rsidRPr="00452E78">
        <w:rPr>
          <w:rFonts w:ascii="Times New Roman" w:hAnsi="Times New Roman" w:cs="Times New Roman"/>
        </w:rPr>
        <w:t xml:space="preserve"> summarizes</w:t>
      </w:r>
      <w:proofErr w:type="gramEnd"/>
      <w:r w:rsidRPr="00452E78">
        <w:rPr>
          <w:rFonts w:ascii="Times New Roman" w:hAnsi="Times New Roman" w:cs="Times New Roman"/>
        </w:rPr>
        <w:t xml:space="preserve"> the area of each land cover category for both years. </w:t>
      </w:r>
    </w:p>
    <w:p w14:paraId="5131AE25" w14:textId="77777777" w:rsidR="0080597D" w:rsidRPr="00452E78" w:rsidRDefault="0080597D" w:rsidP="00F43728">
      <w:pPr>
        <w:spacing w:after="0" w:line="360" w:lineRule="auto"/>
        <w:jc w:val="both"/>
        <w:rPr>
          <w:rFonts w:ascii="Times New Roman" w:hAnsi="Times New Roman" w:cs="Times New Roman"/>
        </w:rPr>
      </w:pPr>
    </w:p>
    <w:p w14:paraId="6C66DD60" w14:textId="77777777" w:rsidR="0080597D" w:rsidRPr="00452E78" w:rsidRDefault="0080597D" w:rsidP="00F43728">
      <w:pPr>
        <w:spacing w:after="0" w:line="360" w:lineRule="auto"/>
        <w:jc w:val="both"/>
        <w:rPr>
          <w:rFonts w:ascii="Times New Roman" w:hAnsi="Times New Roman" w:cs="Times New Roman"/>
        </w:rPr>
      </w:pPr>
    </w:p>
    <w:p w14:paraId="2D1C3255" w14:textId="77777777" w:rsidR="0080597D" w:rsidRPr="00452E78" w:rsidRDefault="0080597D" w:rsidP="0080597D">
      <w:pPr>
        <w:tabs>
          <w:tab w:val="left" w:pos="506"/>
        </w:tabs>
        <w:spacing w:line="360" w:lineRule="auto"/>
        <w:jc w:val="both"/>
        <w:rPr>
          <w:rFonts w:ascii="Times New Roman" w:hAnsi="Times New Roman" w:cs="Times New Roman"/>
          <w:noProof/>
        </w:rPr>
      </w:pPr>
      <w:r w:rsidRPr="00452E78">
        <w:rPr>
          <w:rFonts w:ascii="Times New Roman" w:hAnsi="Times New Roman" w:cs="Times New Roman"/>
          <w:noProof/>
        </w:rPr>
        <w:drawing>
          <wp:inline distT="0" distB="0" distL="0" distR="0" wp14:anchorId="089B156E" wp14:editId="4091D409">
            <wp:extent cx="5723890" cy="2649220"/>
            <wp:effectExtent l="0" t="0" r="0" b="0"/>
            <wp:docPr id="1469999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3890" cy="2649220"/>
                    </a:xfrm>
                    <a:prstGeom prst="rect">
                      <a:avLst/>
                    </a:prstGeom>
                    <a:noFill/>
                    <a:ln>
                      <a:noFill/>
                    </a:ln>
                  </pic:spPr>
                </pic:pic>
              </a:graphicData>
            </a:graphic>
          </wp:inline>
        </w:drawing>
      </w:r>
    </w:p>
    <w:p w14:paraId="2DC3BE66" w14:textId="77777777" w:rsidR="0080597D" w:rsidRPr="00452E78" w:rsidRDefault="0080597D" w:rsidP="0080597D">
      <w:pPr>
        <w:rPr>
          <w:rFonts w:ascii="Times New Roman" w:hAnsi="Times New Roman" w:cs="Times New Roman"/>
        </w:rPr>
      </w:pPr>
      <w:r w:rsidRPr="00452E78">
        <w:rPr>
          <w:rFonts w:ascii="Times New Roman" w:hAnsi="Times New Roman" w:cs="Times New Roman"/>
        </w:rPr>
        <w:lastRenderedPageBreak/>
        <w:t xml:space="preserve">Figure 2: a) LULC map of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,2017, and b) Percentage distribution of LULC classes.</w:t>
      </w:r>
    </w:p>
    <w:p w14:paraId="496C0886" w14:textId="77777777" w:rsidR="0080597D" w:rsidRPr="00452E78" w:rsidRDefault="0080597D" w:rsidP="0080597D">
      <w:pPr>
        <w:rPr>
          <w:rFonts w:ascii="Times New Roman" w:hAnsi="Times New Roman" w:cs="Times New Roman"/>
        </w:rPr>
      </w:pPr>
    </w:p>
    <w:p w14:paraId="508FE2BB" w14:textId="77777777" w:rsidR="0080597D" w:rsidRPr="00452E78" w:rsidRDefault="0080597D" w:rsidP="0080597D">
      <w:pPr>
        <w:rPr>
          <w:rFonts w:ascii="Times New Roman" w:hAnsi="Times New Roman" w:cs="Times New Roman"/>
          <w:noProof/>
        </w:rPr>
      </w:pPr>
      <w:r w:rsidRPr="00452E78">
        <w:rPr>
          <w:rFonts w:ascii="Times New Roman" w:hAnsi="Times New Roman" w:cs="Times New Roman"/>
          <w:noProof/>
        </w:rPr>
        <w:drawing>
          <wp:inline distT="0" distB="0" distL="0" distR="0" wp14:anchorId="35802427" wp14:editId="0FF7BF91">
            <wp:extent cx="5728335" cy="2590165"/>
            <wp:effectExtent l="0" t="0" r="5715" b="635"/>
            <wp:docPr id="15698960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8335" cy="2590165"/>
                    </a:xfrm>
                    <a:prstGeom prst="rect">
                      <a:avLst/>
                    </a:prstGeom>
                    <a:noFill/>
                    <a:ln>
                      <a:noFill/>
                    </a:ln>
                  </pic:spPr>
                </pic:pic>
              </a:graphicData>
            </a:graphic>
          </wp:inline>
        </w:drawing>
      </w:r>
    </w:p>
    <w:p w14:paraId="3AFA08E9" w14:textId="77777777" w:rsidR="0080597D" w:rsidRPr="00452E78" w:rsidRDefault="0080597D" w:rsidP="0080597D">
      <w:pPr>
        <w:rPr>
          <w:rFonts w:ascii="Times New Roman" w:hAnsi="Times New Roman" w:cs="Times New Roman"/>
        </w:rPr>
      </w:pPr>
      <w:r w:rsidRPr="00452E78">
        <w:rPr>
          <w:rFonts w:ascii="Times New Roman" w:hAnsi="Times New Roman" w:cs="Times New Roman"/>
        </w:rPr>
        <w:t xml:space="preserve">Figure 3: a) LULC map of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,2024, and b) Percentage distribution of LULC classes.</w:t>
      </w:r>
    </w:p>
    <w:p w14:paraId="3DB1A006" w14:textId="77777777" w:rsidR="0080597D" w:rsidRPr="00452E78" w:rsidRDefault="0080597D" w:rsidP="00F43728">
      <w:pPr>
        <w:spacing w:after="0" w:line="360" w:lineRule="auto"/>
        <w:jc w:val="both"/>
        <w:rPr>
          <w:rFonts w:ascii="Times New Roman" w:hAnsi="Times New Roman" w:cs="Times New Roman"/>
        </w:rPr>
      </w:pPr>
    </w:p>
    <w:p w14:paraId="12A7AC24" w14:textId="02A14946" w:rsidR="004E5377" w:rsidRPr="00452E78" w:rsidRDefault="004E5377" w:rsidP="00F43728">
      <w:pPr>
        <w:spacing w:after="0" w:line="360" w:lineRule="auto"/>
        <w:jc w:val="both"/>
        <w:rPr>
          <w:rFonts w:ascii="Times New Roman" w:hAnsi="Times New Roman" w:cs="Times New Roman"/>
        </w:rPr>
      </w:pPr>
      <w:r w:rsidRPr="00452E78">
        <w:rPr>
          <w:rFonts w:ascii="Times New Roman" w:hAnsi="Times New Roman" w:cs="Times New Roman"/>
        </w:rPr>
        <w:t xml:space="preserve">Table </w:t>
      </w:r>
      <w:r w:rsidR="00052308">
        <w:rPr>
          <w:rFonts w:ascii="Times New Roman" w:hAnsi="Times New Roman" w:cs="Times New Roman"/>
        </w:rPr>
        <w:t>2</w:t>
      </w:r>
      <w:r w:rsidRPr="00452E78">
        <w:rPr>
          <w:rFonts w:ascii="Times New Roman" w:hAnsi="Times New Roman" w:cs="Times New Roman"/>
        </w:rPr>
        <w:t xml:space="preserve">: Land Cover Area Statistics for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(2017-2024)</w:t>
      </w:r>
    </w:p>
    <w:tbl>
      <w:tblPr>
        <w:tblStyle w:val="TableGrid"/>
        <w:tblW w:w="0" w:type="auto"/>
        <w:tblLook w:val="04A0" w:firstRow="1" w:lastRow="0" w:firstColumn="1" w:lastColumn="0" w:noHBand="0" w:noVBand="1"/>
      </w:tblPr>
      <w:tblGrid>
        <w:gridCol w:w="1407"/>
        <w:gridCol w:w="1422"/>
        <w:gridCol w:w="1199"/>
        <w:gridCol w:w="1422"/>
        <w:gridCol w:w="1204"/>
        <w:gridCol w:w="1181"/>
        <w:gridCol w:w="1181"/>
      </w:tblGrid>
      <w:tr w:rsidR="004E5377" w:rsidRPr="00452E78" w14:paraId="1D0ACD7B" w14:textId="77777777" w:rsidTr="004D2978">
        <w:tc>
          <w:tcPr>
            <w:tcW w:w="1407" w:type="dxa"/>
          </w:tcPr>
          <w:p w14:paraId="45838C89"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LULC Classes</w:t>
            </w:r>
          </w:p>
        </w:tc>
        <w:tc>
          <w:tcPr>
            <w:tcW w:w="2621" w:type="dxa"/>
            <w:gridSpan w:val="2"/>
          </w:tcPr>
          <w:p w14:paraId="62B34B1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2017</w:t>
            </w:r>
          </w:p>
        </w:tc>
        <w:tc>
          <w:tcPr>
            <w:tcW w:w="2626" w:type="dxa"/>
            <w:gridSpan w:val="2"/>
          </w:tcPr>
          <w:p w14:paraId="1354C411"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2024</w:t>
            </w:r>
          </w:p>
        </w:tc>
        <w:tc>
          <w:tcPr>
            <w:tcW w:w="1181" w:type="dxa"/>
            <w:vMerge w:val="restart"/>
          </w:tcPr>
          <w:p w14:paraId="35F28CA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Net Change (sq. km)</w:t>
            </w:r>
          </w:p>
        </w:tc>
        <w:tc>
          <w:tcPr>
            <w:tcW w:w="1181" w:type="dxa"/>
            <w:vMerge w:val="restart"/>
          </w:tcPr>
          <w:p w14:paraId="350BB42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Change</w:t>
            </w:r>
          </w:p>
        </w:tc>
      </w:tr>
      <w:tr w:rsidR="004E5377" w:rsidRPr="00452E78" w14:paraId="46ED8C86" w14:textId="77777777" w:rsidTr="004D2978">
        <w:tc>
          <w:tcPr>
            <w:tcW w:w="1407" w:type="dxa"/>
          </w:tcPr>
          <w:p w14:paraId="42799996" w14:textId="77777777" w:rsidR="004E5377" w:rsidRPr="00452E78" w:rsidRDefault="004E5377" w:rsidP="00F43728">
            <w:pPr>
              <w:spacing w:line="360" w:lineRule="auto"/>
              <w:jc w:val="both"/>
              <w:rPr>
                <w:rFonts w:ascii="Times New Roman" w:hAnsi="Times New Roman" w:cs="Times New Roman"/>
                <w:lang w:val="en-US"/>
              </w:rPr>
            </w:pPr>
          </w:p>
        </w:tc>
        <w:tc>
          <w:tcPr>
            <w:tcW w:w="1422" w:type="dxa"/>
          </w:tcPr>
          <w:p w14:paraId="4E05E84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Area</w:t>
            </w:r>
          </w:p>
          <w:p w14:paraId="53ACF55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(sq. km)</w:t>
            </w:r>
          </w:p>
        </w:tc>
        <w:tc>
          <w:tcPr>
            <w:tcW w:w="1199" w:type="dxa"/>
          </w:tcPr>
          <w:p w14:paraId="2D4DB72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Area</w:t>
            </w:r>
          </w:p>
          <w:p w14:paraId="1977CF6D"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 )</w:t>
            </w:r>
          </w:p>
        </w:tc>
        <w:tc>
          <w:tcPr>
            <w:tcW w:w="1422" w:type="dxa"/>
          </w:tcPr>
          <w:p w14:paraId="245D38E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xml:space="preserve">Area </w:t>
            </w:r>
          </w:p>
          <w:p w14:paraId="275DBC0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(sq. km)</w:t>
            </w:r>
          </w:p>
        </w:tc>
        <w:tc>
          <w:tcPr>
            <w:tcW w:w="1204" w:type="dxa"/>
          </w:tcPr>
          <w:p w14:paraId="52025F6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Area percent</w:t>
            </w:r>
          </w:p>
        </w:tc>
        <w:tc>
          <w:tcPr>
            <w:tcW w:w="1181" w:type="dxa"/>
            <w:vMerge/>
          </w:tcPr>
          <w:p w14:paraId="40121775" w14:textId="77777777" w:rsidR="004E5377" w:rsidRPr="00452E78" w:rsidRDefault="004E5377" w:rsidP="00F43728">
            <w:pPr>
              <w:spacing w:line="360" w:lineRule="auto"/>
              <w:jc w:val="both"/>
              <w:rPr>
                <w:rFonts w:ascii="Times New Roman" w:hAnsi="Times New Roman" w:cs="Times New Roman"/>
                <w:lang w:val="en-US"/>
              </w:rPr>
            </w:pPr>
          </w:p>
        </w:tc>
        <w:tc>
          <w:tcPr>
            <w:tcW w:w="1181" w:type="dxa"/>
            <w:vMerge/>
          </w:tcPr>
          <w:p w14:paraId="111AA9B7" w14:textId="77777777" w:rsidR="004E5377" w:rsidRPr="00452E78" w:rsidRDefault="004E5377" w:rsidP="00F43728">
            <w:pPr>
              <w:spacing w:line="360" w:lineRule="auto"/>
              <w:jc w:val="both"/>
              <w:rPr>
                <w:rFonts w:ascii="Times New Roman" w:hAnsi="Times New Roman" w:cs="Times New Roman"/>
                <w:lang w:val="en-US"/>
              </w:rPr>
            </w:pPr>
          </w:p>
        </w:tc>
      </w:tr>
      <w:tr w:rsidR="004E5377" w:rsidRPr="00452E78" w14:paraId="726DC429" w14:textId="77777777" w:rsidTr="004D2978">
        <w:tc>
          <w:tcPr>
            <w:tcW w:w="1407" w:type="dxa"/>
          </w:tcPr>
          <w:p w14:paraId="2234CF9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Water</w:t>
            </w:r>
          </w:p>
        </w:tc>
        <w:tc>
          <w:tcPr>
            <w:tcW w:w="1422" w:type="dxa"/>
          </w:tcPr>
          <w:p w14:paraId="5F0D9931"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21.61</w:t>
            </w:r>
          </w:p>
        </w:tc>
        <w:tc>
          <w:tcPr>
            <w:tcW w:w="1199" w:type="dxa"/>
          </w:tcPr>
          <w:p w14:paraId="27BAE0D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0.46</w:t>
            </w:r>
          </w:p>
        </w:tc>
        <w:tc>
          <w:tcPr>
            <w:tcW w:w="1422" w:type="dxa"/>
          </w:tcPr>
          <w:p w14:paraId="475165F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20.26</w:t>
            </w:r>
          </w:p>
        </w:tc>
        <w:tc>
          <w:tcPr>
            <w:tcW w:w="1204" w:type="dxa"/>
          </w:tcPr>
          <w:p w14:paraId="18C25D60"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0.43</w:t>
            </w:r>
          </w:p>
        </w:tc>
        <w:tc>
          <w:tcPr>
            <w:tcW w:w="1181" w:type="dxa"/>
          </w:tcPr>
          <w:p w14:paraId="7384E3C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-1.35</w:t>
            </w:r>
          </w:p>
        </w:tc>
        <w:tc>
          <w:tcPr>
            <w:tcW w:w="1181" w:type="dxa"/>
          </w:tcPr>
          <w:p w14:paraId="4C22E9BD"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- 6.16</w:t>
            </w:r>
          </w:p>
        </w:tc>
      </w:tr>
      <w:tr w:rsidR="004E5377" w:rsidRPr="00452E78" w14:paraId="3B2E00D1" w14:textId="77777777" w:rsidTr="004D2978">
        <w:tc>
          <w:tcPr>
            <w:tcW w:w="1407" w:type="dxa"/>
          </w:tcPr>
          <w:p w14:paraId="780B4430"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Trees</w:t>
            </w:r>
          </w:p>
        </w:tc>
        <w:tc>
          <w:tcPr>
            <w:tcW w:w="1422" w:type="dxa"/>
          </w:tcPr>
          <w:p w14:paraId="6343E9D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4474.24</w:t>
            </w:r>
          </w:p>
        </w:tc>
        <w:tc>
          <w:tcPr>
            <w:tcW w:w="1199" w:type="dxa"/>
          </w:tcPr>
          <w:p w14:paraId="3F6E8F1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94.89</w:t>
            </w:r>
          </w:p>
        </w:tc>
        <w:tc>
          <w:tcPr>
            <w:tcW w:w="1422" w:type="dxa"/>
          </w:tcPr>
          <w:p w14:paraId="0F73F86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4396.24</w:t>
            </w:r>
          </w:p>
        </w:tc>
        <w:tc>
          <w:tcPr>
            <w:tcW w:w="1204" w:type="dxa"/>
          </w:tcPr>
          <w:p w14:paraId="6F0CCD0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93.24</w:t>
            </w:r>
          </w:p>
        </w:tc>
        <w:tc>
          <w:tcPr>
            <w:tcW w:w="1181" w:type="dxa"/>
          </w:tcPr>
          <w:p w14:paraId="5923327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- 78.00</w:t>
            </w:r>
          </w:p>
        </w:tc>
        <w:tc>
          <w:tcPr>
            <w:tcW w:w="1181" w:type="dxa"/>
          </w:tcPr>
          <w:p w14:paraId="365377F7"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- 1.65</w:t>
            </w:r>
          </w:p>
        </w:tc>
      </w:tr>
      <w:tr w:rsidR="004E5377" w:rsidRPr="00452E78" w14:paraId="5137142A" w14:textId="77777777" w:rsidTr="004D2978">
        <w:tc>
          <w:tcPr>
            <w:tcW w:w="1407" w:type="dxa"/>
          </w:tcPr>
          <w:p w14:paraId="6EE233B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Flooded vegetation</w:t>
            </w:r>
          </w:p>
        </w:tc>
        <w:tc>
          <w:tcPr>
            <w:tcW w:w="1422" w:type="dxa"/>
          </w:tcPr>
          <w:p w14:paraId="76E6822A"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0.25</w:t>
            </w:r>
          </w:p>
        </w:tc>
        <w:tc>
          <w:tcPr>
            <w:tcW w:w="1199" w:type="dxa"/>
          </w:tcPr>
          <w:p w14:paraId="041C762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0.01</w:t>
            </w:r>
          </w:p>
        </w:tc>
        <w:tc>
          <w:tcPr>
            <w:tcW w:w="1422" w:type="dxa"/>
          </w:tcPr>
          <w:p w14:paraId="52EE6BFF"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0.54</w:t>
            </w:r>
          </w:p>
        </w:tc>
        <w:tc>
          <w:tcPr>
            <w:tcW w:w="1204" w:type="dxa"/>
          </w:tcPr>
          <w:p w14:paraId="1FB1F2B3"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0.01</w:t>
            </w:r>
          </w:p>
        </w:tc>
        <w:tc>
          <w:tcPr>
            <w:tcW w:w="1181" w:type="dxa"/>
          </w:tcPr>
          <w:p w14:paraId="08B8876F"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+ 0.29</w:t>
            </w:r>
          </w:p>
          <w:p w14:paraId="2A306EF7" w14:textId="77777777" w:rsidR="004E5377" w:rsidRPr="00452E78" w:rsidRDefault="004E5377" w:rsidP="00F43728">
            <w:pPr>
              <w:spacing w:line="360" w:lineRule="auto"/>
              <w:jc w:val="both"/>
              <w:rPr>
                <w:rFonts w:ascii="Times New Roman" w:hAnsi="Times New Roman" w:cs="Times New Roman"/>
                <w:lang w:val="en-US"/>
              </w:rPr>
            </w:pPr>
          </w:p>
        </w:tc>
        <w:tc>
          <w:tcPr>
            <w:tcW w:w="1181" w:type="dxa"/>
          </w:tcPr>
          <w:p w14:paraId="1F1DB1B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+ 69.05</w:t>
            </w:r>
          </w:p>
        </w:tc>
      </w:tr>
      <w:tr w:rsidR="004E5377" w:rsidRPr="00452E78" w14:paraId="35B980F2" w14:textId="77777777" w:rsidTr="004D2978">
        <w:tc>
          <w:tcPr>
            <w:tcW w:w="1407" w:type="dxa"/>
          </w:tcPr>
          <w:p w14:paraId="490D7DED"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Crops</w:t>
            </w:r>
          </w:p>
        </w:tc>
        <w:tc>
          <w:tcPr>
            <w:tcW w:w="1422" w:type="dxa"/>
          </w:tcPr>
          <w:p w14:paraId="25A4D1C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54.12</w:t>
            </w:r>
          </w:p>
        </w:tc>
        <w:tc>
          <w:tcPr>
            <w:tcW w:w="1199" w:type="dxa"/>
          </w:tcPr>
          <w:p w14:paraId="3F11841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1.15</w:t>
            </w:r>
          </w:p>
        </w:tc>
        <w:tc>
          <w:tcPr>
            <w:tcW w:w="1422" w:type="dxa"/>
          </w:tcPr>
          <w:p w14:paraId="1E05E976"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48.5</w:t>
            </w:r>
          </w:p>
        </w:tc>
        <w:tc>
          <w:tcPr>
            <w:tcW w:w="1204" w:type="dxa"/>
          </w:tcPr>
          <w:p w14:paraId="63DA0BB0"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1.03</w:t>
            </w:r>
          </w:p>
        </w:tc>
        <w:tc>
          <w:tcPr>
            <w:tcW w:w="1181" w:type="dxa"/>
          </w:tcPr>
          <w:p w14:paraId="3EFF452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- 5.62</w:t>
            </w:r>
          </w:p>
          <w:p w14:paraId="620C46A0" w14:textId="77777777" w:rsidR="004E5377" w:rsidRPr="00452E78" w:rsidRDefault="004E5377" w:rsidP="00F43728">
            <w:pPr>
              <w:spacing w:line="360" w:lineRule="auto"/>
              <w:jc w:val="both"/>
              <w:rPr>
                <w:rFonts w:ascii="Times New Roman" w:hAnsi="Times New Roman" w:cs="Times New Roman"/>
                <w:lang w:val="en-US"/>
              </w:rPr>
            </w:pPr>
          </w:p>
        </w:tc>
        <w:tc>
          <w:tcPr>
            <w:tcW w:w="1181" w:type="dxa"/>
          </w:tcPr>
          <w:p w14:paraId="0BFE4C1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- 10.40</w:t>
            </w:r>
          </w:p>
        </w:tc>
      </w:tr>
      <w:tr w:rsidR="004E5377" w:rsidRPr="00452E78" w14:paraId="768F07BC" w14:textId="77777777" w:rsidTr="004D2978">
        <w:tc>
          <w:tcPr>
            <w:tcW w:w="1407" w:type="dxa"/>
          </w:tcPr>
          <w:p w14:paraId="28948A0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Built Areas</w:t>
            </w:r>
          </w:p>
        </w:tc>
        <w:tc>
          <w:tcPr>
            <w:tcW w:w="1422" w:type="dxa"/>
          </w:tcPr>
          <w:p w14:paraId="6580C8C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47.52</w:t>
            </w:r>
          </w:p>
        </w:tc>
        <w:tc>
          <w:tcPr>
            <w:tcW w:w="1199" w:type="dxa"/>
          </w:tcPr>
          <w:p w14:paraId="18A41D2B"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1.01</w:t>
            </w:r>
          </w:p>
        </w:tc>
        <w:tc>
          <w:tcPr>
            <w:tcW w:w="1422" w:type="dxa"/>
          </w:tcPr>
          <w:p w14:paraId="6AFFB30A"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65.01</w:t>
            </w:r>
          </w:p>
        </w:tc>
        <w:tc>
          <w:tcPr>
            <w:tcW w:w="1204" w:type="dxa"/>
          </w:tcPr>
          <w:p w14:paraId="6E847E37"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1.38</w:t>
            </w:r>
          </w:p>
        </w:tc>
        <w:tc>
          <w:tcPr>
            <w:tcW w:w="1181" w:type="dxa"/>
          </w:tcPr>
          <w:p w14:paraId="6BEB0049"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+ 17.49</w:t>
            </w:r>
          </w:p>
          <w:p w14:paraId="3176D78C" w14:textId="77777777" w:rsidR="004E5377" w:rsidRPr="00452E78" w:rsidRDefault="004E5377" w:rsidP="00F43728">
            <w:pPr>
              <w:spacing w:line="360" w:lineRule="auto"/>
              <w:jc w:val="both"/>
              <w:rPr>
                <w:rFonts w:ascii="Times New Roman" w:hAnsi="Times New Roman" w:cs="Times New Roman"/>
                <w:lang w:val="en-US"/>
              </w:rPr>
            </w:pPr>
          </w:p>
        </w:tc>
        <w:tc>
          <w:tcPr>
            <w:tcW w:w="1181" w:type="dxa"/>
          </w:tcPr>
          <w:p w14:paraId="3737E66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+ 36.80</w:t>
            </w:r>
          </w:p>
        </w:tc>
      </w:tr>
      <w:tr w:rsidR="004E5377" w:rsidRPr="00452E78" w14:paraId="3094146B" w14:textId="77777777" w:rsidTr="004D2978">
        <w:tc>
          <w:tcPr>
            <w:tcW w:w="1407" w:type="dxa"/>
          </w:tcPr>
          <w:p w14:paraId="68289CF9"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Bare Ground</w:t>
            </w:r>
          </w:p>
        </w:tc>
        <w:tc>
          <w:tcPr>
            <w:tcW w:w="1422" w:type="dxa"/>
          </w:tcPr>
          <w:p w14:paraId="791AE906"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0.09</w:t>
            </w:r>
          </w:p>
        </w:tc>
        <w:tc>
          <w:tcPr>
            <w:tcW w:w="1199" w:type="dxa"/>
          </w:tcPr>
          <w:p w14:paraId="186A92F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w:t>
            </w:r>
          </w:p>
        </w:tc>
        <w:tc>
          <w:tcPr>
            <w:tcW w:w="1422" w:type="dxa"/>
          </w:tcPr>
          <w:p w14:paraId="4B945336"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0.06</w:t>
            </w:r>
          </w:p>
        </w:tc>
        <w:tc>
          <w:tcPr>
            <w:tcW w:w="1204" w:type="dxa"/>
          </w:tcPr>
          <w:p w14:paraId="14491DC7"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w:t>
            </w:r>
          </w:p>
        </w:tc>
        <w:tc>
          <w:tcPr>
            <w:tcW w:w="1181" w:type="dxa"/>
          </w:tcPr>
          <w:p w14:paraId="540828FE" w14:textId="77777777" w:rsidR="004E5377" w:rsidRPr="00452E78" w:rsidRDefault="004E5377" w:rsidP="00F43728">
            <w:pPr>
              <w:pStyle w:val="ListParagraph"/>
              <w:spacing w:line="360" w:lineRule="auto"/>
              <w:jc w:val="both"/>
              <w:rPr>
                <w:rFonts w:ascii="Times New Roman" w:hAnsi="Times New Roman" w:cs="Times New Roman"/>
                <w:lang w:val="en-US"/>
              </w:rPr>
            </w:pPr>
          </w:p>
          <w:p w14:paraId="58197FF9"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- 0.03</w:t>
            </w:r>
          </w:p>
        </w:tc>
        <w:tc>
          <w:tcPr>
            <w:tcW w:w="1181" w:type="dxa"/>
          </w:tcPr>
          <w:p w14:paraId="654F5C4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- 33.33</w:t>
            </w:r>
          </w:p>
        </w:tc>
      </w:tr>
      <w:tr w:rsidR="004E5377" w:rsidRPr="00452E78" w14:paraId="76B7F1DD" w14:textId="77777777" w:rsidTr="004D2978">
        <w:tc>
          <w:tcPr>
            <w:tcW w:w="1407" w:type="dxa"/>
          </w:tcPr>
          <w:p w14:paraId="3BE013A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Range land</w:t>
            </w:r>
          </w:p>
        </w:tc>
        <w:tc>
          <w:tcPr>
            <w:tcW w:w="1422" w:type="dxa"/>
          </w:tcPr>
          <w:p w14:paraId="1E5FC6A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117.29</w:t>
            </w:r>
          </w:p>
        </w:tc>
        <w:tc>
          <w:tcPr>
            <w:tcW w:w="1199" w:type="dxa"/>
          </w:tcPr>
          <w:p w14:paraId="5B543F8B"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2.49</w:t>
            </w:r>
          </w:p>
        </w:tc>
        <w:tc>
          <w:tcPr>
            <w:tcW w:w="1422" w:type="dxa"/>
          </w:tcPr>
          <w:p w14:paraId="4A1699A7"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184.52</w:t>
            </w:r>
          </w:p>
        </w:tc>
        <w:tc>
          <w:tcPr>
            <w:tcW w:w="1204" w:type="dxa"/>
          </w:tcPr>
          <w:p w14:paraId="6011738F"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3.91</w:t>
            </w:r>
          </w:p>
        </w:tc>
        <w:tc>
          <w:tcPr>
            <w:tcW w:w="1181" w:type="dxa"/>
          </w:tcPr>
          <w:p w14:paraId="188B1143"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+ 67</w:t>
            </w:r>
          </w:p>
        </w:tc>
        <w:tc>
          <w:tcPr>
            <w:tcW w:w="1181" w:type="dxa"/>
          </w:tcPr>
          <w:p w14:paraId="2A2208CA"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+ 57.30</w:t>
            </w:r>
          </w:p>
        </w:tc>
      </w:tr>
      <w:tr w:rsidR="004E5377" w:rsidRPr="00452E78" w14:paraId="25813A37" w14:textId="77777777" w:rsidTr="004D2978">
        <w:tc>
          <w:tcPr>
            <w:tcW w:w="1407" w:type="dxa"/>
          </w:tcPr>
          <w:p w14:paraId="09C6AC3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Total</w:t>
            </w:r>
          </w:p>
        </w:tc>
        <w:tc>
          <w:tcPr>
            <w:tcW w:w="1422" w:type="dxa"/>
          </w:tcPr>
          <w:p w14:paraId="25CA6ADE" w14:textId="77777777" w:rsidR="004E5377" w:rsidRPr="00452E78" w:rsidRDefault="004E5377" w:rsidP="00F43728">
            <w:pPr>
              <w:spacing w:line="360" w:lineRule="auto"/>
              <w:jc w:val="both"/>
              <w:rPr>
                <w:rFonts w:ascii="Times New Roman" w:hAnsi="Times New Roman" w:cs="Times New Roman"/>
                <w:lang w:val="en-US"/>
              </w:rPr>
            </w:pPr>
          </w:p>
        </w:tc>
        <w:tc>
          <w:tcPr>
            <w:tcW w:w="1199" w:type="dxa"/>
          </w:tcPr>
          <w:p w14:paraId="61727DCB" w14:textId="77777777" w:rsidR="004E5377" w:rsidRPr="00452E78" w:rsidRDefault="004E5377" w:rsidP="00F43728">
            <w:pPr>
              <w:spacing w:line="360" w:lineRule="auto"/>
              <w:jc w:val="both"/>
              <w:rPr>
                <w:rFonts w:ascii="Times New Roman" w:hAnsi="Times New Roman" w:cs="Times New Roman"/>
                <w:lang w:val="en-US"/>
              </w:rPr>
            </w:pPr>
          </w:p>
        </w:tc>
        <w:tc>
          <w:tcPr>
            <w:tcW w:w="1422" w:type="dxa"/>
          </w:tcPr>
          <w:p w14:paraId="0050C8F7" w14:textId="77777777" w:rsidR="004E5377" w:rsidRPr="00452E78" w:rsidRDefault="004E5377" w:rsidP="00F43728">
            <w:pPr>
              <w:spacing w:line="360" w:lineRule="auto"/>
              <w:jc w:val="both"/>
              <w:rPr>
                <w:rFonts w:ascii="Times New Roman" w:hAnsi="Times New Roman" w:cs="Times New Roman"/>
                <w:lang w:val="en-US"/>
              </w:rPr>
            </w:pPr>
          </w:p>
        </w:tc>
        <w:tc>
          <w:tcPr>
            <w:tcW w:w="1204" w:type="dxa"/>
          </w:tcPr>
          <w:p w14:paraId="363A54A4" w14:textId="77777777" w:rsidR="004E5377" w:rsidRPr="00452E78" w:rsidRDefault="004E5377" w:rsidP="00F43728">
            <w:pPr>
              <w:spacing w:line="360" w:lineRule="auto"/>
              <w:jc w:val="both"/>
              <w:rPr>
                <w:rFonts w:ascii="Times New Roman" w:hAnsi="Times New Roman" w:cs="Times New Roman"/>
                <w:lang w:val="en-US"/>
              </w:rPr>
            </w:pPr>
          </w:p>
        </w:tc>
        <w:tc>
          <w:tcPr>
            <w:tcW w:w="1181" w:type="dxa"/>
          </w:tcPr>
          <w:p w14:paraId="76CDF829"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0.00</w:t>
            </w:r>
          </w:p>
        </w:tc>
        <w:tc>
          <w:tcPr>
            <w:tcW w:w="1181" w:type="dxa"/>
          </w:tcPr>
          <w:p w14:paraId="56B62A4A" w14:textId="77777777" w:rsidR="004E5377" w:rsidRPr="00452E78" w:rsidRDefault="004E5377" w:rsidP="00F43728">
            <w:pPr>
              <w:spacing w:line="360" w:lineRule="auto"/>
              <w:jc w:val="both"/>
              <w:rPr>
                <w:rFonts w:ascii="Times New Roman" w:hAnsi="Times New Roman" w:cs="Times New Roman"/>
                <w:lang w:val="en-US"/>
              </w:rPr>
            </w:pPr>
          </w:p>
        </w:tc>
      </w:tr>
    </w:tbl>
    <w:p w14:paraId="31E7E8EB" w14:textId="77777777" w:rsidR="004E5377" w:rsidRPr="00452E78" w:rsidRDefault="004E5377" w:rsidP="00F43728">
      <w:pPr>
        <w:spacing w:after="0" w:line="360" w:lineRule="auto"/>
        <w:jc w:val="both"/>
        <w:rPr>
          <w:rFonts w:ascii="Times New Roman" w:hAnsi="Times New Roman" w:cs="Times New Roman"/>
        </w:rPr>
      </w:pPr>
    </w:p>
    <w:p w14:paraId="28DF5BC2" w14:textId="00543F2A" w:rsidR="004E5377" w:rsidRPr="00452E78" w:rsidRDefault="004E5377" w:rsidP="00F43728">
      <w:pPr>
        <w:spacing w:after="0" w:line="360" w:lineRule="auto"/>
        <w:jc w:val="both"/>
        <w:rPr>
          <w:rFonts w:ascii="Times New Roman" w:hAnsi="Times New Roman" w:cs="Times New Roman"/>
        </w:rPr>
      </w:pPr>
      <w:r w:rsidRPr="00452E78">
        <w:rPr>
          <w:rFonts w:ascii="Times New Roman" w:hAnsi="Times New Roman" w:cs="Times New Roman"/>
        </w:rPr>
        <w:lastRenderedPageBreak/>
        <w:t xml:space="preserve">Table </w:t>
      </w:r>
      <w:r w:rsidR="00052308">
        <w:rPr>
          <w:rFonts w:ascii="Times New Roman" w:hAnsi="Times New Roman" w:cs="Times New Roman"/>
        </w:rPr>
        <w:t>3</w:t>
      </w:r>
      <w:r w:rsidRPr="00452E78">
        <w:rPr>
          <w:rFonts w:ascii="Times New Roman" w:hAnsi="Times New Roman" w:cs="Times New Roman"/>
        </w:rPr>
        <w:t>: Accuracy Assessment</w:t>
      </w:r>
    </w:p>
    <w:tbl>
      <w:tblPr>
        <w:tblStyle w:val="TableGrid"/>
        <w:tblW w:w="0" w:type="auto"/>
        <w:tblLook w:val="04A0" w:firstRow="1" w:lastRow="0" w:firstColumn="1" w:lastColumn="0" w:noHBand="0" w:noVBand="1"/>
      </w:tblPr>
      <w:tblGrid>
        <w:gridCol w:w="1803"/>
        <w:gridCol w:w="1803"/>
        <w:gridCol w:w="1803"/>
        <w:gridCol w:w="1803"/>
        <w:gridCol w:w="1804"/>
      </w:tblGrid>
      <w:tr w:rsidR="004E5377" w:rsidRPr="00452E78" w14:paraId="0EAD7855" w14:textId="77777777" w:rsidTr="004D2978">
        <w:tc>
          <w:tcPr>
            <w:tcW w:w="1803" w:type="dxa"/>
            <w:vMerge w:val="restart"/>
          </w:tcPr>
          <w:p w14:paraId="1BCFF9E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LULC Classes</w:t>
            </w:r>
          </w:p>
        </w:tc>
        <w:tc>
          <w:tcPr>
            <w:tcW w:w="3606" w:type="dxa"/>
            <w:gridSpan w:val="2"/>
          </w:tcPr>
          <w:p w14:paraId="14B2868F"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2017</w:t>
            </w:r>
          </w:p>
        </w:tc>
        <w:tc>
          <w:tcPr>
            <w:tcW w:w="3607" w:type="dxa"/>
            <w:gridSpan w:val="2"/>
          </w:tcPr>
          <w:p w14:paraId="1FE0D08D"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2024</w:t>
            </w:r>
          </w:p>
        </w:tc>
      </w:tr>
      <w:tr w:rsidR="004E5377" w:rsidRPr="00452E78" w14:paraId="68CEF631" w14:textId="77777777" w:rsidTr="004D2978">
        <w:tc>
          <w:tcPr>
            <w:tcW w:w="1803" w:type="dxa"/>
            <w:vMerge/>
          </w:tcPr>
          <w:p w14:paraId="2FEE16D1" w14:textId="77777777" w:rsidR="004E5377" w:rsidRPr="00452E78" w:rsidRDefault="004E5377" w:rsidP="00F43728">
            <w:pPr>
              <w:spacing w:line="360" w:lineRule="auto"/>
              <w:jc w:val="both"/>
              <w:rPr>
                <w:rFonts w:ascii="Times New Roman" w:hAnsi="Times New Roman" w:cs="Times New Roman"/>
                <w:lang w:val="en-US"/>
              </w:rPr>
            </w:pPr>
          </w:p>
        </w:tc>
        <w:tc>
          <w:tcPr>
            <w:tcW w:w="1803" w:type="dxa"/>
          </w:tcPr>
          <w:p w14:paraId="5BEE23C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User (%)</w:t>
            </w:r>
          </w:p>
        </w:tc>
        <w:tc>
          <w:tcPr>
            <w:tcW w:w="1803" w:type="dxa"/>
          </w:tcPr>
          <w:p w14:paraId="59DF203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Producer (%)</w:t>
            </w:r>
          </w:p>
        </w:tc>
        <w:tc>
          <w:tcPr>
            <w:tcW w:w="1803" w:type="dxa"/>
          </w:tcPr>
          <w:p w14:paraId="5FE3F483"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User (%)</w:t>
            </w:r>
          </w:p>
        </w:tc>
        <w:tc>
          <w:tcPr>
            <w:tcW w:w="1804" w:type="dxa"/>
          </w:tcPr>
          <w:p w14:paraId="47281C3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Producer (%)</w:t>
            </w:r>
          </w:p>
        </w:tc>
      </w:tr>
      <w:tr w:rsidR="004E5377" w:rsidRPr="00452E78" w14:paraId="4B4BA7BC" w14:textId="77777777" w:rsidTr="004D2978">
        <w:tc>
          <w:tcPr>
            <w:tcW w:w="1803" w:type="dxa"/>
          </w:tcPr>
          <w:p w14:paraId="66C7A6F1"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Water</w:t>
            </w:r>
          </w:p>
        </w:tc>
        <w:tc>
          <w:tcPr>
            <w:tcW w:w="1803" w:type="dxa"/>
          </w:tcPr>
          <w:p w14:paraId="145C500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3" w:type="dxa"/>
          </w:tcPr>
          <w:p w14:paraId="34770CA3"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3" w:type="dxa"/>
          </w:tcPr>
          <w:p w14:paraId="562C98DD"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4" w:type="dxa"/>
          </w:tcPr>
          <w:p w14:paraId="07F1335A"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r>
      <w:tr w:rsidR="004E5377" w:rsidRPr="00452E78" w14:paraId="3A350BBA" w14:textId="77777777" w:rsidTr="004D2978">
        <w:tc>
          <w:tcPr>
            <w:tcW w:w="1803" w:type="dxa"/>
          </w:tcPr>
          <w:p w14:paraId="306EBF4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Trees</w:t>
            </w:r>
          </w:p>
        </w:tc>
        <w:tc>
          <w:tcPr>
            <w:tcW w:w="1803" w:type="dxa"/>
          </w:tcPr>
          <w:p w14:paraId="23ADA4F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3" w:type="dxa"/>
          </w:tcPr>
          <w:p w14:paraId="579DA5B0"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81.25</w:t>
            </w:r>
          </w:p>
        </w:tc>
        <w:tc>
          <w:tcPr>
            <w:tcW w:w="1803" w:type="dxa"/>
          </w:tcPr>
          <w:p w14:paraId="55EA3F9B"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88.89</w:t>
            </w:r>
          </w:p>
        </w:tc>
        <w:tc>
          <w:tcPr>
            <w:tcW w:w="1804" w:type="dxa"/>
          </w:tcPr>
          <w:p w14:paraId="1697020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r>
      <w:tr w:rsidR="004E5377" w:rsidRPr="00452E78" w14:paraId="77781F5F" w14:textId="77777777" w:rsidTr="004D2978">
        <w:tc>
          <w:tcPr>
            <w:tcW w:w="1803" w:type="dxa"/>
          </w:tcPr>
          <w:p w14:paraId="200FA1D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Flooded vegetation</w:t>
            </w:r>
          </w:p>
        </w:tc>
        <w:tc>
          <w:tcPr>
            <w:tcW w:w="1803" w:type="dxa"/>
          </w:tcPr>
          <w:p w14:paraId="12C12CBF"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w:t>
            </w:r>
          </w:p>
        </w:tc>
        <w:tc>
          <w:tcPr>
            <w:tcW w:w="1803" w:type="dxa"/>
          </w:tcPr>
          <w:p w14:paraId="17DE5B3A" w14:textId="77777777" w:rsidR="004E5377" w:rsidRPr="00452E78" w:rsidRDefault="004E5377" w:rsidP="00F43728">
            <w:pPr>
              <w:spacing w:line="360" w:lineRule="auto"/>
              <w:jc w:val="both"/>
              <w:rPr>
                <w:rFonts w:ascii="Times New Roman" w:hAnsi="Times New Roman" w:cs="Times New Roman"/>
                <w:lang w:val="en-US"/>
              </w:rPr>
            </w:pPr>
          </w:p>
        </w:tc>
        <w:tc>
          <w:tcPr>
            <w:tcW w:w="1803" w:type="dxa"/>
          </w:tcPr>
          <w:p w14:paraId="485E909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4" w:type="dxa"/>
          </w:tcPr>
          <w:p w14:paraId="6EDEE15A"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r>
      <w:tr w:rsidR="004E5377" w:rsidRPr="00452E78" w14:paraId="7E71D32C" w14:textId="77777777" w:rsidTr="004D2978">
        <w:tc>
          <w:tcPr>
            <w:tcW w:w="1803" w:type="dxa"/>
          </w:tcPr>
          <w:p w14:paraId="56586C1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Crops</w:t>
            </w:r>
          </w:p>
        </w:tc>
        <w:tc>
          <w:tcPr>
            <w:tcW w:w="1803" w:type="dxa"/>
          </w:tcPr>
          <w:p w14:paraId="1937431D"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66.67</w:t>
            </w:r>
          </w:p>
        </w:tc>
        <w:tc>
          <w:tcPr>
            <w:tcW w:w="1803" w:type="dxa"/>
          </w:tcPr>
          <w:p w14:paraId="78166F1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80</w:t>
            </w:r>
          </w:p>
        </w:tc>
        <w:tc>
          <w:tcPr>
            <w:tcW w:w="1803" w:type="dxa"/>
          </w:tcPr>
          <w:p w14:paraId="0FB006F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85.71</w:t>
            </w:r>
          </w:p>
        </w:tc>
        <w:tc>
          <w:tcPr>
            <w:tcW w:w="1804" w:type="dxa"/>
          </w:tcPr>
          <w:p w14:paraId="6F0719B3"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r>
      <w:tr w:rsidR="004E5377" w:rsidRPr="00452E78" w14:paraId="3D3C67FD" w14:textId="77777777" w:rsidTr="004D2978">
        <w:tc>
          <w:tcPr>
            <w:tcW w:w="1803" w:type="dxa"/>
          </w:tcPr>
          <w:p w14:paraId="6FBF359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Built Areas</w:t>
            </w:r>
          </w:p>
        </w:tc>
        <w:tc>
          <w:tcPr>
            <w:tcW w:w="1803" w:type="dxa"/>
          </w:tcPr>
          <w:p w14:paraId="1577F6B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3" w:type="dxa"/>
          </w:tcPr>
          <w:p w14:paraId="36418781"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80</w:t>
            </w:r>
          </w:p>
        </w:tc>
        <w:tc>
          <w:tcPr>
            <w:tcW w:w="1803" w:type="dxa"/>
          </w:tcPr>
          <w:p w14:paraId="0AF82759"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4" w:type="dxa"/>
          </w:tcPr>
          <w:p w14:paraId="6D0A3FBF"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r>
      <w:tr w:rsidR="004E5377" w:rsidRPr="00452E78" w14:paraId="4F830229" w14:textId="77777777" w:rsidTr="004D2978">
        <w:tc>
          <w:tcPr>
            <w:tcW w:w="1803" w:type="dxa"/>
          </w:tcPr>
          <w:p w14:paraId="516E3A70"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Range land</w:t>
            </w:r>
          </w:p>
        </w:tc>
        <w:tc>
          <w:tcPr>
            <w:tcW w:w="1803" w:type="dxa"/>
          </w:tcPr>
          <w:p w14:paraId="0CC4B940"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40</w:t>
            </w:r>
          </w:p>
        </w:tc>
        <w:tc>
          <w:tcPr>
            <w:tcW w:w="1803" w:type="dxa"/>
          </w:tcPr>
          <w:p w14:paraId="72038891"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3" w:type="dxa"/>
          </w:tcPr>
          <w:p w14:paraId="0C9B04F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4" w:type="dxa"/>
          </w:tcPr>
          <w:p w14:paraId="321AF703"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71.43</w:t>
            </w:r>
          </w:p>
        </w:tc>
      </w:tr>
      <w:tr w:rsidR="004E5377" w:rsidRPr="00452E78" w14:paraId="08DDC298" w14:textId="77777777" w:rsidTr="004D2978">
        <w:tc>
          <w:tcPr>
            <w:tcW w:w="1803" w:type="dxa"/>
          </w:tcPr>
          <w:p w14:paraId="6FF6B117"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Total Accuracy</w:t>
            </w:r>
          </w:p>
        </w:tc>
        <w:tc>
          <w:tcPr>
            <w:tcW w:w="3606" w:type="dxa"/>
            <w:gridSpan w:val="2"/>
          </w:tcPr>
          <w:p w14:paraId="65F4A32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83.33</w:t>
            </w:r>
          </w:p>
        </w:tc>
        <w:tc>
          <w:tcPr>
            <w:tcW w:w="3607" w:type="dxa"/>
            <w:gridSpan w:val="2"/>
          </w:tcPr>
          <w:p w14:paraId="752433A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93.33</w:t>
            </w:r>
          </w:p>
        </w:tc>
      </w:tr>
      <w:tr w:rsidR="004E5377" w:rsidRPr="00452E78" w14:paraId="44891314" w14:textId="77777777" w:rsidTr="004D2978">
        <w:tc>
          <w:tcPr>
            <w:tcW w:w="1803" w:type="dxa"/>
          </w:tcPr>
          <w:p w14:paraId="3E7EF4B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Kappa Coefficient</w:t>
            </w:r>
          </w:p>
        </w:tc>
        <w:tc>
          <w:tcPr>
            <w:tcW w:w="3606" w:type="dxa"/>
            <w:gridSpan w:val="2"/>
          </w:tcPr>
          <w:p w14:paraId="277E2256"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75.84</w:t>
            </w:r>
          </w:p>
        </w:tc>
        <w:tc>
          <w:tcPr>
            <w:tcW w:w="3607" w:type="dxa"/>
            <w:gridSpan w:val="2"/>
          </w:tcPr>
          <w:p w14:paraId="2CF816A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91.92</w:t>
            </w:r>
          </w:p>
        </w:tc>
      </w:tr>
    </w:tbl>
    <w:p w14:paraId="70F742B3" w14:textId="77777777" w:rsidR="004E5377" w:rsidRPr="00452E78" w:rsidRDefault="004E5377" w:rsidP="00F43728">
      <w:pPr>
        <w:spacing w:line="360" w:lineRule="auto"/>
        <w:jc w:val="both"/>
        <w:rPr>
          <w:rFonts w:ascii="Times New Roman" w:hAnsi="Times New Roman" w:cs="Times New Roman"/>
        </w:rPr>
      </w:pPr>
    </w:p>
    <w:p w14:paraId="341551AD" w14:textId="77777777" w:rsidR="007655F0" w:rsidRPr="00452E78" w:rsidRDefault="007655F0" w:rsidP="00F43728">
      <w:pPr>
        <w:spacing w:line="360" w:lineRule="auto"/>
        <w:jc w:val="both"/>
        <w:rPr>
          <w:rFonts w:ascii="Times New Roman" w:hAnsi="Times New Roman" w:cs="Times New Roman"/>
          <w:b/>
          <w:bCs/>
        </w:rPr>
      </w:pPr>
      <w:r w:rsidRPr="00452E78">
        <w:rPr>
          <w:rFonts w:ascii="Times New Roman" w:hAnsi="Times New Roman" w:cs="Times New Roman"/>
          <w:b/>
          <w:bCs/>
        </w:rPr>
        <w:t>4.2 Quantitative analysis of land transformation</w:t>
      </w:r>
    </w:p>
    <w:p w14:paraId="30EB1A70" w14:textId="77777777" w:rsidR="007655F0" w:rsidRPr="00452E78" w:rsidRDefault="007655F0"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a) Forest cover dynamics</w:t>
      </w:r>
    </w:p>
    <w:p w14:paraId="46620431" w14:textId="6EF655E0" w:rsidR="007655F0" w:rsidRPr="00452E78" w:rsidRDefault="007655F0" w:rsidP="00F43728">
      <w:pPr>
        <w:spacing w:line="360" w:lineRule="auto"/>
        <w:jc w:val="both"/>
        <w:rPr>
          <w:rFonts w:ascii="Times New Roman" w:hAnsi="Times New Roman" w:cs="Times New Roman"/>
        </w:rPr>
      </w:pPr>
      <w:r w:rsidRPr="00452E78">
        <w:rPr>
          <w:rFonts w:ascii="Times New Roman" w:hAnsi="Times New Roman" w:cs="Times New Roman"/>
        </w:rPr>
        <w:t xml:space="preserve">Forest remains the most dominant land cover in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but the analysis revealed a gradual decline over the study period. Between 2017 and 2024, forest area decreased from 4,474.24 km² (94.89%) to 4,396.24 km² (93.24%). This indicates a net loss of 78 km², as shown in Figure </w:t>
      </w:r>
      <w:r w:rsidR="00901E9E" w:rsidRPr="00452E78">
        <w:rPr>
          <w:rFonts w:ascii="Times New Roman" w:hAnsi="Times New Roman" w:cs="Times New Roman"/>
        </w:rPr>
        <w:t>4</w:t>
      </w:r>
      <w:r w:rsidRPr="00452E78">
        <w:rPr>
          <w:rFonts w:ascii="Times New Roman" w:hAnsi="Times New Roman" w:cs="Times New Roman"/>
        </w:rPr>
        <w:t>. This translates to an estimated annual deforestation rate of 11.14 km², or about 0.25% per year. This rate is slightly higher than India’s national average of 0.15 - 0.20%, as reported by Reddy et al. (20</w:t>
      </w:r>
      <w:r w:rsidR="0016362F" w:rsidRPr="00452E78">
        <w:rPr>
          <w:rFonts w:ascii="Times New Roman" w:hAnsi="Times New Roman" w:cs="Times New Roman"/>
        </w:rPr>
        <w:t>15</w:t>
      </w:r>
      <w:r w:rsidRPr="00452E78">
        <w:rPr>
          <w:rFonts w:ascii="Times New Roman" w:hAnsi="Times New Roman" w:cs="Times New Roman"/>
        </w:rPr>
        <w:t>). The observed forest loss matches regional deforestation patterns across Northeast India. Fragmentation is often linked to shifting cultivation, settlement expansion, and resource extraction (Rathore et al., 201</w:t>
      </w:r>
      <w:r w:rsidR="0016362F" w:rsidRPr="00452E78">
        <w:rPr>
          <w:rFonts w:ascii="Times New Roman" w:hAnsi="Times New Roman" w:cs="Times New Roman"/>
        </w:rPr>
        <w:t>2</w:t>
      </w:r>
      <w:r w:rsidRPr="00452E78">
        <w:rPr>
          <w:rFonts w:ascii="Times New Roman" w:hAnsi="Times New Roman" w:cs="Times New Roman"/>
        </w:rPr>
        <w:t>). The pattern of deforestation tends to follow accessibility gradients, meaning forests close to roads and populated areas are more likely to be converted.</w:t>
      </w:r>
    </w:p>
    <w:p w14:paraId="06A48164" w14:textId="77777777" w:rsidR="0080597D" w:rsidRPr="00452E78" w:rsidRDefault="0080597D" w:rsidP="00F43728">
      <w:pPr>
        <w:spacing w:line="360" w:lineRule="auto"/>
        <w:jc w:val="both"/>
        <w:rPr>
          <w:rFonts w:ascii="Times New Roman" w:hAnsi="Times New Roman" w:cs="Times New Roman"/>
        </w:rPr>
      </w:pPr>
    </w:p>
    <w:p w14:paraId="60737EBD" w14:textId="77777777" w:rsidR="0080597D" w:rsidRPr="00452E78" w:rsidRDefault="0080597D" w:rsidP="0080597D">
      <w:pPr>
        <w:rPr>
          <w:rFonts w:ascii="Times New Roman" w:hAnsi="Times New Roman" w:cs="Times New Roman"/>
          <w:noProof/>
        </w:rPr>
      </w:pPr>
      <w:commentRangeStart w:id="2"/>
      <w:r w:rsidRPr="00452E78">
        <w:rPr>
          <w:rFonts w:ascii="Times New Roman" w:hAnsi="Times New Roman" w:cs="Times New Roman"/>
          <w:noProof/>
        </w:rPr>
        <w:lastRenderedPageBreak/>
        <w:drawing>
          <wp:inline distT="0" distB="0" distL="0" distR="0" wp14:anchorId="22D34964" wp14:editId="1EB345F7">
            <wp:extent cx="5273675" cy="2970530"/>
            <wp:effectExtent l="0" t="0" r="3175" b="1270"/>
            <wp:docPr id="17681319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3675" cy="2970530"/>
                    </a:xfrm>
                    <a:prstGeom prst="rect">
                      <a:avLst/>
                    </a:prstGeom>
                    <a:noFill/>
                    <a:ln>
                      <a:noFill/>
                    </a:ln>
                  </pic:spPr>
                </pic:pic>
              </a:graphicData>
            </a:graphic>
          </wp:inline>
        </w:drawing>
      </w:r>
      <w:commentRangeEnd w:id="2"/>
      <w:r w:rsidR="00EB0C6A">
        <w:rPr>
          <w:rStyle w:val="CommentReference"/>
        </w:rPr>
        <w:commentReference w:id="2"/>
      </w:r>
    </w:p>
    <w:p w14:paraId="49D20F45" w14:textId="77777777" w:rsidR="0080597D" w:rsidRPr="00452E78" w:rsidRDefault="0080597D" w:rsidP="0080597D">
      <w:pPr>
        <w:rPr>
          <w:rFonts w:ascii="Times New Roman" w:hAnsi="Times New Roman" w:cs="Times New Roman"/>
          <w:noProof/>
        </w:rPr>
      </w:pPr>
    </w:p>
    <w:p w14:paraId="1AA0B883" w14:textId="77777777" w:rsidR="0080597D" w:rsidRPr="00452E78" w:rsidRDefault="0080597D" w:rsidP="0080597D">
      <w:pPr>
        <w:rPr>
          <w:rFonts w:ascii="Times New Roman" w:hAnsi="Times New Roman" w:cs="Times New Roman"/>
        </w:rPr>
      </w:pPr>
      <w:r w:rsidRPr="00452E78">
        <w:rPr>
          <w:rFonts w:ascii="Times New Roman" w:hAnsi="Times New Roman" w:cs="Times New Roman"/>
        </w:rPr>
        <w:t>Figure 4: Net and percentage change in major LULC classes during the study period (2017-2024).</w:t>
      </w:r>
    </w:p>
    <w:p w14:paraId="0445AE64" w14:textId="77777777" w:rsidR="0080597D" w:rsidRPr="00452E78" w:rsidRDefault="0080597D" w:rsidP="00F43728">
      <w:pPr>
        <w:spacing w:line="360" w:lineRule="auto"/>
        <w:jc w:val="both"/>
        <w:rPr>
          <w:rFonts w:ascii="Times New Roman" w:hAnsi="Times New Roman" w:cs="Times New Roman"/>
        </w:rPr>
      </w:pPr>
    </w:p>
    <w:p w14:paraId="3947ACE9" w14:textId="77777777" w:rsidR="007655F0" w:rsidRPr="00452E78" w:rsidRDefault="007655F0"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b) Rangeland expansion</w:t>
      </w:r>
    </w:p>
    <w:p w14:paraId="0DC129B5" w14:textId="1D2D39F1" w:rsidR="007655F0" w:rsidRPr="00452E78" w:rsidRDefault="007655F0" w:rsidP="00F43728">
      <w:pPr>
        <w:spacing w:line="360" w:lineRule="auto"/>
        <w:jc w:val="both"/>
        <w:rPr>
          <w:rFonts w:ascii="Times New Roman" w:hAnsi="Times New Roman" w:cs="Times New Roman"/>
        </w:rPr>
      </w:pPr>
      <w:r w:rsidRPr="00452E78">
        <w:rPr>
          <w:rFonts w:ascii="Times New Roman" w:hAnsi="Times New Roman" w:cs="Times New Roman"/>
        </w:rPr>
        <w:t>Rangeland showed the most significant growth among all land cover categories. The area expanded from 117.29 km² (2.49%) in 2017 to 184.52 km² (3.91%) in 2024. This is a 57.3% increase, equivalent to +67.23 km². This change accounts for roughly 86% of the total forest loss, indicating that the conversion of forest to rangeland was the main cause of deforestation in the district. The significant increase in rangeland can be traced back to locations where jhum was cultivated before the study period. These abandoned jhum fields eventually turned into open grass- and shrub-dominated landscapes as soil fertility declined and forest regrowth slowed. This pattern shows a broader shift in land management techniques, with communities relying more on livestock-based economies. Such changes align with larger trends in Northeast India, where shifting economic opportunities and climate challenges have led to alterations in traditional farming systems (Behera et al., 201</w:t>
      </w:r>
      <w:r w:rsidR="0016362F" w:rsidRPr="00452E78">
        <w:rPr>
          <w:rFonts w:ascii="Times New Roman" w:hAnsi="Times New Roman" w:cs="Times New Roman"/>
        </w:rPr>
        <w:t>7</w:t>
      </w:r>
      <w:r w:rsidRPr="00452E78">
        <w:rPr>
          <w:rFonts w:ascii="Times New Roman" w:hAnsi="Times New Roman" w:cs="Times New Roman"/>
        </w:rPr>
        <w:t>).</w:t>
      </w:r>
    </w:p>
    <w:p w14:paraId="4669CE09" w14:textId="77777777" w:rsidR="007655F0" w:rsidRPr="00452E78" w:rsidRDefault="007655F0"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c) Built-up area expansion</w:t>
      </w:r>
    </w:p>
    <w:p w14:paraId="6411FB78" w14:textId="72232E95" w:rsidR="007655F0" w:rsidRPr="00452E78" w:rsidRDefault="007655F0" w:rsidP="00F43728">
      <w:pPr>
        <w:spacing w:line="360" w:lineRule="auto"/>
        <w:jc w:val="both"/>
        <w:rPr>
          <w:rFonts w:ascii="Times New Roman" w:hAnsi="Times New Roman" w:cs="Times New Roman"/>
        </w:rPr>
      </w:pPr>
      <w:r w:rsidRPr="00452E78">
        <w:rPr>
          <w:rFonts w:ascii="Times New Roman" w:hAnsi="Times New Roman" w:cs="Times New Roman"/>
        </w:rPr>
        <w:t>Built-up or urban areas noticeably expanded during the study period. The extent increased from 47.52 km² (1.01%) in 2017 to 65.01 km² (1.38%) in 2024, marking a 36.8% rise (+17.49 km²). The rate of expansion exceeds the average population growth of 1 - 2% per year, suggesting that this growth is driven not only by population increases but also by infrastructure development and changes in where people settle (Kumar et al., 20</w:t>
      </w:r>
      <w:r w:rsidR="0016362F" w:rsidRPr="00452E78">
        <w:rPr>
          <w:rFonts w:ascii="Times New Roman" w:hAnsi="Times New Roman" w:cs="Times New Roman"/>
        </w:rPr>
        <w:t>13</w:t>
      </w:r>
      <w:r w:rsidRPr="00452E78">
        <w:rPr>
          <w:rFonts w:ascii="Times New Roman" w:hAnsi="Times New Roman" w:cs="Times New Roman"/>
        </w:rPr>
        <w:t xml:space="preserve">). Urban growth in the district likely involved both concentric expansion around existing towns and linear spread along major roads. This type of land change is </w:t>
      </w:r>
      <w:r w:rsidRPr="00452E78">
        <w:rPr>
          <w:rFonts w:ascii="Times New Roman" w:hAnsi="Times New Roman" w:cs="Times New Roman"/>
        </w:rPr>
        <w:lastRenderedPageBreak/>
        <w:t>usually irreversible and can have long-term effects on ecosystems, agriculture, and resource management.</w:t>
      </w:r>
    </w:p>
    <w:p w14:paraId="20E92062" w14:textId="77777777" w:rsidR="007655F0" w:rsidRPr="00452E78" w:rsidRDefault="007655F0"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d) Agricultural land changes</w:t>
      </w:r>
    </w:p>
    <w:p w14:paraId="2A8C17C2" w14:textId="212D0EE2" w:rsidR="007655F0" w:rsidRPr="00452E78" w:rsidRDefault="007655F0" w:rsidP="00F43728">
      <w:pPr>
        <w:spacing w:line="360" w:lineRule="auto"/>
        <w:jc w:val="both"/>
        <w:rPr>
          <w:rFonts w:ascii="Times New Roman" w:hAnsi="Times New Roman" w:cs="Times New Roman"/>
        </w:rPr>
      </w:pPr>
      <w:r w:rsidRPr="00452E78">
        <w:rPr>
          <w:rFonts w:ascii="Times New Roman" w:hAnsi="Times New Roman" w:cs="Times New Roman"/>
        </w:rPr>
        <w:t xml:space="preserve">Cropland area slightly decreased during the study period, from 54.12 km² (1.15%) in 2017 to 48.5 km² (1.03%) in 2024. This is a decline of 5.62 km² (-10.4%). While modest, this reduction suggests a gradual shift in land use priorities. When viewed alongside the increase in rangeland, the trend reflects a larger movement away from crop-based farming. In many areas of the district, households increasingly rely on alternative livelihood options. These include wage employment outside the region, small-scale business activities, and to some extent, livestock rearing. This has contributed to the abandonment or reduced cultivation of cropland. Socio-economic changes, along with variable returns from small-scale agriculture and local environmental pressures, help explain the observed decline in cropland </w:t>
      </w:r>
      <w:r w:rsidR="0016362F" w:rsidRPr="00452E78">
        <w:rPr>
          <w:rFonts w:ascii="Times New Roman" w:hAnsi="Times New Roman" w:cs="Times New Roman"/>
        </w:rPr>
        <w:t>(</w:t>
      </w:r>
      <w:proofErr w:type="spellStart"/>
      <w:r w:rsidR="0016362F" w:rsidRPr="00452E78">
        <w:rPr>
          <w:rFonts w:ascii="Times New Roman" w:hAnsi="Times New Roman" w:cs="Times New Roman"/>
        </w:rPr>
        <w:t>Temjen</w:t>
      </w:r>
      <w:proofErr w:type="spellEnd"/>
      <w:r w:rsidR="0016362F" w:rsidRPr="00452E78">
        <w:rPr>
          <w:rFonts w:ascii="Times New Roman" w:hAnsi="Times New Roman" w:cs="Times New Roman"/>
        </w:rPr>
        <w:t xml:space="preserve"> et al., 2022).</w:t>
      </w:r>
    </w:p>
    <w:p w14:paraId="5B78443E" w14:textId="77777777" w:rsidR="007655F0" w:rsidRPr="00452E78" w:rsidRDefault="007655F0"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e) Minor land cover changes</w:t>
      </w:r>
    </w:p>
    <w:p w14:paraId="2FDEE567" w14:textId="78580EDA" w:rsidR="007655F0" w:rsidRPr="00452E78" w:rsidRDefault="007655F0" w:rsidP="00F43728">
      <w:pPr>
        <w:spacing w:line="360" w:lineRule="auto"/>
        <w:jc w:val="both"/>
        <w:rPr>
          <w:rFonts w:ascii="Times New Roman" w:hAnsi="Times New Roman" w:cs="Times New Roman"/>
        </w:rPr>
      </w:pPr>
      <w:r w:rsidRPr="00452E78">
        <w:rPr>
          <w:rFonts w:ascii="Times New Roman" w:hAnsi="Times New Roman" w:cs="Times New Roman"/>
        </w:rPr>
        <w:t xml:space="preserve">Other land cover categories experienced relatively minor changes between 2017 and 2024. Water bodies slightly decreased by 1.35 km² (-6.16%), while flooded vegetation showed a small but notable increase of 0.29 km² (+69.05%). Bare ground remained limited throughout the study, reducing slightly from 0.09 to 0.06 km² (-33.33%). Although these changes are small, they may indicate subtle hydrological adjustments possibly linked to variations in rainfall or changes in land use that affect watershed </w:t>
      </w:r>
      <w:proofErr w:type="spellStart"/>
      <w:r w:rsidRPr="00452E78">
        <w:rPr>
          <w:rFonts w:ascii="Times New Roman" w:hAnsi="Times New Roman" w:cs="Times New Roman"/>
        </w:rPr>
        <w:t>behavior</w:t>
      </w:r>
      <w:proofErr w:type="spellEnd"/>
      <w:r w:rsidRPr="00452E78">
        <w:rPr>
          <w:rFonts w:ascii="Times New Roman" w:hAnsi="Times New Roman" w:cs="Times New Roman"/>
        </w:rPr>
        <w:t xml:space="preserve"> (Bandyopadhyay et al., 20</w:t>
      </w:r>
      <w:r w:rsidR="0016362F" w:rsidRPr="00452E78">
        <w:rPr>
          <w:rFonts w:ascii="Times New Roman" w:hAnsi="Times New Roman" w:cs="Times New Roman"/>
        </w:rPr>
        <w:t>09</w:t>
      </w:r>
      <w:r w:rsidRPr="00452E78">
        <w:rPr>
          <w:rFonts w:ascii="Times New Roman" w:hAnsi="Times New Roman" w:cs="Times New Roman"/>
        </w:rPr>
        <w:t>).</w:t>
      </w:r>
    </w:p>
    <w:p w14:paraId="48235FF5" w14:textId="77777777" w:rsidR="004E5377" w:rsidRPr="00452E78" w:rsidRDefault="004E5377" w:rsidP="00F43728">
      <w:pPr>
        <w:spacing w:line="360" w:lineRule="auto"/>
        <w:jc w:val="both"/>
        <w:rPr>
          <w:rFonts w:ascii="Times New Roman" w:hAnsi="Times New Roman" w:cs="Times New Roman"/>
          <w:lang w:val="en-US"/>
        </w:rPr>
      </w:pPr>
    </w:p>
    <w:p w14:paraId="57059136" w14:textId="77777777" w:rsidR="00E021A3" w:rsidRPr="00452E78" w:rsidRDefault="00E021A3" w:rsidP="00F43728">
      <w:pPr>
        <w:spacing w:line="360" w:lineRule="auto"/>
        <w:jc w:val="both"/>
        <w:rPr>
          <w:rFonts w:ascii="Times New Roman" w:hAnsi="Times New Roman" w:cs="Times New Roman"/>
          <w:b/>
          <w:bCs/>
        </w:rPr>
      </w:pPr>
      <w:r w:rsidRPr="00452E78">
        <w:rPr>
          <w:rFonts w:ascii="Times New Roman" w:hAnsi="Times New Roman" w:cs="Times New Roman"/>
          <w:b/>
          <w:bCs/>
        </w:rPr>
        <w:t xml:space="preserve">5. DISCUSSION </w:t>
      </w:r>
    </w:p>
    <w:p w14:paraId="7986FC09" w14:textId="77777777" w:rsidR="00DA26D5" w:rsidRPr="00452E78" w:rsidRDefault="00DA26D5" w:rsidP="00F43728">
      <w:pPr>
        <w:spacing w:line="360" w:lineRule="auto"/>
        <w:jc w:val="both"/>
        <w:rPr>
          <w:rFonts w:ascii="Times New Roman" w:hAnsi="Times New Roman" w:cs="Times New Roman"/>
          <w:b/>
          <w:bCs/>
        </w:rPr>
      </w:pPr>
      <w:r w:rsidRPr="00452E78">
        <w:rPr>
          <w:rFonts w:ascii="Times New Roman" w:hAnsi="Times New Roman" w:cs="Times New Roman"/>
          <w:b/>
          <w:bCs/>
        </w:rPr>
        <w:t>5.1 Factors influencing land use and land cover change</w:t>
      </w:r>
    </w:p>
    <w:p w14:paraId="4A7FCBB2" w14:textId="011DFB3C"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The changes in land cover across the district result from a mix of social, economic, environmental, and institutional factors at various levels. Understanding how these factors interact is crucial for creating effective land management strategies and informed development policies.</w:t>
      </w:r>
    </w:p>
    <w:p w14:paraId="23B65132"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a) Demographic and socioeconomic factors</w:t>
      </w:r>
    </w:p>
    <w:p w14:paraId="2455A35D" w14:textId="0EBCCE87"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Population growth, even at moderate rates typical in Northeast India (about 1 to 2% per year), remains a significant cause of land use change. As the population increases, the demand for land for housing, infrastructure, and natural resource extraction also rises (Roy &amp; Joshi, 20</w:t>
      </w:r>
      <w:r w:rsidR="0011792C" w:rsidRPr="00452E78">
        <w:rPr>
          <w:rFonts w:ascii="Times New Roman" w:hAnsi="Times New Roman" w:cs="Times New Roman"/>
        </w:rPr>
        <w:t>02</w:t>
      </w:r>
      <w:r w:rsidRPr="00452E78">
        <w:rPr>
          <w:rFonts w:ascii="Times New Roman" w:hAnsi="Times New Roman" w:cs="Times New Roman"/>
        </w:rPr>
        <w:t xml:space="preserve">). The sharp increase in built-up areas—36.8% over seven years—indicates that urban growth in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results not </w:t>
      </w:r>
      <w:r w:rsidRPr="00452E78">
        <w:rPr>
          <w:rFonts w:ascii="Times New Roman" w:hAnsi="Times New Roman" w:cs="Times New Roman"/>
        </w:rPr>
        <w:lastRenderedPageBreak/>
        <w:t>only from population growth but also from changing lifestyles, improved connectivity, and shifted housing preferences.</w:t>
      </w:r>
    </w:p>
    <w:p w14:paraId="0468E31B" w14:textId="25A7C430"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Infrastructure initiatives like the Pradhan Mantri Gram Sadak Yojana (PMGSY) and the North East Special Infrastructure Development Scheme (NESIDS) have improved access to previously isolated areas, indirectly promoting forest clearance and settlement growth (Sati, 20</w:t>
      </w:r>
      <w:r w:rsidR="0011792C" w:rsidRPr="00452E78">
        <w:rPr>
          <w:rFonts w:ascii="Times New Roman" w:hAnsi="Times New Roman" w:cs="Times New Roman"/>
        </w:rPr>
        <w:t>19</w:t>
      </w:r>
      <w:r w:rsidRPr="00452E78">
        <w:rPr>
          <w:rFonts w:ascii="Times New Roman" w:hAnsi="Times New Roman" w:cs="Times New Roman"/>
        </w:rPr>
        <w:t>). At the same time, expanding markets and new job opportunities are influencing land use decisions—whether for forestry, farming, or other economic activities.</w:t>
      </w:r>
    </w:p>
    <w:p w14:paraId="46DD3EC0"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b) Policy and institutional factors</w:t>
      </w:r>
    </w:p>
    <w:p w14:paraId="30BD3194" w14:textId="31AC9058"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 xml:space="preserve">Policies and governance systems at both national and state levels significantly shape land use outcomes. Changes to community forest rights under the Forest Rights Act (2006) can change how local people manage and use forest resources </w:t>
      </w:r>
      <w:r w:rsidR="0011792C" w:rsidRPr="00452E78">
        <w:rPr>
          <w:rFonts w:ascii="Times New Roman" w:hAnsi="Times New Roman" w:cs="Times New Roman"/>
        </w:rPr>
        <w:t>(Bray, 2018)</w:t>
      </w:r>
      <w:r w:rsidRPr="00452E78">
        <w:rPr>
          <w:rFonts w:ascii="Times New Roman" w:hAnsi="Times New Roman" w:cs="Times New Roman"/>
        </w:rPr>
        <w:t>. Similarly, agricultural subsidies and development programs can affect the balance between cropland and rangeland, contributing to observed land-use shifts. Ongoing forest loss, despite conservation measures, suggests weaknesses in enforcement and implementation. Additionally, the rapid growth of urban areas indicates the need for better planning that integrates land use, transportation, and environmental issues.</w:t>
      </w:r>
    </w:p>
    <w:p w14:paraId="6523CED5"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c) Technological and agricultural system changes</w:t>
      </w:r>
    </w:p>
    <w:p w14:paraId="29C2B9F1" w14:textId="77777777"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 xml:space="preserve">Advancements in agricultural technology have also played a key role. The adoption of high-yield crop varieties, fertilizers, and better cultivation methods allows farmers to produce more from smaller plots. This might explain the decline in total cropland despite ongoing food demand (Ray et al., 2019). Improved road networks and market access further influence farmers’ choices, as some may shift to more profitable or less </w:t>
      </w:r>
      <w:proofErr w:type="spellStart"/>
      <w:r w:rsidRPr="00452E78">
        <w:rPr>
          <w:rFonts w:ascii="Times New Roman" w:hAnsi="Times New Roman" w:cs="Times New Roman"/>
        </w:rPr>
        <w:t>labor-intensive</w:t>
      </w:r>
      <w:proofErr w:type="spellEnd"/>
      <w:r w:rsidRPr="00452E78">
        <w:rPr>
          <w:rFonts w:ascii="Times New Roman" w:hAnsi="Times New Roman" w:cs="Times New Roman"/>
        </w:rPr>
        <w:t xml:space="preserve"> activities. The notable increase in rangeland suggests a move toward livestock-oriented systems. This shift may reflect adaptation to new market opportunities, limited farm </w:t>
      </w:r>
      <w:proofErr w:type="spellStart"/>
      <w:r w:rsidRPr="00452E78">
        <w:rPr>
          <w:rFonts w:ascii="Times New Roman" w:hAnsi="Times New Roman" w:cs="Times New Roman"/>
        </w:rPr>
        <w:t>labor</w:t>
      </w:r>
      <w:proofErr w:type="spellEnd"/>
      <w:r w:rsidRPr="00452E78">
        <w:rPr>
          <w:rFonts w:ascii="Times New Roman" w:hAnsi="Times New Roman" w:cs="Times New Roman"/>
        </w:rPr>
        <w:t>, or climate challenges affecting crop production.</w:t>
      </w:r>
    </w:p>
    <w:p w14:paraId="2E640FFE"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d) Environmental and biophysical factors</w:t>
      </w:r>
    </w:p>
    <w:p w14:paraId="4FC65B04" w14:textId="09A7077B"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The area's physical environment, with its steep slopes and mountainous terrain, naturally limits land use. Most changes occur in more accessible valleys or on gentler slopes. Altered rainfall patterns, temperature variations, and broader climate issues also impact vegetation and agricultural productivity (Mishra et al., 20</w:t>
      </w:r>
      <w:r w:rsidR="0011792C" w:rsidRPr="00452E78">
        <w:rPr>
          <w:rFonts w:ascii="Times New Roman" w:hAnsi="Times New Roman" w:cs="Times New Roman"/>
        </w:rPr>
        <w:t>19</w:t>
      </w:r>
      <w:r w:rsidRPr="00452E78">
        <w:rPr>
          <w:rFonts w:ascii="Times New Roman" w:hAnsi="Times New Roman" w:cs="Times New Roman"/>
        </w:rPr>
        <w:t>). Differences in soil fertility further influence land-use decisions, as less productive farms are often converted to rangeland or left fallow. The slight reduction in surface water area reported in this study may be linked to changes in rainfall or watershed conditions, though confirming this would require detailed hydrological data.</w:t>
      </w:r>
    </w:p>
    <w:p w14:paraId="079E76D5" w14:textId="77777777" w:rsidR="00DA26D5" w:rsidRPr="00452E78" w:rsidRDefault="00DA26D5" w:rsidP="00F43728">
      <w:pPr>
        <w:spacing w:line="360" w:lineRule="auto"/>
        <w:jc w:val="both"/>
        <w:rPr>
          <w:rFonts w:ascii="Times New Roman" w:hAnsi="Times New Roman" w:cs="Times New Roman"/>
          <w:b/>
          <w:bCs/>
        </w:rPr>
      </w:pPr>
      <w:r w:rsidRPr="00452E78">
        <w:rPr>
          <w:rFonts w:ascii="Times New Roman" w:hAnsi="Times New Roman" w:cs="Times New Roman"/>
          <w:b/>
          <w:bCs/>
        </w:rPr>
        <w:t>5.2 Implications of land cover change</w:t>
      </w:r>
    </w:p>
    <w:p w14:paraId="65417CB4" w14:textId="6317409B"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lastRenderedPageBreak/>
        <w:t xml:space="preserve">The changes in land cover in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have broad consequences, impacting the environment, agriculture, and socioeconomic and policy areas.</w:t>
      </w:r>
    </w:p>
    <w:p w14:paraId="1C59EF7E"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a) Ecological implications</w:t>
      </w:r>
    </w:p>
    <w:p w14:paraId="4145700B" w14:textId="5D18B879"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The loss of about 78 km² of forest from 2017 to 2024 presents serious ecological challenges. This loss reduces habitat for forest-dependent species. The fragmentation of remaining forests can create "edge effects" that harm ecological quality and disrupt wildlife movements (Laurance et al., 201</w:t>
      </w:r>
      <w:r w:rsidR="0011792C" w:rsidRPr="00452E78">
        <w:rPr>
          <w:rFonts w:ascii="Times New Roman" w:hAnsi="Times New Roman" w:cs="Times New Roman"/>
        </w:rPr>
        <w:t>7</w:t>
      </w:r>
      <w:r w:rsidRPr="00452E78">
        <w:rPr>
          <w:rFonts w:ascii="Times New Roman" w:hAnsi="Times New Roman" w:cs="Times New Roman"/>
        </w:rPr>
        <w:t xml:space="preserve">). A smaller forest area also weakens vital ecosystem services like carbon storage, water regulation, and soil stability. Deforestation raises greenhouse gas emissions, though the extent varies based on how the cleared land is used. Even small changes, like the 1.35 km² reduction in water bodies, can influence watershed dynamics, streamflow, and sedimentation, especially when related to vegetation loss </w:t>
      </w:r>
      <w:r w:rsidR="0011792C" w:rsidRPr="00452E78">
        <w:rPr>
          <w:rFonts w:ascii="Times New Roman" w:hAnsi="Times New Roman" w:cs="Times New Roman"/>
        </w:rPr>
        <w:t>(Zhang et al., 2016)</w:t>
      </w:r>
      <w:r w:rsidRPr="00452E78">
        <w:rPr>
          <w:rFonts w:ascii="Times New Roman" w:hAnsi="Times New Roman" w:cs="Times New Roman"/>
        </w:rPr>
        <w:t>.</w:t>
      </w:r>
    </w:p>
    <w:p w14:paraId="1FE82379"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b) Agricultural sustainability implications</w:t>
      </w:r>
    </w:p>
    <w:p w14:paraId="27A5ABC1" w14:textId="6140A073"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 xml:space="preserve">The reduction in farmland area (-5.62 km²) raises concerns for the long-term sustainability of local agriculture. Unless productivity on existing farmlands improves, losing cultivated land might threaten food security. Increasing rangeland suggests some households are shifting toward livestock rearing, while others rely on wage work or small businesses, putting less stress on crop farming. While animals can provide extra income, uncontrolled grazing, especially on steep slopes, can lead to erosion, soil compaction, and nutrient loss </w:t>
      </w:r>
      <w:r w:rsidR="0011792C" w:rsidRPr="00452E78">
        <w:rPr>
          <w:rFonts w:ascii="Times New Roman" w:hAnsi="Times New Roman" w:cs="Times New Roman"/>
        </w:rPr>
        <w:t>(Apollo et al., 2018)</w:t>
      </w:r>
      <w:r w:rsidRPr="00452E78">
        <w:rPr>
          <w:rFonts w:ascii="Times New Roman" w:hAnsi="Times New Roman" w:cs="Times New Roman"/>
        </w:rPr>
        <w:t>. With less arable land and a rising population, there will be more pressure to improve cultivation on remaining farmlands, highlighting the need for sustainable, locally suitable land management practices.</w:t>
      </w:r>
    </w:p>
    <w:p w14:paraId="19BAD9F1"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c) Socioeconomic implications</w:t>
      </w:r>
    </w:p>
    <w:p w14:paraId="3047A953" w14:textId="247BFDFA"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The observed changes also indicate a broader shift in local livelihoods and the regional economy. The transition from crop farming to livestock, urban jobs, and service sector activities shows increased diversification. The expansion of developed areas reflects growing economic opportunities but may also result in higher land prices and unequal access to resources</w:t>
      </w:r>
      <w:r w:rsidR="00653299" w:rsidRPr="00452E78">
        <w:rPr>
          <w:rFonts w:ascii="Times New Roman" w:hAnsi="Times New Roman" w:cs="Times New Roman"/>
        </w:rPr>
        <w:t xml:space="preserve"> (Khan, 2013)</w:t>
      </w:r>
      <w:r w:rsidRPr="00452E78">
        <w:rPr>
          <w:rFonts w:ascii="Times New Roman" w:hAnsi="Times New Roman" w:cs="Times New Roman"/>
        </w:rPr>
        <w:t>. Land conversion often alters who can access and control land, sometimes undermining traditional communal rights and creating social inequalities. These shifts, although associated with development, need careful management to prevent increasing inequality.</w:t>
      </w:r>
    </w:p>
    <w:p w14:paraId="4837A686"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d) Policy and planning implications</w:t>
      </w:r>
    </w:p>
    <w:p w14:paraId="19FC4690" w14:textId="1C70683F"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 xml:space="preserve">These findings highlight several key challenges from a governance perspective. Ongoing forest loss, despite protective laws, shows the need for better enforcement and community involvement. Meanwhile, the 36.8% growth in developed areas emphasizes the urgency of proper spatial planning </w:t>
      </w:r>
      <w:r w:rsidRPr="00452E78">
        <w:rPr>
          <w:rFonts w:ascii="Times New Roman" w:hAnsi="Times New Roman" w:cs="Times New Roman"/>
        </w:rPr>
        <w:lastRenderedPageBreak/>
        <w:t>to balance growth and sustainability. Agricultural and livestock policies should support efficient, environmentally friendly practices that maintain productivity without harming natural resources. Given the interconnected nature of these land changes, an integrated landscape management approach is vital—one that coordinates forest, agricultural, and urban policies instead of treating them separately (Rathore et al., 20</w:t>
      </w:r>
      <w:r w:rsidR="0011792C" w:rsidRPr="00452E78">
        <w:rPr>
          <w:rFonts w:ascii="Times New Roman" w:hAnsi="Times New Roman" w:cs="Times New Roman"/>
        </w:rPr>
        <w:t>12</w:t>
      </w:r>
      <w:r w:rsidRPr="00452E78">
        <w:rPr>
          <w:rFonts w:ascii="Times New Roman" w:hAnsi="Times New Roman" w:cs="Times New Roman"/>
        </w:rPr>
        <w:t>).</w:t>
      </w:r>
    </w:p>
    <w:p w14:paraId="7E2BBAA8" w14:textId="77777777" w:rsidR="00DA26D5" w:rsidRPr="00452E78" w:rsidRDefault="00DA26D5" w:rsidP="00F43728">
      <w:pPr>
        <w:spacing w:line="360" w:lineRule="auto"/>
        <w:jc w:val="both"/>
        <w:rPr>
          <w:rFonts w:ascii="Times New Roman" w:hAnsi="Times New Roman" w:cs="Times New Roman"/>
          <w:b/>
          <w:bCs/>
        </w:rPr>
      </w:pPr>
      <w:r w:rsidRPr="00452E78">
        <w:rPr>
          <w:rFonts w:ascii="Times New Roman" w:hAnsi="Times New Roman" w:cs="Times New Roman"/>
          <w:b/>
          <w:bCs/>
        </w:rPr>
        <w:t>5.3 Methodological considerations</w:t>
      </w:r>
    </w:p>
    <w:p w14:paraId="6EA4AFA5" w14:textId="581CE0B3"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 xml:space="preserve">Some limitations must be acknowledged when interpreting these results. The classification used broad land cover categories, which may have hidden smaller transitions—like the differences between plantation forests and natural forests or among crop types. Additionally, the imagery dates for 2017 and 2024 might not represent the same season, potentially affecting vegetation classification. The accuracy assessment, based on 30 points, provides a reasonable overview but might not fully capture spatial variation, particularly for less common classes. While overall accuracy improved from 83.3% in 2017 to 93.3% in 2024, some uncertainty remains, especially for rangeland in the earlier dataset. The higher accuracy in 2024 could result from better-quality imagery, refined classification methods, or the analyst's greater familiarity with local landscapes. Although these improvements increase confidence in the findings, all interpretations should </w:t>
      </w:r>
      <w:proofErr w:type="gramStart"/>
      <w:r w:rsidRPr="00452E78">
        <w:rPr>
          <w:rFonts w:ascii="Times New Roman" w:hAnsi="Times New Roman" w:cs="Times New Roman"/>
        </w:rPr>
        <w:t>take into account</w:t>
      </w:r>
      <w:proofErr w:type="gramEnd"/>
      <w:r w:rsidRPr="00452E78">
        <w:rPr>
          <w:rFonts w:ascii="Times New Roman" w:hAnsi="Times New Roman" w:cs="Times New Roman"/>
        </w:rPr>
        <w:t xml:space="preserve"> the underlying methodological constraints (Chen et al., 20</w:t>
      </w:r>
      <w:r w:rsidR="0011792C" w:rsidRPr="00452E78">
        <w:rPr>
          <w:rFonts w:ascii="Times New Roman" w:hAnsi="Times New Roman" w:cs="Times New Roman"/>
        </w:rPr>
        <w:t>14</w:t>
      </w:r>
      <w:r w:rsidRPr="00452E78">
        <w:rPr>
          <w:rFonts w:ascii="Times New Roman" w:hAnsi="Times New Roman" w:cs="Times New Roman"/>
        </w:rPr>
        <w:t>).</w:t>
      </w:r>
    </w:p>
    <w:p w14:paraId="4AE2ECF9" w14:textId="77777777" w:rsidR="00DD5505" w:rsidRPr="00452E78" w:rsidRDefault="00DD5505" w:rsidP="00F43728">
      <w:pPr>
        <w:spacing w:line="360" w:lineRule="auto"/>
        <w:jc w:val="both"/>
        <w:rPr>
          <w:rFonts w:ascii="Times New Roman" w:hAnsi="Times New Roman" w:cs="Times New Roman"/>
        </w:rPr>
      </w:pPr>
    </w:p>
    <w:p w14:paraId="76E079A5" w14:textId="4C95D28F" w:rsidR="00304C8C" w:rsidRPr="00452E78" w:rsidRDefault="00304C8C" w:rsidP="00F43728">
      <w:pPr>
        <w:spacing w:line="360" w:lineRule="auto"/>
        <w:jc w:val="both"/>
        <w:rPr>
          <w:rFonts w:ascii="Times New Roman" w:hAnsi="Times New Roman" w:cs="Times New Roman"/>
          <w:b/>
          <w:bCs/>
        </w:rPr>
      </w:pPr>
      <w:r w:rsidRPr="00452E78">
        <w:rPr>
          <w:rFonts w:ascii="Times New Roman" w:hAnsi="Times New Roman" w:cs="Times New Roman"/>
          <w:b/>
          <w:bCs/>
        </w:rPr>
        <w:t xml:space="preserve">6. CONCLUSION </w:t>
      </w:r>
    </w:p>
    <w:p w14:paraId="1C6C644D" w14:textId="77777777" w:rsidR="00020C59" w:rsidRPr="00452E78" w:rsidRDefault="00020C59" w:rsidP="00F43728">
      <w:pPr>
        <w:spacing w:line="360" w:lineRule="auto"/>
        <w:jc w:val="both"/>
        <w:rPr>
          <w:rFonts w:ascii="Times New Roman" w:hAnsi="Times New Roman" w:cs="Times New Roman"/>
        </w:rPr>
      </w:pPr>
      <w:r w:rsidRPr="00452E78">
        <w:rPr>
          <w:rFonts w:ascii="Times New Roman" w:hAnsi="Times New Roman" w:cs="Times New Roman"/>
        </w:rPr>
        <w:t xml:space="preserve">This study achieved its main goals of classifying and mapping land use and land cover (LULC) for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in 2017 and 2024. It also measured spatial changes and provided insights to support sustainable land management. The analysis of satellite images over time showed clear signs of landscape change. There was a decline in forest cover by 78 km², a significant increase in rangeland by 67.23 km², growth of built-up areas by 17.49 km², and a slight decrease in cropland by 5.62 km². These changes reflect the effects of population growth, infrastructure development, policy changes, and environmental variations. Together, they depict a changing landscape where natural ecosystems are gradually being replaced by human-made environments, influenced by expanding settlements, road networks, and livestock farming. Although forests still cover the majority of the district (93.24% in 2024), the ongoing loss of forest area and the rise of land used for human activities indicate a slow but steady change that needs ongoing monitoring and informed management.</w:t>
      </w:r>
    </w:p>
    <w:p w14:paraId="05508CF5" w14:textId="77777777" w:rsidR="00020C59" w:rsidRPr="00452E78" w:rsidRDefault="00020C59" w:rsidP="00F43728">
      <w:pPr>
        <w:spacing w:line="360" w:lineRule="auto"/>
        <w:jc w:val="both"/>
        <w:rPr>
          <w:rFonts w:ascii="Times New Roman" w:hAnsi="Times New Roman" w:cs="Times New Roman"/>
        </w:rPr>
      </w:pPr>
    </w:p>
    <w:p w14:paraId="7E3C4235" w14:textId="77777777" w:rsidR="00020C59" w:rsidRPr="00452E78" w:rsidRDefault="00020C59" w:rsidP="00F43728">
      <w:pPr>
        <w:spacing w:line="360" w:lineRule="auto"/>
        <w:jc w:val="both"/>
        <w:rPr>
          <w:rFonts w:ascii="Times New Roman" w:hAnsi="Times New Roman" w:cs="Times New Roman"/>
        </w:rPr>
      </w:pPr>
      <w:r w:rsidRPr="00452E78">
        <w:rPr>
          <w:rFonts w:ascii="Times New Roman" w:hAnsi="Times New Roman" w:cs="Times New Roman"/>
        </w:rPr>
        <w:lastRenderedPageBreak/>
        <w:t>The results highlight the pressing need for balanced land management strategies that align development with environmental protection. Due to the district’s ecological sensitivity and rich biodiversity, it is crucial to maintain a balance between human activities and environmental sustainability. The rapid urban growth and continued forest loss require proactive policies and careful planning to guide development in a way that protects ecosystem services while also supporting livelihoods and community well-being.</w:t>
      </w:r>
    </w:p>
    <w:p w14:paraId="68C4D5BA" w14:textId="77777777" w:rsidR="00020C59" w:rsidRPr="00452E78" w:rsidRDefault="00020C59" w:rsidP="00F43728">
      <w:pPr>
        <w:spacing w:line="360" w:lineRule="auto"/>
        <w:jc w:val="both"/>
        <w:rPr>
          <w:rFonts w:ascii="Times New Roman" w:hAnsi="Times New Roman" w:cs="Times New Roman"/>
        </w:rPr>
      </w:pPr>
      <w:r w:rsidRPr="00452E78">
        <w:rPr>
          <w:rFonts w:ascii="Times New Roman" w:hAnsi="Times New Roman" w:cs="Times New Roman"/>
        </w:rPr>
        <w:t>To promote sustainable land use, the study recommends the following key measures:</w:t>
      </w:r>
    </w:p>
    <w:p w14:paraId="62481EC1" w14:textId="77777777" w:rsidR="00020C59" w:rsidRPr="00452E78" w:rsidRDefault="00020C59" w:rsidP="00F43728">
      <w:pPr>
        <w:pStyle w:val="ListParagraph"/>
        <w:numPr>
          <w:ilvl w:val="0"/>
          <w:numId w:val="4"/>
        </w:numPr>
        <w:spacing w:line="360" w:lineRule="auto"/>
        <w:jc w:val="both"/>
        <w:rPr>
          <w:rFonts w:ascii="Times New Roman" w:hAnsi="Times New Roman" w:cs="Times New Roman"/>
        </w:rPr>
      </w:pPr>
      <w:r w:rsidRPr="00452E78">
        <w:rPr>
          <w:rFonts w:ascii="Times New Roman" w:hAnsi="Times New Roman" w:cs="Times New Roman"/>
        </w:rPr>
        <w:t>Preserve forests in high-risk deforestation zones, especially near expanding communities and major roads.</w:t>
      </w:r>
    </w:p>
    <w:p w14:paraId="03D0B852" w14:textId="77777777" w:rsidR="00020C59" w:rsidRPr="00452E78" w:rsidRDefault="00020C59" w:rsidP="00F43728">
      <w:pPr>
        <w:pStyle w:val="ListParagraph"/>
        <w:numPr>
          <w:ilvl w:val="0"/>
          <w:numId w:val="4"/>
        </w:numPr>
        <w:spacing w:line="360" w:lineRule="auto"/>
        <w:jc w:val="both"/>
        <w:rPr>
          <w:rFonts w:ascii="Times New Roman" w:hAnsi="Times New Roman" w:cs="Times New Roman"/>
        </w:rPr>
      </w:pPr>
      <w:r w:rsidRPr="00452E78">
        <w:rPr>
          <w:rFonts w:ascii="Times New Roman" w:hAnsi="Times New Roman" w:cs="Times New Roman"/>
        </w:rPr>
        <w:t>Plan urban growth more effectively to encourage dense development and minimize unnecessary loss of forests and farmland.</w:t>
      </w:r>
    </w:p>
    <w:p w14:paraId="793BCBF8" w14:textId="77777777" w:rsidR="00020C59" w:rsidRPr="00452E78" w:rsidRDefault="00020C59" w:rsidP="00F43728">
      <w:pPr>
        <w:pStyle w:val="ListParagraph"/>
        <w:numPr>
          <w:ilvl w:val="0"/>
          <w:numId w:val="4"/>
        </w:numPr>
        <w:spacing w:line="360" w:lineRule="auto"/>
        <w:jc w:val="both"/>
        <w:rPr>
          <w:rFonts w:ascii="Times New Roman" w:hAnsi="Times New Roman" w:cs="Times New Roman"/>
        </w:rPr>
      </w:pPr>
      <w:r w:rsidRPr="00452E78">
        <w:rPr>
          <w:rFonts w:ascii="Times New Roman" w:hAnsi="Times New Roman" w:cs="Times New Roman"/>
        </w:rPr>
        <w:t>Improve rangeland management to ensure livestock production does not harm soil or vegetation.</w:t>
      </w:r>
    </w:p>
    <w:p w14:paraId="060CF36A" w14:textId="77777777" w:rsidR="00020C59" w:rsidRPr="00452E78" w:rsidRDefault="00020C59" w:rsidP="00F43728">
      <w:pPr>
        <w:pStyle w:val="ListParagraph"/>
        <w:numPr>
          <w:ilvl w:val="0"/>
          <w:numId w:val="4"/>
        </w:numPr>
        <w:spacing w:line="360" w:lineRule="auto"/>
        <w:jc w:val="both"/>
        <w:rPr>
          <w:rFonts w:ascii="Times New Roman" w:hAnsi="Times New Roman" w:cs="Times New Roman"/>
        </w:rPr>
      </w:pPr>
      <w:r w:rsidRPr="00452E78">
        <w:rPr>
          <w:rFonts w:ascii="Times New Roman" w:hAnsi="Times New Roman" w:cs="Times New Roman"/>
        </w:rPr>
        <w:t>Boost crop productivity on current farmland instead of expanding into forest areas.</w:t>
      </w:r>
    </w:p>
    <w:p w14:paraId="39E2E8F9" w14:textId="77777777" w:rsidR="00020C59" w:rsidRPr="00452E78" w:rsidRDefault="00020C59" w:rsidP="00F43728">
      <w:pPr>
        <w:pStyle w:val="ListParagraph"/>
        <w:numPr>
          <w:ilvl w:val="0"/>
          <w:numId w:val="4"/>
        </w:numPr>
        <w:spacing w:line="360" w:lineRule="auto"/>
        <w:jc w:val="both"/>
        <w:rPr>
          <w:rFonts w:ascii="Times New Roman" w:hAnsi="Times New Roman" w:cs="Times New Roman"/>
        </w:rPr>
      </w:pPr>
      <w:r w:rsidRPr="00452E78">
        <w:rPr>
          <w:rFonts w:ascii="Times New Roman" w:hAnsi="Times New Roman" w:cs="Times New Roman"/>
        </w:rPr>
        <w:t>Enhance watershed protection in regions showing signs of environmental stress.</w:t>
      </w:r>
    </w:p>
    <w:p w14:paraId="51106C87" w14:textId="77777777" w:rsidR="00020C59" w:rsidRPr="00452E78" w:rsidRDefault="00020C59" w:rsidP="00F43728">
      <w:pPr>
        <w:pStyle w:val="ListParagraph"/>
        <w:numPr>
          <w:ilvl w:val="0"/>
          <w:numId w:val="4"/>
        </w:numPr>
        <w:spacing w:line="360" w:lineRule="auto"/>
        <w:jc w:val="both"/>
        <w:rPr>
          <w:rFonts w:ascii="Times New Roman" w:hAnsi="Times New Roman" w:cs="Times New Roman"/>
        </w:rPr>
      </w:pPr>
      <w:r w:rsidRPr="00452E78">
        <w:rPr>
          <w:rFonts w:ascii="Times New Roman" w:hAnsi="Times New Roman" w:cs="Times New Roman"/>
        </w:rPr>
        <w:t>Increase coordination among policies and sectors to address the interconnected nature of land use changes.</w:t>
      </w:r>
    </w:p>
    <w:p w14:paraId="7E20493C" w14:textId="77777777" w:rsidR="00020C59" w:rsidRPr="00452E78" w:rsidRDefault="00020C59" w:rsidP="00F43728">
      <w:pPr>
        <w:spacing w:line="360" w:lineRule="auto"/>
        <w:jc w:val="both"/>
        <w:rPr>
          <w:rFonts w:ascii="Times New Roman" w:hAnsi="Times New Roman" w:cs="Times New Roman"/>
        </w:rPr>
      </w:pPr>
    </w:p>
    <w:p w14:paraId="37A68CF7" w14:textId="61312851" w:rsidR="00020C59" w:rsidRPr="00452E78" w:rsidRDefault="00020C59" w:rsidP="00F43728">
      <w:pPr>
        <w:spacing w:line="360" w:lineRule="auto"/>
        <w:jc w:val="both"/>
        <w:rPr>
          <w:rFonts w:ascii="Times New Roman" w:hAnsi="Times New Roman" w:cs="Times New Roman"/>
        </w:rPr>
      </w:pPr>
      <w:r w:rsidRPr="00452E78">
        <w:rPr>
          <w:rFonts w:ascii="Times New Roman" w:hAnsi="Times New Roman" w:cs="Times New Roman"/>
        </w:rPr>
        <w:t>For future research, a closer investigation into specific pathways of land cover change is suggested, along with better integration of socioeconomic data to clarify the main drivers of change. Validating findings in the field, especially regarding the significant rangeland expansion, would provide useful context for satellite observations. Additionally, creating predictive models or scenario analyses could help anticipate future land use patterns and guide policymakers in making well-informed decisions. Monitoring land use more frequently would also enable early identification of emerging trends that may need timely policy actions.</w:t>
      </w:r>
    </w:p>
    <w:p w14:paraId="3E109401" w14:textId="77777777" w:rsidR="00EC7039" w:rsidRDefault="00EC7039" w:rsidP="007746A0">
      <w:pPr>
        <w:pStyle w:val="Bibliography"/>
        <w:spacing w:line="360" w:lineRule="auto"/>
        <w:rPr>
          <w:rFonts w:ascii="Times New Roman" w:hAnsi="Times New Roman" w:cs="Times New Roman"/>
          <w:b/>
          <w:bCs/>
          <w:lang w:val="en-US"/>
        </w:rPr>
      </w:pPr>
    </w:p>
    <w:p w14:paraId="63DBFC37" w14:textId="3D5697F6" w:rsidR="007746A0" w:rsidRPr="00452E78" w:rsidRDefault="007746A0" w:rsidP="007746A0">
      <w:pPr>
        <w:pStyle w:val="Bibliography"/>
        <w:spacing w:line="360" w:lineRule="auto"/>
        <w:rPr>
          <w:rFonts w:ascii="Times New Roman" w:hAnsi="Times New Roman" w:cs="Times New Roman"/>
          <w:b/>
          <w:bCs/>
          <w:lang w:val="en-US"/>
        </w:rPr>
      </w:pPr>
      <w:r w:rsidRPr="00452E78">
        <w:rPr>
          <w:rFonts w:ascii="Times New Roman" w:hAnsi="Times New Roman" w:cs="Times New Roman"/>
          <w:b/>
          <w:bCs/>
          <w:lang w:val="en-US"/>
        </w:rPr>
        <w:t>References</w:t>
      </w:r>
    </w:p>
    <w:p w14:paraId="0967C46B"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Anderson, J. R., Hardy, E. E., Roach, J. T., &amp; Witmer, R. E. (1976). A land use and land cover classification system for use with remote sensor data. </w:t>
      </w:r>
      <w:r w:rsidRPr="00452E78">
        <w:rPr>
          <w:rFonts w:ascii="Times New Roman" w:hAnsi="Times New Roman" w:cs="Times New Roman"/>
          <w:i/>
          <w:iCs/>
        </w:rPr>
        <w:t>USGS Professional Paper</w:t>
      </w:r>
      <w:r w:rsidRPr="00452E78">
        <w:rPr>
          <w:rFonts w:ascii="Times New Roman" w:hAnsi="Times New Roman" w:cs="Times New Roman"/>
        </w:rPr>
        <w:t xml:space="preserve">. </w:t>
      </w:r>
      <w:hyperlink r:id="rId16" w:history="1">
        <w:r w:rsidRPr="00452E78">
          <w:rPr>
            <w:rStyle w:val="Hyperlink"/>
            <w:rFonts w:ascii="Times New Roman" w:hAnsi="Times New Roman" w:cs="Times New Roman"/>
          </w:rPr>
          <w:t>https://doi.org/10.3133/pp964</w:t>
        </w:r>
      </w:hyperlink>
    </w:p>
    <w:p w14:paraId="6CE6E8B4" w14:textId="77777777" w:rsidR="007746A0" w:rsidRPr="00452E78" w:rsidRDefault="007746A0" w:rsidP="007746A0">
      <w:pPr>
        <w:pStyle w:val="Bibliography"/>
        <w:spacing w:line="360" w:lineRule="auto"/>
        <w:rPr>
          <w:rFonts w:ascii="Times New Roman" w:hAnsi="Times New Roman" w:cs="Times New Roman"/>
          <w:lang w:val="en-US"/>
        </w:rPr>
      </w:pPr>
    </w:p>
    <w:p w14:paraId="717A2531"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lastRenderedPageBreak/>
        <w:t xml:space="preserve">Apollo, M., Andreychouk, V., &amp; Bhattarai, S. (2018). Short-Term Impacts of Livestock Grazing on Vegetation and Track Formation in a High Mountain Environment: A Case Study from the Himalayan Miyar Valley (India). </w:t>
      </w:r>
      <w:r w:rsidRPr="00452E78">
        <w:rPr>
          <w:rFonts w:ascii="Times New Roman" w:hAnsi="Times New Roman" w:cs="Times New Roman"/>
          <w:i/>
          <w:iCs/>
        </w:rPr>
        <w:t>Sustainability</w:t>
      </w:r>
      <w:r w:rsidRPr="00452E78">
        <w:rPr>
          <w:rFonts w:ascii="Times New Roman" w:hAnsi="Times New Roman" w:cs="Times New Roman"/>
        </w:rPr>
        <w:t xml:space="preserve">, </w:t>
      </w:r>
      <w:r w:rsidRPr="00452E78">
        <w:rPr>
          <w:rFonts w:ascii="Times New Roman" w:hAnsi="Times New Roman" w:cs="Times New Roman"/>
          <w:i/>
          <w:iCs/>
        </w:rPr>
        <w:t>10</w:t>
      </w:r>
      <w:r w:rsidRPr="00452E78">
        <w:rPr>
          <w:rFonts w:ascii="Times New Roman" w:hAnsi="Times New Roman" w:cs="Times New Roman"/>
        </w:rPr>
        <w:t xml:space="preserve">(4), 951. </w:t>
      </w:r>
      <w:hyperlink r:id="rId17" w:history="1">
        <w:r w:rsidRPr="00452E78">
          <w:rPr>
            <w:rStyle w:val="Hyperlink"/>
            <w:rFonts w:ascii="Times New Roman" w:hAnsi="Times New Roman" w:cs="Times New Roman"/>
          </w:rPr>
          <w:t>https://doi.org/10.3390/su10040951</w:t>
        </w:r>
      </w:hyperlink>
    </w:p>
    <w:p w14:paraId="75F1C6E7" w14:textId="77777777" w:rsidR="007746A0" w:rsidRPr="00452E78" w:rsidRDefault="007746A0" w:rsidP="007746A0">
      <w:pPr>
        <w:pStyle w:val="Bibliography"/>
        <w:spacing w:line="360" w:lineRule="auto"/>
        <w:rPr>
          <w:rFonts w:ascii="Times New Roman" w:hAnsi="Times New Roman" w:cs="Times New Roman"/>
          <w:lang w:val="en-US"/>
        </w:rPr>
      </w:pPr>
    </w:p>
    <w:p w14:paraId="576880BB"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Bandyopadhyay, S., Jaiswal, R. K., Hegde, V. S., &amp; Jayaraman, V. (2009). Assessment of land suitability potentials for agriculture using a remote sensing and GIS based approach. </w:t>
      </w:r>
      <w:r w:rsidRPr="00452E78">
        <w:rPr>
          <w:rFonts w:ascii="Times New Roman" w:hAnsi="Times New Roman" w:cs="Times New Roman"/>
          <w:i/>
          <w:iCs/>
        </w:rPr>
        <w:t>International Journal of Remote Sensing</w:t>
      </w:r>
      <w:r w:rsidRPr="00452E78">
        <w:rPr>
          <w:rFonts w:ascii="Times New Roman" w:hAnsi="Times New Roman" w:cs="Times New Roman"/>
        </w:rPr>
        <w:t xml:space="preserve">, </w:t>
      </w:r>
      <w:r w:rsidRPr="00452E78">
        <w:rPr>
          <w:rFonts w:ascii="Times New Roman" w:hAnsi="Times New Roman" w:cs="Times New Roman"/>
          <w:i/>
          <w:iCs/>
        </w:rPr>
        <w:t>30</w:t>
      </w:r>
      <w:r w:rsidRPr="00452E78">
        <w:rPr>
          <w:rFonts w:ascii="Times New Roman" w:hAnsi="Times New Roman" w:cs="Times New Roman"/>
        </w:rPr>
        <w:t>(4), 879–895.</w:t>
      </w:r>
      <w:r w:rsidRPr="00452E78">
        <w:rPr>
          <w:rFonts w:ascii="Times New Roman" w:hAnsi="Times New Roman" w:cs="Times New Roman"/>
          <w:lang w:val="en-US"/>
        </w:rPr>
        <w:t xml:space="preserve"> </w:t>
      </w:r>
      <w:hyperlink r:id="rId18" w:history="1">
        <w:r w:rsidRPr="00452E78">
          <w:rPr>
            <w:rStyle w:val="Hyperlink"/>
            <w:rFonts w:ascii="Times New Roman" w:hAnsi="Times New Roman" w:cs="Times New Roman"/>
          </w:rPr>
          <w:t>https://doi.org/10.1080/01431160802395235</w:t>
        </w:r>
      </w:hyperlink>
    </w:p>
    <w:p w14:paraId="5F1F66AA" w14:textId="77777777" w:rsidR="007746A0" w:rsidRPr="00452E78" w:rsidRDefault="007746A0" w:rsidP="007746A0">
      <w:pPr>
        <w:pStyle w:val="Bibliography"/>
        <w:spacing w:line="360" w:lineRule="auto"/>
        <w:rPr>
          <w:rFonts w:ascii="Times New Roman" w:hAnsi="Times New Roman" w:cs="Times New Roman"/>
          <w:lang w:val="en-US"/>
        </w:rPr>
      </w:pPr>
    </w:p>
    <w:p w14:paraId="52B274B4"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Behera, M., Tripathi, P., Das, P., Srivastava, S., Roy, P., Joshi, C., Behera, P., Deka, J., Kumar, P., Khan, M., Tripathi, O., Dash, T., &amp; Krishnamurthy, Y. (2017). Remote </w:t>
      </w:r>
      <w:proofErr w:type="gramStart"/>
      <w:r w:rsidRPr="00452E78">
        <w:rPr>
          <w:rFonts w:ascii="Times New Roman" w:hAnsi="Times New Roman" w:cs="Times New Roman"/>
        </w:rPr>
        <w:t>sensing based</w:t>
      </w:r>
      <w:proofErr w:type="gramEnd"/>
      <w:r w:rsidRPr="00452E78">
        <w:rPr>
          <w:rFonts w:ascii="Times New Roman" w:hAnsi="Times New Roman" w:cs="Times New Roman"/>
        </w:rPr>
        <w:t xml:space="preserve"> deforestation analysis in Mahanadi and Brahmaputra river basin in India since 1985. </w:t>
      </w:r>
      <w:r w:rsidRPr="00452E78">
        <w:rPr>
          <w:rFonts w:ascii="Times New Roman" w:hAnsi="Times New Roman" w:cs="Times New Roman"/>
          <w:i/>
          <w:iCs/>
        </w:rPr>
        <w:t>Journal of Environmental Management</w:t>
      </w:r>
      <w:r w:rsidRPr="00452E78">
        <w:rPr>
          <w:rFonts w:ascii="Times New Roman" w:hAnsi="Times New Roman" w:cs="Times New Roman"/>
        </w:rPr>
        <w:t xml:space="preserve">, </w:t>
      </w:r>
      <w:r w:rsidRPr="00452E78">
        <w:rPr>
          <w:rFonts w:ascii="Times New Roman" w:hAnsi="Times New Roman" w:cs="Times New Roman"/>
          <w:i/>
          <w:iCs/>
        </w:rPr>
        <w:t>206</w:t>
      </w:r>
      <w:r w:rsidRPr="00452E78">
        <w:rPr>
          <w:rFonts w:ascii="Times New Roman" w:hAnsi="Times New Roman" w:cs="Times New Roman"/>
        </w:rPr>
        <w:t xml:space="preserve">, 1192–1203. </w:t>
      </w:r>
      <w:hyperlink r:id="rId19" w:history="1">
        <w:r w:rsidRPr="00452E78">
          <w:rPr>
            <w:rStyle w:val="Hyperlink"/>
            <w:rFonts w:ascii="Times New Roman" w:hAnsi="Times New Roman" w:cs="Times New Roman"/>
          </w:rPr>
          <w:t>https://doi.org/10.1016/j.jenvman.2017.10.015</w:t>
        </w:r>
      </w:hyperlink>
    </w:p>
    <w:p w14:paraId="2333FB47" w14:textId="77777777" w:rsidR="007746A0" w:rsidRPr="00452E78" w:rsidRDefault="007746A0" w:rsidP="007746A0">
      <w:pPr>
        <w:pStyle w:val="Bibliography"/>
        <w:spacing w:line="360" w:lineRule="auto"/>
        <w:rPr>
          <w:rFonts w:ascii="Times New Roman" w:hAnsi="Times New Roman" w:cs="Times New Roman"/>
          <w:lang w:val="en-US"/>
        </w:rPr>
      </w:pPr>
    </w:p>
    <w:p w14:paraId="1C3B9D20"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Bray, D. B. (2018). Democracy in the Woods: environmental conservation and social justice in India, Tanzania, and Mexico. </w:t>
      </w:r>
      <w:r w:rsidRPr="00452E78">
        <w:rPr>
          <w:rFonts w:ascii="Times New Roman" w:hAnsi="Times New Roman" w:cs="Times New Roman"/>
          <w:i/>
          <w:iCs/>
        </w:rPr>
        <w:t>International Journal of the Commons</w:t>
      </w:r>
      <w:r w:rsidRPr="00452E78">
        <w:rPr>
          <w:rFonts w:ascii="Times New Roman" w:hAnsi="Times New Roman" w:cs="Times New Roman"/>
        </w:rPr>
        <w:t xml:space="preserve">, </w:t>
      </w:r>
      <w:r w:rsidRPr="00452E78">
        <w:rPr>
          <w:rFonts w:ascii="Times New Roman" w:hAnsi="Times New Roman" w:cs="Times New Roman"/>
          <w:i/>
          <w:iCs/>
        </w:rPr>
        <w:t>12</w:t>
      </w:r>
      <w:r w:rsidRPr="00452E78">
        <w:rPr>
          <w:rFonts w:ascii="Times New Roman" w:hAnsi="Times New Roman" w:cs="Times New Roman"/>
        </w:rPr>
        <w:t xml:space="preserve">(1), 596–598. </w:t>
      </w:r>
      <w:hyperlink r:id="rId20" w:history="1">
        <w:r w:rsidRPr="00452E78">
          <w:rPr>
            <w:rStyle w:val="Hyperlink"/>
            <w:rFonts w:ascii="Times New Roman" w:hAnsi="Times New Roman" w:cs="Times New Roman"/>
          </w:rPr>
          <w:t>https://doi.org/10.18352/ijc.883</w:t>
        </w:r>
      </w:hyperlink>
    </w:p>
    <w:p w14:paraId="36078F4B" w14:textId="77777777" w:rsidR="007746A0" w:rsidRPr="00452E78" w:rsidRDefault="007746A0" w:rsidP="007746A0">
      <w:pPr>
        <w:pStyle w:val="Bibliography"/>
        <w:spacing w:line="360" w:lineRule="auto"/>
        <w:rPr>
          <w:rFonts w:ascii="Times New Roman" w:hAnsi="Times New Roman" w:cs="Times New Roman"/>
          <w:lang w:val="en-US"/>
        </w:rPr>
      </w:pPr>
    </w:p>
    <w:p w14:paraId="5B1112B3"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Chen, J., Chen, J., Liao, A., Cao, X., Chen, L., Chen, X., He, C., Han, G., Peng, S., Lu, M., Zhang, W., Tong, X., &amp; Mills, J. (2014). Global land cover mapping at 30 m resolution: A POK-based operational approach. </w:t>
      </w:r>
      <w:r w:rsidRPr="00452E78">
        <w:rPr>
          <w:rFonts w:ascii="Times New Roman" w:hAnsi="Times New Roman" w:cs="Times New Roman"/>
          <w:i/>
          <w:iCs/>
        </w:rPr>
        <w:t>ISPRS Journal of Photogrammetry and Remote Sensing</w:t>
      </w:r>
      <w:r w:rsidRPr="00452E78">
        <w:rPr>
          <w:rFonts w:ascii="Times New Roman" w:hAnsi="Times New Roman" w:cs="Times New Roman"/>
        </w:rPr>
        <w:t xml:space="preserve">, </w:t>
      </w:r>
      <w:r w:rsidRPr="00452E78">
        <w:rPr>
          <w:rFonts w:ascii="Times New Roman" w:hAnsi="Times New Roman" w:cs="Times New Roman"/>
          <w:i/>
          <w:iCs/>
        </w:rPr>
        <w:t>103</w:t>
      </w:r>
      <w:r w:rsidRPr="00452E78">
        <w:rPr>
          <w:rFonts w:ascii="Times New Roman" w:hAnsi="Times New Roman" w:cs="Times New Roman"/>
        </w:rPr>
        <w:t xml:space="preserve">, 7–27. </w:t>
      </w:r>
      <w:hyperlink r:id="rId21" w:history="1">
        <w:r w:rsidRPr="00452E78">
          <w:rPr>
            <w:rStyle w:val="Hyperlink"/>
            <w:rFonts w:ascii="Times New Roman" w:hAnsi="Times New Roman" w:cs="Times New Roman"/>
          </w:rPr>
          <w:t>https://doi.org/10.1016/j.isprsjprs.2014.09.002</w:t>
        </w:r>
      </w:hyperlink>
    </w:p>
    <w:p w14:paraId="390750CB" w14:textId="77777777" w:rsidR="007746A0" w:rsidRPr="00452E78" w:rsidRDefault="007746A0" w:rsidP="007746A0">
      <w:pPr>
        <w:pStyle w:val="Bibliography"/>
        <w:spacing w:line="360" w:lineRule="auto"/>
        <w:rPr>
          <w:rFonts w:ascii="Times New Roman" w:hAnsi="Times New Roman" w:cs="Times New Roman"/>
          <w:lang w:val="en-US"/>
        </w:rPr>
      </w:pPr>
    </w:p>
    <w:p w14:paraId="68B34792" w14:textId="77777777" w:rsidR="007746A0" w:rsidRPr="00452E78" w:rsidRDefault="007746A0" w:rsidP="007746A0">
      <w:pPr>
        <w:pStyle w:val="Bibliography"/>
        <w:spacing w:line="360" w:lineRule="auto"/>
        <w:rPr>
          <w:rFonts w:ascii="Times New Roman" w:hAnsi="Times New Roman" w:cs="Times New Roman"/>
          <w:lang w:val="en-US"/>
        </w:rPr>
      </w:pPr>
      <w:proofErr w:type="spellStart"/>
      <w:r w:rsidRPr="00452E78">
        <w:rPr>
          <w:rFonts w:ascii="Times New Roman" w:hAnsi="Times New Roman" w:cs="Times New Roman"/>
        </w:rPr>
        <w:t>Congalton</w:t>
      </w:r>
      <w:proofErr w:type="spellEnd"/>
      <w:r w:rsidRPr="00452E78">
        <w:rPr>
          <w:rFonts w:ascii="Times New Roman" w:hAnsi="Times New Roman" w:cs="Times New Roman"/>
        </w:rPr>
        <w:t xml:space="preserve">, R. G. (1991). A review of assessing the accuracy of classifications of remotely sensed data. </w:t>
      </w:r>
      <w:r w:rsidRPr="00452E78">
        <w:rPr>
          <w:rFonts w:ascii="Times New Roman" w:hAnsi="Times New Roman" w:cs="Times New Roman"/>
          <w:i/>
          <w:iCs/>
        </w:rPr>
        <w:t>Remote Sensing of Environment</w:t>
      </w:r>
      <w:r w:rsidRPr="00452E78">
        <w:rPr>
          <w:rFonts w:ascii="Times New Roman" w:hAnsi="Times New Roman" w:cs="Times New Roman"/>
        </w:rPr>
        <w:t xml:space="preserve">, </w:t>
      </w:r>
      <w:r w:rsidRPr="00452E78">
        <w:rPr>
          <w:rFonts w:ascii="Times New Roman" w:hAnsi="Times New Roman" w:cs="Times New Roman"/>
          <w:i/>
          <w:iCs/>
        </w:rPr>
        <w:t>37</w:t>
      </w:r>
      <w:r w:rsidRPr="00452E78">
        <w:rPr>
          <w:rFonts w:ascii="Times New Roman" w:hAnsi="Times New Roman" w:cs="Times New Roman"/>
        </w:rPr>
        <w:t xml:space="preserve">(1), 35–46. </w:t>
      </w:r>
      <w:hyperlink r:id="rId22" w:history="1">
        <w:r w:rsidRPr="00452E78">
          <w:rPr>
            <w:rStyle w:val="Hyperlink"/>
            <w:rFonts w:ascii="Times New Roman" w:hAnsi="Times New Roman" w:cs="Times New Roman"/>
          </w:rPr>
          <w:t>https://doi.org/10.1016/0034-4257(91)90048-b</w:t>
        </w:r>
      </w:hyperlink>
    </w:p>
    <w:p w14:paraId="40CDA559" w14:textId="77777777" w:rsidR="007746A0" w:rsidRPr="00452E78" w:rsidRDefault="007746A0" w:rsidP="007746A0">
      <w:pPr>
        <w:pStyle w:val="Bibliography"/>
        <w:spacing w:line="360" w:lineRule="auto"/>
        <w:rPr>
          <w:rFonts w:ascii="Times New Roman" w:hAnsi="Times New Roman" w:cs="Times New Roman"/>
          <w:lang w:val="en-US"/>
        </w:rPr>
      </w:pPr>
    </w:p>
    <w:p w14:paraId="2C4D2418"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Foley, J. A., DeFries, R., Asner, G. P., Barford, C., Bonan, G., Carpenter, S. R., Chapin, F. S., Coe, M. T., Daily, G. C., Gibbs, H. K., Helkowski, J. H., Holloway, T., Howard, E. A., Kucharik, C. J., Monfreda, C., Patz, J. A., Prentice, I. C., Ramankutty, N., &amp; Snyder, P. K. (2005). Global consequences of land use. </w:t>
      </w:r>
      <w:r w:rsidRPr="00452E78">
        <w:rPr>
          <w:rFonts w:ascii="Times New Roman" w:hAnsi="Times New Roman" w:cs="Times New Roman"/>
          <w:i/>
          <w:iCs/>
        </w:rPr>
        <w:t>Science</w:t>
      </w:r>
      <w:r w:rsidRPr="00452E78">
        <w:rPr>
          <w:rFonts w:ascii="Times New Roman" w:hAnsi="Times New Roman" w:cs="Times New Roman"/>
        </w:rPr>
        <w:t xml:space="preserve">, </w:t>
      </w:r>
      <w:r w:rsidRPr="00452E78">
        <w:rPr>
          <w:rFonts w:ascii="Times New Roman" w:hAnsi="Times New Roman" w:cs="Times New Roman"/>
          <w:i/>
          <w:iCs/>
        </w:rPr>
        <w:t>309</w:t>
      </w:r>
      <w:r w:rsidRPr="00452E78">
        <w:rPr>
          <w:rFonts w:ascii="Times New Roman" w:hAnsi="Times New Roman" w:cs="Times New Roman"/>
        </w:rPr>
        <w:t xml:space="preserve">(5734), 570–574. </w:t>
      </w:r>
      <w:hyperlink r:id="rId23" w:history="1">
        <w:r w:rsidRPr="00452E78">
          <w:rPr>
            <w:rStyle w:val="Hyperlink"/>
            <w:rFonts w:ascii="Times New Roman" w:hAnsi="Times New Roman" w:cs="Times New Roman"/>
          </w:rPr>
          <w:t>https://doi.org/10.1126/science.1111772</w:t>
        </w:r>
      </w:hyperlink>
    </w:p>
    <w:p w14:paraId="266E819D" w14:textId="77777777" w:rsidR="007746A0" w:rsidRPr="00452E78" w:rsidRDefault="007746A0" w:rsidP="007746A0">
      <w:pPr>
        <w:pStyle w:val="Bibliography"/>
        <w:spacing w:line="360" w:lineRule="auto"/>
        <w:rPr>
          <w:rFonts w:ascii="Times New Roman" w:hAnsi="Times New Roman" w:cs="Times New Roman"/>
          <w:lang w:val="en-US"/>
        </w:rPr>
      </w:pPr>
    </w:p>
    <w:p w14:paraId="786F3627"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lastRenderedPageBreak/>
        <w:t xml:space="preserve">Foody, G. M. (2002). Status of land cover classification accuracy assessment. </w:t>
      </w:r>
      <w:r w:rsidRPr="00452E78">
        <w:rPr>
          <w:rFonts w:ascii="Times New Roman" w:hAnsi="Times New Roman" w:cs="Times New Roman"/>
          <w:i/>
          <w:iCs/>
        </w:rPr>
        <w:t>Remote Sensing of Environment</w:t>
      </w:r>
      <w:r w:rsidRPr="00452E78">
        <w:rPr>
          <w:rFonts w:ascii="Times New Roman" w:hAnsi="Times New Roman" w:cs="Times New Roman"/>
        </w:rPr>
        <w:t xml:space="preserve">, </w:t>
      </w:r>
      <w:r w:rsidRPr="00452E78">
        <w:rPr>
          <w:rFonts w:ascii="Times New Roman" w:hAnsi="Times New Roman" w:cs="Times New Roman"/>
          <w:i/>
          <w:iCs/>
        </w:rPr>
        <w:t>80</w:t>
      </w:r>
      <w:r w:rsidRPr="00452E78">
        <w:rPr>
          <w:rFonts w:ascii="Times New Roman" w:hAnsi="Times New Roman" w:cs="Times New Roman"/>
        </w:rPr>
        <w:t xml:space="preserve">(1), 185–201. </w:t>
      </w:r>
      <w:hyperlink r:id="rId24" w:history="1">
        <w:r w:rsidRPr="00452E78">
          <w:rPr>
            <w:rStyle w:val="Hyperlink"/>
            <w:rFonts w:ascii="Times New Roman" w:hAnsi="Times New Roman" w:cs="Times New Roman"/>
          </w:rPr>
          <w:t>https://doi.org/10.1016/s0034-4257(01)00295-4</w:t>
        </w:r>
      </w:hyperlink>
    </w:p>
    <w:p w14:paraId="5D7D795E" w14:textId="77777777" w:rsidR="007746A0" w:rsidRPr="00452E78" w:rsidRDefault="007746A0" w:rsidP="007746A0">
      <w:pPr>
        <w:pStyle w:val="Bibliography"/>
        <w:spacing w:line="360" w:lineRule="auto"/>
        <w:rPr>
          <w:rFonts w:ascii="Times New Roman" w:hAnsi="Times New Roman" w:cs="Times New Roman"/>
          <w:lang w:val="en-US"/>
        </w:rPr>
      </w:pPr>
    </w:p>
    <w:p w14:paraId="31A5E716"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Hussain, S., Mubeen, M., Ahmad, A., Akram, W., Hammad, H. M., Ali, M., Masood, N., Amin, A., Farid, H. U., Sultana, S. R., Fahad, S., Wang, D., &amp; Nasim, W. (2019). Using GIS tools to detect the land use/land cover changes during forty years in </w:t>
      </w:r>
      <w:proofErr w:type="spellStart"/>
      <w:r w:rsidRPr="00452E78">
        <w:rPr>
          <w:rFonts w:ascii="Times New Roman" w:hAnsi="Times New Roman" w:cs="Times New Roman"/>
        </w:rPr>
        <w:t>Lodhran</w:t>
      </w:r>
      <w:proofErr w:type="spellEnd"/>
      <w:r w:rsidRPr="00452E78">
        <w:rPr>
          <w:rFonts w:ascii="Times New Roman" w:hAnsi="Times New Roman" w:cs="Times New Roman"/>
        </w:rPr>
        <w:t xml:space="preserve"> District of Pakistan. </w:t>
      </w:r>
      <w:r w:rsidRPr="00452E78">
        <w:rPr>
          <w:rFonts w:ascii="Times New Roman" w:hAnsi="Times New Roman" w:cs="Times New Roman"/>
          <w:i/>
          <w:iCs/>
        </w:rPr>
        <w:t>Environmental Science and Pollution Research</w:t>
      </w:r>
      <w:r w:rsidRPr="00452E78">
        <w:rPr>
          <w:rFonts w:ascii="Times New Roman" w:hAnsi="Times New Roman" w:cs="Times New Roman"/>
        </w:rPr>
        <w:t xml:space="preserve">, </w:t>
      </w:r>
      <w:r w:rsidRPr="00452E78">
        <w:rPr>
          <w:rFonts w:ascii="Times New Roman" w:hAnsi="Times New Roman" w:cs="Times New Roman"/>
          <w:i/>
          <w:iCs/>
        </w:rPr>
        <w:t>27</w:t>
      </w:r>
      <w:r w:rsidRPr="00452E78">
        <w:rPr>
          <w:rFonts w:ascii="Times New Roman" w:hAnsi="Times New Roman" w:cs="Times New Roman"/>
        </w:rPr>
        <w:t xml:space="preserve">(32), 39676–39692. </w:t>
      </w:r>
      <w:hyperlink r:id="rId25" w:history="1">
        <w:r w:rsidRPr="00452E78">
          <w:rPr>
            <w:rStyle w:val="Hyperlink"/>
            <w:rFonts w:ascii="Times New Roman" w:hAnsi="Times New Roman" w:cs="Times New Roman"/>
          </w:rPr>
          <w:t>https://doi.org/10.1007/s11356-019-06072-3</w:t>
        </w:r>
      </w:hyperlink>
    </w:p>
    <w:p w14:paraId="449F0BF6" w14:textId="77777777" w:rsidR="007746A0" w:rsidRPr="00452E78" w:rsidRDefault="007746A0" w:rsidP="007746A0">
      <w:pPr>
        <w:pStyle w:val="Bibliography"/>
        <w:spacing w:line="360" w:lineRule="auto"/>
        <w:rPr>
          <w:rFonts w:ascii="Times New Roman" w:hAnsi="Times New Roman" w:cs="Times New Roman"/>
          <w:lang w:val="en-US"/>
        </w:rPr>
      </w:pPr>
    </w:p>
    <w:p w14:paraId="249AB575"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Islami, F. A., </w:t>
      </w:r>
      <w:proofErr w:type="spellStart"/>
      <w:r w:rsidRPr="00452E78">
        <w:rPr>
          <w:rFonts w:ascii="Times New Roman" w:hAnsi="Times New Roman" w:cs="Times New Roman"/>
        </w:rPr>
        <w:t>Tarigan</w:t>
      </w:r>
      <w:proofErr w:type="spellEnd"/>
      <w:r w:rsidRPr="00452E78">
        <w:rPr>
          <w:rFonts w:ascii="Times New Roman" w:hAnsi="Times New Roman" w:cs="Times New Roman"/>
        </w:rPr>
        <w:t xml:space="preserve">, S. D., </w:t>
      </w:r>
      <w:proofErr w:type="spellStart"/>
      <w:r w:rsidRPr="00452E78">
        <w:rPr>
          <w:rFonts w:ascii="Times New Roman" w:hAnsi="Times New Roman" w:cs="Times New Roman"/>
        </w:rPr>
        <w:t>Wahjunie</w:t>
      </w:r>
      <w:proofErr w:type="spellEnd"/>
      <w:r w:rsidRPr="00452E78">
        <w:rPr>
          <w:rFonts w:ascii="Times New Roman" w:hAnsi="Times New Roman" w:cs="Times New Roman"/>
        </w:rPr>
        <w:t xml:space="preserve">, E. D., &amp; </w:t>
      </w:r>
      <w:proofErr w:type="spellStart"/>
      <w:r w:rsidRPr="00452E78">
        <w:rPr>
          <w:rFonts w:ascii="Times New Roman" w:hAnsi="Times New Roman" w:cs="Times New Roman"/>
        </w:rPr>
        <w:t>Dasanto</w:t>
      </w:r>
      <w:proofErr w:type="spellEnd"/>
      <w:r w:rsidRPr="00452E78">
        <w:rPr>
          <w:rFonts w:ascii="Times New Roman" w:hAnsi="Times New Roman" w:cs="Times New Roman"/>
        </w:rPr>
        <w:t xml:space="preserve">, B. D. (2022). Accuracy assessment of land use change analysis using Google Earth in Sadar Watershed Mojokerto Regency. </w:t>
      </w:r>
      <w:r w:rsidRPr="00452E78">
        <w:rPr>
          <w:rFonts w:ascii="Times New Roman" w:hAnsi="Times New Roman" w:cs="Times New Roman"/>
          <w:i/>
          <w:iCs/>
        </w:rPr>
        <w:t>IOP Conference Series Earth and Environmental Science</w:t>
      </w:r>
      <w:r w:rsidRPr="00452E78">
        <w:rPr>
          <w:rFonts w:ascii="Times New Roman" w:hAnsi="Times New Roman" w:cs="Times New Roman"/>
        </w:rPr>
        <w:t xml:space="preserve">, </w:t>
      </w:r>
      <w:r w:rsidRPr="00452E78">
        <w:rPr>
          <w:rFonts w:ascii="Times New Roman" w:hAnsi="Times New Roman" w:cs="Times New Roman"/>
          <w:i/>
          <w:iCs/>
        </w:rPr>
        <w:t>950</w:t>
      </w:r>
      <w:r w:rsidRPr="00452E78">
        <w:rPr>
          <w:rFonts w:ascii="Times New Roman" w:hAnsi="Times New Roman" w:cs="Times New Roman"/>
        </w:rPr>
        <w:t xml:space="preserve">(1), 012091. </w:t>
      </w:r>
      <w:hyperlink r:id="rId26" w:history="1">
        <w:r w:rsidRPr="00452E78">
          <w:rPr>
            <w:rStyle w:val="Hyperlink"/>
            <w:rFonts w:ascii="Times New Roman" w:hAnsi="Times New Roman" w:cs="Times New Roman"/>
          </w:rPr>
          <w:t>https://doi.org/10.1088/1755-1315/950/1/012091</w:t>
        </w:r>
      </w:hyperlink>
    </w:p>
    <w:p w14:paraId="5E302238" w14:textId="77777777" w:rsidR="007746A0" w:rsidRPr="00452E78" w:rsidRDefault="007746A0" w:rsidP="007746A0">
      <w:pPr>
        <w:pStyle w:val="Bibliography"/>
        <w:spacing w:line="360" w:lineRule="auto"/>
        <w:rPr>
          <w:rFonts w:ascii="Times New Roman" w:hAnsi="Times New Roman" w:cs="Times New Roman"/>
          <w:lang w:val="en-US"/>
        </w:rPr>
      </w:pPr>
    </w:p>
    <w:p w14:paraId="779D9A94"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Karan, S. K., &amp; </w:t>
      </w:r>
      <w:proofErr w:type="spellStart"/>
      <w:r w:rsidRPr="00452E78">
        <w:rPr>
          <w:rFonts w:ascii="Times New Roman" w:hAnsi="Times New Roman" w:cs="Times New Roman"/>
        </w:rPr>
        <w:t>Samadder</w:t>
      </w:r>
      <w:proofErr w:type="spellEnd"/>
      <w:r w:rsidRPr="00452E78">
        <w:rPr>
          <w:rFonts w:ascii="Times New Roman" w:hAnsi="Times New Roman" w:cs="Times New Roman"/>
        </w:rPr>
        <w:t xml:space="preserve">, S. R. (2018). A comparison of different land-use classification techniques for accurate monitoring of degraded coal-mining areas. </w:t>
      </w:r>
      <w:r w:rsidRPr="00452E78">
        <w:rPr>
          <w:rFonts w:ascii="Times New Roman" w:hAnsi="Times New Roman" w:cs="Times New Roman"/>
          <w:i/>
          <w:iCs/>
        </w:rPr>
        <w:t>Environmental Earth Sciences</w:t>
      </w:r>
      <w:r w:rsidRPr="00452E78">
        <w:rPr>
          <w:rFonts w:ascii="Times New Roman" w:hAnsi="Times New Roman" w:cs="Times New Roman"/>
        </w:rPr>
        <w:t xml:space="preserve">, </w:t>
      </w:r>
      <w:r w:rsidRPr="00452E78">
        <w:rPr>
          <w:rFonts w:ascii="Times New Roman" w:hAnsi="Times New Roman" w:cs="Times New Roman"/>
          <w:i/>
          <w:iCs/>
        </w:rPr>
        <w:t>77</w:t>
      </w:r>
      <w:r w:rsidRPr="00452E78">
        <w:rPr>
          <w:rFonts w:ascii="Times New Roman" w:hAnsi="Times New Roman" w:cs="Times New Roman"/>
        </w:rPr>
        <w:t xml:space="preserve">(20). </w:t>
      </w:r>
      <w:hyperlink r:id="rId27" w:history="1">
        <w:r w:rsidRPr="00452E78">
          <w:rPr>
            <w:rStyle w:val="Hyperlink"/>
            <w:rFonts w:ascii="Times New Roman" w:hAnsi="Times New Roman" w:cs="Times New Roman"/>
          </w:rPr>
          <w:t>https://doi.org/10.1007/s12665-018-7893-5</w:t>
        </w:r>
      </w:hyperlink>
    </w:p>
    <w:p w14:paraId="7440109B" w14:textId="77777777" w:rsidR="007746A0" w:rsidRPr="00452E78" w:rsidRDefault="007746A0" w:rsidP="007746A0">
      <w:pPr>
        <w:pStyle w:val="Bibliography"/>
        <w:spacing w:line="360" w:lineRule="auto"/>
        <w:rPr>
          <w:rFonts w:ascii="Times New Roman" w:hAnsi="Times New Roman" w:cs="Times New Roman"/>
          <w:lang w:val="en-US"/>
        </w:rPr>
      </w:pPr>
    </w:p>
    <w:p w14:paraId="58C9F96D"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Khan, M. L. (2013). Deka J., Tripathi O. P., and Khan M. L. (2012). Urban growth trend analysis using Shannon Entropy approach – a case study in north east India, International Journal of Geomatics and Geosciences 2(4):1072-1078. </w:t>
      </w:r>
      <w:hyperlink r:id="rId28" w:history="1">
        <w:r w:rsidRPr="00452E78">
          <w:rPr>
            <w:rStyle w:val="Hyperlink"/>
            <w:rFonts w:ascii="Times New Roman" w:hAnsi="Times New Roman" w:cs="Times New Roman"/>
          </w:rPr>
          <w:t>https://www.academia.edu/3488091/Deka_J_Tripathi_O_P_and_Khan_M_L_2012_Urban_growth_trend_analysis_using_Shannon_Entropy_approach_a_case_study_in_north_east_India_International_Journal_of_Geomatics_and_Geosciences_2_4_1072_1078</w:t>
        </w:r>
      </w:hyperlink>
    </w:p>
    <w:p w14:paraId="5772B2D2" w14:textId="77777777" w:rsidR="007746A0" w:rsidRPr="00452E78" w:rsidRDefault="007746A0" w:rsidP="007746A0">
      <w:pPr>
        <w:pStyle w:val="Bibliography"/>
        <w:spacing w:line="360" w:lineRule="auto"/>
        <w:rPr>
          <w:rFonts w:ascii="Times New Roman" w:hAnsi="Times New Roman" w:cs="Times New Roman"/>
          <w:lang w:val="en-US"/>
        </w:rPr>
      </w:pPr>
    </w:p>
    <w:p w14:paraId="66431587" w14:textId="77777777" w:rsidR="007746A0" w:rsidRPr="00452E78" w:rsidRDefault="007746A0" w:rsidP="007746A0">
      <w:pPr>
        <w:pStyle w:val="Bibliography"/>
        <w:spacing w:line="360" w:lineRule="auto"/>
        <w:rPr>
          <w:rFonts w:ascii="Times New Roman" w:hAnsi="Times New Roman" w:cs="Times New Roman"/>
          <w:lang w:val="en-US"/>
        </w:rPr>
      </w:pPr>
      <w:r w:rsidRPr="00EB0C6A">
        <w:rPr>
          <w:rFonts w:ascii="Times New Roman" w:hAnsi="Times New Roman" w:cs="Times New Roman"/>
          <w:lang w:val="pt-PT"/>
        </w:rPr>
        <w:t xml:space="preserve">Kumar, D. S., Arya, D., &amp; Vojinovic, Z. (2013). </w:t>
      </w:r>
      <w:proofErr w:type="spellStart"/>
      <w:r w:rsidRPr="00452E78">
        <w:rPr>
          <w:rFonts w:ascii="Times New Roman" w:hAnsi="Times New Roman" w:cs="Times New Roman"/>
        </w:rPr>
        <w:t>Modeling</w:t>
      </w:r>
      <w:proofErr w:type="spellEnd"/>
      <w:r w:rsidRPr="00452E78">
        <w:rPr>
          <w:rFonts w:ascii="Times New Roman" w:hAnsi="Times New Roman" w:cs="Times New Roman"/>
        </w:rPr>
        <w:t xml:space="preserve"> of urban growth dynamics and its impact on surface runoff characteristics. </w:t>
      </w:r>
      <w:r w:rsidRPr="00452E78">
        <w:rPr>
          <w:rFonts w:ascii="Times New Roman" w:hAnsi="Times New Roman" w:cs="Times New Roman"/>
          <w:i/>
          <w:iCs/>
        </w:rPr>
        <w:t>Computers Environment and Urban Systems</w:t>
      </w:r>
      <w:r w:rsidRPr="00452E78">
        <w:rPr>
          <w:rFonts w:ascii="Times New Roman" w:hAnsi="Times New Roman" w:cs="Times New Roman"/>
        </w:rPr>
        <w:t xml:space="preserve">, </w:t>
      </w:r>
      <w:r w:rsidRPr="00452E78">
        <w:rPr>
          <w:rFonts w:ascii="Times New Roman" w:hAnsi="Times New Roman" w:cs="Times New Roman"/>
          <w:i/>
          <w:iCs/>
        </w:rPr>
        <w:t>41</w:t>
      </w:r>
      <w:r w:rsidRPr="00452E78">
        <w:rPr>
          <w:rFonts w:ascii="Times New Roman" w:hAnsi="Times New Roman" w:cs="Times New Roman"/>
        </w:rPr>
        <w:t xml:space="preserve">, 124–135. </w:t>
      </w:r>
      <w:hyperlink r:id="rId29" w:history="1">
        <w:r w:rsidRPr="00452E78">
          <w:rPr>
            <w:rStyle w:val="Hyperlink"/>
            <w:rFonts w:ascii="Times New Roman" w:hAnsi="Times New Roman" w:cs="Times New Roman"/>
          </w:rPr>
          <w:t>https://doi.org/10.1016/j.compenvurbsys.2013.05.004</w:t>
        </w:r>
      </w:hyperlink>
    </w:p>
    <w:p w14:paraId="369DC3D2" w14:textId="77777777" w:rsidR="007746A0" w:rsidRPr="00452E78" w:rsidRDefault="007746A0" w:rsidP="007746A0">
      <w:pPr>
        <w:pStyle w:val="Bibliography"/>
        <w:spacing w:line="360" w:lineRule="auto"/>
        <w:rPr>
          <w:rFonts w:ascii="Times New Roman" w:hAnsi="Times New Roman" w:cs="Times New Roman"/>
          <w:lang w:val="en-US"/>
        </w:rPr>
      </w:pPr>
    </w:p>
    <w:p w14:paraId="5D6E18B8" w14:textId="77777777" w:rsidR="007746A0" w:rsidRPr="00452E78" w:rsidRDefault="007746A0" w:rsidP="007746A0">
      <w:pPr>
        <w:pStyle w:val="Bibliography"/>
        <w:spacing w:line="360" w:lineRule="auto"/>
        <w:rPr>
          <w:rFonts w:ascii="Times New Roman" w:hAnsi="Times New Roman" w:cs="Times New Roman"/>
          <w:lang w:val="en-US"/>
        </w:rPr>
      </w:pPr>
      <w:proofErr w:type="spellStart"/>
      <w:r w:rsidRPr="00452E78">
        <w:rPr>
          <w:rFonts w:ascii="Times New Roman" w:hAnsi="Times New Roman" w:cs="Times New Roman"/>
        </w:rPr>
        <w:t>Lalhmachhuana</w:t>
      </w:r>
      <w:proofErr w:type="spellEnd"/>
      <w:r w:rsidRPr="00452E78">
        <w:rPr>
          <w:rFonts w:ascii="Times New Roman" w:hAnsi="Times New Roman" w:cs="Times New Roman"/>
        </w:rPr>
        <w:t xml:space="preserve">, H., </w:t>
      </w:r>
      <w:proofErr w:type="spellStart"/>
      <w:r w:rsidRPr="00452E78">
        <w:rPr>
          <w:rFonts w:ascii="Times New Roman" w:hAnsi="Times New Roman" w:cs="Times New Roman"/>
        </w:rPr>
        <w:t>Lalnuntluanga</w:t>
      </w:r>
      <w:proofErr w:type="spellEnd"/>
      <w:r w:rsidRPr="00452E78">
        <w:rPr>
          <w:rFonts w:ascii="Times New Roman" w:hAnsi="Times New Roman" w:cs="Times New Roman"/>
        </w:rPr>
        <w:t xml:space="preserve">, Prof., </w:t>
      </w:r>
      <w:proofErr w:type="spellStart"/>
      <w:r w:rsidRPr="00452E78">
        <w:rPr>
          <w:rFonts w:ascii="Times New Roman" w:hAnsi="Times New Roman" w:cs="Times New Roman"/>
        </w:rPr>
        <w:t>Lalramdina</w:t>
      </w:r>
      <w:proofErr w:type="spellEnd"/>
      <w:r w:rsidRPr="00452E78">
        <w:rPr>
          <w:rFonts w:ascii="Times New Roman" w:hAnsi="Times New Roman" w:cs="Times New Roman"/>
        </w:rPr>
        <w:t xml:space="preserve">, Dr., &amp; Dept. of Environmental Science, Mizoram University, Aizawl, Mizoram, India. (2022). Analysis Of Land Use Land Cover Change </w:t>
      </w:r>
      <w:r w:rsidRPr="00452E78">
        <w:rPr>
          <w:rFonts w:ascii="Times New Roman" w:hAnsi="Times New Roman" w:cs="Times New Roman"/>
        </w:rPr>
        <w:lastRenderedPageBreak/>
        <w:t xml:space="preserve">Using Remote Sensing </w:t>
      </w:r>
      <w:proofErr w:type="gramStart"/>
      <w:r w:rsidRPr="00452E78">
        <w:rPr>
          <w:rFonts w:ascii="Times New Roman" w:hAnsi="Times New Roman" w:cs="Times New Roman"/>
        </w:rPr>
        <w:t>And</w:t>
      </w:r>
      <w:proofErr w:type="gramEnd"/>
      <w:r w:rsidRPr="00452E78">
        <w:rPr>
          <w:rFonts w:ascii="Times New Roman" w:hAnsi="Times New Roman" w:cs="Times New Roman"/>
        </w:rPr>
        <w:t xml:space="preserve"> Geographical Information System </w:t>
      </w:r>
      <w:proofErr w:type="gramStart"/>
      <w:r w:rsidRPr="00452E78">
        <w:rPr>
          <w:rFonts w:ascii="Times New Roman" w:hAnsi="Times New Roman" w:cs="Times New Roman"/>
        </w:rPr>
        <w:t>At</w:t>
      </w:r>
      <w:proofErr w:type="gramEnd"/>
      <w:r w:rsidRPr="00452E78">
        <w:rPr>
          <w:rFonts w:ascii="Times New Roman" w:hAnsi="Times New Roman" w:cs="Times New Roman"/>
        </w:rPr>
        <w:t xml:space="preserve"> Aizawl District, Mizoram, India. In </w:t>
      </w:r>
      <w:r w:rsidRPr="00452E78">
        <w:rPr>
          <w:rFonts w:ascii="Times New Roman" w:hAnsi="Times New Roman" w:cs="Times New Roman"/>
          <w:i/>
          <w:iCs/>
        </w:rPr>
        <w:t>Journal of Emerging Technologies and Innovative Research</w:t>
      </w:r>
      <w:r w:rsidRPr="00452E78">
        <w:rPr>
          <w:rFonts w:ascii="Times New Roman" w:hAnsi="Times New Roman" w:cs="Times New Roman"/>
        </w:rPr>
        <w:t xml:space="preserve"> (Vol. 9, Issue 7</w:t>
      </w:r>
      <w:proofErr w:type="gramStart"/>
      <w:r w:rsidRPr="00452E78">
        <w:rPr>
          <w:rFonts w:ascii="Times New Roman" w:hAnsi="Times New Roman" w:cs="Times New Roman"/>
        </w:rPr>
        <w:t>) .</w:t>
      </w:r>
      <w:proofErr w:type="gramEnd"/>
      <w:r w:rsidRPr="00452E78">
        <w:rPr>
          <w:rFonts w:ascii="Times New Roman" w:hAnsi="Times New Roman" w:cs="Times New Roman"/>
        </w:rPr>
        <w:t xml:space="preserve"> </w:t>
      </w:r>
      <w:hyperlink r:id="rId30" w:history="1">
        <w:r w:rsidRPr="00452E78">
          <w:rPr>
            <w:rStyle w:val="Hyperlink"/>
            <w:rFonts w:ascii="Times New Roman" w:hAnsi="Times New Roman" w:cs="Times New Roman"/>
          </w:rPr>
          <w:t>https://www.jetir.org/papers/JETIR2207552.pdf</w:t>
        </w:r>
      </w:hyperlink>
    </w:p>
    <w:p w14:paraId="63B724FB" w14:textId="77777777" w:rsidR="007746A0" w:rsidRPr="00452E78" w:rsidRDefault="007746A0" w:rsidP="007746A0">
      <w:pPr>
        <w:pStyle w:val="Bibliography"/>
        <w:spacing w:line="360" w:lineRule="auto"/>
        <w:rPr>
          <w:rFonts w:ascii="Times New Roman" w:hAnsi="Times New Roman" w:cs="Times New Roman"/>
          <w:lang w:val="en-US"/>
        </w:rPr>
      </w:pPr>
    </w:p>
    <w:p w14:paraId="04129EBC"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Lambin, E. F., Turner, B., Geist, H. J., </w:t>
      </w:r>
      <w:proofErr w:type="spellStart"/>
      <w:r w:rsidRPr="00452E78">
        <w:rPr>
          <w:rFonts w:ascii="Times New Roman" w:hAnsi="Times New Roman" w:cs="Times New Roman"/>
        </w:rPr>
        <w:t>Agbola</w:t>
      </w:r>
      <w:proofErr w:type="spellEnd"/>
      <w:r w:rsidRPr="00452E78">
        <w:rPr>
          <w:rFonts w:ascii="Times New Roman" w:hAnsi="Times New Roman" w:cs="Times New Roman"/>
        </w:rPr>
        <w:t xml:space="preserve">, S. B., Angelsen, A., Bruce, J. W., Coomes, O. T., Dirzo, R., Fischer, G., Folke, C., George, P., Homewood, K., Imbernon, J., Leemans, R., Li, X., Moran, E. F., Mortimore, M., Ramakrishnan, P., Richards, J. F., . . . Xu, J. (2001). The causes of land-use and land-cover change: moving beyond the myths. </w:t>
      </w:r>
      <w:r w:rsidRPr="00452E78">
        <w:rPr>
          <w:rFonts w:ascii="Times New Roman" w:hAnsi="Times New Roman" w:cs="Times New Roman"/>
          <w:i/>
          <w:iCs/>
        </w:rPr>
        <w:t>Global Environmental Change</w:t>
      </w:r>
      <w:r w:rsidRPr="00452E78">
        <w:rPr>
          <w:rFonts w:ascii="Times New Roman" w:hAnsi="Times New Roman" w:cs="Times New Roman"/>
        </w:rPr>
        <w:t xml:space="preserve">, </w:t>
      </w:r>
      <w:r w:rsidRPr="00452E78">
        <w:rPr>
          <w:rFonts w:ascii="Times New Roman" w:hAnsi="Times New Roman" w:cs="Times New Roman"/>
          <w:i/>
          <w:iCs/>
        </w:rPr>
        <w:t>11</w:t>
      </w:r>
      <w:r w:rsidRPr="00452E78">
        <w:rPr>
          <w:rFonts w:ascii="Times New Roman" w:hAnsi="Times New Roman" w:cs="Times New Roman"/>
        </w:rPr>
        <w:t xml:space="preserve">(4), 261–269. </w:t>
      </w:r>
      <w:hyperlink r:id="rId31" w:history="1">
        <w:r w:rsidRPr="00452E78">
          <w:rPr>
            <w:rStyle w:val="Hyperlink"/>
            <w:rFonts w:ascii="Times New Roman" w:hAnsi="Times New Roman" w:cs="Times New Roman"/>
          </w:rPr>
          <w:t>https://doi.org/10.1016/s0959-3780(01)00007-3</w:t>
        </w:r>
      </w:hyperlink>
    </w:p>
    <w:p w14:paraId="596034D6" w14:textId="77777777" w:rsidR="007746A0" w:rsidRPr="00452E78" w:rsidRDefault="007746A0" w:rsidP="007746A0">
      <w:pPr>
        <w:pStyle w:val="Bibliography"/>
        <w:spacing w:line="360" w:lineRule="auto"/>
        <w:rPr>
          <w:rFonts w:ascii="Times New Roman" w:hAnsi="Times New Roman" w:cs="Times New Roman"/>
          <w:lang w:val="en-US"/>
        </w:rPr>
      </w:pPr>
    </w:p>
    <w:p w14:paraId="5AD7EBD4"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Laurance, W. F., Campbell, M. J., Alamgir, M., &amp; Mahmoud, M. I. (2017). Road expansion and the fate of Africa’s tropical forests. </w:t>
      </w:r>
      <w:r w:rsidRPr="00452E78">
        <w:rPr>
          <w:rFonts w:ascii="Times New Roman" w:hAnsi="Times New Roman" w:cs="Times New Roman"/>
          <w:i/>
          <w:iCs/>
        </w:rPr>
        <w:t>Frontiers in Ecology and Evolution</w:t>
      </w:r>
      <w:r w:rsidRPr="00452E78">
        <w:rPr>
          <w:rFonts w:ascii="Times New Roman" w:hAnsi="Times New Roman" w:cs="Times New Roman"/>
        </w:rPr>
        <w:t xml:space="preserve">, </w:t>
      </w:r>
      <w:r w:rsidRPr="00452E78">
        <w:rPr>
          <w:rFonts w:ascii="Times New Roman" w:hAnsi="Times New Roman" w:cs="Times New Roman"/>
          <w:i/>
          <w:iCs/>
        </w:rPr>
        <w:t>5</w:t>
      </w:r>
      <w:r w:rsidRPr="00452E78">
        <w:rPr>
          <w:rFonts w:ascii="Times New Roman" w:hAnsi="Times New Roman" w:cs="Times New Roman"/>
        </w:rPr>
        <w:t xml:space="preserve">. </w:t>
      </w:r>
      <w:hyperlink r:id="rId32" w:history="1">
        <w:r w:rsidRPr="00452E78">
          <w:rPr>
            <w:rStyle w:val="Hyperlink"/>
            <w:rFonts w:ascii="Times New Roman" w:hAnsi="Times New Roman" w:cs="Times New Roman"/>
          </w:rPr>
          <w:t>https://doi.org/10.3389/fevo.2017.00075</w:t>
        </w:r>
      </w:hyperlink>
    </w:p>
    <w:p w14:paraId="287F080C" w14:textId="77777777" w:rsidR="007746A0" w:rsidRPr="00452E78" w:rsidRDefault="007746A0" w:rsidP="007746A0">
      <w:pPr>
        <w:pStyle w:val="Bibliography"/>
        <w:spacing w:line="360" w:lineRule="auto"/>
        <w:rPr>
          <w:rFonts w:ascii="Times New Roman" w:hAnsi="Times New Roman" w:cs="Times New Roman"/>
          <w:lang w:val="en-US"/>
        </w:rPr>
      </w:pPr>
    </w:p>
    <w:p w14:paraId="2C647AA5"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Lu, D., </w:t>
      </w:r>
      <w:proofErr w:type="spellStart"/>
      <w:r w:rsidRPr="00452E78">
        <w:rPr>
          <w:rFonts w:ascii="Times New Roman" w:hAnsi="Times New Roman" w:cs="Times New Roman"/>
        </w:rPr>
        <w:t>Mausel</w:t>
      </w:r>
      <w:proofErr w:type="spellEnd"/>
      <w:r w:rsidRPr="00452E78">
        <w:rPr>
          <w:rFonts w:ascii="Times New Roman" w:hAnsi="Times New Roman" w:cs="Times New Roman"/>
        </w:rPr>
        <w:t xml:space="preserve">, P., Brondízio, E., &amp; Moran, E. (2004). Change detection techniques. </w:t>
      </w:r>
      <w:r w:rsidRPr="00452E78">
        <w:rPr>
          <w:rFonts w:ascii="Times New Roman" w:hAnsi="Times New Roman" w:cs="Times New Roman"/>
          <w:i/>
          <w:iCs/>
        </w:rPr>
        <w:t>International Journal of Remote Sensing</w:t>
      </w:r>
      <w:r w:rsidRPr="00452E78">
        <w:rPr>
          <w:rFonts w:ascii="Times New Roman" w:hAnsi="Times New Roman" w:cs="Times New Roman"/>
        </w:rPr>
        <w:t xml:space="preserve">, </w:t>
      </w:r>
      <w:r w:rsidRPr="00452E78">
        <w:rPr>
          <w:rFonts w:ascii="Times New Roman" w:hAnsi="Times New Roman" w:cs="Times New Roman"/>
          <w:i/>
          <w:iCs/>
        </w:rPr>
        <w:t>25</w:t>
      </w:r>
      <w:r w:rsidRPr="00452E78">
        <w:rPr>
          <w:rFonts w:ascii="Times New Roman" w:hAnsi="Times New Roman" w:cs="Times New Roman"/>
        </w:rPr>
        <w:t xml:space="preserve">(12), 2365–2401. </w:t>
      </w:r>
      <w:hyperlink r:id="rId33" w:history="1">
        <w:r w:rsidRPr="00452E78">
          <w:rPr>
            <w:rStyle w:val="Hyperlink"/>
            <w:rFonts w:ascii="Times New Roman" w:hAnsi="Times New Roman" w:cs="Times New Roman"/>
          </w:rPr>
          <w:t>https://doi.org/10.1080/0143116031000139863</w:t>
        </w:r>
      </w:hyperlink>
    </w:p>
    <w:p w14:paraId="25C1CDF5" w14:textId="77777777" w:rsidR="007746A0" w:rsidRPr="00452E78" w:rsidRDefault="007746A0" w:rsidP="007746A0">
      <w:pPr>
        <w:pStyle w:val="Bibliography"/>
        <w:spacing w:line="360" w:lineRule="auto"/>
        <w:rPr>
          <w:rFonts w:ascii="Times New Roman" w:hAnsi="Times New Roman" w:cs="Times New Roman"/>
          <w:lang w:val="en-US"/>
        </w:rPr>
      </w:pPr>
    </w:p>
    <w:p w14:paraId="1706E475"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Mishra, V., Tiwari, A. D., Aadhar, S., Shah, R., Xiao, M., Pai, D. S., &amp; Lettenmaier, D. (2019). Drought and famine in India, 1870–2016. </w:t>
      </w:r>
      <w:r w:rsidRPr="00452E78">
        <w:rPr>
          <w:rFonts w:ascii="Times New Roman" w:hAnsi="Times New Roman" w:cs="Times New Roman"/>
          <w:i/>
          <w:iCs/>
        </w:rPr>
        <w:t>Geophysical Research Letters</w:t>
      </w:r>
      <w:r w:rsidRPr="00452E78">
        <w:rPr>
          <w:rFonts w:ascii="Times New Roman" w:hAnsi="Times New Roman" w:cs="Times New Roman"/>
        </w:rPr>
        <w:t xml:space="preserve">, </w:t>
      </w:r>
      <w:r w:rsidRPr="00452E78">
        <w:rPr>
          <w:rFonts w:ascii="Times New Roman" w:hAnsi="Times New Roman" w:cs="Times New Roman"/>
          <w:i/>
          <w:iCs/>
        </w:rPr>
        <w:t>46</w:t>
      </w:r>
      <w:r w:rsidRPr="00452E78">
        <w:rPr>
          <w:rFonts w:ascii="Times New Roman" w:hAnsi="Times New Roman" w:cs="Times New Roman"/>
        </w:rPr>
        <w:t xml:space="preserve">(4), 2075–2083. </w:t>
      </w:r>
      <w:hyperlink r:id="rId34" w:history="1">
        <w:r w:rsidRPr="00452E78">
          <w:rPr>
            <w:rStyle w:val="Hyperlink"/>
            <w:rFonts w:ascii="Times New Roman" w:hAnsi="Times New Roman" w:cs="Times New Roman"/>
          </w:rPr>
          <w:t>https://doi.org/10.1029/2018gl081477</w:t>
        </w:r>
      </w:hyperlink>
    </w:p>
    <w:p w14:paraId="7E7715AC" w14:textId="77777777" w:rsidR="007746A0" w:rsidRPr="00452E78" w:rsidRDefault="007746A0" w:rsidP="007746A0">
      <w:pPr>
        <w:pStyle w:val="Bibliography"/>
        <w:spacing w:line="360" w:lineRule="auto"/>
        <w:rPr>
          <w:rFonts w:ascii="Times New Roman" w:hAnsi="Times New Roman" w:cs="Times New Roman"/>
          <w:lang w:val="en-US"/>
        </w:rPr>
      </w:pPr>
    </w:p>
    <w:p w14:paraId="39875807"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Plourde, S., Dodson, J., Runge, J., &amp; Therriault, J. (2002). Spatial and temporal variations in copepod community structure in the lower St. Lawrence Estuary, Canada. </w:t>
      </w:r>
      <w:r w:rsidRPr="00452E78">
        <w:rPr>
          <w:rFonts w:ascii="Times New Roman" w:hAnsi="Times New Roman" w:cs="Times New Roman"/>
          <w:i/>
          <w:iCs/>
        </w:rPr>
        <w:t>Marine Ecology Progress Series</w:t>
      </w:r>
      <w:r w:rsidRPr="00452E78">
        <w:rPr>
          <w:rFonts w:ascii="Times New Roman" w:hAnsi="Times New Roman" w:cs="Times New Roman"/>
        </w:rPr>
        <w:t xml:space="preserve">, </w:t>
      </w:r>
      <w:r w:rsidRPr="00452E78">
        <w:rPr>
          <w:rFonts w:ascii="Times New Roman" w:hAnsi="Times New Roman" w:cs="Times New Roman"/>
          <w:i/>
          <w:iCs/>
        </w:rPr>
        <w:t>230</w:t>
      </w:r>
      <w:r w:rsidRPr="00452E78">
        <w:rPr>
          <w:rFonts w:ascii="Times New Roman" w:hAnsi="Times New Roman" w:cs="Times New Roman"/>
        </w:rPr>
        <w:t xml:space="preserve">, 211–224. </w:t>
      </w:r>
      <w:hyperlink r:id="rId35" w:history="1">
        <w:r w:rsidRPr="00452E78">
          <w:rPr>
            <w:rStyle w:val="Hyperlink"/>
            <w:rFonts w:ascii="Times New Roman" w:hAnsi="Times New Roman" w:cs="Times New Roman"/>
          </w:rPr>
          <w:t>https://doi.org/10.3354/meps230211</w:t>
        </w:r>
      </w:hyperlink>
    </w:p>
    <w:p w14:paraId="1848D7CB" w14:textId="77777777" w:rsidR="007746A0" w:rsidRPr="00452E78" w:rsidRDefault="007746A0" w:rsidP="007746A0">
      <w:pPr>
        <w:pStyle w:val="Bibliography"/>
        <w:spacing w:line="360" w:lineRule="auto"/>
        <w:rPr>
          <w:rFonts w:ascii="Times New Roman" w:hAnsi="Times New Roman" w:cs="Times New Roman"/>
          <w:lang w:val="en-US"/>
        </w:rPr>
      </w:pPr>
    </w:p>
    <w:p w14:paraId="3D8B32A8" w14:textId="77777777" w:rsidR="007746A0" w:rsidRPr="00452E78" w:rsidRDefault="007746A0" w:rsidP="007746A0">
      <w:pPr>
        <w:pStyle w:val="Bibliography"/>
        <w:spacing w:line="360" w:lineRule="auto"/>
        <w:rPr>
          <w:rFonts w:ascii="Times New Roman" w:hAnsi="Times New Roman" w:cs="Times New Roman"/>
          <w:lang w:val="en-US"/>
        </w:rPr>
      </w:pPr>
      <w:proofErr w:type="spellStart"/>
      <w:r w:rsidRPr="00452E78">
        <w:rPr>
          <w:rFonts w:ascii="Times New Roman" w:hAnsi="Times New Roman" w:cs="Times New Roman"/>
        </w:rPr>
        <w:t>Puyravaud</w:t>
      </w:r>
      <w:proofErr w:type="spellEnd"/>
      <w:r w:rsidRPr="00452E78">
        <w:rPr>
          <w:rFonts w:ascii="Times New Roman" w:hAnsi="Times New Roman" w:cs="Times New Roman"/>
        </w:rPr>
        <w:t xml:space="preserve">, J. (2003). Standardizing the calculation of the annual rate of deforestation. </w:t>
      </w:r>
      <w:r w:rsidRPr="00452E78">
        <w:rPr>
          <w:rFonts w:ascii="Times New Roman" w:hAnsi="Times New Roman" w:cs="Times New Roman"/>
          <w:i/>
          <w:iCs/>
        </w:rPr>
        <w:t>Forest Ecology and Management</w:t>
      </w:r>
      <w:r w:rsidRPr="00452E78">
        <w:rPr>
          <w:rFonts w:ascii="Times New Roman" w:hAnsi="Times New Roman" w:cs="Times New Roman"/>
        </w:rPr>
        <w:t xml:space="preserve">, </w:t>
      </w:r>
      <w:r w:rsidRPr="00452E78">
        <w:rPr>
          <w:rFonts w:ascii="Times New Roman" w:hAnsi="Times New Roman" w:cs="Times New Roman"/>
          <w:i/>
          <w:iCs/>
        </w:rPr>
        <w:t>177</w:t>
      </w:r>
      <w:r w:rsidRPr="00452E78">
        <w:rPr>
          <w:rFonts w:ascii="Times New Roman" w:hAnsi="Times New Roman" w:cs="Times New Roman"/>
        </w:rPr>
        <w:t xml:space="preserve">(1–3), 593–596. </w:t>
      </w:r>
      <w:hyperlink r:id="rId36" w:history="1">
        <w:r w:rsidRPr="00452E78">
          <w:rPr>
            <w:rStyle w:val="Hyperlink"/>
            <w:rFonts w:ascii="Times New Roman" w:hAnsi="Times New Roman" w:cs="Times New Roman"/>
          </w:rPr>
          <w:t>https://doi.org/10.1016/s0378-1127(02)00335-3</w:t>
        </w:r>
      </w:hyperlink>
    </w:p>
    <w:p w14:paraId="20231B71" w14:textId="77777777" w:rsidR="007746A0" w:rsidRPr="00452E78" w:rsidRDefault="007746A0" w:rsidP="007746A0">
      <w:pPr>
        <w:pStyle w:val="Bibliography"/>
        <w:spacing w:line="360" w:lineRule="auto"/>
        <w:rPr>
          <w:rFonts w:ascii="Times New Roman" w:hAnsi="Times New Roman" w:cs="Times New Roman"/>
          <w:lang w:val="en-US"/>
        </w:rPr>
      </w:pPr>
    </w:p>
    <w:p w14:paraId="7DE091AB"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Ramachandran, R. M., Roy, P. S., Chakravarthi, V., Sanjay, J., &amp; Joshi, P. K. (2017). Long-term land use and land cover changes (1920–2015) in Eastern Ghats, India: Pattern of dynamics and </w:t>
      </w:r>
      <w:r w:rsidRPr="00452E78">
        <w:rPr>
          <w:rFonts w:ascii="Times New Roman" w:hAnsi="Times New Roman" w:cs="Times New Roman"/>
        </w:rPr>
        <w:lastRenderedPageBreak/>
        <w:t xml:space="preserve">challenges in plant species conservation. </w:t>
      </w:r>
      <w:r w:rsidRPr="00452E78">
        <w:rPr>
          <w:rFonts w:ascii="Times New Roman" w:hAnsi="Times New Roman" w:cs="Times New Roman"/>
          <w:i/>
          <w:iCs/>
        </w:rPr>
        <w:t>Ecological Indicators</w:t>
      </w:r>
      <w:r w:rsidRPr="00452E78">
        <w:rPr>
          <w:rFonts w:ascii="Times New Roman" w:hAnsi="Times New Roman" w:cs="Times New Roman"/>
        </w:rPr>
        <w:t xml:space="preserve">, </w:t>
      </w:r>
      <w:r w:rsidRPr="00452E78">
        <w:rPr>
          <w:rFonts w:ascii="Times New Roman" w:hAnsi="Times New Roman" w:cs="Times New Roman"/>
          <w:i/>
          <w:iCs/>
        </w:rPr>
        <w:t>85</w:t>
      </w:r>
      <w:r w:rsidRPr="00452E78">
        <w:rPr>
          <w:rFonts w:ascii="Times New Roman" w:hAnsi="Times New Roman" w:cs="Times New Roman"/>
        </w:rPr>
        <w:t xml:space="preserve">, 21–36. </w:t>
      </w:r>
      <w:hyperlink r:id="rId37" w:history="1">
        <w:r w:rsidRPr="00452E78">
          <w:rPr>
            <w:rStyle w:val="Hyperlink"/>
            <w:rFonts w:ascii="Times New Roman" w:hAnsi="Times New Roman" w:cs="Times New Roman"/>
          </w:rPr>
          <w:t>https://doi.org/10.1016/j.ecolind.2017.10.012</w:t>
        </w:r>
      </w:hyperlink>
    </w:p>
    <w:p w14:paraId="2B41423C" w14:textId="77777777" w:rsidR="007746A0" w:rsidRPr="00452E78" w:rsidRDefault="007746A0" w:rsidP="007746A0">
      <w:pPr>
        <w:pStyle w:val="Bibliography"/>
        <w:spacing w:line="360" w:lineRule="auto"/>
        <w:rPr>
          <w:rFonts w:ascii="Times New Roman" w:hAnsi="Times New Roman" w:cs="Times New Roman"/>
          <w:lang w:val="en-US"/>
        </w:rPr>
      </w:pPr>
    </w:p>
    <w:p w14:paraId="0196CE0B" w14:textId="77777777" w:rsidR="007746A0" w:rsidRPr="00EB0C6A" w:rsidRDefault="007746A0" w:rsidP="007746A0">
      <w:pPr>
        <w:pStyle w:val="Bibliography"/>
        <w:spacing w:line="360" w:lineRule="auto"/>
        <w:rPr>
          <w:rFonts w:ascii="Times New Roman" w:hAnsi="Times New Roman" w:cs="Times New Roman"/>
          <w:lang w:val="pt-PT"/>
        </w:rPr>
      </w:pPr>
      <w:r w:rsidRPr="00452E78">
        <w:rPr>
          <w:rFonts w:ascii="Times New Roman" w:hAnsi="Times New Roman" w:cs="Times New Roman"/>
        </w:rPr>
        <w:t xml:space="preserve">Rathore, C. S., Dubey, Y., Shrivastava, A., Pathak, P., &amp; Patil, V. (2012). Opportunities of Habitat Connectivity for Tiger (Panthera </w:t>
      </w:r>
      <w:proofErr w:type="spellStart"/>
      <w:r w:rsidRPr="00452E78">
        <w:rPr>
          <w:rFonts w:ascii="Times New Roman" w:hAnsi="Times New Roman" w:cs="Times New Roman"/>
        </w:rPr>
        <w:t>tigris</w:t>
      </w:r>
      <w:proofErr w:type="spellEnd"/>
      <w:r w:rsidRPr="00452E78">
        <w:rPr>
          <w:rFonts w:ascii="Times New Roman" w:hAnsi="Times New Roman" w:cs="Times New Roman"/>
        </w:rPr>
        <w:t xml:space="preserve">) between Kanha and Pench National Parks in Madhya Pradesh, India. </w:t>
      </w:r>
      <w:r w:rsidRPr="00EB0C6A">
        <w:rPr>
          <w:rFonts w:ascii="Times New Roman" w:hAnsi="Times New Roman" w:cs="Times New Roman"/>
          <w:i/>
          <w:iCs/>
          <w:lang w:val="pt-PT"/>
        </w:rPr>
        <w:t>PLoS ONE</w:t>
      </w:r>
      <w:r w:rsidRPr="00EB0C6A">
        <w:rPr>
          <w:rFonts w:ascii="Times New Roman" w:hAnsi="Times New Roman" w:cs="Times New Roman"/>
          <w:lang w:val="pt-PT"/>
        </w:rPr>
        <w:t xml:space="preserve">, </w:t>
      </w:r>
      <w:r w:rsidRPr="00EB0C6A">
        <w:rPr>
          <w:rFonts w:ascii="Times New Roman" w:hAnsi="Times New Roman" w:cs="Times New Roman"/>
          <w:i/>
          <w:iCs/>
          <w:lang w:val="pt-PT"/>
        </w:rPr>
        <w:t>7</w:t>
      </w:r>
      <w:r w:rsidRPr="00EB0C6A">
        <w:rPr>
          <w:rFonts w:ascii="Times New Roman" w:hAnsi="Times New Roman" w:cs="Times New Roman"/>
          <w:lang w:val="pt-PT"/>
        </w:rPr>
        <w:t xml:space="preserve">(7), e39996. </w:t>
      </w:r>
      <w:r>
        <w:fldChar w:fldCharType="begin"/>
      </w:r>
      <w:r w:rsidRPr="00EB0C6A">
        <w:rPr>
          <w:lang w:val="pt-PT"/>
        </w:rPr>
        <w:instrText>HYPERLINK "https://doi.org/10.1371/journal.pone.0039996"</w:instrText>
      </w:r>
      <w:r>
        <w:fldChar w:fldCharType="separate"/>
      </w:r>
      <w:r w:rsidRPr="00EB0C6A">
        <w:rPr>
          <w:rStyle w:val="Hyperlink"/>
          <w:rFonts w:ascii="Times New Roman" w:hAnsi="Times New Roman" w:cs="Times New Roman"/>
          <w:lang w:val="pt-PT"/>
        </w:rPr>
        <w:t>https://doi.org/10.1371/journal.pone.0039996</w:t>
      </w:r>
      <w:r>
        <w:fldChar w:fldCharType="end"/>
      </w:r>
    </w:p>
    <w:p w14:paraId="116B3219" w14:textId="77777777" w:rsidR="007746A0" w:rsidRPr="00EB0C6A" w:rsidRDefault="007746A0" w:rsidP="007746A0">
      <w:pPr>
        <w:pStyle w:val="Bibliography"/>
        <w:spacing w:line="360" w:lineRule="auto"/>
        <w:rPr>
          <w:rFonts w:ascii="Times New Roman" w:hAnsi="Times New Roman" w:cs="Times New Roman"/>
          <w:lang w:val="pt-PT"/>
        </w:rPr>
      </w:pPr>
    </w:p>
    <w:p w14:paraId="586DA21A" w14:textId="77777777" w:rsidR="007746A0" w:rsidRPr="00452E78" w:rsidRDefault="007746A0" w:rsidP="007746A0">
      <w:pPr>
        <w:pStyle w:val="Bibliography"/>
        <w:spacing w:line="360" w:lineRule="auto"/>
        <w:rPr>
          <w:rFonts w:ascii="Times New Roman" w:hAnsi="Times New Roman" w:cs="Times New Roman"/>
          <w:lang w:val="en-US"/>
        </w:rPr>
      </w:pPr>
      <w:r w:rsidRPr="00EB0C6A">
        <w:rPr>
          <w:rFonts w:ascii="Times New Roman" w:hAnsi="Times New Roman" w:cs="Times New Roman"/>
          <w:lang w:val="pt-PT"/>
        </w:rPr>
        <w:t xml:space="preserve">Rawat, J., &amp; Kumar, M. (2015). </w:t>
      </w:r>
      <w:r w:rsidRPr="00452E78">
        <w:rPr>
          <w:rFonts w:ascii="Times New Roman" w:hAnsi="Times New Roman" w:cs="Times New Roman"/>
        </w:rPr>
        <w:t xml:space="preserve">Monitoring land use/cover change using remote sensing and GIS techniques: A case study of </w:t>
      </w:r>
      <w:proofErr w:type="spellStart"/>
      <w:r w:rsidRPr="00452E78">
        <w:rPr>
          <w:rFonts w:ascii="Times New Roman" w:hAnsi="Times New Roman" w:cs="Times New Roman"/>
        </w:rPr>
        <w:t>Hawalbagh</w:t>
      </w:r>
      <w:proofErr w:type="spellEnd"/>
      <w:r w:rsidRPr="00452E78">
        <w:rPr>
          <w:rFonts w:ascii="Times New Roman" w:hAnsi="Times New Roman" w:cs="Times New Roman"/>
        </w:rPr>
        <w:t xml:space="preserve"> block, district Almora, Uttarakhand, India. </w:t>
      </w:r>
      <w:r w:rsidRPr="00452E78">
        <w:rPr>
          <w:rFonts w:ascii="Times New Roman" w:hAnsi="Times New Roman" w:cs="Times New Roman"/>
          <w:i/>
          <w:iCs/>
        </w:rPr>
        <w:t>The Egyptian Journal of Remote Sensing and Space Science</w:t>
      </w:r>
      <w:r w:rsidRPr="00452E78">
        <w:rPr>
          <w:rFonts w:ascii="Times New Roman" w:hAnsi="Times New Roman" w:cs="Times New Roman"/>
        </w:rPr>
        <w:t xml:space="preserve">, </w:t>
      </w:r>
      <w:r w:rsidRPr="00452E78">
        <w:rPr>
          <w:rFonts w:ascii="Times New Roman" w:hAnsi="Times New Roman" w:cs="Times New Roman"/>
          <w:i/>
          <w:iCs/>
        </w:rPr>
        <w:t>18</w:t>
      </w:r>
      <w:r w:rsidRPr="00452E78">
        <w:rPr>
          <w:rFonts w:ascii="Times New Roman" w:hAnsi="Times New Roman" w:cs="Times New Roman"/>
        </w:rPr>
        <w:t xml:space="preserve">(1), 77–84. </w:t>
      </w:r>
      <w:hyperlink r:id="rId38" w:history="1">
        <w:r w:rsidRPr="00452E78">
          <w:rPr>
            <w:rStyle w:val="Hyperlink"/>
            <w:rFonts w:ascii="Times New Roman" w:hAnsi="Times New Roman" w:cs="Times New Roman"/>
          </w:rPr>
          <w:t>https://doi.org/10.1016/j.ejrs.2015.02.002</w:t>
        </w:r>
      </w:hyperlink>
    </w:p>
    <w:p w14:paraId="00F0AD8E" w14:textId="77777777" w:rsidR="007746A0" w:rsidRPr="00452E78" w:rsidRDefault="007746A0" w:rsidP="007746A0">
      <w:pPr>
        <w:pStyle w:val="Bibliography"/>
        <w:spacing w:line="360" w:lineRule="auto"/>
        <w:rPr>
          <w:rFonts w:ascii="Times New Roman" w:hAnsi="Times New Roman" w:cs="Times New Roman"/>
          <w:lang w:val="en-US"/>
        </w:rPr>
      </w:pPr>
    </w:p>
    <w:p w14:paraId="2C3EE42C"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Ray, D. K., West, P. C., Clark, M., Gerber, J. S., Prishchepov, A. V., &amp; Chatterjee, S. (2019). Climate change has likely already affected global food production. </w:t>
      </w:r>
      <w:proofErr w:type="spellStart"/>
      <w:r w:rsidRPr="00452E78">
        <w:rPr>
          <w:rFonts w:ascii="Times New Roman" w:hAnsi="Times New Roman" w:cs="Times New Roman"/>
          <w:i/>
          <w:iCs/>
        </w:rPr>
        <w:t>PLoS</w:t>
      </w:r>
      <w:proofErr w:type="spellEnd"/>
      <w:r w:rsidRPr="00452E78">
        <w:rPr>
          <w:rFonts w:ascii="Times New Roman" w:hAnsi="Times New Roman" w:cs="Times New Roman"/>
          <w:i/>
          <w:iCs/>
        </w:rPr>
        <w:t xml:space="preserve"> ONE</w:t>
      </w:r>
      <w:r w:rsidRPr="00452E78">
        <w:rPr>
          <w:rFonts w:ascii="Times New Roman" w:hAnsi="Times New Roman" w:cs="Times New Roman"/>
        </w:rPr>
        <w:t xml:space="preserve">, </w:t>
      </w:r>
      <w:r w:rsidRPr="00452E78">
        <w:rPr>
          <w:rFonts w:ascii="Times New Roman" w:hAnsi="Times New Roman" w:cs="Times New Roman"/>
          <w:i/>
          <w:iCs/>
        </w:rPr>
        <w:t>14</w:t>
      </w:r>
      <w:r w:rsidRPr="00452E78">
        <w:rPr>
          <w:rFonts w:ascii="Times New Roman" w:hAnsi="Times New Roman" w:cs="Times New Roman"/>
        </w:rPr>
        <w:t xml:space="preserve">(5), e0217148. </w:t>
      </w:r>
      <w:hyperlink r:id="rId39" w:history="1">
        <w:r w:rsidRPr="00452E78">
          <w:rPr>
            <w:rStyle w:val="Hyperlink"/>
            <w:rFonts w:ascii="Times New Roman" w:eastAsia="Times New Roman" w:hAnsi="Times New Roman" w:cs="Times New Roman"/>
          </w:rPr>
          <w:t>https://doi.org/10.1371/journal.pone.0217148</w:t>
        </w:r>
      </w:hyperlink>
    </w:p>
    <w:p w14:paraId="03C43FAF" w14:textId="77777777" w:rsidR="007746A0" w:rsidRPr="00452E78" w:rsidRDefault="007746A0" w:rsidP="007746A0">
      <w:pPr>
        <w:pStyle w:val="Bibliography"/>
        <w:spacing w:line="360" w:lineRule="auto"/>
        <w:rPr>
          <w:rFonts w:ascii="Times New Roman" w:hAnsi="Times New Roman" w:cs="Times New Roman"/>
        </w:rPr>
      </w:pPr>
    </w:p>
    <w:p w14:paraId="1ACBD76F"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Reddy, C. S., Jha, C. S., </w:t>
      </w:r>
      <w:proofErr w:type="spellStart"/>
      <w:r w:rsidRPr="00452E78">
        <w:rPr>
          <w:rFonts w:ascii="Times New Roman" w:hAnsi="Times New Roman" w:cs="Times New Roman"/>
        </w:rPr>
        <w:t>Dadhwal</w:t>
      </w:r>
      <w:proofErr w:type="spellEnd"/>
      <w:r w:rsidRPr="00452E78">
        <w:rPr>
          <w:rFonts w:ascii="Times New Roman" w:hAnsi="Times New Roman" w:cs="Times New Roman"/>
        </w:rPr>
        <w:t xml:space="preserve">, V. K., Krishna, P. H., Pasha, S. V., Satish, K. V., Dutta, K., Saranya, K. R. L., Rakesh, F., Rajashekar, G., &amp; Diwakar, P. G. (2015). Quantification and monitoring of deforestation in India over eight decades (1930–2013). </w:t>
      </w:r>
      <w:r w:rsidRPr="00452E78">
        <w:rPr>
          <w:rFonts w:ascii="Times New Roman" w:hAnsi="Times New Roman" w:cs="Times New Roman"/>
          <w:i/>
          <w:iCs/>
        </w:rPr>
        <w:t>Biodiversity and Conservation</w:t>
      </w:r>
      <w:r w:rsidRPr="00452E78">
        <w:rPr>
          <w:rFonts w:ascii="Times New Roman" w:hAnsi="Times New Roman" w:cs="Times New Roman"/>
        </w:rPr>
        <w:t xml:space="preserve">, </w:t>
      </w:r>
      <w:r w:rsidRPr="00452E78">
        <w:rPr>
          <w:rFonts w:ascii="Times New Roman" w:hAnsi="Times New Roman" w:cs="Times New Roman"/>
          <w:i/>
          <w:iCs/>
        </w:rPr>
        <w:t>25</w:t>
      </w:r>
      <w:r w:rsidRPr="00452E78">
        <w:rPr>
          <w:rFonts w:ascii="Times New Roman" w:hAnsi="Times New Roman" w:cs="Times New Roman"/>
        </w:rPr>
        <w:t xml:space="preserve">(1), 93–116. </w:t>
      </w:r>
      <w:hyperlink r:id="rId40" w:history="1">
        <w:r w:rsidRPr="00452E78">
          <w:rPr>
            <w:rStyle w:val="Hyperlink"/>
            <w:rFonts w:ascii="Times New Roman" w:eastAsia="Times New Roman" w:hAnsi="Times New Roman" w:cs="Times New Roman"/>
          </w:rPr>
          <w:t>https://doi.org/10.1007/s10531-015-1033-2</w:t>
        </w:r>
      </w:hyperlink>
    </w:p>
    <w:p w14:paraId="191477A9" w14:textId="77777777" w:rsidR="007746A0" w:rsidRPr="00452E78" w:rsidRDefault="007746A0" w:rsidP="007746A0">
      <w:pPr>
        <w:pStyle w:val="Bibliography"/>
        <w:spacing w:line="360" w:lineRule="auto"/>
        <w:rPr>
          <w:rFonts w:ascii="Times New Roman" w:hAnsi="Times New Roman" w:cs="Times New Roman"/>
        </w:rPr>
      </w:pPr>
    </w:p>
    <w:p w14:paraId="413F3E50"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Reed, J., Van Vianen, J., Deakin, E. L., Barlow, J., &amp; Sunderland, T. (2016). Integrated landscape approaches to managing social and environmental issues in the tropics: learning from the past to guide the future. </w:t>
      </w:r>
      <w:r w:rsidRPr="00452E78">
        <w:rPr>
          <w:rFonts w:ascii="Times New Roman" w:hAnsi="Times New Roman" w:cs="Times New Roman"/>
          <w:i/>
          <w:iCs/>
        </w:rPr>
        <w:t>Global Change Biology</w:t>
      </w:r>
      <w:r w:rsidRPr="00452E78">
        <w:rPr>
          <w:rFonts w:ascii="Times New Roman" w:hAnsi="Times New Roman" w:cs="Times New Roman"/>
        </w:rPr>
        <w:t xml:space="preserve">, </w:t>
      </w:r>
      <w:r w:rsidRPr="00452E78">
        <w:rPr>
          <w:rFonts w:ascii="Times New Roman" w:hAnsi="Times New Roman" w:cs="Times New Roman"/>
          <w:i/>
          <w:iCs/>
        </w:rPr>
        <w:t>22</w:t>
      </w:r>
      <w:r w:rsidRPr="00452E78">
        <w:rPr>
          <w:rFonts w:ascii="Times New Roman" w:hAnsi="Times New Roman" w:cs="Times New Roman"/>
        </w:rPr>
        <w:t xml:space="preserve">(7), 2540–2554. </w:t>
      </w:r>
      <w:hyperlink r:id="rId41" w:history="1">
        <w:r w:rsidRPr="00452E78">
          <w:rPr>
            <w:rStyle w:val="Hyperlink"/>
            <w:rFonts w:ascii="Times New Roman" w:eastAsia="Times New Roman" w:hAnsi="Times New Roman" w:cs="Times New Roman"/>
          </w:rPr>
          <w:t>https://doi.org/10.1111/gcb.13284</w:t>
        </w:r>
      </w:hyperlink>
    </w:p>
    <w:p w14:paraId="32464FD4" w14:textId="77777777" w:rsidR="007746A0" w:rsidRPr="00452E78" w:rsidRDefault="007746A0" w:rsidP="007746A0">
      <w:pPr>
        <w:pStyle w:val="Bibliography"/>
        <w:spacing w:line="360" w:lineRule="auto"/>
        <w:rPr>
          <w:rFonts w:ascii="Times New Roman" w:hAnsi="Times New Roman" w:cs="Times New Roman"/>
        </w:rPr>
      </w:pPr>
    </w:p>
    <w:p w14:paraId="4E714232" w14:textId="77777777" w:rsidR="007746A0" w:rsidRPr="00452E78" w:rsidRDefault="007746A0" w:rsidP="007746A0">
      <w:pPr>
        <w:pStyle w:val="Bibliography"/>
        <w:spacing w:line="360" w:lineRule="auto"/>
        <w:rPr>
          <w:rFonts w:ascii="Times New Roman" w:hAnsi="Times New Roman" w:cs="Times New Roman"/>
        </w:rPr>
      </w:pPr>
      <w:proofErr w:type="spellStart"/>
      <w:r w:rsidRPr="00452E78">
        <w:rPr>
          <w:rFonts w:ascii="Times New Roman" w:hAnsi="Times New Roman" w:cs="Times New Roman"/>
        </w:rPr>
        <w:t>Remlalruata</w:t>
      </w:r>
      <w:proofErr w:type="spellEnd"/>
      <w:r w:rsidRPr="00452E78">
        <w:rPr>
          <w:rFonts w:ascii="Times New Roman" w:hAnsi="Times New Roman" w:cs="Times New Roman"/>
        </w:rPr>
        <w:t xml:space="preserve">. (2023). Studies On Land Use </w:t>
      </w:r>
      <w:proofErr w:type="gramStart"/>
      <w:r w:rsidRPr="00452E78">
        <w:rPr>
          <w:rFonts w:ascii="Times New Roman" w:hAnsi="Times New Roman" w:cs="Times New Roman"/>
        </w:rPr>
        <w:t>And</w:t>
      </w:r>
      <w:proofErr w:type="gramEnd"/>
      <w:r w:rsidRPr="00452E78">
        <w:rPr>
          <w:rFonts w:ascii="Times New Roman" w:hAnsi="Times New Roman" w:cs="Times New Roman"/>
        </w:rPr>
        <w:t xml:space="preserve"> Land Cover Change </w:t>
      </w:r>
      <w:proofErr w:type="gramStart"/>
      <w:r w:rsidRPr="00452E78">
        <w:rPr>
          <w:rFonts w:ascii="Times New Roman" w:hAnsi="Times New Roman" w:cs="Times New Roman"/>
        </w:rPr>
        <w:t>In</w:t>
      </w:r>
      <w:proofErr w:type="gramEnd"/>
      <w:r w:rsidRPr="00452E78">
        <w:rPr>
          <w:rFonts w:ascii="Times New Roman" w:hAnsi="Times New Roman" w:cs="Times New Roman"/>
        </w:rPr>
        <w:t xml:space="preserve"> Aizawl District, Mizoram. </w:t>
      </w:r>
      <w:proofErr w:type="spellStart"/>
      <w:r w:rsidRPr="00452E78">
        <w:rPr>
          <w:rFonts w:ascii="Times New Roman" w:hAnsi="Times New Roman" w:cs="Times New Roman"/>
          <w:i/>
          <w:iCs/>
        </w:rPr>
        <w:t>Zenodo</w:t>
      </w:r>
      <w:proofErr w:type="spellEnd"/>
      <w:r w:rsidRPr="00452E78">
        <w:rPr>
          <w:rFonts w:ascii="Times New Roman" w:hAnsi="Times New Roman" w:cs="Times New Roman"/>
          <w:i/>
          <w:iCs/>
        </w:rPr>
        <w:t xml:space="preserve"> (CERN European Organization for Nuclear Research)</w:t>
      </w:r>
      <w:r w:rsidRPr="00452E78">
        <w:rPr>
          <w:rFonts w:ascii="Times New Roman" w:hAnsi="Times New Roman" w:cs="Times New Roman"/>
        </w:rPr>
        <w:t xml:space="preserve">. </w:t>
      </w:r>
      <w:hyperlink r:id="rId42" w:history="1">
        <w:r w:rsidRPr="00452E78">
          <w:rPr>
            <w:rStyle w:val="Hyperlink"/>
            <w:rFonts w:ascii="Times New Roman" w:eastAsia="Times New Roman" w:hAnsi="Times New Roman" w:cs="Times New Roman"/>
          </w:rPr>
          <w:t>https://doi.org/10.5281/zenodo.8042670</w:t>
        </w:r>
      </w:hyperlink>
    </w:p>
    <w:p w14:paraId="6A054B42" w14:textId="77777777" w:rsidR="007746A0" w:rsidRPr="00452E78" w:rsidRDefault="007746A0" w:rsidP="007746A0">
      <w:pPr>
        <w:pStyle w:val="Bibliography"/>
        <w:spacing w:line="360" w:lineRule="auto"/>
        <w:rPr>
          <w:rFonts w:ascii="Times New Roman" w:hAnsi="Times New Roman" w:cs="Times New Roman"/>
        </w:rPr>
      </w:pPr>
    </w:p>
    <w:p w14:paraId="68250DAC"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lastRenderedPageBreak/>
        <w:t xml:space="preserve">Roy, P. S., &amp; Joshi, P. K. (2002). Forest cover assessment in north-east India--the potential of temporal wide swath satellite sensor data (IRS-1C </w:t>
      </w:r>
      <w:proofErr w:type="spellStart"/>
      <w:r w:rsidRPr="00452E78">
        <w:rPr>
          <w:rFonts w:ascii="Times New Roman" w:hAnsi="Times New Roman" w:cs="Times New Roman"/>
        </w:rPr>
        <w:t>WiFS</w:t>
      </w:r>
      <w:proofErr w:type="spellEnd"/>
      <w:r w:rsidRPr="00452E78">
        <w:rPr>
          <w:rFonts w:ascii="Times New Roman" w:hAnsi="Times New Roman" w:cs="Times New Roman"/>
        </w:rPr>
        <w:t xml:space="preserve">). </w:t>
      </w:r>
      <w:r w:rsidRPr="00452E78">
        <w:rPr>
          <w:rFonts w:ascii="Times New Roman" w:hAnsi="Times New Roman" w:cs="Times New Roman"/>
          <w:i/>
          <w:iCs/>
        </w:rPr>
        <w:t>International Journal of Remote Sensing</w:t>
      </w:r>
      <w:r w:rsidRPr="00452E78">
        <w:rPr>
          <w:rFonts w:ascii="Times New Roman" w:hAnsi="Times New Roman" w:cs="Times New Roman"/>
        </w:rPr>
        <w:t xml:space="preserve">, </w:t>
      </w:r>
      <w:r w:rsidRPr="00452E78">
        <w:rPr>
          <w:rFonts w:ascii="Times New Roman" w:hAnsi="Times New Roman" w:cs="Times New Roman"/>
          <w:i/>
          <w:iCs/>
        </w:rPr>
        <w:t>23</w:t>
      </w:r>
      <w:r w:rsidRPr="00452E78">
        <w:rPr>
          <w:rFonts w:ascii="Times New Roman" w:hAnsi="Times New Roman" w:cs="Times New Roman"/>
        </w:rPr>
        <w:t xml:space="preserve">(22), 4881–4896. </w:t>
      </w:r>
      <w:hyperlink r:id="rId43" w:history="1">
        <w:r w:rsidRPr="00452E78">
          <w:rPr>
            <w:rStyle w:val="Hyperlink"/>
            <w:rFonts w:ascii="Times New Roman" w:eastAsia="Times New Roman" w:hAnsi="Times New Roman" w:cs="Times New Roman"/>
          </w:rPr>
          <w:t>https://doi.org/10.1080/01431160110114475</w:t>
        </w:r>
      </w:hyperlink>
    </w:p>
    <w:p w14:paraId="708A727F" w14:textId="77777777" w:rsidR="007746A0" w:rsidRPr="00452E78" w:rsidRDefault="007746A0" w:rsidP="007746A0">
      <w:pPr>
        <w:pStyle w:val="Bibliography"/>
        <w:spacing w:line="360" w:lineRule="auto"/>
        <w:rPr>
          <w:rFonts w:ascii="Times New Roman" w:hAnsi="Times New Roman" w:cs="Times New Roman"/>
        </w:rPr>
      </w:pPr>
    </w:p>
    <w:p w14:paraId="0A576B60"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Samaniego, L., </w:t>
      </w:r>
      <w:proofErr w:type="spellStart"/>
      <w:r w:rsidRPr="00452E78">
        <w:rPr>
          <w:rFonts w:ascii="Times New Roman" w:hAnsi="Times New Roman" w:cs="Times New Roman"/>
        </w:rPr>
        <w:t>Bardossy</w:t>
      </w:r>
      <w:proofErr w:type="spellEnd"/>
      <w:r w:rsidRPr="00452E78">
        <w:rPr>
          <w:rFonts w:ascii="Times New Roman" w:hAnsi="Times New Roman" w:cs="Times New Roman"/>
        </w:rPr>
        <w:t xml:space="preserve">, A., &amp; Schulz, K. (2008). Supervised Classification of Remotely Sensed Imagery Using a Modified $k$-NN Technique. </w:t>
      </w:r>
      <w:r w:rsidRPr="00452E78">
        <w:rPr>
          <w:rFonts w:ascii="Times New Roman" w:hAnsi="Times New Roman" w:cs="Times New Roman"/>
          <w:i/>
          <w:iCs/>
        </w:rPr>
        <w:t>IEEE Transactions on Geoscience and Remote Sensing</w:t>
      </w:r>
      <w:r w:rsidRPr="00452E78">
        <w:rPr>
          <w:rFonts w:ascii="Times New Roman" w:hAnsi="Times New Roman" w:cs="Times New Roman"/>
        </w:rPr>
        <w:t xml:space="preserve">, </w:t>
      </w:r>
      <w:r w:rsidRPr="00452E78">
        <w:rPr>
          <w:rFonts w:ascii="Times New Roman" w:hAnsi="Times New Roman" w:cs="Times New Roman"/>
          <w:i/>
          <w:iCs/>
        </w:rPr>
        <w:t>46</w:t>
      </w:r>
      <w:r w:rsidRPr="00452E78">
        <w:rPr>
          <w:rFonts w:ascii="Times New Roman" w:hAnsi="Times New Roman" w:cs="Times New Roman"/>
        </w:rPr>
        <w:t xml:space="preserve">(7), 2112–2125. </w:t>
      </w:r>
      <w:hyperlink r:id="rId44" w:history="1">
        <w:r w:rsidRPr="00452E78">
          <w:rPr>
            <w:rStyle w:val="Hyperlink"/>
            <w:rFonts w:ascii="Times New Roman" w:eastAsia="Times New Roman" w:hAnsi="Times New Roman" w:cs="Times New Roman"/>
          </w:rPr>
          <w:t>https://doi.org/10.1109/tgrs.2008.916629</w:t>
        </w:r>
      </w:hyperlink>
    </w:p>
    <w:p w14:paraId="56BEF174" w14:textId="77777777" w:rsidR="007746A0" w:rsidRPr="00452E78" w:rsidRDefault="007746A0" w:rsidP="007746A0">
      <w:pPr>
        <w:pStyle w:val="Bibliography"/>
        <w:spacing w:line="360" w:lineRule="auto"/>
        <w:rPr>
          <w:rFonts w:ascii="Times New Roman" w:hAnsi="Times New Roman" w:cs="Times New Roman"/>
        </w:rPr>
      </w:pPr>
    </w:p>
    <w:p w14:paraId="7641D617"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Sari, I. L., Weston, C. J., Newnham, G. J., &amp; Volkova, L. (2021). Assessing Accuracy of Land Cover Change Maps Derived from Automated Digital Processing and Visual Interpretation in Tropical Forests in Indonesia. </w:t>
      </w:r>
      <w:r w:rsidRPr="00452E78">
        <w:rPr>
          <w:rFonts w:ascii="Times New Roman" w:hAnsi="Times New Roman" w:cs="Times New Roman"/>
          <w:i/>
          <w:iCs/>
        </w:rPr>
        <w:t>Remote Sensing</w:t>
      </w:r>
      <w:r w:rsidRPr="00452E78">
        <w:rPr>
          <w:rFonts w:ascii="Times New Roman" w:hAnsi="Times New Roman" w:cs="Times New Roman"/>
        </w:rPr>
        <w:t xml:space="preserve">, </w:t>
      </w:r>
      <w:r w:rsidRPr="00452E78">
        <w:rPr>
          <w:rFonts w:ascii="Times New Roman" w:hAnsi="Times New Roman" w:cs="Times New Roman"/>
          <w:i/>
          <w:iCs/>
        </w:rPr>
        <w:t>13</w:t>
      </w:r>
      <w:r w:rsidRPr="00452E78">
        <w:rPr>
          <w:rFonts w:ascii="Times New Roman" w:hAnsi="Times New Roman" w:cs="Times New Roman"/>
        </w:rPr>
        <w:t xml:space="preserve">(8), 1446. </w:t>
      </w:r>
      <w:hyperlink r:id="rId45" w:history="1">
        <w:r w:rsidRPr="00452E78">
          <w:rPr>
            <w:rStyle w:val="Hyperlink"/>
            <w:rFonts w:ascii="Times New Roman" w:eastAsia="Times New Roman" w:hAnsi="Times New Roman" w:cs="Times New Roman"/>
          </w:rPr>
          <w:t>https://doi.org/10.3390/rs13081446</w:t>
        </w:r>
      </w:hyperlink>
    </w:p>
    <w:p w14:paraId="56BF2039" w14:textId="77777777" w:rsidR="007746A0" w:rsidRPr="00452E78" w:rsidRDefault="007746A0" w:rsidP="007746A0">
      <w:pPr>
        <w:pStyle w:val="Bibliography"/>
        <w:spacing w:line="360" w:lineRule="auto"/>
        <w:rPr>
          <w:rFonts w:ascii="Times New Roman" w:hAnsi="Times New Roman" w:cs="Times New Roman"/>
        </w:rPr>
      </w:pPr>
    </w:p>
    <w:p w14:paraId="7D440BE3"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Sati, V. P. (2019). Himalaya on the threshold of change. In </w:t>
      </w:r>
      <w:r w:rsidRPr="00452E78">
        <w:rPr>
          <w:rFonts w:ascii="Times New Roman" w:hAnsi="Times New Roman" w:cs="Times New Roman"/>
          <w:i/>
          <w:iCs/>
        </w:rPr>
        <w:t>Advances in global change research</w:t>
      </w:r>
      <w:r w:rsidRPr="00452E78">
        <w:rPr>
          <w:rFonts w:ascii="Times New Roman" w:hAnsi="Times New Roman" w:cs="Times New Roman"/>
        </w:rPr>
        <w:t xml:space="preserve">. </w:t>
      </w:r>
      <w:hyperlink r:id="rId46" w:history="1">
        <w:r w:rsidRPr="00452E78">
          <w:rPr>
            <w:rStyle w:val="Hyperlink"/>
            <w:rFonts w:ascii="Times New Roman" w:eastAsia="Times New Roman" w:hAnsi="Times New Roman" w:cs="Times New Roman"/>
          </w:rPr>
          <w:t>https://doi.org/10.1007/978-3-030-14180-6</w:t>
        </w:r>
      </w:hyperlink>
    </w:p>
    <w:p w14:paraId="3688F3DC" w14:textId="77777777" w:rsidR="007746A0" w:rsidRPr="00452E78" w:rsidRDefault="007746A0" w:rsidP="007746A0">
      <w:pPr>
        <w:pStyle w:val="Bibliography"/>
        <w:spacing w:line="360" w:lineRule="auto"/>
        <w:rPr>
          <w:rFonts w:ascii="Times New Roman" w:hAnsi="Times New Roman" w:cs="Times New Roman"/>
        </w:rPr>
      </w:pPr>
    </w:p>
    <w:p w14:paraId="3F000415"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Sharma, R., Rimal, B., Baral, H., </w:t>
      </w:r>
      <w:proofErr w:type="spellStart"/>
      <w:r w:rsidRPr="00452E78">
        <w:rPr>
          <w:rFonts w:ascii="Times New Roman" w:hAnsi="Times New Roman" w:cs="Times New Roman"/>
        </w:rPr>
        <w:t>Nehren</w:t>
      </w:r>
      <w:proofErr w:type="spellEnd"/>
      <w:r w:rsidRPr="00452E78">
        <w:rPr>
          <w:rFonts w:ascii="Times New Roman" w:hAnsi="Times New Roman" w:cs="Times New Roman"/>
        </w:rPr>
        <w:t xml:space="preserve">, U., Paudyal, K., Sharma, S., Rijal, S., </w:t>
      </w:r>
      <w:proofErr w:type="spellStart"/>
      <w:r w:rsidRPr="00452E78">
        <w:rPr>
          <w:rFonts w:ascii="Times New Roman" w:hAnsi="Times New Roman" w:cs="Times New Roman"/>
        </w:rPr>
        <w:t>Ranpal</w:t>
      </w:r>
      <w:proofErr w:type="spellEnd"/>
      <w:r w:rsidRPr="00452E78">
        <w:rPr>
          <w:rFonts w:ascii="Times New Roman" w:hAnsi="Times New Roman" w:cs="Times New Roman"/>
        </w:rPr>
        <w:t xml:space="preserve">, S., Acharya, R. P., Alenazy, A. A., &amp; Kandel, P. (2019). Impact of land cover change on ecosystem services in a tropical forested landscape. </w:t>
      </w:r>
      <w:r w:rsidRPr="00452E78">
        <w:rPr>
          <w:rFonts w:ascii="Times New Roman" w:hAnsi="Times New Roman" w:cs="Times New Roman"/>
          <w:i/>
          <w:iCs/>
        </w:rPr>
        <w:t>Resources</w:t>
      </w:r>
      <w:r w:rsidRPr="00452E78">
        <w:rPr>
          <w:rFonts w:ascii="Times New Roman" w:hAnsi="Times New Roman" w:cs="Times New Roman"/>
        </w:rPr>
        <w:t xml:space="preserve">, </w:t>
      </w:r>
      <w:r w:rsidRPr="00452E78">
        <w:rPr>
          <w:rFonts w:ascii="Times New Roman" w:hAnsi="Times New Roman" w:cs="Times New Roman"/>
          <w:i/>
          <w:iCs/>
        </w:rPr>
        <w:t>8</w:t>
      </w:r>
      <w:r w:rsidRPr="00452E78">
        <w:rPr>
          <w:rFonts w:ascii="Times New Roman" w:hAnsi="Times New Roman" w:cs="Times New Roman"/>
        </w:rPr>
        <w:t xml:space="preserve">(1), 18. </w:t>
      </w:r>
      <w:hyperlink r:id="rId47" w:history="1">
        <w:r w:rsidRPr="00452E78">
          <w:rPr>
            <w:rStyle w:val="Hyperlink"/>
            <w:rFonts w:ascii="Times New Roman" w:eastAsia="Times New Roman" w:hAnsi="Times New Roman" w:cs="Times New Roman"/>
          </w:rPr>
          <w:t>https://doi.org/10.3390/resources8010018</w:t>
        </w:r>
      </w:hyperlink>
    </w:p>
    <w:p w14:paraId="7EA96634" w14:textId="77777777" w:rsidR="007746A0" w:rsidRPr="00452E78" w:rsidRDefault="007746A0" w:rsidP="007746A0">
      <w:pPr>
        <w:pStyle w:val="Bibliography"/>
        <w:spacing w:line="360" w:lineRule="auto"/>
        <w:rPr>
          <w:rFonts w:ascii="Times New Roman" w:hAnsi="Times New Roman" w:cs="Times New Roman"/>
        </w:rPr>
      </w:pPr>
    </w:p>
    <w:p w14:paraId="43C2CB28" w14:textId="77777777" w:rsidR="007746A0" w:rsidRPr="00452E78" w:rsidRDefault="007746A0" w:rsidP="007746A0">
      <w:pPr>
        <w:pStyle w:val="Bibliography"/>
        <w:spacing w:line="360" w:lineRule="auto"/>
        <w:rPr>
          <w:rFonts w:ascii="Times New Roman" w:hAnsi="Times New Roman" w:cs="Times New Roman"/>
        </w:rPr>
      </w:pPr>
      <w:proofErr w:type="spellStart"/>
      <w:r w:rsidRPr="00452E78">
        <w:rPr>
          <w:rFonts w:ascii="Times New Roman" w:hAnsi="Times New Roman" w:cs="Times New Roman"/>
        </w:rPr>
        <w:t>Temjen</w:t>
      </w:r>
      <w:proofErr w:type="spellEnd"/>
      <w:r w:rsidRPr="00452E78">
        <w:rPr>
          <w:rFonts w:ascii="Times New Roman" w:hAnsi="Times New Roman" w:cs="Times New Roman"/>
        </w:rPr>
        <w:t xml:space="preserve">, W., Singh, M. R., &amp; </w:t>
      </w:r>
      <w:proofErr w:type="spellStart"/>
      <w:r w:rsidRPr="00452E78">
        <w:rPr>
          <w:rFonts w:ascii="Times New Roman" w:hAnsi="Times New Roman" w:cs="Times New Roman"/>
        </w:rPr>
        <w:t>Ajungla</w:t>
      </w:r>
      <w:proofErr w:type="spellEnd"/>
      <w:r w:rsidRPr="00452E78">
        <w:rPr>
          <w:rFonts w:ascii="Times New Roman" w:hAnsi="Times New Roman" w:cs="Times New Roman"/>
        </w:rPr>
        <w:t xml:space="preserve">, T. (2022). Effect of shifting cultivation and fallow on soil quality index in </w:t>
      </w:r>
      <w:proofErr w:type="spellStart"/>
      <w:r w:rsidRPr="00452E78">
        <w:rPr>
          <w:rFonts w:ascii="Times New Roman" w:hAnsi="Times New Roman" w:cs="Times New Roman"/>
        </w:rPr>
        <w:t>Mokokchung</w:t>
      </w:r>
      <w:proofErr w:type="spellEnd"/>
      <w:r w:rsidRPr="00452E78">
        <w:rPr>
          <w:rFonts w:ascii="Times New Roman" w:hAnsi="Times New Roman" w:cs="Times New Roman"/>
        </w:rPr>
        <w:t xml:space="preserve"> district, Nagaland, India. </w:t>
      </w:r>
      <w:r w:rsidRPr="00452E78">
        <w:rPr>
          <w:rFonts w:ascii="Times New Roman" w:hAnsi="Times New Roman" w:cs="Times New Roman"/>
          <w:i/>
          <w:iCs/>
        </w:rPr>
        <w:t>Ecological Processes</w:t>
      </w:r>
      <w:r w:rsidRPr="00452E78">
        <w:rPr>
          <w:rFonts w:ascii="Times New Roman" w:hAnsi="Times New Roman" w:cs="Times New Roman"/>
        </w:rPr>
        <w:t xml:space="preserve">, </w:t>
      </w:r>
      <w:r w:rsidRPr="00452E78">
        <w:rPr>
          <w:rFonts w:ascii="Times New Roman" w:hAnsi="Times New Roman" w:cs="Times New Roman"/>
          <w:i/>
          <w:iCs/>
        </w:rPr>
        <w:t>11</w:t>
      </w:r>
      <w:r w:rsidRPr="00452E78">
        <w:rPr>
          <w:rFonts w:ascii="Times New Roman" w:hAnsi="Times New Roman" w:cs="Times New Roman"/>
        </w:rPr>
        <w:t xml:space="preserve">(1). </w:t>
      </w:r>
      <w:hyperlink r:id="rId48" w:history="1">
        <w:r w:rsidRPr="00452E78">
          <w:rPr>
            <w:rStyle w:val="Hyperlink"/>
            <w:rFonts w:ascii="Times New Roman" w:eastAsia="Times New Roman" w:hAnsi="Times New Roman" w:cs="Times New Roman"/>
          </w:rPr>
          <w:t>https://doi.org/10.1186/s13717-022-00386-w</w:t>
        </w:r>
      </w:hyperlink>
    </w:p>
    <w:p w14:paraId="22F89786" w14:textId="77777777" w:rsidR="007746A0" w:rsidRPr="00452E78" w:rsidRDefault="007746A0" w:rsidP="007746A0">
      <w:pPr>
        <w:pStyle w:val="Bibliography"/>
        <w:spacing w:line="360" w:lineRule="auto"/>
        <w:rPr>
          <w:rFonts w:ascii="Times New Roman" w:hAnsi="Times New Roman" w:cs="Times New Roman"/>
        </w:rPr>
      </w:pPr>
    </w:p>
    <w:p w14:paraId="35D9A8ED"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Turner, B. L., Lambin, E. F., &amp; Reenberg, A. (2007). The emergence of land change science for global environmental change and sustainability. </w:t>
      </w:r>
      <w:r w:rsidRPr="00452E78">
        <w:rPr>
          <w:rFonts w:ascii="Times New Roman" w:hAnsi="Times New Roman" w:cs="Times New Roman"/>
          <w:i/>
          <w:iCs/>
        </w:rPr>
        <w:t>Proceedings of the National Academy of Sciences</w:t>
      </w:r>
      <w:r w:rsidRPr="00452E78">
        <w:rPr>
          <w:rFonts w:ascii="Times New Roman" w:hAnsi="Times New Roman" w:cs="Times New Roman"/>
        </w:rPr>
        <w:t xml:space="preserve">, </w:t>
      </w:r>
      <w:r w:rsidRPr="00452E78">
        <w:rPr>
          <w:rFonts w:ascii="Times New Roman" w:hAnsi="Times New Roman" w:cs="Times New Roman"/>
          <w:i/>
          <w:iCs/>
        </w:rPr>
        <w:t>104</w:t>
      </w:r>
      <w:r w:rsidRPr="00452E78">
        <w:rPr>
          <w:rFonts w:ascii="Times New Roman" w:hAnsi="Times New Roman" w:cs="Times New Roman"/>
        </w:rPr>
        <w:t xml:space="preserve">(52), 20666–20671. </w:t>
      </w:r>
      <w:hyperlink r:id="rId49" w:history="1">
        <w:r w:rsidRPr="00452E78">
          <w:rPr>
            <w:rStyle w:val="Hyperlink"/>
            <w:rFonts w:ascii="Times New Roman" w:eastAsia="Times New Roman" w:hAnsi="Times New Roman" w:cs="Times New Roman"/>
          </w:rPr>
          <w:t>https://doi.org/10.1073/pnas.0704119104</w:t>
        </w:r>
      </w:hyperlink>
    </w:p>
    <w:p w14:paraId="7A325D3E" w14:textId="77777777" w:rsidR="007746A0" w:rsidRPr="00452E78" w:rsidRDefault="007746A0" w:rsidP="007746A0">
      <w:pPr>
        <w:pStyle w:val="Bibliography"/>
        <w:spacing w:line="360" w:lineRule="auto"/>
        <w:rPr>
          <w:rFonts w:ascii="Times New Roman" w:hAnsi="Times New Roman" w:cs="Times New Roman"/>
        </w:rPr>
      </w:pPr>
    </w:p>
    <w:p w14:paraId="793008DC"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Verburg, P. H., Crossman, N., Ellis, E. C., Heinimann, A., Hostert, P., Mertz, O., Nagendra, H., Sikor, T., Erb, K., Golubiewski, N., Grau, R., Grove, M., Konaté, S., </w:t>
      </w:r>
      <w:proofErr w:type="spellStart"/>
      <w:r w:rsidRPr="00452E78">
        <w:rPr>
          <w:rFonts w:ascii="Times New Roman" w:hAnsi="Times New Roman" w:cs="Times New Roman"/>
        </w:rPr>
        <w:t>Meyfroidt</w:t>
      </w:r>
      <w:proofErr w:type="spellEnd"/>
      <w:r w:rsidRPr="00452E78">
        <w:rPr>
          <w:rFonts w:ascii="Times New Roman" w:hAnsi="Times New Roman" w:cs="Times New Roman"/>
        </w:rPr>
        <w:t xml:space="preserve">, P., Parker, D. C., </w:t>
      </w:r>
      <w:r w:rsidRPr="00452E78">
        <w:rPr>
          <w:rFonts w:ascii="Times New Roman" w:hAnsi="Times New Roman" w:cs="Times New Roman"/>
        </w:rPr>
        <w:lastRenderedPageBreak/>
        <w:t xml:space="preserve">Chowdhury, R. R., Shibata, H., Thomson, A., &amp; Zhen, L. (2015). Land system science and sustainable development of the earth system: A global land project perspective. </w:t>
      </w:r>
      <w:r w:rsidRPr="00452E78">
        <w:rPr>
          <w:rFonts w:ascii="Times New Roman" w:hAnsi="Times New Roman" w:cs="Times New Roman"/>
          <w:i/>
          <w:iCs/>
        </w:rPr>
        <w:t>Anthropocene</w:t>
      </w:r>
      <w:r w:rsidRPr="00452E78">
        <w:rPr>
          <w:rFonts w:ascii="Times New Roman" w:hAnsi="Times New Roman" w:cs="Times New Roman"/>
        </w:rPr>
        <w:t xml:space="preserve">, </w:t>
      </w:r>
      <w:r w:rsidRPr="00452E78">
        <w:rPr>
          <w:rFonts w:ascii="Times New Roman" w:hAnsi="Times New Roman" w:cs="Times New Roman"/>
          <w:i/>
          <w:iCs/>
        </w:rPr>
        <w:t>12</w:t>
      </w:r>
      <w:r w:rsidRPr="00452E78">
        <w:rPr>
          <w:rFonts w:ascii="Times New Roman" w:hAnsi="Times New Roman" w:cs="Times New Roman"/>
        </w:rPr>
        <w:t xml:space="preserve">, 29–41. </w:t>
      </w:r>
      <w:hyperlink r:id="rId50" w:history="1">
        <w:r w:rsidRPr="00452E78">
          <w:rPr>
            <w:rStyle w:val="Hyperlink"/>
            <w:rFonts w:ascii="Times New Roman" w:eastAsia="Times New Roman" w:hAnsi="Times New Roman" w:cs="Times New Roman"/>
          </w:rPr>
          <w:t>https://doi.org/10.1016/j.ancene.2015.09.004</w:t>
        </w:r>
      </w:hyperlink>
    </w:p>
    <w:p w14:paraId="42D0CB25" w14:textId="77777777" w:rsidR="007746A0" w:rsidRPr="00452E78" w:rsidRDefault="007746A0" w:rsidP="007746A0">
      <w:pPr>
        <w:pStyle w:val="Bibliography"/>
        <w:spacing w:line="360" w:lineRule="auto"/>
        <w:rPr>
          <w:rFonts w:ascii="Times New Roman" w:hAnsi="Times New Roman" w:cs="Times New Roman"/>
        </w:rPr>
      </w:pPr>
    </w:p>
    <w:p w14:paraId="5F0E2195"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Zhang, M., Liu, N., Harper, R., Li, Q., Liu, K., Wei, X., Ning, D., Hou, Y., &amp; Liu, S. (2016). A global review on hydrological responses to forest change across multiple spatial scales: Importance of scale, climate, forest type and hydrological regime. </w:t>
      </w:r>
      <w:r w:rsidRPr="00452E78">
        <w:rPr>
          <w:rFonts w:ascii="Times New Roman" w:hAnsi="Times New Roman" w:cs="Times New Roman"/>
          <w:i/>
          <w:iCs/>
        </w:rPr>
        <w:t>Journal of Hydrology</w:t>
      </w:r>
      <w:r w:rsidRPr="00452E78">
        <w:rPr>
          <w:rFonts w:ascii="Times New Roman" w:hAnsi="Times New Roman" w:cs="Times New Roman"/>
        </w:rPr>
        <w:t xml:space="preserve">, </w:t>
      </w:r>
      <w:r w:rsidRPr="00452E78">
        <w:rPr>
          <w:rFonts w:ascii="Times New Roman" w:hAnsi="Times New Roman" w:cs="Times New Roman"/>
          <w:i/>
          <w:iCs/>
        </w:rPr>
        <w:t>546</w:t>
      </w:r>
      <w:r w:rsidRPr="00452E78">
        <w:rPr>
          <w:rFonts w:ascii="Times New Roman" w:hAnsi="Times New Roman" w:cs="Times New Roman"/>
        </w:rPr>
        <w:t xml:space="preserve">, 44–59. </w:t>
      </w:r>
      <w:hyperlink r:id="rId51" w:history="1">
        <w:r w:rsidRPr="00452E78">
          <w:rPr>
            <w:rStyle w:val="Hyperlink"/>
            <w:rFonts w:ascii="Times New Roman" w:eastAsia="Times New Roman" w:hAnsi="Times New Roman" w:cs="Times New Roman"/>
          </w:rPr>
          <w:t>https://doi.org/10.1016/j.jhydrol.2016.12.040</w:t>
        </w:r>
      </w:hyperlink>
    </w:p>
    <w:p w14:paraId="3C2B347C" w14:textId="77777777" w:rsidR="007746A0" w:rsidRPr="00452E78" w:rsidRDefault="007746A0" w:rsidP="007746A0">
      <w:pPr>
        <w:pStyle w:val="Bibliography"/>
        <w:spacing w:line="360" w:lineRule="auto"/>
        <w:rPr>
          <w:rFonts w:ascii="Times New Roman" w:hAnsi="Times New Roman" w:cs="Times New Roman"/>
          <w:lang w:val="en-US"/>
        </w:rPr>
      </w:pPr>
    </w:p>
    <w:p w14:paraId="0E68C1B5" w14:textId="77777777" w:rsidR="007746A0" w:rsidRPr="00452E78" w:rsidRDefault="007746A0" w:rsidP="00F43728">
      <w:pPr>
        <w:spacing w:line="360" w:lineRule="auto"/>
        <w:jc w:val="both"/>
        <w:rPr>
          <w:rFonts w:ascii="Times New Roman" w:hAnsi="Times New Roman" w:cs="Times New Roman"/>
          <w:lang w:val="en-US"/>
        </w:rPr>
      </w:pPr>
    </w:p>
    <w:sectPr w:rsidR="007746A0" w:rsidRPr="00452E78" w:rsidSect="00A02458">
      <w:headerReference w:type="even" r:id="rId52"/>
      <w:headerReference w:type="default" r:id="rId53"/>
      <w:headerReference w:type="first" r:id="rId54"/>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bik Shrestha" w:date="2025-11-18T15:37:00Z" w:initials="SS">
    <w:p w14:paraId="73D3C21A" w14:textId="77777777" w:rsidR="00EB0C6A" w:rsidRDefault="00EB0C6A" w:rsidP="00EB0C6A">
      <w:pPr>
        <w:pStyle w:val="CommentText"/>
      </w:pPr>
      <w:r>
        <w:rPr>
          <w:rStyle w:val="CommentReference"/>
        </w:rPr>
        <w:annotationRef/>
      </w:r>
      <w:r>
        <w:t>Make this in one paragraph, not exceeding 285 words.</w:t>
      </w:r>
    </w:p>
  </w:comment>
  <w:comment w:id="1" w:author="Subik Shrestha" w:date="2025-11-18T15:40:00Z" w:initials="SS">
    <w:p w14:paraId="10623C3A" w14:textId="77777777" w:rsidR="00EB0C6A" w:rsidRDefault="00EB0C6A" w:rsidP="00EB0C6A">
      <w:pPr>
        <w:pStyle w:val="CommentText"/>
      </w:pPr>
      <w:r>
        <w:rPr>
          <w:rStyle w:val="CommentReference"/>
        </w:rPr>
        <w:annotationRef/>
      </w:r>
      <w:r>
        <w:t xml:space="preserve">Citation required: Please add the citation for who made this strength of agreement. </w:t>
      </w:r>
    </w:p>
  </w:comment>
  <w:comment w:id="2" w:author="Subik Shrestha" w:date="2025-11-18T15:41:00Z" w:initials="SS">
    <w:p w14:paraId="5C6BF94E" w14:textId="77777777" w:rsidR="00EB0C6A" w:rsidRDefault="00EB0C6A" w:rsidP="00EB0C6A">
      <w:pPr>
        <w:pStyle w:val="CommentText"/>
      </w:pPr>
      <w:r>
        <w:rPr>
          <w:rStyle w:val="CommentReference"/>
        </w:rPr>
        <w:annotationRef/>
      </w:r>
      <w:r>
        <w:t xml:space="preserve">Clarity: Make this figure more visible.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D3C21A" w15:done="0"/>
  <w15:commentEx w15:paraId="10623C3A" w15:done="0"/>
  <w15:commentEx w15:paraId="5C6BF9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C48C01" w16cex:dateUtc="2025-11-18T09:52:00Z"/>
  <w16cex:commentExtensible w16cex:durableId="2A861507" w16cex:dateUtc="2025-11-18T09:55:00Z"/>
  <w16cex:commentExtensible w16cex:durableId="53947BD8" w16cex:dateUtc="2025-11-18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D3C21A" w16cid:durableId="68C48C01"/>
  <w16cid:commentId w16cid:paraId="10623C3A" w16cid:durableId="2A861507"/>
  <w16cid:commentId w16cid:paraId="5C6BF94E" w16cid:durableId="53947B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11666" w14:textId="77777777" w:rsidR="00B12717" w:rsidRDefault="00B12717" w:rsidP="00EC7039">
      <w:pPr>
        <w:spacing w:after="0" w:line="240" w:lineRule="auto"/>
      </w:pPr>
      <w:r>
        <w:separator/>
      </w:r>
    </w:p>
  </w:endnote>
  <w:endnote w:type="continuationSeparator" w:id="0">
    <w:p w14:paraId="576451EC" w14:textId="77777777" w:rsidR="00B12717" w:rsidRDefault="00B12717" w:rsidP="00EC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E85F" w14:textId="77777777" w:rsidR="00B12717" w:rsidRDefault="00B12717" w:rsidP="00EC7039">
      <w:pPr>
        <w:spacing w:after="0" w:line="240" w:lineRule="auto"/>
      </w:pPr>
      <w:r>
        <w:separator/>
      </w:r>
    </w:p>
  </w:footnote>
  <w:footnote w:type="continuationSeparator" w:id="0">
    <w:p w14:paraId="0D08926E" w14:textId="77777777" w:rsidR="00B12717" w:rsidRDefault="00B12717" w:rsidP="00EC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A44D" w14:textId="7FFD8932" w:rsidR="00EC7039" w:rsidRDefault="00000000">
    <w:pPr>
      <w:pStyle w:val="Header"/>
    </w:pPr>
    <w:r>
      <w:rPr>
        <w:noProof/>
      </w:rPr>
      <w:pict w14:anchorId="70B58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20563" o:spid="_x0000_s1026" type="#_x0000_t136" style="position:absolute;margin-left:0;margin-top:0;width:571.5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3174" w14:textId="772D6B38" w:rsidR="00EC7039" w:rsidRDefault="00000000">
    <w:pPr>
      <w:pStyle w:val="Header"/>
    </w:pPr>
    <w:r>
      <w:rPr>
        <w:noProof/>
      </w:rPr>
      <w:pict w14:anchorId="59C86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20564" o:spid="_x0000_s1027" type="#_x0000_t136" style="position:absolute;margin-left:0;margin-top:0;width:571.5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49AB" w14:textId="33FA6C69" w:rsidR="00EC7039" w:rsidRDefault="00000000">
    <w:pPr>
      <w:pStyle w:val="Header"/>
    </w:pPr>
    <w:r>
      <w:rPr>
        <w:noProof/>
      </w:rPr>
      <w:pict w14:anchorId="646FE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20562" o:spid="_x0000_s1025" type="#_x0000_t136" style="position:absolute;margin-left:0;margin-top:0;width:571.5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1A65"/>
    <w:multiLevelType w:val="hybridMultilevel"/>
    <w:tmpl w:val="AFC6D3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39B431A"/>
    <w:multiLevelType w:val="hybridMultilevel"/>
    <w:tmpl w:val="0D060F0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90B3791"/>
    <w:multiLevelType w:val="hybridMultilevel"/>
    <w:tmpl w:val="DF96FC6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3BE1943"/>
    <w:multiLevelType w:val="hybridMultilevel"/>
    <w:tmpl w:val="709A61E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95166AC"/>
    <w:multiLevelType w:val="hybridMultilevel"/>
    <w:tmpl w:val="66C2B00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A0D0AE6"/>
    <w:multiLevelType w:val="hybridMultilevel"/>
    <w:tmpl w:val="FE360E4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63425851">
    <w:abstractNumId w:val="4"/>
  </w:num>
  <w:num w:numId="2" w16cid:durableId="1983348022">
    <w:abstractNumId w:val="0"/>
  </w:num>
  <w:num w:numId="3" w16cid:durableId="1140532549">
    <w:abstractNumId w:val="3"/>
  </w:num>
  <w:num w:numId="4" w16cid:durableId="1336955513">
    <w:abstractNumId w:val="2"/>
  </w:num>
  <w:num w:numId="5" w16cid:durableId="1791970037">
    <w:abstractNumId w:val="1"/>
  </w:num>
  <w:num w:numId="6" w16cid:durableId="16240724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bik Shrestha">
    <w15:presenceInfo w15:providerId="Windows Live" w15:userId="0a6035e9649ad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71"/>
    <w:rsid w:val="00020C59"/>
    <w:rsid w:val="00052308"/>
    <w:rsid w:val="00056BFD"/>
    <w:rsid w:val="00056EE0"/>
    <w:rsid w:val="000D309D"/>
    <w:rsid w:val="0010749C"/>
    <w:rsid w:val="0011792C"/>
    <w:rsid w:val="00124EF3"/>
    <w:rsid w:val="001633BC"/>
    <w:rsid w:val="0016362F"/>
    <w:rsid w:val="001A5729"/>
    <w:rsid w:val="001E25EE"/>
    <w:rsid w:val="00242019"/>
    <w:rsid w:val="00243CDF"/>
    <w:rsid w:val="00267632"/>
    <w:rsid w:val="002A5525"/>
    <w:rsid w:val="002B28F9"/>
    <w:rsid w:val="002E09B1"/>
    <w:rsid w:val="002E2327"/>
    <w:rsid w:val="00304C8C"/>
    <w:rsid w:val="003335A1"/>
    <w:rsid w:val="00336571"/>
    <w:rsid w:val="00347BAC"/>
    <w:rsid w:val="00396FE0"/>
    <w:rsid w:val="00397849"/>
    <w:rsid w:val="00407265"/>
    <w:rsid w:val="0043097C"/>
    <w:rsid w:val="00437879"/>
    <w:rsid w:val="00452E78"/>
    <w:rsid w:val="0048352E"/>
    <w:rsid w:val="00490AE1"/>
    <w:rsid w:val="004B230E"/>
    <w:rsid w:val="004C5C74"/>
    <w:rsid w:val="004E5377"/>
    <w:rsid w:val="00556673"/>
    <w:rsid w:val="006127BF"/>
    <w:rsid w:val="00653299"/>
    <w:rsid w:val="00656F18"/>
    <w:rsid w:val="0066075A"/>
    <w:rsid w:val="00675A5D"/>
    <w:rsid w:val="006C10FE"/>
    <w:rsid w:val="006C4C3D"/>
    <w:rsid w:val="007655F0"/>
    <w:rsid w:val="007746A0"/>
    <w:rsid w:val="007A70AE"/>
    <w:rsid w:val="007B5BAF"/>
    <w:rsid w:val="0080597D"/>
    <w:rsid w:val="00826AE8"/>
    <w:rsid w:val="00844172"/>
    <w:rsid w:val="0087572F"/>
    <w:rsid w:val="008A4A97"/>
    <w:rsid w:val="008B6570"/>
    <w:rsid w:val="00901E9E"/>
    <w:rsid w:val="009A28E1"/>
    <w:rsid w:val="009A5F50"/>
    <w:rsid w:val="009F5A23"/>
    <w:rsid w:val="00A02458"/>
    <w:rsid w:val="00A25C83"/>
    <w:rsid w:val="00A331EE"/>
    <w:rsid w:val="00AB3872"/>
    <w:rsid w:val="00AC3C8D"/>
    <w:rsid w:val="00AD28EF"/>
    <w:rsid w:val="00AF57BC"/>
    <w:rsid w:val="00B12717"/>
    <w:rsid w:val="00BF3D2C"/>
    <w:rsid w:val="00C74361"/>
    <w:rsid w:val="00C965B6"/>
    <w:rsid w:val="00CF439D"/>
    <w:rsid w:val="00D169F8"/>
    <w:rsid w:val="00D46324"/>
    <w:rsid w:val="00D966AE"/>
    <w:rsid w:val="00DA26D5"/>
    <w:rsid w:val="00DD3700"/>
    <w:rsid w:val="00DD5505"/>
    <w:rsid w:val="00DF507F"/>
    <w:rsid w:val="00E016F2"/>
    <w:rsid w:val="00E021A3"/>
    <w:rsid w:val="00E27C10"/>
    <w:rsid w:val="00E52ECC"/>
    <w:rsid w:val="00E61962"/>
    <w:rsid w:val="00E64973"/>
    <w:rsid w:val="00E920F6"/>
    <w:rsid w:val="00EA338F"/>
    <w:rsid w:val="00EB0C6A"/>
    <w:rsid w:val="00EB63DC"/>
    <w:rsid w:val="00EC3B0B"/>
    <w:rsid w:val="00EC7039"/>
    <w:rsid w:val="00EC7994"/>
    <w:rsid w:val="00EE530C"/>
    <w:rsid w:val="00F43728"/>
    <w:rsid w:val="00F82054"/>
    <w:rsid w:val="00FA0530"/>
    <w:rsid w:val="00FB0633"/>
    <w:rsid w:val="00FF6B12"/>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DAFE4"/>
  <w15:chartTrackingRefBased/>
  <w15:docId w15:val="{0E73287D-150C-4BF5-A92F-313D629E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5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65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65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65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65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6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5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65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65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65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65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6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571"/>
    <w:rPr>
      <w:rFonts w:eastAsiaTheme="majorEastAsia" w:cstheme="majorBidi"/>
      <w:color w:val="272727" w:themeColor="text1" w:themeTint="D8"/>
    </w:rPr>
  </w:style>
  <w:style w:type="paragraph" w:styleId="Title">
    <w:name w:val="Title"/>
    <w:basedOn w:val="Normal"/>
    <w:next w:val="Normal"/>
    <w:link w:val="TitleChar"/>
    <w:uiPriority w:val="10"/>
    <w:qFormat/>
    <w:rsid w:val="00336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571"/>
    <w:pPr>
      <w:spacing w:before="160"/>
      <w:jc w:val="center"/>
    </w:pPr>
    <w:rPr>
      <w:i/>
      <w:iCs/>
      <w:color w:val="404040" w:themeColor="text1" w:themeTint="BF"/>
    </w:rPr>
  </w:style>
  <w:style w:type="character" w:customStyle="1" w:styleId="QuoteChar">
    <w:name w:val="Quote Char"/>
    <w:basedOn w:val="DefaultParagraphFont"/>
    <w:link w:val="Quote"/>
    <w:uiPriority w:val="29"/>
    <w:rsid w:val="00336571"/>
    <w:rPr>
      <w:i/>
      <w:iCs/>
      <w:color w:val="404040" w:themeColor="text1" w:themeTint="BF"/>
    </w:rPr>
  </w:style>
  <w:style w:type="paragraph" w:styleId="ListParagraph">
    <w:name w:val="List Paragraph"/>
    <w:basedOn w:val="Normal"/>
    <w:uiPriority w:val="34"/>
    <w:qFormat/>
    <w:rsid w:val="00336571"/>
    <w:pPr>
      <w:ind w:left="720"/>
      <w:contextualSpacing/>
    </w:pPr>
  </w:style>
  <w:style w:type="character" w:styleId="IntenseEmphasis">
    <w:name w:val="Intense Emphasis"/>
    <w:basedOn w:val="DefaultParagraphFont"/>
    <w:uiPriority w:val="21"/>
    <w:qFormat/>
    <w:rsid w:val="00336571"/>
    <w:rPr>
      <w:i/>
      <w:iCs/>
      <w:color w:val="2F5496" w:themeColor="accent1" w:themeShade="BF"/>
    </w:rPr>
  </w:style>
  <w:style w:type="paragraph" w:styleId="IntenseQuote">
    <w:name w:val="Intense Quote"/>
    <w:basedOn w:val="Normal"/>
    <w:next w:val="Normal"/>
    <w:link w:val="IntenseQuoteChar"/>
    <w:uiPriority w:val="30"/>
    <w:qFormat/>
    <w:rsid w:val="00336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6571"/>
    <w:rPr>
      <w:i/>
      <w:iCs/>
      <w:color w:val="2F5496" w:themeColor="accent1" w:themeShade="BF"/>
    </w:rPr>
  </w:style>
  <w:style w:type="character" w:styleId="IntenseReference">
    <w:name w:val="Intense Reference"/>
    <w:basedOn w:val="DefaultParagraphFont"/>
    <w:uiPriority w:val="32"/>
    <w:qFormat/>
    <w:rsid w:val="00336571"/>
    <w:rPr>
      <w:b/>
      <w:bCs/>
      <w:smallCaps/>
      <w:color w:val="2F5496" w:themeColor="accent1" w:themeShade="BF"/>
      <w:spacing w:val="5"/>
    </w:rPr>
  </w:style>
  <w:style w:type="table" w:styleId="TableGrid">
    <w:name w:val="Table Grid"/>
    <w:basedOn w:val="TableNormal"/>
    <w:uiPriority w:val="39"/>
    <w:rsid w:val="00490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572F"/>
    <w:rPr>
      <w:color w:val="0563C1" w:themeColor="hyperlink"/>
      <w:u w:val="single"/>
    </w:rPr>
  </w:style>
  <w:style w:type="character" w:styleId="UnresolvedMention">
    <w:name w:val="Unresolved Mention"/>
    <w:basedOn w:val="DefaultParagraphFont"/>
    <w:uiPriority w:val="99"/>
    <w:semiHidden/>
    <w:unhideWhenUsed/>
    <w:rsid w:val="0087572F"/>
    <w:rPr>
      <w:color w:val="605E5C"/>
      <w:shd w:val="clear" w:color="auto" w:fill="E1DFDD"/>
    </w:rPr>
  </w:style>
  <w:style w:type="paragraph" w:styleId="Bibliography">
    <w:name w:val="Bibliography"/>
    <w:basedOn w:val="Normal"/>
    <w:next w:val="Normal"/>
    <w:uiPriority w:val="37"/>
    <w:semiHidden/>
    <w:unhideWhenUsed/>
    <w:rsid w:val="007746A0"/>
  </w:style>
  <w:style w:type="paragraph" w:styleId="Header">
    <w:name w:val="header"/>
    <w:basedOn w:val="Normal"/>
    <w:link w:val="HeaderChar"/>
    <w:uiPriority w:val="99"/>
    <w:unhideWhenUsed/>
    <w:rsid w:val="00EC7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039"/>
  </w:style>
  <w:style w:type="paragraph" w:styleId="Footer">
    <w:name w:val="footer"/>
    <w:basedOn w:val="Normal"/>
    <w:link w:val="FooterChar"/>
    <w:uiPriority w:val="99"/>
    <w:unhideWhenUsed/>
    <w:rsid w:val="00EC7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039"/>
  </w:style>
  <w:style w:type="character" w:styleId="CommentReference">
    <w:name w:val="annotation reference"/>
    <w:basedOn w:val="DefaultParagraphFont"/>
    <w:uiPriority w:val="99"/>
    <w:semiHidden/>
    <w:unhideWhenUsed/>
    <w:rsid w:val="00EB0C6A"/>
    <w:rPr>
      <w:sz w:val="16"/>
      <w:szCs w:val="16"/>
    </w:rPr>
  </w:style>
  <w:style w:type="paragraph" w:styleId="CommentText">
    <w:name w:val="annotation text"/>
    <w:basedOn w:val="Normal"/>
    <w:link w:val="CommentTextChar"/>
    <w:uiPriority w:val="99"/>
    <w:unhideWhenUsed/>
    <w:rsid w:val="00EB0C6A"/>
    <w:pPr>
      <w:spacing w:line="240" w:lineRule="auto"/>
    </w:pPr>
    <w:rPr>
      <w:sz w:val="20"/>
      <w:szCs w:val="20"/>
    </w:rPr>
  </w:style>
  <w:style w:type="character" w:customStyle="1" w:styleId="CommentTextChar">
    <w:name w:val="Comment Text Char"/>
    <w:basedOn w:val="DefaultParagraphFont"/>
    <w:link w:val="CommentText"/>
    <w:uiPriority w:val="99"/>
    <w:rsid w:val="00EB0C6A"/>
    <w:rPr>
      <w:sz w:val="20"/>
      <w:szCs w:val="20"/>
    </w:rPr>
  </w:style>
  <w:style w:type="paragraph" w:styleId="CommentSubject">
    <w:name w:val="annotation subject"/>
    <w:basedOn w:val="CommentText"/>
    <w:next w:val="CommentText"/>
    <w:link w:val="CommentSubjectChar"/>
    <w:uiPriority w:val="99"/>
    <w:semiHidden/>
    <w:unhideWhenUsed/>
    <w:rsid w:val="00EB0C6A"/>
    <w:rPr>
      <w:b/>
      <w:bCs/>
    </w:rPr>
  </w:style>
  <w:style w:type="character" w:customStyle="1" w:styleId="CommentSubjectChar">
    <w:name w:val="Comment Subject Char"/>
    <w:basedOn w:val="CommentTextChar"/>
    <w:link w:val="CommentSubject"/>
    <w:uiPriority w:val="99"/>
    <w:semiHidden/>
    <w:rsid w:val="00EB0C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1080/01431160802395235" TargetMode="External"/><Relationship Id="rId26" Type="http://schemas.openxmlformats.org/officeDocument/2006/relationships/hyperlink" Target="https://doi.org/10.1088/1755-1315/950/1/012091" TargetMode="External"/><Relationship Id="rId39" Type="http://schemas.openxmlformats.org/officeDocument/2006/relationships/hyperlink" Target="https://doi.org/10.1371/journal.pone.0217148" TargetMode="External"/><Relationship Id="rId21" Type="http://schemas.openxmlformats.org/officeDocument/2006/relationships/hyperlink" Target="https://doi.org/10.1016/j.isprsjprs.2014.09.002" TargetMode="External"/><Relationship Id="rId34" Type="http://schemas.openxmlformats.org/officeDocument/2006/relationships/hyperlink" Target="https://doi.org/10.1029/2018gl081477" TargetMode="External"/><Relationship Id="rId42" Type="http://schemas.openxmlformats.org/officeDocument/2006/relationships/hyperlink" Target="https://doi.org/10.5281/zenodo.8042670" TargetMode="External"/><Relationship Id="rId47" Type="http://schemas.openxmlformats.org/officeDocument/2006/relationships/hyperlink" Target="https://doi.org/10.3390/resources8010018" TargetMode="External"/><Relationship Id="rId50" Type="http://schemas.openxmlformats.org/officeDocument/2006/relationships/hyperlink" Target="https://doi.org/10.1016/j.ancene.2015.09.004"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133/pp964" TargetMode="External"/><Relationship Id="rId29" Type="http://schemas.openxmlformats.org/officeDocument/2006/relationships/hyperlink" Target="https://doi.org/10.1016/j.compenvurbsys.2013.05.004" TargetMode="External"/><Relationship Id="rId11" Type="http://schemas.microsoft.com/office/2018/08/relationships/commentsExtensible" Target="commentsExtensible.xml"/><Relationship Id="rId24" Type="http://schemas.openxmlformats.org/officeDocument/2006/relationships/hyperlink" Target="https://doi.org/10.1016/s0034-4257(01)00295-4" TargetMode="External"/><Relationship Id="rId32" Type="http://schemas.openxmlformats.org/officeDocument/2006/relationships/hyperlink" Target="https://doi.org/10.3389/fevo.2017.00075" TargetMode="External"/><Relationship Id="rId37" Type="http://schemas.openxmlformats.org/officeDocument/2006/relationships/hyperlink" Target="https://doi.org/10.1016/j.ecolind.2017.10.012" TargetMode="External"/><Relationship Id="rId40" Type="http://schemas.openxmlformats.org/officeDocument/2006/relationships/hyperlink" Target="https://doi.org/10.1007/s10531-015-1033-2" TargetMode="External"/><Relationship Id="rId45" Type="http://schemas.openxmlformats.org/officeDocument/2006/relationships/hyperlink" Target="https://doi.org/10.3390/rs13081446" TargetMode="External"/><Relationship Id="rId53"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https://doi.org/10.1016/j.jenvman.2017.10.015"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hyperlink" Target="https://doi.org/10.1016/0034-4257(91)90048-b" TargetMode="External"/><Relationship Id="rId27" Type="http://schemas.openxmlformats.org/officeDocument/2006/relationships/hyperlink" Target="https://doi.org/10.1007/s12665-018-7893-5" TargetMode="External"/><Relationship Id="rId30" Type="http://schemas.openxmlformats.org/officeDocument/2006/relationships/hyperlink" Target="https://www.jetir.org/papers/JETIR2207552.pdf" TargetMode="External"/><Relationship Id="rId35" Type="http://schemas.openxmlformats.org/officeDocument/2006/relationships/hyperlink" Target="https://doi.org/10.3354/meps230211" TargetMode="External"/><Relationship Id="rId43" Type="http://schemas.openxmlformats.org/officeDocument/2006/relationships/hyperlink" Target="https://doi.org/10.1080/01431160110114475" TargetMode="External"/><Relationship Id="rId48" Type="http://schemas.openxmlformats.org/officeDocument/2006/relationships/hyperlink" Target="https://doi.org/10.1186/s13717-022-00386-w" TargetMode="External"/><Relationship Id="rId56" Type="http://schemas.microsoft.com/office/2011/relationships/people" Target="people.xml"/><Relationship Id="rId8" Type="http://schemas.openxmlformats.org/officeDocument/2006/relationships/comments" Target="comments.xml"/><Relationship Id="rId51" Type="http://schemas.openxmlformats.org/officeDocument/2006/relationships/hyperlink" Target="https://doi.org/10.1016/j.jhydrol.2016.12.040" TargetMode="Externa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oi.org/10.3390/su10040951" TargetMode="External"/><Relationship Id="rId25" Type="http://schemas.openxmlformats.org/officeDocument/2006/relationships/hyperlink" Target="https://doi.org/10.1007/s11356-019-06072-3" TargetMode="External"/><Relationship Id="rId33" Type="http://schemas.openxmlformats.org/officeDocument/2006/relationships/hyperlink" Target="https://doi.org/10.1080/0143116031000139863" TargetMode="External"/><Relationship Id="rId38" Type="http://schemas.openxmlformats.org/officeDocument/2006/relationships/hyperlink" Target="https://doi.org/10.1016/j.ejrs.2015.02.002" TargetMode="External"/><Relationship Id="rId46" Type="http://schemas.openxmlformats.org/officeDocument/2006/relationships/hyperlink" Target="https://doi.org/10.1007/978-3-030-14180-6" TargetMode="External"/><Relationship Id="rId20" Type="http://schemas.openxmlformats.org/officeDocument/2006/relationships/hyperlink" Target="https://doi.org/10.18352/ijc.883" TargetMode="External"/><Relationship Id="rId41" Type="http://schemas.openxmlformats.org/officeDocument/2006/relationships/hyperlink" Target="https://doi.org/10.1111/gcb.13284"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doi.org/10.1126/science.1111772" TargetMode="External"/><Relationship Id="rId28" Type="http://schemas.openxmlformats.org/officeDocument/2006/relationships/hyperlink" Target="https://www.academia.edu/3488091/Deka_J_Tripathi_O_P_and_Khan_M_L_2012_Urban_growth_trend_analysis_using_Shannon_Entropy_approach_a_case_study_in_north_east_India_International_Journal_of_Geomatics_and_Geosciences_2_4_1072_1078" TargetMode="External"/><Relationship Id="rId36" Type="http://schemas.openxmlformats.org/officeDocument/2006/relationships/hyperlink" Target="https://doi.org/10.1016/s0378-1127(02)00335-3" TargetMode="External"/><Relationship Id="rId49" Type="http://schemas.openxmlformats.org/officeDocument/2006/relationships/hyperlink" Target="https://doi.org/10.1073/pnas.0704119104" TargetMode="External"/><Relationship Id="rId57" Type="http://schemas.openxmlformats.org/officeDocument/2006/relationships/theme" Target="theme/theme1.xml"/><Relationship Id="rId10" Type="http://schemas.microsoft.com/office/2016/09/relationships/commentsIds" Target="commentsIds.xml"/><Relationship Id="rId31" Type="http://schemas.openxmlformats.org/officeDocument/2006/relationships/hyperlink" Target="https://doi.org/10.1016/s0959-3780(01)00007-3" TargetMode="External"/><Relationship Id="rId44" Type="http://schemas.openxmlformats.org/officeDocument/2006/relationships/hyperlink" Target="https://doi.org/10.1109/tgrs.2008.916629"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BB1C7-FEFD-418E-BCB2-AF881939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21</Pages>
  <Words>6168</Words>
  <Characters>36887</Characters>
  <Application>Microsoft Office Word</Application>
  <DocSecurity>0</DocSecurity>
  <Lines>737</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Lamzamuan</dc:creator>
  <cp:keywords/>
  <dc:description/>
  <cp:lastModifiedBy>Subik Shrestha</cp:lastModifiedBy>
  <cp:revision>51</cp:revision>
  <dcterms:created xsi:type="dcterms:W3CDTF">2025-11-05T14:29:00Z</dcterms:created>
  <dcterms:modified xsi:type="dcterms:W3CDTF">2025-11-18T09:56:00Z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3efa18c9-2f28-49b2-a7aa-baac16d8e46e</vt:lpwstr>
  </property>
</Properties>
</file>