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99462">
      <w:pPr>
        <w:pStyle w:val="12"/>
        <w:spacing w:line="276" w:lineRule="auto"/>
        <w:jc w:val="center"/>
        <w:rPr>
          <w:b/>
          <w:bCs/>
        </w:rPr>
      </w:pPr>
      <w:r>
        <w:rPr>
          <w:b/>
          <w:bCs/>
        </w:rPr>
        <w:t xml:space="preserve">Beyond Compliance: Examining the Realities of Disability Inclusion in Indian Schools under the </w:t>
      </w:r>
      <w:bookmarkStart w:id="0" w:name="_Hlk213665734"/>
      <w:r>
        <w:rPr>
          <w:b/>
          <w:bCs/>
        </w:rPr>
        <w:t>RPwD Act (2016)</w:t>
      </w:r>
      <w:bookmarkStart w:id="1" w:name="_GoBack"/>
      <w:bookmarkEnd w:id="1"/>
    </w:p>
    <w:p w14:paraId="4807D5AF">
      <w:pPr>
        <w:pStyle w:val="12"/>
        <w:spacing w:line="276" w:lineRule="auto"/>
        <w:jc w:val="center"/>
        <w:rPr>
          <w:rFonts w:hint="default"/>
          <w:b/>
          <w:bCs/>
          <w:lang/>
        </w:rPr>
      </w:pPr>
      <w:r>
        <w:rPr>
          <w:rFonts w:hint="default"/>
          <w:b/>
          <w:bCs/>
          <w:lang/>
        </w:rPr>
        <w:t>…...</w:t>
      </w:r>
      <w:r>
        <w:commentReference w:id="0"/>
      </w:r>
    </w:p>
    <w:bookmarkEnd w:id="0"/>
    <w:p w14:paraId="0D73E13E">
      <w:pPr>
        <w:spacing w:after="0"/>
        <w:jc w:val="center"/>
        <w:rPr>
          <w:rStyle w:val="11"/>
          <w:rFonts w:ascii="Times New Roman" w:hAnsi="Times New Roman" w:cs="Times New Roman"/>
          <w:color w:val="000000" w:themeColor="text1"/>
          <w:sz w:val="24"/>
          <w:szCs w:val="24"/>
          <w:lang w:val="pt-BR"/>
          <w14:textFill>
            <w14:solidFill>
              <w14:schemeClr w14:val="tx1"/>
            </w14:solidFill>
          </w14:textFill>
        </w:rPr>
      </w:pPr>
    </w:p>
    <w:p w14:paraId="5BAE6EA3">
      <w:pPr>
        <w:spacing w:after="0"/>
        <w:jc w:val="center"/>
        <w:rPr>
          <w:rStyle w:val="11"/>
          <w:rFonts w:ascii="Times New Roman" w:hAnsi="Times New Roman" w:cs="Times New Roman"/>
          <w:color w:val="000000" w:themeColor="text1"/>
          <w:sz w:val="24"/>
          <w:szCs w:val="24"/>
          <w:lang w:val="pt-BR"/>
          <w14:textFill>
            <w14:solidFill>
              <w14:schemeClr w14:val="tx1"/>
            </w14:solidFill>
          </w14:textFill>
        </w:rPr>
      </w:pPr>
    </w:p>
    <w:p w14:paraId="56BA8407">
      <w:pPr>
        <w:spacing w:after="0"/>
        <w:jc w:val="center"/>
        <w:rPr>
          <w:rFonts w:ascii="Times New Roman" w:hAnsi="Times New Roman" w:cs="Times New Roman"/>
          <w:color w:val="000000" w:themeColor="text1"/>
          <w:sz w:val="24"/>
          <w:szCs w:val="24"/>
          <w:lang w:val="pt-BR"/>
          <w14:textFill>
            <w14:solidFill>
              <w14:schemeClr w14:val="tx1"/>
            </w14:solidFill>
          </w14:textFill>
        </w:rPr>
      </w:pPr>
    </w:p>
    <w:p w14:paraId="7CF9B6DE">
      <w:pPr>
        <w:spacing w:after="0"/>
        <w:jc w:val="center"/>
        <w:rPr>
          <w:rFonts w:ascii="Times New Roman" w:hAnsi="Times New Roman" w:cs="Times New Roman"/>
          <w:b/>
          <w:bCs/>
          <w:sz w:val="24"/>
          <w:szCs w:val="24"/>
        </w:rPr>
      </w:pPr>
      <w:commentRangeStart w:id="1"/>
      <w:r>
        <w:rPr>
          <w:rFonts w:ascii="Times New Roman" w:hAnsi="Times New Roman" w:cs="Times New Roman"/>
          <w:b/>
          <w:bCs/>
          <w:sz w:val="24"/>
          <w:szCs w:val="24"/>
        </w:rPr>
        <w:t xml:space="preserve">Abstract </w:t>
      </w:r>
      <w:commentRangeEnd w:id="1"/>
      <w:r>
        <w:commentReference w:id="1"/>
      </w:r>
    </w:p>
    <w:p w14:paraId="151BCFD3">
      <w:pPr>
        <w:pStyle w:val="12"/>
        <w:spacing w:line="276" w:lineRule="auto"/>
        <w:jc w:val="both"/>
      </w:pPr>
      <w:r>
        <w:t>The Rights of Persons with Disabilities (RPwD) Act, 2016 represents a landmark shift in India’s commitment to inclusive education, mandating non-discrimination, reasonable accommodation, barrier-free infrastructure, and full participation of children with disabilities in schooling. Yet, nearly a decade after its enactment, the readiness of Indian schools to implement these mandates remains contested. This paper critically examines the extent to which schools have operationalised the Act’s provisions, drawing on national surveys, policy reviews, and contemporary research. Despite progressive policy intent, significant gaps persist in infrastructure accessibility, availability of resource rooms, teacher preparedness, assistive technologies, and Individualised Education Plans (IEPs). Evidence from UDISE+ (2022–23) and NCERT studies reveals that many schools lack trained special educators, functional ramps, accessible toilets, and inclusive pedagogical materials. Attitudinal barriers and entrenched ableism further hinder meaningful inclusion, producing a gap between admission and participation. The paper argues that compliance-driven approaches have replaced rights-based implementation, leading to symbolic rather than substantive inclusion. It concludes by proposing systemic reforms grounded in Universal Design for Learning (UDL), strengthened school governance, and collaborative, child-centred support systems to realise the vision of the RPwD Act.</w:t>
      </w:r>
    </w:p>
    <w:p w14:paraId="67009E27">
      <w:pPr>
        <w:pStyle w:val="12"/>
        <w:spacing w:line="276" w:lineRule="auto"/>
        <w:jc w:val="both"/>
        <w:rPr>
          <w:i/>
          <w:iCs/>
        </w:rPr>
      </w:pPr>
      <w:r>
        <w:rPr>
          <w:rStyle w:val="13"/>
          <w:i/>
          <w:iCs/>
        </w:rPr>
        <w:t>Keywords:</w:t>
      </w:r>
      <w:r>
        <w:rPr>
          <w:i/>
          <w:iCs/>
        </w:rPr>
        <w:t xml:space="preserve"> RPwD Act 2016, Inclusive Education, School Readiness, Accessibility, Special Educators, Universal Design for Learning. </w:t>
      </w:r>
    </w:p>
    <w:p w14:paraId="14239E5D">
      <w:pPr>
        <w:pStyle w:val="12"/>
        <w:spacing w:line="276" w:lineRule="auto"/>
        <w:jc w:val="both"/>
        <w:rPr>
          <w:i/>
          <w:iCs/>
        </w:rPr>
      </w:pPr>
    </w:p>
    <w:p w14:paraId="3BC37E6A">
      <w:pPr>
        <w:spacing w:before="100" w:beforeAutospacing="1" w:after="100" w:afterAutospacing="1" w:line="276" w:lineRule="auto"/>
        <w:jc w:val="both"/>
        <w:outlineLvl w:val="0"/>
        <w:rPr>
          <w:rFonts w:ascii="Times New Roman" w:hAnsi="Times New Roman" w:eastAsia="Times New Roman" w:cs="Times New Roman"/>
          <w:b/>
          <w:bCs/>
          <w:kern w:val="36"/>
          <w:sz w:val="24"/>
          <w:szCs w:val="24"/>
          <w:lang w:val="en-US"/>
        </w:rPr>
      </w:pPr>
      <w:commentRangeStart w:id="2"/>
      <w:r>
        <w:rPr>
          <w:rFonts w:ascii="Times New Roman" w:hAnsi="Times New Roman" w:eastAsia="Times New Roman" w:cs="Times New Roman"/>
          <w:b/>
          <w:bCs/>
          <w:kern w:val="36"/>
          <w:sz w:val="24"/>
          <w:szCs w:val="24"/>
          <w:lang w:val="en-US"/>
        </w:rPr>
        <w:t>1. Introduction</w:t>
      </w:r>
      <w:commentRangeEnd w:id="2"/>
      <w:r>
        <w:commentReference w:id="2"/>
      </w:r>
    </w:p>
    <w:p w14:paraId="55D57396">
      <w:p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Rights of Persons with Disabilities (RPwD) Act, 2016 marked a transformative moment in India’s disability rights movement (Jadhav </w:t>
      </w:r>
      <w:r>
        <w:rPr>
          <w:rFonts w:ascii="Times New Roman" w:hAnsi="Times New Roman" w:eastAsia="Times New Roman" w:cs="Times New Roman"/>
          <w:i/>
          <w:iCs/>
          <w:sz w:val="24"/>
          <w:szCs w:val="24"/>
          <w:lang w:val="en-US"/>
        </w:rPr>
        <w:t>et al</w:t>
      </w:r>
      <w:r>
        <w:rPr>
          <w:rFonts w:ascii="Times New Roman" w:hAnsi="Times New Roman" w:eastAsia="Times New Roman" w:cs="Times New Roman"/>
          <w:sz w:val="24"/>
          <w:szCs w:val="24"/>
          <w:lang w:val="en-US"/>
        </w:rPr>
        <w:t>., 2021; Saharya, 2022; Pandit, 2025). Aligned with the UN Convention on the Rights of Persons with Disabilities (UNCRPD), the Act expanded disability categories from seven to twenty-one and mandated inclusive education, reasonable accommodation, assistive devices, barrier-free access, and non-discrimination (Government of India, 2016). It explicitly requires that every child with disability has access to free, equitable education in a “neighbourhood school,” while prohibiting segregation (BALOGUN, 2023; Jardinez &amp; Natividad, 2024; Rao et al., 2021).</w:t>
      </w:r>
    </w:p>
    <w:p w14:paraId="78C01B7A">
      <w:p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However, evidence suggests that the readiness of Indian schools to operationalise these mandates remains deeply uneven. According to UDISE+ (2022–23), only 27% of schools have ramps usable by children with disabilities, only 18% have disabled-friendly toilets, and fewer than 12% have access to assistive devices or resource rooms (Ismail et al., 2023). These numbers expose the gap between normative commitments and ground realities.</w:t>
      </w:r>
    </w:p>
    <w:p w14:paraId="7CEB1D4A">
      <w:p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Scholars such as Ghai (2018), Addlakha (2020), Alur &amp; Toms (2009), and Kalyanpur (2008) argue that inclusive education in India is often conceptualised through narrow, medicalised frameworks that place responsibility on children to “fit into” schools rather than transforming schools to accommodate diversity. This gap intensifies the core question explored in this paper: Are Indian schools genuinely ready to include children with disabilities?</w:t>
      </w:r>
    </w:p>
    <w:p w14:paraId="62CF9764">
      <w:p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This paper critically reviews India’s progress and challenges in implementing the RPwD Act within schooling systems across five dimensions:</w:t>
      </w:r>
    </w:p>
    <w:p w14:paraId="50EFCCBD">
      <w:pPr>
        <w:numPr>
          <w:ilvl w:val="0"/>
          <w:numId w:val="3"/>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Infrastructure and physical accessibility</w:t>
      </w:r>
    </w:p>
    <w:p w14:paraId="1A8E60B4">
      <w:pPr>
        <w:numPr>
          <w:ilvl w:val="0"/>
          <w:numId w:val="3"/>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Teacher preparedness and professional development</w:t>
      </w:r>
    </w:p>
    <w:p w14:paraId="63209E66">
      <w:pPr>
        <w:numPr>
          <w:ilvl w:val="0"/>
          <w:numId w:val="3"/>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Pedagogy, curriculum, and assessment</w:t>
      </w:r>
    </w:p>
    <w:p w14:paraId="7569940E">
      <w:pPr>
        <w:numPr>
          <w:ilvl w:val="0"/>
          <w:numId w:val="3"/>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Availability of assistive technologies and learning support</w:t>
      </w:r>
    </w:p>
    <w:p w14:paraId="6E61D797">
      <w:pPr>
        <w:numPr>
          <w:ilvl w:val="0"/>
          <w:numId w:val="3"/>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Attitudinal readiness and institutional cultures</w:t>
      </w:r>
    </w:p>
    <w:p w14:paraId="3A98BB76">
      <w:p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By analysing national data, policy documents, and scholarly literature, this paper demonstrates that while India has laid strong policy foundations, schools largely remain unprepared for substantive, rights-based inclusion.</w:t>
      </w:r>
    </w:p>
    <w:p w14:paraId="595C3352">
      <w:pPr>
        <w:pStyle w:val="2"/>
        <w:spacing w:line="276" w:lineRule="auto"/>
        <w:jc w:val="both"/>
        <w:rPr>
          <w:sz w:val="24"/>
          <w:szCs w:val="24"/>
        </w:rPr>
      </w:pPr>
      <w:commentRangeStart w:id="3"/>
      <w:r>
        <w:rPr>
          <w:rStyle w:val="13"/>
          <w:b/>
          <w:bCs/>
          <w:sz w:val="24"/>
          <w:szCs w:val="24"/>
        </w:rPr>
        <w:t>2. Policy Landscape for Disability Inclusion in India</w:t>
      </w:r>
      <w:commentRangeEnd w:id="3"/>
      <w:r>
        <w:commentReference w:id="3"/>
      </w:r>
    </w:p>
    <w:p w14:paraId="4129BEC9">
      <w:pPr>
        <w:pStyle w:val="12"/>
        <w:spacing w:line="276" w:lineRule="auto"/>
        <w:jc w:val="both"/>
      </w:pPr>
      <w:r>
        <w:t>India’s commitment to disability-inclusive education is anchored in a complex ecosystem of national legislation, policy reforms, and international obligations. While this framework is robust and progressive on paper, its translation into meaningful school-level practices remains uneven. Understanding the readiness of Indian schools requires a close examination of these policy pillars and the contradictions embedded within them.</w:t>
      </w:r>
    </w:p>
    <w:p w14:paraId="15A0A6E0">
      <w:pPr>
        <w:pStyle w:val="3"/>
        <w:spacing w:line="276" w:lineRule="auto"/>
        <w:jc w:val="both"/>
        <w:rPr>
          <w:sz w:val="24"/>
          <w:szCs w:val="24"/>
        </w:rPr>
      </w:pPr>
      <w:commentRangeStart w:id="4"/>
      <w:r>
        <w:rPr>
          <w:rStyle w:val="13"/>
          <w:b/>
          <w:bCs/>
          <w:sz w:val="24"/>
          <w:szCs w:val="24"/>
        </w:rPr>
        <w:t>2.1 The RPwD Act 2016: A Rights-Based Approach</w:t>
      </w:r>
      <w:commentRangeEnd w:id="4"/>
      <w:r>
        <w:commentReference w:id="4"/>
      </w:r>
    </w:p>
    <w:p w14:paraId="4F2E9F70">
      <w:pPr>
        <w:pStyle w:val="12"/>
        <w:spacing w:line="276" w:lineRule="auto"/>
        <w:jc w:val="both"/>
      </w:pPr>
      <w:r>
        <w:t>The Rights of Persons with Disabilities (RPwD) Act, 2016 represents India’s most comprehensive shift from a welfare-based to a rights-based understanding of disability. Rooted in the social and human rights models, the Act makes strong, legally binding commitments to ensure that children with disabilities can access education “without discrimination and on an equal basis with others” (Government of India, 2016). Its mandates—ranging from non-discriminatory admission policies, reasonable accommodation, and barrier-free access to the provision of special educators, assistive devices, and Individualised Education Plans (IEPs)—place affirmative obligations on schools.</w:t>
      </w:r>
    </w:p>
    <w:p w14:paraId="4AA77124">
      <w:pPr>
        <w:pStyle w:val="12"/>
        <w:spacing w:line="276" w:lineRule="auto"/>
        <w:jc w:val="both"/>
      </w:pPr>
      <w:r>
        <w:t>However, the Act’s transformative potential is undermined by persistent gaps between policy intent and institutional capacity. While the law frames inclusion as a matter of justice, many schools continue to treat disability as an administrative burden or special need requiring exceptional handling. The lack of monitoring mechanisms and the absence of penalties for non-compliance weaken the Act’s enforcement, resulting in symbolic rather than substantive inclusion. Thus, although the RPwD Act establishes strong foundations, its impact depends heavily on systemic reforms, resource allocation, and school-level readiness.</w:t>
      </w:r>
    </w:p>
    <w:p w14:paraId="30930BED">
      <w:pPr>
        <w:pStyle w:val="3"/>
        <w:spacing w:line="276" w:lineRule="auto"/>
        <w:jc w:val="both"/>
        <w:rPr>
          <w:sz w:val="24"/>
          <w:szCs w:val="24"/>
        </w:rPr>
      </w:pPr>
      <w:commentRangeStart w:id="5"/>
      <w:r>
        <w:rPr>
          <w:rStyle w:val="13"/>
          <w:b/>
          <w:bCs/>
          <w:sz w:val="24"/>
          <w:szCs w:val="24"/>
        </w:rPr>
        <w:t>2.2 National Education Policy (NEP) 2020: A Vision of Equity in Transition</w:t>
      </w:r>
      <w:commentRangeEnd w:id="5"/>
      <w:r>
        <w:commentReference w:id="5"/>
      </w:r>
    </w:p>
    <w:p w14:paraId="143D3EAB">
      <w:pPr>
        <w:pStyle w:val="12"/>
        <w:spacing w:line="276" w:lineRule="auto"/>
        <w:jc w:val="both"/>
      </w:pPr>
      <w:r>
        <w:t>The National Education Policy (NEP) 2020 builds on the RPwD Act by foregrounding inclusion as a guiding principle of educational transformation. It calls for barrier-free school environments, universal access to quality education, inclusive teacher preparation, and availability of special educators (NEP, 2020, paras 6.8–6.10). The NEP also emphasises the role of technology in supporting diverse learners and advocates for curriculum flexibility, child-centred pedagogies, and multi-level assessments.</w:t>
      </w:r>
    </w:p>
    <w:p w14:paraId="0C99E91C">
      <w:pPr>
        <w:pStyle w:val="12"/>
        <w:spacing w:line="276" w:lineRule="auto"/>
        <w:jc w:val="both"/>
      </w:pPr>
      <w:r>
        <w:t>Despite these promising commitments, NEP 2020 has been criticised for offering broad policy directions without concrete implementation strategies or accountability mechanisms. Its vision of “equitable and inclusive education” often lacks clarity on resource allocation, timelines, or the structural changes needed within school systems. Moreover, the NEP’s push for school consolidation and clusterisation may unintentionally disadvantage children with disabilities by increasing travel distance or reducing access to local neighborhood schools—contradicting the principles of the RPwD Act. Hence, while NEP 2020 articulates a progressive vision, its operationalization remains uncertain, leaving school readiness largely dependent on state-level interpretation and budgetary priorities.</w:t>
      </w:r>
    </w:p>
    <w:p w14:paraId="515CFA5F">
      <w:pPr>
        <w:pStyle w:val="3"/>
        <w:spacing w:line="276" w:lineRule="auto"/>
        <w:jc w:val="both"/>
        <w:rPr>
          <w:sz w:val="24"/>
          <w:szCs w:val="24"/>
        </w:rPr>
      </w:pPr>
      <w:r>
        <w:rPr>
          <w:rStyle w:val="13"/>
          <w:b/>
          <w:bCs/>
          <w:sz w:val="24"/>
          <w:szCs w:val="24"/>
        </w:rPr>
        <w:t>2.3 Samagra Shiksha (2018–present): Integrating Inclusion Through Systemic Reform</w:t>
      </w:r>
      <w:r>
        <w:commentReference w:id="6"/>
      </w:r>
    </w:p>
    <w:p w14:paraId="76FDDD8F">
      <w:pPr>
        <w:pStyle w:val="12"/>
        <w:spacing w:line="276" w:lineRule="auto"/>
        <w:jc w:val="both"/>
      </w:pPr>
      <w:r>
        <w:t>Samagra Shiksha is India’s flagship programme for universal school education, integrating all prior schemes under a single framework from pre-primary to senior secondary levels. Its Inclusive Education component supports children with disabilities through home-based education for those with severe multiple disabilities, aids and appliances, resource support, physiotherapy and speech therapy services, transport allowance, and scribes or readers for examinations.</w:t>
      </w:r>
    </w:p>
    <w:p w14:paraId="0429A8FE">
      <w:pPr>
        <w:pStyle w:val="12"/>
        <w:spacing w:line="276" w:lineRule="auto"/>
        <w:jc w:val="both"/>
      </w:pPr>
      <w:r>
        <w:t>However, the presence of these provisions does not guarantee their availability or quality. Reports indicate significant disparities across states in the deployment of special educators, the functioning of resource rooms, the delivery of therapeutic services, and the distribution of assistive devices (NIEPA, 2020). Many children remain unserved due to logistical constraints, bureaucratic delays, or insufficient coordination between schools and district-level authorities. Furthermore, home-based education—while necessary for some—can reinforce segregation if not used judiciously and monitored closely. The scheme’s limitations underscore that inclusion cannot be achieved solely through targeted programmes; it requires whole-school transformation.</w:t>
      </w:r>
    </w:p>
    <w:p w14:paraId="65EFB7E6">
      <w:pPr>
        <w:pStyle w:val="3"/>
        <w:spacing w:line="276" w:lineRule="auto"/>
        <w:jc w:val="both"/>
        <w:rPr>
          <w:sz w:val="24"/>
          <w:szCs w:val="24"/>
        </w:rPr>
      </w:pPr>
      <w:r>
        <w:rPr>
          <w:rStyle w:val="13"/>
          <w:b/>
          <w:bCs/>
          <w:sz w:val="24"/>
          <w:szCs w:val="24"/>
        </w:rPr>
        <w:t>2.4 International Commitments: Global Norms and National Responsibilities</w:t>
      </w:r>
      <w:r>
        <w:commentReference w:id="7"/>
      </w:r>
    </w:p>
    <w:p w14:paraId="386EE4D2">
      <w:pPr>
        <w:pStyle w:val="12"/>
        <w:spacing w:line="276" w:lineRule="auto"/>
        <w:jc w:val="both"/>
      </w:pPr>
      <w:r>
        <w:t>India’s readiness for inclusive schooling must also be viewed against its international obligations. By ratifying the UN Convention on the Rights of Persons with Disabilities (UNCRPD) in 2007, India committed to ensuring accessibility (Article 9), freedom of expression and access to information (Article 21), and inclusive education (Article 24) in mainstream settings. These commitments require states to dismantle physical, digital, and attitudinal barriers—expectations that Indian schools continue to struggle with.</w:t>
      </w:r>
    </w:p>
    <w:p w14:paraId="114D2635">
      <w:pPr>
        <w:pStyle w:val="12"/>
        <w:spacing w:line="276" w:lineRule="auto"/>
        <w:jc w:val="both"/>
      </w:pPr>
      <w:r>
        <w:t xml:space="preserve">UNESCO’s </w:t>
      </w:r>
      <w:r>
        <w:rPr>
          <w:rStyle w:val="8"/>
        </w:rPr>
        <w:t>Global Education Monitoring Report</w:t>
      </w:r>
      <w:r>
        <w:t xml:space="preserve"> (2020) emphasises that “inclusion is not achieved by placing children in mainstream schools, but by transforming schools to respond to learner diversity.” This aligns strongly with the principles of the RPwD Act, yet the translation of these global norms into Indian school practice is far from complete. Sustainable Development Goal (SDG) 4 further positions inclusive, equitable quality education as an international priority, but India’s progress remains mixed—as reflected in persistent enrolment gaps and limited accessibility indicators.</w:t>
      </w:r>
    </w:p>
    <w:p w14:paraId="6EF81272">
      <w:pPr>
        <w:pStyle w:val="12"/>
        <w:spacing w:line="276" w:lineRule="auto"/>
        <w:jc w:val="both"/>
      </w:pPr>
      <w:r>
        <w:t>Taken together, India’s policy ecosystem provides an ambitious and comprehensive blueprint for disability inclusion. Yet these policies often operate in silos, lack adequate funding, and depend heavily on the interpretive capacity of schools and local authorities. The result is a landscape where inclusion exists more as policy aspiration than everyday reality. Schools remain at the intersection of multiple policy mandates and systemic limitations, highlighting the urgent need to shift from compliance-based implementation to a rights-based, evidence-driven, and child-centred approach.</w:t>
      </w:r>
    </w:p>
    <w:p w14:paraId="7BA21099">
      <w:pPr>
        <w:pStyle w:val="2"/>
        <w:spacing w:line="276" w:lineRule="auto"/>
        <w:jc w:val="both"/>
        <w:rPr>
          <w:sz w:val="24"/>
          <w:szCs w:val="24"/>
        </w:rPr>
      </w:pPr>
      <w:r>
        <w:rPr>
          <w:rStyle w:val="13"/>
          <w:b/>
          <w:bCs/>
          <w:sz w:val="24"/>
          <w:szCs w:val="24"/>
        </w:rPr>
        <w:t>3. Are Schools Ready? A Critical Analysis</w:t>
      </w:r>
      <w:r>
        <w:commentReference w:id="8"/>
      </w:r>
    </w:p>
    <w:p w14:paraId="1363C91A">
      <w:pPr>
        <w:pStyle w:val="12"/>
        <w:spacing w:line="276" w:lineRule="auto"/>
        <w:jc w:val="both"/>
      </w:pPr>
      <w:r>
        <w:t>The readiness of Indian schools to implement the mandates of the RPwD Act (2016) remains far from adequate. Although the legal framework is ambitious, the everyday realities within schools reveal profound structural, pedagogical, cultural, and technological gaps. These gaps collectively demonstrate that inclusion is often more aspirational than operational, pointing to systemic unpreparedness embedded within the schooling ecosystem.</w:t>
      </w:r>
    </w:p>
    <w:p w14:paraId="43C729EC">
      <w:pPr>
        <w:pStyle w:val="3"/>
        <w:spacing w:line="276" w:lineRule="auto"/>
        <w:jc w:val="both"/>
        <w:rPr>
          <w:sz w:val="24"/>
          <w:szCs w:val="24"/>
        </w:rPr>
      </w:pPr>
      <w:r>
        <w:rPr>
          <w:rStyle w:val="13"/>
          <w:b/>
          <w:bCs/>
          <w:sz w:val="24"/>
          <w:szCs w:val="24"/>
        </w:rPr>
        <w:t>3.1 Infrastructural Readiness: Accessibility in Question</w:t>
      </w:r>
      <w:r>
        <w:commentReference w:id="9"/>
      </w:r>
    </w:p>
    <w:p w14:paraId="4AA01B13">
      <w:pPr>
        <w:pStyle w:val="12"/>
        <w:spacing w:line="276" w:lineRule="auto"/>
        <w:jc w:val="both"/>
      </w:pPr>
      <w:r>
        <w:t xml:space="preserve">Despite strong accessibility mandates under the RPwD Act, the physical condition of Indian schools reflects a landscape that is fundamentally unprepared to include children with disabilities. National data from UDISE+ (2022–23) reveals that </w:t>
      </w:r>
      <w:r>
        <w:rPr>
          <w:rStyle w:val="13"/>
          <w:b w:val="0"/>
          <w:bCs w:val="0"/>
        </w:rPr>
        <w:t>only 27%</w:t>
      </w:r>
      <w:r>
        <w:t xml:space="preserve"> of schools have functional ramps and merely </w:t>
      </w:r>
      <w:r>
        <w:rPr>
          <w:rStyle w:val="13"/>
          <w:b w:val="0"/>
          <w:bCs w:val="0"/>
        </w:rPr>
        <w:t>18%</w:t>
      </w:r>
      <w:r>
        <w:t xml:space="preserve"> have accessible toilets. More specialised features—such as tactile pathways, handrails, accessible playgrounds, or orientation signage—are present in </w:t>
      </w:r>
      <w:r>
        <w:rPr>
          <w:rStyle w:val="13"/>
          <w:b w:val="0"/>
          <w:bCs w:val="0"/>
        </w:rPr>
        <w:t>fewer than 10%</w:t>
      </w:r>
      <w:r>
        <w:t xml:space="preserve"> of institutions, with UNICEF (2019) reporting that less than </w:t>
      </w:r>
      <w:r>
        <w:rPr>
          <w:rStyle w:val="13"/>
          <w:b w:val="0"/>
          <w:bCs w:val="0"/>
        </w:rPr>
        <w:t>5%</w:t>
      </w:r>
      <w:r>
        <w:t xml:space="preserve"> of schools provide accessible outdoor spaces.</w:t>
      </w:r>
    </w:p>
    <w:p w14:paraId="7B3B87A8">
      <w:pPr>
        <w:pStyle w:val="12"/>
        <w:spacing w:line="276" w:lineRule="auto"/>
        <w:jc w:val="both"/>
      </w:pPr>
      <w:r>
        <w:t>Even where accessibility measures exist, they are often tokenistic. Addlakha (2020) observes that ramps are frequently too steep to be used safely, accessible toilets remain locked or non-functional, and classrooms are overcrowded, making mobility difficult. Signage in Braille or tactile markers—essential for children with visual disabilities—are almost entirely absent. These symbolic gestures of inclusion create environments where children depend heavily on peers or family members for mobility, undermining independence, safety, and dignity.</w:t>
      </w:r>
    </w:p>
    <w:p w14:paraId="35D03D7B">
      <w:pPr>
        <w:pStyle w:val="12"/>
        <w:spacing w:line="276" w:lineRule="auto"/>
        <w:jc w:val="both"/>
      </w:pPr>
      <w:r>
        <w:t>Several structural issues contribute to this weak accessibility landscape: limited funding for retrofitting older schools, poor architectural guidelines, insufficient training among engineers and planners, the absence of mandatory accessibility audits, and significant disparities between urban and rural schools. The result is a schooling environment that remains structurally unprepared and inconsistent with the RPwD Act’s guarantee of “barrier-free access,” demonstrating a clear disconnect between legislative commitments and infrastructural realities.</w:t>
      </w:r>
    </w:p>
    <w:p w14:paraId="17DCD434">
      <w:pPr>
        <w:pStyle w:val="3"/>
        <w:spacing w:line="276" w:lineRule="auto"/>
        <w:jc w:val="both"/>
        <w:rPr>
          <w:sz w:val="24"/>
          <w:szCs w:val="24"/>
        </w:rPr>
      </w:pPr>
      <w:r>
        <w:rPr>
          <w:rStyle w:val="13"/>
          <w:b/>
          <w:bCs/>
          <w:sz w:val="24"/>
          <w:szCs w:val="24"/>
        </w:rPr>
        <w:t>3.2 Teacher Readiness: The Critical Missing Link</w:t>
      </w:r>
      <w:r>
        <w:commentReference w:id="10"/>
      </w:r>
    </w:p>
    <w:p w14:paraId="0DC58CDC">
      <w:pPr>
        <w:pStyle w:val="12"/>
        <w:spacing w:line="276" w:lineRule="auto"/>
        <w:jc w:val="both"/>
      </w:pPr>
      <w:r>
        <w:t xml:space="preserve">Teacher preparedness forms the backbone of inclusive education; yet this remains one of the weakest aspects of school readiness in India. National-level evaluations expose a severe shortage of trained professionals. For example, India needs more than </w:t>
      </w:r>
      <w:r>
        <w:rPr>
          <w:rStyle w:val="13"/>
          <w:b w:val="0"/>
          <w:bCs w:val="0"/>
        </w:rPr>
        <w:t>30,000</w:t>
      </w:r>
      <w:r>
        <w:t xml:space="preserve"> special educators, but fewer than </w:t>
      </w:r>
      <w:r>
        <w:rPr>
          <w:rStyle w:val="13"/>
          <w:b w:val="0"/>
          <w:bCs w:val="0"/>
        </w:rPr>
        <w:t>12,000</w:t>
      </w:r>
      <w:r>
        <w:t xml:space="preserve"> are currently available across school levels (NIEPA, 2020). NCERT’s (2022) national survey indicates that only </w:t>
      </w:r>
      <w:r>
        <w:rPr>
          <w:rStyle w:val="13"/>
          <w:b w:val="0"/>
          <w:bCs w:val="0"/>
        </w:rPr>
        <w:t>22%</w:t>
      </w:r>
      <w:r>
        <w:t xml:space="preserve"> of general teachers have received any formal training in inclusive education. In many states, the presence of special educators is limited to a single individual per district, severely restricting resource availability at the school level.</w:t>
      </w:r>
    </w:p>
    <w:p w14:paraId="6EB98FB6">
      <w:pPr>
        <w:pStyle w:val="12"/>
        <w:spacing w:line="276" w:lineRule="auto"/>
        <w:jc w:val="both"/>
      </w:pPr>
      <w:r>
        <w:t xml:space="preserve">Moreover, classroom teachers themselves report significant challenges. According to UNESCO (2019), </w:t>
      </w:r>
      <w:r>
        <w:rPr>
          <w:rStyle w:val="13"/>
          <w:b w:val="0"/>
          <w:bCs w:val="0"/>
        </w:rPr>
        <w:t>83%</w:t>
      </w:r>
      <w:r>
        <w:t xml:space="preserve"> of primary school teachers feel inadequately prepared to support children with disabilities. Many have limited exposure to sign language, Braille, communication strategies for autistic learners, or instructional approaches for children with learning disabilities. The pressure to complete syllabus content, manage large class sizes, and prepare students for high-stakes examinations further reduces teachers’ capacity to attend to individual needs.</w:t>
      </w:r>
    </w:p>
    <w:p w14:paraId="5FCB375F">
      <w:pPr>
        <w:pStyle w:val="12"/>
        <w:spacing w:line="276" w:lineRule="auto"/>
        <w:jc w:val="both"/>
      </w:pPr>
      <w:r>
        <w:t>Scholars such as Shakespeare (2013) and Ghai (2018) argue that teacher attitudes toward disability often reflect deficit-based understandings, where disability is perceived as a “problem” inherent within the child rather than a signal for systemic adaptation. These perspectives shape classroom interactions, influence expectations, and ultimately determine the extent to which policies on inclusion translate into meaningful practice. As such, teacher unreadiness remains one of the most significant bottlenecks in implementing the RPwD Act.</w:t>
      </w:r>
    </w:p>
    <w:p w14:paraId="40C036F8">
      <w:pPr>
        <w:pStyle w:val="3"/>
        <w:spacing w:line="276" w:lineRule="auto"/>
        <w:jc w:val="both"/>
        <w:rPr>
          <w:sz w:val="24"/>
          <w:szCs w:val="24"/>
        </w:rPr>
      </w:pPr>
      <w:r>
        <w:rPr>
          <w:rStyle w:val="13"/>
          <w:b/>
          <w:bCs/>
          <w:sz w:val="24"/>
          <w:szCs w:val="24"/>
        </w:rPr>
        <w:t>3.3 Pedagogical Readiness: Curriculum and Assessment Barriers</w:t>
      </w:r>
      <w:r>
        <w:commentReference w:id="11"/>
      </w:r>
    </w:p>
    <w:p w14:paraId="2909AED2">
      <w:pPr>
        <w:pStyle w:val="12"/>
        <w:spacing w:line="276" w:lineRule="auto"/>
        <w:jc w:val="both"/>
      </w:pPr>
      <w:r>
        <w:t>Even when infrastructural and teacher resources exist, pedagogical rigidity continues to be a major barrier to inclusion. Indian schooling is deeply entrenched in uniform, exam-centred, and rote-oriented pedagogical traditions. These characteristics disproportionately disadvantage learners with disabilities.</w:t>
      </w:r>
    </w:p>
    <w:p w14:paraId="73848940">
      <w:pPr>
        <w:pStyle w:val="12"/>
        <w:spacing w:line="276" w:lineRule="auto"/>
        <w:jc w:val="both"/>
      </w:pPr>
      <w:r>
        <w:t>Rote learning, lack of flexible assessments, inaccessible textbooks, limited availability of tactile or visual learning materials, and minimal use of multi-sensory strategies make classrooms inhospitable for children with sensory, cognitive, or learning disabilities. Kalyanpur (2008) emphasises that Indian pedagogy is historically shaped by ideals of “uniformity” and standardisation, making it resistant to the flexibility required for diverse learners.</w:t>
      </w:r>
    </w:p>
    <w:p w14:paraId="3E9249B8">
      <w:pPr>
        <w:pStyle w:val="12"/>
        <w:spacing w:line="276" w:lineRule="auto"/>
        <w:jc w:val="both"/>
      </w:pPr>
      <w:r>
        <w:t>Assessment systems also reflect structural rigidity. Despite provisions for extra time, scribes, and alternative assessments, many schools remain reluctant to adopt non-traditional evaluation methods. Teachers often perceive accommodations as unfair or as compromising “merit,” creating stigma for students who require support. UNESCO (2020) warns that inclusion becomes superficial when curriculum and assessment systems remain unchanged, revealing that India’s pedagogical architecture remains largely incompatible with inclusive, child-centred learning.</w:t>
      </w:r>
    </w:p>
    <w:p w14:paraId="12CC3F29">
      <w:pPr>
        <w:pStyle w:val="3"/>
        <w:spacing w:line="276" w:lineRule="auto"/>
        <w:jc w:val="both"/>
        <w:rPr>
          <w:sz w:val="24"/>
          <w:szCs w:val="24"/>
        </w:rPr>
      </w:pPr>
      <w:r>
        <w:rPr>
          <w:rStyle w:val="13"/>
          <w:b/>
          <w:bCs/>
          <w:sz w:val="24"/>
          <w:szCs w:val="24"/>
        </w:rPr>
        <w:t>3.4 Assistive Technology and Resource Support: Availability vs. Reality</w:t>
      </w:r>
      <w:r>
        <w:commentReference w:id="12"/>
      </w:r>
    </w:p>
    <w:p w14:paraId="409FC111">
      <w:pPr>
        <w:pStyle w:val="12"/>
        <w:spacing w:line="276" w:lineRule="auto"/>
        <w:jc w:val="both"/>
      </w:pPr>
      <w:r>
        <w:t xml:space="preserve">Assistive technology (AT) is critical for the participation of children with disabilities, yet its availability and effective use in Indian schools remain extremely limited. UDISE+ (2022–23) reports that </w:t>
      </w:r>
      <w:r>
        <w:rPr>
          <w:rStyle w:val="13"/>
          <w:b w:val="0"/>
          <w:bCs w:val="0"/>
        </w:rPr>
        <w:t>less than 12%</w:t>
      </w:r>
      <w:r>
        <w:t xml:space="preserve"> of schools provide assistive devices such as hearing aids, Braille kits, magnifiers, wheelchairs, or ICT-based aids. Resource rooms—mandated under Samagra Shiksha—often exist only on paper or are poorly equipped due to procurement delays and weak monitoring at district and state levels.</w:t>
      </w:r>
    </w:p>
    <w:p w14:paraId="4BBE735B">
      <w:pPr>
        <w:pStyle w:val="12"/>
        <w:spacing w:line="276" w:lineRule="auto"/>
        <w:jc w:val="both"/>
      </w:pPr>
      <w:r>
        <w:t>The digital divide exacerbated these gaps during the COVID-19 pandemic. UNESCO (2020) found that online learning platforms widely used in India lacked WCAG-compliant accessibility features. Children with visual disabilities struggled with non–screen-reader-friendly content, while children with hearing impairments were excluded due to the absence of captioning or sign-language interpretation. These failures highlight a systemic oversight: digital and assistive technologies are treated as add-ons rather than essential components of inclusive education.</w:t>
      </w:r>
    </w:p>
    <w:p w14:paraId="645C3D27">
      <w:pPr>
        <w:pStyle w:val="12"/>
        <w:spacing w:line="276" w:lineRule="auto"/>
        <w:jc w:val="both"/>
      </w:pPr>
      <w:r>
        <w:t>Key challenges include high costs of AT procurement, lack of maintenance staff, minimal teacher training in using digital tools, and an overreliance on NGOs to fill systemic gaps. This technological unpreparedness challenges India’s aspiration for inclusive education in an era where digital infrastructure is central to learning.</w:t>
      </w:r>
    </w:p>
    <w:p w14:paraId="223F704D">
      <w:pPr>
        <w:pStyle w:val="3"/>
        <w:spacing w:line="276" w:lineRule="auto"/>
        <w:jc w:val="both"/>
        <w:rPr>
          <w:sz w:val="24"/>
          <w:szCs w:val="24"/>
        </w:rPr>
      </w:pPr>
      <w:r>
        <w:rPr>
          <w:rStyle w:val="13"/>
          <w:b/>
          <w:bCs/>
          <w:sz w:val="24"/>
          <w:szCs w:val="24"/>
        </w:rPr>
        <w:t>3.5 Attitudinal Readiness: The Invisible Barrier</w:t>
      </w:r>
      <w:r>
        <w:commentReference w:id="13"/>
      </w:r>
    </w:p>
    <w:p w14:paraId="76C40CD7">
      <w:pPr>
        <w:pStyle w:val="12"/>
        <w:spacing w:line="276" w:lineRule="auto"/>
        <w:jc w:val="both"/>
      </w:pPr>
      <w:r>
        <w:t>While physical, pedagogical, and technological barriers are visible, attitudinal barriers remain the most persistent and deeply entrenched. Research consistently shows that many teachers hold low expectations for children with disabilities (Alur &amp; Toms, 2009), often questioning their ability to cope with mainstream education. Parents of non-disabled children sometimes oppose inclusive classrooms out of fear that it might impede academic performance. School leaders often prioritize “academic excellence” over diversity and may discourage admission of children with disabilities to preserve institutional reputation.</w:t>
      </w:r>
    </w:p>
    <w:p w14:paraId="5A2D9043">
      <w:pPr>
        <w:pStyle w:val="12"/>
        <w:spacing w:line="276" w:lineRule="auto"/>
        <w:jc w:val="both"/>
      </w:pPr>
      <w:r>
        <w:t>Ghai (2018) argues that disability in India continues to be framed through charity, pity, or medicalization rather than rights and inclusion. Campbell (2009) conceptualises this institutional ableism as a structural condition embedded long before disability enters the space. In Indian schools, this manifests through segregationist tendencies, labelling, and the persistence of “special classes,” which contradict inclusive principles. As long as ableist attitudes dominate, genuine inclusion remains unattainable—even if infrastructure, curriculum, and training improve.</w:t>
      </w:r>
    </w:p>
    <w:p w14:paraId="3935DBAD">
      <w:pPr>
        <w:pStyle w:val="2"/>
        <w:spacing w:line="276" w:lineRule="auto"/>
        <w:jc w:val="both"/>
        <w:rPr>
          <w:sz w:val="24"/>
          <w:szCs w:val="24"/>
        </w:rPr>
      </w:pPr>
      <w:r>
        <w:rPr>
          <w:rStyle w:val="13"/>
          <w:b/>
          <w:bCs/>
          <w:sz w:val="24"/>
          <w:szCs w:val="24"/>
        </w:rPr>
        <w:t>4. Why Inclusion Under the RPwD Act Remains Incomplete</w:t>
      </w:r>
      <w:r>
        <w:commentReference w:id="14"/>
      </w:r>
    </w:p>
    <w:p w14:paraId="62395815">
      <w:pPr>
        <w:pStyle w:val="12"/>
        <w:spacing w:line="276" w:lineRule="auto"/>
        <w:jc w:val="both"/>
      </w:pPr>
      <w:r>
        <w:t xml:space="preserve">Despite considerable policy progress, inclusion in Indian schools remains incomplete due to deep-rooted systemic and structural limitations. First, implementation often remains </w:t>
      </w:r>
      <w:r>
        <w:rPr>
          <w:rStyle w:val="13"/>
          <w:b w:val="0"/>
          <w:bCs w:val="0"/>
        </w:rPr>
        <w:t>compliance-driven rather than rights-based</w:t>
      </w:r>
      <w:r>
        <w:rPr>
          <w:b/>
          <w:bCs/>
        </w:rPr>
        <w:t>,</w:t>
      </w:r>
      <w:r>
        <w:t xml:space="preserve"> with schools fulfilling minimal administrative requirements rather than transforming teaching and learning processes. Second, the fragmentation of responsibilities across multiple ministries—Education, Social Justice, Health, Women and Child Development—creates coordination gaps, leading to inconsistent service delivery.</w:t>
      </w:r>
    </w:p>
    <w:p w14:paraId="4CF50E78">
      <w:pPr>
        <w:pStyle w:val="12"/>
        <w:spacing w:line="276" w:lineRule="auto"/>
        <w:jc w:val="both"/>
      </w:pPr>
      <w:r>
        <w:t xml:space="preserve">Third, </w:t>
      </w:r>
      <w:r>
        <w:rPr>
          <w:rStyle w:val="13"/>
          <w:b w:val="0"/>
          <w:bCs w:val="0"/>
        </w:rPr>
        <w:t>insufficient funding</w:t>
      </w:r>
      <w:r>
        <w:t xml:space="preserve"> at school and district levels limits the ability to retrofit buildings, hire specialists, or procure assistive technologies. Fourth, India lacks a </w:t>
      </w:r>
      <w:r>
        <w:rPr>
          <w:rStyle w:val="13"/>
          <w:b w:val="0"/>
          <w:bCs w:val="0"/>
        </w:rPr>
        <w:t>unified monitoring</w:t>
      </w:r>
      <w:r>
        <w:rPr>
          <w:rStyle w:val="13"/>
        </w:rPr>
        <w:t xml:space="preserve"> </w:t>
      </w:r>
      <w:r>
        <w:rPr>
          <w:rStyle w:val="13"/>
          <w:b w:val="0"/>
          <w:bCs w:val="0"/>
        </w:rPr>
        <w:t>system</w:t>
      </w:r>
      <w:r>
        <w:rPr>
          <w:b/>
          <w:bCs/>
        </w:rPr>
        <w:t xml:space="preserve"> </w:t>
      </w:r>
      <w:r>
        <w:t xml:space="preserve">to track inclusive education indicators; existing data mechanisms such as UDISE+ capture only surface-level accessibility metrics. Fifth, outdated </w:t>
      </w:r>
      <w:r>
        <w:rPr>
          <w:rStyle w:val="13"/>
          <w:b w:val="0"/>
          <w:bCs w:val="0"/>
        </w:rPr>
        <w:t>teacher recruitment policies</w:t>
      </w:r>
      <w:r>
        <w:t xml:space="preserve"> do not mandate sufficient special educators or inclusive education specialists at the school level. Finally, </w:t>
      </w:r>
      <w:r>
        <w:rPr>
          <w:rStyle w:val="13"/>
          <w:b w:val="0"/>
          <w:bCs w:val="0"/>
        </w:rPr>
        <w:t>segregation persists</w:t>
      </w:r>
      <w:r>
        <w:t xml:space="preserve"> through the prevalence of special schools, special classrooms, or pull-out models, contradicting the inclusive vision mandated by the RPwD Act.</w:t>
      </w:r>
    </w:p>
    <w:p w14:paraId="7039008F">
      <w:pPr>
        <w:pStyle w:val="12"/>
        <w:spacing w:line="276" w:lineRule="auto"/>
        <w:jc w:val="both"/>
      </w:pPr>
      <w:r>
        <w:t>As Addlakha (2020) observes, India’s reforms often address symptoms—such as providing devices or accommodations—rather than confronting structural inequities, institutional ableism, and curricular rigidity. Until these deeper issues are addressed, inclusion will remain partial, symbolic, and uneven.</w:t>
      </w:r>
    </w:p>
    <w:p w14:paraId="6E8EDAD8">
      <w:pPr>
        <w:pStyle w:val="2"/>
        <w:spacing w:line="276" w:lineRule="auto"/>
        <w:jc w:val="both"/>
        <w:rPr>
          <w:sz w:val="24"/>
          <w:szCs w:val="24"/>
        </w:rPr>
      </w:pPr>
      <w:r>
        <w:rPr>
          <w:rStyle w:val="13"/>
          <w:b/>
          <w:bCs/>
          <w:sz w:val="24"/>
          <w:szCs w:val="24"/>
        </w:rPr>
        <w:t>5. The Way Forward: Strengthening School Readiness</w:t>
      </w:r>
      <w:r>
        <w:commentReference w:id="15"/>
      </w:r>
    </w:p>
    <w:p w14:paraId="796E7D69">
      <w:pPr>
        <w:pStyle w:val="12"/>
        <w:spacing w:line="276" w:lineRule="auto"/>
        <w:jc w:val="both"/>
      </w:pPr>
      <w:r>
        <w:t>Transforming the promise of the RPwD Act (2016) into lived reality requires a systemic, multi-layered approach grounded in rights, equity, and pedagogical innovation. Inclusion cannot be achieved through isolated interventions or piecemeal reforms; it demands a fundamental reimagining of school structures, classroom practices, and institutional cultures. The following strategies outline a comprehensive roadmap for strengthening school readiness in India.</w:t>
      </w:r>
    </w:p>
    <w:p w14:paraId="1ECE298C">
      <w:pPr>
        <w:pStyle w:val="12"/>
        <w:spacing w:line="276" w:lineRule="auto"/>
        <w:jc w:val="both"/>
      </w:pPr>
      <w:r>
        <w:t xml:space="preserve">A crucial starting point is the adoption of </w:t>
      </w:r>
      <w:r>
        <w:rPr>
          <w:rStyle w:val="13"/>
          <w:b w:val="0"/>
          <w:bCs w:val="0"/>
        </w:rPr>
        <w:t>Universal Design for Learning (UDL)</w:t>
      </w:r>
      <w:r>
        <w:t xml:space="preserve"> as a foundational pedagogical and curricular principle. UDL, as articulated by CAST (2018), promotes multiple modes of representation, engagement, and expression, thereby reducing learning barriers before they arise. Integrating UDL across NCERT and SCERT curricula, digital platforms, and instructional materials can shift responsibility from children—who currently must “fit” into rigid systems—to schools, which must proactively design for learner diversity. Embedding UDL into teacher training and textbook development would help operationalise inclusion as a design principle rather than a reactive accommodation.</w:t>
      </w:r>
    </w:p>
    <w:p w14:paraId="661C91D6">
      <w:pPr>
        <w:pStyle w:val="12"/>
        <w:spacing w:line="276" w:lineRule="auto"/>
        <w:jc w:val="both"/>
      </w:pPr>
      <w:r>
        <w:t>Teacher education must be strengthened significantly if inclusion is to take root in everyday practice. Mandatory modules on inclusive education in B.Ed. and D.El.Ed. programmes, continuous professional development in sign language, Braille, autism support strategies, and disability rights frameworks are essential. Schools require a steady presence of trained special educators—not at the district level, but at the cluster or school level—to support Individualized Education Plans (IEPs), collaborate with general teachers, and provide expertise on assistive technologies and classroom adaptations.</w:t>
      </w:r>
    </w:p>
    <w:p w14:paraId="71139E7F">
      <w:pPr>
        <w:pStyle w:val="12"/>
        <w:spacing w:line="276" w:lineRule="auto"/>
        <w:jc w:val="both"/>
      </w:pPr>
      <w:r>
        <w:t xml:space="preserve">Investment in </w:t>
      </w:r>
      <w:r>
        <w:rPr>
          <w:rStyle w:val="13"/>
          <w:b w:val="0"/>
          <w:bCs w:val="0"/>
        </w:rPr>
        <w:t>accessible infrastructure</w:t>
      </w:r>
      <w:r>
        <w:t xml:space="preserve"> remains another non-negotiable pillar. Accessibility audits should be conducted at least every three years, followed by targeted retrofitting of government and aided schools. Accessible toilets, barrier-free classrooms, tactile markers, handrails, and safe playgrounds must be considered basic infrastructural standards rather than optional enhancements. Retrofitting should be complemented by school-level planning that integrates accessibility into all new building and renovation projects.</w:t>
      </w:r>
    </w:p>
    <w:p w14:paraId="18B47396">
      <w:pPr>
        <w:pStyle w:val="12"/>
        <w:spacing w:line="276" w:lineRule="auto"/>
        <w:jc w:val="both"/>
      </w:pPr>
      <w:r>
        <w:t xml:space="preserve">Equally important is ensuring the </w:t>
      </w:r>
      <w:r>
        <w:rPr>
          <w:rStyle w:val="13"/>
          <w:b w:val="0"/>
          <w:bCs w:val="0"/>
        </w:rPr>
        <w:t>availability of assistive technologies (AT)</w:t>
      </w:r>
      <w:r>
        <w:t xml:space="preserve"> and learning resources. Central and state governments must allocate dedicated funds for AT procurement, maintenance, and teacher training. Resource rooms—well-equipped with Braille kits, hearing devices, AAC tools, tactile learning materials, and accessible ICT—should be established at cluster or block levels to address local needs. Digital content aligned with WCAG accessibility guidelines must be standardised across e-learning platforms, especially in an era where digital education forms a significant component of learning delivery.</w:t>
      </w:r>
    </w:p>
    <w:p w14:paraId="5DC3084C">
      <w:pPr>
        <w:pStyle w:val="12"/>
        <w:spacing w:line="276" w:lineRule="auto"/>
        <w:jc w:val="both"/>
      </w:pPr>
      <w:r>
        <w:t xml:space="preserve">However, no amount of infrastructural or technological investment can succeed without addressing the </w:t>
      </w:r>
      <w:r>
        <w:rPr>
          <w:rStyle w:val="13"/>
          <w:b w:val="0"/>
          <w:bCs w:val="0"/>
        </w:rPr>
        <w:t>attitudinal dimensions</w:t>
      </w:r>
      <w:r>
        <w:t xml:space="preserve"> of inclusion. School-wide disability awareness programmes, peer sensitization efforts, and “buddy systems” can help build cultures of belonging. Leadership training for principals is vital: research consistently shows that school leaders’ beliefs strongly influence how inclusion is interpreted, prioritized, and enacted at the institutional level.</w:t>
      </w:r>
    </w:p>
    <w:p w14:paraId="1E223E67">
      <w:pPr>
        <w:pStyle w:val="12"/>
        <w:spacing w:line="276" w:lineRule="auto"/>
        <w:jc w:val="both"/>
      </w:pPr>
      <w:r>
        <w:t xml:space="preserve">Finally, meaningful inclusion requires </w:t>
      </w:r>
      <w:r>
        <w:rPr>
          <w:rStyle w:val="13"/>
          <w:b w:val="0"/>
          <w:bCs w:val="0"/>
        </w:rPr>
        <w:t>robust monitoring and accountability mechanisms</w:t>
      </w:r>
      <w:r>
        <w:rPr>
          <w:b/>
          <w:bCs/>
        </w:rPr>
        <w:t>.</w:t>
      </w:r>
      <w:r>
        <w:t xml:space="preserve"> Inclusion indicators must be integrated into national assessment and monitoring frameworks such as the National Achievement Survey (NAS), NITI Aayog’s SDG dashboards, and the Performance Grading Index (PGI). Disability-inclusive indicators in accreditation and school ranking systems would ensure that inclusion is not treated as a peripheral concern but as an essential marker of educational quality. Without accountability, inclusion remains a rhetoric rather than a lived practice.</w:t>
      </w:r>
    </w:p>
    <w:p w14:paraId="22C0B363">
      <w:pPr>
        <w:pStyle w:val="12"/>
        <w:spacing w:line="276" w:lineRule="auto"/>
        <w:jc w:val="both"/>
      </w:pPr>
      <w:r>
        <w:t>Collectively, these reforms move schools toward a rights-based, evidence-informed, and justice-oriented model of readiness—one that centres the dignity and agency of children with disabilities in the heart of educational transformation.</w:t>
      </w:r>
    </w:p>
    <w:p w14:paraId="2627225F">
      <w:pPr>
        <w:pStyle w:val="2"/>
        <w:spacing w:line="276" w:lineRule="auto"/>
        <w:jc w:val="both"/>
        <w:rPr>
          <w:sz w:val="24"/>
          <w:szCs w:val="24"/>
        </w:rPr>
      </w:pPr>
      <w:r>
        <w:rPr>
          <w:rStyle w:val="13"/>
          <w:b/>
          <w:bCs/>
          <w:sz w:val="24"/>
          <w:szCs w:val="24"/>
        </w:rPr>
        <w:t>6. Conclusion</w:t>
      </w:r>
      <w:r>
        <w:commentReference w:id="16"/>
      </w:r>
    </w:p>
    <w:p w14:paraId="465E4C76">
      <w:pPr>
        <w:pStyle w:val="12"/>
        <w:spacing w:line="276" w:lineRule="auto"/>
        <w:jc w:val="both"/>
      </w:pPr>
      <w:r>
        <w:t>Indian schools stand at a pivotal moment: the country possesses a powerful legal and policy framework for disability inclusion, yet the lived realities of most children with disabilities reveal widespread unpreparedness. The RPwD Act (2016) envisions a schooling system that upholds equality, accessibility, and meaningful participation, but its implementation has remained uneven, symbolic, and heavily compliance-driven. Persistent infrastructural barriers, insufficient teacher capacity, rigid pedagogical practices, inadequate availability of assistive technologies, and deep-rooted attitudinal biases continue to restrict children’s full participation.</w:t>
      </w:r>
    </w:p>
    <w:p w14:paraId="2AA81C51">
      <w:pPr>
        <w:pStyle w:val="12"/>
        <w:spacing w:line="276" w:lineRule="auto"/>
        <w:jc w:val="both"/>
      </w:pPr>
      <w:r>
        <w:t>Building inclusive schools, therefore, demands more than adherence to legal mandates. It requires a profound moral and institutional commitment to affirming the dignity, capability, and aspirations of children with disabilities. By adopting UDL principles, strengthening teacher preparation, investing in accessible environments, expanding assistive technology access, and challenging systemic ableism, India can begin to transform its schools into genuinely inclusive spaces. Inclusion must shift from being seen as an administrative obligation to being embraced as a marker of educational excellence and social justice.</w:t>
      </w:r>
    </w:p>
    <w:p w14:paraId="0E5313EA">
      <w:pPr>
        <w:pStyle w:val="12"/>
        <w:spacing w:line="276" w:lineRule="auto"/>
        <w:jc w:val="both"/>
      </w:pPr>
      <w:r>
        <w:t>Ultimately, school readiness is not simply a technical exercise—it is an ethical imperative. A truly inclusive school system is one in which no child is expected to adapt to exclusionary norms; instead, the system adapts to ensure every child can learn, participate, and thrive. Realizing this vision will allow India to honour the transformative promise of the RPwD Act and move closer to an education system grounded in equity, belonging, and human dignity.</w:t>
      </w:r>
    </w:p>
    <w:p w14:paraId="15DC5CB9">
      <w:pPr>
        <w:pStyle w:val="4"/>
        <w:spacing w:line="276" w:lineRule="auto"/>
        <w:rPr>
          <w:sz w:val="24"/>
          <w:szCs w:val="24"/>
        </w:rPr>
      </w:pPr>
      <w:r>
        <w:rPr>
          <w:rStyle w:val="13"/>
          <w:b/>
          <w:bCs/>
          <w:sz w:val="24"/>
          <w:szCs w:val="24"/>
        </w:rPr>
        <w:t>Declarations</w:t>
      </w:r>
    </w:p>
    <w:p w14:paraId="07FE0668">
      <w:pPr>
        <w:pStyle w:val="12"/>
        <w:numPr>
          <w:ilvl w:val="0"/>
          <w:numId w:val="4"/>
        </w:numPr>
        <w:spacing w:line="276" w:lineRule="auto"/>
        <w:jc w:val="both"/>
      </w:pPr>
      <w:r>
        <w:rPr>
          <w:rStyle w:val="13"/>
          <w:b w:val="0"/>
          <w:bCs w:val="0"/>
        </w:rPr>
        <w:t>Ethical compliance:</w:t>
      </w:r>
      <w:r>
        <w:t xml:space="preserve"> The study adheres to accepted academic and ethical standards.</w:t>
      </w:r>
    </w:p>
    <w:p w14:paraId="60D4F8DC">
      <w:pPr>
        <w:pStyle w:val="12"/>
        <w:numPr>
          <w:ilvl w:val="0"/>
          <w:numId w:val="4"/>
        </w:numPr>
        <w:spacing w:line="276" w:lineRule="auto"/>
        <w:jc w:val="both"/>
      </w:pPr>
      <w:r>
        <w:rPr>
          <w:rStyle w:val="13"/>
          <w:b w:val="0"/>
          <w:bCs w:val="0"/>
        </w:rPr>
        <w:t>Consent to participate/publication:</w:t>
      </w:r>
      <w:r>
        <w:t xml:space="preserve"> Not applicable.</w:t>
      </w:r>
    </w:p>
    <w:p w14:paraId="2D2BCCCC">
      <w:pPr>
        <w:pStyle w:val="12"/>
        <w:numPr>
          <w:ilvl w:val="0"/>
          <w:numId w:val="4"/>
        </w:numPr>
        <w:spacing w:line="276" w:lineRule="auto"/>
        <w:jc w:val="both"/>
      </w:pPr>
      <w:r>
        <w:rPr>
          <w:rStyle w:val="13"/>
          <w:b w:val="0"/>
          <w:bCs w:val="0"/>
        </w:rPr>
        <w:t>Conflict of interest:</w:t>
      </w:r>
      <w:r>
        <w:t xml:space="preserve"> The authors declare no conflicts of interest.</w:t>
      </w:r>
    </w:p>
    <w:p w14:paraId="5A3686AC">
      <w:pPr>
        <w:pStyle w:val="12"/>
        <w:numPr>
          <w:ilvl w:val="0"/>
          <w:numId w:val="4"/>
        </w:numPr>
        <w:spacing w:line="276" w:lineRule="auto"/>
        <w:jc w:val="both"/>
      </w:pPr>
      <w:r>
        <w:rPr>
          <w:rStyle w:val="13"/>
          <w:b w:val="0"/>
          <w:bCs w:val="0"/>
        </w:rPr>
        <w:t>Funding:</w:t>
      </w:r>
      <w:r>
        <w:t xml:space="preserve"> This research received no external funding.</w:t>
      </w:r>
    </w:p>
    <w:p w14:paraId="1A5BB715">
      <w:pPr>
        <w:pStyle w:val="12"/>
        <w:numPr>
          <w:ilvl w:val="0"/>
          <w:numId w:val="4"/>
        </w:numPr>
        <w:spacing w:line="276" w:lineRule="auto"/>
        <w:jc w:val="both"/>
      </w:pPr>
      <w:r>
        <w:rPr>
          <w:rStyle w:val="13"/>
          <w:b w:val="0"/>
          <w:bCs w:val="0"/>
        </w:rPr>
        <w:t>Data availability:</w:t>
      </w:r>
      <w:r>
        <w:t xml:space="preserve"> Not applicable.</w:t>
      </w:r>
    </w:p>
    <w:p w14:paraId="41DDED4A">
      <w:pPr>
        <w:pStyle w:val="12"/>
        <w:numPr>
          <w:ilvl w:val="0"/>
          <w:numId w:val="4"/>
        </w:numPr>
        <w:spacing w:line="276" w:lineRule="auto"/>
        <w:jc w:val="both"/>
      </w:pPr>
      <w:r>
        <w:rPr>
          <w:rStyle w:val="13"/>
          <w:b w:val="0"/>
          <w:bCs w:val="0"/>
        </w:rPr>
        <w:t>Use of AI Tools:</w:t>
      </w:r>
      <w:r>
        <w:t xml:space="preserve"> Grammarly and Paperpal (Premium) were used exclusively for language refinement and readability enhancement; no generative or content-producing AI tools were used in the preparation of this manuscript.</w:t>
      </w:r>
    </w:p>
    <w:p w14:paraId="14F84E83">
      <w:pPr>
        <w:spacing w:before="100" w:beforeAutospacing="1" w:after="100" w:afterAutospacing="1" w:line="276" w:lineRule="auto"/>
        <w:jc w:val="both"/>
        <w:outlineLvl w:val="0"/>
        <w:rPr>
          <w:rFonts w:ascii="Times New Roman" w:hAnsi="Times New Roman" w:eastAsia="Times New Roman" w:cs="Times New Roman"/>
          <w:b/>
          <w:bCs/>
          <w:kern w:val="36"/>
          <w:sz w:val="24"/>
          <w:szCs w:val="24"/>
          <w:lang w:val="en-US"/>
        </w:rPr>
      </w:pPr>
      <w:r>
        <w:rPr>
          <w:rFonts w:ascii="Times New Roman" w:hAnsi="Times New Roman" w:eastAsia="Times New Roman" w:cs="Times New Roman"/>
          <w:b/>
          <w:bCs/>
          <w:kern w:val="36"/>
          <w:sz w:val="24"/>
          <w:szCs w:val="24"/>
          <w:lang w:val="en-US"/>
        </w:rPr>
        <w:t xml:space="preserve">References </w:t>
      </w:r>
    </w:p>
    <w:p w14:paraId="40C63D03">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Addlakha, R. (2020). Empowering persons with disabilities in India: Challenges and opportunities. </w:t>
      </w:r>
      <w:r>
        <w:rPr>
          <w:rFonts w:ascii="Times New Roman" w:hAnsi="Times New Roman" w:eastAsia="Times New Roman" w:cs="Times New Roman"/>
          <w:i/>
          <w:iCs/>
          <w:sz w:val="24"/>
          <w:szCs w:val="24"/>
          <w:lang w:val="en-US"/>
        </w:rPr>
        <w:t>Social Change</w:t>
      </w:r>
      <w:r>
        <w:rPr>
          <w:rFonts w:ascii="Times New Roman" w:hAnsi="Times New Roman" w:eastAsia="Times New Roman" w:cs="Times New Roman"/>
          <w:sz w:val="24"/>
          <w:szCs w:val="24"/>
          <w:lang w:val="en-US"/>
        </w:rPr>
        <w:t>, 50(2), 253–257.</w:t>
      </w:r>
    </w:p>
    <w:p w14:paraId="101F7495">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Alur, M., &amp; Toms, K. (2009). </w:t>
      </w:r>
      <w:r>
        <w:rPr>
          <w:rFonts w:ascii="Times New Roman" w:hAnsi="Times New Roman" w:eastAsia="Times New Roman" w:cs="Times New Roman"/>
          <w:i/>
          <w:iCs/>
          <w:sz w:val="24"/>
          <w:szCs w:val="24"/>
          <w:lang w:val="en-US"/>
        </w:rPr>
        <w:t>The Journey for Inclusive Education in India: The Battles, the Victories, the Struggles</w:t>
      </w:r>
      <w:r>
        <w:rPr>
          <w:rFonts w:ascii="Times New Roman" w:hAnsi="Times New Roman" w:eastAsia="Times New Roman" w:cs="Times New Roman"/>
          <w:sz w:val="24"/>
          <w:szCs w:val="24"/>
          <w:lang w:val="en-US"/>
        </w:rPr>
        <w:t>. Sage.</w:t>
      </w:r>
    </w:p>
    <w:p w14:paraId="21C83F76">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Campbell, F. K. (2009). </w:t>
      </w:r>
      <w:r>
        <w:rPr>
          <w:rFonts w:ascii="Times New Roman" w:hAnsi="Times New Roman" w:eastAsia="Times New Roman" w:cs="Times New Roman"/>
          <w:i/>
          <w:iCs/>
          <w:sz w:val="24"/>
          <w:szCs w:val="24"/>
          <w:lang w:val="en-US"/>
        </w:rPr>
        <w:t>Contours of Ableism: The Production of Disability and Abledness</w:t>
      </w:r>
      <w:r>
        <w:rPr>
          <w:rFonts w:ascii="Times New Roman" w:hAnsi="Times New Roman" w:eastAsia="Times New Roman" w:cs="Times New Roman"/>
          <w:sz w:val="24"/>
          <w:szCs w:val="24"/>
          <w:lang w:val="en-US"/>
        </w:rPr>
        <w:t>. Palgrave Macmillan.</w:t>
      </w:r>
    </w:p>
    <w:p w14:paraId="1A3768B6">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CAST. (2018). </w:t>
      </w:r>
      <w:r>
        <w:rPr>
          <w:rFonts w:ascii="Times New Roman" w:hAnsi="Times New Roman" w:eastAsia="Times New Roman" w:cs="Times New Roman"/>
          <w:i/>
          <w:iCs/>
          <w:sz w:val="24"/>
          <w:szCs w:val="24"/>
          <w:lang w:val="en-US"/>
        </w:rPr>
        <w:t>Universal Design for Learning Guidelines version 2.2</w:t>
      </w:r>
      <w:r>
        <w:rPr>
          <w:rFonts w:ascii="Times New Roman" w:hAnsi="Times New Roman" w:eastAsia="Times New Roman" w:cs="Times New Roman"/>
          <w:sz w:val="24"/>
          <w:szCs w:val="24"/>
          <w:lang w:val="en-US"/>
        </w:rPr>
        <w:t>. CAST.</w:t>
      </w:r>
    </w:p>
    <w:p w14:paraId="5AB8D599">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Ghai, A. (2018). </w:t>
      </w:r>
      <w:r>
        <w:rPr>
          <w:rFonts w:ascii="Times New Roman" w:hAnsi="Times New Roman" w:eastAsia="Times New Roman" w:cs="Times New Roman"/>
          <w:i/>
          <w:iCs/>
          <w:sz w:val="24"/>
          <w:szCs w:val="24"/>
          <w:lang w:val="en-US"/>
        </w:rPr>
        <w:t>Rethinking Disability in India</w:t>
      </w:r>
      <w:r>
        <w:rPr>
          <w:rFonts w:ascii="Times New Roman" w:hAnsi="Times New Roman" w:eastAsia="Times New Roman" w:cs="Times New Roman"/>
          <w:sz w:val="24"/>
          <w:szCs w:val="24"/>
          <w:lang w:val="en-US"/>
        </w:rPr>
        <w:t>. Routledge.</w:t>
      </w:r>
    </w:p>
    <w:p w14:paraId="7FE7335B">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Government of India. (2016). </w:t>
      </w:r>
      <w:r>
        <w:rPr>
          <w:rFonts w:ascii="Times New Roman" w:hAnsi="Times New Roman" w:eastAsia="Times New Roman" w:cs="Times New Roman"/>
          <w:i/>
          <w:iCs/>
          <w:sz w:val="24"/>
          <w:szCs w:val="24"/>
          <w:lang w:val="en-US"/>
        </w:rPr>
        <w:t>The Rights of Persons with Disabilities Act, 2016</w:t>
      </w:r>
      <w:r>
        <w:rPr>
          <w:rFonts w:ascii="Times New Roman" w:hAnsi="Times New Roman" w:eastAsia="Times New Roman" w:cs="Times New Roman"/>
          <w:sz w:val="24"/>
          <w:szCs w:val="24"/>
          <w:lang w:val="en-US"/>
        </w:rPr>
        <w:t>. Ministry of Law and Justice.</w:t>
      </w:r>
    </w:p>
    <w:p w14:paraId="63AA3606">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Kalyanpur, M. (2008). </w:t>
      </w:r>
      <w:r>
        <w:rPr>
          <w:rFonts w:ascii="Times New Roman" w:hAnsi="Times New Roman" w:eastAsia="Times New Roman" w:cs="Times New Roman"/>
          <w:i/>
          <w:iCs/>
          <w:sz w:val="24"/>
          <w:szCs w:val="24"/>
          <w:lang w:val="en-US"/>
        </w:rPr>
        <w:t>Equality, Quality and Quantity: Challenges in Inclusive Education in India</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i/>
          <w:iCs/>
          <w:sz w:val="24"/>
          <w:szCs w:val="24"/>
          <w:lang w:val="en-US"/>
        </w:rPr>
        <w:t>International Journal of Inclusive Education</w:t>
      </w:r>
      <w:r>
        <w:rPr>
          <w:rFonts w:ascii="Times New Roman" w:hAnsi="Times New Roman" w:eastAsia="Times New Roman" w:cs="Times New Roman"/>
          <w:sz w:val="24"/>
          <w:szCs w:val="24"/>
          <w:lang w:val="en-US"/>
        </w:rPr>
        <w:t>, 12(3), 243–262.</w:t>
      </w:r>
    </w:p>
    <w:p w14:paraId="13E769B6">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NCERT. (2022). </w:t>
      </w:r>
      <w:r>
        <w:rPr>
          <w:rFonts w:ascii="Times New Roman" w:hAnsi="Times New Roman" w:eastAsia="Times New Roman" w:cs="Times New Roman"/>
          <w:i/>
          <w:iCs/>
          <w:sz w:val="24"/>
          <w:szCs w:val="24"/>
          <w:lang w:val="en-US"/>
        </w:rPr>
        <w:t>Teachers’ Preparedness for Inclusive Education</w:t>
      </w:r>
      <w:r>
        <w:rPr>
          <w:rFonts w:ascii="Times New Roman" w:hAnsi="Times New Roman" w:eastAsia="Times New Roman" w:cs="Times New Roman"/>
          <w:sz w:val="24"/>
          <w:szCs w:val="24"/>
          <w:lang w:val="en-US"/>
        </w:rPr>
        <w:t>. National Council of Educational Research and Training.</w:t>
      </w:r>
    </w:p>
    <w:p w14:paraId="2FCF2351">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NIEPA. (2020). </w:t>
      </w:r>
      <w:r>
        <w:rPr>
          <w:rFonts w:ascii="Times New Roman" w:hAnsi="Times New Roman" w:eastAsia="Times New Roman" w:cs="Times New Roman"/>
          <w:i/>
          <w:iCs/>
          <w:sz w:val="24"/>
          <w:szCs w:val="24"/>
          <w:lang w:val="en-US"/>
        </w:rPr>
        <w:t>State of Education Report for India: Children with Disabilities</w:t>
      </w:r>
      <w:r>
        <w:rPr>
          <w:rFonts w:ascii="Times New Roman" w:hAnsi="Times New Roman" w:eastAsia="Times New Roman" w:cs="Times New Roman"/>
          <w:sz w:val="24"/>
          <w:szCs w:val="24"/>
          <w:lang w:val="en-US"/>
        </w:rPr>
        <w:t>. UNESCO–NIEPA.</w:t>
      </w:r>
    </w:p>
    <w:p w14:paraId="388A96BE">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Shakespeare, T. (2013). </w:t>
      </w:r>
      <w:r>
        <w:rPr>
          <w:rFonts w:ascii="Times New Roman" w:hAnsi="Times New Roman" w:eastAsia="Times New Roman" w:cs="Times New Roman"/>
          <w:i/>
          <w:iCs/>
          <w:sz w:val="24"/>
          <w:szCs w:val="24"/>
          <w:lang w:val="en-US"/>
        </w:rPr>
        <w:t>Disability Rights and Wrongs Revisited</w:t>
      </w:r>
      <w:r>
        <w:rPr>
          <w:rFonts w:ascii="Times New Roman" w:hAnsi="Times New Roman" w:eastAsia="Times New Roman" w:cs="Times New Roman"/>
          <w:sz w:val="24"/>
          <w:szCs w:val="24"/>
          <w:lang w:val="en-US"/>
        </w:rPr>
        <w:t>. Routledge.</w:t>
      </w:r>
    </w:p>
    <w:p w14:paraId="37C5D955">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UDISE+. (2023). </w:t>
      </w:r>
      <w:r>
        <w:rPr>
          <w:rFonts w:ascii="Times New Roman" w:hAnsi="Times New Roman" w:eastAsia="Times New Roman" w:cs="Times New Roman"/>
          <w:i/>
          <w:iCs/>
          <w:sz w:val="24"/>
          <w:szCs w:val="24"/>
          <w:lang w:val="en-US"/>
        </w:rPr>
        <w:t>Unified District Information System for Education Plus 2022–23</w:t>
      </w:r>
      <w:r>
        <w:rPr>
          <w:rFonts w:ascii="Times New Roman" w:hAnsi="Times New Roman" w:eastAsia="Times New Roman" w:cs="Times New Roman"/>
          <w:sz w:val="24"/>
          <w:szCs w:val="24"/>
          <w:lang w:val="en-US"/>
        </w:rPr>
        <w:t>. Ministry of Education, Government of India.</w:t>
      </w:r>
    </w:p>
    <w:p w14:paraId="3C2F5158">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UNESCO. (2020). </w:t>
      </w:r>
      <w:r>
        <w:rPr>
          <w:rFonts w:ascii="Times New Roman" w:hAnsi="Times New Roman" w:eastAsia="Times New Roman" w:cs="Times New Roman"/>
          <w:i/>
          <w:iCs/>
          <w:sz w:val="24"/>
          <w:szCs w:val="24"/>
          <w:lang w:val="en-US"/>
        </w:rPr>
        <w:t>Global Education Monitoring Report: Inclusion and Education – All Means All</w:t>
      </w:r>
      <w:r>
        <w:rPr>
          <w:rFonts w:ascii="Times New Roman" w:hAnsi="Times New Roman" w:eastAsia="Times New Roman" w:cs="Times New Roman"/>
          <w:sz w:val="24"/>
          <w:szCs w:val="24"/>
          <w:lang w:val="en-US"/>
        </w:rPr>
        <w:t>. UNESCO.</w:t>
      </w:r>
    </w:p>
    <w:p w14:paraId="7E507109">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UNICEF. (2019). </w:t>
      </w:r>
      <w:r>
        <w:rPr>
          <w:rFonts w:ascii="Times New Roman" w:hAnsi="Times New Roman" w:eastAsia="Times New Roman" w:cs="Times New Roman"/>
          <w:i/>
          <w:iCs/>
          <w:sz w:val="24"/>
          <w:szCs w:val="24"/>
          <w:lang w:val="en-US"/>
        </w:rPr>
        <w:t>Accessible Schools: Toolkit for Inclusive Infrastructure</w:t>
      </w:r>
      <w:r>
        <w:rPr>
          <w:rFonts w:ascii="Times New Roman" w:hAnsi="Times New Roman" w:eastAsia="Times New Roman" w:cs="Times New Roman"/>
          <w:sz w:val="24"/>
          <w:szCs w:val="24"/>
          <w:lang w:val="en-US"/>
        </w:rPr>
        <w:t>. UNICEF India.</w:t>
      </w:r>
    </w:p>
    <w:p w14:paraId="48C96CEF">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Jadhav, P., Sivakumar, T., &amp; Gupta, A. (2021). Sociodemographic and clinical profile of patients receiving disability certificates as per rights of persons with disabilities act 2016 for psychiatric, neurological, and neurosurgical disorders at tertiary care centre. Journal of Psychosocial Rehabilitation and Mental Health, 8(1), 29-34.   </w:t>
      </w:r>
    </w:p>
    <w:p w14:paraId="66DDB243">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Saharya, A. (2022). Rights of Women and Children with Disabilities under the Rights of Persons with Disability Act 2016. Jus Corpus LJ, 3, 76. </w:t>
      </w:r>
    </w:p>
    <w:p w14:paraId="6C0F5FDE">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Pandit, S. A. (2025). Rights of People with Disabilities: Towards Inclusion. In A Textbook on Social Psychology and Law in India: Navigating the Intersection (pp. 97-121). Singapore: Springer Nature Singapore.  </w:t>
      </w:r>
    </w:p>
    <w:p w14:paraId="180822B1">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BALOGUN, O. O. (2023, May). Empowering Children with Disabilities through Accessible and Inclusive Education for Sustainable Development. In Lead City University Postgraduate Multidisciplinary Conference Proceedings (Vol. 1, No. 3, pp. 542-549).   </w:t>
      </w:r>
    </w:p>
    <w:p w14:paraId="11965603">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Jardinez, M. J., &amp; Natividad, L. R. (2024). The Advantages and Challenges of Inclusive Education: Striving for Equity in the Classroom. Shanlax International Journal of Education, 12(2), 57-65. </w:t>
      </w:r>
    </w:p>
    <w:p w14:paraId="3F84F62F">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Rao, N., Ranganathan, N., Kaur, R., &amp; Mukhopadhayay, R. (2021). Fostering equitable access to quality preschool education in India: challenges and opportunities. International Journal of Child Care and Education Policy, 15(1), 9.     </w:t>
      </w:r>
    </w:p>
    <w:p w14:paraId="5A1C5640">
      <w:pPr>
        <w:pStyle w:val="17"/>
        <w:numPr>
          <w:ilvl w:val="0"/>
          <w:numId w:val="5"/>
        </w:numPr>
        <w:spacing w:before="100" w:beforeAutospacing="1" w:after="100" w:afterAutospacing="1" w:line="276"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Ismail, F. H., Mohammad, C. A., Nirwana, A., Hassan, M. I. A., &amp; Masruri, M. (2023). A Scientific Review on Disabled-Friendly Educational Environment for Disabilities Student in Malaysia. Journal Of Techno-Social, 15(1), 78-85.   </w:t>
      </w:r>
    </w:p>
    <w:p w14:paraId="412B313D">
      <w:pPr>
        <w:pStyle w:val="12"/>
        <w:spacing w:line="276" w:lineRule="auto"/>
        <w:jc w:val="both"/>
      </w:pPr>
    </w:p>
    <w:p w14:paraId="6A1221CA">
      <w:pPr>
        <w:spacing w:line="276" w:lineRule="auto"/>
        <w:jc w:val="both"/>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11-10T21:52:20Z" w:initials="U">
    <w:p w14:paraId="1F586558">
      <w:pPr>
        <w:pStyle w:val="12"/>
        <w:keepNext w:val="0"/>
        <w:keepLines w:val="0"/>
        <w:widowControl/>
        <w:numPr>
          <w:ilvl w:val="0"/>
          <w:numId w:val="1"/>
        </w:numPr>
        <w:suppressLineNumbers w:val="0"/>
        <w:ind w:left="420" w:leftChars="0" w:hanging="420" w:firstLineChars="0"/>
      </w:pPr>
      <w:r>
        <w:rPr>
          <w:rFonts w:hint="default"/>
          <w:lang/>
        </w:rPr>
        <w:t>What is this paper refers or type?</w:t>
      </w:r>
      <w:r>
        <w:rPr>
          <w:rFonts w:hint="default"/>
          <w:lang/>
        </w:rPr>
        <w:br w:type="textWrapping"/>
      </w:r>
      <w:r>
        <w:rPr>
          <w:rFonts w:ascii="Symbol" w:hAnsi="Symbol" w:eastAsia="Symbol" w:cs="Symbol"/>
          <w:sz w:val="24"/>
        </w:rPr>
        <w:t>·</w:t>
      </w:r>
      <w:r>
        <w:rPr>
          <w:rFonts w:hint="eastAsia" w:ascii="SimSun" w:hAnsi="SimSun" w:eastAsia="SimSun" w:cs="SimSun"/>
          <w:sz w:val="24"/>
        </w:rPr>
        <w:t xml:space="preserve">  </w:t>
      </w:r>
      <w:r>
        <w:t>What was the methodological approach—systematic policy review, secondary data analysis, or conceptual synthesis?</w:t>
      </w:r>
    </w:p>
    <w:p w14:paraId="3EE9BC93">
      <w:pPr>
        <w:pStyle w:val="12"/>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How might future work include school-level or teacher-level data to substantiate findings?</w:t>
      </w:r>
    </w:p>
    <w:p w14:paraId="70D395A6">
      <w:pPr>
        <w:pStyle w:val="12"/>
        <w:keepNext w:val="0"/>
        <w:keepLines w:val="0"/>
        <w:widowControl/>
        <w:suppressLineNumbers w:val="0"/>
        <w:rPr>
          <w:rFonts w:hint="default"/>
          <w:lang/>
        </w:rPr>
      </w:pPr>
      <w:r>
        <w:rPr>
          <w:rFonts w:hint="default" w:ascii="Symbol" w:hAnsi="Symbol" w:eastAsia="Symbol" w:cs="Symbol"/>
          <w:sz w:val="24"/>
        </w:rPr>
        <w:t>·</w:t>
      </w:r>
      <w:r>
        <w:rPr>
          <w:rFonts w:hint="eastAsia" w:ascii="SimSun" w:hAnsi="SimSun" w:eastAsia="SimSun" w:cs="SimSun"/>
          <w:sz w:val="24"/>
        </w:rPr>
        <w:t xml:space="preserve">  </w:t>
      </w:r>
      <w:r>
        <w:t>Could the author provide a conceptual model linking policy frameworks, school readiness factors, and inclusion outcomes?</w:t>
      </w:r>
    </w:p>
  </w:comment>
  <w:comment w:id="1" w:author="User" w:date="2025-11-10T21:11:39Z" w:initials="U">
    <w:p w14:paraId="14E18220">
      <w:pPr>
        <w:pStyle w:val="12"/>
        <w:keepNext w:val="0"/>
        <w:keepLines w:val="0"/>
        <w:widowControl/>
        <w:suppressLineNumbers w:val="0"/>
        <w:rPr>
          <w:rFonts w:hint="default"/>
          <w:lang/>
        </w:rPr>
      </w:pPr>
      <w:r>
        <w:t>The abstract provides a strong overview of the study, but it reads as entirely descriptive. It would benefit from a clearer indication of the analytical approach or evidence base.</w:t>
      </w:r>
      <w:r>
        <w:rPr>
          <w:rFonts w:hint="default"/>
          <w:lang/>
        </w:rPr>
        <w:t xml:space="preserve"> But </w:t>
      </w:r>
    </w:p>
    <w:p w14:paraId="677BD715">
      <w:pPr>
        <w:pStyle w:val="12"/>
        <w:keepNext w:val="0"/>
        <w:keepLines w:val="0"/>
        <w:widowControl/>
        <w:suppressLineNumbers w:val="0"/>
      </w:pPr>
      <w:r>
        <w:t>What specific methods or data sources support these conclusions?</w:t>
      </w:r>
    </w:p>
    <w:p w14:paraId="1E3F285C">
      <w:pPr>
        <w:pStyle w:val="12"/>
        <w:keepNext w:val="0"/>
        <w:keepLines w:val="0"/>
        <w:widowControl/>
        <w:suppressLineNumbers w:val="0"/>
      </w:pPr>
      <w:r>
        <w:t>How were “school readiness” and “symbolic inclusion” conceptually defined or measured in this study?</w:t>
      </w:r>
    </w:p>
    <w:p w14:paraId="64E8127C">
      <w:pPr>
        <w:pStyle w:val="7"/>
      </w:pPr>
    </w:p>
  </w:comment>
  <w:comment w:id="2" w:author="User" w:date="2025-11-10T21:15:03Z" w:initials="U">
    <w:p w14:paraId="345D947C">
      <w:pPr>
        <w:pStyle w:val="12"/>
        <w:keepNext w:val="0"/>
        <w:keepLines w:val="0"/>
        <w:widowControl/>
        <w:suppressLineNumbers w:val="0"/>
        <w:rPr>
          <w:rFonts w:hint="default"/>
          <w:lang/>
        </w:rPr>
      </w:pPr>
      <w:r>
        <w:t>The introduction effectively contextualizes the RPwD Act but could articulate more clearly the study’s central research problem and analytical framework.</w:t>
      </w:r>
      <w:r>
        <w:rPr>
          <w:rFonts w:hint="default"/>
          <w:lang/>
        </w:rPr>
        <w:t xml:space="preserve"> How ever, </w:t>
      </w:r>
    </w:p>
    <w:p w14:paraId="299ECE9C">
      <w:pPr>
        <w:pStyle w:val="12"/>
        <w:keepNext w:val="0"/>
        <w:keepLines w:val="0"/>
        <w:widowControl/>
        <w:suppressLineNumbers w:val="0"/>
        <w:ind w:left="720"/>
      </w:pPr>
      <w:r>
        <w:t>What is the main research question guiding this analysis?</w:t>
      </w:r>
    </w:p>
    <w:p w14:paraId="7F4FA837">
      <w:pPr>
        <w:pStyle w:val="12"/>
        <w:keepNext w:val="0"/>
        <w:keepLines w:val="0"/>
        <w:widowControl/>
        <w:suppressLineNumbers w:val="0"/>
        <w:ind w:left="720"/>
      </w:pPr>
      <w:r>
        <w:t>How does the paper position itself within existing scholarship—policy review, empirical assessment, or theoretical critique?</w:t>
      </w:r>
    </w:p>
    <w:p w14:paraId="74A3EEA2">
      <w:pPr>
        <w:pStyle w:val="12"/>
        <w:keepNext w:val="0"/>
        <w:keepLines w:val="0"/>
        <w:widowControl/>
        <w:suppressLineNumbers w:val="0"/>
        <w:ind w:left="720"/>
      </w:pPr>
      <w:r>
        <w:t>What conceptual framework (e.g., social model, rights-based model) underpins your argument?</w:t>
      </w:r>
    </w:p>
  </w:comment>
  <w:comment w:id="3" w:author="User" w:date="2025-11-10T21:17:22Z" w:initials="U">
    <w:p w14:paraId="7F73D736">
      <w:pPr>
        <w:pStyle w:val="12"/>
        <w:keepNext w:val="0"/>
        <w:keepLines w:val="0"/>
        <w:widowControl/>
        <w:suppressLineNumbers w:val="0"/>
        <w:rPr>
          <w:rFonts w:hint="default"/>
          <w:lang/>
        </w:rPr>
      </w:pPr>
      <w:r>
        <w:t>The section is informative but dense. The argument about policy contradictions is insightful, yet it could be more sharply linked to their practical implications for schools.</w:t>
      </w:r>
      <w:r>
        <w:rPr>
          <w:rFonts w:hint="default"/>
          <w:lang/>
        </w:rPr>
        <w:t xml:space="preserve"> But </w:t>
      </w:r>
    </w:p>
    <w:p w14:paraId="7531668B">
      <w:pPr>
        <w:pStyle w:val="12"/>
        <w:keepNext w:val="0"/>
        <w:keepLines w:val="0"/>
        <w:widowControl/>
        <w:numPr>
          <w:ilvl w:val="0"/>
          <w:numId w:val="2"/>
        </w:numPr>
        <w:suppressLineNumbers w:val="0"/>
        <w:ind w:left="420" w:leftChars="0" w:hanging="420" w:firstLineChars="0"/>
      </w:pPr>
      <w:r>
        <w:t>How do these multiple policy frameworks interact or conflict at the school level?</w:t>
      </w:r>
    </w:p>
    <w:p w14:paraId="1255CD46">
      <w:pPr>
        <w:pStyle w:val="12"/>
        <w:keepNext w:val="0"/>
        <w:keepLines w:val="0"/>
        <w:widowControl/>
        <w:numPr>
          <w:ilvl w:val="0"/>
          <w:numId w:val="2"/>
        </w:numPr>
        <w:suppressLineNumbers w:val="0"/>
        <w:ind w:left="420" w:leftChars="0" w:hanging="420" w:firstLineChars="0"/>
      </w:pPr>
      <w:r>
        <w:t>Is there evidence of variation among states in interpreting or enforcing these policies?</w:t>
      </w:r>
    </w:p>
    <w:p w14:paraId="38C50BC3">
      <w:pPr>
        <w:pStyle w:val="12"/>
        <w:keepNext w:val="0"/>
        <w:keepLines w:val="0"/>
        <w:widowControl/>
        <w:numPr>
          <w:ilvl w:val="0"/>
          <w:numId w:val="2"/>
        </w:numPr>
        <w:suppressLineNumbers w:val="0"/>
        <w:ind w:left="420" w:leftChars="0" w:hanging="420" w:firstLineChars="0"/>
        <w:rPr>
          <w:rFonts w:hint="default"/>
          <w:lang/>
        </w:rPr>
      </w:pPr>
      <w:r>
        <w:t>How has the NEP 2020 addressed the weaknesses of the RPwD Act in measurable terms</w:t>
      </w:r>
      <w:r>
        <w:rPr>
          <w:rFonts w:hint="default"/>
          <w:lang/>
        </w:rPr>
        <w:t>?</w:t>
      </w:r>
    </w:p>
  </w:comment>
  <w:comment w:id="4" w:author="User" w:date="2025-11-10T21:18:50Z" w:initials="U">
    <w:p w14:paraId="423000D1">
      <w:pPr>
        <w:pStyle w:val="12"/>
        <w:keepNext w:val="0"/>
        <w:keepLines w:val="0"/>
        <w:widowControl/>
        <w:suppressLineNumbers w:val="0"/>
      </w:pPr>
      <w:r>
        <w:t>The discussion captures the intent of the Act well but could elaborate on how enforcement mechanisms operate in practice.</w:t>
      </w:r>
      <w:r>
        <w:rPr>
          <w:rFonts w:hint="default"/>
          <w:lang/>
        </w:rPr>
        <w:t xml:space="preserve"> But, </w:t>
      </w:r>
      <w:r>
        <w:br w:type="textWrapping"/>
      </w:r>
      <w:r>
        <w:t>How effectively has the government monitored compliance since 2016?</w:t>
      </w:r>
    </w:p>
    <w:p w14:paraId="458BE679">
      <w:pPr>
        <w:pStyle w:val="12"/>
        <w:keepNext w:val="0"/>
        <w:keepLines w:val="0"/>
        <w:widowControl/>
        <w:suppressLineNumbers w:val="0"/>
        <w:ind w:left="720"/>
        <w:rPr>
          <w:rFonts w:hint="default"/>
          <w:lang/>
        </w:rPr>
      </w:pPr>
      <w:r>
        <w:t>What institutional or administrative structures exist to ensure the Act’s mandates are followed at school level</w:t>
      </w:r>
      <w:r>
        <w:rPr>
          <w:rFonts w:hint="default"/>
          <w:lang/>
        </w:rPr>
        <w:t>?</w:t>
      </w:r>
    </w:p>
  </w:comment>
  <w:comment w:id="5" w:author="User" w:date="2025-11-10T21:19:31Z" w:initials="U">
    <w:p w14:paraId="157E43DF">
      <w:pPr>
        <w:pStyle w:val="12"/>
        <w:keepNext w:val="0"/>
        <w:keepLines w:val="0"/>
        <w:widowControl/>
        <w:suppressLineNumbers w:val="0"/>
        <w:rPr>
          <w:rFonts w:hint="default"/>
          <w:lang/>
        </w:rPr>
      </w:pPr>
      <w:r>
        <w:t>The section identifies policy-level ambiguity but needs more linkage between policy vision and classroom realities.</w:t>
      </w:r>
      <w:r>
        <w:rPr>
          <w:rFonts w:hint="default"/>
          <w:lang/>
        </w:rPr>
        <w:t xml:space="preserve"> However, </w:t>
      </w:r>
    </w:p>
    <w:p w14:paraId="0AE09CAA">
      <w:pPr>
        <w:pStyle w:val="12"/>
        <w:keepNext w:val="0"/>
        <w:keepLines w:val="0"/>
        <w:widowControl/>
        <w:suppressLineNumbers w:val="0"/>
        <w:ind w:left="720"/>
      </w:pPr>
      <w:r>
        <w:t>In what ways does NEP 2020 practically support teacher preparedness for inclusion?</w:t>
      </w:r>
    </w:p>
    <w:p w14:paraId="5214717E">
      <w:pPr>
        <w:pStyle w:val="12"/>
        <w:keepNext w:val="0"/>
        <w:keepLines w:val="0"/>
        <w:widowControl/>
        <w:suppressLineNumbers w:val="0"/>
        <w:ind w:left="720"/>
      </w:pPr>
      <w:r>
        <w:t>Does the policy’s emphasis on technology risk widening inequalities for students with disabilities</w:t>
      </w:r>
    </w:p>
  </w:comment>
  <w:comment w:id="6" w:author="User" w:date="2025-11-10T21:22:36Z" w:initials="U">
    <w:p w14:paraId="6B27D10D">
      <w:pPr>
        <w:pStyle w:val="12"/>
        <w:keepNext w:val="0"/>
        <w:keepLines w:val="0"/>
        <w:widowControl/>
        <w:suppressLineNumbers w:val="0"/>
      </w:pPr>
      <w:r>
        <w:rPr>
          <w:rFonts w:hint="default"/>
          <w:lang/>
        </w:rPr>
        <w:t>In this section, t</w:t>
      </w:r>
      <w:r>
        <w:t>he critique is well-argued but largely generalized.</w:t>
      </w:r>
      <w:r>
        <w:rPr>
          <w:rFonts w:hint="default"/>
          <w:lang/>
        </w:rPr>
        <w:t xml:space="preserve"> But,</w:t>
      </w:r>
    </w:p>
    <w:p w14:paraId="3D3DFD2E">
      <w:pPr>
        <w:pStyle w:val="12"/>
        <w:keepNext w:val="0"/>
        <w:keepLines w:val="0"/>
        <w:widowControl/>
        <w:suppressLineNumbers w:val="0"/>
        <w:ind w:left="720"/>
      </w:pPr>
      <w:r>
        <w:t>Are there empirical studies or monitoring reports that demonstrate the success or failure of Samagra Shiksha’s inclusion component?</w:t>
      </w:r>
    </w:p>
    <w:p w14:paraId="5129E854">
      <w:pPr>
        <w:pStyle w:val="12"/>
        <w:keepNext w:val="0"/>
        <w:keepLines w:val="0"/>
        <w:widowControl/>
        <w:suppressLineNumbers w:val="0"/>
        <w:ind w:left="720"/>
      </w:pPr>
      <w:r>
        <w:t>How does this program balance home-based education with the right to inclusive schooling?</w:t>
      </w:r>
    </w:p>
  </w:comment>
  <w:comment w:id="7" w:author="User" w:date="2025-11-10T21:23:25Z" w:initials="U">
    <w:p w14:paraId="2F34C061">
      <w:pPr>
        <w:pStyle w:val="12"/>
        <w:keepNext w:val="0"/>
        <w:keepLines w:val="0"/>
        <w:widowControl/>
        <w:suppressLineNumbers w:val="0"/>
      </w:pPr>
      <w:r>
        <w:rPr>
          <w:rFonts w:hint="default"/>
          <w:lang/>
        </w:rPr>
        <w:t xml:space="preserve">In this section, </w:t>
      </w:r>
      <w:r>
        <w:t>The global commitments are outlined clearly, but the link between these and India’s domestic accountability is not fully explored.</w:t>
      </w:r>
      <w:r>
        <w:rPr>
          <w:rFonts w:hint="default"/>
          <w:lang/>
        </w:rPr>
        <w:t xml:space="preserve"> But,</w:t>
      </w:r>
    </w:p>
    <w:p w14:paraId="1385F938">
      <w:pPr>
        <w:pStyle w:val="12"/>
        <w:keepNext w:val="0"/>
        <w:keepLines w:val="0"/>
        <w:widowControl/>
        <w:suppressLineNumbers w:val="0"/>
        <w:ind w:left="720"/>
      </w:pPr>
      <w:r>
        <w:t>How do India’s international commitments influence funding or reporting on inclusive education?</w:t>
      </w:r>
    </w:p>
    <w:p w14:paraId="37F977E7">
      <w:pPr>
        <w:pStyle w:val="12"/>
        <w:keepNext w:val="0"/>
        <w:keepLines w:val="0"/>
        <w:widowControl/>
        <w:suppressLineNumbers w:val="0"/>
        <w:ind w:left="720"/>
        <w:rPr>
          <w:rFonts w:hint="default"/>
          <w:lang/>
        </w:rPr>
      </w:pPr>
      <w:r>
        <w:t>What mechanisms translate global inclusion norms into enforceable school-level action?</w:t>
      </w:r>
    </w:p>
  </w:comment>
  <w:comment w:id="8" w:author="User" w:date="2025-11-10T21:24:29Z" w:initials="U">
    <w:p w14:paraId="5FAABC1D">
      <w:pPr>
        <w:pStyle w:val="12"/>
        <w:keepNext w:val="0"/>
        <w:keepLines w:val="0"/>
        <w:widowControl/>
        <w:suppressLineNumbers w:val="0"/>
        <w:rPr>
          <w:rFonts w:hint="default"/>
          <w:lang/>
        </w:rPr>
      </w:pPr>
      <w:r>
        <w:t>The section provides solid empirical evidence but might read more cohesively if data interpretation were explicitly tied to each dimension of readiness.</w:t>
      </w:r>
      <w:r>
        <w:rPr>
          <w:rFonts w:hint="default"/>
          <w:lang/>
        </w:rPr>
        <w:t xml:space="preserve"> But,</w:t>
      </w:r>
    </w:p>
    <w:p w14:paraId="6620619D">
      <w:pPr>
        <w:pStyle w:val="12"/>
        <w:keepNext w:val="0"/>
        <w:keepLines w:val="0"/>
        <w:widowControl/>
        <w:suppressLineNumbers w:val="0"/>
        <w:ind w:left="720"/>
      </w:pPr>
      <w:r>
        <w:t>How was “readiness” conceptualized across these five dimensions?</w:t>
      </w:r>
    </w:p>
    <w:p w14:paraId="23DF6D50">
      <w:pPr>
        <w:pStyle w:val="12"/>
        <w:keepNext w:val="0"/>
        <w:keepLines w:val="0"/>
        <w:widowControl/>
        <w:suppressLineNumbers w:val="0"/>
        <w:ind w:left="720"/>
      </w:pPr>
      <w:r>
        <w:t>Are the indicators drawn solely from secondary data, or was there triangulation with qualitative sources?</w:t>
      </w:r>
    </w:p>
  </w:comment>
  <w:comment w:id="9" w:author="User" w:date="2025-11-10T21:36:15Z" w:initials="U">
    <w:p w14:paraId="769A3341">
      <w:pPr>
        <w:pStyle w:val="12"/>
        <w:keepNext w:val="0"/>
        <w:keepLines w:val="0"/>
        <w:widowControl/>
        <w:suppressLineNumbers w:val="0"/>
        <w:rPr>
          <w:rFonts w:hint="default"/>
          <w:lang/>
        </w:rPr>
      </w:pPr>
      <w:r>
        <w:t>The data is compelling, but the analysis remains descriptive rather than analytical in places.</w:t>
      </w:r>
      <w:r>
        <w:rPr>
          <w:rFonts w:hint="default"/>
          <w:lang/>
        </w:rPr>
        <w:t xml:space="preserve"> But,</w:t>
      </w:r>
    </w:p>
    <w:p w14:paraId="3CE2F937">
      <w:pPr>
        <w:pStyle w:val="12"/>
        <w:keepNext w:val="0"/>
        <w:keepLines w:val="0"/>
        <w:widowControl/>
        <w:suppressLineNumbers w:val="0"/>
        <w:ind w:left="720"/>
      </w:pPr>
      <w:r>
        <w:t>Are there examples of states or districts that have achieved significant progress in accessibility?</w:t>
      </w:r>
    </w:p>
    <w:p w14:paraId="00406534">
      <w:pPr>
        <w:pStyle w:val="12"/>
        <w:keepNext w:val="0"/>
        <w:keepLines w:val="0"/>
        <w:widowControl/>
        <w:suppressLineNumbers w:val="0"/>
        <w:ind w:left="720"/>
      </w:pPr>
      <w:r>
        <w:t>How do infrastructural challenges intersect with socio-economic or rural-urban divides?</w:t>
      </w:r>
    </w:p>
  </w:comment>
  <w:comment w:id="10" w:author="User" w:date="2025-11-10T21:38:20Z" w:initials="U">
    <w:p w14:paraId="33B0ED24">
      <w:pPr>
        <w:pStyle w:val="12"/>
        <w:keepNext w:val="0"/>
        <w:keepLines w:val="0"/>
        <w:widowControl/>
        <w:suppressLineNumbers w:val="0"/>
        <w:rPr>
          <w:rFonts w:hint="default"/>
          <w:lang/>
        </w:rPr>
      </w:pPr>
      <w:r>
        <w:t>The argument convincingly highlights teacher shortages but could further discuss systemic causes.</w:t>
      </w:r>
      <w:r>
        <w:br w:type="textWrapping"/>
      </w:r>
      <w:r>
        <w:rPr>
          <w:rStyle w:val="13"/>
          <w:rFonts w:hint="default"/>
          <w:b w:val="0"/>
          <w:bCs w:val="0"/>
          <w:lang/>
        </w:rPr>
        <w:t>But,</w:t>
      </w:r>
    </w:p>
    <w:p w14:paraId="324B0254">
      <w:pPr>
        <w:pStyle w:val="12"/>
        <w:keepNext w:val="0"/>
        <w:keepLines w:val="0"/>
        <w:widowControl/>
        <w:suppressLineNumbers w:val="0"/>
        <w:ind w:left="720"/>
      </w:pPr>
      <w:r>
        <w:t>What institutional or policy factors contribute most to the shortage of trained special educators?</w:t>
      </w:r>
    </w:p>
    <w:p w14:paraId="01221CE5">
      <w:pPr>
        <w:pStyle w:val="12"/>
        <w:keepNext w:val="0"/>
        <w:keepLines w:val="0"/>
        <w:widowControl/>
        <w:suppressLineNumbers w:val="0"/>
        <w:ind w:left="720"/>
      </w:pPr>
      <w:r>
        <w:t>How do teachers perceive their own readiness—are there attitudinal differences across education levels?</w:t>
      </w:r>
    </w:p>
  </w:comment>
  <w:comment w:id="11" w:author="User" w:date="2025-11-10T21:39:21Z" w:initials="U">
    <w:p w14:paraId="41692E59">
      <w:pPr>
        <w:pStyle w:val="12"/>
        <w:keepNext w:val="0"/>
        <w:keepLines w:val="0"/>
        <w:widowControl/>
        <w:suppressLineNumbers w:val="0"/>
        <w:rPr>
          <w:rFonts w:hint="default"/>
          <w:lang/>
        </w:rPr>
      </w:pPr>
      <w:r>
        <w:t>The critique of exam-centric pedagogy is valid, but the section could explore innovative teaching models already attempted in India.</w:t>
      </w:r>
      <w:r>
        <w:rPr>
          <w:rFonts w:hint="default"/>
          <w:lang/>
        </w:rPr>
        <w:t xml:space="preserve"> But,</w:t>
      </w:r>
    </w:p>
    <w:p w14:paraId="047872F8">
      <w:pPr>
        <w:pStyle w:val="12"/>
        <w:keepNext w:val="0"/>
        <w:keepLines w:val="0"/>
        <w:widowControl/>
        <w:suppressLineNumbers w:val="0"/>
        <w:ind w:left="720"/>
      </w:pPr>
      <w:r>
        <w:t>Are there any pilot initiatives or inclusive pedagogy models demonstrating success?</w:t>
      </w:r>
    </w:p>
    <w:p w14:paraId="232D8324">
      <w:pPr>
        <w:pStyle w:val="12"/>
        <w:keepNext w:val="0"/>
        <w:keepLines w:val="0"/>
        <w:widowControl/>
        <w:suppressLineNumbers w:val="0"/>
        <w:ind w:left="720"/>
      </w:pPr>
      <w:r>
        <w:t>How might curriculum flexibility and continuous assessment be realistically integrated into mainstream systems?</w:t>
      </w:r>
    </w:p>
  </w:comment>
  <w:comment w:id="12" w:author="User" w:date="2025-11-10T21:40:04Z" w:initials="U">
    <w:p w14:paraId="08A8452A">
      <w:pPr>
        <w:pStyle w:val="12"/>
        <w:keepNext w:val="0"/>
        <w:keepLines w:val="0"/>
        <w:widowControl/>
        <w:suppressLineNumbers w:val="0"/>
        <w:rPr>
          <w:rFonts w:hint="default"/>
          <w:lang/>
        </w:rPr>
      </w:pPr>
      <w:r>
        <w:t>The analysis identifies gaps well, but the argument could link AT challenges more directly to policy funding structures.</w:t>
      </w:r>
      <w:r>
        <w:rPr>
          <w:rFonts w:hint="default"/>
          <w:lang/>
        </w:rPr>
        <w:t xml:space="preserve"> But,</w:t>
      </w:r>
    </w:p>
    <w:p w14:paraId="729B86E6">
      <w:pPr>
        <w:pStyle w:val="12"/>
        <w:keepNext w:val="0"/>
        <w:keepLines w:val="0"/>
        <w:widowControl/>
        <w:suppressLineNumbers w:val="0"/>
        <w:ind w:left="720"/>
      </w:pPr>
      <w:r>
        <w:t>What are the barriers preventing large-scale adoption of assistive technologies in public schools?</w:t>
      </w:r>
    </w:p>
    <w:p w14:paraId="5E8CE915">
      <w:pPr>
        <w:pStyle w:val="12"/>
        <w:keepNext w:val="0"/>
        <w:keepLines w:val="0"/>
        <w:widowControl/>
        <w:suppressLineNumbers w:val="0"/>
        <w:ind w:left="720"/>
        <w:rPr>
          <w:rFonts w:hint="default"/>
          <w:lang/>
        </w:rPr>
      </w:pPr>
      <w:r>
        <w:t>How do students and teachers experience these technological limitations in everyday learning contexts</w:t>
      </w:r>
      <w:r>
        <w:rPr>
          <w:rFonts w:hint="default"/>
          <w:lang/>
        </w:rPr>
        <w:t>?</w:t>
      </w:r>
    </w:p>
  </w:comment>
  <w:comment w:id="13" w:author="User" w:date="2025-11-10T21:40:29Z" w:initials="U">
    <w:p w14:paraId="42520682">
      <w:pPr>
        <w:pStyle w:val="12"/>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What recent studies have measured teacher or parent attitudes toward disability inclusion?</w:t>
      </w:r>
    </w:p>
    <w:p w14:paraId="77E9AED2">
      <w:pPr>
        <w:pStyle w:val="12"/>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How can schools practically address deep-rooted ableism through leadership or community engagement?</w:t>
      </w:r>
    </w:p>
  </w:comment>
  <w:comment w:id="14" w:author="User" w:date="2025-11-10T21:45:09Z" w:initials="U">
    <w:p w14:paraId="07D6E237">
      <w:pPr>
        <w:pStyle w:val="12"/>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Which of the listed barriers—funding, coordination, or monitoring—is the most critical in limiting implementation?</w:t>
      </w:r>
    </w:p>
    <w:p w14:paraId="7D633D02">
      <w:pPr>
        <w:pStyle w:val="12"/>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How do governance structures (state vs. central) affect consistency in policy delivery?</w:t>
      </w:r>
    </w:p>
    <w:p w14:paraId="06FAA030">
      <w:pPr>
        <w:pStyle w:val="12"/>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Is there evidence of change since the latest policy revisions or audits?</w:t>
      </w:r>
    </w:p>
  </w:comment>
  <w:comment w:id="15" w:author="User" w:date="2025-11-10T21:47:27Z" w:initials="U">
    <w:p w14:paraId="2FE76762">
      <w:pPr>
        <w:pStyle w:val="12"/>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Which of these proposed strategies should be implemented first for the greatest impact?</w:t>
      </w:r>
    </w:p>
    <w:p w14:paraId="0B025C0F">
      <w:pPr>
        <w:pStyle w:val="12"/>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How might UDL principles be adapted to India’s resource-constrained school contexts?</w:t>
      </w:r>
    </w:p>
    <w:p w14:paraId="0712D328">
      <w:pPr>
        <w:pStyle w:val="12"/>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Are there examples of existing schools or programs that model this “whole-school transformation” successfully?</w:t>
      </w:r>
    </w:p>
  </w:comment>
  <w:comment w:id="16" w:author="User" w:date="2025-11-10T21:48:10Z" w:initials="U">
    <w:p w14:paraId="640B33A0">
      <w:pPr>
        <w:pStyle w:val="12"/>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What specific evidence supports the claim that inclusion remains “symbolic”?</w:t>
      </w:r>
    </w:p>
    <w:p w14:paraId="77A9FD28">
      <w:pPr>
        <w:pStyle w:val="12"/>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How can future research empirically assess school readiness beyond compliance indicators?</w:t>
      </w:r>
    </w:p>
    <w:p w14:paraId="3A39A499">
      <w:pPr>
        <w:pStyle w:val="12"/>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What role can local governance and community engagement play in sustaining inclusive reforms?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D395A6" w15:done="0"/>
  <w15:commentEx w15:paraId="64E8127C" w15:done="0"/>
  <w15:commentEx w15:paraId="74A3EEA2" w15:done="0"/>
  <w15:commentEx w15:paraId="38C50BC3" w15:done="0"/>
  <w15:commentEx w15:paraId="458BE679" w15:done="0"/>
  <w15:commentEx w15:paraId="5214717E" w15:done="0"/>
  <w15:commentEx w15:paraId="5129E854" w15:done="0"/>
  <w15:commentEx w15:paraId="37F977E7" w15:done="0"/>
  <w15:commentEx w15:paraId="23DF6D50" w15:done="0"/>
  <w15:commentEx w15:paraId="00406534" w15:done="0"/>
  <w15:commentEx w15:paraId="01221CE5" w15:done="0"/>
  <w15:commentEx w15:paraId="232D8324" w15:done="0"/>
  <w15:commentEx w15:paraId="5E8CE915" w15:done="0"/>
  <w15:commentEx w15:paraId="77E9AED2" w15:done="0"/>
  <w15:commentEx w15:paraId="06FAA030" w15:done="0"/>
  <w15:commentEx w15:paraId="0712D328" w15:done="0"/>
  <w15:commentEx w15:paraId="3A39A4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E13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DE4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8D4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C5A3">
    <w:pPr>
      <w:pStyle w:val="10"/>
    </w:pPr>
    <w:r>
      <w:pict>
        <v:shape id="PowerPlusWaterMarkObject434283205"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FAF87">
    <w:pPr>
      <w:pStyle w:val="10"/>
    </w:pPr>
    <w:r>
      <w:pict>
        <v:shape id="PowerPlusWaterMarkObject434283204"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D204">
    <w:pPr>
      <w:pStyle w:val="10"/>
    </w:pPr>
    <w:r>
      <w:pict>
        <v:shape id="PowerPlusWaterMarkObject434283203"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1E0EC"/>
    <w:multiLevelType w:val="singleLevel"/>
    <w:tmpl w:val="A371E0E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AA2A44F3"/>
    <w:multiLevelType w:val="singleLevel"/>
    <w:tmpl w:val="AA2A44F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1C2C77FD"/>
    <w:multiLevelType w:val="multilevel"/>
    <w:tmpl w:val="1C2C77F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EA918C0"/>
    <w:multiLevelType w:val="multilevel"/>
    <w:tmpl w:val="3EA91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B3B0EA7"/>
    <w:multiLevelType w:val="multilevel"/>
    <w:tmpl w:val="6B3B0EA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ytjQyMza0MLM0szBW0lEKTi0uzszPAykwrAUAQavYjCwAAAA="/>
  </w:docVars>
  <w:rsids>
    <w:rsidRoot w:val="00A62C5F"/>
    <w:rsid w:val="001615C8"/>
    <w:rsid w:val="00223F98"/>
    <w:rsid w:val="0027456F"/>
    <w:rsid w:val="003B5EBA"/>
    <w:rsid w:val="00417096"/>
    <w:rsid w:val="00560F7E"/>
    <w:rsid w:val="0069730F"/>
    <w:rsid w:val="006C759C"/>
    <w:rsid w:val="00890E71"/>
    <w:rsid w:val="00930A95"/>
    <w:rsid w:val="00932F97"/>
    <w:rsid w:val="009C3FEE"/>
    <w:rsid w:val="00A62C5F"/>
    <w:rsid w:val="00A7491C"/>
    <w:rsid w:val="00BA7BF9"/>
    <w:rsid w:val="00C51B6D"/>
    <w:rsid w:val="00CF42DB"/>
    <w:rsid w:val="00D321E8"/>
    <w:rsid w:val="00D844ED"/>
    <w:rsid w:val="00DA6136"/>
    <w:rsid w:val="00E50F6E"/>
    <w:rsid w:val="00FE5A9E"/>
    <w:rsid w:val="0A991F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3">
    <w:name w:val="heading 2"/>
    <w:basedOn w:val="1"/>
    <w:link w:val="15"/>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n-US"/>
    </w:rPr>
  </w:style>
  <w:style w:type="paragraph" w:styleId="4">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en-U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annotation text"/>
    <w:basedOn w:val="1"/>
    <w:semiHidden/>
    <w:unhideWhenUsed/>
    <w:uiPriority w:val="99"/>
    <w:pPr>
      <w:jc w:val="left"/>
    </w:pPr>
  </w:style>
  <w:style w:type="character" w:styleId="8">
    <w:name w:val="Emphasis"/>
    <w:basedOn w:val="5"/>
    <w:qFormat/>
    <w:uiPriority w:val="20"/>
    <w:rPr>
      <w:i/>
      <w:iCs/>
    </w:rPr>
  </w:style>
  <w:style w:type="paragraph" w:styleId="9">
    <w:name w:val="footer"/>
    <w:basedOn w:val="1"/>
    <w:link w:val="20"/>
    <w:unhideWhenUsed/>
    <w:uiPriority w:val="99"/>
    <w:pPr>
      <w:tabs>
        <w:tab w:val="center" w:pos="4680"/>
        <w:tab w:val="right" w:pos="9360"/>
      </w:tabs>
      <w:spacing w:after="0" w:line="240" w:lineRule="auto"/>
    </w:pPr>
  </w:style>
  <w:style w:type="paragraph" w:styleId="10">
    <w:name w:val="header"/>
    <w:basedOn w:val="1"/>
    <w:link w:val="19"/>
    <w:unhideWhenUsed/>
    <w:uiPriority w:val="99"/>
    <w:pPr>
      <w:tabs>
        <w:tab w:val="center" w:pos="4680"/>
        <w:tab w:val="right" w:pos="9360"/>
      </w:tabs>
      <w:spacing w:after="0" w:line="240" w:lineRule="auto"/>
    </w:pPr>
  </w:style>
  <w:style w:type="character" w:styleId="11">
    <w:name w:val="Hyperlink"/>
    <w:basedOn w:val="5"/>
    <w:unhideWhenUsed/>
    <w:uiPriority w:val="99"/>
    <w:rPr>
      <w:color w:val="0000FF"/>
      <w:u w:val="single"/>
    </w:rPr>
  </w:style>
  <w:style w:type="paragraph" w:styleId="1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13">
    <w:name w:val="Strong"/>
    <w:basedOn w:val="5"/>
    <w:qFormat/>
    <w:uiPriority w:val="22"/>
    <w:rPr>
      <w:b/>
      <w:bCs/>
    </w:rPr>
  </w:style>
  <w:style w:type="character" w:customStyle="1" w:styleId="14">
    <w:name w:val="Heading 1 Char"/>
    <w:basedOn w:val="5"/>
    <w:link w:val="2"/>
    <w:uiPriority w:val="9"/>
    <w:rPr>
      <w:rFonts w:ascii="Times New Roman" w:hAnsi="Times New Roman" w:eastAsia="Times New Roman" w:cs="Times New Roman"/>
      <w:b/>
      <w:bCs/>
      <w:kern w:val="36"/>
      <w:sz w:val="48"/>
      <w:szCs w:val="48"/>
      <w:lang w:val="en-US"/>
    </w:rPr>
  </w:style>
  <w:style w:type="character" w:customStyle="1" w:styleId="15">
    <w:name w:val="Heading 2 Char"/>
    <w:basedOn w:val="5"/>
    <w:link w:val="3"/>
    <w:uiPriority w:val="9"/>
    <w:rPr>
      <w:rFonts w:ascii="Times New Roman" w:hAnsi="Times New Roman" w:eastAsia="Times New Roman" w:cs="Times New Roman"/>
      <w:b/>
      <w:bCs/>
      <w:sz w:val="36"/>
      <w:szCs w:val="36"/>
      <w:lang w:val="en-US"/>
    </w:rPr>
  </w:style>
  <w:style w:type="character" w:customStyle="1" w:styleId="16">
    <w:name w:val="Heading 3 Char"/>
    <w:basedOn w:val="5"/>
    <w:link w:val="4"/>
    <w:uiPriority w:val="9"/>
    <w:rPr>
      <w:rFonts w:ascii="Times New Roman" w:hAnsi="Times New Roman" w:eastAsia="Times New Roman" w:cs="Times New Roman"/>
      <w:b/>
      <w:bCs/>
      <w:sz w:val="27"/>
      <w:szCs w:val="27"/>
      <w:lang w:val="en-US"/>
    </w:rPr>
  </w:style>
  <w:style w:type="paragraph" w:styleId="17">
    <w:name w:val="List Paragraph"/>
    <w:basedOn w:val="1"/>
    <w:qFormat/>
    <w:uiPriority w:val="34"/>
    <w:pPr>
      <w:ind w:left="720"/>
      <w:contextualSpacing/>
    </w:pPr>
  </w:style>
  <w:style w:type="character" w:customStyle="1" w:styleId="18">
    <w:name w:val="Unresolved Mention"/>
    <w:basedOn w:val="5"/>
    <w:semiHidden/>
    <w:unhideWhenUsed/>
    <w:qFormat/>
    <w:uiPriority w:val="99"/>
    <w:rPr>
      <w:color w:val="605E5C"/>
      <w:shd w:val="clear" w:color="auto" w:fill="E1DFDD"/>
    </w:rPr>
  </w:style>
  <w:style w:type="character" w:customStyle="1" w:styleId="19">
    <w:name w:val="Header Char"/>
    <w:basedOn w:val="5"/>
    <w:link w:val="10"/>
    <w:uiPriority w:val="99"/>
  </w:style>
  <w:style w:type="character" w:customStyle="1" w:styleId="20">
    <w:name w:val="Footer Char"/>
    <w:basedOn w:val="5"/>
    <w:link w:val="9"/>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4382</Words>
  <Characters>24979</Characters>
  <Lines>208</Lines>
  <Paragraphs>58</Paragraphs>
  <TotalTime>83</TotalTime>
  <ScaleCrop>false</ScaleCrop>
  <LinksUpToDate>false</LinksUpToDate>
  <CharactersWithSpaces>29303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2025-11-08T05:35:00Z</dcterms:created>
  <dc:creator>Dr. Ratan Sarkar</dc:creator>
  <cp:lastModifiedBy>User</cp:lastModifiedBy>
  <dcterms:modified xsi:type="dcterms:W3CDTF">2025-11-11T06:15:12Z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31e3fa35-f891-4d3e-9b25-3b0b113ef88c</vt:lpwstr>
  </property>
  <property fmtid="{D5CDD505-2E9C-101B-9397-08002B2CF9AE}" pid="3" name="KSOProductBuildVer">
    <vt:lpwstr>1033-12.2.0.23131</vt:lpwstr>
  </property>
  <property fmtid="{D5CDD505-2E9C-101B-9397-08002B2CF9AE}" pid="4" name="ICV">
    <vt:lpwstr>5E074B9E880E47D7A4E2406676792E77_12</vt:lpwstr>
  </property>
</Properties>
</file>