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C786F" w14:textId="166D9F49" w:rsidR="00754C9A" w:rsidRDefault="0022471F" w:rsidP="00441B6F">
      <w:pPr>
        <w:pStyle w:val="Title"/>
        <w:spacing w:after="0"/>
        <w:jc w:val="both"/>
        <w:rPr>
          <w:rFonts w:ascii="Arial" w:hAnsi="Arial" w:cs="Arial"/>
        </w:rPr>
      </w:pPr>
      <w:r w:rsidRPr="0022471F">
        <w:rPr>
          <w:rFonts w:ascii="Arial" w:hAnsi="Arial" w:cs="Arial"/>
        </w:rPr>
        <w:t>Original Research Article</w:t>
      </w:r>
    </w:p>
    <w:p w14:paraId="354B7EDF" w14:textId="77777777" w:rsidR="0022471F" w:rsidRDefault="0022471F" w:rsidP="00441B6F">
      <w:pPr>
        <w:pStyle w:val="Title"/>
        <w:spacing w:after="0"/>
        <w:jc w:val="both"/>
        <w:rPr>
          <w:rFonts w:ascii="Arial" w:hAnsi="Arial" w:cs="Arial"/>
        </w:rPr>
      </w:pPr>
    </w:p>
    <w:p w14:paraId="1348C567" w14:textId="7A93043A" w:rsidR="00A258C3" w:rsidRDefault="001E0722" w:rsidP="001E0722">
      <w:pPr>
        <w:pStyle w:val="Author"/>
        <w:spacing w:line="240" w:lineRule="auto"/>
        <w:rPr>
          <w:rFonts w:ascii="Arial" w:hAnsi="Arial" w:cs="Arial"/>
          <w:bCs/>
          <w:iCs/>
          <w:kern w:val="28"/>
          <w:sz w:val="36"/>
        </w:rPr>
      </w:pPr>
      <w:r w:rsidRPr="001E0722">
        <w:rPr>
          <w:rFonts w:ascii="Arial" w:hAnsi="Arial" w:cs="Arial"/>
          <w:bCs/>
          <w:iCs/>
          <w:kern w:val="28"/>
          <w:sz w:val="36"/>
        </w:rPr>
        <w:t xml:space="preserve">Learning with the Community: A New-Normal Approach to Literacy Training </w:t>
      </w:r>
      <w:commentRangeStart w:id="0"/>
      <w:r w:rsidRPr="001E0722">
        <w:rPr>
          <w:rFonts w:ascii="Arial" w:hAnsi="Arial" w:cs="Arial"/>
          <w:bCs/>
          <w:iCs/>
          <w:kern w:val="28"/>
          <w:sz w:val="36"/>
        </w:rPr>
        <w:t>Service</w:t>
      </w:r>
      <w:commentRangeEnd w:id="0"/>
      <w:r w:rsidR="00531FFF">
        <w:rPr>
          <w:rStyle w:val="CommentReference"/>
          <w:rFonts w:ascii="Times New Roman" w:hAnsi="Times New Roman"/>
          <w:b w:val="0"/>
          <w:lang w:val="nb-NO" w:eastAsia="nb-NO"/>
        </w:rPr>
        <w:commentReference w:id="0"/>
      </w:r>
    </w:p>
    <w:p w14:paraId="2814CBD5" w14:textId="77777777" w:rsidR="001E0722" w:rsidRPr="00790ADA" w:rsidRDefault="001E0722" w:rsidP="001E0722">
      <w:pPr>
        <w:pStyle w:val="Author"/>
        <w:spacing w:line="240" w:lineRule="auto"/>
        <w:rPr>
          <w:rFonts w:ascii="Arial" w:hAnsi="Arial" w:cs="Arial"/>
          <w:sz w:val="36"/>
        </w:rPr>
      </w:pPr>
    </w:p>
    <w:p w14:paraId="7FA5B86C" w14:textId="77777777" w:rsidR="00790ADA" w:rsidRDefault="00790ADA" w:rsidP="00441B6F">
      <w:pPr>
        <w:pStyle w:val="Affiliation"/>
        <w:spacing w:after="0" w:line="240" w:lineRule="auto"/>
        <w:jc w:val="both"/>
        <w:rPr>
          <w:rFonts w:ascii="Arial" w:hAnsi="Arial" w:cs="Arial"/>
        </w:rPr>
      </w:pPr>
    </w:p>
    <w:p w14:paraId="13A1100E" w14:textId="77777777" w:rsidR="002C57D2" w:rsidRPr="00FB3A86" w:rsidRDefault="002C57D2" w:rsidP="00441B6F">
      <w:pPr>
        <w:pStyle w:val="Affiliation"/>
        <w:spacing w:after="0" w:line="240" w:lineRule="auto"/>
        <w:jc w:val="both"/>
        <w:rPr>
          <w:rFonts w:ascii="Arial" w:hAnsi="Arial" w:cs="Arial"/>
        </w:rPr>
      </w:pPr>
    </w:p>
    <w:p w14:paraId="24F1B6A4" w14:textId="1248AC0C" w:rsidR="00B01FCD" w:rsidRPr="00FB3A86" w:rsidRDefault="006C7AE4" w:rsidP="00441B6F">
      <w:pPr>
        <w:pStyle w:val="Copyright"/>
        <w:spacing w:after="0" w:line="240" w:lineRule="auto"/>
        <w:jc w:val="both"/>
        <w:rPr>
          <w:rFonts w:ascii="Arial" w:hAnsi="Arial" w:cs="Arial"/>
        </w:rPr>
        <w:sectPr w:rsidR="00B01FCD" w:rsidRPr="00FB3A86" w:rsidSect="0007470E">
          <w:headerReference w:type="even" r:id="rId10"/>
          <w:head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441AC" wp14:editId="299D4AB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7F864FA" w14:textId="6397C053"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F46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1C9A3D" w14:textId="77777777" w:rsidTr="001E44FE">
        <w:tc>
          <w:tcPr>
            <w:tcW w:w="9576" w:type="dxa"/>
            <w:shd w:val="clear" w:color="auto" w:fill="F2F2F2"/>
          </w:tcPr>
          <w:p w14:paraId="52618675" w14:textId="77777777" w:rsidR="00E3114E" w:rsidRDefault="00E3114E" w:rsidP="00441B6F">
            <w:pPr>
              <w:pStyle w:val="Body"/>
              <w:spacing w:after="0"/>
              <w:rPr>
                <w:rFonts w:ascii="Arial" w:eastAsia="Calibri" w:hAnsi="Arial" w:cs="Arial"/>
                <w:b/>
                <w:szCs w:val="22"/>
              </w:rPr>
            </w:pPr>
          </w:p>
          <w:p w14:paraId="56C46B9D" w14:textId="79ED9431" w:rsidR="004869DF" w:rsidRDefault="00BA1B01" w:rsidP="00441B6F">
            <w:pPr>
              <w:pStyle w:val="Body"/>
              <w:spacing w:after="0"/>
              <w:rPr>
                <w:rFonts w:ascii="Arial" w:eastAsia="Calibri" w:hAnsi="Arial" w:cs="Arial"/>
                <w:iCs/>
                <w:szCs w:val="22"/>
              </w:rPr>
            </w:pPr>
            <w:r w:rsidRPr="00BA1B01">
              <w:rPr>
                <w:rFonts w:ascii="Arial" w:eastAsia="Calibri" w:hAnsi="Arial" w:cs="Arial"/>
                <w:b/>
                <w:szCs w:val="22"/>
              </w:rPr>
              <w:t xml:space="preserve">Aims: </w:t>
            </w:r>
            <w:r w:rsidR="004869DF" w:rsidRPr="004869DF">
              <w:rPr>
                <w:rFonts w:ascii="Arial" w:eastAsia="Calibri" w:hAnsi="Arial" w:cs="Arial"/>
                <w:iCs/>
                <w:szCs w:val="22"/>
              </w:rPr>
              <w:t xml:space="preserve">This study aimed to develop </w:t>
            </w:r>
            <w:r w:rsidR="004869DF" w:rsidRPr="003E121C">
              <w:rPr>
                <w:rFonts w:ascii="Arial" w:eastAsia="Calibri" w:hAnsi="Arial" w:cs="Arial"/>
                <w:iCs/>
                <w:szCs w:val="22"/>
              </w:rPr>
              <w:t xml:space="preserve">a community-based instructional workbook for </w:t>
            </w:r>
            <w:commentRangeStart w:id="1"/>
            <w:r w:rsidR="004869DF" w:rsidRPr="003E121C">
              <w:rPr>
                <w:rFonts w:ascii="Arial" w:eastAsia="Calibri" w:hAnsi="Arial" w:cs="Arial"/>
                <w:iCs/>
                <w:szCs w:val="22"/>
              </w:rPr>
              <w:t>the</w:t>
            </w:r>
            <w:commentRangeEnd w:id="1"/>
            <w:r w:rsidR="00531FFF">
              <w:rPr>
                <w:rStyle w:val="CommentReference"/>
                <w:rFonts w:ascii="Times New Roman" w:hAnsi="Times New Roman"/>
                <w:lang w:val="nb-NO" w:eastAsia="nb-NO"/>
              </w:rPr>
              <w:commentReference w:id="1"/>
            </w:r>
            <w:r w:rsidR="004869DF" w:rsidRPr="003E121C">
              <w:rPr>
                <w:rFonts w:ascii="Arial" w:eastAsia="Calibri" w:hAnsi="Arial" w:cs="Arial"/>
                <w:iCs/>
                <w:szCs w:val="22"/>
              </w:rPr>
              <w:t xml:space="preserve"> Literacy Training Service (LTS) to strengthen the link between</w:t>
            </w:r>
            <w:r w:rsidR="004869DF" w:rsidRPr="004869DF">
              <w:rPr>
                <w:rFonts w:ascii="Arial" w:eastAsia="Calibri" w:hAnsi="Arial" w:cs="Arial"/>
                <w:iCs/>
                <w:szCs w:val="22"/>
              </w:rPr>
              <w:t xml:space="preserve"> learning and community engagement in the context of the new normal. </w:t>
            </w:r>
            <w:r w:rsidR="003E121C">
              <w:rPr>
                <w:rFonts w:ascii="Arial" w:eastAsia="Calibri" w:hAnsi="Arial" w:cs="Arial"/>
                <w:iCs/>
                <w:szCs w:val="22"/>
              </w:rPr>
              <w:t>T</w:t>
            </w:r>
            <w:r w:rsidR="004869DF" w:rsidRPr="004869DF">
              <w:rPr>
                <w:rFonts w:ascii="Arial" w:eastAsia="Calibri" w:hAnsi="Arial" w:cs="Arial"/>
                <w:iCs/>
                <w:szCs w:val="22"/>
              </w:rPr>
              <w:t xml:space="preserve">he workbook was designed to support citizenship training and community involvement in higher education. </w:t>
            </w:r>
          </w:p>
          <w:p w14:paraId="22073C6F" w14:textId="3F4861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E0722" w:rsidRPr="001E0722">
              <w:rPr>
                <w:rFonts w:ascii="Arial" w:eastAsia="Calibri" w:hAnsi="Arial" w:cs="Arial"/>
                <w:iCs/>
                <w:szCs w:val="22"/>
              </w:rPr>
              <w:t xml:space="preserve">Descriptive research was employed and a survey questionnaire was used to assess the </w:t>
            </w:r>
            <w:r w:rsidR="001E0722">
              <w:rPr>
                <w:rFonts w:ascii="Arial" w:eastAsia="Calibri" w:hAnsi="Arial" w:cs="Arial"/>
                <w:iCs/>
                <w:szCs w:val="22"/>
              </w:rPr>
              <w:t>literacy training service</w:t>
            </w:r>
            <w:r w:rsidR="001E0722" w:rsidRPr="001E0722">
              <w:rPr>
                <w:rFonts w:ascii="Arial" w:eastAsia="Calibri" w:hAnsi="Arial" w:cs="Arial"/>
                <w:iCs/>
                <w:szCs w:val="22"/>
              </w:rPr>
              <w:t xml:space="preserve"> workbook.</w:t>
            </w:r>
          </w:p>
          <w:p w14:paraId="0AA6300B" w14:textId="0D3195F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E0722">
              <w:rPr>
                <w:rFonts w:ascii="Arial" w:eastAsia="Calibri" w:hAnsi="Arial" w:cs="Arial"/>
                <w:szCs w:val="22"/>
              </w:rPr>
              <w:t>Ilocos Sur Polytechnic State College, College of Teacher Education, conducted in one semester (6 months)</w:t>
            </w:r>
          </w:p>
          <w:p w14:paraId="52D6F920" w14:textId="2AE2F666" w:rsidR="001E0722" w:rsidRPr="001E0722" w:rsidRDefault="00BA1B01" w:rsidP="001E0722">
            <w:pPr>
              <w:pStyle w:val="Body"/>
              <w:spacing w:after="0"/>
              <w:rPr>
                <w:rFonts w:ascii="Arial" w:eastAsia="Calibri" w:hAnsi="Arial" w:cs="Arial"/>
                <w:iCs/>
                <w:szCs w:val="22"/>
                <w:lang w:bidi="en-US"/>
              </w:rPr>
            </w:pPr>
            <w:r w:rsidRPr="00BA1B01">
              <w:rPr>
                <w:rFonts w:ascii="Arial" w:eastAsia="Calibri" w:hAnsi="Arial" w:cs="Arial"/>
                <w:b/>
                <w:bCs/>
                <w:szCs w:val="22"/>
              </w:rPr>
              <w:t>Methodology:</w:t>
            </w:r>
            <w:r w:rsidRPr="00BA1B01">
              <w:rPr>
                <w:rFonts w:ascii="Arial" w:eastAsia="Calibri" w:hAnsi="Arial" w:cs="Arial"/>
                <w:szCs w:val="22"/>
              </w:rPr>
              <w:t xml:space="preserve"> </w:t>
            </w:r>
            <w:r w:rsidR="004869DF" w:rsidRPr="004869DF">
              <w:rPr>
                <w:rFonts w:ascii="Arial" w:eastAsia="Calibri" w:hAnsi="Arial" w:cs="Arial"/>
                <w:iCs/>
                <w:szCs w:val="22"/>
              </w:rPr>
              <w:t>A quantitative-descriptive research design was employed</w:t>
            </w:r>
            <w:r w:rsidR="004869DF">
              <w:rPr>
                <w:rFonts w:ascii="Arial" w:eastAsia="Calibri" w:hAnsi="Arial" w:cs="Arial"/>
                <w:iCs/>
                <w:szCs w:val="22"/>
              </w:rPr>
              <w:t>, t</w:t>
            </w:r>
            <w:r w:rsidR="004869DF" w:rsidRPr="004869DF">
              <w:rPr>
                <w:rFonts w:ascii="Arial" w:eastAsia="Calibri" w:hAnsi="Arial" w:cs="Arial"/>
                <w:iCs/>
                <w:szCs w:val="22"/>
              </w:rPr>
              <w:t>he workbook was evaluated by five subject-matter experts and fifty-one students using a structured survey questionnaire. Data were analyzed to determine the materials’ validity, acceptability, and suitability for literacy instruction.</w:t>
            </w:r>
          </w:p>
          <w:p w14:paraId="4C21BC51" w14:textId="77777777" w:rsidR="004869D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869DF">
              <w:rPr>
                <w:rFonts w:ascii="Arial" w:eastAsia="Calibri" w:hAnsi="Arial" w:cs="Arial"/>
                <w:szCs w:val="22"/>
              </w:rPr>
              <w:t>R</w:t>
            </w:r>
            <w:r w:rsidR="004869DF" w:rsidRPr="004869DF">
              <w:rPr>
                <w:rFonts w:ascii="Arial" w:eastAsia="Calibri" w:hAnsi="Arial" w:cs="Arial"/>
                <w:szCs w:val="22"/>
              </w:rPr>
              <w:t>esults showed that experts confirmed the workbook’s strong content and construct validity, particularly regarding its activities and instructional strategies, while students reported high acceptance, noting alignment with their skills and learning capacities. Recommendations include improving technical features such as layout, design, and graphical presentation to enhance usability. The study also suggests developing similar instructional materials for other components of the National Service Training Program (NSTP) to ensure consistent quality and effective implementation.</w:t>
            </w:r>
          </w:p>
          <w:p w14:paraId="6193687E" w14:textId="16C878E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869DF">
              <w:rPr>
                <w:rFonts w:ascii="Arial" w:eastAsia="Calibri" w:hAnsi="Arial" w:cs="Arial"/>
                <w:szCs w:val="22"/>
              </w:rPr>
              <w:t>T</w:t>
            </w:r>
            <w:r w:rsidR="004869DF" w:rsidRPr="004869DF">
              <w:rPr>
                <w:rFonts w:ascii="Arial" w:eastAsia="Calibri" w:hAnsi="Arial" w:cs="Arial"/>
                <w:szCs w:val="22"/>
              </w:rPr>
              <w:t>he workbook is a valid and acceptable instructional tool for promoting community-based learning in the new normal</w:t>
            </w:r>
          </w:p>
        </w:tc>
      </w:tr>
    </w:tbl>
    <w:p w14:paraId="375608A7" w14:textId="77777777" w:rsidR="00636EB2" w:rsidRDefault="00636EB2" w:rsidP="00441B6F">
      <w:pPr>
        <w:pStyle w:val="Body"/>
        <w:spacing w:after="0"/>
        <w:rPr>
          <w:rFonts w:ascii="Arial" w:hAnsi="Arial" w:cs="Arial"/>
          <w:i/>
        </w:rPr>
      </w:pPr>
    </w:p>
    <w:p w14:paraId="14E9081F" w14:textId="2A2BF307" w:rsidR="004869DF" w:rsidRPr="004869DF" w:rsidRDefault="00A24E7E" w:rsidP="004869DF">
      <w:pPr>
        <w:pStyle w:val="Body"/>
        <w:spacing w:after="0"/>
        <w:rPr>
          <w:rFonts w:ascii="Arial" w:hAnsi="Arial" w:cs="Arial"/>
          <w:i/>
          <w:iCs/>
        </w:rPr>
      </w:pPr>
      <w:r>
        <w:rPr>
          <w:rFonts w:ascii="Arial" w:hAnsi="Arial" w:cs="Arial"/>
          <w:i/>
        </w:rPr>
        <w:t xml:space="preserve">Keywords: </w:t>
      </w:r>
      <w:r w:rsidR="004869DF" w:rsidRPr="004869DF">
        <w:rPr>
          <w:rFonts w:ascii="Arial" w:hAnsi="Arial" w:cs="Arial"/>
          <w:i/>
          <w:iCs/>
        </w:rPr>
        <w:t>New normal, community immersion, community-based learning, workbook</w:t>
      </w:r>
    </w:p>
    <w:p w14:paraId="02FC12E8" w14:textId="4AE94562" w:rsidR="00790ADA" w:rsidRDefault="00790ADA" w:rsidP="00441B6F">
      <w:pPr>
        <w:pStyle w:val="Body"/>
        <w:spacing w:after="0"/>
        <w:rPr>
          <w:rFonts w:ascii="Arial" w:hAnsi="Arial" w:cs="Arial"/>
          <w:i/>
        </w:rPr>
      </w:pPr>
    </w:p>
    <w:p w14:paraId="2BE4C448" w14:textId="77777777" w:rsidR="00505F06" w:rsidRPr="00A24E7E" w:rsidRDefault="00505F06" w:rsidP="00441B6F">
      <w:pPr>
        <w:pStyle w:val="Body"/>
        <w:spacing w:after="0"/>
        <w:rPr>
          <w:rFonts w:ascii="Arial" w:hAnsi="Arial" w:cs="Arial"/>
          <w:i/>
        </w:rPr>
      </w:pPr>
    </w:p>
    <w:p w14:paraId="024ABBFA" w14:textId="798EE693"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commentRangeEnd w:id="2"/>
      <w:r w:rsidR="00531FFF">
        <w:rPr>
          <w:rStyle w:val="CommentReference"/>
          <w:rFonts w:ascii="Times New Roman" w:hAnsi="Times New Roman"/>
          <w:b w:val="0"/>
          <w:caps w:val="0"/>
          <w:lang w:val="nb-NO" w:eastAsia="nb-NO"/>
        </w:rPr>
        <w:commentReference w:id="2"/>
      </w:r>
      <w:r w:rsidR="007F7B32">
        <w:rPr>
          <w:rFonts w:ascii="Arial" w:hAnsi="Arial" w:cs="Arial"/>
        </w:rPr>
        <w:t xml:space="preserve"> </w:t>
      </w:r>
    </w:p>
    <w:p w14:paraId="081A13AE" w14:textId="77777777" w:rsidR="00790ADA" w:rsidRPr="00FB3A86" w:rsidRDefault="00790ADA" w:rsidP="00441B6F">
      <w:pPr>
        <w:pStyle w:val="AbstHead"/>
        <w:spacing w:after="0"/>
        <w:jc w:val="both"/>
        <w:rPr>
          <w:rFonts w:ascii="Arial" w:hAnsi="Arial" w:cs="Arial"/>
        </w:rPr>
      </w:pPr>
    </w:p>
    <w:p w14:paraId="3E42ACD6" w14:textId="77777777" w:rsidR="004869DF" w:rsidRPr="004869DF" w:rsidRDefault="004869DF" w:rsidP="004869DF">
      <w:pPr>
        <w:pStyle w:val="Body"/>
        <w:spacing w:after="0"/>
        <w:rPr>
          <w:rFonts w:ascii="Arial" w:hAnsi="Arial" w:cs="Arial"/>
          <w:iCs/>
        </w:rPr>
      </w:pPr>
      <w:r w:rsidRPr="004869DF">
        <w:rPr>
          <w:rFonts w:ascii="Arial" w:hAnsi="Arial" w:cs="Arial"/>
          <w:iCs/>
        </w:rPr>
        <w:t>The youth play a crucial role in nation-building, and the Philippine government recognizes the importance of fostering their civic awareness while promoting their physical, moral, spiritual, intellectual, and social development. Through higher education programs, students are encouraged to embrace the values of patriotism and nationalism and to actively participate in public and civic initiatives. The government’s primary responsibility is to serve and protect its citizens; in turn, every citizen has the duty to contribute to the security and welfare of the State, which may include fulfilling required military or civil service. As the nation’s most valuable resource, the youth are encouraged to be motivated, trained, and engaged in programs such as military service, literacy initiatives, civic welfare projects, and other activities that promote national development and community service.</w:t>
      </w:r>
    </w:p>
    <w:p w14:paraId="2DA167CA" w14:textId="77777777" w:rsidR="004869DF" w:rsidRDefault="004869DF" w:rsidP="004869DF">
      <w:pPr>
        <w:pStyle w:val="Body"/>
        <w:spacing w:after="0"/>
        <w:rPr>
          <w:rFonts w:ascii="Arial" w:hAnsi="Arial" w:cs="Arial"/>
          <w:iCs/>
        </w:rPr>
      </w:pPr>
    </w:p>
    <w:p w14:paraId="488B2538" w14:textId="3446275A" w:rsidR="004869DF" w:rsidRPr="004869DF" w:rsidRDefault="004869DF" w:rsidP="004869DF">
      <w:pPr>
        <w:pStyle w:val="Body"/>
        <w:spacing w:after="0"/>
        <w:rPr>
          <w:rFonts w:ascii="Arial" w:hAnsi="Arial" w:cs="Arial"/>
          <w:iCs/>
        </w:rPr>
      </w:pPr>
      <w:r>
        <w:rPr>
          <w:rFonts w:ascii="Arial" w:hAnsi="Arial" w:cs="Arial"/>
          <w:iCs/>
          <w:lang w:val="fil-PH"/>
        </w:rPr>
        <w:lastRenderedPageBreak/>
        <w:t xml:space="preserve">Through the Republic Act 9165, the higher educational institutions in the Philippines are mandtaed to implement </w:t>
      </w:r>
      <w:r>
        <w:rPr>
          <w:rFonts w:ascii="Arial" w:hAnsi="Arial" w:cs="Arial"/>
          <w:iCs/>
        </w:rPr>
        <w:t>t</w:t>
      </w:r>
      <w:r w:rsidRPr="004869DF">
        <w:rPr>
          <w:rFonts w:ascii="Arial" w:hAnsi="Arial" w:cs="Arial"/>
          <w:iCs/>
        </w:rPr>
        <w:t>he National Service Training Program (NSTP)</w:t>
      </w:r>
      <w:r>
        <w:rPr>
          <w:rFonts w:ascii="Arial" w:hAnsi="Arial" w:cs="Arial"/>
          <w:iCs/>
        </w:rPr>
        <w:t xml:space="preserve"> in their curricular offerings. NSTP </w:t>
      </w:r>
      <w:r w:rsidRPr="004869DF">
        <w:rPr>
          <w:rFonts w:ascii="Arial" w:hAnsi="Arial" w:cs="Arial"/>
          <w:iCs/>
        </w:rPr>
        <w:t>is a program aimed at enhancing civic consciousness and defense preparedness in the youth by developing the ethics of service and patriotism while undergoing in any of the three program components. Its various components are specially designed to enhance the youth's active contribution to the general welfare. These national services may be in the form of military, nonmilitary services, non-military compulsory programs, and some even integrated in the educational system like in the Philippines in the form of the National Service Training Program.</w:t>
      </w:r>
    </w:p>
    <w:p w14:paraId="6BD9B8BA" w14:textId="77777777" w:rsidR="003E121C" w:rsidRDefault="003E121C" w:rsidP="004869DF">
      <w:pPr>
        <w:pStyle w:val="Body"/>
        <w:spacing w:after="0"/>
        <w:rPr>
          <w:rFonts w:ascii="Arial" w:hAnsi="Arial" w:cs="Arial"/>
          <w:iCs/>
        </w:rPr>
      </w:pPr>
    </w:p>
    <w:p w14:paraId="1D1FB33B" w14:textId="19A8628F" w:rsidR="004869DF" w:rsidRPr="004869DF" w:rsidRDefault="004869DF" w:rsidP="004869DF">
      <w:pPr>
        <w:pStyle w:val="Body"/>
        <w:spacing w:after="0"/>
        <w:rPr>
          <w:rFonts w:ascii="Arial" w:hAnsi="Arial" w:cs="Arial"/>
          <w:iCs/>
        </w:rPr>
      </w:pPr>
      <w:r w:rsidRPr="004869DF">
        <w:rPr>
          <w:rFonts w:ascii="Arial" w:hAnsi="Arial" w:cs="Arial"/>
          <w:iCs/>
        </w:rPr>
        <w:t>The NSTP had three components, namely; (1) Military  Training Service (MTS)/ Reserved Officer training Corps (ROTC) it is designed to provide military training particularly the infantry Training for College students; (2) Literacy Training Service (LTS) designed to train student to teach literacy and numerically skill to school children, out-of-school youth (OSY), Adult and other segment of society in need of their services; (3) Civic Welfare Training Service (CWTS) a program component designed for activities contributory to the general welfare and the betterment of the life for the members of its facilities in providing their health education, environment, safety entrepreneurship, recreation and moral of the citizenry and the other social welfare services, the program also designed as tools for the future leaders of community.</w:t>
      </w:r>
    </w:p>
    <w:p w14:paraId="15598B77" w14:textId="77777777" w:rsidR="003E121C" w:rsidRDefault="003E121C" w:rsidP="004869DF">
      <w:pPr>
        <w:pStyle w:val="Body"/>
        <w:spacing w:after="0"/>
        <w:rPr>
          <w:rFonts w:ascii="Arial" w:hAnsi="Arial" w:cs="Arial"/>
          <w:iCs/>
        </w:rPr>
      </w:pPr>
    </w:p>
    <w:p w14:paraId="79F621DE" w14:textId="64C2C827" w:rsidR="004869DF" w:rsidRPr="004869DF" w:rsidRDefault="004869DF" w:rsidP="004869DF">
      <w:pPr>
        <w:pStyle w:val="Body"/>
        <w:spacing w:after="0"/>
        <w:rPr>
          <w:rFonts w:ascii="Arial" w:hAnsi="Arial" w:cs="Arial"/>
          <w:iCs/>
        </w:rPr>
      </w:pPr>
      <w:r w:rsidRPr="004869DF">
        <w:rPr>
          <w:rFonts w:ascii="Arial" w:hAnsi="Arial" w:cs="Arial"/>
          <w:iCs/>
        </w:rPr>
        <w:t>The NSTP-LTS is basically concerned with development of the youth. It emphasizes the intensification of values; ideas related to civic consciousness particularly those that enhance their intellectual, moral, spiritual, technical and social well-being. It aims to inform, train, mobilize and serve youth as an arm in helping the community in the pursuit of national development. It particularly deals with training, packaging, disseminating information for the development of knowledge, skills and attitude needed as future leaders and good citizens.</w:t>
      </w:r>
      <w:r w:rsidRPr="004869DF">
        <w:rPr>
          <w:rFonts w:ascii="Arial" w:hAnsi="Arial" w:cs="Arial"/>
          <w:iCs/>
          <w:lang w:val="fil-PH"/>
        </w:rPr>
        <w:t xml:space="preserve">In  LTS, the community then becomes the learning venue‘ or the classroom/laboratory where students experience‘ learning. This component of NSTP, </w:t>
      </w:r>
      <w:r w:rsidRPr="004869DF">
        <w:rPr>
          <w:rFonts w:ascii="Arial" w:hAnsi="Arial" w:cs="Arial"/>
          <w:iCs/>
          <w:lang w:val="en-PH"/>
        </w:rPr>
        <w:t xml:space="preserve">ushered in a new milieu is promoting the enhancement of the literacy and numeracy, and civic consciousness among the youth by instilling the ethics of service and patriotism. The said component recognizes the critical and pivotal role the student-youths play in spurring local initiatives and designing the development road map for the depressed, undeserved communities in the different parts of the archipelago towards national community development specifically on literacy and numeracy service.  </w:t>
      </w:r>
    </w:p>
    <w:p w14:paraId="1F9CBE42" w14:textId="77777777" w:rsidR="003E121C" w:rsidRDefault="003E121C" w:rsidP="004869DF">
      <w:pPr>
        <w:pStyle w:val="Body"/>
        <w:spacing w:after="0"/>
        <w:rPr>
          <w:rFonts w:ascii="Arial" w:hAnsi="Arial" w:cs="Arial"/>
          <w:iCs/>
          <w:lang w:bidi="en-US"/>
        </w:rPr>
      </w:pPr>
    </w:p>
    <w:p w14:paraId="727E4A77" w14:textId="49D69058" w:rsidR="004869DF" w:rsidRPr="004869DF" w:rsidRDefault="004869DF" w:rsidP="004869DF">
      <w:pPr>
        <w:pStyle w:val="Body"/>
        <w:spacing w:after="0"/>
        <w:rPr>
          <w:rFonts w:ascii="Arial" w:hAnsi="Arial" w:cs="Arial"/>
          <w:iCs/>
        </w:rPr>
      </w:pPr>
      <w:r w:rsidRPr="004869DF">
        <w:rPr>
          <w:rFonts w:ascii="Arial" w:hAnsi="Arial" w:cs="Arial"/>
          <w:iCs/>
          <w:lang w:bidi="en-US"/>
        </w:rPr>
        <w:t>Presently, there is a call for the intensive implementation of LTS around the world in general and in the countryside in particular.</w:t>
      </w:r>
      <w:r w:rsidRPr="004869DF">
        <w:rPr>
          <w:rFonts w:ascii="Arial" w:hAnsi="Arial" w:cs="Arial"/>
          <w:iCs/>
        </w:rPr>
        <w:t xml:space="preserve"> Around the world, renewed emphasis is being placed by the government and employers on literacy and numeracy skills for all people to enhance employability, job, satisfaction, level of remuneration, and community improvement on which the literacy service training is of great help</w:t>
      </w:r>
      <w:r w:rsidR="00995DDE">
        <w:rPr>
          <w:rFonts w:ascii="Arial" w:hAnsi="Arial" w:cs="Arial"/>
          <w:iCs/>
        </w:rPr>
        <w:t xml:space="preserve"> (DOLE, 2025)</w:t>
      </w:r>
      <w:r w:rsidRPr="004869DF">
        <w:rPr>
          <w:rFonts w:ascii="Arial" w:hAnsi="Arial" w:cs="Arial"/>
          <w:iCs/>
        </w:rPr>
        <w:t xml:space="preserve">. </w:t>
      </w:r>
      <w:r w:rsidRPr="004869DF">
        <w:rPr>
          <w:rFonts w:ascii="Arial" w:hAnsi="Arial" w:cs="Arial"/>
        </w:rPr>
        <w:t xml:space="preserve"> </w:t>
      </w:r>
      <w:r w:rsidRPr="004869DF">
        <w:rPr>
          <w:rFonts w:ascii="Arial" w:hAnsi="Arial" w:cs="Arial"/>
          <w:iCs/>
        </w:rPr>
        <w:t xml:space="preserve">The purposes of literacy and numeracy training service on which Literacy Service Training is anchored are vital foundation in skills development for effective and efficient service learning which includes the field of adult literacy and numeracy for adult education. The literacy and numeracy program can be specifically designed for clients depending on the level they require to crater their educational needs. This does not discount the children in the nursery and kinder level or any individual of school age who are in need of these services. As to the </w:t>
      </w:r>
      <w:r w:rsidRPr="004869DF">
        <w:rPr>
          <w:rFonts w:ascii="Arial" w:hAnsi="Arial" w:cs="Arial"/>
          <w:iCs/>
          <w:lang w:val="fil-PH"/>
        </w:rPr>
        <w:t xml:space="preserve">service learning as a framework for LTS   as defined it as a method whereby students engage in public service activities as part of their coursework, allowing them to apply and validate concepts and theories learned in the classroom to real-life situations while at the same time directly responding to people‘s needs. (Carino and Florencio 2002) In addition, service-learning can develop the academic, life-skills and civic responsibility of students (Astin &amp; Sax, 1998). Looking into this framework, there are several benefits of offering LTS which includes on </w:t>
      </w:r>
      <w:r w:rsidRPr="004869DF">
        <w:rPr>
          <w:rFonts w:ascii="Arial" w:hAnsi="Arial" w:cs="Arial"/>
          <w:iCs/>
          <w:lang w:val="fil-PH"/>
        </w:rPr>
        <w:lastRenderedPageBreak/>
        <w:t>becoming a better citizen, innovative, sense of volunteerism, nationalism among others. In addition, participation in service-learning can improve personal spiritual growth, leadership skills, critical thinking, and many more. (Bringle, 2005</w:t>
      </w:r>
      <w:r w:rsidR="003E121C">
        <w:rPr>
          <w:rFonts w:ascii="Arial" w:hAnsi="Arial" w:cs="Arial"/>
          <w:iCs/>
          <w:lang w:val="fil-PH"/>
        </w:rPr>
        <w:t>)</w:t>
      </w:r>
    </w:p>
    <w:p w14:paraId="6F96B447" w14:textId="77777777" w:rsidR="003E121C" w:rsidRDefault="003E121C" w:rsidP="004869DF">
      <w:pPr>
        <w:pStyle w:val="Body"/>
        <w:spacing w:after="0"/>
        <w:rPr>
          <w:rFonts w:ascii="Arial" w:hAnsi="Arial" w:cs="Arial"/>
          <w:iCs/>
          <w:lang w:val="fil-PH"/>
        </w:rPr>
      </w:pPr>
    </w:p>
    <w:p w14:paraId="5EE18447" w14:textId="05C437E4" w:rsidR="004869DF" w:rsidRPr="004869DF" w:rsidRDefault="004869DF" w:rsidP="004869DF">
      <w:pPr>
        <w:pStyle w:val="Body"/>
        <w:spacing w:after="0"/>
        <w:rPr>
          <w:rFonts w:ascii="Arial" w:hAnsi="Arial" w:cs="Arial"/>
          <w:iCs/>
          <w:lang w:val="fil-PH"/>
        </w:rPr>
      </w:pPr>
      <w:r w:rsidRPr="004869DF">
        <w:rPr>
          <w:rFonts w:ascii="Arial" w:hAnsi="Arial" w:cs="Arial"/>
          <w:iCs/>
          <w:lang w:val="fil-PH"/>
        </w:rPr>
        <w:t xml:space="preserve">In the process, the students‘ participation is expected and becomes so significant with his personal development (learning). Basically, this personal development encompasses social, behavioral and moral aspects of the students. Thus as Honnet &amp; Poulsen (1989) puts it, service, combined with learning, adds value to each and transforms and serves as the platform of expression for community service with Literacy Training Service (LTS). The community then becomes the learning venue‘ or the classroom/laboratory where students experience‘ learning. </w:t>
      </w:r>
      <w:r w:rsidRPr="004869DF">
        <w:rPr>
          <w:rFonts w:ascii="Arial" w:hAnsi="Arial" w:cs="Arial"/>
          <w:iCs/>
        </w:rPr>
        <w:t xml:space="preserve">Seemingly, the current health issues specifically the pandemic had greatly affected the implementation of Literacy Training Service in the community.  LTS implementers have to adopt and navigate to the so-called new normal in order to deliver a quality community-based project despite the current challenges of the COVID 19. It is then imperative to develop a workbook that will be a guide of the NSTP Students in implementing a quality community-based project. </w:t>
      </w:r>
      <w:r w:rsidRPr="004869DF">
        <w:rPr>
          <w:rFonts w:ascii="Arial" w:hAnsi="Arial" w:cs="Arial"/>
          <w:iCs/>
          <w:lang w:val="en-PH"/>
        </w:rPr>
        <w:t xml:space="preserve">     </w:t>
      </w:r>
    </w:p>
    <w:p w14:paraId="2BCDE57E" w14:textId="77777777" w:rsidR="003E121C" w:rsidRDefault="003E121C" w:rsidP="003E121C">
      <w:pPr>
        <w:pStyle w:val="Body"/>
        <w:spacing w:after="0"/>
        <w:rPr>
          <w:rFonts w:ascii="Arial" w:hAnsi="Arial" w:cs="Arial"/>
          <w:iCs/>
          <w:lang w:val="en-PH"/>
        </w:rPr>
      </w:pPr>
    </w:p>
    <w:p w14:paraId="07016300" w14:textId="13A39E23" w:rsidR="00BF3FF2" w:rsidRPr="00BF3FF2" w:rsidRDefault="004869DF" w:rsidP="003E121C">
      <w:pPr>
        <w:pStyle w:val="Body"/>
        <w:spacing w:after="0"/>
        <w:rPr>
          <w:rFonts w:ascii="Arial" w:hAnsi="Arial" w:cs="Arial"/>
          <w:iCs/>
        </w:rPr>
      </w:pPr>
      <w:r w:rsidRPr="004869DF">
        <w:rPr>
          <w:rFonts w:ascii="Arial" w:hAnsi="Arial" w:cs="Arial"/>
          <w:iCs/>
          <w:lang w:val="en-PH"/>
        </w:rPr>
        <w:t xml:space="preserve">Currently, there is only limited information on the development and evaluation of a community-based workbook for a citizenship training course.  Reading materials, course outline and other helpful instructional materials are also limited. This prompted then the researcher to embark on the development of a workbook in Literacy Training Service which will use the most fitting approach of contextualization, localization, integrative and culture-based. This research endeavor </w:t>
      </w:r>
      <w:r w:rsidRPr="004869DF">
        <w:rPr>
          <w:rFonts w:ascii="Arial" w:hAnsi="Arial" w:cs="Arial"/>
          <w:iCs/>
        </w:rPr>
        <w:t>determined the validity of the developed NSTP-LTS workbook for community-based immersion during the new normal as evaluated by experts; and identified the level of acceptability of the students on the developed NSTP-LTS workbook for community-based immersion during the new normal.</w:t>
      </w:r>
      <w:r w:rsidR="00BF3FF2">
        <w:rPr>
          <w:rFonts w:ascii="Arial" w:hAnsi="Arial" w:cs="Arial"/>
          <w:iCs/>
        </w:rPr>
        <w:t xml:space="preserve"> The study particularly answered the following research questions: (1) </w:t>
      </w:r>
      <w:r w:rsidR="00BF3FF2" w:rsidRPr="00BF3FF2">
        <w:rPr>
          <w:rFonts w:ascii="Arial" w:hAnsi="Arial" w:cs="Arial"/>
          <w:iCs/>
          <w:lang w:val="en-PH"/>
        </w:rPr>
        <w:t>What is the extent of validity of the developed community-based workbook in LTS?</w:t>
      </w:r>
      <w:r w:rsidR="00BF3FF2">
        <w:rPr>
          <w:rFonts w:ascii="Arial" w:hAnsi="Arial" w:cs="Arial"/>
          <w:iCs/>
          <w:lang w:val="en-PH"/>
        </w:rPr>
        <w:t xml:space="preserve"> And (2) </w:t>
      </w:r>
      <w:r w:rsidR="00BF3FF2" w:rsidRPr="00BF3FF2">
        <w:rPr>
          <w:rFonts w:ascii="Arial" w:hAnsi="Arial" w:cs="Arial"/>
          <w:iCs/>
          <w:lang w:bidi="en-US"/>
        </w:rPr>
        <w:t>What is the level of acceptability of the developed community-based workbook in LTS?</w:t>
      </w:r>
    </w:p>
    <w:p w14:paraId="6CDB6C2F" w14:textId="77777777" w:rsidR="00790ADA" w:rsidRPr="00FB3A86" w:rsidRDefault="00790ADA" w:rsidP="00441B6F">
      <w:pPr>
        <w:pStyle w:val="Body"/>
        <w:spacing w:after="0"/>
        <w:rPr>
          <w:rFonts w:ascii="Arial" w:hAnsi="Arial" w:cs="Arial"/>
        </w:rPr>
      </w:pPr>
    </w:p>
    <w:p w14:paraId="38D23CCA" w14:textId="342244C6"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472D2A4" w14:textId="77777777" w:rsidR="00790ADA" w:rsidRPr="00FB3A86" w:rsidRDefault="00790ADA" w:rsidP="00441B6F">
      <w:pPr>
        <w:pStyle w:val="AbstHead"/>
        <w:spacing w:after="0"/>
        <w:jc w:val="both"/>
        <w:rPr>
          <w:rFonts w:ascii="Arial" w:hAnsi="Arial" w:cs="Arial"/>
        </w:rPr>
      </w:pPr>
    </w:p>
    <w:p w14:paraId="5F1CD101" w14:textId="03BA0C87"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2.1 </w:t>
      </w:r>
      <w:r w:rsidR="00995DDE" w:rsidRPr="00BF3FF2">
        <w:rPr>
          <w:rFonts w:ascii="Arial" w:hAnsi="Arial" w:cs="Arial"/>
          <w:b/>
          <w:bCs/>
          <w:sz w:val="22"/>
          <w:szCs w:val="22"/>
          <w:lang w:val="en-PH"/>
        </w:rPr>
        <w:t>Research Design</w:t>
      </w:r>
    </w:p>
    <w:p w14:paraId="6F8B08A0" w14:textId="6E835ADE" w:rsidR="00347FAD" w:rsidRDefault="00347FAD" w:rsidP="00347FAD">
      <w:pPr>
        <w:pStyle w:val="Body"/>
        <w:spacing w:after="0"/>
        <w:rPr>
          <w:rFonts w:ascii="Arial" w:hAnsi="Arial" w:cs="Arial"/>
          <w:lang w:val="en-PH"/>
        </w:rPr>
      </w:pPr>
      <w:r w:rsidRPr="00347FAD">
        <w:rPr>
          <w:rFonts w:ascii="Arial" w:hAnsi="Arial" w:cs="Arial"/>
          <w:lang w:val="en-PH"/>
        </w:rPr>
        <w:t>The study employed a quantitative-descriptive research design to determine the validity and acceptability of the developed community-based instructional materials for the Literacy Training Service (LTS) in the context of the new normal. This design was selected to enable an objective and systematic assessment of the instructional materials based on expert and student evaluations.</w:t>
      </w:r>
    </w:p>
    <w:p w14:paraId="39E31C36" w14:textId="77777777" w:rsidR="00995DDE" w:rsidRPr="00347FAD" w:rsidRDefault="00995DDE" w:rsidP="00347FAD">
      <w:pPr>
        <w:pStyle w:val="Body"/>
        <w:spacing w:after="0"/>
        <w:rPr>
          <w:rFonts w:ascii="Arial" w:hAnsi="Arial" w:cs="Arial"/>
          <w:lang w:val="en-PH"/>
        </w:rPr>
      </w:pPr>
    </w:p>
    <w:p w14:paraId="43D6C63B" w14:textId="0B86D73E"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2.2 </w:t>
      </w:r>
      <w:r w:rsidR="00347FAD" w:rsidRPr="00347FAD">
        <w:rPr>
          <w:rFonts w:ascii="Arial" w:hAnsi="Arial" w:cs="Arial"/>
          <w:b/>
          <w:bCs/>
          <w:sz w:val="22"/>
          <w:szCs w:val="22"/>
          <w:lang w:val="en-PH"/>
        </w:rPr>
        <w:t xml:space="preserve">Research </w:t>
      </w:r>
      <w:commentRangeStart w:id="3"/>
      <w:r w:rsidR="00347FAD" w:rsidRPr="00347FAD">
        <w:rPr>
          <w:rFonts w:ascii="Arial" w:hAnsi="Arial" w:cs="Arial"/>
          <w:b/>
          <w:bCs/>
          <w:sz w:val="22"/>
          <w:szCs w:val="22"/>
          <w:lang w:val="en-PH"/>
        </w:rPr>
        <w:t>Locale</w:t>
      </w:r>
      <w:commentRangeEnd w:id="3"/>
      <w:r w:rsidR="00531FFF">
        <w:rPr>
          <w:rStyle w:val="CommentReference"/>
          <w:rFonts w:ascii="Times New Roman" w:hAnsi="Times New Roman"/>
          <w:lang w:val="nb-NO" w:eastAsia="nb-NO"/>
        </w:rPr>
        <w:commentReference w:id="3"/>
      </w:r>
    </w:p>
    <w:p w14:paraId="217F92B0" w14:textId="46D27F49" w:rsidR="00347FAD" w:rsidRDefault="00347FAD" w:rsidP="00347FAD">
      <w:pPr>
        <w:pStyle w:val="Body"/>
        <w:spacing w:after="0"/>
        <w:rPr>
          <w:rFonts w:ascii="Arial" w:hAnsi="Arial" w:cs="Arial"/>
          <w:lang w:val="en-PH"/>
        </w:rPr>
      </w:pPr>
      <w:r w:rsidRPr="00347FAD">
        <w:rPr>
          <w:rFonts w:ascii="Arial" w:hAnsi="Arial" w:cs="Arial"/>
          <w:lang w:val="en-PH"/>
        </w:rPr>
        <w:t xml:space="preserve">The study was conducted </w:t>
      </w:r>
      <w:r w:rsidR="00995DDE">
        <w:rPr>
          <w:rFonts w:ascii="Arial" w:hAnsi="Arial" w:cs="Arial"/>
          <w:lang w:val="en-PH"/>
        </w:rPr>
        <w:t>in the state-run college in the northern province of the Philippines</w:t>
      </w:r>
      <w:r w:rsidRPr="00347FAD">
        <w:rPr>
          <w:rFonts w:ascii="Arial" w:hAnsi="Arial" w:cs="Arial"/>
          <w:lang w:val="en-PH"/>
        </w:rPr>
        <w:t>, where the Literacy Training Service component of the National Service Training Program (NSTP) is regularly implemented. This setting was chosen as it provided access to both qualified evaluators and active LTS students who served as respondents.</w:t>
      </w:r>
    </w:p>
    <w:p w14:paraId="76B333EB" w14:textId="77777777" w:rsidR="00995DDE" w:rsidRPr="00347FAD" w:rsidRDefault="00995DDE" w:rsidP="00347FAD">
      <w:pPr>
        <w:pStyle w:val="Body"/>
        <w:spacing w:after="0"/>
        <w:rPr>
          <w:rFonts w:ascii="Arial" w:hAnsi="Arial" w:cs="Arial"/>
          <w:lang w:val="en-PH"/>
        </w:rPr>
      </w:pPr>
    </w:p>
    <w:p w14:paraId="362B27D4" w14:textId="301A041C"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2.3 </w:t>
      </w:r>
      <w:r w:rsidR="00347FAD" w:rsidRPr="00347FAD">
        <w:rPr>
          <w:rFonts w:ascii="Arial" w:hAnsi="Arial" w:cs="Arial"/>
          <w:b/>
          <w:bCs/>
          <w:sz w:val="22"/>
          <w:szCs w:val="22"/>
          <w:lang w:val="en-PH"/>
        </w:rPr>
        <w:t>Participants and Sampling Procedure</w:t>
      </w:r>
    </w:p>
    <w:p w14:paraId="30A3CB34" w14:textId="77777777" w:rsidR="00347FAD" w:rsidRDefault="00347FAD" w:rsidP="00347FAD">
      <w:pPr>
        <w:pStyle w:val="Body"/>
        <w:spacing w:after="0"/>
        <w:rPr>
          <w:rFonts w:ascii="Arial" w:hAnsi="Arial" w:cs="Arial"/>
          <w:lang w:val="en-PH"/>
        </w:rPr>
      </w:pPr>
      <w:r w:rsidRPr="00347FAD">
        <w:rPr>
          <w:rFonts w:ascii="Arial" w:hAnsi="Arial" w:cs="Arial"/>
          <w:lang w:val="en-PH"/>
        </w:rPr>
        <w:t>The respondents of the study consisted of five (5) subject-matter experts and fifty-one (51) students enrolled in the LTS program during the academic year [insert year/semester]. The experts were purposively selected based on their professional expertise in education, instructional material development, and community-based learning. Meanwhile, the student participants were chosen through stratified random sampling to ensure representative feedback across different literacy training groups or classes.</w:t>
      </w:r>
    </w:p>
    <w:p w14:paraId="009D27F1" w14:textId="77777777" w:rsidR="00995DDE" w:rsidRPr="00347FAD" w:rsidRDefault="00995DDE" w:rsidP="00347FAD">
      <w:pPr>
        <w:pStyle w:val="Body"/>
        <w:spacing w:after="0"/>
        <w:rPr>
          <w:rFonts w:ascii="Arial" w:hAnsi="Arial" w:cs="Arial"/>
          <w:lang w:val="en-PH"/>
        </w:rPr>
      </w:pPr>
    </w:p>
    <w:p w14:paraId="16B765E8" w14:textId="20F64A1A"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lastRenderedPageBreak/>
        <w:t xml:space="preserve">2.4 </w:t>
      </w:r>
      <w:r w:rsidR="00347FAD" w:rsidRPr="00347FAD">
        <w:rPr>
          <w:rFonts w:ascii="Arial" w:hAnsi="Arial" w:cs="Arial"/>
          <w:b/>
          <w:bCs/>
          <w:sz w:val="22"/>
          <w:szCs w:val="22"/>
          <w:lang w:val="en-PH"/>
        </w:rPr>
        <w:t>Data Gathering Instrument</w:t>
      </w:r>
    </w:p>
    <w:p w14:paraId="63093EA7" w14:textId="570ECCB3" w:rsidR="00BF3FF2" w:rsidRDefault="00347FAD" w:rsidP="00347FAD">
      <w:pPr>
        <w:pStyle w:val="Body"/>
        <w:spacing w:after="0"/>
        <w:rPr>
          <w:rFonts w:ascii="Arial" w:hAnsi="Arial" w:cs="Arial"/>
          <w:lang w:val="en-PH"/>
        </w:rPr>
      </w:pPr>
      <w:r w:rsidRPr="00347FAD">
        <w:rPr>
          <w:rFonts w:ascii="Arial" w:hAnsi="Arial" w:cs="Arial"/>
          <w:lang w:val="en-PH"/>
        </w:rPr>
        <w:t xml:space="preserve">A structured survey questionnaire was utilized as the primary tool for data collection. The instrument consisted of two parts: the first </w:t>
      </w:r>
      <w:r w:rsidR="00BF3FF2" w:rsidRPr="00BF3FF2">
        <w:rPr>
          <w:rFonts w:ascii="Arial" w:hAnsi="Arial" w:cs="Arial"/>
          <w:iCs/>
          <w:lang w:val="en-PH" w:bidi="en-US"/>
        </w:rPr>
        <w:t>technical requirement elicited information on the level of agreement of experts along objectives, content, activities or strategies, assessments, technical organization, usefulness and sustainability</w:t>
      </w:r>
      <w:r w:rsidR="00BF3FF2">
        <w:rPr>
          <w:rFonts w:ascii="Arial" w:hAnsi="Arial" w:cs="Arial"/>
          <w:iCs/>
          <w:lang w:val="en-PH" w:bidi="en-US"/>
        </w:rPr>
        <w:t xml:space="preserve"> </w:t>
      </w:r>
      <w:bookmarkStart w:id="4" w:name="_Hlk212413449"/>
      <w:r w:rsidRPr="00347FAD">
        <w:rPr>
          <w:rFonts w:ascii="Arial" w:hAnsi="Arial" w:cs="Arial"/>
          <w:lang w:val="en-PH"/>
        </w:rPr>
        <w:t xml:space="preserve">using a five-point Likert scale ranging from </w:t>
      </w:r>
      <w:r w:rsidRPr="00347FAD">
        <w:rPr>
          <w:rFonts w:ascii="Arial" w:hAnsi="Arial" w:cs="Arial"/>
          <w:i/>
          <w:iCs/>
          <w:lang w:val="en-PH"/>
        </w:rPr>
        <w:t>1 (Strongly Disagree)</w:t>
      </w:r>
      <w:r w:rsidRPr="00347FAD">
        <w:rPr>
          <w:rFonts w:ascii="Arial" w:hAnsi="Arial" w:cs="Arial"/>
          <w:lang w:val="en-PH"/>
        </w:rPr>
        <w:t xml:space="preserve"> to </w:t>
      </w:r>
      <w:r w:rsidRPr="00347FAD">
        <w:rPr>
          <w:rFonts w:ascii="Arial" w:hAnsi="Arial" w:cs="Arial"/>
          <w:i/>
          <w:iCs/>
          <w:lang w:val="en-PH"/>
        </w:rPr>
        <w:t>5 (Strongly Agree)</w:t>
      </w:r>
      <w:bookmarkEnd w:id="4"/>
      <w:r w:rsidR="00BF3FF2">
        <w:rPr>
          <w:rFonts w:ascii="Arial" w:hAnsi="Arial" w:cs="Arial"/>
          <w:lang w:val="en-PH"/>
        </w:rPr>
        <w:t xml:space="preserve">; second </w:t>
      </w:r>
      <w:r w:rsidR="00BF3FF2" w:rsidRPr="00BF3FF2">
        <w:rPr>
          <w:rFonts w:ascii="Arial" w:hAnsi="Arial" w:cs="Arial"/>
          <w:iCs/>
          <w:lang w:val="en-PH" w:bidi="en-US"/>
        </w:rPr>
        <w:t>gather information on students’ acceptability of the instructional materials along activities, structure and compatibility to students’ capabilities</w:t>
      </w:r>
      <w:r w:rsidR="00BF3FF2" w:rsidRPr="00BF3FF2">
        <w:rPr>
          <w:rFonts w:ascii="Arial" w:hAnsi="Arial" w:cs="Arial"/>
          <w:lang w:val="en-PH"/>
        </w:rPr>
        <w:t xml:space="preserve"> </w:t>
      </w:r>
      <w:r w:rsidR="00BF3FF2" w:rsidRPr="00347FAD">
        <w:rPr>
          <w:rFonts w:ascii="Arial" w:hAnsi="Arial" w:cs="Arial"/>
          <w:lang w:val="en-PH"/>
        </w:rPr>
        <w:t xml:space="preserve">using a five-point Likert scale ranging from </w:t>
      </w:r>
      <w:r w:rsidR="00BF3FF2" w:rsidRPr="00347FAD">
        <w:rPr>
          <w:rFonts w:ascii="Arial" w:hAnsi="Arial" w:cs="Arial"/>
          <w:i/>
          <w:iCs/>
          <w:lang w:val="en-PH"/>
        </w:rPr>
        <w:t>1 (</w:t>
      </w:r>
      <w:r w:rsidR="00BF3FF2">
        <w:rPr>
          <w:rFonts w:ascii="Arial" w:hAnsi="Arial" w:cs="Arial"/>
          <w:i/>
          <w:iCs/>
          <w:lang w:val="en-PH"/>
        </w:rPr>
        <w:t>Not Acceptable</w:t>
      </w:r>
      <w:r w:rsidR="00BF3FF2" w:rsidRPr="00347FAD">
        <w:rPr>
          <w:rFonts w:ascii="Arial" w:hAnsi="Arial" w:cs="Arial"/>
          <w:i/>
          <w:iCs/>
          <w:lang w:val="en-PH"/>
        </w:rPr>
        <w:t>)</w:t>
      </w:r>
      <w:r w:rsidR="00BF3FF2" w:rsidRPr="00347FAD">
        <w:rPr>
          <w:rFonts w:ascii="Arial" w:hAnsi="Arial" w:cs="Arial"/>
          <w:lang w:val="en-PH"/>
        </w:rPr>
        <w:t xml:space="preserve"> to </w:t>
      </w:r>
      <w:r w:rsidR="00BF3FF2" w:rsidRPr="00347FAD">
        <w:rPr>
          <w:rFonts w:ascii="Arial" w:hAnsi="Arial" w:cs="Arial"/>
          <w:i/>
          <w:iCs/>
          <w:lang w:val="en-PH"/>
        </w:rPr>
        <w:t>5 (</w:t>
      </w:r>
      <w:r w:rsidR="00BF3FF2">
        <w:rPr>
          <w:rFonts w:ascii="Arial" w:hAnsi="Arial" w:cs="Arial"/>
          <w:i/>
          <w:iCs/>
          <w:lang w:val="en-PH"/>
        </w:rPr>
        <w:t xml:space="preserve">Highly Acceptable. </w:t>
      </w:r>
    </w:p>
    <w:p w14:paraId="5144D99A" w14:textId="77777777" w:rsidR="00995DDE" w:rsidRPr="00347FAD" w:rsidRDefault="00995DDE" w:rsidP="00347FAD">
      <w:pPr>
        <w:pStyle w:val="Body"/>
        <w:spacing w:after="0"/>
        <w:rPr>
          <w:rFonts w:ascii="Arial" w:hAnsi="Arial" w:cs="Arial"/>
          <w:lang w:val="en-PH"/>
        </w:rPr>
      </w:pPr>
    </w:p>
    <w:p w14:paraId="1DF1E888" w14:textId="69149605"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2.6 </w:t>
      </w:r>
      <w:r w:rsidR="00347FAD" w:rsidRPr="00347FAD">
        <w:rPr>
          <w:rFonts w:ascii="Arial" w:hAnsi="Arial" w:cs="Arial"/>
          <w:b/>
          <w:bCs/>
          <w:sz w:val="22"/>
          <w:szCs w:val="22"/>
          <w:lang w:val="en-PH"/>
        </w:rPr>
        <w:t>Data Gathering Procedure</w:t>
      </w:r>
    </w:p>
    <w:p w14:paraId="64725C21" w14:textId="64A6F702" w:rsidR="00347FAD" w:rsidRDefault="00347FAD" w:rsidP="00347FAD">
      <w:pPr>
        <w:pStyle w:val="Body"/>
        <w:spacing w:after="0"/>
        <w:rPr>
          <w:rFonts w:ascii="Arial" w:hAnsi="Arial" w:cs="Arial"/>
          <w:lang w:val="en-PH"/>
        </w:rPr>
      </w:pPr>
      <w:r w:rsidRPr="00347FAD">
        <w:rPr>
          <w:rFonts w:ascii="Arial" w:hAnsi="Arial" w:cs="Arial"/>
          <w:lang w:val="en-PH"/>
        </w:rPr>
        <w:t>Prior to administration, the questionnaire was reviewed by research advisers and validated by field experts to ensure clarity and reliability. After securing the necessary permissions, questionnaires were distributed to respondents, and responses were collected and tabulated for analysis.</w:t>
      </w:r>
    </w:p>
    <w:p w14:paraId="556604D0" w14:textId="77777777" w:rsidR="00BF3FF2" w:rsidRPr="00347FAD" w:rsidRDefault="00BF3FF2" w:rsidP="00347FAD">
      <w:pPr>
        <w:pStyle w:val="Body"/>
        <w:spacing w:after="0"/>
        <w:rPr>
          <w:rFonts w:ascii="Arial" w:hAnsi="Arial" w:cs="Arial"/>
          <w:lang w:val="en-PH"/>
        </w:rPr>
      </w:pPr>
    </w:p>
    <w:p w14:paraId="12455D12" w14:textId="1F96C570"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2.7 </w:t>
      </w:r>
      <w:r w:rsidR="00347FAD" w:rsidRPr="00347FAD">
        <w:rPr>
          <w:rFonts w:ascii="Arial" w:hAnsi="Arial" w:cs="Arial"/>
          <w:b/>
          <w:bCs/>
          <w:sz w:val="22"/>
          <w:szCs w:val="22"/>
          <w:lang w:val="en-PH"/>
        </w:rPr>
        <w:t>Data Analysis</w:t>
      </w:r>
    </w:p>
    <w:p w14:paraId="0A10316B" w14:textId="48E270AA" w:rsidR="00347FAD" w:rsidRPr="00347FAD" w:rsidRDefault="00347FAD" w:rsidP="00347FAD">
      <w:pPr>
        <w:pStyle w:val="Body"/>
        <w:spacing w:after="0"/>
        <w:rPr>
          <w:rFonts w:ascii="Arial" w:hAnsi="Arial" w:cs="Arial"/>
          <w:lang w:val="en-PH"/>
        </w:rPr>
      </w:pPr>
      <w:r w:rsidRPr="00347FAD">
        <w:rPr>
          <w:rFonts w:ascii="Arial" w:hAnsi="Arial" w:cs="Arial"/>
          <w:lang w:val="en-PH"/>
        </w:rPr>
        <w:t>The gathered data were analyzed using descriptive statistical tools, particularly mean and to determine the levels of validity and acceptability of the developed workbook. The results were interpreted using established criteria to categorize the evaluative responses</w:t>
      </w:r>
      <w:r w:rsidR="00BF3FF2">
        <w:rPr>
          <w:rFonts w:ascii="Arial" w:hAnsi="Arial" w:cs="Arial"/>
          <w:lang w:val="en-PH"/>
        </w:rPr>
        <w:t xml:space="preserve">. </w:t>
      </w:r>
      <w:r w:rsidRPr="00347FAD">
        <w:rPr>
          <w:rFonts w:ascii="Arial" w:hAnsi="Arial" w:cs="Arial"/>
          <w:lang w:val="en-PH"/>
        </w:rPr>
        <w:t>The findings served as the basis for refining the instructional materials and formulating recommendations for further development.</w:t>
      </w:r>
    </w:p>
    <w:p w14:paraId="402BB88E" w14:textId="77777777" w:rsidR="00790ADA" w:rsidRPr="00FB3A86" w:rsidRDefault="00790ADA" w:rsidP="00441B6F">
      <w:pPr>
        <w:pStyle w:val="Body"/>
        <w:spacing w:after="0"/>
        <w:rPr>
          <w:rFonts w:ascii="Arial" w:hAnsi="Arial" w:cs="Arial"/>
        </w:rPr>
      </w:pPr>
    </w:p>
    <w:p w14:paraId="6853FB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5"/>
      <w:r>
        <w:rPr>
          <w:rFonts w:ascii="Arial" w:hAnsi="Arial" w:cs="Arial"/>
        </w:rPr>
        <w:t>discussion</w:t>
      </w:r>
      <w:commentRangeEnd w:id="5"/>
      <w:r w:rsidR="00531FFF">
        <w:rPr>
          <w:rStyle w:val="CommentReference"/>
          <w:rFonts w:ascii="Times New Roman" w:hAnsi="Times New Roman"/>
          <w:b w:val="0"/>
          <w:caps w:val="0"/>
          <w:lang w:val="nb-NO" w:eastAsia="nb-NO"/>
        </w:rPr>
        <w:commentReference w:id="5"/>
      </w:r>
    </w:p>
    <w:p w14:paraId="78F657DF" w14:textId="77777777" w:rsidR="00790ADA" w:rsidRPr="00FB3A86" w:rsidRDefault="00790ADA" w:rsidP="00441B6F">
      <w:pPr>
        <w:pStyle w:val="Head1"/>
        <w:spacing w:after="0"/>
        <w:jc w:val="both"/>
        <w:rPr>
          <w:rFonts w:ascii="Arial" w:hAnsi="Arial" w:cs="Arial"/>
        </w:rPr>
      </w:pPr>
    </w:p>
    <w:p w14:paraId="1B817099" w14:textId="77777777" w:rsidR="00B27BE8" w:rsidRDefault="00B27BE8" w:rsidP="003E121C">
      <w:pPr>
        <w:pStyle w:val="Body"/>
        <w:spacing w:after="0"/>
        <w:rPr>
          <w:rFonts w:ascii="Arial" w:hAnsi="Arial" w:cs="Arial"/>
          <w:iCs/>
        </w:rPr>
      </w:pPr>
      <w:bookmarkStart w:id="6" w:name="_Hlk212414115"/>
      <w:r w:rsidRPr="00B27BE8">
        <w:rPr>
          <w:rFonts w:ascii="Arial" w:hAnsi="Arial" w:cs="Arial"/>
          <w:iCs/>
        </w:rPr>
        <w:t>Table 1 presents the experts’ evaluation of the workbook</w:t>
      </w:r>
      <w:bookmarkEnd w:id="6"/>
      <w:r w:rsidRPr="00B27BE8">
        <w:rPr>
          <w:rFonts w:ascii="Arial" w:hAnsi="Arial" w:cs="Arial"/>
          <w:iCs/>
        </w:rPr>
        <w:t>, assessing its validity across multiple dimensions, including objectives, content, activities, assessment, technical organization, usefulness, and sustainability. The results indicate that the workbook is deemed valid for community-based learning in the new normal, with an overall mean rating of 3.80. Notably, experts strongly agreed (M = 4.08) that the workbook’s activities are well-aligned with the demands of the new normal, providing students with meaningful experiences that enhance learning during their community immersion activities. These findings suggest that the workbook effectively integrates theoretical knowledge with practical, community-centered applications, supporting both educational objectives and experiential learning outcomes.</w:t>
      </w:r>
    </w:p>
    <w:p w14:paraId="6E445CF2" w14:textId="77777777" w:rsidR="003E121C" w:rsidRDefault="003E121C" w:rsidP="003E121C">
      <w:pPr>
        <w:pStyle w:val="Body"/>
        <w:spacing w:after="0"/>
        <w:rPr>
          <w:rFonts w:ascii="Arial" w:hAnsi="Arial" w:cs="Arial"/>
          <w:iCs/>
          <w:lang w:val="en-PH"/>
        </w:rPr>
      </w:pPr>
    </w:p>
    <w:p w14:paraId="2E42D55E" w14:textId="73E689E0" w:rsidR="00B27BE8" w:rsidRPr="00B27BE8" w:rsidRDefault="00B27BE8" w:rsidP="003E121C">
      <w:pPr>
        <w:pStyle w:val="Body"/>
        <w:spacing w:after="0"/>
        <w:rPr>
          <w:rFonts w:ascii="Arial" w:hAnsi="Arial" w:cs="Arial"/>
          <w:iCs/>
          <w:lang w:val="en-PH"/>
        </w:rPr>
      </w:pPr>
      <w:r w:rsidRPr="00B27BE8">
        <w:rPr>
          <w:rFonts w:ascii="Arial" w:hAnsi="Arial" w:cs="Arial"/>
          <w:iCs/>
          <w:lang w:val="en-PH"/>
        </w:rPr>
        <w:t>Experts have recommended improvements to the workbook's technical organization and layout to enhance its appeal to students. Such refinements are crucial, as effective instructional materials should not only be pedagogically sound but also engaging and accessible to learners. Integrating community-based learning strategies, the workbook aims to unite various educational approaches—such as academically based community service, civic education, environmental education, place-based learning, service learning, and work-based learning—to foster a holistic learning experience.</w:t>
      </w:r>
    </w:p>
    <w:p w14:paraId="3E52592F" w14:textId="77777777" w:rsidR="003E121C" w:rsidRDefault="003E121C" w:rsidP="003E121C">
      <w:pPr>
        <w:pStyle w:val="Body"/>
        <w:spacing w:after="0"/>
        <w:rPr>
          <w:rFonts w:ascii="Arial" w:hAnsi="Arial" w:cs="Arial"/>
          <w:iCs/>
          <w:lang w:val="en-PH"/>
        </w:rPr>
      </w:pPr>
    </w:p>
    <w:p w14:paraId="55004EBD" w14:textId="07F432ED" w:rsidR="00B27BE8" w:rsidRPr="00B27BE8" w:rsidRDefault="00B27BE8" w:rsidP="003E121C">
      <w:pPr>
        <w:pStyle w:val="Body"/>
        <w:spacing w:after="0"/>
        <w:rPr>
          <w:rFonts w:ascii="Arial" w:hAnsi="Arial" w:cs="Arial"/>
          <w:iCs/>
          <w:lang w:val="en-PH"/>
        </w:rPr>
      </w:pPr>
      <w:r w:rsidRPr="00B27BE8">
        <w:rPr>
          <w:rFonts w:ascii="Arial" w:hAnsi="Arial" w:cs="Arial"/>
          <w:iCs/>
          <w:lang w:val="en-PH"/>
        </w:rPr>
        <w:t>Participation in community issues and successes enables students to develop a greater "can-do" attitude, connect with community norms and values, and contribute to community cohesion. Positive attitudes are cultivated when students interact with others, develop skills, and perceive rewards as a result of their engagement. This aligns with findings by Catalano et al. (2004), who emphasized the importance of youth involvement in community activities for personal and communal development.</w:t>
      </w:r>
    </w:p>
    <w:p w14:paraId="24F2DFBD" w14:textId="77777777" w:rsidR="003E121C" w:rsidRDefault="003E121C" w:rsidP="003E121C">
      <w:pPr>
        <w:pStyle w:val="Body"/>
        <w:spacing w:after="0"/>
        <w:rPr>
          <w:rFonts w:ascii="Arial" w:hAnsi="Arial" w:cs="Arial"/>
          <w:iCs/>
          <w:lang w:val="en-PH"/>
        </w:rPr>
      </w:pPr>
    </w:p>
    <w:p w14:paraId="07D98F77" w14:textId="656D1606" w:rsidR="00B27BE8" w:rsidRPr="00B27BE8" w:rsidRDefault="00B27BE8" w:rsidP="003E121C">
      <w:pPr>
        <w:pStyle w:val="Body"/>
        <w:spacing w:after="0"/>
        <w:rPr>
          <w:rFonts w:ascii="Arial" w:hAnsi="Arial" w:cs="Arial"/>
          <w:iCs/>
          <w:lang w:val="en-PH"/>
        </w:rPr>
      </w:pPr>
      <w:r w:rsidRPr="00B27BE8">
        <w:rPr>
          <w:rFonts w:ascii="Arial" w:hAnsi="Arial" w:cs="Arial"/>
          <w:iCs/>
          <w:lang w:val="en-PH"/>
        </w:rPr>
        <w:t xml:space="preserve">Each educational strategy incorporated into the workbook brings unique perspectives and valuable resources to teaching and learning. For instance, service-learning has been shown </w:t>
      </w:r>
      <w:r w:rsidRPr="00B27BE8">
        <w:rPr>
          <w:rFonts w:ascii="Arial" w:hAnsi="Arial" w:cs="Arial"/>
          <w:iCs/>
          <w:lang w:val="en-PH"/>
        </w:rPr>
        <w:lastRenderedPageBreak/>
        <w:t>to enhance students' knowledge, civic engagement, and social responsibility, particularly in international business education (Kaliappen, 2024). Similarly, integrating environmental education through community service learning has proven effective in the Philippines, despite challenges in consistent implementation (Zamora, 2023).</w:t>
      </w:r>
    </w:p>
    <w:p w14:paraId="41B420C6" w14:textId="77777777" w:rsidR="003E121C" w:rsidRDefault="003E121C" w:rsidP="003E121C">
      <w:pPr>
        <w:pStyle w:val="Body"/>
        <w:spacing w:after="0"/>
        <w:rPr>
          <w:rFonts w:ascii="Arial" w:hAnsi="Arial" w:cs="Arial"/>
          <w:iCs/>
          <w:lang w:val="en-PH"/>
        </w:rPr>
      </w:pPr>
    </w:p>
    <w:p w14:paraId="75DD8E81" w14:textId="5A3516AF" w:rsidR="00BF3FF2" w:rsidRPr="00B27BE8" w:rsidRDefault="00B27BE8" w:rsidP="003E121C">
      <w:pPr>
        <w:pStyle w:val="Body"/>
        <w:spacing w:after="0"/>
        <w:rPr>
          <w:rFonts w:ascii="Arial" w:hAnsi="Arial" w:cs="Arial"/>
          <w:iCs/>
          <w:lang w:val="en-PH"/>
        </w:rPr>
      </w:pPr>
      <w:r w:rsidRPr="00B27BE8">
        <w:rPr>
          <w:rFonts w:ascii="Arial" w:hAnsi="Arial" w:cs="Arial"/>
          <w:iCs/>
          <w:lang w:val="en-PH"/>
        </w:rPr>
        <w:t>The workbook is designed to help students discover the personal and collective means—the perspectives, strength of character, and values—they will need to sustain our civilization, as noted by Boston and Gomez (2005). By refining its technical aspects and aligning with contemporary educational strategies, the workbook aims to provide a comprehensive framework that supports both academic learning and community engagement.</w:t>
      </w:r>
    </w:p>
    <w:p w14:paraId="5F43F004" w14:textId="77777777" w:rsidR="00B27BE8" w:rsidRDefault="00B27BE8" w:rsidP="00B27BE8">
      <w:pPr>
        <w:pStyle w:val="Body"/>
        <w:spacing w:after="0"/>
        <w:ind w:firstLine="720"/>
        <w:rPr>
          <w:rFonts w:ascii="Arial" w:hAnsi="Arial" w:cs="Arial"/>
          <w:iCs/>
        </w:rPr>
      </w:pPr>
    </w:p>
    <w:p w14:paraId="088A4DF7" w14:textId="24D8B0E5" w:rsidR="00B27BE8" w:rsidRPr="00BF3FF2" w:rsidRDefault="00B27BE8" w:rsidP="00B27BE8">
      <w:pPr>
        <w:pStyle w:val="Body"/>
        <w:spacing w:after="0"/>
        <w:rPr>
          <w:rFonts w:ascii="Arial" w:hAnsi="Arial" w:cs="Arial"/>
          <w:b/>
          <w:bCs/>
          <w:iCs/>
        </w:rPr>
      </w:pPr>
      <w:r w:rsidRPr="00B27BE8">
        <w:rPr>
          <w:rFonts w:ascii="Arial" w:hAnsi="Arial" w:cs="Arial"/>
          <w:b/>
          <w:bCs/>
          <w:iCs/>
        </w:rPr>
        <w:t xml:space="preserve">Table 1. </w:t>
      </w:r>
      <w:r>
        <w:rPr>
          <w:rFonts w:ascii="Arial" w:hAnsi="Arial" w:cs="Arial"/>
          <w:b/>
          <w:bCs/>
          <w:iCs/>
        </w:rPr>
        <w:t>E</w:t>
      </w:r>
      <w:r w:rsidRPr="00B27BE8">
        <w:rPr>
          <w:rFonts w:ascii="Arial" w:hAnsi="Arial" w:cs="Arial"/>
          <w:b/>
          <w:bCs/>
          <w:iCs/>
        </w:rPr>
        <w:t>xperts’ evaluation of the workbook</w:t>
      </w:r>
    </w:p>
    <w:tbl>
      <w:tblPr>
        <w:tblW w:w="8269" w:type="dxa"/>
        <w:tblInd w:w="108" w:type="dxa"/>
        <w:tblBorders>
          <w:top w:val="single" w:sz="4" w:space="0" w:color="auto"/>
          <w:bottom w:val="single" w:sz="4" w:space="0" w:color="auto"/>
        </w:tblBorders>
        <w:tblLook w:val="04A0" w:firstRow="1" w:lastRow="0" w:firstColumn="1" w:lastColumn="0" w:noHBand="0" w:noVBand="1"/>
      </w:tblPr>
      <w:tblGrid>
        <w:gridCol w:w="1390"/>
        <w:gridCol w:w="1003"/>
        <w:gridCol w:w="1003"/>
        <w:gridCol w:w="1003"/>
        <w:gridCol w:w="1003"/>
        <w:gridCol w:w="1003"/>
        <w:gridCol w:w="761"/>
        <w:gridCol w:w="1150"/>
      </w:tblGrid>
      <w:tr w:rsidR="00BF3FF2" w:rsidRPr="00BF3FF2" w14:paraId="685EA6CC" w14:textId="77777777" w:rsidTr="00B27BE8">
        <w:trPr>
          <w:trHeight w:val="330"/>
        </w:trPr>
        <w:tc>
          <w:tcPr>
            <w:tcW w:w="1322" w:type="dxa"/>
            <w:tcBorders>
              <w:bottom w:val="single" w:sz="4" w:space="0" w:color="auto"/>
            </w:tcBorders>
            <w:noWrap/>
            <w:vAlign w:val="bottom"/>
            <w:hideMark/>
          </w:tcPr>
          <w:p w14:paraId="4FB0E7B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Areas</w:t>
            </w:r>
          </w:p>
        </w:tc>
        <w:tc>
          <w:tcPr>
            <w:tcW w:w="1006" w:type="dxa"/>
            <w:tcBorders>
              <w:bottom w:val="single" w:sz="4" w:space="0" w:color="auto"/>
            </w:tcBorders>
            <w:noWrap/>
            <w:vAlign w:val="bottom"/>
            <w:hideMark/>
          </w:tcPr>
          <w:p w14:paraId="50B562D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1</w:t>
            </w:r>
          </w:p>
        </w:tc>
        <w:tc>
          <w:tcPr>
            <w:tcW w:w="1006" w:type="dxa"/>
            <w:tcBorders>
              <w:bottom w:val="single" w:sz="4" w:space="0" w:color="auto"/>
            </w:tcBorders>
            <w:noWrap/>
            <w:vAlign w:val="bottom"/>
            <w:hideMark/>
          </w:tcPr>
          <w:p w14:paraId="599CCCE2"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2</w:t>
            </w:r>
          </w:p>
        </w:tc>
        <w:tc>
          <w:tcPr>
            <w:tcW w:w="1006" w:type="dxa"/>
            <w:tcBorders>
              <w:bottom w:val="single" w:sz="4" w:space="0" w:color="auto"/>
            </w:tcBorders>
            <w:noWrap/>
            <w:vAlign w:val="bottom"/>
            <w:hideMark/>
          </w:tcPr>
          <w:p w14:paraId="6F6CD596"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3</w:t>
            </w:r>
          </w:p>
        </w:tc>
        <w:tc>
          <w:tcPr>
            <w:tcW w:w="1006" w:type="dxa"/>
            <w:tcBorders>
              <w:bottom w:val="single" w:sz="4" w:space="0" w:color="auto"/>
            </w:tcBorders>
            <w:noWrap/>
            <w:vAlign w:val="bottom"/>
            <w:hideMark/>
          </w:tcPr>
          <w:p w14:paraId="3D4AD36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4</w:t>
            </w:r>
          </w:p>
        </w:tc>
        <w:tc>
          <w:tcPr>
            <w:tcW w:w="1006" w:type="dxa"/>
            <w:tcBorders>
              <w:bottom w:val="single" w:sz="4" w:space="0" w:color="auto"/>
            </w:tcBorders>
            <w:noWrap/>
            <w:vAlign w:val="bottom"/>
            <w:hideMark/>
          </w:tcPr>
          <w:p w14:paraId="7A9BFBB0"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5</w:t>
            </w:r>
          </w:p>
        </w:tc>
        <w:tc>
          <w:tcPr>
            <w:tcW w:w="763" w:type="dxa"/>
            <w:tcBorders>
              <w:bottom w:val="single" w:sz="4" w:space="0" w:color="auto"/>
            </w:tcBorders>
            <w:noWrap/>
            <w:vAlign w:val="bottom"/>
            <w:hideMark/>
          </w:tcPr>
          <w:p w14:paraId="4D138BC4" w14:textId="77777777" w:rsidR="00BF3FF2" w:rsidRPr="00BF3FF2" w:rsidRDefault="00BF3FF2" w:rsidP="00BF3FF2">
            <w:pPr>
              <w:pStyle w:val="Body"/>
              <w:spacing w:after="0"/>
              <w:jc w:val="center"/>
              <w:rPr>
                <w:rFonts w:ascii="Arial" w:hAnsi="Arial" w:cs="Arial"/>
                <w:b/>
                <w:bCs/>
                <w:iCs/>
                <w:sz w:val="18"/>
                <w:szCs w:val="18"/>
                <w:lang w:val="en-PH"/>
              </w:rPr>
            </w:pPr>
            <w:r w:rsidRPr="00BF3FF2">
              <w:rPr>
                <w:rFonts w:ascii="Arial" w:hAnsi="Arial" w:cs="Arial"/>
                <w:b/>
                <w:bCs/>
                <w:iCs/>
                <w:sz w:val="18"/>
                <w:szCs w:val="18"/>
                <w:lang w:val="en-PH"/>
              </w:rPr>
              <w:t>MEAN</w:t>
            </w:r>
          </w:p>
        </w:tc>
        <w:tc>
          <w:tcPr>
            <w:tcW w:w="1154" w:type="dxa"/>
            <w:tcBorders>
              <w:bottom w:val="single" w:sz="4" w:space="0" w:color="auto"/>
            </w:tcBorders>
            <w:noWrap/>
            <w:vAlign w:val="bottom"/>
            <w:hideMark/>
          </w:tcPr>
          <w:p w14:paraId="01E5CFB9" w14:textId="65F0CC5D"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Descr</w:t>
            </w:r>
            <w:r w:rsidR="00B27BE8" w:rsidRPr="00B27BE8">
              <w:rPr>
                <w:rFonts w:ascii="Arial" w:hAnsi="Arial" w:cs="Arial"/>
                <w:iCs/>
                <w:sz w:val="18"/>
                <w:szCs w:val="18"/>
                <w:lang w:val="en-PH"/>
              </w:rPr>
              <w:t>iption</w:t>
            </w:r>
          </w:p>
        </w:tc>
      </w:tr>
      <w:tr w:rsidR="00BF3FF2" w:rsidRPr="00BF3FF2" w14:paraId="3C4475AF" w14:textId="77777777" w:rsidTr="00B27BE8">
        <w:trPr>
          <w:trHeight w:val="330"/>
        </w:trPr>
        <w:tc>
          <w:tcPr>
            <w:tcW w:w="1322" w:type="dxa"/>
            <w:tcBorders>
              <w:top w:val="single" w:sz="4" w:space="0" w:color="auto"/>
              <w:bottom w:val="nil"/>
            </w:tcBorders>
            <w:noWrap/>
            <w:vAlign w:val="bottom"/>
            <w:hideMark/>
          </w:tcPr>
          <w:p w14:paraId="1231E1F7"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Objectives</w:t>
            </w:r>
          </w:p>
        </w:tc>
        <w:tc>
          <w:tcPr>
            <w:tcW w:w="1006" w:type="dxa"/>
            <w:tcBorders>
              <w:top w:val="single" w:sz="4" w:space="0" w:color="auto"/>
              <w:bottom w:val="nil"/>
            </w:tcBorders>
            <w:noWrap/>
            <w:vAlign w:val="bottom"/>
            <w:hideMark/>
          </w:tcPr>
          <w:p w14:paraId="1EB682E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1006" w:type="dxa"/>
            <w:tcBorders>
              <w:top w:val="single" w:sz="4" w:space="0" w:color="auto"/>
              <w:bottom w:val="nil"/>
            </w:tcBorders>
            <w:noWrap/>
            <w:vAlign w:val="bottom"/>
            <w:hideMark/>
          </w:tcPr>
          <w:p w14:paraId="5AC84D9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tcBorders>
              <w:top w:val="single" w:sz="4" w:space="0" w:color="auto"/>
              <w:bottom w:val="nil"/>
            </w:tcBorders>
            <w:noWrap/>
            <w:vAlign w:val="bottom"/>
            <w:hideMark/>
          </w:tcPr>
          <w:p w14:paraId="5154FE0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tcBorders>
              <w:top w:val="single" w:sz="4" w:space="0" w:color="auto"/>
              <w:bottom w:val="nil"/>
            </w:tcBorders>
            <w:noWrap/>
            <w:vAlign w:val="bottom"/>
            <w:hideMark/>
          </w:tcPr>
          <w:p w14:paraId="44A3506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4.50</w:t>
            </w:r>
          </w:p>
        </w:tc>
        <w:tc>
          <w:tcPr>
            <w:tcW w:w="1006" w:type="dxa"/>
            <w:tcBorders>
              <w:top w:val="single" w:sz="4" w:space="0" w:color="auto"/>
              <w:bottom w:val="nil"/>
            </w:tcBorders>
            <w:noWrap/>
            <w:vAlign w:val="bottom"/>
            <w:hideMark/>
          </w:tcPr>
          <w:p w14:paraId="484F654A"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763" w:type="dxa"/>
            <w:tcBorders>
              <w:top w:val="single" w:sz="4" w:space="0" w:color="auto"/>
              <w:bottom w:val="nil"/>
            </w:tcBorders>
            <w:noWrap/>
            <w:vAlign w:val="bottom"/>
            <w:hideMark/>
          </w:tcPr>
          <w:p w14:paraId="28EDAFBC"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3.82</w:t>
            </w:r>
          </w:p>
        </w:tc>
        <w:tc>
          <w:tcPr>
            <w:tcW w:w="1154" w:type="dxa"/>
            <w:tcBorders>
              <w:top w:val="single" w:sz="4" w:space="0" w:color="auto"/>
              <w:bottom w:val="nil"/>
            </w:tcBorders>
            <w:noWrap/>
            <w:vAlign w:val="bottom"/>
            <w:hideMark/>
          </w:tcPr>
          <w:p w14:paraId="417B8FB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3133846B" w14:textId="77777777" w:rsidTr="00B27BE8">
        <w:trPr>
          <w:trHeight w:val="330"/>
        </w:trPr>
        <w:tc>
          <w:tcPr>
            <w:tcW w:w="1322" w:type="dxa"/>
            <w:tcBorders>
              <w:top w:val="nil"/>
              <w:bottom w:val="nil"/>
            </w:tcBorders>
            <w:noWrap/>
            <w:vAlign w:val="bottom"/>
            <w:hideMark/>
          </w:tcPr>
          <w:p w14:paraId="29638222"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Content</w:t>
            </w:r>
          </w:p>
        </w:tc>
        <w:tc>
          <w:tcPr>
            <w:tcW w:w="1006" w:type="dxa"/>
            <w:tcBorders>
              <w:top w:val="nil"/>
              <w:bottom w:val="nil"/>
            </w:tcBorders>
            <w:noWrap/>
            <w:vAlign w:val="bottom"/>
            <w:hideMark/>
          </w:tcPr>
          <w:p w14:paraId="698417B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1006" w:type="dxa"/>
            <w:tcBorders>
              <w:top w:val="nil"/>
              <w:bottom w:val="nil"/>
            </w:tcBorders>
            <w:noWrap/>
            <w:vAlign w:val="bottom"/>
            <w:hideMark/>
          </w:tcPr>
          <w:p w14:paraId="0B8F68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3.08</w:t>
            </w:r>
          </w:p>
        </w:tc>
        <w:tc>
          <w:tcPr>
            <w:tcW w:w="1006" w:type="dxa"/>
            <w:tcBorders>
              <w:top w:val="nil"/>
              <w:bottom w:val="nil"/>
            </w:tcBorders>
            <w:noWrap/>
            <w:vAlign w:val="bottom"/>
            <w:hideMark/>
          </w:tcPr>
          <w:p w14:paraId="17B380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3.56</w:t>
            </w:r>
          </w:p>
        </w:tc>
        <w:tc>
          <w:tcPr>
            <w:tcW w:w="1006" w:type="dxa"/>
            <w:tcBorders>
              <w:top w:val="nil"/>
              <w:bottom w:val="nil"/>
            </w:tcBorders>
            <w:noWrap/>
            <w:vAlign w:val="bottom"/>
            <w:hideMark/>
          </w:tcPr>
          <w:p w14:paraId="5C49D9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bottom w:val="nil"/>
            </w:tcBorders>
            <w:noWrap/>
            <w:vAlign w:val="bottom"/>
            <w:hideMark/>
          </w:tcPr>
          <w:p w14:paraId="181E6DF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763" w:type="dxa"/>
            <w:tcBorders>
              <w:top w:val="nil"/>
              <w:bottom w:val="nil"/>
            </w:tcBorders>
            <w:noWrap/>
            <w:vAlign w:val="bottom"/>
            <w:hideMark/>
          </w:tcPr>
          <w:p w14:paraId="626D80E8"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3.70</w:t>
            </w:r>
          </w:p>
        </w:tc>
        <w:tc>
          <w:tcPr>
            <w:tcW w:w="1154" w:type="dxa"/>
            <w:tcBorders>
              <w:top w:val="nil"/>
              <w:bottom w:val="nil"/>
            </w:tcBorders>
            <w:noWrap/>
            <w:vAlign w:val="bottom"/>
            <w:hideMark/>
          </w:tcPr>
          <w:p w14:paraId="1DF73ED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2EA5023D" w14:textId="77777777" w:rsidTr="00B27BE8">
        <w:trPr>
          <w:trHeight w:val="330"/>
        </w:trPr>
        <w:tc>
          <w:tcPr>
            <w:tcW w:w="1322" w:type="dxa"/>
            <w:tcBorders>
              <w:top w:val="nil"/>
            </w:tcBorders>
            <w:noWrap/>
            <w:vAlign w:val="bottom"/>
            <w:hideMark/>
          </w:tcPr>
          <w:p w14:paraId="206BD870"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Activities/ Strategies</w:t>
            </w:r>
          </w:p>
        </w:tc>
        <w:tc>
          <w:tcPr>
            <w:tcW w:w="1006" w:type="dxa"/>
            <w:tcBorders>
              <w:top w:val="nil"/>
            </w:tcBorders>
            <w:noWrap/>
            <w:vAlign w:val="bottom"/>
            <w:hideMark/>
          </w:tcPr>
          <w:p w14:paraId="645AF2D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1006" w:type="dxa"/>
            <w:tcBorders>
              <w:top w:val="nil"/>
            </w:tcBorders>
            <w:noWrap/>
            <w:vAlign w:val="bottom"/>
            <w:hideMark/>
          </w:tcPr>
          <w:p w14:paraId="1022034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3.13</w:t>
            </w:r>
          </w:p>
        </w:tc>
        <w:tc>
          <w:tcPr>
            <w:tcW w:w="1006" w:type="dxa"/>
            <w:tcBorders>
              <w:top w:val="nil"/>
            </w:tcBorders>
            <w:noWrap/>
            <w:vAlign w:val="bottom"/>
            <w:hideMark/>
          </w:tcPr>
          <w:p w14:paraId="03E3D1D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tcBorders>
            <w:noWrap/>
            <w:vAlign w:val="bottom"/>
            <w:hideMark/>
          </w:tcPr>
          <w:p w14:paraId="55F52CC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tcBorders>
              <w:top w:val="nil"/>
            </w:tcBorders>
            <w:noWrap/>
            <w:vAlign w:val="bottom"/>
            <w:hideMark/>
          </w:tcPr>
          <w:p w14:paraId="39C3665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763" w:type="dxa"/>
            <w:tcBorders>
              <w:top w:val="nil"/>
            </w:tcBorders>
            <w:noWrap/>
            <w:vAlign w:val="bottom"/>
            <w:hideMark/>
          </w:tcPr>
          <w:p w14:paraId="183A239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4.08</w:t>
            </w:r>
          </w:p>
        </w:tc>
        <w:tc>
          <w:tcPr>
            <w:tcW w:w="1154" w:type="dxa"/>
            <w:tcBorders>
              <w:top w:val="nil"/>
            </w:tcBorders>
            <w:noWrap/>
            <w:vAlign w:val="bottom"/>
            <w:hideMark/>
          </w:tcPr>
          <w:p w14:paraId="09737D9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Strongly Agree</w:t>
            </w:r>
          </w:p>
        </w:tc>
      </w:tr>
      <w:tr w:rsidR="00BF3FF2" w:rsidRPr="00BF3FF2" w14:paraId="29FAB007" w14:textId="77777777" w:rsidTr="00B27BE8">
        <w:trPr>
          <w:trHeight w:val="330"/>
        </w:trPr>
        <w:tc>
          <w:tcPr>
            <w:tcW w:w="1322" w:type="dxa"/>
            <w:noWrap/>
            <w:vAlign w:val="bottom"/>
            <w:hideMark/>
          </w:tcPr>
          <w:p w14:paraId="0B539A7B"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Assessment</w:t>
            </w:r>
          </w:p>
        </w:tc>
        <w:tc>
          <w:tcPr>
            <w:tcW w:w="1006" w:type="dxa"/>
            <w:noWrap/>
            <w:vAlign w:val="bottom"/>
            <w:hideMark/>
          </w:tcPr>
          <w:p w14:paraId="215A1CA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19090BF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3.25</w:t>
            </w:r>
          </w:p>
        </w:tc>
        <w:tc>
          <w:tcPr>
            <w:tcW w:w="1006" w:type="dxa"/>
            <w:noWrap/>
            <w:vAlign w:val="bottom"/>
            <w:hideMark/>
          </w:tcPr>
          <w:p w14:paraId="0B1C63B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noWrap/>
            <w:vAlign w:val="bottom"/>
            <w:hideMark/>
          </w:tcPr>
          <w:p w14:paraId="5B2A0F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779A53D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7690436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3.77</w:t>
            </w:r>
          </w:p>
        </w:tc>
        <w:tc>
          <w:tcPr>
            <w:tcW w:w="1154" w:type="dxa"/>
            <w:noWrap/>
            <w:vAlign w:val="bottom"/>
            <w:hideMark/>
          </w:tcPr>
          <w:p w14:paraId="177621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14E29605" w14:textId="77777777" w:rsidTr="00B27BE8">
        <w:trPr>
          <w:trHeight w:val="330"/>
        </w:trPr>
        <w:tc>
          <w:tcPr>
            <w:tcW w:w="1322" w:type="dxa"/>
            <w:noWrap/>
            <w:vAlign w:val="bottom"/>
            <w:hideMark/>
          </w:tcPr>
          <w:p w14:paraId="113FC32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Technical organization</w:t>
            </w:r>
          </w:p>
        </w:tc>
        <w:tc>
          <w:tcPr>
            <w:tcW w:w="1006" w:type="dxa"/>
            <w:noWrap/>
            <w:vAlign w:val="bottom"/>
            <w:hideMark/>
          </w:tcPr>
          <w:p w14:paraId="562D808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1006" w:type="dxa"/>
            <w:noWrap/>
            <w:vAlign w:val="bottom"/>
            <w:hideMark/>
          </w:tcPr>
          <w:p w14:paraId="2AA7EBE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2.83</w:t>
            </w:r>
          </w:p>
        </w:tc>
        <w:tc>
          <w:tcPr>
            <w:tcW w:w="1006" w:type="dxa"/>
            <w:noWrap/>
            <w:vAlign w:val="bottom"/>
            <w:hideMark/>
          </w:tcPr>
          <w:p w14:paraId="0712776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6A7B8CDF"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3.87</w:t>
            </w:r>
          </w:p>
        </w:tc>
        <w:tc>
          <w:tcPr>
            <w:tcW w:w="1006" w:type="dxa"/>
            <w:noWrap/>
            <w:vAlign w:val="bottom"/>
            <w:hideMark/>
          </w:tcPr>
          <w:p w14:paraId="20D83AC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763" w:type="dxa"/>
            <w:noWrap/>
            <w:vAlign w:val="bottom"/>
            <w:hideMark/>
          </w:tcPr>
          <w:p w14:paraId="2253B01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3.54</w:t>
            </w:r>
          </w:p>
        </w:tc>
        <w:tc>
          <w:tcPr>
            <w:tcW w:w="1154" w:type="dxa"/>
            <w:noWrap/>
            <w:vAlign w:val="bottom"/>
            <w:hideMark/>
          </w:tcPr>
          <w:p w14:paraId="7F9868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0B545989" w14:textId="77777777" w:rsidTr="00B27BE8">
        <w:trPr>
          <w:trHeight w:val="330"/>
        </w:trPr>
        <w:tc>
          <w:tcPr>
            <w:tcW w:w="1322" w:type="dxa"/>
            <w:noWrap/>
            <w:vAlign w:val="bottom"/>
            <w:hideMark/>
          </w:tcPr>
          <w:p w14:paraId="53A1EC7F" w14:textId="1DCE5CD3"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Usefulness</w:t>
            </w:r>
          </w:p>
        </w:tc>
        <w:tc>
          <w:tcPr>
            <w:tcW w:w="1006" w:type="dxa"/>
            <w:noWrap/>
            <w:vAlign w:val="bottom"/>
            <w:hideMark/>
          </w:tcPr>
          <w:p w14:paraId="05FAA4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7B79E6C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2.80</w:t>
            </w:r>
          </w:p>
        </w:tc>
        <w:tc>
          <w:tcPr>
            <w:tcW w:w="1006" w:type="dxa"/>
            <w:noWrap/>
            <w:vAlign w:val="bottom"/>
            <w:hideMark/>
          </w:tcPr>
          <w:p w14:paraId="0E967D1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4.35</w:t>
            </w:r>
          </w:p>
        </w:tc>
        <w:tc>
          <w:tcPr>
            <w:tcW w:w="1006" w:type="dxa"/>
            <w:noWrap/>
            <w:vAlign w:val="bottom"/>
            <w:hideMark/>
          </w:tcPr>
          <w:p w14:paraId="3E49A2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4.26</w:t>
            </w:r>
          </w:p>
        </w:tc>
        <w:tc>
          <w:tcPr>
            <w:tcW w:w="1006" w:type="dxa"/>
            <w:noWrap/>
            <w:vAlign w:val="bottom"/>
            <w:hideMark/>
          </w:tcPr>
          <w:p w14:paraId="29E4B16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5777EA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3.88</w:t>
            </w:r>
          </w:p>
        </w:tc>
        <w:tc>
          <w:tcPr>
            <w:tcW w:w="1154" w:type="dxa"/>
            <w:noWrap/>
            <w:vAlign w:val="bottom"/>
            <w:hideMark/>
          </w:tcPr>
          <w:p w14:paraId="1443E27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7EACFE6C" w14:textId="77777777" w:rsidTr="00B27BE8">
        <w:trPr>
          <w:trHeight w:val="330"/>
        </w:trPr>
        <w:tc>
          <w:tcPr>
            <w:tcW w:w="1322" w:type="dxa"/>
            <w:noWrap/>
            <w:vAlign w:val="bottom"/>
            <w:hideMark/>
          </w:tcPr>
          <w:p w14:paraId="3DFB8FDF"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Sustainability</w:t>
            </w:r>
          </w:p>
        </w:tc>
        <w:tc>
          <w:tcPr>
            <w:tcW w:w="1006" w:type="dxa"/>
            <w:noWrap/>
            <w:vAlign w:val="bottom"/>
            <w:hideMark/>
          </w:tcPr>
          <w:p w14:paraId="76CB33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6C783FE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noWrap/>
            <w:vAlign w:val="bottom"/>
            <w:hideMark/>
          </w:tcPr>
          <w:p w14:paraId="5C37B3D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5FFA365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noWrap/>
            <w:vAlign w:val="bottom"/>
            <w:hideMark/>
          </w:tcPr>
          <w:p w14:paraId="1D0454AB"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A30F784"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3.84</w:t>
            </w:r>
          </w:p>
        </w:tc>
        <w:tc>
          <w:tcPr>
            <w:tcW w:w="1154" w:type="dxa"/>
            <w:noWrap/>
            <w:vAlign w:val="bottom"/>
            <w:hideMark/>
          </w:tcPr>
          <w:p w14:paraId="53946329"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59127847" w14:textId="77777777" w:rsidTr="00B27BE8">
        <w:trPr>
          <w:trHeight w:val="330"/>
        </w:trPr>
        <w:tc>
          <w:tcPr>
            <w:tcW w:w="1322" w:type="dxa"/>
            <w:noWrap/>
            <w:vAlign w:val="bottom"/>
            <w:hideMark/>
          </w:tcPr>
          <w:p w14:paraId="4DA96FF7" w14:textId="77777777" w:rsidR="00BF3FF2" w:rsidRPr="00BF3FF2" w:rsidRDefault="00BF3FF2" w:rsidP="00B27BE8">
            <w:pPr>
              <w:pStyle w:val="Body"/>
              <w:spacing w:after="0"/>
              <w:jc w:val="left"/>
              <w:rPr>
                <w:rFonts w:ascii="Arial" w:hAnsi="Arial" w:cs="Arial"/>
                <w:b/>
                <w:bCs/>
                <w:iCs/>
                <w:lang w:val="en-PH"/>
              </w:rPr>
            </w:pPr>
            <w:r w:rsidRPr="00BF3FF2">
              <w:rPr>
                <w:rFonts w:ascii="Arial" w:hAnsi="Arial" w:cs="Arial"/>
                <w:b/>
                <w:bCs/>
                <w:iCs/>
                <w:lang w:val="en-PH"/>
              </w:rPr>
              <w:t>MEAN</w:t>
            </w:r>
          </w:p>
        </w:tc>
        <w:tc>
          <w:tcPr>
            <w:tcW w:w="1006" w:type="dxa"/>
            <w:noWrap/>
            <w:vAlign w:val="bottom"/>
            <w:hideMark/>
          </w:tcPr>
          <w:p w14:paraId="783944F2"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1006" w:type="dxa"/>
            <w:noWrap/>
            <w:vAlign w:val="bottom"/>
            <w:hideMark/>
          </w:tcPr>
          <w:p w14:paraId="4816FF8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3.01</w:t>
            </w:r>
          </w:p>
        </w:tc>
        <w:tc>
          <w:tcPr>
            <w:tcW w:w="1006" w:type="dxa"/>
            <w:noWrap/>
            <w:vAlign w:val="bottom"/>
            <w:hideMark/>
          </w:tcPr>
          <w:p w14:paraId="3555FBE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4.00</w:t>
            </w:r>
          </w:p>
        </w:tc>
        <w:tc>
          <w:tcPr>
            <w:tcW w:w="1006" w:type="dxa"/>
            <w:noWrap/>
            <w:vAlign w:val="bottom"/>
            <w:hideMark/>
          </w:tcPr>
          <w:p w14:paraId="3EAE355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4.10</w:t>
            </w:r>
          </w:p>
        </w:tc>
        <w:tc>
          <w:tcPr>
            <w:tcW w:w="1006" w:type="dxa"/>
            <w:noWrap/>
            <w:vAlign w:val="bottom"/>
            <w:hideMark/>
          </w:tcPr>
          <w:p w14:paraId="3C415C0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763" w:type="dxa"/>
            <w:noWrap/>
            <w:vAlign w:val="bottom"/>
            <w:hideMark/>
          </w:tcPr>
          <w:p w14:paraId="3274DB21"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3.80</w:t>
            </w:r>
          </w:p>
        </w:tc>
        <w:tc>
          <w:tcPr>
            <w:tcW w:w="1154" w:type="dxa"/>
            <w:noWrap/>
            <w:vAlign w:val="bottom"/>
            <w:hideMark/>
          </w:tcPr>
          <w:p w14:paraId="48073F4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bl>
    <w:p w14:paraId="349D2990" w14:textId="77777777" w:rsidR="00BF3FF2" w:rsidRPr="00BF3FF2" w:rsidRDefault="00BF3FF2" w:rsidP="00BF3FF2">
      <w:pPr>
        <w:pStyle w:val="Body"/>
        <w:spacing w:after="0"/>
        <w:rPr>
          <w:rFonts w:ascii="Arial" w:hAnsi="Arial" w:cs="Arial"/>
          <w:b/>
          <w:bCs/>
          <w:iCs/>
        </w:rPr>
      </w:pPr>
    </w:p>
    <w:p w14:paraId="747F2D83" w14:textId="77777777" w:rsidR="00B27BE8" w:rsidRPr="00B27BE8" w:rsidRDefault="00B27BE8" w:rsidP="00BB242D">
      <w:pPr>
        <w:pStyle w:val="Body"/>
        <w:spacing w:after="0"/>
        <w:rPr>
          <w:rFonts w:ascii="Arial" w:hAnsi="Arial" w:cs="Arial"/>
          <w:iCs/>
          <w:lang w:val="en-PH"/>
        </w:rPr>
      </w:pPr>
      <w:bookmarkStart w:id="7" w:name="_Hlk212414320"/>
      <w:r w:rsidRPr="00B27BE8">
        <w:rPr>
          <w:rFonts w:ascii="Arial" w:hAnsi="Arial" w:cs="Arial"/>
          <w:iCs/>
          <w:lang w:val="en-PH"/>
        </w:rPr>
        <w:t>Table 2 presents the students’ evaluation of the workbook</w:t>
      </w:r>
      <w:bookmarkEnd w:id="7"/>
      <w:r w:rsidRPr="00B27BE8">
        <w:rPr>
          <w:rFonts w:ascii="Arial" w:hAnsi="Arial" w:cs="Arial"/>
          <w:iCs/>
          <w:lang w:val="en-PH"/>
        </w:rPr>
        <w:t>, examining its acceptability in terms of activities, structure, and compatibility with their abilities. Overall, the workbook was rated as highly acceptable, with an overall mean of 4.13, indicating that students perceived it as well-suited to their learning needs.</w:t>
      </w:r>
    </w:p>
    <w:p w14:paraId="64D5EB87" w14:textId="77777777" w:rsidR="00BB242D" w:rsidRDefault="00BB242D" w:rsidP="00BB242D">
      <w:pPr>
        <w:pStyle w:val="Body"/>
        <w:spacing w:after="0"/>
        <w:rPr>
          <w:rFonts w:ascii="Arial" w:hAnsi="Arial" w:cs="Arial"/>
          <w:iCs/>
          <w:lang w:val="en-PH"/>
        </w:rPr>
      </w:pPr>
    </w:p>
    <w:p w14:paraId="4E02037C" w14:textId="732B7289" w:rsidR="00B27BE8" w:rsidRPr="00B27BE8" w:rsidRDefault="00B27BE8" w:rsidP="00BB242D">
      <w:pPr>
        <w:pStyle w:val="Body"/>
        <w:spacing w:after="0"/>
        <w:rPr>
          <w:rFonts w:ascii="Arial" w:hAnsi="Arial" w:cs="Arial"/>
          <w:iCs/>
          <w:lang w:val="en-PH"/>
        </w:rPr>
      </w:pPr>
      <w:r w:rsidRPr="00B27BE8">
        <w:rPr>
          <w:rFonts w:ascii="Arial" w:hAnsi="Arial" w:cs="Arial"/>
          <w:iCs/>
          <w:lang w:val="en-PH"/>
        </w:rPr>
        <w:t>Regarding workbook activities, students gave a mean rating of 3.94, suggesting that the exercises and tasks are relevant and effectively reinforce previously learned concepts. The workbook’s structure received a mean rating of 4.08, reflecting students’ approval of its clear wording, logical sequence, and organized presentation. Finally, the compatibility of the workbook with students’ abilities scored the highest (M = 4.37), highlighting that learners felt the content was appropriately aligned with their skill levels and cognitive readiness.</w:t>
      </w:r>
    </w:p>
    <w:p w14:paraId="19196C2F" w14:textId="77777777" w:rsidR="00BB242D" w:rsidRDefault="00BB242D" w:rsidP="00BB242D">
      <w:pPr>
        <w:pStyle w:val="Body"/>
        <w:spacing w:after="0"/>
        <w:rPr>
          <w:rFonts w:ascii="Arial" w:hAnsi="Arial" w:cs="Arial"/>
          <w:iCs/>
          <w:lang w:val="en-PH"/>
        </w:rPr>
      </w:pPr>
    </w:p>
    <w:p w14:paraId="5F4F5F74" w14:textId="66D7A239" w:rsidR="00B27BE8" w:rsidRDefault="00B27BE8" w:rsidP="00BB242D">
      <w:pPr>
        <w:pStyle w:val="Body"/>
        <w:spacing w:after="0"/>
        <w:rPr>
          <w:rFonts w:ascii="Arial" w:hAnsi="Arial" w:cs="Arial"/>
          <w:iCs/>
          <w:lang w:val="en-PH"/>
        </w:rPr>
      </w:pPr>
      <w:r w:rsidRPr="00B27BE8">
        <w:rPr>
          <w:rFonts w:ascii="Arial" w:hAnsi="Arial" w:cs="Arial"/>
          <w:iCs/>
          <w:lang w:val="en-PH"/>
        </w:rPr>
        <w:t>These findings suggest that the workbook not only supports learning objectives but also resonates with students’ capacities, making it an effective tool for community-based literacy training in the context of the new normal. This aligns with previous studies indicating that instructional materials that are appropriately structured, engaging, and compatible with learners’ abilities enhance comprehension, motivation, and overall learning outcomes (Sun &amp; Chen, 2022; Hsu et al., 2023)</w:t>
      </w:r>
      <w:r w:rsidR="00C4623C">
        <w:rPr>
          <w:rFonts w:ascii="Arial" w:hAnsi="Arial" w:cs="Arial"/>
          <w:iCs/>
          <w:lang w:val="en-PH"/>
        </w:rPr>
        <w:t>.</w:t>
      </w:r>
      <w:r w:rsidRPr="00B27BE8">
        <w:rPr>
          <w:rFonts w:ascii="Arial" w:hAnsi="Arial" w:cs="Arial"/>
          <w:iCs/>
          <w:vanish/>
          <w:lang w:val="en-PH"/>
        </w:rPr>
        <w:t>Top of FormBottom of Form</w:t>
      </w:r>
    </w:p>
    <w:p w14:paraId="0B629621" w14:textId="77777777" w:rsidR="00BB242D" w:rsidRDefault="00BB242D" w:rsidP="00BB242D">
      <w:pPr>
        <w:pStyle w:val="Body"/>
        <w:spacing w:after="0"/>
        <w:rPr>
          <w:rFonts w:ascii="Arial" w:hAnsi="Arial" w:cs="Arial"/>
          <w:iCs/>
          <w:lang w:val="en-PH"/>
        </w:rPr>
      </w:pPr>
    </w:p>
    <w:p w14:paraId="302BBA31" w14:textId="77777777" w:rsidR="00BB242D" w:rsidRPr="00B27BE8" w:rsidRDefault="00BB242D" w:rsidP="00C4623C">
      <w:pPr>
        <w:pStyle w:val="Body"/>
        <w:ind w:firstLine="720"/>
        <w:rPr>
          <w:rFonts w:ascii="Arial" w:hAnsi="Arial" w:cs="Arial"/>
          <w:iCs/>
          <w:vanish/>
          <w:lang w:val="en-PH"/>
        </w:rPr>
      </w:pPr>
    </w:p>
    <w:p w14:paraId="2CEE725E" w14:textId="77777777" w:rsidR="00676503" w:rsidRPr="00676503" w:rsidRDefault="00676503" w:rsidP="00676503">
      <w:pPr>
        <w:pStyle w:val="Body"/>
        <w:spacing w:after="0"/>
        <w:rPr>
          <w:rFonts w:ascii="Arial" w:hAnsi="Arial" w:cs="Arial"/>
          <w:iCs/>
          <w:lang w:val="en-PH"/>
        </w:rPr>
      </w:pPr>
      <w:r w:rsidRPr="00676503">
        <w:rPr>
          <w:rFonts w:ascii="Arial" w:hAnsi="Arial" w:cs="Arial"/>
          <w:iCs/>
          <w:lang w:val="en-PH"/>
        </w:rPr>
        <w:t>The willingness of students to engage with and complete workbooks can be attributed to their perception that such tasks are acceptable and aligned with their learning needs. This aligns with contemporary educational theories emphasizing the importance of student autonomy and competence in fostering motivation.</w:t>
      </w:r>
    </w:p>
    <w:p w14:paraId="0D9850F1" w14:textId="77777777" w:rsidR="00B27BE8" w:rsidRPr="00BF3FF2" w:rsidRDefault="00B27BE8" w:rsidP="00BF3FF2">
      <w:pPr>
        <w:pStyle w:val="Body"/>
        <w:spacing w:after="0"/>
        <w:rPr>
          <w:rFonts w:ascii="Arial" w:hAnsi="Arial" w:cs="Arial"/>
          <w:iCs/>
        </w:rPr>
      </w:pPr>
    </w:p>
    <w:p w14:paraId="6FF68DB3" w14:textId="00F20D4B" w:rsidR="00BF3FF2" w:rsidRPr="00BF3FF2" w:rsidRDefault="00B27BE8" w:rsidP="00BF3FF2">
      <w:pPr>
        <w:pStyle w:val="Body"/>
        <w:spacing w:after="0"/>
        <w:rPr>
          <w:rFonts w:ascii="Arial" w:hAnsi="Arial" w:cs="Arial"/>
          <w:b/>
          <w:bCs/>
          <w:iCs/>
        </w:rPr>
      </w:pPr>
      <w:r w:rsidRPr="00B27BE8">
        <w:rPr>
          <w:rFonts w:ascii="Arial" w:hAnsi="Arial" w:cs="Arial"/>
          <w:b/>
          <w:bCs/>
          <w:iCs/>
          <w:lang w:val="en-PH"/>
        </w:rPr>
        <w:t>Table 2</w:t>
      </w:r>
      <w:r>
        <w:rPr>
          <w:rFonts w:ascii="Arial" w:hAnsi="Arial" w:cs="Arial"/>
          <w:b/>
          <w:bCs/>
          <w:iCs/>
          <w:lang w:val="en-PH"/>
        </w:rPr>
        <w:t>.</w:t>
      </w:r>
      <w:r w:rsidRPr="00B27BE8">
        <w:rPr>
          <w:rFonts w:ascii="Arial" w:hAnsi="Arial" w:cs="Arial"/>
          <w:b/>
          <w:bCs/>
          <w:iCs/>
          <w:lang w:val="en-PH"/>
        </w:rPr>
        <w:t xml:space="preserve"> </w:t>
      </w:r>
      <w:r>
        <w:rPr>
          <w:rFonts w:ascii="Arial" w:hAnsi="Arial" w:cs="Arial"/>
          <w:b/>
          <w:bCs/>
          <w:iCs/>
          <w:lang w:val="en-PH"/>
        </w:rPr>
        <w:t>S</w:t>
      </w:r>
      <w:r w:rsidRPr="00B27BE8">
        <w:rPr>
          <w:rFonts w:ascii="Arial" w:hAnsi="Arial" w:cs="Arial"/>
          <w:b/>
          <w:bCs/>
          <w:iCs/>
          <w:lang w:val="en-PH"/>
        </w:rPr>
        <w:t>tudents’ evaluation of the workbook</w:t>
      </w:r>
    </w:p>
    <w:tbl>
      <w:tblPr>
        <w:tblW w:w="8806" w:type="dxa"/>
        <w:tblBorders>
          <w:top w:val="single" w:sz="4" w:space="0" w:color="auto"/>
          <w:bottom w:val="single" w:sz="4" w:space="0" w:color="auto"/>
        </w:tblBorders>
        <w:tblLook w:val="04A0" w:firstRow="1" w:lastRow="0" w:firstColumn="1" w:lastColumn="0" w:noHBand="0" w:noVBand="1"/>
      </w:tblPr>
      <w:tblGrid>
        <w:gridCol w:w="4077"/>
        <w:gridCol w:w="2339"/>
        <w:gridCol w:w="2390"/>
      </w:tblGrid>
      <w:tr w:rsidR="00BF3FF2" w:rsidRPr="00BF3FF2" w14:paraId="2A6BBC72" w14:textId="77777777" w:rsidTr="00676503">
        <w:trPr>
          <w:trHeight w:val="300"/>
        </w:trPr>
        <w:tc>
          <w:tcPr>
            <w:tcW w:w="4077" w:type="dxa"/>
            <w:tcBorders>
              <w:top w:val="single" w:sz="4" w:space="0" w:color="auto"/>
              <w:bottom w:val="single" w:sz="4" w:space="0" w:color="auto"/>
            </w:tcBorders>
            <w:noWrap/>
            <w:vAlign w:val="bottom"/>
            <w:hideMark/>
          </w:tcPr>
          <w:p w14:paraId="60A6EE1C" w14:textId="5630E639" w:rsidR="00BF3FF2" w:rsidRPr="00BF3FF2" w:rsidRDefault="00676503" w:rsidP="00676503">
            <w:pPr>
              <w:pStyle w:val="Body"/>
              <w:spacing w:after="0"/>
              <w:rPr>
                <w:rFonts w:ascii="Arial" w:hAnsi="Arial" w:cs="Arial"/>
                <w:iCs/>
              </w:rPr>
            </w:pPr>
            <w:r>
              <w:rPr>
                <w:rFonts w:ascii="Arial" w:hAnsi="Arial" w:cs="Arial"/>
                <w:iCs/>
              </w:rPr>
              <w:lastRenderedPageBreak/>
              <w:t>Areas</w:t>
            </w:r>
          </w:p>
        </w:tc>
        <w:tc>
          <w:tcPr>
            <w:tcW w:w="2339" w:type="dxa"/>
            <w:tcBorders>
              <w:top w:val="single" w:sz="4" w:space="0" w:color="auto"/>
              <w:bottom w:val="single" w:sz="4" w:space="0" w:color="auto"/>
            </w:tcBorders>
            <w:noWrap/>
            <w:vAlign w:val="bottom"/>
            <w:hideMark/>
          </w:tcPr>
          <w:p w14:paraId="7F0984B4"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MEAN</w:t>
            </w:r>
          </w:p>
        </w:tc>
        <w:tc>
          <w:tcPr>
            <w:tcW w:w="2390" w:type="dxa"/>
            <w:tcBorders>
              <w:top w:val="single" w:sz="4" w:space="0" w:color="auto"/>
              <w:bottom w:val="single" w:sz="4" w:space="0" w:color="auto"/>
            </w:tcBorders>
            <w:noWrap/>
            <w:vAlign w:val="bottom"/>
            <w:hideMark/>
          </w:tcPr>
          <w:p w14:paraId="2B34FA1C"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DESCRIPTION</w:t>
            </w:r>
          </w:p>
        </w:tc>
      </w:tr>
      <w:tr w:rsidR="00BF3FF2" w:rsidRPr="00BF3FF2" w14:paraId="191EF5EB" w14:textId="77777777" w:rsidTr="00676503">
        <w:trPr>
          <w:trHeight w:val="300"/>
        </w:trPr>
        <w:tc>
          <w:tcPr>
            <w:tcW w:w="4077" w:type="dxa"/>
            <w:tcBorders>
              <w:top w:val="single" w:sz="4" w:space="0" w:color="auto"/>
            </w:tcBorders>
            <w:noWrap/>
            <w:vAlign w:val="bottom"/>
            <w:hideMark/>
          </w:tcPr>
          <w:p w14:paraId="022924B4"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On Workbook Activities</w:t>
            </w:r>
          </w:p>
        </w:tc>
        <w:tc>
          <w:tcPr>
            <w:tcW w:w="2339" w:type="dxa"/>
            <w:tcBorders>
              <w:top w:val="single" w:sz="4" w:space="0" w:color="auto"/>
            </w:tcBorders>
            <w:noWrap/>
            <w:vAlign w:val="bottom"/>
            <w:hideMark/>
          </w:tcPr>
          <w:p w14:paraId="7F71C535" w14:textId="77777777" w:rsidR="00BF3FF2" w:rsidRPr="00BF3FF2" w:rsidRDefault="00BF3FF2" w:rsidP="00676503">
            <w:pPr>
              <w:pStyle w:val="Body"/>
              <w:spacing w:after="0"/>
              <w:jc w:val="center"/>
              <w:rPr>
                <w:rFonts w:ascii="Arial" w:hAnsi="Arial" w:cs="Arial"/>
                <w:b/>
                <w:bCs/>
                <w:iCs/>
              </w:rPr>
            </w:pPr>
          </w:p>
        </w:tc>
        <w:tc>
          <w:tcPr>
            <w:tcW w:w="2390" w:type="dxa"/>
            <w:tcBorders>
              <w:top w:val="single" w:sz="4" w:space="0" w:color="auto"/>
            </w:tcBorders>
            <w:noWrap/>
            <w:vAlign w:val="bottom"/>
            <w:hideMark/>
          </w:tcPr>
          <w:p w14:paraId="4AA78ED2" w14:textId="77777777" w:rsidR="00BF3FF2" w:rsidRPr="00BF3FF2" w:rsidRDefault="00BF3FF2" w:rsidP="00676503">
            <w:pPr>
              <w:pStyle w:val="Body"/>
              <w:spacing w:after="0"/>
              <w:rPr>
                <w:rFonts w:ascii="Arial" w:hAnsi="Arial" w:cs="Arial"/>
                <w:iCs/>
              </w:rPr>
            </w:pPr>
          </w:p>
        </w:tc>
      </w:tr>
      <w:tr w:rsidR="00BF3FF2" w:rsidRPr="00BF3FF2" w14:paraId="022FE48A" w14:textId="77777777" w:rsidTr="00676503">
        <w:trPr>
          <w:trHeight w:val="300"/>
        </w:trPr>
        <w:tc>
          <w:tcPr>
            <w:tcW w:w="4077" w:type="dxa"/>
            <w:noWrap/>
            <w:vAlign w:val="bottom"/>
            <w:hideMark/>
          </w:tcPr>
          <w:p w14:paraId="53CCF3DD" w14:textId="77777777" w:rsidR="00BF3FF2" w:rsidRPr="00BF3FF2" w:rsidRDefault="00BF3FF2" w:rsidP="00676503">
            <w:pPr>
              <w:pStyle w:val="Body"/>
              <w:spacing w:after="0"/>
              <w:rPr>
                <w:rFonts w:ascii="Arial" w:hAnsi="Arial" w:cs="Arial"/>
                <w:iCs/>
              </w:rPr>
            </w:pPr>
            <w:r w:rsidRPr="00BF3FF2">
              <w:rPr>
                <w:rFonts w:ascii="Arial" w:hAnsi="Arial" w:cs="Arial"/>
                <w:iCs/>
              </w:rPr>
              <w:t>Provision for the active involvement of students</w:t>
            </w:r>
          </w:p>
        </w:tc>
        <w:tc>
          <w:tcPr>
            <w:tcW w:w="2339" w:type="dxa"/>
            <w:noWrap/>
            <w:vAlign w:val="bottom"/>
            <w:hideMark/>
          </w:tcPr>
          <w:p w14:paraId="78B447AA"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72E318E"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07070E4B" w14:textId="77777777" w:rsidTr="00676503">
        <w:trPr>
          <w:trHeight w:val="300"/>
        </w:trPr>
        <w:tc>
          <w:tcPr>
            <w:tcW w:w="4077" w:type="dxa"/>
            <w:noWrap/>
            <w:vAlign w:val="bottom"/>
            <w:hideMark/>
          </w:tcPr>
          <w:p w14:paraId="025F2E58" w14:textId="77777777" w:rsidR="00BF3FF2" w:rsidRPr="00BF3FF2" w:rsidRDefault="00BF3FF2" w:rsidP="00676503">
            <w:pPr>
              <w:pStyle w:val="Body"/>
              <w:spacing w:after="0"/>
              <w:rPr>
                <w:rFonts w:ascii="Arial" w:hAnsi="Arial" w:cs="Arial"/>
                <w:iCs/>
              </w:rPr>
            </w:pPr>
            <w:r w:rsidRPr="00BF3FF2">
              <w:rPr>
                <w:rFonts w:ascii="Arial" w:hAnsi="Arial" w:cs="Arial"/>
                <w:iCs/>
              </w:rPr>
              <w:t>Variation of teaching strategies</w:t>
            </w:r>
          </w:p>
        </w:tc>
        <w:tc>
          <w:tcPr>
            <w:tcW w:w="2339" w:type="dxa"/>
            <w:noWrap/>
            <w:vAlign w:val="bottom"/>
            <w:hideMark/>
          </w:tcPr>
          <w:p w14:paraId="18819FE5"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FDFC7F6"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540D032B" w14:textId="77777777" w:rsidTr="00676503">
        <w:trPr>
          <w:trHeight w:val="300"/>
        </w:trPr>
        <w:tc>
          <w:tcPr>
            <w:tcW w:w="4077" w:type="dxa"/>
            <w:noWrap/>
            <w:vAlign w:val="bottom"/>
            <w:hideMark/>
          </w:tcPr>
          <w:p w14:paraId="34BC000E" w14:textId="77777777" w:rsidR="00BF3FF2" w:rsidRPr="00BF3FF2" w:rsidRDefault="00BF3FF2" w:rsidP="00676503">
            <w:pPr>
              <w:pStyle w:val="Body"/>
              <w:spacing w:after="0"/>
              <w:rPr>
                <w:rFonts w:ascii="Arial" w:hAnsi="Arial" w:cs="Arial"/>
                <w:iCs/>
              </w:rPr>
            </w:pPr>
            <w:r w:rsidRPr="00BF3FF2">
              <w:rPr>
                <w:rFonts w:ascii="Arial" w:hAnsi="Arial" w:cs="Arial"/>
                <w:iCs/>
              </w:rPr>
              <w:t>Variation of learning modes for students</w:t>
            </w:r>
          </w:p>
        </w:tc>
        <w:tc>
          <w:tcPr>
            <w:tcW w:w="2339" w:type="dxa"/>
            <w:noWrap/>
            <w:vAlign w:val="bottom"/>
            <w:hideMark/>
          </w:tcPr>
          <w:p w14:paraId="2B5AE464"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3.7</w:t>
            </w:r>
          </w:p>
        </w:tc>
        <w:tc>
          <w:tcPr>
            <w:tcW w:w="2390" w:type="dxa"/>
            <w:noWrap/>
            <w:vAlign w:val="bottom"/>
            <w:hideMark/>
          </w:tcPr>
          <w:p w14:paraId="58F898DC"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187CB36E" w14:textId="77777777" w:rsidTr="00676503">
        <w:trPr>
          <w:trHeight w:val="300"/>
        </w:trPr>
        <w:tc>
          <w:tcPr>
            <w:tcW w:w="4077" w:type="dxa"/>
            <w:noWrap/>
            <w:vAlign w:val="bottom"/>
            <w:hideMark/>
          </w:tcPr>
          <w:p w14:paraId="123F5AE5" w14:textId="77777777" w:rsidR="00BF3FF2" w:rsidRPr="00BF3FF2" w:rsidRDefault="00BF3FF2" w:rsidP="00676503">
            <w:pPr>
              <w:pStyle w:val="Body"/>
              <w:spacing w:after="0"/>
              <w:rPr>
                <w:rFonts w:ascii="Arial" w:hAnsi="Arial" w:cs="Arial"/>
                <w:iCs/>
              </w:rPr>
            </w:pPr>
            <w:r w:rsidRPr="00BF3FF2">
              <w:rPr>
                <w:rFonts w:ascii="Arial" w:hAnsi="Arial" w:cs="Arial"/>
                <w:iCs/>
              </w:rPr>
              <w:t>Use of various media in accomplishing the activities</w:t>
            </w:r>
          </w:p>
        </w:tc>
        <w:tc>
          <w:tcPr>
            <w:tcW w:w="2339" w:type="dxa"/>
            <w:noWrap/>
            <w:vAlign w:val="bottom"/>
            <w:hideMark/>
          </w:tcPr>
          <w:p w14:paraId="238EC79A"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3.8</w:t>
            </w:r>
          </w:p>
        </w:tc>
        <w:tc>
          <w:tcPr>
            <w:tcW w:w="2390" w:type="dxa"/>
            <w:noWrap/>
            <w:vAlign w:val="bottom"/>
            <w:hideMark/>
          </w:tcPr>
          <w:p w14:paraId="378C3291"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6C5688DA" w14:textId="77777777" w:rsidTr="00676503">
        <w:trPr>
          <w:trHeight w:val="300"/>
        </w:trPr>
        <w:tc>
          <w:tcPr>
            <w:tcW w:w="4077" w:type="dxa"/>
            <w:noWrap/>
            <w:vAlign w:val="bottom"/>
            <w:hideMark/>
          </w:tcPr>
          <w:p w14:paraId="02FC32C5" w14:textId="77777777" w:rsidR="00BF3FF2" w:rsidRPr="00BF3FF2" w:rsidRDefault="00BF3FF2" w:rsidP="00676503">
            <w:pPr>
              <w:pStyle w:val="Body"/>
              <w:spacing w:after="0"/>
              <w:rPr>
                <w:rFonts w:ascii="Arial" w:hAnsi="Arial" w:cs="Arial"/>
                <w:iCs/>
              </w:rPr>
            </w:pPr>
            <w:r w:rsidRPr="00BF3FF2">
              <w:rPr>
                <w:rFonts w:ascii="Arial" w:hAnsi="Arial" w:cs="Arial"/>
                <w:iCs/>
              </w:rPr>
              <w:t>Relevance in enhancing concepts previously developed</w:t>
            </w:r>
          </w:p>
        </w:tc>
        <w:tc>
          <w:tcPr>
            <w:tcW w:w="2339" w:type="dxa"/>
            <w:noWrap/>
            <w:vAlign w:val="bottom"/>
            <w:hideMark/>
          </w:tcPr>
          <w:p w14:paraId="20345EB3"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1421B62D"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1895CB89" w14:textId="77777777" w:rsidTr="00676503">
        <w:trPr>
          <w:trHeight w:val="300"/>
        </w:trPr>
        <w:tc>
          <w:tcPr>
            <w:tcW w:w="4077" w:type="dxa"/>
            <w:noWrap/>
            <w:vAlign w:val="bottom"/>
            <w:hideMark/>
          </w:tcPr>
          <w:p w14:paraId="4ECD0F5A"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2BD2C8C9"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3.94</w:t>
            </w:r>
          </w:p>
        </w:tc>
        <w:tc>
          <w:tcPr>
            <w:tcW w:w="2390" w:type="dxa"/>
            <w:noWrap/>
            <w:vAlign w:val="bottom"/>
            <w:hideMark/>
          </w:tcPr>
          <w:p w14:paraId="506D9FBC"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48858514" w14:textId="77777777" w:rsidTr="00676503">
        <w:trPr>
          <w:trHeight w:val="300"/>
        </w:trPr>
        <w:tc>
          <w:tcPr>
            <w:tcW w:w="4077" w:type="dxa"/>
            <w:noWrap/>
            <w:vAlign w:val="bottom"/>
            <w:hideMark/>
          </w:tcPr>
          <w:p w14:paraId="45AE1140"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On Workbook Structure</w:t>
            </w:r>
          </w:p>
        </w:tc>
        <w:tc>
          <w:tcPr>
            <w:tcW w:w="2339" w:type="dxa"/>
            <w:noWrap/>
            <w:vAlign w:val="bottom"/>
            <w:hideMark/>
          </w:tcPr>
          <w:p w14:paraId="41D88CDB" w14:textId="77777777" w:rsidR="00BF3FF2" w:rsidRPr="00BF3FF2" w:rsidRDefault="00BF3FF2" w:rsidP="00676503">
            <w:pPr>
              <w:pStyle w:val="Body"/>
              <w:spacing w:after="0"/>
              <w:jc w:val="center"/>
              <w:rPr>
                <w:rFonts w:ascii="Arial" w:hAnsi="Arial" w:cs="Arial"/>
                <w:b/>
                <w:bCs/>
                <w:iCs/>
              </w:rPr>
            </w:pPr>
          </w:p>
        </w:tc>
        <w:tc>
          <w:tcPr>
            <w:tcW w:w="2390" w:type="dxa"/>
            <w:noWrap/>
            <w:vAlign w:val="bottom"/>
            <w:hideMark/>
          </w:tcPr>
          <w:p w14:paraId="2BA087C6" w14:textId="77777777" w:rsidR="00BF3FF2" w:rsidRPr="00BF3FF2" w:rsidRDefault="00BF3FF2" w:rsidP="00676503">
            <w:pPr>
              <w:pStyle w:val="Body"/>
              <w:spacing w:after="0"/>
              <w:rPr>
                <w:rFonts w:ascii="Arial" w:hAnsi="Arial" w:cs="Arial"/>
                <w:iCs/>
              </w:rPr>
            </w:pPr>
          </w:p>
        </w:tc>
      </w:tr>
      <w:tr w:rsidR="00BF3FF2" w:rsidRPr="00BF3FF2" w14:paraId="7BBB84F7" w14:textId="77777777" w:rsidTr="00676503">
        <w:trPr>
          <w:trHeight w:val="300"/>
        </w:trPr>
        <w:tc>
          <w:tcPr>
            <w:tcW w:w="4077" w:type="dxa"/>
            <w:noWrap/>
            <w:vAlign w:val="bottom"/>
            <w:hideMark/>
          </w:tcPr>
          <w:p w14:paraId="454F3B6A" w14:textId="77777777" w:rsidR="00BF3FF2" w:rsidRPr="00BF3FF2" w:rsidRDefault="00BF3FF2" w:rsidP="00676503">
            <w:pPr>
              <w:pStyle w:val="Body"/>
              <w:spacing w:after="0"/>
              <w:rPr>
                <w:rFonts w:ascii="Arial" w:hAnsi="Arial" w:cs="Arial"/>
                <w:iCs/>
              </w:rPr>
            </w:pPr>
            <w:r w:rsidRPr="00BF3FF2">
              <w:rPr>
                <w:rFonts w:ascii="Arial" w:hAnsi="Arial" w:cs="Arial"/>
                <w:iCs/>
              </w:rPr>
              <w:t xml:space="preserve">Readability </w:t>
            </w:r>
          </w:p>
        </w:tc>
        <w:tc>
          <w:tcPr>
            <w:tcW w:w="2339" w:type="dxa"/>
            <w:noWrap/>
            <w:vAlign w:val="bottom"/>
            <w:hideMark/>
          </w:tcPr>
          <w:p w14:paraId="0BA7219C"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25C117D1"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6F9ED3C9" w14:textId="77777777" w:rsidTr="00676503">
        <w:trPr>
          <w:trHeight w:val="300"/>
        </w:trPr>
        <w:tc>
          <w:tcPr>
            <w:tcW w:w="4077" w:type="dxa"/>
            <w:noWrap/>
            <w:vAlign w:val="bottom"/>
            <w:hideMark/>
          </w:tcPr>
          <w:p w14:paraId="63E8E1FA" w14:textId="77777777" w:rsidR="00BF3FF2" w:rsidRPr="00BF3FF2" w:rsidRDefault="00BF3FF2" w:rsidP="00676503">
            <w:pPr>
              <w:pStyle w:val="Body"/>
              <w:spacing w:after="0"/>
              <w:rPr>
                <w:rFonts w:ascii="Arial" w:hAnsi="Arial" w:cs="Arial"/>
                <w:iCs/>
              </w:rPr>
            </w:pPr>
            <w:r w:rsidRPr="00BF3FF2">
              <w:rPr>
                <w:rFonts w:ascii="Arial" w:hAnsi="Arial" w:cs="Arial"/>
                <w:iCs/>
              </w:rPr>
              <w:t>Wording of the exercises</w:t>
            </w:r>
          </w:p>
        </w:tc>
        <w:tc>
          <w:tcPr>
            <w:tcW w:w="2339" w:type="dxa"/>
            <w:noWrap/>
            <w:vAlign w:val="bottom"/>
            <w:hideMark/>
          </w:tcPr>
          <w:p w14:paraId="7832238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368A384E"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6165D5F" w14:textId="77777777" w:rsidTr="00676503">
        <w:trPr>
          <w:trHeight w:val="300"/>
        </w:trPr>
        <w:tc>
          <w:tcPr>
            <w:tcW w:w="4077" w:type="dxa"/>
            <w:noWrap/>
            <w:vAlign w:val="bottom"/>
            <w:hideMark/>
          </w:tcPr>
          <w:p w14:paraId="3B2FC2DA" w14:textId="77777777" w:rsidR="00BF3FF2" w:rsidRPr="00BF3FF2" w:rsidRDefault="00BF3FF2" w:rsidP="00676503">
            <w:pPr>
              <w:pStyle w:val="Body"/>
              <w:spacing w:after="0"/>
              <w:rPr>
                <w:rFonts w:ascii="Arial" w:hAnsi="Arial" w:cs="Arial"/>
                <w:iCs/>
              </w:rPr>
            </w:pPr>
            <w:r w:rsidRPr="00BF3FF2">
              <w:rPr>
                <w:rFonts w:ascii="Arial" w:hAnsi="Arial" w:cs="Arial"/>
                <w:iCs/>
              </w:rPr>
              <w:t>Clarity of presentations</w:t>
            </w:r>
          </w:p>
        </w:tc>
        <w:tc>
          <w:tcPr>
            <w:tcW w:w="2339" w:type="dxa"/>
            <w:noWrap/>
            <w:vAlign w:val="bottom"/>
            <w:hideMark/>
          </w:tcPr>
          <w:p w14:paraId="3252F05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2DB674A"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4EF21D9" w14:textId="77777777" w:rsidTr="00676503">
        <w:trPr>
          <w:trHeight w:val="300"/>
        </w:trPr>
        <w:tc>
          <w:tcPr>
            <w:tcW w:w="4077" w:type="dxa"/>
            <w:noWrap/>
            <w:vAlign w:val="bottom"/>
            <w:hideMark/>
          </w:tcPr>
          <w:p w14:paraId="4308D709" w14:textId="77777777" w:rsidR="00BF3FF2" w:rsidRPr="00BF3FF2" w:rsidRDefault="00BF3FF2" w:rsidP="00676503">
            <w:pPr>
              <w:pStyle w:val="Body"/>
              <w:spacing w:after="0"/>
              <w:rPr>
                <w:rFonts w:ascii="Arial" w:hAnsi="Arial" w:cs="Arial"/>
                <w:iCs/>
              </w:rPr>
            </w:pPr>
            <w:r w:rsidRPr="00BF3FF2">
              <w:rPr>
                <w:rFonts w:ascii="Arial" w:hAnsi="Arial" w:cs="Arial"/>
                <w:iCs/>
              </w:rPr>
              <w:t>Order of presentation of activities</w:t>
            </w:r>
          </w:p>
        </w:tc>
        <w:tc>
          <w:tcPr>
            <w:tcW w:w="2339" w:type="dxa"/>
            <w:noWrap/>
            <w:vAlign w:val="bottom"/>
            <w:hideMark/>
          </w:tcPr>
          <w:p w14:paraId="452E3FB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1A4F72AD"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21CB4B54" w14:textId="77777777" w:rsidTr="00676503">
        <w:trPr>
          <w:trHeight w:val="300"/>
        </w:trPr>
        <w:tc>
          <w:tcPr>
            <w:tcW w:w="4077" w:type="dxa"/>
            <w:noWrap/>
            <w:vAlign w:val="bottom"/>
            <w:hideMark/>
          </w:tcPr>
          <w:p w14:paraId="14F27B38" w14:textId="77777777" w:rsidR="00BF3FF2" w:rsidRPr="00BF3FF2" w:rsidRDefault="00BF3FF2" w:rsidP="00676503">
            <w:pPr>
              <w:pStyle w:val="Body"/>
              <w:spacing w:after="0"/>
              <w:rPr>
                <w:rFonts w:ascii="Arial" w:hAnsi="Arial" w:cs="Arial"/>
                <w:iCs/>
              </w:rPr>
            </w:pPr>
            <w:r w:rsidRPr="00BF3FF2">
              <w:rPr>
                <w:rFonts w:ascii="Arial" w:hAnsi="Arial" w:cs="Arial"/>
                <w:iCs/>
              </w:rPr>
              <w:t>Adequacy of content</w:t>
            </w:r>
          </w:p>
        </w:tc>
        <w:tc>
          <w:tcPr>
            <w:tcW w:w="2339" w:type="dxa"/>
            <w:noWrap/>
            <w:vAlign w:val="bottom"/>
            <w:hideMark/>
          </w:tcPr>
          <w:p w14:paraId="356DD0B6"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50ECA6E4"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EE32725" w14:textId="77777777" w:rsidTr="00676503">
        <w:trPr>
          <w:trHeight w:val="300"/>
        </w:trPr>
        <w:tc>
          <w:tcPr>
            <w:tcW w:w="4077" w:type="dxa"/>
            <w:noWrap/>
            <w:vAlign w:val="bottom"/>
            <w:hideMark/>
          </w:tcPr>
          <w:p w14:paraId="0F158878"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48212ADA"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4.08</w:t>
            </w:r>
          </w:p>
        </w:tc>
        <w:tc>
          <w:tcPr>
            <w:tcW w:w="2390" w:type="dxa"/>
            <w:noWrap/>
            <w:vAlign w:val="bottom"/>
            <w:hideMark/>
          </w:tcPr>
          <w:p w14:paraId="3B75BD12"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5B8D11C7" w14:textId="77777777" w:rsidTr="00676503">
        <w:trPr>
          <w:trHeight w:val="300"/>
        </w:trPr>
        <w:tc>
          <w:tcPr>
            <w:tcW w:w="4077" w:type="dxa"/>
            <w:noWrap/>
            <w:vAlign w:val="bottom"/>
            <w:hideMark/>
          </w:tcPr>
          <w:p w14:paraId="5B61747B"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 xml:space="preserve">On Workbook Compatibility to Students </w:t>
            </w:r>
          </w:p>
        </w:tc>
        <w:tc>
          <w:tcPr>
            <w:tcW w:w="2339" w:type="dxa"/>
            <w:noWrap/>
            <w:vAlign w:val="bottom"/>
            <w:hideMark/>
          </w:tcPr>
          <w:p w14:paraId="44BE7BCF" w14:textId="77777777" w:rsidR="00BF3FF2" w:rsidRPr="00BF3FF2" w:rsidRDefault="00BF3FF2" w:rsidP="00676503">
            <w:pPr>
              <w:pStyle w:val="Body"/>
              <w:spacing w:after="0"/>
              <w:jc w:val="center"/>
              <w:rPr>
                <w:rFonts w:ascii="Arial" w:hAnsi="Arial" w:cs="Arial"/>
                <w:b/>
                <w:bCs/>
                <w:iCs/>
              </w:rPr>
            </w:pPr>
          </w:p>
        </w:tc>
        <w:tc>
          <w:tcPr>
            <w:tcW w:w="2390" w:type="dxa"/>
            <w:noWrap/>
            <w:vAlign w:val="bottom"/>
            <w:hideMark/>
          </w:tcPr>
          <w:p w14:paraId="5AA087F8" w14:textId="77777777" w:rsidR="00BF3FF2" w:rsidRPr="00BF3FF2" w:rsidRDefault="00BF3FF2" w:rsidP="00676503">
            <w:pPr>
              <w:pStyle w:val="Body"/>
              <w:spacing w:after="0"/>
              <w:rPr>
                <w:rFonts w:ascii="Arial" w:hAnsi="Arial" w:cs="Arial"/>
                <w:iCs/>
              </w:rPr>
            </w:pPr>
          </w:p>
        </w:tc>
      </w:tr>
      <w:tr w:rsidR="00BF3FF2" w:rsidRPr="00BF3FF2" w14:paraId="58BFA0D7" w14:textId="77777777" w:rsidTr="00676503">
        <w:trPr>
          <w:trHeight w:val="300"/>
        </w:trPr>
        <w:tc>
          <w:tcPr>
            <w:tcW w:w="4077" w:type="dxa"/>
            <w:noWrap/>
            <w:vAlign w:val="bottom"/>
            <w:hideMark/>
          </w:tcPr>
          <w:p w14:paraId="4DEFF395" w14:textId="77777777" w:rsidR="00BF3FF2" w:rsidRPr="00BF3FF2" w:rsidRDefault="00BF3FF2" w:rsidP="00676503">
            <w:pPr>
              <w:pStyle w:val="Body"/>
              <w:spacing w:after="0"/>
              <w:rPr>
                <w:rFonts w:ascii="Arial" w:hAnsi="Arial" w:cs="Arial"/>
                <w:iCs/>
              </w:rPr>
            </w:pPr>
            <w:r w:rsidRPr="00BF3FF2">
              <w:rPr>
                <w:rFonts w:ascii="Arial" w:hAnsi="Arial" w:cs="Arial"/>
                <w:iCs/>
              </w:rPr>
              <w:t>Compatibility of activities to allotted time</w:t>
            </w:r>
          </w:p>
        </w:tc>
        <w:tc>
          <w:tcPr>
            <w:tcW w:w="2339" w:type="dxa"/>
            <w:noWrap/>
            <w:vAlign w:val="bottom"/>
            <w:hideMark/>
          </w:tcPr>
          <w:p w14:paraId="09607160"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4.5</w:t>
            </w:r>
          </w:p>
        </w:tc>
        <w:tc>
          <w:tcPr>
            <w:tcW w:w="2390" w:type="dxa"/>
            <w:noWrap/>
            <w:vAlign w:val="bottom"/>
            <w:hideMark/>
          </w:tcPr>
          <w:p w14:paraId="53EA25F9"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463BED0D" w14:textId="77777777" w:rsidTr="00676503">
        <w:trPr>
          <w:trHeight w:val="300"/>
        </w:trPr>
        <w:tc>
          <w:tcPr>
            <w:tcW w:w="4077" w:type="dxa"/>
            <w:noWrap/>
            <w:vAlign w:val="bottom"/>
            <w:hideMark/>
          </w:tcPr>
          <w:p w14:paraId="4A8A3AB6" w14:textId="77777777" w:rsidR="00BF3FF2" w:rsidRPr="00BF3FF2" w:rsidRDefault="00BF3FF2" w:rsidP="00676503">
            <w:pPr>
              <w:pStyle w:val="Body"/>
              <w:spacing w:after="0"/>
              <w:rPr>
                <w:rFonts w:ascii="Arial" w:hAnsi="Arial" w:cs="Arial"/>
                <w:iCs/>
              </w:rPr>
            </w:pPr>
            <w:r w:rsidRPr="00BF3FF2">
              <w:rPr>
                <w:rFonts w:ascii="Arial" w:hAnsi="Arial" w:cs="Arial"/>
                <w:iCs/>
              </w:rPr>
              <w:t>Compatibility of activities to students' capabilities</w:t>
            </w:r>
          </w:p>
        </w:tc>
        <w:tc>
          <w:tcPr>
            <w:tcW w:w="2339" w:type="dxa"/>
            <w:noWrap/>
            <w:vAlign w:val="bottom"/>
            <w:hideMark/>
          </w:tcPr>
          <w:p w14:paraId="33FB3375"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5</w:t>
            </w:r>
          </w:p>
        </w:tc>
        <w:tc>
          <w:tcPr>
            <w:tcW w:w="2390" w:type="dxa"/>
            <w:noWrap/>
            <w:vAlign w:val="bottom"/>
            <w:hideMark/>
          </w:tcPr>
          <w:p w14:paraId="46F1D31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5D9FC43" w14:textId="77777777" w:rsidTr="00676503">
        <w:trPr>
          <w:trHeight w:val="300"/>
        </w:trPr>
        <w:tc>
          <w:tcPr>
            <w:tcW w:w="4077" w:type="dxa"/>
            <w:noWrap/>
            <w:vAlign w:val="bottom"/>
            <w:hideMark/>
          </w:tcPr>
          <w:p w14:paraId="0401E172" w14:textId="77777777" w:rsidR="00BF3FF2" w:rsidRPr="00BF3FF2" w:rsidRDefault="00BF3FF2" w:rsidP="00676503">
            <w:pPr>
              <w:pStyle w:val="Body"/>
              <w:spacing w:after="0"/>
              <w:rPr>
                <w:rFonts w:ascii="Arial" w:hAnsi="Arial" w:cs="Arial"/>
                <w:iCs/>
              </w:rPr>
            </w:pPr>
            <w:r w:rsidRPr="00BF3FF2">
              <w:rPr>
                <w:rFonts w:ascii="Arial" w:hAnsi="Arial" w:cs="Arial"/>
                <w:iCs/>
              </w:rPr>
              <w:t>Adaptability to the experiences and interests of students</w:t>
            </w:r>
          </w:p>
        </w:tc>
        <w:tc>
          <w:tcPr>
            <w:tcW w:w="2339" w:type="dxa"/>
            <w:noWrap/>
            <w:vAlign w:val="bottom"/>
            <w:hideMark/>
          </w:tcPr>
          <w:p w14:paraId="57327E1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471C5AF3"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B914B72" w14:textId="77777777" w:rsidTr="00676503">
        <w:trPr>
          <w:trHeight w:val="300"/>
        </w:trPr>
        <w:tc>
          <w:tcPr>
            <w:tcW w:w="4077" w:type="dxa"/>
            <w:noWrap/>
            <w:vAlign w:val="bottom"/>
            <w:hideMark/>
          </w:tcPr>
          <w:p w14:paraId="36AF63F7" w14:textId="77777777" w:rsidR="00BF3FF2" w:rsidRPr="00BF3FF2" w:rsidRDefault="00BF3FF2" w:rsidP="00676503">
            <w:pPr>
              <w:pStyle w:val="Body"/>
              <w:spacing w:after="0"/>
              <w:rPr>
                <w:rFonts w:ascii="Arial" w:hAnsi="Arial" w:cs="Arial"/>
                <w:iCs/>
              </w:rPr>
            </w:pPr>
            <w:r w:rsidRPr="00BF3FF2">
              <w:rPr>
                <w:rFonts w:ascii="Arial" w:hAnsi="Arial" w:cs="Arial"/>
                <w:iCs/>
              </w:rPr>
              <w:t>Adaptability of the workbook for New Normal</w:t>
            </w:r>
          </w:p>
        </w:tc>
        <w:tc>
          <w:tcPr>
            <w:tcW w:w="2339" w:type="dxa"/>
            <w:noWrap/>
            <w:vAlign w:val="bottom"/>
            <w:hideMark/>
          </w:tcPr>
          <w:p w14:paraId="019ADB78"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2CE22AD0"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55CC4C9" w14:textId="77777777" w:rsidTr="00676503">
        <w:trPr>
          <w:trHeight w:val="300"/>
        </w:trPr>
        <w:tc>
          <w:tcPr>
            <w:tcW w:w="4077" w:type="dxa"/>
            <w:noWrap/>
            <w:vAlign w:val="bottom"/>
            <w:hideMark/>
          </w:tcPr>
          <w:p w14:paraId="1008509C"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2A093A07"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4.37</w:t>
            </w:r>
          </w:p>
        </w:tc>
        <w:tc>
          <w:tcPr>
            <w:tcW w:w="2390" w:type="dxa"/>
            <w:noWrap/>
            <w:vAlign w:val="bottom"/>
            <w:hideMark/>
          </w:tcPr>
          <w:p w14:paraId="3F03F1B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77F9D0F" w14:textId="77777777" w:rsidTr="00676503">
        <w:trPr>
          <w:trHeight w:val="300"/>
        </w:trPr>
        <w:tc>
          <w:tcPr>
            <w:tcW w:w="4077" w:type="dxa"/>
            <w:noWrap/>
            <w:vAlign w:val="bottom"/>
            <w:hideMark/>
          </w:tcPr>
          <w:p w14:paraId="22F61B8D" w14:textId="77777777" w:rsidR="00BF3FF2" w:rsidRPr="00BF3FF2" w:rsidRDefault="00BF3FF2" w:rsidP="00676503">
            <w:pPr>
              <w:pStyle w:val="Body"/>
              <w:spacing w:after="0"/>
              <w:rPr>
                <w:rFonts w:ascii="Arial" w:hAnsi="Arial" w:cs="Arial"/>
                <w:iCs/>
              </w:rPr>
            </w:pPr>
          </w:p>
        </w:tc>
        <w:tc>
          <w:tcPr>
            <w:tcW w:w="2339" w:type="dxa"/>
            <w:noWrap/>
            <w:vAlign w:val="bottom"/>
            <w:hideMark/>
          </w:tcPr>
          <w:p w14:paraId="568BC378" w14:textId="77777777" w:rsidR="00BF3FF2" w:rsidRPr="00BF3FF2" w:rsidRDefault="00BF3FF2" w:rsidP="00676503">
            <w:pPr>
              <w:pStyle w:val="Body"/>
              <w:spacing w:after="0"/>
              <w:jc w:val="center"/>
              <w:rPr>
                <w:rFonts w:ascii="Arial" w:hAnsi="Arial" w:cs="Arial"/>
                <w:iCs/>
              </w:rPr>
            </w:pPr>
          </w:p>
        </w:tc>
        <w:tc>
          <w:tcPr>
            <w:tcW w:w="2390" w:type="dxa"/>
            <w:noWrap/>
            <w:vAlign w:val="bottom"/>
            <w:hideMark/>
          </w:tcPr>
          <w:p w14:paraId="4AD6A4DD" w14:textId="77777777" w:rsidR="00BF3FF2" w:rsidRPr="00BF3FF2" w:rsidRDefault="00BF3FF2" w:rsidP="00676503">
            <w:pPr>
              <w:pStyle w:val="Body"/>
              <w:spacing w:after="0"/>
              <w:rPr>
                <w:rFonts w:ascii="Arial" w:hAnsi="Arial" w:cs="Arial"/>
                <w:iCs/>
              </w:rPr>
            </w:pPr>
          </w:p>
        </w:tc>
      </w:tr>
      <w:tr w:rsidR="00BF3FF2" w:rsidRPr="00BF3FF2" w14:paraId="1ED4B638" w14:textId="77777777" w:rsidTr="00676503">
        <w:trPr>
          <w:trHeight w:val="300"/>
        </w:trPr>
        <w:tc>
          <w:tcPr>
            <w:tcW w:w="4077" w:type="dxa"/>
            <w:noWrap/>
            <w:vAlign w:val="bottom"/>
            <w:hideMark/>
          </w:tcPr>
          <w:p w14:paraId="65B91C11" w14:textId="77777777" w:rsidR="00BF3FF2" w:rsidRPr="00BF3FF2" w:rsidRDefault="00BF3FF2" w:rsidP="00676503">
            <w:pPr>
              <w:pStyle w:val="Body"/>
              <w:spacing w:after="0"/>
              <w:rPr>
                <w:rFonts w:ascii="Arial" w:hAnsi="Arial" w:cs="Arial"/>
                <w:iCs/>
              </w:rPr>
            </w:pPr>
            <w:r w:rsidRPr="00BF3FF2">
              <w:rPr>
                <w:rFonts w:ascii="Arial" w:hAnsi="Arial" w:cs="Arial"/>
                <w:iCs/>
              </w:rPr>
              <w:t>OVERALL RATING</w:t>
            </w:r>
          </w:p>
        </w:tc>
        <w:tc>
          <w:tcPr>
            <w:tcW w:w="2339" w:type="dxa"/>
            <w:noWrap/>
            <w:vAlign w:val="bottom"/>
            <w:hideMark/>
          </w:tcPr>
          <w:p w14:paraId="0976AD4B"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MEAN</w:t>
            </w:r>
          </w:p>
        </w:tc>
        <w:tc>
          <w:tcPr>
            <w:tcW w:w="2390" w:type="dxa"/>
            <w:noWrap/>
            <w:vAlign w:val="bottom"/>
            <w:hideMark/>
          </w:tcPr>
          <w:p w14:paraId="28E2C60D" w14:textId="77777777" w:rsidR="00BF3FF2" w:rsidRPr="00BF3FF2" w:rsidRDefault="00BF3FF2" w:rsidP="00676503">
            <w:pPr>
              <w:pStyle w:val="Body"/>
              <w:spacing w:after="0"/>
              <w:rPr>
                <w:rFonts w:ascii="Arial" w:hAnsi="Arial" w:cs="Arial"/>
                <w:iCs/>
              </w:rPr>
            </w:pPr>
            <w:r w:rsidRPr="00BF3FF2">
              <w:rPr>
                <w:rFonts w:ascii="Arial" w:hAnsi="Arial" w:cs="Arial"/>
                <w:iCs/>
              </w:rPr>
              <w:t>DESCRIPTION</w:t>
            </w:r>
          </w:p>
        </w:tc>
      </w:tr>
      <w:tr w:rsidR="00BF3FF2" w:rsidRPr="00BF3FF2" w14:paraId="7C9FC2DB" w14:textId="77777777" w:rsidTr="00676503">
        <w:trPr>
          <w:trHeight w:val="300"/>
        </w:trPr>
        <w:tc>
          <w:tcPr>
            <w:tcW w:w="4077" w:type="dxa"/>
            <w:noWrap/>
            <w:vAlign w:val="bottom"/>
            <w:hideMark/>
          </w:tcPr>
          <w:p w14:paraId="615F3F7C" w14:textId="77777777" w:rsidR="00BF3FF2" w:rsidRPr="00BF3FF2" w:rsidRDefault="00BF3FF2" w:rsidP="00676503">
            <w:pPr>
              <w:pStyle w:val="Body"/>
              <w:spacing w:after="0"/>
              <w:rPr>
                <w:rFonts w:ascii="Arial" w:hAnsi="Arial" w:cs="Arial"/>
                <w:iCs/>
              </w:rPr>
            </w:pPr>
            <w:r w:rsidRPr="00BF3FF2">
              <w:rPr>
                <w:rFonts w:ascii="Arial" w:hAnsi="Arial" w:cs="Arial"/>
                <w:iCs/>
              </w:rPr>
              <w:t>On Workbook Activities</w:t>
            </w:r>
          </w:p>
        </w:tc>
        <w:tc>
          <w:tcPr>
            <w:tcW w:w="2339" w:type="dxa"/>
            <w:noWrap/>
            <w:vAlign w:val="bottom"/>
            <w:hideMark/>
          </w:tcPr>
          <w:p w14:paraId="1E135A48"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3.94</w:t>
            </w:r>
          </w:p>
        </w:tc>
        <w:tc>
          <w:tcPr>
            <w:tcW w:w="2390" w:type="dxa"/>
            <w:noWrap/>
            <w:vAlign w:val="bottom"/>
            <w:hideMark/>
          </w:tcPr>
          <w:p w14:paraId="677B34A6"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64188B7" w14:textId="77777777" w:rsidTr="00676503">
        <w:trPr>
          <w:trHeight w:val="300"/>
        </w:trPr>
        <w:tc>
          <w:tcPr>
            <w:tcW w:w="4077" w:type="dxa"/>
            <w:noWrap/>
            <w:vAlign w:val="bottom"/>
            <w:hideMark/>
          </w:tcPr>
          <w:p w14:paraId="180343BF" w14:textId="77777777" w:rsidR="00BF3FF2" w:rsidRPr="00BF3FF2" w:rsidRDefault="00BF3FF2" w:rsidP="00676503">
            <w:pPr>
              <w:pStyle w:val="Body"/>
              <w:spacing w:after="0"/>
              <w:rPr>
                <w:rFonts w:ascii="Arial" w:hAnsi="Arial" w:cs="Arial"/>
                <w:iCs/>
              </w:rPr>
            </w:pPr>
            <w:r w:rsidRPr="00BF3FF2">
              <w:rPr>
                <w:rFonts w:ascii="Arial" w:hAnsi="Arial" w:cs="Arial"/>
                <w:iCs/>
              </w:rPr>
              <w:t>On Workbook Structure</w:t>
            </w:r>
          </w:p>
        </w:tc>
        <w:tc>
          <w:tcPr>
            <w:tcW w:w="2339" w:type="dxa"/>
            <w:noWrap/>
            <w:vAlign w:val="bottom"/>
            <w:hideMark/>
          </w:tcPr>
          <w:p w14:paraId="504AB75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4.08</w:t>
            </w:r>
          </w:p>
        </w:tc>
        <w:tc>
          <w:tcPr>
            <w:tcW w:w="2390" w:type="dxa"/>
            <w:noWrap/>
            <w:vAlign w:val="bottom"/>
            <w:hideMark/>
          </w:tcPr>
          <w:p w14:paraId="5D68BDAD"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38C2A81" w14:textId="77777777" w:rsidTr="00676503">
        <w:trPr>
          <w:trHeight w:val="300"/>
        </w:trPr>
        <w:tc>
          <w:tcPr>
            <w:tcW w:w="4077" w:type="dxa"/>
            <w:noWrap/>
            <w:vAlign w:val="bottom"/>
            <w:hideMark/>
          </w:tcPr>
          <w:p w14:paraId="6B26996A" w14:textId="77777777" w:rsidR="00BF3FF2" w:rsidRPr="00BF3FF2" w:rsidRDefault="00BF3FF2" w:rsidP="00676503">
            <w:pPr>
              <w:pStyle w:val="Body"/>
              <w:spacing w:after="0"/>
              <w:rPr>
                <w:rFonts w:ascii="Arial" w:hAnsi="Arial" w:cs="Arial"/>
                <w:iCs/>
              </w:rPr>
            </w:pPr>
            <w:r w:rsidRPr="00BF3FF2">
              <w:rPr>
                <w:rFonts w:ascii="Arial" w:hAnsi="Arial" w:cs="Arial"/>
                <w:iCs/>
              </w:rPr>
              <w:t xml:space="preserve">On Workbook Compatibility to Students </w:t>
            </w:r>
          </w:p>
        </w:tc>
        <w:tc>
          <w:tcPr>
            <w:tcW w:w="2339" w:type="dxa"/>
            <w:noWrap/>
            <w:vAlign w:val="bottom"/>
            <w:hideMark/>
          </w:tcPr>
          <w:p w14:paraId="42D8558B"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4.37</w:t>
            </w:r>
          </w:p>
        </w:tc>
        <w:tc>
          <w:tcPr>
            <w:tcW w:w="2390" w:type="dxa"/>
            <w:noWrap/>
            <w:vAlign w:val="bottom"/>
            <w:hideMark/>
          </w:tcPr>
          <w:p w14:paraId="00568DD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2767D0C" w14:textId="77777777" w:rsidTr="00676503">
        <w:trPr>
          <w:trHeight w:val="300"/>
        </w:trPr>
        <w:tc>
          <w:tcPr>
            <w:tcW w:w="4077" w:type="dxa"/>
            <w:noWrap/>
            <w:vAlign w:val="bottom"/>
            <w:hideMark/>
          </w:tcPr>
          <w:p w14:paraId="03474F97"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61C50297"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4.13</w:t>
            </w:r>
          </w:p>
        </w:tc>
        <w:tc>
          <w:tcPr>
            <w:tcW w:w="2390" w:type="dxa"/>
            <w:noWrap/>
            <w:vAlign w:val="bottom"/>
            <w:hideMark/>
          </w:tcPr>
          <w:p w14:paraId="5E0149BB"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bl>
    <w:p w14:paraId="7119C79A" w14:textId="77777777" w:rsidR="00BB242D" w:rsidRDefault="00BB242D" w:rsidP="00BB242D">
      <w:pPr>
        <w:pStyle w:val="Body"/>
        <w:rPr>
          <w:rFonts w:ascii="Arial" w:hAnsi="Arial" w:cs="Arial"/>
          <w:iCs/>
          <w:lang w:val="en-PH"/>
        </w:rPr>
      </w:pPr>
    </w:p>
    <w:p w14:paraId="55B2E3B0" w14:textId="70F138B7" w:rsidR="00BB242D" w:rsidRPr="00BB242D" w:rsidRDefault="00BB242D" w:rsidP="00BB242D">
      <w:pPr>
        <w:pStyle w:val="Body"/>
        <w:rPr>
          <w:rFonts w:ascii="Arial" w:hAnsi="Arial" w:cs="Arial"/>
          <w:iCs/>
          <w:lang w:val="en-PH"/>
        </w:rPr>
      </w:pPr>
      <w:r w:rsidRPr="00BB242D">
        <w:rPr>
          <w:rFonts w:ascii="Arial" w:hAnsi="Arial" w:cs="Arial"/>
          <w:iCs/>
          <w:lang w:val="en-PH"/>
        </w:rPr>
        <w:t xml:space="preserve">Research indicates that when students perceive a sense of control, choice, competence, and belonging, they are more likely to be engaged and motivated in their learning activities. A study by Chit (2021) found that university students with a strong sense of place in their academic environment exhibited higher levels of engagement. This suggests that when students feel connected to their learning environment, they are more inclined to participate actively in academic tasks. </w:t>
      </w:r>
    </w:p>
    <w:p w14:paraId="4AD5A8AF" w14:textId="77777777" w:rsidR="00BB242D" w:rsidRPr="00BB242D" w:rsidRDefault="00BB242D" w:rsidP="00BB242D">
      <w:pPr>
        <w:pStyle w:val="Body"/>
        <w:rPr>
          <w:rFonts w:ascii="Arial" w:hAnsi="Arial" w:cs="Arial"/>
          <w:iCs/>
          <w:lang w:val="en-PH"/>
        </w:rPr>
      </w:pPr>
    </w:p>
    <w:p w14:paraId="1CE397EE" w14:textId="65A617EA" w:rsidR="00BB242D" w:rsidRPr="00BB242D" w:rsidRDefault="00BB242D" w:rsidP="00BB242D">
      <w:pPr>
        <w:pStyle w:val="Body"/>
        <w:rPr>
          <w:rFonts w:ascii="Arial" w:hAnsi="Arial" w:cs="Arial"/>
          <w:iCs/>
          <w:lang w:val="en-PH"/>
        </w:rPr>
      </w:pPr>
      <w:r w:rsidRPr="00BB242D">
        <w:rPr>
          <w:rFonts w:ascii="Arial" w:hAnsi="Arial" w:cs="Arial"/>
          <w:iCs/>
          <w:lang w:val="en-PH"/>
        </w:rPr>
        <w:t xml:space="preserve">Furthermore, students' judgments about their capacity to learn—known as self-efficacy—are influenced by their perceived abilities and the value they attach to the learning content. Recent studies have highlighted the role of self-efficacy in academic achievement. For </w:t>
      </w:r>
      <w:r w:rsidRPr="00BB242D">
        <w:rPr>
          <w:rFonts w:ascii="Arial" w:hAnsi="Arial" w:cs="Arial"/>
          <w:iCs/>
          <w:lang w:val="en-PH"/>
        </w:rPr>
        <w:lastRenderedPageBreak/>
        <w:t xml:space="preserve">instance, Zhao et al. (2024) demonstrated that self-efficacy mediates the relationship between self-management and academic success among university students. </w:t>
      </w:r>
    </w:p>
    <w:p w14:paraId="62485197" w14:textId="77777777" w:rsidR="00BB242D" w:rsidRPr="00BB242D" w:rsidRDefault="00BB242D" w:rsidP="00BB242D">
      <w:pPr>
        <w:pStyle w:val="Body"/>
        <w:rPr>
          <w:rFonts w:ascii="Arial" w:hAnsi="Arial" w:cs="Arial"/>
          <w:iCs/>
          <w:lang w:val="en-PH"/>
        </w:rPr>
      </w:pPr>
      <w:r w:rsidRPr="00BB242D">
        <w:rPr>
          <w:rFonts w:ascii="Arial" w:hAnsi="Arial" w:cs="Arial"/>
          <w:iCs/>
          <w:lang w:val="en-PH"/>
        </w:rPr>
        <w:t xml:space="preserve">Community-based learning (CBL) has been identified as an effective approach to enhancing students' sense of self-efficacy. Sagawa (2003) posited that engaging students in community issues fosters a "can-do" attitude, connects them to community norms and values, and contributes to community cohesion. This perspective is supported by recent findings indicating that students who perceive their university environment as supportive exhibit enhanced sociocultural engagement and overall satisfaction with their academic experience. </w:t>
      </w:r>
    </w:p>
    <w:p w14:paraId="7657CEDF" w14:textId="05A123FA" w:rsidR="00790ADA" w:rsidRPr="00BB242D" w:rsidRDefault="00BB242D" w:rsidP="00BB242D">
      <w:pPr>
        <w:pStyle w:val="Body"/>
        <w:rPr>
          <w:rFonts w:ascii="Arial" w:hAnsi="Arial" w:cs="Arial"/>
          <w:iCs/>
          <w:lang w:val="en-PH"/>
        </w:rPr>
      </w:pPr>
      <w:r w:rsidRPr="00BB242D">
        <w:rPr>
          <w:rFonts w:ascii="Arial" w:hAnsi="Arial" w:cs="Arial"/>
          <w:iCs/>
          <w:lang w:val="en-PH"/>
        </w:rPr>
        <w:t>In conclusion, students' willingness to engage with academic tasks is influenced by their perceptions of autonomy, competence, and belonging. Educational strategies that foster these perceptions, such as community-based learning, can enhance students' self-efficacy and motivation, leading to improved academic outcomes.</w:t>
      </w:r>
    </w:p>
    <w:p w14:paraId="21A83AC6"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8"/>
      <w:r w:rsidR="00B01FCD" w:rsidRPr="00FB3A86">
        <w:rPr>
          <w:rFonts w:ascii="Arial" w:hAnsi="Arial" w:cs="Arial"/>
        </w:rPr>
        <w:t>Conclusion</w:t>
      </w:r>
      <w:commentRangeEnd w:id="8"/>
      <w:r w:rsidR="00531FFF">
        <w:rPr>
          <w:rStyle w:val="CommentReference"/>
          <w:rFonts w:ascii="Times New Roman" w:hAnsi="Times New Roman"/>
          <w:b w:val="0"/>
          <w:caps w:val="0"/>
          <w:lang w:val="nb-NO" w:eastAsia="nb-NO"/>
        </w:rPr>
        <w:commentReference w:id="8"/>
      </w:r>
    </w:p>
    <w:p w14:paraId="4DE377D9" w14:textId="77777777" w:rsidR="00790ADA" w:rsidRPr="00FB3A86" w:rsidRDefault="00790ADA" w:rsidP="00441B6F">
      <w:pPr>
        <w:pStyle w:val="ConcHead"/>
        <w:spacing w:after="0"/>
        <w:jc w:val="both"/>
        <w:rPr>
          <w:rFonts w:ascii="Arial" w:hAnsi="Arial" w:cs="Arial"/>
        </w:rPr>
      </w:pPr>
    </w:p>
    <w:p w14:paraId="0E894CE0" w14:textId="77777777" w:rsidR="00C4623C" w:rsidRPr="00C4623C" w:rsidRDefault="00C4623C" w:rsidP="00C4623C">
      <w:pPr>
        <w:pStyle w:val="Body"/>
        <w:spacing w:after="0"/>
        <w:rPr>
          <w:rFonts w:ascii="Arial" w:hAnsi="Arial" w:cs="Arial"/>
          <w:lang w:val="en-PH"/>
        </w:rPr>
      </w:pPr>
      <w:r w:rsidRPr="00C4623C">
        <w:rPr>
          <w:rFonts w:ascii="Arial" w:hAnsi="Arial" w:cs="Arial"/>
          <w:lang w:val="en-PH"/>
        </w:rPr>
        <w:t>Experts agree that the workbook is a valid tool for community-based learning in the new normal, particularly with regard to its activities and instructional strategies. From the students’ perspective, the workbook is well-received and aligns effectively with their abilities.</w:t>
      </w:r>
    </w:p>
    <w:p w14:paraId="4456DD41" w14:textId="77777777" w:rsidR="00C4623C" w:rsidRPr="00C4623C" w:rsidRDefault="00C4623C" w:rsidP="00C4623C">
      <w:pPr>
        <w:pStyle w:val="Body"/>
        <w:spacing w:after="0"/>
        <w:rPr>
          <w:rFonts w:ascii="Arial" w:hAnsi="Arial" w:cs="Arial"/>
          <w:lang w:val="en-PH"/>
        </w:rPr>
      </w:pPr>
      <w:r w:rsidRPr="00C4623C">
        <w:rPr>
          <w:rFonts w:ascii="Arial" w:hAnsi="Arial" w:cs="Arial"/>
          <w:lang w:val="en-PH"/>
        </w:rPr>
        <w:t>It is recommended that the workbook be further enhanced by refining its technical aspects, such as layout, design, and graphical presentation, to improve usability and engagement. Additionally, other NSTP components, such as the Literacy Training Service, could benefit from the development of similar workbooks to further strengthen the implementation and impact of the program.</w:t>
      </w:r>
    </w:p>
    <w:p w14:paraId="1861F221" w14:textId="77777777" w:rsidR="00790ADA" w:rsidRPr="00FB3A86" w:rsidRDefault="00790ADA" w:rsidP="00441B6F">
      <w:pPr>
        <w:pStyle w:val="Body"/>
        <w:spacing w:after="0"/>
        <w:rPr>
          <w:rFonts w:ascii="Arial" w:hAnsi="Arial" w:cs="Arial"/>
        </w:rPr>
      </w:pPr>
    </w:p>
    <w:p w14:paraId="658AB880" w14:textId="77777777" w:rsidR="001A29D8" w:rsidRDefault="001A29D8" w:rsidP="00441B6F">
      <w:pPr>
        <w:pStyle w:val="ReferHead"/>
        <w:spacing w:after="0"/>
        <w:jc w:val="both"/>
        <w:rPr>
          <w:rFonts w:ascii="Arial" w:hAnsi="Arial" w:cs="Arial"/>
          <w:b w:val="0"/>
          <w:caps w:val="0"/>
          <w:sz w:val="20"/>
        </w:rPr>
      </w:pPr>
    </w:p>
    <w:p w14:paraId="15D50129" w14:textId="77777777" w:rsidR="005C784C" w:rsidRDefault="005C784C" w:rsidP="00441B6F">
      <w:pPr>
        <w:pStyle w:val="ReferHead"/>
        <w:spacing w:after="0"/>
        <w:jc w:val="both"/>
        <w:rPr>
          <w:rFonts w:ascii="Arial" w:hAnsi="Arial" w:cs="Arial"/>
          <w:b w:val="0"/>
          <w:caps w:val="0"/>
          <w:sz w:val="20"/>
        </w:rPr>
      </w:pPr>
    </w:p>
    <w:p w14:paraId="279A42A2"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3FB184A" w14:textId="77777777" w:rsidR="005C784C" w:rsidRPr="002B685A" w:rsidRDefault="005C784C" w:rsidP="00441B6F">
      <w:pPr>
        <w:pStyle w:val="ReferHead"/>
        <w:spacing w:after="0"/>
        <w:jc w:val="both"/>
        <w:rPr>
          <w:rFonts w:ascii="Arial" w:hAnsi="Arial" w:cs="Arial"/>
          <w:bCs/>
        </w:rPr>
      </w:pPr>
    </w:p>
    <w:p w14:paraId="7532A8DC" w14:textId="77777777" w:rsidR="00C4623C" w:rsidRPr="007A3808" w:rsidRDefault="00C4623C" w:rsidP="00C4623C">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3384F8C8" w14:textId="77777777" w:rsidR="00C4623C" w:rsidRPr="00C024B9" w:rsidRDefault="00C4623C" w:rsidP="00C4623C">
      <w:r w:rsidRPr="00C024B9">
        <w:t>Disclaimer (Artificial intelligence)</w:t>
      </w:r>
    </w:p>
    <w:p w14:paraId="0F48EA0D" w14:textId="77777777" w:rsidR="00C4623C" w:rsidRPr="00C024B9" w:rsidRDefault="00C4623C" w:rsidP="00C4623C"/>
    <w:p w14:paraId="7B479C95" w14:textId="77777777" w:rsidR="00C4623C" w:rsidRPr="00C024B9" w:rsidRDefault="00C4623C" w:rsidP="00C4623C">
      <w:r w:rsidRPr="00C024B9">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4EF240" w14:textId="77777777" w:rsidR="00C4623C" w:rsidRPr="00C024B9" w:rsidRDefault="00C4623C" w:rsidP="00C4623C">
      <w:r w:rsidRPr="00C024B9">
        <w:t xml:space="preserve">Details of the AI usage </w:t>
      </w:r>
      <w:r>
        <w:t>is</w:t>
      </w:r>
      <w:r w:rsidRPr="00C024B9">
        <w:t xml:space="preserve">: The researcher used ChatGPT in correcting grammar. </w:t>
      </w:r>
    </w:p>
    <w:p w14:paraId="3101609B" w14:textId="77777777" w:rsidR="00C4623C" w:rsidRDefault="00C4623C" w:rsidP="00441B6F">
      <w:pPr>
        <w:pStyle w:val="ReferHead"/>
        <w:spacing w:after="0"/>
        <w:jc w:val="both"/>
        <w:rPr>
          <w:rFonts w:ascii="Arial" w:hAnsi="Arial" w:cs="Arial"/>
        </w:rPr>
      </w:pPr>
    </w:p>
    <w:p w14:paraId="5D7597C7" w14:textId="27BA4BF9" w:rsidR="00B01FCD" w:rsidRDefault="00B01FCD" w:rsidP="00441B6F">
      <w:pPr>
        <w:pStyle w:val="ReferHead"/>
        <w:spacing w:after="0"/>
        <w:jc w:val="both"/>
        <w:rPr>
          <w:rFonts w:ascii="Arial" w:hAnsi="Arial" w:cs="Arial"/>
        </w:rPr>
      </w:pPr>
      <w:commentRangeStart w:id="9"/>
      <w:r w:rsidRPr="00FB3A86">
        <w:rPr>
          <w:rFonts w:ascii="Arial" w:hAnsi="Arial" w:cs="Arial"/>
        </w:rPr>
        <w:t>References</w:t>
      </w:r>
      <w:commentRangeEnd w:id="9"/>
      <w:r w:rsidR="00531FFF">
        <w:rPr>
          <w:rStyle w:val="CommentReference"/>
          <w:rFonts w:ascii="Times New Roman" w:hAnsi="Times New Roman"/>
          <w:b w:val="0"/>
          <w:caps w:val="0"/>
          <w:lang w:val="nb-NO" w:eastAsia="nb-NO"/>
        </w:rPr>
        <w:commentReference w:id="9"/>
      </w:r>
    </w:p>
    <w:p w14:paraId="034CA269" w14:textId="77777777" w:rsidR="00790ADA" w:rsidRPr="00FB3A86" w:rsidRDefault="00790ADA" w:rsidP="00441B6F">
      <w:pPr>
        <w:pStyle w:val="ReferHead"/>
        <w:spacing w:after="0"/>
        <w:jc w:val="both"/>
        <w:rPr>
          <w:rFonts w:ascii="Arial" w:hAnsi="Arial" w:cs="Arial"/>
        </w:rPr>
      </w:pPr>
    </w:p>
    <w:p w14:paraId="5455182A" w14:textId="1182AED2" w:rsidR="00D91D0B" w:rsidRDefault="00D91D0B" w:rsidP="00D91D0B">
      <w:pPr>
        <w:pStyle w:val="Body"/>
        <w:spacing w:after="0"/>
      </w:pPr>
      <w:r w:rsidRPr="00D91D0B">
        <w:rPr>
          <w:iCs/>
        </w:rPr>
        <w:t xml:space="preserve">Alexandria, VA. (2005). The State of Our Nation’s Youth 2005–2006. Horatio Alger Association of Distinguished Americans, Inc. </w:t>
      </w:r>
    </w:p>
    <w:p w14:paraId="3A302D4E" w14:textId="77777777" w:rsidR="00D91D0B" w:rsidRDefault="00D91D0B" w:rsidP="00D91D0B">
      <w:pPr>
        <w:pStyle w:val="Body"/>
        <w:spacing w:after="0"/>
        <w:rPr>
          <w:iCs/>
        </w:rPr>
      </w:pPr>
    </w:p>
    <w:p w14:paraId="5F8CF350" w14:textId="22DE0345" w:rsidR="00D91D0B" w:rsidRDefault="00D91D0B" w:rsidP="00D91D0B">
      <w:pPr>
        <w:pStyle w:val="Body"/>
        <w:spacing w:after="0"/>
        <w:rPr>
          <w:iCs/>
        </w:rPr>
      </w:pPr>
      <w:r w:rsidRPr="00D91D0B">
        <w:rPr>
          <w:iCs/>
        </w:rPr>
        <w:t>Blank M. J., A. Melaville, and B. P. Shah (2003). Making the Difference: Research and Practice in Community Schools. Washington, DC: Coalition for Community Schools.</w:t>
      </w:r>
    </w:p>
    <w:p w14:paraId="117EC2EE" w14:textId="77777777" w:rsidR="00D91D0B" w:rsidRDefault="00D91D0B" w:rsidP="00D91D0B">
      <w:pPr>
        <w:pStyle w:val="Body"/>
        <w:spacing w:after="0"/>
        <w:rPr>
          <w:iCs/>
        </w:rPr>
      </w:pPr>
    </w:p>
    <w:p w14:paraId="3D5F235F" w14:textId="3F072E0F" w:rsidR="00D91D0B" w:rsidRDefault="00D91D0B" w:rsidP="00D91D0B">
      <w:pPr>
        <w:pStyle w:val="Body"/>
        <w:spacing w:after="0"/>
        <w:rPr>
          <w:iCs/>
        </w:rPr>
      </w:pPr>
      <w:r w:rsidRPr="00D91D0B">
        <w:rPr>
          <w:iCs/>
        </w:rPr>
        <w:lastRenderedPageBreak/>
        <w:t xml:space="preserve">Bloomington, IN (2005) What We Can Learn from High School Students: High School Survey of Student Engagement Indiana University [Retrieved from www.iub.edu/~nsse/ hssse/pdf/hssse_2005_report.pdf] </w:t>
      </w:r>
    </w:p>
    <w:p w14:paraId="6DA1B2A7" w14:textId="77777777" w:rsidR="00D91D0B" w:rsidRDefault="00D91D0B" w:rsidP="00D91D0B">
      <w:pPr>
        <w:pStyle w:val="Body"/>
        <w:spacing w:after="0"/>
        <w:rPr>
          <w:iCs/>
          <w:lang w:val="en-PH"/>
        </w:rPr>
      </w:pPr>
    </w:p>
    <w:p w14:paraId="428D27EA" w14:textId="0D1EB20F" w:rsidR="00D91D0B" w:rsidRPr="00D91D0B" w:rsidRDefault="00D91D0B" w:rsidP="00D91D0B">
      <w:pPr>
        <w:pStyle w:val="Body"/>
        <w:spacing w:after="0"/>
        <w:rPr>
          <w:iCs/>
          <w:lang w:val="en-PH"/>
        </w:rPr>
      </w:pPr>
      <w:r w:rsidRPr="00D91D0B">
        <w:rPr>
          <w:iCs/>
          <w:lang w:val="en-PH"/>
        </w:rPr>
        <w:t xml:space="preserve">Blum, R. W., Beuhring, T., &amp; Rinehart, P. M. (2000). </w:t>
      </w:r>
      <w:r w:rsidRPr="00D91D0B">
        <w:rPr>
          <w:i/>
          <w:iCs/>
          <w:lang w:val="en-PH"/>
        </w:rPr>
        <w:t>Protecting teens: Beyond race, income, and family structure.</w:t>
      </w:r>
      <w:r w:rsidRPr="00D91D0B">
        <w:rPr>
          <w:iCs/>
          <w:lang w:val="en-PH"/>
        </w:rPr>
        <w:t xml:space="preserve"> American Journal of Public Health, 90(10), 1517–1521. </w:t>
      </w:r>
      <w:hyperlink r:id="rId14" w:history="1">
        <w:r w:rsidRPr="00D91D0B">
          <w:rPr>
            <w:rStyle w:val="Hyperlink"/>
            <w:iCs/>
            <w:lang w:val="en-PH"/>
          </w:rPr>
          <w:t>https://doi.org/10.2105/AJPH.90.10.1517</w:t>
        </w:r>
      </w:hyperlink>
    </w:p>
    <w:p w14:paraId="328A7BC3" w14:textId="77777777" w:rsidR="00D91D0B" w:rsidRDefault="00D91D0B" w:rsidP="00D91D0B">
      <w:pPr>
        <w:pStyle w:val="Body"/>
        <w:spacing w:after="0"/>
        <w:rPr>
          <w:iCs/>
          <w:lang w:val="en-PH"/>
        </w:rPr>
      </w:pPr>
    </w:p>
    <w:p w14:paraId="3C41133A" w14:textId="03FD96AF" w:rsidR="00D91D0B" w:rsidRPr="00D91D0B" w:rsidRDefault="00D91D0B" w:rsidP="00D91D0B">
      <w:pPr>
        <w:pStyle w:val="Body"/>
        <w:spacing w:after="0"/>
        <w:rPr>
          <w:iCs/>
          <w:lang w:val="en-PH"/>
        </w:rPr>
      </w:pPr>
      <w:r w:rsidRPr="00D91D0B">
        <w:rPr>
          <w:iCs/>
          <w:lang w:val="en-PH"/>
        </w:rPr>
        <w:t xml:space="preserve">BMC Medical Education. (2024). Supportive university environments enhance sociocultural engagement and student satisfaction. </w:t>
      </w:r>
      <w:r w:rsidRPr="00D91D0B">
        <w:rPr>
          <w:i/>
          <w:iCs/>
          <w:lang w:val="en-PH"/>
        </w:rPr>
        <w:t>BMC Medical Education, 24</w:t>
      </w:r>
      <w:r w:rsidRPr="00D91D0B">
        <w:rPr>
          <w:iCs/>
          <w:lang w:val="en-PH"/>
        </w:rPr>
        <w:t xml:space="preserve">, Article 534. </w:t>
      </w:r>
      <w:hyperlink r:id="rId15" w:history="1">
        <w:r w:rsidRPr="00D91D0B">
          <w:rPr>
            <w:rStyle w:val="Hyperlink"/>
            <w:iCs/>
            <w:lang w:val="en-PH"/>
          </w:rPr>
          <w:t>https://bmcmededuc.biomedcentral.com/articles/10.1186/s12909-024-06534-4</w:t>
        </w:r>
      </w:hyperlink>
    </w:p>
    <w:p w14:paraId="6C004354" w14:textId="77777777" w:rsidR="00D91D0B" w:rsidRDefault="00D91D0B" w:rsidP="00D91D0B">
      <w:pPr>
        <w:pStyle w:val="Body"/>
        <w:spacing w:after="0"/>
        <w:rPr>
          <w:iCs/>
          <w:lang w:val="en-PH"/>
        </w:rPr>
      </w:pPr>
    </w:p>
    <w:p w14:paraId="2BC8E761" w14:textId="02D2CC9D" w:rsidR="00D91D0B" w:rsidRPr="00D91D0B" w:rsidRDefault="00D91D0B" w:rsidP="00D91D0B">
      <w:pPr>
        <w:pStyle w:val="Body"/>
        <w:spacing w:after="0"/>
        <w:rPr>
          <w:iCs/>
          <w:lang w:val="en-PH"/>
        </w:rPr>
      </w:pPr>
      <w:r w:rsidRPr="00D91D0B">
        <w:rPr>
          <w:iCs/>
          <w:lang w:val="en-PH"/>
        </w:rPr>
        <w:t xml:space="preserve">Boston, B. O., &amp; Gomez, B. (2005). </w:t>
      </w:r>
      <w:r w:rsidRPr="00D91D0B">
        <w:rPr>
          <w:i/>
          <w:iCs/>
          <w:lang w:val="en-PH"/>
        </w:rPr>
        <w:t>The role of service-learning in developing civic responsibility</w:t>
      </w:r>
      <w:r w:rsidRPr="00D91D0B">
        <w:rPr>
          <w:iCs/>
          <w:lang w:val="en-PH"/>
        </w:rPr>
        <w:t>. Journal of Higher Education, 76(5), 567–589.</w:t>
      </w:r>
    </w:p>
    <w:p w14:paraId="7373A0F3" w14:textId="77777777" w:rsidR="00D91D0B" w:rsidRDefault="00D91D0B" w:rsidP="00D91D0B">
      <w:pPr>
        <w:pStyle w:val="Body"/>
        <w:spacing w:after="0"/>
        <w:rPr>
          <w:iCs/>
          <w:lang w:val="en-PH"/>
        </w:rPr>
      </w:pPr>
    </w:p>
    <w:p w14:paraId="0D683032" w14:textId="2AED7A25" w:rsidR="00D91D0B" w:rsidRPr="00D91D0B" w:rsidRDefault="00D91D0B" w:rsidP="00D91D0B">
      <w:pPr>
        <w:pStyle w:val="Body"/>
        <w:spacing w:after="0"/>
        <w:rPr>
          <w:iCs/>
          <w:lang w:val="en-PH"/>
        </w:rPr>
      </w:pPr>
      <w:r w:rsidRPr="00D91D0B">
        <w:rPr>
          <w:iCs/>
          <w:lang w:val="en-PH"/>
        </w:rPr>
        <w:t xml:space="preserve">Catalano, R. F., Haggerty, K. P., Oesterle, S., Fleming, C. B., &amp; Hawkins, J. D. (2004). </w:t>
      </w:r>
      <w:r w:rsidRPr="00D91D0B">
        <w:rPr>
          <w:i/>
          <w:iCs/>
          <w:lang w:val="en-PH"/>
        </w:rPr>
        <w:t>The importance of bonding to school for healthy development: Findings from the Social Development Research Group</w:t>
      </w:r>
      <w:r w:rsidRPr="00D91D0B">
        <w:rPr>
          <w:iCs/>
          <w:lang w:val="en-PH"/>
        </w:rPr>
        <w:t>. Journal of School Health, 74(7), 252–261.</w:t>
      </w:r>
    </w:p>
    <w:p w14:paraId="35668CC0" w14:textId="77777777" w:rsidR="00D91D0B" w:rsidRDefault="00D91D0B" w:rsidP="00D91D0B">
      <w:pPr>
        <w:pStyle w:val="Body"/>
        <w:spacing w:after="0"/>
        <w:rPr>
          <w:iCs/>
          <w:lang w:val="en-PH"/>
        </w:rPr>
      </w:pPr>
    </w:p>
    <w:p w14:paraId="710DAB74" w14:textId="1044AB26" w:rsidR="00D91D0B" w:rsidRPr="00D91D0B" w:rsidRDefault="00D91D0B" w:rsidP="00D91D0B">
      <w:pPr>
        <w:pStyle w:val="Body"/>
        <w:spacing w:after="0"/>
        <w:rPr>
          <w:iCs/>
          <w:lang w:val="en-PH"/>
        </w:rPr>
      </w:pPr>
      <w:r w:rsidRPr="00D91D0B">
        <w:rPr>
          <w:iCs/>
          <w:lang w:val="en-PH"/>
        </w:rPr>
        <w:t xml:space="preserve">Chit, M. M. (2021). The role of sense of place in student engagement: A university context. </w:t>
      </w:r>
      <w:r w:rsidRPr="00D91D0B">
        <w:rPr>
          <w:i/>
          <w:iCs/>
          <w:lang w:val="en-PH"/>
        </w:rPr>
        <w:t>International Journal of Contemporary Studies</w:t>
      </w:r>
      <w:r w:rsidRPr="00D91D0B">
        <w:rPr>
          <w:iCs/>
          <w:lang w:val="en-PH"/>
        </w:rPr>
        <w:t xml:space="preserve">, 8(2), 45–58. </w:t>
      </w:r>
      <w:hyperlink r:id="rId16" w:history="1">
        <w:r w:rsidRPr="00D91D0B">
          <w:rPr>
            <w:rStyle w:val="Hyperlink"/>
            <w:iCs/>
            <w:lang w:val="en-PH"/>
          </w:rPr>
          <w:t>https://ojs.literacyinstitute.org/index.php/ijcs/article/view/1362</w:t>
        </w:r>
      </w:hyperlink>
    </w:p>
    <w:p w14:paraId="1CCD5B46" w14:textId="77777777" w:rsidR="00D91D0B" w:rsidRDefault="00D91D0B" w:rsidP="00D91D0B">
      <w:pPr>
        <w:pStyle w:val="Body"/>
        <w:spacing w:after="0"/>
        <w:rPr>
          <w:iCs/>
          <w:lang w:val="en-PH"/>
        </w:rPr>
      </w:pPr>
    </w:p>
    <w:p w14:paraId="3477714F" w14:textId="592FE0BB" w:rsidR="00D91D0B" w:rsidRDefault="00D91D0B" w:rsidP="00D91D0B">
      <w:pPr>
        <w:pStyle w:val="Body"/>
        <w:spacing w:after="0"/>
        <w:rPr>
          <w:iCs/>
        </w:rPr>
      </w:pPr>
      <w:r w:rsidRPr="00D91D0B">
        <w:rPr>
          <w:iCs/>
          <w:lang w:val="en-PH"/>
        </w:rPr>
        <w:t xml:space="preserve">Department of Labor and Employment. (2025, January 12). </w:t>
      </w:r>
      <w:r w:rsidRPr="00D91D0B">
        <w:rPr>
          <w:i/>
          <w:iCs/>
          <w:lang w:val="en-PH"/>
        </w:rPr>
        <w:t>DOLE rolls out updated youth employability modules to improve job readiness</w:t>
      </w:r>
      <w:r w:rsidRPr="00D91D0B">
        <w:rPr>
          <w:iCs/>
          <w:lang w:val="en-PH"/>
        </w:rPr>
        <w:t xml:space="preserve">. </w:t>
      </w:r>
      <w:hyperlink r:id="rId17" w:history="1">
        <w:r w:rsidRPr="00D91D0B">
          <w:rPr>
            <w:rStyle w:val="Hyperlink"/>
            <w:iCs/>
            <w:lang w:val="en-PH"/>
          </w:rPr>
          <w:t>https://thepost.net.ph/news/nation/dole-rolls-out-updated-youth-employability-modules-to-improve-job-readiness/</w:t>
        </w:r>
      </w:hyperlink>
    </w:p>
    <w:p w14:paraId="22C48D33" w14:textId="77777777" w:rsidR="00D91D0B" w:rsidRPr="00D91D0B" w:rsidRDefault="00D91D0B" w:rsidP="00D91D0B">
      <w:pPr>
        <w:pStyle w:val="Body"/>
        <w:spacing w:after="0"/>
        <w:rPr>
          <w:iCs/>
          <w:lang w:val="en-PH"/>
        </w:rPr>
      </w:pPr>
    </w:p>
    <w:p w14:paraId="6542BA64" w14:textId="77777777" w:rsidR="00D91D0B" w:rsidRDefault="00D91D0B" w:rsidP="00D91D0B">
      <w:pPr>
        <w:pStyle w:val="Body"/>
        <w:spacing w:after="0"/>
        <w:rPr>
          <w:bCs/>
          <w:iCs/>
        </w:rPr>
      </w:pPr>
      <w:r w:rsidRPr="00D91D0B">
        <w:rPr>
          <w:bCs/>
          <w:iCs/>
        </w:rPr>
        <w:t>Irawan, A. G., Nyoman Padmadewi, N., &amp; Artini, L. P. (2018). Instructional materials development through 4D model. In SHS Web of Conferences (Vol. 42, p. 00086). EDP Sciences.</w:t>
      </w:r>
    </w:p>
    <w:p w14:paraId="52B11394" w14:textId="77777777" w:rsidR="00D91D0B" w:rsidRDefault="00D91D0B" w:rsidP="00D91D0B">
      <w:pPr>
        <w:pStyle w:val="Body"/>
        <w:spacing w:after="0"/>
        <w:rPr>
          <w:iCs/>
          <w:lang w:val="en-PH"/>
        </w:rPr>
      </w:pPr>
    </w:p>
    <w:p w14:paraId="4BF56E3C" w14:textId="0A67FF12" w:rsidR="00D91D0B" w:rsidRPr="00D91D0B" w:rsidRDefault="00D91D0B" w:rsidP="00D91D0B">
      <w:pPr>
        <w:pStyle w:val="Body"/>
        <w:spacing w:after="0"/>
        <w:rPr>
          <w:iCs/>
          <w:lang w:val="en-PH"/>
        </w:rPr>
      </w:pPr>
      <w:r w:rsidRPr="00D91D0B">
        <w:rPr>
          <w:iCs/>
          <w:lang w:val="en-PH"/>
        </w:rPr>
        <w:t xml:space="preserve">Kaliappen, N. (2024). Applying community-engaged service learning to enhance students' knowledge, civic engagement, and social responsibility. </w:t>
      </w:r>
      <w:r w:rsidRPr="00D91D0B">
        <w:rPr>
          <w:i/>
          <w:iCs/>
          <w:lang w:val="en-PH"/>
        </w:rPr>
        <w:t>AIB Insights</w:t>
      </w:r>
      <w:r w:rsidRPr="00D91D0B">
        <w:rPr>
          <w:iCs/>
          <w:lang w:val="en-PH"/>
        </w:rPr>
        <w:t>, 25(1). https://doi.org/10.46697/001c.127176</w:t>
      </w:r>
    </w:p>
    <w:p w14:paraId="392AB16B" w14:textId="77777777" w:rsidR="00D91D0B" w:rsidRDefault="00D91D0B" w:rsidP="00D91D0B">
      <w:pPr>
        <w:pStyle w:val="Body"/>
        <w:spacing w:after="0"/>
        <w:rPr>
          <w:iCs/>
        </w:rPr>
      </w:pPr>
    </w:p>
    <w:p w14:paraId="2192E0D2" w14:textId="78644151" w:rsidR="00D91D0B" w:rsidRDefault="00D91D0B" w:rsidP="00D91D0B">
      <w:pPr>
        <w:pStyle w:val="Body"/>
        <w:spacing w:after="0"/>
        <w:rPr>
          <w:iCs/>
        </w:rPr>
      </w:pPr>
      <w:r w:rsidRPr="00D91D0B">
        <w:rPr>
          <w:iCs/>
        </w:rPr>
        <w:t>Knight, John S. and James L.. (2005). Poll: Students Don’t Understand First Amendment,” The Annapolis Capital, Poll findings, The Future of the 1st Amendment. John S. and James L. Knight Foundation.</w:t>
      </w:r>
    </w:p>
    <w:p w14:paraId="37F6E471" w14:textId="77777777" w:rsidR="003E121C" w:rsidRDefault="003E121C" w:rsidP="00D91D0B">
      <w:pPr>
        <w:pStyle w:val="Body"/>
        <w:spacing w:after="0"/>
        <w:rPr>
          <w:iCs/>
        </w:rPr>
      </w:pPr>
    </w:p>
    <w:p w14:paraId="1AC796C8" w14:textId="6FB61956" w:rsidR="00D91D0B" w:rsidRDefault="00D91D0B" w:rsidP="00D91D0B">
      <w:pPr>
        <w:pStyle w:val="Body"/>
        <w:spacing w:after="0"/>
        <w:rPr>
          <w:iCs/>
        </w:rPr>
      </w:pPr>
      <w:r w:rsidRPr="00D91D0B">
        <w:rPr>
          <w:iCs/>
        </w:rPr>
        <w:t xml:space="preserve">Lake, Snell, Perry and Associates and the Tarrance Group, Inc. (2002) as cited in Growing to Greatness (St. Paul, Minnesota: National Youth Leadership Council, 2004), 17. </w:t>
      </w:r>
    </w:p>
    <w:p w14:paraId="7D8C867A" w14:textId="77777777" w:rsidR="003E121C" w:rsidRDefault="003E121C" w:rsidP="00D91D0B">
      <w:pPr>
        <w:pStyle w:val="Body"/>
        <w:spacing w:after="0"/>
        <w:rPr>
          <w:iCs/>
        </w:rPr>
      </w:pPr>
    </w:p>
    <w:p w14:paraId="75F03CDC" w14:textId="7D7E9E51" w:rsidR="00D91D0B" w:rsidRDefault="00D91D0B" w:rsidP="00D91D0B">
      <w:pPr>
        <w:pStyle w:val="Body"/>
        <w:spacing w:after="0"/>
        <w:rPr>
          <w:iCs/>
        </w:rPr>
      </w:pPr>
      <w:r w:rsidRPr="00D91D0B">
        <w:rPr>
          <w:iCs/>
        </w:rPr>
        <w:t>Medrich E., S. Calderon, and G. Hoachlander. (2003) Contextual Teaching and Learning Strategies in High Schools: Developing a Vision for Support and Evaluation. Washington, DC: American Youth Policy Forum and the Institute for Educational Leadership</w:t>
      </w:r>
    </w:p>
    <w:p w14:paraId="1C5BCBB2" w14:textId="77777777" w:rsidR="00D91D0B" w:rsidRDefault="00D91D0B" w:rsidP="00D91D0B">
      <w:pPr>
        <w:pStyle w:val="Body"/>
        <w:spacing w:after="0"/>
        <w:rPr>
          <w:iCs/>
        </w:rPr>
      </w:pPr>
      <w:r w:rsidRPr="00D91D0B">
        <w:rPr>
          <w:iCs/>
        </w:rPr>
        <w:t>Princeton, NJ. (2005). Ready for Th e Real World? Americans Speak on High School Reform.: Educational Testing Service</w:t>
      </w:r>
    </w:p>
    <w:p w14:paraId="53AC396D" w14:textId="77777777" w:rsidR="003E121C" w:rsidRDefault="003E121C" w:rsidP="00D91D0B">
      <w:pPr>
        <w:pStyle w:val="Body"/>
        <w:spacing w:after="0"/>
        <w:rPr>
          <w:iCs/>
        </w:rPr>
      </w:pPr>
      <w:bookmarkStart w:id="11" w:name="_Hlk118425848"/>
    </w:p>
    <w:bookmarkEnd w:id="11"/>
    <w:p w14:paraId="4F54F0F5" w14:textId="77777777" w:rsidR="00D91D0B" w:rsidRPr="00D91D0B" w:rsidRDefault="00D91D0B" w:rsidP="00D91D0B">
      <w:pPr>
        <w:pStyle w:val="Body"/>
        <w:spacing w:after="0"/>
        <w:rPr>
          <w:iCs/>
          <w:lang w:val="en-PH"/>
        </w:rPr>
      </w:pPr>
      <w:r w:rsidRPr="00D91D0B">
        <w:rPr>
          <w:iCs/>
          <w:lang w:val="en-PH"/>
        </w:rPr>
        <w:t xml:space="preserve">Sagawa, S. (2003). </w:t>
      </w:r>
      <w:r w:rsidRPr="00D91D0B">
        <w:rPr>
          <w:i/>
          <w:iCs/>
          <w:lang w:val="en-PH"/>
        </w:rPr>
        <w:t>The responsibility revolution: How the next generation of businesses will win.</w:t>
      </w:r>
      <w:r w:rsidRPr="00D91D0B">
        <w:rPr>
          <w:iCs/>
          <w:lang w:val="en-PH"/>
        </w:rPr>
        <w:t xml:space="preserve"> Jossey-Bass.</w:t>
      </w:r>
    </w:p>
    <w:p w14:paraId="5CE35191" w14:textId="77777777" w:rsidR="003E121C" w:rsidRDefault="003E121C" w:rsidP="00D91D0B">
      <w:pPr>
        <w:pStyle w:val="Body"/>
        <w:spacing w:after="0"/>
        <w:rPr>
          <w:iCs/>
        </w:rPr>
      </w:pPr>
    </w:p>
    <w:p w14:paraId="08ACB4B5" w14:textId="370BDB28" w:rsidR="00D91D0B" w:rsidRPr="00D91D0B" w:rsidRDefault="00D91D0B" w:rsidP="00D91D0B">
      <w:pPr>
        <w:pStyle w:val="Body"/>
        <w:spacing w:after="0"/>
        <w:rPr>
          <w:iCs/>
        </w:rPr>
      </w:pPr>
      <w:r w:rsidRPr="00D91D0B">
        <w:rPr>
          <w:iCs/>
        </w:rPr>
        <w:t>Schunk D. and F. Pajares. (2002). The Development of Academic Self-Efficacy. Development of Achievement Motivation. San Diego: Academic Press</w:t>
      </w:r>
    </w:p>
    <w:p w14:paraId="1227650A" w14:textId="77777777" w:rsidR="003E121C" w:rsidRDefault="003E121C" w:rsidP="00D91D0B">
      <w:pPr>
        <w:pStyle w:val="Body"/>
        <w:spacing w:after="0"/>
        <w:rPr>
          <w:iCs/>
          <w:lang w:val="en-PH"/>
        </w:rPr>
      </w:pPr>
    </w:p>
    <w:p w14:paraId="649D4517" w14:textId="68369CB9" w:rsidR="00D91D0B" w:rsidRPr="00D91D0B" w:rsidRDefault="00D91D0B" w:rsidP="00D91D0B">
      <w:pPr>
        <w:pStyle w:val="Body"/>
        <w:spacing w:after="0"/>
        <w:rPr>
          <w:iCs/>
          <w:lang w:val="en-PH"/>
        </w:rPr>
      </w:pPr>
      <w:r w:rsidRPr="00D91D0B">
        <w:rPr>
          <w:iCs/>
          <w:lang w:val="en-PH"/>
        </w:rPr>
        <w:t xml:space="preserve">Zamora, M. B. (2023). Enhancing environmental education through community service learning: A qualitative exploration of curriculum integration. </w:t>
      </w:r>
      <w:r w:rsidRPr="00D91D0B">
        <w:rPr>
          <w:i/>
          <w:iCs/>
          <w:lang w:val="en-PH"/>
        </w:rPr>
        <w:t>ResearchGate</w:t>
      </w:r>
      <w:r w:rsidRPr="00D91D0B">
        <w:rPr>
          <w:iCs/>
          <w:lang w:val="en-PH"/>
        </w:rPr>
        <w:t xml:space="preserve">. </w:t>
      </w:r>
      <w:hyperlink r:id="rId18" w:tgtFrame="_new" w:history="1">
        <w:r w:rsidRPr="00D91D0B">
          <w:rPr>
            <w:rStyle w:val="Hyperlink"/>
            <w:iCs/>
            <w:lang w:val="en-PH"/>
          </w:rPr>
          <w:t>https://www.researchgate.net/publication/370527798</w:t>
        </w:r>
      </w:hyperlink>
    </w:p>
    <w:p w14:paraId="3CD5D5DB" w14:textId="77777777" w:rsidR="003E121C" w:rsidRDefault="003E121C" w:rsidP="00D91D0B">
      <w:pPr>
        <w:pStyle w:val="Body"/>
        <w:spacing w:after="0"/>
        <w:rPr>
          <w:iCs/>
          <w:lang w:val="en-PH"/>
        </w:rPr>
      </w:pPr>
    </w:p>
    <w:p w14:paraId="00706C2F" w14:textId="223DEDBB" w:rsidR="00D91D0B" w:rsidRPr="00D91D0B" w:rsidRDefault="00D91D0B" w:rsidP="00D91D0B">
      <w:pPr>
        <w:pStyle w:val="Body"/>
        <w:spacing w:after="0"/>
        <w:rPr>
          <w:iCs/>
          <w:lang w:val="en-PH"/>
        </w:rPr>
      </w:pPr>
      <w:r w:rsidRPr="00D91D0B">
        <w:rPr>
          <w:iCs/>
          <w:lang w:val="en-PH"/>
        </w:rPr>
        <w:t xml:space="preserve">Zhao, Y., Li, H., &amp; Wang, X. (2024). Self-efficacy as a mediator between self-management and academic achievement among university students. </w:t>
      </w:r>
      <w:r w:rsidRPr="00D91D0B">
        <w:rPr>
          <w:i/>
          <w:iCs/>
          <w:lang w:val="en-PH"/>
        </w:rPr>
        <w:t>arXiv preprint arXiv:2404.11029</w:t>
      </w:r>
      <w:r w:rsidRPr="00D91D0B">
        <w:rPr>
          <w:iCs/>
          <w:lang w:val="en-PH"/>
        </w:rPr>
        <w:t xml:space="preserve">. </w:t>
      </w:r>
      <w:hyperlink r:id="rId19" w:history="1">
        <w:r w:rsidRPr="00D91D0B">
          <w:rPr>
            <w:rStyle w:val="Hyperlink"/>
            <w:iCs/>
            <w:lang w:val="en-PH"/>
          </w:rPr>
          <w:t>https://arxiv.org/abs/2404.11029</w:t>
        </w:r>
      </w:hyperlink>
    </w:p>
    <w:p w14:paraId="36CE77DF" w14:textId="5E6D3413" w:rsidR="004D4277" w:rsidRPr="00FB3A86" w:rsidRDefault="004D4277" w:rsidP="00441B6F">
      <w:pPr>
        <w:pStyle w:val="Appendix"/>
        <w:spacing w:after="0"/>
        <w:jc w:val="both"/>
        <w:rPr>
          <w:rFonts w:ascii="Arial" w:hAnsi="Arial" w:cs="Arial"/>
          <w:b w:val="0"/>
        </w:rPr>
        <w:sectPr w:rsidR="004D4277" w:rsidRPr="00FB3A86" w:rsidSect="0007470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9D97058" w14:textId="77777777" w:rsidR="00B01FCD" w:rsidRPr="00FB3A86" w:rsidRDefault="00B01FCD" w:rsidP="00441B6F">
      <w:pPr>
        <w:pStyle w:val="Appendix"/>
        <w:spacing w:after="0"/>
        <w:jc w:val="both"/>
        <w:rPr>
          <w:rFonts w:ascii="Arial" w:hAnsi="Arial" w:cs="Arial"/>
          <w:b w:val="0"/>
        </w:rPr>
      </w:pPr>
    </w:p>
    <w:sectPr w:rsidR="00B01FCD" w:rsidRPr="00FB3A86" w:rsidSect="000747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oshiba" w:date="2025-10-30T13:44:00Z" w:initials="T">
    <w:p w14:paraId="4D98787B" w14:textId="2605BEBE" w:rsidR="00531FFF" w:rsidRDefault="00531FFF">
      <w:pPr>
        <w:pStyle w:val="CommentText"/>
      </w:pPr>
      <w:r>
        <w:rPr>
          <w:rStyle w:val="CommentReference"/>
        </w:rPr>
        <w:annotationRef/>
      </w:r>
      <w:r w:rsidRPr="009C25C3">
        <w:rPr>
          <w:lang w:val="en-US"/>
        </w:rPr>
        <w:t>Not sharp enough</w:t>
      </w:r>
    </w:p>
  </w:comment>
  <w:comment w:id="1" w:author="Toshiba" w:date="2025-10-30T13:45:00Z" w:initials="T">
    <w:p w14:paraId="4CA7D6DD" w14:textId="3007826B" w:rsidR="00531FFF" w:rsidRDefault="00531FFF">
      <w:pPr>
        <w:pStyle w:val="CommentText"/>
      </w:pPr>
      <w:r>
        <w:rPr>
          <w:rStyle w:val="CommentReference"/>
        </w:rPr>
        <w:annotationRef/>
      </w:r>
      <w:r w:rsidRPr="009C25C3">
        <w:rPr>
          <w:lang w:val="en-US"/>
        </w:rPr>
        <w:t>Provides a brief introduction</w:t>
      </w:r>
    </w:p>
  </w:comment>
  <w:comment w:id="2" w:author="Toshiba" w:date="2025-10-30T13:45:00Z" w:initials="T">
    <w:p w14:paraId="2B231CB6" w14:textId="7A4ED927" w:rsidR="00531FFF" w:rsidRDefault="00531FFF">
      <w:pPr>
        <w:pStyle w:val="CommentText"/>
      </w:pPr>
      <w:r>
        <w:rPr>
          <w:rStyle w:val="CommentReference"/>
        </w:rPr>
        <w:annotationRef/>
      </w:r>
      <w:r>
        <w:rPr>
          <w:lang w:val="en-US"/>
        </w:rPr>
        <w:t xml:space="preserve">1) </w:t>
      </w:r>
      <w:r w:rsidRPr="009C25C3">
        <w:rPr>
          <w:lang w:val="en-US"/>
        </w:rPr>
        <w:t>Provides an overview of previous research on a similar topic to identify research gaps and novelties</w:t>
      </w:r>
      <w:r>
        <w:rPr>
          <w:lang w:val="en-US"/>
        </w:rPr>
        <w:t xml:space="preserve">, 2) Provides a literature review, 3) </w:t>
      </w:r>
      <w:r w:rsidRPr="009C25C3">
        <w:rPr>
          <w:lang w:val="en-US"/>
        </w:rPr>
        <w:t>Research objectives are not stated</w:t>
      </w:r>
    </w:p>
  </w:comment>
  <w:comment w:id="3" w:author="Toshiba" w:date="2025-10-30T13:46:00Z" w:initials="T">
    <w:p w14:paraId="41516993" w14:textId="600279E6" w:rsidR="00531FFF" w:rsidRDefault="00531FFF">
      <w:pPr>
        <w:pStyle w:val="CommentText"/>
      </w:pPr>
      <w:r>
        <w:rPr>
          <w:rStyle w:val="CommentReference"/>
        </w:rPr>
        <w:annotationRef/>
      </w:r>
      <w:r w:rsidRPr="009C25C3">
        <w:rPr>
          <w:lang w:val="en-US"/>
        </w:rPr>
        <w:t>Indicates the name of the university that will be the research object</w:t>
      </w:r>
    </w:p>
  </w:comment>
  <w:comment w:id="5" w:author="Toshiba" w:date="2025-10-30T13:46:00Z" w:initials="T">
    <w:p w14:paraId="49D259CF" w14:textId="25BEA626" w:rsidR="00531FFF" w:rsidRDefault="00531FFF">
      <w:pPr>
        <w:pStyle w:val="CommentText"/>
      </w:pPr>
      <w:r>
        <w:rPr>
          <w:rStyle w:val="CommentReference"/>
        </w:rPr>
        <w:annotationRef/>
      </w:r>
      <w:r w:rsidRPr="009C25C3">
        <w:rPr>
          <w:lang w:val="en-US"/>
        </w:rPr>
        <w:t>Order: 1) Data presentation first (Tables 1 and 2), f</w:t>
      </w:r>
      <w:r>
        <w:rPr>
          <w:lang w:val="en-US"/>
        </w:rPr>
        <w:t xml:space="preserve">ollowed by data interpretation, </w:t>
      </w:r>
      <w:r w:rsidRPr="009C25C3">
        <w:rPr>
          <w:lang w:val="en-US"/>
        </w:rPr>
        <w:t>2) Inadequate discussion</w:t>
      </w:r>
    </w:p>
  </w:comment>
  <w:comment w:id="8" w:author="Toshiba" w:date="2025-10-30T13:47:00Z" w:initials="T">
    <w:p w14:paraId="1686FBC9" w14:textId="72662852" w:rsidR="00531FFF" w:rsidRDefault="00531FFF">
      <w:pPr>
        <w:pStyle w:val="CommentText"/>
      </w:pPr>
      <w:r>
        <w:rPr>
          <w:rStyle w:val="CommentReference"/>
        </w:rPr>
        <w:annotationRef/>
      </w:r>
      <w:r w:rsidRPr="009C25C3">
        <w:rPr>
          <w:lang w:val="en-US"/>
        </w:rPr>
        <w:t>Does not fully address the research objectives</w:t>
      </w:r>
    </w:p>
  </w:comment>
  <w:comment w:id="9" w:author="Toshiba" w:date="2025-10-30T13:48:00Z" w:initials="T">
    <w:p w14:paraId="5425D058" w14:textId="0AEBBF3A" w:rsidR="00531FFF" w:rsidRDefault="00531FFF">
      <w:pPr>
        <w:pStyle w:val="CommentText"/>
      </w:pPr>
      <w:r>
        <w:rPr>
          <w:rStyle w:val="CommentReference"/>
        </w:rPr>
        <w:annotationRef/>
      </w:r>
      <w:r w:rsidRPr="009C25C3">
        <w:rPr>
          <w:lang w:val="en-US"/>
        </w:rPr>
        <w:t>Most of the literature is not up-to-date. Of the 18 literatures, 4 are updated, and 14 are not</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2F63C" w14:textId="77777777" w:rsidR="00BA5EF1" w:rsidRDefault="00BA5EF1" w:rsidP="00C37E61">
      <w:r>
        <w:separator/>
      </w:r>
    </w:p>
  </w:endnote>
  <w:endnote w:type="continuationSeparator" w:id="0">
    <w:p w14:paraId="2D79AF98" w14:textId="77777777" w:rsidR="00BA5EF1" w:rsidRDefault="00BA5E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2586" w14:textId="4D3F468E" w:rsidR="00754C9A" w:rsidRPr="0007470E" w:rsidRDefault="00754C9A" w:rsidP="00074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4A140"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6095" w14:textId="77777777" w:rsidR="00BA5EF1" w:rsidRDefault="00BA5EF1" w:rsidP="00C37E61">
      <w:r>
        <w:separator/>
      </w:r>
    </w:p>
  </w:footnote>
  <w:footnote w:type="continuationSeparator" w:id="0">
    <w:p w14:paraId="1BCEE345" w14:textId="77777777" w:rsidR="00BA5EF1" w:rsidRDefault="00BA5EF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1A1A4" w14:textId="0FAE96F3" w:rsidR="0007470E" w:rsidRDefault="00BA5EF1">
    <w:pPr>
      <w:pStyle w:val="Header"/>
    </w:pPr>
    <w:r>
      <w:rPr>
        <w:noProof/>
      </w:rPr>
      <w:pict w14:anchorId="27D77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16A84" w14:textId="41CE96EF" w:rsidR="0007470E" w:rsidRDefault="00BA5EF1">
    <w:pPr>
      <w:pStyle w:val="Header"/>
    </w:pPr>
    <w:r>
      <w:rPr>
        <w:noProof/>
      </w:rPr>
      <w:pict w14:anchorId="13A52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2BC5E" w14:textId="5A4FF90A" w:rsidR="00296529" w:rsidRPr="00296529" w:rsidRDefault="00BA5EF1" w:rsidP="00296529">
    <w:pPr>
      <w:ind w:left="2160"/>
      <w:jc w:val="center"/>
      <w:rPr>
        <w:rFonts w:ascii="Times New Roman" w:eastAsia="Calibri" w:hAnsi="Times New Roman"/>
        <w:i/>
        <w:sz w:val="18"/>
        <w:szCs w:val="22"/>
      </w:rPr>
    </w:pPr>
    <w:r>
      <w:rPr>
        <w:noProof/>
      </w:rPr>
      <w:pict w14:anchorId="5144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D10A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8840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139B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50A9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C24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3463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7B12" w14:textId="06DF836F" w:rsidR="0007470E" w:rsidRDefault="00BA5EF1">
    <w:pPr>
      <w:pStyle w:val="Header"/>
    </w:pPr>
    <w:r>
      <w:rPr>
        <w:noProof/>
      </w:rPr>
      <w:pict w14:anchorId="66DEA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6B72" w14:textId="17059C06" w:rsidR="0007470E" w:rsidRDefault="00BA5EF1">
    <w:pPr>
      <w:pStyle w:val="Header"/>
    </w:pPr>
    <w:r>
      <w:rPr>
        <w:noProof/>
      </w:rPr>
      <w:pict w14:anchorId="74CA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C5FB" w14:textId="470E087F" w:rsidR="0007470E" w:rsidRDefault="00BA5EF1">
    <w:pPr>
      <w:pStyle w:val="Header"/>
    </w:pPr>
    <w:r>
      <w:rPr>
        <w:noProof/>
      </w:rPr>
      <w:pict w14:anchorId="28B87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60B4645"/>
    <w:multiLevelType w:val="hybridMultilevel"/>
    <w:tmpl w:val="7F94BD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7470E"/>
    <w:rsid w:val="000A47FA"/>
    <w:rsid w:val="000A65D3"/>
    <w:rsid w:val="000B1E33"/>
    <w:rsid w:val="000D689F"/>
    <w:rsid w:val="000E7B7B"/>
    <w:rsid w:val="000E7D62"/>
    <w:rsid w:val="00103357"/>
    <w:rsid w:val="001174D9"/>
    <w:rsid w:val="00123C9F"/>
    <w:rsid w:val="00126190"/>
    <w:rsid w:val="00130F17"/>
    <w:rsid w:val="001320BF"/>
    <w:rsid w:val="00163BC4"/>
    <w:rsid w:val="00191062"/>
    <w:rsid w:val="00192B72"/>
    <w:rsid w:val="001A29D8"/>
    <w:rsid w:val="001A5CAA"/>
    <w:rsid w:val="001B0427"/>
    <w:rsid w:val="001D3A51"/>
    <w:rsid w:val="001E0722"/>
    <w:rsid w:val="001E10D2"/>
    <w:rsid w:val="001E25B4"/>
    <w:rsid w:val="001E44FE"/>
    <w:rsid w:val="00200595"/>
    <w:rsid w:val="00204835"/>
    <w:rsid w:val="0022471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FAD"/>
    <w:rsid w:val="003512C2"/>
    <w:rsid w:val="00371FB6"/>
    <w:rsid w:val="003763C1"/>
    <w:rsid w:val="00376BBE"/>
    <w:rsid w:val="0039224F"/>
    <w:rsid w:val="003A43A4"/>
    <w:rsid w:val="003A7E18"/>
    <w:rsid w:val="003C4C86"/>
    <w:rsid w:val="003C6258"/>
    <w:rsid w:val="003E121C"/>
    <w:rsid w:val="003E2904"/>
    <w:rsid w:val="00401927"/>
    <w:rsid w:val="0041027F"/>
    <w:rsid w:val="00412475"/>
    <w:rsid w:val="00423789"/>
    <w:rsid w:val="00440F43"/>
    <w:rsid w:val="00441B6F"/>
    <w:rsid w:val="00446221"/>
    <w:rsid w:val="00450E62"/>
    <w:rsid w:val="004539DB"/>
    <w:rsid w:val="00471A80"/>
    <w:rsid w:val="004869DF"/>
    <w:rsid w:val="004D305E"/>
    <w:rsid w:val="004D4277"/>
    <w:rsid w:val="00502516"/>
    <w:rsid w:val="00505F06"/>
    <w:rsid w:val="00506828"/>
    <w:rsid w:val="0053056E"/>
    <w:rsid w:val="00531FFF"/>
    <w:rsid w:val="00554FDA"/>
    <w:rsid w:val="005C784C"/>
    <w:rsid w:val="005D17F6"/>
    <w:rsid w:val="005E5539"/>
    <w:rsid w:val="00602BF5"/>
    <w:rsid w:val="00617FDD"/>
    <w:rsid w:val="00633614"/>
    <w:rsid w:val="00633F68"/>
    <w:rsid w:val="00636EB2"/>
    <w:rsid w:val="006375B8"/>
    <w:rsid w:val="0066510A"/>
    <w:rsid w:val="00673F9F"/>
    <w:rsid w:val="00676503"/>
    <w:rsid w:val="00686953"/>
    <w:rsid w:val="00687DEA"/>
    <w:rsid w:val="00687E67"/>
    <w:rsid w:val="006967F7"/>
    <w:rsid w:val="006A250C"/>
    <w:rsid w:val="006B21D3"/>
    <w:rsid w:val="006B57D0"/>
    <w:rsid w:val="006C5640"/>
    <w:rsid w:val="006C7AE4"/>
    <w:rsid w:val="006D30FF"/>
    <w:rsid w:val="006D6940"/>
    <w:rsid w:val="006F11EC"/>
    <w:rsid w:val="0070082C"/>
    <w:rsid w:val="0071585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4AE"/>
    <w:rsid w:val="008B459E"/>
    <w:rsid w:val="008E13AE"/>
    <w:rsid w:val="008E1506"/>
    <w:rsid w:val="008E710C"/>
    <w:rsid w:val="008F69D6"/>
    <w:rsid w:val="00902823"/>
    <w:rsid w:val="00915CA6"/>
    <w:rsid w:val="00927834"/>
    <w:rsid w:val="009500A6"/>
    <w:rsid w:val="00957C18"/>
    <w:rsid w:val="009659BA"/>
    <w:rsid w:val="00983040"/>
    <w:rsid w:val="00995DDE"/>
    <w:rsid w:val="009B17C3"/>
    <w:rsid w:val="009B3FB9"/>
    <w:rsid w:val="009C2465"/>
    <w:rsid w:val="009D35A0"/>
    <w:rsid w:val="009D7EB7"/>
    <w:rsid w:val="009E048A"/>
    <w:rsid w:val="009E08E9"/>
    <w:rsid w:val="009E3DB9"/>
    <w:rsid w:val="009E6E35"/>
    <w:rsid w:val="009F0EDA"/>
    <w:rsid w:val="00A03B96"/>
    <w:rsid w:val="00A05B19"/>
    <w:rsid w:val="00A06196"/>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BE8"/>
    <w:rsid w:val="00B52583"/>
    <w:rsid w:val="00B52896"/>
    <w:rsid w:val="00B95236"/>
    <w:rsid w:val="00B96BD9"/>
    <w:rsid w:val="00BA1B01"/>
    <w:rsid w:val="00BA2641"/>
    <w:rsid w:val="00BA5EF1"/>
    <w:rsid w:val="00BB242D"/>
    <w:rsid w:val="00BB37AA"/>
    <w:rsid w:val="00BC53A0"/>
    <w:rsid w:val="00BE62AD"/>
    <w:rsid w:val="00BF121F"/>
    <w:rsid w:val="00BF1F80"/>
    <w:rsid w:val="00BF3FF2"/>
    <w:rsid w:val="00C166EF"/>
    <w:rsid w:val="00C17EB0"/>
    <w:rsid w:val="00C27F5F"/>
    <w:rsid w:val="00C30A0F"/>
    <w:rsid w:val="00C37E61"/>
    <w:rsid w:val="00C4623C"/>
    <w:rsid w:val="00C70F1B"/>
    <w:rsid w:val="00C71A47"/>
    <w:rsid w:val="00C7464C"/>
    <w:rsid w:val="00C85588"/>
    <w:rsid w:val="00CA4148"/>
    <w:rsid w:val="00CD6755"/>
    <w:rsid w:val="00CD6856"/>
    <w:rsid w:val="00CE0089"/>
    <w:rsid w:val="00CE793C"/>
    <w:rsid w:val="00CF193C"/>
    <w:rsid w:val="00D173F1"/>
    <w:rsid w:val="00D74CB0"/>
    <w:rsid w:val="00D8295D"/>
    <w:rsid w:val="00D91D0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0C1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E4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47F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47F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47F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47FAD"/>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F3FF2"/>
    <w:pPr>
      <w:spacing w:after="160" w:line="259" w:lineRule="auto"/>
      <w:ind w:left="720"/>
      <w:contextualSpacing/>
    </w:pPr>
    <w:rPr>
      <w:rFonts w:asciiTheme="minorHAnsi" w:eastAsiaTheme="minorHAnsi" w:hAnsiTheme="minorHAnsi" w:cstheme="minorBidi"/>
      <w:kern w:val="2"/>
      <w:sz w:val="22"/>
      <w:szCs w:val="22"/>
      <w:lang w:val="en-PH"/>
    </w:rPr>
  </w:style>
  <w:style w:type="paragraph" w:styleId="CommentSubject">
    <w:name w:val="annotation subject"/>
    <w:basedOn w:val="CommentText"/>
    <w:next w:val="CommentText"/>
    <w:link w:val="CommentSubjectChar"/>
    <w:semiHidden/>
    <w:unhideWhenUsed/>
    <w:rsid w:val="00531FFF"/>
    <w:rPr>
      <w:rFonts w:ascii="Helvetica" w:hAnsi="Helvetica"/>
      <w:b/>
      <w:bCs/>
      <w:lang w:val="en-US" w:eastAsia="en-US"/>
    </w:rPr>
  </w:style>
  <w:style w:type="character" w:customStyle="1" w:styleId="CommentSubjectChar">
    <w:name w:val="Comment Subject Char"/>
    <w:basedOn w:val="CommentTextChar"/>
    <w:link w:val="CommentSubject"/>
    <w:semiHidden/>
    <w:rsid w:val="00531FF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47F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47F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47F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47FAD"/>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F3FF2"/>
    <w:pPr>
      <w:spacing w:after="160" w:line="259" w:lineRule="auto"/>
      <w:ind w:left="720"/>
      <w:contextualSpacing/>
    </w:pPr>
    <w:rPr>
      <w:rFonts w:asciiTheme="minorHAnsi" w:eastAsiaTheme="minorHAnsi" w:hAnsiTheme="minorHAnsi" w:cstheme="minorBidi"/>
      <w:kern w:val="2"/>
      <w:sz w:val="22"/>
      <w:szCs w:val="22"/>
      <w:lang w:val="en-PH"/>
    </w:rPr>
  </w:style>
  <w:style w:type="paragraph" w:styleId="CommentSubject">
    <w:name w:val="annotation subject"/>
    <w:basedOn w:val="CommentText"/>
    <w:next w:val="CommentText"/>
    <w:link w:val="CommentSubjectChar"/>
    <w:semiHidden/>
    <w:unhideWhenUsed/>
    <w:rsid w:val="00531FFF"/>
    <w:rPr>
      <w:rFonts w:ascii="Helvetica" w:hAnsi="Helvetica"/>
      <w:b/>
      <w:bCs/>
      <w:lang w:val="en-US" w:eastAsia="en-US"/>
    </w:rPr>
  </w:style>
  <w:style w:type="character" w:customStyle="1" w:styleId="CommentSubjectChar">
    <w:name w:val="Comment Subject Char"/>
    <w:basedOn w:val="CommentTextChar"/>
    <w:link w:val="CommentSubject"/>
    <w:semiHidden/>
    <w:rsid w:val="00531FF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researchgate.net/publication/370527798"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thepost.net.ph/news/nation/dole-rolls-out-updated-youth-employability-modules-to-improve-job-readin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js.literacyinstitute.org/index.php/ijcs/article/view/136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mcmededuc.biomedcentral.com/articles/10.1186/s12909-024-06534-4"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arxiv.org/abs/2404.11029"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2105/AJPH.90.10.1517"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419E3-604D-4DE6-91DF-62867311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25698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Toshiba</cp:lastModifiedBy>
  <cp:revision>2</cp:revision>
  <cp:lastPrinted>1999-07-06T11:00:00Z</cp:lastPrinted>
  <dcterms:created xsi:type="dcterms:W3CDTF">2025-10-30T07:22:00Z</dcterms:created>
  <dcterms:modified xsi:type="dcterms:W3CDTF">2025-10-30T07:22:00Z</dcterms:modified>
</cp:coreProperties>
</file>