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comments.xml" ContentType="application/vnd.openxmlformats-officedocument.wordprocessingml.comment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22" w:rsidRDefault="00441480">
      <w:pPr>
        <w:spacing w:line="360" w:lineRule="auto"/>
        <w:jc w:val="both"/>
        <w:rPr>
          <w:rFonts w:ascii="Times New Roman" w:hAnsi="Times New Roman" w:cs="Times New Roman"/>
          <w:b/>
          <w:bCs/>
          <w:i/>
          <w:iCs/>
          <w:color w:val="000000"/>
          <w:sz w:val="28"/>
          <w:szCs w:val="28"/>
          <w:u w:val="single"/>
          <w:lang w:val="en-US"/>
        </w:rPr>
      </w:pPr>
      <w:r>
        <w:rPr>
          <w:rFonts w:ascii="Times New Roman" w:hAnsi="Times New Roman" w:cs="Times New Roman"/>
          <w:b/>
          <w:bCs/>
          <w:i/>
          <w:iCs/>
          <w:color w:val="000000"/>
          <w:sz w:val="28"/>
          <w:szCs w:val="28"/>
          <w:u w:val="single"/>
          <w:lang w:val="en-US"/>
        </w:rPr>
        <w:t>Short communication</w:t>
      </w:r>
    </w:p>
    <w:p w:rsidR="00C61622" w:rsidRDefault="00441480">
      <w:pPr>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REGISTRATION OF MEDICAL DEVICE IN FDA, EU AND CDSCO: OVERVIEW</w:t>
      </w:r>
    </w:p>
    <w:p w:rsidR="00C61622" w:rsidRDefault="00441480">
      <w:pPr>
        <w:spacing w:line="360" w:lineRule="auto"/>
        <w:jc w:val="both"/>
        <w:rPr>
          <w:rFonts w:ascii="Times New Roman" w:hAnsi="Times New Roman" w:cs="Times New Roman"/>
          <w:b/>
          <w:bCs/>
          <w:color w:val="000000"/>
          <w:sz w:val="24"/>
          <w:szCs w:val="24"/>
          <w:lang w:val="en-GB"/>
        </w:rPr>
      </w:pPr>
      <w:r>
        <w:rPr>
          <w:rFonts w:ascii="Times New Roman" w:hAnsi="Times New Roman" w:cs="Times New Roman"/>
          <w:b/>
          <w:color w:val="000000"/>
          <w:sz w:val="24"/>
          <w:szCs w:val="24"/>
        </w:rPr>
        <w:t xml:space="preserve"> </w:t>
      </w:r>
    </w:p>
    <w:p w:rsidR="00C61622" w:rsidRDefault="00441480">
      <w:pPr>
        <w:rPr>
          <w:rFonts w:ascii="Times New Roman" w:hAnsi="Times New Roman" w:cs="Times New Roman"/>
          <w:b/>
          <w:sz w:val="24"/>
          <w:szCs w:val="24"/>
        </w:rPr>
      </w:pPr>
      <w:r>
        <w:rPr>
          <w:rFonts w:ascii="Times New Roman" w:hAnsi="Times New Roman" w:cs="Times New Roman"/>
          <w:b/>
          <w:sz w:val="24"/>
          <w:szCs w:val="24"/>
        </w:rPr>
        <w:t xml:space="preserve">ABSTRACT: </w:t>
      </w:r>
    </w:p>
    <w:p w:rsidR="00C61622" w:rsidRDefault="00441480">
      <w:pPr>
        <w:spacing w:after="0" w:line="360" w:lineRule="auto"/>
        <w:ind w:left="-57"/>
        <w:jc w:val="both"/>
        <w:rPr>
          <w:rFonts w:ascii="Times New Roman" w:hAnsi="Times New Roman" w:cs="Times New Roman"/>
          <w:sz w:val="24"/>
          <w:szCs w:val="24"/>
        </w:rPr>
      </w:pPr>
      <w:commentRangeStart w:id="0"/>
      <w:r>
        <w:rPr>
          <w:rFonts w:ascii="Times New Roman" w:hAnsi="Times New Roman" w:cs="Times New Roman"/>
          <w:sz w:val="24"/>
          <w:szCs w:val="24"/>
        </w:rPr>
        <w:t xml:space="preserve">This </w:t>
      </w:r>
      <w:commentRangeStart w:id="1"/>
      <w:r>
        <w:rPr>
          <w:rFonts w:ascii="Times New Roman" w:hAnsi="Times New Roman" w:cs="Times New Roman"/>
          <w:sz w:val="24"/>
          <w:szCs w:val="24"/>
        </w:rPr>
        <w:t xml:space="preserve">comprehensive </w:t>
      </w:r>
      <w:commentRangeEnd w:id="1"/>
      <w:r w:rsidR="009E5DAB">
        <w:rPr>
          <w:rStyle w:val="CommentReference"/>
        </w:rPr>
        <w:commentReference w:id="1"/>
      </w:r>
      <w:r>
        <w:rPr>
          <w:rFonts w:ascii="Times New Roman" w:hAnsi="Times New Roman" w:cs="Times New Roman"/>
          <w:sz w:val="24"/>
          <w:szCs w:val="24"/>
        </w:rPr>
        <w:t xml:space="preserve">summary provides a detailed look into the regulatory processes for registering medical devices in three major jurisdictions: the US Food and </w:t>
      </w:r>
      <w:r>
        <w:rPr>
          <w:rFonts w:ascii="Times New Roman" w:hAnsi="Times New Roman" w:cs="Times New Roman"/>
          <w:sz w:val="24"/>
          <w:szCs w:val="24"/>
        </w:rPr>
        <w:t>Drug Administration (FDA), the European Union (EU), and India's Central Drugs Standard Control Organization (CDSCO). Each regulatory agency plays a crucial role in ensuring the safety, effectiveness, and quality standards of medical devices in their respec</w:t>
      </w:r>
      <w:r>
        <w:rPr>
          <w:rFonts w:ascii="Times New Roman" w:hAnsi="Times New Roman" w:cs="Times New Roman"/>
          <w:sz w:val="24"/>
          <w:szCs w:val="24"/>
        </w:rPr>
        <w:t>tive markets.</w:t>
      </w:r>
      <w:r>
        <w:rPr>
          <w:rFonts w:ascii="Times New Roman" w:hAnsi="Times New Roman" w:cs="Times New Roman"/>
          <w:sz w:val="24"/>
          <w:szCs w:val="24"/>
        </w:rPr>
        <w:br/>
        <w:t>The FDA, as the regulatory authority in the United States, has a stringent registration system in place to evaluate and approve medical devices before they can be marketed and sold. Manufacturers must adhere to specific procedures and program</w:t>
      </w:r>
      <w:r>
        <w:rPr>
          <w:rFonts w:ascii="Times New Roman" w:hAnsi="Times New Roman" w:cs="Times New Roman"/>
          <w:sz w:val="24"/>
          <w:szCs w:val="24"/>
        </w:rPr>
        <w:t>s to comply with FDA regulations, which are designed to safeguard patient health and promote innovation in the medical device industry.In the European Union, medical device registration is regulated by the EU's Medicinal Products for Human Use Directive, w</w:t>
      </w:r>
      <w:r>
        <w:rPr>
          <w:rFonts w:ascii="Times New Roman" w:hAnsi="Times New Roman" w:cs="Times New Roman"/>
          <w:sz w:val="24"/>
          <w:szCs w:val="24"/>
        </w:rPr>
        <w:t xml:space="preserve">hich sets forth stringent requirements for safety and quality standards. Manufacturers must undergo a thorough review process and obtain a </w:t>
      </w:r>
      <w:commentRangeStart w:id="2"/>
      <w:r>
        <w:rPr>
          <w:rFonts w:ascii="Times New Roman" w:hAnsi="Times New Roman" w:cs="Times New Roman"/>
          <w:sz w:val="24"/>
          <w:szCs w:val="24"/>
        </w:rPr>
        <w:t xml:space="preserve">CE </w:t>
      </w:r>
      <w:commentRangeEnd w:id="2"/>
      <w:r w:rsidR="0027303A">
        <w:rPr>
          <w:rStyle w:val="CommentReference"/>
        </w:rPr>
        <w:commentReference w:id="2"/>
      </w:r>
      <w:r>
        <w:rPr>
          <w:rFonts w:ascii="Times New Roman" w:hAnsi="Times New Roman" w:cs="Times New Roman"/>
          <w:sz w:val="24"/>
          <w:szCs w:val="24"/>
        </w:rPr>
        <w:t>Mark certification before their devices can be introduced to the European market. The EU's regulatory framework ai</w:t>
      </w:r>
      <w:r>
        <w:rPr>
          <w:rFonts w:ascii="Times New Roman" w:hAnsi="Times New Roman" w:cs="Times New Roman"/>
          <w:sz w:val="24"/>
          <w:szCs w:val="24"/>
        </w:rPr>
        <w:t xml:space="preserve">ms to harmonize standards across member states and ensure consistency in device registration procedures.In India, the CDSCO oversees the registration of medical devices and plays a key role in evaluating the safety and efficacy of products before they can </w:t>
      </w:r>
      <w:r>
        <w:rPr>
          <w:rFonts w:ascii="Times New Roman" w:hAnsi="Times New Roman" w:cs="Times New Roman"/>
          <w:sz w:val="24"/>
          <w:szCs w:val="24"/>
        </w:rPr>
        <w:t>be launched in the Indian market. Manufacturers must comply with CDSCO regulations and submit detailed documentation to demonstrate the safety and performance of their devices.</w:t>
      </w:r>
      <w:commentRangeEnd w:id="0"/>
      <w:r w:rsidR="0027303A">
        <w:rPr>
          <w:rStyle w:val="CommentReference"/>
        </w:rPr>
        <w:commentReference w:id="0"/>
      </w:r>
    </w:p>
    <w:p w:rsidR="00C61622" w:rsidRDefault="004414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Introduction : </w:t>
      </w:r>
    </w:p>
    <w:p w:rsidR="00C61622" w:rsidRDefault="004414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MEDICAL DEVICE CLASSIFICATION AS PER USFDA:</w:t>
      </w:r>
    </w:p>
    <w:p w:rsidR="00C61622" w:rsidRDefault="00441480">
      <w:pPr>
        <w:spacing w:line="360" w:lineRule="auto"/>
        <w:jc w:val="both"/>
        <w:rPr>
          <w:rFonts w:ascii="Times New Roman" w:hAnsi="Times New Roman" w:cs="Times New Roman"/>
          <w:sz w:val="24"/>
          <w:szCs w:val="24"/>
        </w:rPr>
      </w:pPr>
      <w:commentRangeStart w:id="3"/>
      <w:r>
        <w:rPr>
          <w:rFonts w:ascii="Times New Roman" w:hAnsi="Times New Roman" w:cs="Times New Roman"/>
          <w:color w:val="000000"/>
          <w:sz w:val="24"/>
          <w:szCs w:val="24"/>
        </w:rPr>
        <w:t>Utilizing a methodo</w:t>
      </w:r>
      <w:r>
        <w:rPr>
          <w:rFonts w:ascii="Times New Roman" w:hAnsi="Times New Roman" w:cs="Times New Roman"/>
          <w:color w:val="000000"/>
          <w:sz w:val="24"/>
          <w:szCs w:val="24"/>
        </w:rPr>
        <w:t xml:space="preserve">logy based on risk that takes into account the planned usage as well as the intended reason for use, the US FDA classifies therapeutic devices. Three classifications are distinguished between them: I, II, and III. </w:t>
      </w:r>
      <w:commentRangeEnd w:id="3"/>
      <w:r w:rsidR="0027303A">
        <w:rPr>
          <w:rStyle w:val="CommentReference"/>
        </w:rPr>
        <w:commentReference w:id="3"/>
      </w:r>
      <w:commentRangeStart w:id="4"/>
      <w:r>
        <w:rPr>
          <w:rFonts w:ascii="Times New Roman" w:hAnsi="Times New Roman" w:cs="Times New Roman"/>
          <w:color w:val="000000"/>
          <w:sz w:val="24"/>
          <w:szCs w:val="24"/>
        </w:rPr>
        <w:t>Medical equipment fall into three categori</w:t>
      </w:r>
      <w:r>
        <w:rPr>
          <w:rFonts w:ascii="Times New Roman" w:hAnsi="Times New Roman" w:cs="Times New Roman"/>
          <w:color w:val="000000"/>
          <w:sz w:val="24"/>
          <w:szCs w:val="24"/>
        </w:rPr>
        <w:t xml:space="preserve">es: Class I, the least dangerous; Class II, the risky class; and Class III, the most dangerous class. Medical </w:t>
      </w:r>
      <w:r>
        <w:rPr>
          <w:rFonts w:ascii="Times New Roman" w:hAnsi="Times New Roman" w:cs="Times New Roman"/>
          <w:color w:val="000000"/>
          <w:sz w:val="24"/>
          <w:szCs w:val="24"/>
        </w:rPr>
        <w:lastRenderedPageBreak/>
        <w:t>equipment that is classified as Class II or Class III (high-risk) has the potential to inflict serious or catastrophic harm, whereas generally sec</w:t>
      </w:r>
      <w:r>
        <w:rPr>
          <w:rFonts w:ascii="Times New Roman" w:hAnsi="Times New Roman" w:cs="Times New Roman"/>
          <w:color w:val="000000"/>
          <w:sz w:val="24"/>
          <w:szCs w:val="24"/>
        </w:rPr>
        <w:t xml:space="preserve">ure medical technology glitches or expires without putting a patient at risk. </w:t>
      </w:r>
      <w:commentRangeEnd w:id="4"/>
      <w:r w:rsidR="0027303A">
        <w:rPr>
          <w:rStyle w:val="CommentReference"/>
        </w:rPr>
        <w:commentReference w:id="4"/>
      </w:r>
      <w:r>
        <w:rPr>
          <w:rFonts w:ascii="Times New Roman" w:hAnsi="Times New Roman" w:cs="Times New Roman"/>
          <w:color w:val="000000"/>
          <w:sz w:val="24"/>
          <w:szCs w:val="24"/>
        </w:rPr>
        <w:t xml:space="preserve">The amount of phases in the procedure for clearance varies based on the type of device. In order to maintain security, category I medical equipment is normally prohibited. </w:t>
      </w:r>
      <w:commentRangeStart w:id="5"/>
      <w:r>
        <w:rPr>
          <w:rFonts w:ascii="Times New Roman" w:hAnsi="Times New Roman" w:cs="Times New Roman"/>
          <w:color w:val="000000"/>
          <w:sz w:val="24"/>
          <w:szCs w:val="24"/>
        </w:rPr>
        <w:t>Only a</w:t>
      </w:r>
      <w:r>
        <w:rPr>
          <w:rFonts w:ascii="Times New Roman" w:hAnsi="Times New Roman" w:cs="Times New Roman"/>
          <w:color w:val="000000"/>
          <w:sz w:val="24"/>
          <w:szCs w:val="24"/>
        </w:rPr>
        <w:t xml:space="preserve"> few of the particular regulations that pertain to Class II are those that deal with requirements for labelling, post-market surveillance, and advertising effectiveness. Class III medical devices cannot be premarket cleared until their effectiveness and sa</w:t>
      </w:r>
      <w:r>
        <w:rPr>
          <w:rFonts w:ascii="Times New Roman" w:hAnsi="Times New Roman" w:cs="Times New Roman"/>
          <w:color w:val="000000"/>
          <w:sz w:val="24"/>
          <w:szCs w:val="24"/>
        </w:rPr>
        <w:t>fety have been demonstrated.</w:t>
      </w:r>
      <w:r>
        <w:rPr>
          <w:rFonts w:ascii="Times New Roman" w:hAnsi="Times New Roman" w:cs="Times New Roman"/>
          <w:sz w:val="24"/>
          <w:szCs w:val="24"/>
        </w:rPr>
        <w:t xml:space="preserve"> The reason modern technologies are considered such is that they </w:t>
      </w:r>
      <w:commentRangeStart w:id="6"/>
      <w:r>
        <w:rPr>
          <w:rFonts w:ascii="Times New Roman" w:hAnsi="Times New Roman" w:cs="Times New Roman"/>
          <w:sz w:val="24"/>
          <w:szCs w:val="24"/>
        </w:rPr>
        <w:t>don't</w:t>
      </w:r>
      <w:commentRangeEnd w:id="6"/>
      <w:r w:rsidR="0027303A">
        <w:rPr>
          <w:rStyle w:val="CommentReference"/>
        </w:rPr>
        <w:commentReference w:id="6"/>
      </w:r>
      <w:r>
        <w:rPr>
          <w:rFonts w:ascii="Times New Roman" w:hAnsi="Times New Roman" w:cs="Times New Roman"/>
          <w:sz w:val="24"/>
          <w:szCs w:val="24"/>
        </w:rPr>
        <w:t xml:space="preserve"> require a great deal of contact among patients and don't significantly affect the user's sense of trending topics or fitness. </w:t>
      </w:r>
      <w:commentRangeEnd w:id="5"/>
      <w:r w:rsidR="001218B1">
        <w:rPr>
          <w:rStyle w:val="CommentReference"/>
        </w:rPr>
        <w:commentReference w:id="5"/>
      </w:r>
    </w:p>
    <w:p w:rsidR="00C61622" w:rsidRDefault="00441480">
      <w:pPr>
        <w:spacing w:line="360" w:lineRule="auto"/>
        <w:jc w:val="both"/>
        <w:rPr>
          <w:rFonts w:ascii="Times New Roman" w:hAnsi="Times New Roman" w:cs="Times New Roman"/>
          <w:sz w:val="24"/>
          <w:szCs w:val="24"/>
        </w:rPr>
      </w:pPr>
      <w:r>
        <w:rPr>
          <w:rFonts w:ascii="Times New Roman" w:hAnsi="Times New Roman" w:cs="Times New Roman"/>
          <w:noProof/>
          <w:color w:val="000000"/>
          <w:sz w:val="24"/>
          <w:szCs w:val="24"/>
          <w:lang w:val="en-GB" w:eastAsia="en-GB"/>
        </w:rPr>
        <w:drawing>
          <wp:anchor distT="0" distB="0" distL="114300" distR="114300" simplePos="0" relativeHeight="7" behindDoc="0" locked="0" layoutInCell="1" allowOverlap="1">
            <wp:simplePos x="0" y="0"/>
            <wp:positionH relativeFrom="column">
              <wp:posOffset>0</wp:posOffset>
            </wp:positionH>
            <wp:positionV relativeFrom="page">
              <wp:posOffset>4557395</wp:posOffset>
            </wp:positionV>
            <wp:extent cx="2872740" cy="3228974"/>
            <wp:effectExtent l="57150" t="0" r="41910" b="0"/>
            <wp:wrapSquare wrapText="bothSides"/>
            <wp:docPr id="102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C61622" w:rsidRDefault="00C61622">
      <w:pPr>
        <w:spacing w:line="360" w:lineRule="auto"/>
        <w:jc w:val="both"/>
        <w:rPr>
          <w:rFonts w:ascii="Times New Roman" w:hAnsi="Times New Roman" w:cs="Times New Roman"/>
          <w:sz w:val="24"/>
          <w:szCs w:val="24"/>
        </w:rPr>
      </w:pPr>
      <w:commentRangeStart w:id="7"/>
    </w:p>
    <w:p w:rsidR="00C61622" w:rsidRDefault="00C61622">
      <w:pPr>
        <w:spacing w:line="360" w:lineRule="auto"/>
        <w:jc w:val="both"/>
        <w:rPr>
          <w:rFonts w:ascii="Times New Roman" w:hAnsi="Times New Roman" w:cs="Times New Roman"/>
          <w:sz w:val="24"/>
          <w:szCs w:val="24"/>
        </w:rPr>
      </w:pPr>
    </w:p>
    <w:p w:rsidR="00C61622" w:rsidRDefault="00C61622">
      <w:pPr>
        <w:spacing w:line="360" w:lineRule="auto"/>
        <w:jc w:val="both"/>
        <w:rPr>
          <w:rFonts w:ascii="Times New Roman" w:hAnsi="Times New Roman" w:cs="Times New Roman"/>
          <w:sz w:val="24"/>
          <w:szCs w:val="24"/>
        </w:rPr>
      </w:pPr>
    </w:p>
    <w:p w:rsidR="00C61622" w:rsidRDefault="00C61622">
      <w:pPr>
        <w:spacing w:line="360" w:lineRule="auto"/>
        <w:jc w:val="both"/>
        <w:rPr>
          <w:rFonts w:ascii="Times New Roman" w:hAnsi="Times New Roman" w:cs="Times New Roman"/>
          <w:sz w:val="24"/>
          <w:szCs w:val="24"/>
        </w:rPr>
      </w:pPr>
    </w:p>
    <w:p w:rsidR="00C61622" w:rsidRDefault="00C61622">
      <w:pPr>
        <w:spacing w:line="360" w:lineRule="auto"/>
        <w:jc w:val="both"/>
        <w:rPr>
          <w:rFonts w:ascii="Times New Roman" w:hAnsi="Times New Roman" w:cs="Times New Roman"/>
          <w:sz w:val="24"/>
          <w:szCs w:val="24"/>
        </w:rPr>
      </w:pPr>
    </w:p>
    <w:p w:rsidR="00C61622" w:rsidRDefault="00C61622">
      <w:pPr>
        <w:spacing w:line="360" w:lineRule="auto"/>
        <w:jc w:val="both"/>
        <w:rPr>
          <w:rFonts w:ascii="Times New Roman" w:hAnsi="Times New Roman" w:cs="Times New Roman"/>
          <w:sz w:val="24"/>
          <w:szCs w:val="24"/>
        </w:rPr>
      </w:pPr>
    </w:p>
    <w:p w:rsidR="00C61622" w:rsidRDefault="00C61622">
      <w:pPr>
        <w:spacing w:line="360" w:lineRule="auto"/>
        <w:jc w:val="both"/>
        <w:rPr>
          <w:rFonts w:ascii="Times New Roman" w:hAnsi="Times New Roman" w:cs="Times New Roman"/>
          <w:sz w:val="24"/>
          <w:szCs w:val="24"/>
        </w:rPr>
      </w:pPr>
    </w:p>
    <w:p w:rsidR="00C61622" w:rsidRDefault="00C61622">
      <w:pPr>
        <w:spacing w:line="360" w:lineRule="auto"/>
        <w:jc w:val="both"/>
        <w:rPr>
          <w:rFonts w:ascii="Times New Roman" w:hAnsi="Times New Roman" w:cs="Times New Roman"/>
          <w:sz w:val="24"/>
          <w:szCs w:val="24"/>
        </w:rPr>
      </w:pPr>
    </w:p>
    <w:p w:rsidR="00C61622" w:rsidRDefault="00C61622">
      <w:pPr>
        <w:spacing w:line="360" w:lineRule="auto"/>
        <w:jc w:val="center"/>
        <w:rPr>
          <w:rFonts w:ascii="Times New Roman" w:hAnsi="Times New Roman" w:cs="Times New Roman"/>
          <w:b/>
          <w:color w:val="000000"/>
          <w:sz w:val="24"/>
          <w:szCs w:val="24"/>
        </w:rPr>
      </w:pPr>
    </w:p>
    <w:p w:rsidR="00C61622" w:rsidRDefault="00441480">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TABLE: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Classification of Medical device and regulatory control</w:t>
      </w:r>
    </w:p>
    <w:p w:rsidR="00C61622" w:rsidRDefault="00C61622">
      <w:pPr>
        <w:spacing w:line="360" w:lineRule="auto"/>
        <w:jc w:val="both"/>
        <w:rPr>
          <w:rFonts w:ascii="Times New Roman" w:hAnsi="Times New Roman" w:cs="Times New Roman"/>
          <w:sz w:val="24"/>
          <w:szCs w:val="24"/>
        </w:rPr>
      </w:pPr>
    </w:p>
    <w:commentRangeEnd w:id="7"/>
    <w:p w:rsidR="00C61622" w:rsidRDefault="001218B1">
      <w:pPr>
        <w:spacing w:line="360" w:lineRule="auto"/>
        <w:jc w:val="both"/>
        <w:rPr>
          <w:rFonts w:ascii="Times New Roman" w:hAnsi="Times New Roman" w:cs="Times New Roman"/>
          <w:color w:val="000000"/>
          <w:sz w:val="24"/>
          <w:szCs w:val="24"/>
        </w:rPr>
      </w:pPr>
      <w:r>
        <w:rPr>
          <w:rStyle w:val="CommentReference"/>
        </w:rPr>
        <w:commentReference w:id="7"/>
      </w:r>
      <w:commentRangeStart w:id="8"/>
      <w:r w:rsidR="00441480">
        <w:rPr>
          <w:rFonts w:ascii="Times New Roman" w:hAnsi="Times New Roman" w:cs="Times New Roman"/>
          <w:sz w:val="24"/>
          <w:szCs w:val="24"/>
        </w:rPr>
        <w:t>Individuals usually keep their central nervous system, hearts, and other vital organs apart within the Class I system. These devices are subject to the fewest limitations that are practical</w:t>
      </w:r>
      <w:commentRangeEnd w:id="8"/>
      <w:r>
        <w:rPr>
          <w:rStyle w:val="CommentReference"/>
        </w:rPr>
        <w:commentReference w:id="8"/>
      </w:r>
      <w:r w:rsidR="00441480">
        <w:rPr>
          <w:rFonts w:ascii="Times New Roman" w:hAnsi="Times New Roman" w:cs="Times New Roman"/>
          <w:sz w:val="24"/>
          <w:szCs w:val="24"/>
        </w:rPr>
        <w:t>.</w:t>
      </w:r>
    </w:p>
    <w:p w:rsidR="00C61622" w:rsidRDefault="00C61622">
      <w:pPr>
        <w:spacing w:line="360" w:lineRule="auto"/>
        <w:jc w:val="both"/>
        <w:rPr>
          <w:rFonts w:ascii="Times New Roman" w:hAnsi="Times New Roman" w:cs="Times New Roman"/>
          <w:sz w:val="24"/>
          <w:szCs w:val="24"/>
        </w:rPr>
      </w:pPr>
    </w:p>
    <w:p w:rsidR="00C61622" w:rsidRDefault="00C61622">
      <w:pPr>
        <w:spacing w:line="360" w:lineRule="auto"/>
        <w:jc w:val="both"/>
        <w:rPr>
          <w:rFonts w:ascii="Times New Roman" w:hAnsi="Times New Roman" w:cs="Times New Roman"/>
          <w:b/>
          <w:color w:val="000000"/>
          <w:sz w:val="24"/>
          <w:szCs w:val="24"/>
        </w:rPr>
      </w:pPr>
    </w:p>
    <w:p w:rsidR="00C61622" w:rsidRDefault="00C61622">
      <w:pPr>
        <w:spacing w:line="360" w:lineRule="auto"/>
        <w:ind w:firstLine="720"/>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b/>
          <w:color w:val="000000"/>
          <w:sz w:val="24"/>
          <w:szCs w:val="24"/>
        </w:rPr>
      </w:pPr>
    </w:p>
    <w:p w:rsidR="00C61622" w:rsidRDefault="00C61622">
      <w:pPr>
        <w:spacing w:line="360" w:lineRule="auto"/>
        <w:ind w:firstLine="851"/>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ind w:firstLine="851"/>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center"/>
        <w:rPr>
          <w:rFonts w:ascii="Times New Roman" w:hAnsi="Times New Roman" w:cs="Times New Roman"/>
          <w:b/>
          <w:color w:val="000000"/>
          <w:sz w:val="24"/>
          <w:szCs w:val="24"/>
        </w:rPr>
      </w:pPr>
    </w:p>
    <w:p w:rsidR="00C61622" w:rsidRDefault="00441480">
      <w:pPr>
        <w:spacing w:line="360" w:lineRule="auto"/>
        <w:rPr>
          <w:rFonts w:ascii="Times New Roman" w:hAnsi="Times New Roman" w:cs="Times New Roman"/>
          <w:b/>
          <w:color w:val="000000"/>
          <w:sz w:val="24"/>
          <w:szCs w:val="24"/>
        </w:rPr>
      </w:pPr>
      <w:r>
        <w:rPr>
          <w:rFonts w:ascii="Times New Roman" w:hAnsi="Times New Roman" w:cs="Times New Roman"/>
          <w:b/>
          <w:sz w:val="24"/>
          <w:szCs w:val="24"/>
        </w:rPr>
        <w:t xml:space="preserve">CLASS I MEDICAL DEVICE EXAMPLES </w:t>
      </w:r>
    </w:p>
    <w:p w:rsidR="00C61622" w:rsidRDefault="00441480">
      <w:pPr>
        <w:pStyle w:val="NormalWeb"/>
        <w:spacing w:line="360" w:lineRule="auto"/>
        <w:jc w:val="both"/>
      </w:pPr>
      <w:commentRangeStart w:id="9"/>
      <w:r>
        <w:t xml:space="preserve">Class I medical supplies include things like tongue depressors, bandages, hospital beds, reusable surgical scalpels, electric toothbrushes, oxygen masks, and wheelchairs. </w:t>
      </w:r>
      <w:commentRangeStart w:id="10"/>
      <w:r>
        <w:t xml:space="preserve">Because </w:t>
      </w:r>
      <w:commentRangeEnd w:id="10"/>
      <w:r w:rsidR="001218B1">
        <w:rPr>
          <w:rStyle w:val="CommentReference"/>
          <w:rFonts w:ascii="Calibri" w:eastAsia="Calibri" w:hAnsi="Calibri" w:cs="SimSun"/>
          <w:lang w:eastAsia="en-US"/>
        </w:rPr>
        <w:commentReference w:id="10"/>
      </w:r>
      <w:r>
        <w:t>they pose the least risk to patients and ar</w:t>
      </w:r>
      <w:r>
        <w:t>e not usually required for life-sustaining treatment, Class I devices may be the most quickly and easily brought to the market. The majority of Class I devices are exempt from 510(k) and premarket approval (PMA) requirements, per FDA guidelines. The U.S. F</w:t>
      </w:r>
      <w:r>
        <w:t>ood and Drug Administration's (FDA) Fundamental Controls, a set of guidelines that still apply to Class II and III equipment, are difficult for scientific equipment classified as Class I to follow. Recordkeeping, adulteration, and intended manufacturing pr</w:t>
      </w:r>
      <w:r>
        <w:t>ocedures are all part of the Fundamental Control standards. Manufacturers of classification I clinical devices, irrespective of how they are configured, need to maintain excellent management systems and comply with all legal requirements in order to guaran</w:t>
      </w:r>
      <w:r>
        <w:t>tee excellence in their goods. The higher complexity and increased potential for direct patient contact make Class II medical equipment more risky than Class I equipment. Diagnostic equipment and instruments that come into contact with a patient's internal</w:t>
      </w:r>
      <w:r>
        <w:t xml:space="preserve"> or circulatory systems fall under this category. </w:t>
      </w:r>
      <w:commentRangeEnd w:id="9"/>
      <w:r w:rsidR="001218B1">
        <w:rPr>
          <w:rStyle w:val="CommentReference"/>
          <w:rFonts w:ascii="Calibri" w:eastAsia="Calibri" w:hAnsi="Calibri" w:cs="SimSun"/>
          <w:lang w:eastAsia="en-US"/>
        </w:rPr>
        <w:commentReference w:id="9"/>
      </w:r>
    </w:p>
    <w:p w:rsidR="00C61622" w:rsidRDefault="00C61622">
      <w:pPr>
        <w:pStyle w:val="NormalWeb"/>
        <w:spacing w:line="360" w:lineRule="auto"/>
        <w:rPr>
          <w:b/>
        </w:rPr>
      </w:pPr>
    </w:p>
    <w:p w:rsidR="00C61622" w:rsidRDefault="00C61622">
      <w:pPr>
        <w:pStyle w:val="NormalWeb"/>
        <w:spacing w:line="360" w:lineRule="auto"/>
        <w:rPr>
          <w:b/>
        </w:rPr>
      </w:pPr>
    </w:p>
    <w:p w:rsidR="00C61622" w:rsidRDefault="00441480">
      <w:pPr>
        <w:pStyle w:val="NormalWeb"/>
        <w:spacing w:line="360" w:lineRule="auto"/>
        <w:rPr>
          <w:b/>
        </w:rPr>
      </w:pPr>
      <w:commentRangeStart w:id="11"/>
      <w:r>
        <w:rPr>
          <w:b/>
        </w:rPr>
        <w:lastRenderedPageBreak/>
        <w:t xml:space="preserve">CLASS II MEDICAL DEVICE EXAMPLES: </w:t>
      </w:r>
    </w:p>
    <w:p w:rsidR="00C61622" w:rsidRDefault="00441480">
      <w:pPr>
        <w:pStyle w:val="NormalWeb"/>
        <w:numPr>
          <w:ilvl w:val="0"/>
          <w:numId w:val="1"/>
        </w:numPr>
        <w:spacing w:line="360" w:lineRule="auto"/>
      </w:pPr>
      <w:r>
        <w:t xml:space="preserve">Catheters </w:t>
      </w:r>
    </w:p>
    <w:p w:rsidR="00C61622" w:rsidRDefault="00441480">
      <w:pPr>
        <w:pStyle w:val="NormalWeb"/>
        <w:numPr>
          <w:ilvl w:val="0"/>
          <w:numId w:val="1"/>
        </w:numPr>
        <w:spacing w:line="360" w:lineRule="auto"/>
      </w:pPr>
      <w:r>
        <w:t xml:space="preserve">Blood stress cuffs </w:t>
      </w:r>
    </w:p>
    <w:p w:rsidR="00C61622" w:rsidRDefault="00441480">
      <w:pPr>
        <w:pStyle w:val="NormalWeb"/>
        <w:numPr>
          <w:ilvl w:val="0"/>
          <w:numId w:val="1"/>
        </w:numPr>
        <w:spacing w:line="360" w:lineRule="auto"/>
      </w:pPr>
      <w:r>
        <w:t xml:space="preserve">Pregnancy check kits  </w:t>
      </w:r>
    </w:p>
    <w:p w:rsidR="00C61622" w:rsidRDefault="00441480">
      <w:pPr>
        <w:pStyle w:val="NormalWeb"/>
        <w:numPr>
          <w:ilvl w:val="0"/>
          <w:numId w:val="1"/>
        </w:numPr>
        <w:spacing w:line="360" w:lineRule="auto"/>
      </w:pPr>
      <w:r>
        <w:t>Syringes</w:t>
      </w:r>
    </w:p>
    <w:p w:rsidR="00C61622" w:rsidRDefault="00441480">
      <w:pPr>
        <w:pStyle w:val="NormalWeb"/>
        <w:numPr>
          <w:ilvl w:val="0"/>
          <w:numId w:val="1"/>
        </w:numPr>
        <w:spacing w:line="360" w:lineRule="auto"/>
      </w:pPr>
      <w:r>
        <w:t>Blood transfusion kits</w:t>
      </w:r>
    </w:p>
    <w:p w:rsidR="00C61622" w:rsidRDefault="00441480">
      <w:pPr>
        <w:pStyle w:val="NormalWeb"/>
        <w:numPr>
          <w:ilvl w:val="0"/>
          <w:numId w:val="1"/>
        </w:numPr>
        <w:spacing w:line="360" w:lineRule="auto"/>
      </w:pPr>
      <w:r>
        <w:t xml:space="preserve">Contact lenses </w:t>
      </w:r>
    </w:p>
    <w:p w:rsidR="00C61622" w:rsidRDefault="00441480">
      <w:pPr>
        <w:pStyle w:val="NormalWeb"/>
        <w:numPr>
          <w:ilvl w:val="0"/>
          <w:numId w:val="1"/>
        </w:numPr>
        <w:spacing w:line="360" w:lineRule="auto"/>
      </w:pPr>
      <w:r>
        <w:t>Surgical gloves</w:t>
      </w:r>
    </w:p>
    <w:p w:rsidR="00C61622" w:rsidRDefault="00441480">
      <w:pPr>
        <w:pStyle w:val="NormalWeb"/>
        <w:spacing w:line="360" w:lineRule="auto"/>
      </w:pPr>
      <w:r>
        <w:t xml:space="preserve">Resorbable stitches the subsequent items may also </w:t>
      </w:r>
      <w:r>
        <w:t xml:space="preserve">be included in regulates, contingent on the particular application:  </w:t>
      </w:r>
    </w:p>
    <w:p w:rsidR="00C61622" w:rsidRDefault="00441480">
      <w:pPr>
        <w:pStyle w:val="NormalWeb"/>
        <w:numPr>
          <w:ilvl w:val="0"/>
          <w:numId w:val="28"/>
        </w:numPr>
        <w:spacing w:line="360" w:lineRule="auto"/>
      </w:pPr>
      <w:r>
        <w:t xml:space="preserve">Device overall performance </w:t>
      </w:r>
    </w:p>
    <w:p w:rsidR="00C61622" w:rsidRDefault="00441480">
      <w:pPr>
        <w:pStyle w:val="NormalWeb"/>
        <w:numPr>
          <w:ilvl w:val="0"/>
          <w:numId w:val="28"/>
        </w:numPr>
        <w:spacing w:line="360" w:lineRule="auto"/>
      </w:pPr>
      <w:r>
        <w:t xml:space="preserve">Post-marketplace surveillance </w:t>
      </w:r>
    </w:p>
    <w:p w:rsidR="00C61622" w:rsidRDefault="00441480">
      <w:pPr>
        <w:pStyle w:val="NormalWeb"/>
        <w:numPr>
          <w:ilvl w:val="0"/>
          <w:numId w:val="28"/>
        </w:numPr>
        <w:spacing w:line="360" w:lineRule="auto"/>
      </w:pPr>
      <w:r>
        <w:t xml:space="preserve">Patient registries </w:t>
      </w:r>
    </w:p>
    <w:p w:rsidR="00C61622" w:rsidRDefault="00441480">
      <w:pPr>
        <w:pStyle w:val="NormalWeb"/>
        <w:numPr>
          <w:ilvl w:val="0"/>
          <w:numId w:val="28"/>
        </w:numPr>
        <w:spacing w:line="360" w:lineRule="auto"/>
      </w:pPr>
      <w:r>
        <w:t xml:space="preserve">Special labelling necessities </w:t>
      </w:r>
    </w:p>
    <w:p w:rsidR="00C61622" w:rsidRDefault="00441480">
      <w:pPr>
        <w:pStyle w:val="NormalWeb"/>
        <w:numPr>
          <w:ilvl w:val="0"/>
          <w:numId w:val="28"/>
        </w:numPr>
        <w:spacing w:line="360" w:lineRule="auto"/>
      </w:pPr>
      <w:r>
        <w:t xml:space="preserve">Premarket facts requirements Guidelines </w:t>
      </w:r>
    </w:p>
    <w:p w:rsidR="00C61622" w:rsidRDefault="00441480">
      <w:pPr>
        <w:pStyle w:val="NormalWeb"/>
        <w:spacing w:line="360" w:lineRule="auto"/>
        <w:jc w:val="both"/>
      </w:pPr>
      <w:r>
        <w:t xml:space="preserve">The class II devices are also subject to extra restrictions in relation to the originally indicated revisions to the foundational rules. a variety of factors including the technology, these limitations might also involve person-to-person registry systems, </w:t>
      </w:r>
      <w:r>
        <w:t>precise branding requirements, and universally applicable criteria for performance. A premarket notification approach known as 510(K) is used to bring Class II items into the market. The FDA requires a complicated software installation called a 510(K) in o</w:t>
      </w:r>
      <w:r>
        <w:t>rder to verify a device's efficacy and sustainability. This program shows how similar a gadget is to every other product currently on the market at the moment. FDA regulations state that a piece of equipment that is already on retail shelves cannot be used</w:t>
      </w:r>
      <w:r>
        <w:t xml:space="preserve"> in the not too distant future unless it shows considerable equivalency. In essence, even if the technology isn't meant to be identical replicas, there should be many similarities between them in terms of usage, construction, and items in order packing, sp</w:t>
      </w:r>
      <w:r>
        <w:t xml:space="preserve">ecifications, and other elements. Beginning in 2018, the FDA released a list of waivers that removed almost 800 distinct categories of technology from the 510(k) process. Use our guidelines to determine if a standard </w:t>
      </w:r>
      <w:r>
        <w:lastRenderedPageBreak/>
        <w:t>Class II investigation device that cont</w:t>
      </w:r>
      <w:r>
        <w:t>ains technological gadgets is prohibited from submitting a 510(k) application.</w:t>
      </w:r>
    </w:p>
    <w:p w:rsidR="00C61622" w:rsidRDefault="00441480">
      <w:pPr>
        <w:pStyle w:val="NormalWeb"/>
        <w:spacing w:line="360" w:lineRule="auto"/>
        <w:rPr>
          <w:b/>
        </w:rPr>
      </w:pPr>
      <w:r>
        <w:rPr>
          <w:b/>
        </w:rPr>
        <w:t xml:space="preserve">CLASS III MEDICAL DEVICE EXAMPLES </w:t>
      </w:r>
    </w:p>
    <w:p w:rsidR="00C61622" w:rsidRDefault="00441480">
      <w:pPr>
        <w:pStyle w:val="NormalWeb"/>
        <w:numPr>
          <w:ilvl w:val="1"/>
          <w:numId w:val="1"/>
        </w:numPr>
        <w:spacing w:line="360" w:lineRule="auto"/>
      </w:pPr>
      <w:r>
        <w:t xml:space="preserve">Breast implants </w:t>
      </w:r>
    </w:p>
    <w:p w:rsidR="00C61622" w:rsidRDefault="00441480">
      <w:pPr>
        <w:pStyle w:val="NormalWeb"/>
        <w:numPr>
          <w:ilvl w:val="1"/>
          <w:numId w:val="1"/>
        </w:numPr>
        <w:spacing w:line="360" w:lineRule="auto"/>
      </w:pPr>
      <w:r>
        <w:t xml:space="preserve">Pacemakers </w:t>
      </w:r>
    </w:p>
    <w:p w:rsidR="00C61622" w:rsidRDefault="00441480">
      <w:pPr>
        <w:pStyle w:val="NormalWeb"/>
        <w:numPr>
          <w:ilvl w:val="1"/>
          <w:numId w:val="1"/>
        </w:numPr>
        <w:spacing w:line="360" w:lineRule="auto"/>
      </w:pPr>
      <w:r>
        <w:t xml:space="preserve">Defibrillators </w:t>
      </w:r>
    </w:p>
    <w:p w:rsidR="00C61622" w:rsidRDefault="00441480">
      <w:pPr>
        <w:pStyle w:val="NormalWeb"/>
        <w:numPr>
          <w:ilvl w:val="1"/>
          <w:numId w:val="1"/>
        </w:numPr>
        <w:spacing w:line="360" w:lineRule="auto"/>
      </w:pPr>
      <w:r>
        <w:t xml:space="preserve">High-frequency ventilators </w:t>
      </w:r>
    </w:p>
    <w:p w:rsidR="00C61622" w:rsidRDefault="00441480">
      <w:pPr>
        <w:pStyle w:val="NormalWeb"/>
        <w:numPr>
          <w:ilvl w:val="1"/>
          <w:numId w:val="1"/>
        </w:numPr>
        <w:spacing w:line="360" w:lineRule="auto"/>
      </w:pPr>
      <w:r>
        <w:t xml:space="preserve">Cochlear implants </w:t>
      </w:r>
    </w:p>
    <w:p w:rsidR="00C61622" w:rsidRDefault="00441480">
      <w:pPr>
        <w:pStyle w:val="NormalWeb"/>
        <w:numPr>
          <w:ilvl w:val="1"/>
          <w:numId w:val="1"/>
        </w:numPr>
        <w:spacing w:line="360" w:lineRule="auto"/>
      </w:pPr>
      <w:r>
        <w:t xml:space="preserve">Fetal blood sampling video display units </w:t>
      </w:r>
    </w:p>
    <w:p w:rsidR="00C61622" w:rsidRDefault="00441480">
      <w:pPr>
        <w:pStyle w:val="NormalWeb"/>
        <w:numPr>
          <w:ilvl w:val="1"/>
          <w:numId w:val="1"/>
        </w:numPr>
        <w:spacing w:line="360" w:lineRule="auto"/>
      </w:pPr>
      <w:r>
        <w:t>Implante</w:t>
      </w:r>
      <w:r>
        <w:t xml:space="preserve">d prosthetics </w:t>
      </w:r>
    </w:p>
    <w:p w:rsidR="00C61622" w:rsidRDefault="00441480">
      <w:pPr>
        <w:pStyle w:val="NormalWeb"/>
        <w:spacing w:line="360" w:lineRule="auto"/>
        <w:jc w:val="both"/>
      </w:pPr>
      <w:r>
        <w:t>All class III products must follow the other basic rules and regulations governing the Food and Drug Administration's Premarket Approval (PMA) procedure. The FDA states that traditional overall unique methods by themselves are insufficient t</w:t>
      </w:r>
      <w:r>
        <w:t>o guarantee the efficacy and safety of category III devices. The PMA is the most comprehensive type of tool commercialization filing that the FDA accepts. A number of FDA classified as class III devices for medical use may be eligible for the 510(K) approa</w:t>
      </w:r>
      <w:r>
        <w:t>ch, as demonstrated by the option we selected above, provided a relevant predicate that was commercialized prior to the 1976 modifications to the Medicine and Healthcare Devices Regulations can be found.Still, if the FDA continues to oppose the use of over</w:t>
      </w:r>
      <w:r>
        <w:t xml:space="preserve">-ten-year-old drugs, this tactic could become less and less popular over time. For an extended approach, the PMA is your best bet regarding a category III instrument. In an attempt to consistently monitor safety and efficacy, you should thoroughly examine </w:t>
      </w:r>
      <w:r>
        <w:t xml:space="preserve">your class III healthcare devices for the PMA processes and premarket an evaluation if a benefit/hazard profile based on facts is provided. For the PMA approach to yield enough data, clinical studies frequently demand a large time and cost investment. You </w:t>
      </w:r>
      <w:r>
        <w:t>can even request at this stage that the FDA conduct a thorough assessment of your efficient system.</w:t>
      </w:r>
    </w:p>
    <w:p w:rsidR="00C61622" w:rsidRDefault="00C61622">
      <w:pPr>
        <w:pStyle w:val="NormalWeb"/>
        <w:spacing w:line="360" w:lineRule="auto"/>
        <w:rPr>
          <w:b/>
        </w:rPr>
      </w:pPr>
    </w:p>
    <w:p w:rsidR="00C61622" w:rsidRDefault="00C61622">
      <w:pPr>
        <w:pStyle w:val="NormalWeb"/>
        <w:spacing w:line="360" w:lineRule="auto"/>
        <w:rPr>
          <w:b/>
        </w:rPr>
      </w:pPr>
    </w:p>
    <w:p w:rsidR="00C61622" w:rsidRDefault="00441480">
      <w:pPr>
        <w:pStyle w:val="NormalWeb"/>
        <w:spacing w:line="360" w:lineRule="auto"/>
        <w:rPr>
          <w:b/>
        </w:rPr>
      </w:pPr>
      <w:r>
        <w:rPr>
          <w:b/>
        </w:rPr>
        <w:lastRenderedPageBreak/>
        <w:t>CLASSIFICATION OF MEDICAL DEVICES AS PER EMA</w:t>
      </w:r>
    </w:p>
    <w:p w:rsidR="00C61622" w:rsidRDefault="00441480">
      <w:pPr>
        <w:pStyle w:val="NormalWeb"/>
        <w:spacing w:line="360" w:lineRule="auto"/>
        <w:jc w:val="both"/>
      </w:pPr>
      <w:r>
        <w:t>Medical devices are divided into just four categories in Europe, depending on the technology's intended funct</w:t>
      </w:r>
      <w:r>
        <w:t>ion and any potential risks. Three categories—aggressive, continuing, and non-disruptive—are created by twenty-two regulations (Annex 1). The Class I categorization is often not applicable to low-risk and non-invasive technologies. Measurement or sterilizi</w:t>
      </w:r>
      <w:r>
        <w:t>ng equipment is categorized under a different heading than Class I. Technologies for electrical system control or unexpected backup, medical equipment for proactive tracking and assessment, and technology that is deemed disruptive for brief intervals or th</w:t>
      </w:r>
      <w:r>
        <w:t>erapeutically detrimental for brief intervals are all included in Class IIa. Not included within Class IIb are devices that provide energy (ionizing radiation) or distribute medicinal capsules. Instead, they comprise nearly all therapeutically traumatic de</w:t>
      </w:r>
      <w:r>
        <w:t>vices that are implanted for a lengthy period of time. Active gadgets are likewise protected in this manner. Devices consisting of materials meant for intervention into the human body and those containing constituents that, when combined, may be interprete</w:t>
      </w:r>
      <w:r>
        <w:t>d as therapeutic products are categorized as Class III devices. Included are also devices designed to control the overall performance of dynamic implants and technologies with a diagnostic element for dynamic restorations.</w:t>
      </w:r>
    </w:p>
    <w:commentRangeEnd w:id="11"/>
    <w:p w:rsidR="00C61622" w:rsidRDefault="00521D14">
      <w:pPr>
        <w:pStyle w:val="NormalWeb"/>
        <w:spacing w:line="360" w:lineRule="auto"/>
        <w:jc w:val="both"/>
      </w:pPr>
      <w:r>
        <w:rPr>
          <w:rStyle w:val="CommentReference"/>
          <w:rFonts w:ascii="Calibri" w:eastAsia="Calibri" w:hAnsi="Calibri" w:cs="SimSun"/>
          <w:lang w:eastAsia="en-US"/>
        </w:rPr>
        <w:commentReference w:id="11"/>
      </w:r>
      <w:r w:rsidR="00441480">
        <w:rPr>
          <w:b/>
        </w:rPr>
        <w:t>CLASSIFICATION OF MEDICAL DEVICES</w:t>
      </w:r>
      <w:r w:rsidR="00441480">
        <w:rPr>
          <w:b/>
        </w:rPr>
        <w:t xml:space="preserve"> AS PER CDSCO </w:t>
      </w:r>
    </w:p>
    <w:p w:rsidR="00C61622" w:rsidRDefault="00441480">
      <w:pPr>
        <w:pStyle w:val="NormalWeb"/>
        <w:spacing w:line="360" w:lineRule="auto"/>
        <w:jc w:val="both"/>
        <w:rPr>
          <w:b/>
        </w:rPr>
      </w:pPr>
      <w:commentRangeStart w:id="12"/>
      <w:r>
        <w:t>Healthcare equipment are categorized according to their purported biological utility, technological innovation, and manufacturing quality. Administrative bodies, however, have categorized scientific apparatus according to its efficacy, safet</w:t>
      </w:r>
      <w:r>
        <w:t>y, and unique qualities that can be disseminated globally. In addition to efficacy, chance, and impacted frame tool, fantastic needs are used to assess additional local and systemic consequences. Medical instrument warning; 2. Ignored clinical system Notif</w:t>
      </w:r>
      <w:r>
        <w:t>ications have been sent out about the equipment in Classes A, B, C, D, and the Class A medical equipment. These devices are thought to present little risk even if their controls are difficult to operate. The initially formed group is governed by suggestion</w:t>
      </w:r>
      <w:r>
        <w:t>s. Unauthorized devices are typically included in this subcategory along with alternative options, best manufacturing practices, refunds, restorations, and notifications. The purpose of excellence technologies is not to protect you against diseases that mi</w:t>
      </w:r>
      <w:r>
        <w:t xml:space="preserve">ght be detrimental to your health. Premarket notice is often straightforward to find. Generally speaking, such pieces use a simpler </w:t>
      </w:r>
      <w:r>
        <w:lastRenderedPageBreak/>
        <w:t>strategy than the rest. Elastic bandages, toothbrushes, medical supplies, and examination gloves are a few examples. CLASS B</w:t>
      </w:r>
      <w:r>
        <w:t>: This elegance's key elements are the targeted controls and the intended manage. It wants stronger regulatory control than Class 1. We refer to these gadgets as minimal to medium-risk. Certification from the informed body is required for this. When instru</w:t>
      </w:r>
      <w:r>
        <w:t>ctions are followed, the affected person is not affected.</w:t>
      </w:r>
      <w:commentRangeEnd w:id="12"/>
      <w:r w:rsidR="00521D14">
        <w:rPr>
          <w:rStyle w:val="CommentReference"/>
          <w:rFonts w:ascii="Calibri" w:eastAsia="Calibri" w:hAnsi="Calibri" w:cs="SimSun"/>
          <w:lang w:eastAsia="en-US"/>
        </w:rPr>
        <w:commentReference w:id="12"/>
      </w:r>
    </w:p>
    <w:p w:rsidR="00C61622" w:rsidRDefault="00441480">
      <w:pPr>
        <w:pStyle w:val="NormalWeb"/>
        <w:spacing w:line="360" w:lineRule="auto"/>
        <w:rPr>
          <w:b/>
        </w:rPr>
      </w:pPr>
      <w:r>
        <w:rPr>
          <w:b/>
        </w:rPr>
        <w:t xml:space="preserve">REGULATORY FRAMEWORK FOR MEDICAL DEVICE IN US </w:t>
      </w:r>
    </w:p>
    <w:p w:rsidR="00C61622" w:rsidRDefault="00441480">
      <w:pPr>
        <w:pStyle w:val="NormalWeb"/>
        <w:spacing w:line="360" w:lineRule="auto"/>
        <w:rPr>
          <w:b/>
        </w:rPr>
      </w:pPr>
      <w:r>
        <w:rPr>
          <w:b/>
        </w:rPr>
        <w:t>510(K) PATHWAY</w:t>
      </w:r>
    </w:p>
    <w:p w:rsidR="00C61622" w:rsidRDefault="00441480">
      <w:pPr>
        <w:pStyle w:val="NormalWeb"/>
        <w:spacing w:line="360" w:lineRule="auto"/>
        <w:jc w:val="both"/>
      </w:pPr>
      <w:commentRangeStart w:id="13"/>
      <w:r>
        <w:t xml:space="preserve">A 510(K) premarket notification from the FDA attesting to the tool's highest degree of safety and efficacy is required before it may be </w:t>
      </w:r>
      <w:r>
        <w:t>sold. For the great majority of Class II and certain Class I devices, premarket review is an essential step. It's almost precisely like an almost legal predicate instrument. For the most part, new scientific equipment are brought to market through the 510(</w:t>
      </w:r>
      <w:r>
        <w:t xml:space="preserve">K) procedure. A review of the newly created technologies utilizing at least one legally available, similarly marketed instrument is one of the materials that submitters must provide in order to demonstrate their claims of substantial equivalency under the </w:t>
      </w:r>
      <w:r>
        <w:t>510(K). Technologies that were lawfully advertised include those that were reclassified from the third category to Category II or I, those that were lawfully claimed in the US before May 28, 1976 (preamendments equipment), and those that the FDA determined</w:t>
      </w:r>
      <w:r>
        <w:t xml:space="preserve"> to be significantly comparable through the application of the 510(K) strategy. PMAs are not necessary for Class III devices. Furthermore, a predicate cannot contravene the FDandC Act in order to be marketed legitimately. When a tool performs the same purp</w:t>
      </w:r>
      <w:r>
        <w:t xml:space="preserve">ose as the predicate and has comparable technical tendencies, it is said to be usually interchangeable in a comparative study assessment. </w:t>
      </w:r>
    </w:p>
    <w:p w:rsidR="00C61622" w:rsidRDefault="00441480">
      <w:pPr>
        <w:pStyle w:val="NormalWeb"/>
        <w:spacing w:line="360" w:lineRule="auto"/>
        <w:jc w:val="both"/>
      </w:pPr>
      <w:r>
        <w:rPr>
          <w:b/>
        </w:rPr>
        <w:t>PMA PROCESS</w:t>
      </w:r>
    </w:p>
    <w:p w:rsidR="00C61622" w:rsidRDefault="00441480">
      <w:pPr>
        <w:pStyle w:val="NormalWeb"/>
        <w:spacing w:line="360" w:lineRule="auto"/>
        <w:jc w:val="both"/>
      </w:pPr>
      <w:r>
        <w:t>Considered legally advertised devices are those that were reorganized from Class III to Class II or I, th</w:t>
      </w:r>
      <w:r>
        <w:t>ose that the FDA determined to be substantially comparable through the application of the 510(K) technique, and those that were duly implemented in the United States before the 28th of May 1976 (preamendments technology). A PMA is not necessary for these d</w:t>
      </w:r>
      <w:r>
        <w:t xml:space="preserve">evices. As a predicate, something must not be in violation of the FD&amp;C Act in order to be legitimately sold. When two instruments perform comparable tasks and show comparable technological </w:t>
      </w:r>
      <w:r>
        <w:lastRenderedPageBreak/>
        <w:t>advancements, they are deemed practically identical in a comparable</w:t>
      </w:r>
      <w:r>
        <w:t xml:space="preserve"> examination. Assessing generally recognized human experimentation, suitably documented case series, single-arm research, and trial designs that are randomized, in addition to other kinds of valid scientific data, can provide a reasonable assurance of both</w:t>
      </w:r>
      <w:r>
        <w:t xml:space="preserve"> effectiveness and safety. No longer is clinical proof acceptable in the type of opinions derived from far removed research initiatives, perceptions without backing, opinions that are random, or views without sufficient information to make a meaningful jud</w:t>
      </w:r>
      <w:r>
        <w:t>gment.</w:t>
      </w:r>
    </w:p>
    <w:commentRangeEnd w:id="13"/>
    <w:p w:rsidR="00C61622" w:rsidRDefault="00521D14">
      <w:pPr>
        <w:pStyle w:val="NormalWeb"/>
        <w:spacing w:line="360" w:lineRule="auto"/>
        <w:rPr>
          <w:b/>
        </w:rPr>
      </w:pPr>
      <w:r>
        <w:rPr>
          <w:rStyle w:val="CommentReference"/>
          <w:rFonts w:ascii="Calibri" w:eastAsia="Calibri" w:hAnsi="Calibri" w:cs="SimSun"/>
          <w:lang w:eastAsia="en-US"/>
        </w:rPr>
        <w:commentReference w:id="13"/>
      </w:r>
      <w:r w:rsidR="00441480">
        <w:rPr>
          <w:b/>
        </w:rPr>
        <w:t>DE NOVO REQUESTS</w:t>
      </w:r>
    </w:p>
    <w:p w:rsidR="00C61622" w:rsidRDefault="00441480">
      <w:pPr>
        <w:pStyle w:val="NormalWeb"/>
        <w:spacing w:line="360" w:lineRule="auto"/>
        <w:jc w:val="both"/>
      </w:pPr>
      <w:commentRangeStart w:id="14"/>
      <w:r>
        <w:t>No matter how dangerous a device may be, it is automatically classified as Class III under FD&amp;</w:t>
      </w:r>
      <w:r>
        <w:t>C Act paragraph 513(f)(1). In the past, the FDA only categorized devices according to how dangerous they were. This justification stems from the description's inability to classify a newly produced item within a category that was previously classified as C</w:t>
      </w:r>
      <w:r>
        <w:t>lass I or Class II or that was released into the market before the 1976 Biomedical Technology Modifications. Congress created a new channel for the marketing of novel, low-risk device categories that typically fit under Class III after the FDA A reorganiza</w:t>
      </w:r>
      <w:r>
        <w:t>tion Act of 1997. A comparable adjustment was made to this process, commonly referred to as "de novo elegance," following the FDA health and security and Technology Act violation in 2012. As long as new device instructions fulfill threshold requirements an</w:t>
      </w:r>
      <w:r>
        <w:t>d don't pose an unreasonable risk, the FDA will evaluate them when they are submitted de novo. Primarily, the gadget under consideration is not included in the group of gadgets that were formerly divided into categories according to degree of danger. In or</w:t>
      </w:r>
      <w:r>
        <w:t>der to be classified as the first category or Class II, the recently introduced instrument may also satisfy phase 513(a)(1) requirements and should carry little to no risk.</w:t>
      </w:r>
      <w:commentRangeEnd w:id="14"/>
      <w:r w:rsidR="00521D14">
        <w:rPr>
          <w:rStyle w:val="CommentReference"/>
          <w:rFonts w:ascii="Calibri" w:eastAsia="Calibri" w:hAnsi="Calibri" w:cs="SimSun"/>
          <w:lang w:eastAsia="en-US"/>
        </w:rPr>
        <w:commentReference w:id="14"/>
      </w:r>
    </w:p>
    <w:p w:rsidR="00C61622" w:rsidRDefault="00441480">
      <w:pPr>
        <w:pStyle w:val="NormalWeb"/>
        <w:spacing w:line="360" w:lineRule="auto"/>
        <w:rPr>
          <w:b/>
        </w:rPr>
      </w:pPr>
      <w:r>
        <w:rPr>
          <w:b/>
        </w:rPr>
        <w:t>INVESTIGATIONAL DEVICE EXEMPTION</w:t>
      </w:r>
    </w:p>
    <w:p w:rsidR="00C61622" w:rsidRDefault="00441480">
      <w:pPr>
        <w:pStyle w:val="NormalWeb"/>
        <w:spacing w:line="360" w:lineRule="auto"/>
        <w:jc w:val="both"/>
      </w:pPr>
      <w:commentRangeStart w:id="15"/>
      <w:r>
        <w:t>Clinical trials using novel technologies with sign</w:t>
      </w:r>
      <w:r>
        <w:t>ificant potential need submission of an IDE application in the United States. Clinical data may be gathered through the IDE to better guide any upcoming marketing and advertising programs. Moreover, it waives some regulatory limitations and allows the lawf</w:t>
      </w:r>
      <w:r>
        <w:t xml:space="preserve">ul transfer of a scientific instrument for investigation to organizations for medical examinations. The major objective of an IDE is to guarantee the </w:t>
      </w:r>
      <w:r>
        <w:lastRenderedPageBreak/>
        <w:t>welfare and safety of human research subjects. Internal IDE security requirements include susceptibility i</w:t>
      </w:r>
      <w:r>
        <w:t>nvestigation, informed consent, clinical practice, and investigational labeling. FDA and institutional review board (IRB) approval are required for high-risk devices, however IRB approval is sufficient for low-risk devices to be utilized in experiments. Wh</w:t>
      </w:r>
      <w:r>
        <w:t>en a scientific instrument is meant to be used primarily to provide diagnosis, therapy, mitigation measures, or cure of disease, or in any other circumstance the fact that prohibits deterioration of the human condition or compromises the individual who par</w:t>
      </w:r>
      <w:r>
        <w:t>ticipated health, protection, or welfare, or when it is made clear or implied that its primary significance serves to preserve or protecting the existence of humanity however jeopardizing the wellness, assurance, or welfare of the state of affairs, then it</w:t>
      </w:r>
      <w:r>
        <w:t xml:space="preserve"> is considered a major threat.</w:t>
      </w:r>
    </w:p>
    <w:p w:rsidR="00C61622" w:rsidRDefault="00441480">
      <w:pPr>
        <w:pStyle w:val="NormalWeb"/>
        <w:spacing w:line="360" w:lineRule="auto"/>
        <w:rPr>
          <w:b/>
        </w:rPr>
      </w:pPr>
      <w:r>
        <w:rPr>
          <w:b/>
        </w:rPr>
        <w:t>HUMANITARIAN DEVICE EXEMPTION (HDE)</w:t>
      </w:r>
    </w:p>
    <w:p w:rsidR="00C61622" w:rsidRDefault="00441480">
      <w:pPr>
        <w:pStyle w:val="NormalWeb"/>
        <w:spacing w:line="360" w:lineRule="auto"/>
        <w:jc w:val="both"/>
      </w:pPr>
      <w:r>
        <w:t>Humanitarian organizational technological advances are not included (HDE). HDEs, or information technology device analogies, are commodities that resemble PMAs but don't satisfy the effecti</w:t>
      </w:r>
      <w:r>
        <w:t>veness standards. An approved HDE must provide their authorization before a device intended for humanitarian use may be marketed. A humanitarian use device is designed to assist health care providers in diagnosing and treating diseases that affect fewer th</w:t>
      </w:r>
      <w:r>
        <w:t xml:space="preserve">an 4,000 Americans each year. The producer notifies the FDA's Department of Orphan Products Development (OOPD) before submitting an HDE utility that it would desire to be classified as a tool for humanitarian in nature use. The following items are part of </w:t>
      </w:r>
      <w:r>
        <w:t xml:space="preserve">the request: the producer's name and address; (2) a statement that a unique situation or condition is being evaluated for a humanitarian use device designation; 21 CFR § 814.102(a) requires that the instrument's intended application for a specific illness </w:t>
      </w:r>
      <w:r>
        <w:t>or condition be condensed, its instrument evidence furnished, and supporting documentation utilized in conjunction with the previously mentioned resources to demonstrate that the instrument is intended for the diagnosis or treatment of an illness or diseas</w:t>
      </w:r>
      <w:r>
        <w:t>e which impacts a smaller amount than 4,000 individuals annually in the United States.</w:t>
      </w:r>
    </w:p>
    <w:p w:rsidR="00C61622" w:rsidRDefault="00C61622">
      <w:pPr>
        <w:pStyle w:val="NormalWeb"/>
        <w:spacing w:line="360" w:lineRule="auto"/>
        <w:rPr>
          <w:b/>
        </w:rPr>
      </w:pPr>
    </w:p>
    <w:p w:rsidR="00C61622" w:rsidRDefault="00C61622">
      <w:pPr>
        <w:pStyle w:val="NormalWeb"/>
        <w:spacing w:line="360" w:lineRule="auto"/>
        <w:rPr>
          <w:b/>
        </w:rPr>
      </w:pPr>
    </w:p>
    <w:p w:rsidR="00C61622" w:rsidRDefault="00C61622">
      <w:pPr>
        <w:pStyle w:val="NormalWeb"/>
        <w:spacing w:line="360" w:lineRule="auto"/>
        <w:rPr>
          <w:b/>
        </w:rPr>
      </w:pPr>
    </w:p>
    <w:p w:rsidR="00C61622" w:rsidRDefault="00441480">
      <w:pPr>
        <w:pStyle w:val="NormalWeb"/>
        <w:spacing w:line="360" w:lineRule="auto"/>
        <w:rPr>
          <w:b/>
        </w:rPr>
      </w:pPr>
      <w:r>
        <w:rPr>
          <w:b/>
        </w:rPr>
        <w:lastRenderedPageBreak/>
        <w:t>REGULATORY FRAMEWORK FOR MEDICAL DEVICE IN EUROPE</w:t>
      </w:r>
    </w:p>
    <w:p w:rsidR="00C61622" w:rsidRDefault="0044148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There are substantial differences between the US and EU legal systems. In the 1990s, the current accepted approach w</w:t>
      </w:r>
      <w:r>
        <w:rPr>
          <w:rFonts w:ascii="Times New Roman" w:hAnsi="Times New Roman" w:cs="Times New Roman"/>
          <w:sz w:val="24"/>
          <w:szCs w:val="24"/>
        </w:rPr>
        <w:t>as put into place with the goal of supporting European enterprises and encouraging innovations. Which gadgets are allowed is decided by the "notified bodies"—profit-making corporations. The authorized organizations that were informed by the official entiti</w:t>
      </w:r>
      <w:r>
        <w:rPr>
          <w:rFonts w:ascii="Times New Roman" w:hAnsi="Times New Roman" w:cs="Times New Roman"/>
          <w:sz w:val="24"/>
          <w:szCs w:val="24"/>
        </w:rPr>
        <w:t>es have been verified by the European Union to be in active operation. Via partnerships with gadget makers, these profit-driven businesses haggle for tool validation. The device is eventually approved for sale inside the European Union by them with the Con</w:t>
      </w:r>
      <w:r>
        <w:rPr>
          <w:rFonts w:ascii="Times New Roman" w:hAnsi="Times New Roman" w:cs="Times New Roman"/>
          <w:sz w:val="24"/>
          <w:szCs w:val="24"/>
        </w:rPr>
        <w:t>formité Européenne (CE) permission. In every EU member state, postmarket safety surveillance is modified by government-affiliated corporations or national governments. The CE certification on healthcare equipment provides confirmation that it complies with</w:t>
      </w:r>
      <w:r>
        <w:rPr>
          <w:rFonts w:ascii="Times New Roman" w:hAnsi="Times New Roman" w:cs="Times New Roman"/>
          <w:sz w:val="24"/>
          <w:szCs w:val="24"/>
        </w:rPr>
        <w:t xml:space="preserve"> applicable EU criminal laws. If scientific technology bearing the CE mark conforms to all relevant national legislation, including those concerning authentication and transformation, it can be actively created inside the European Union. The CE mark must b</w:t>
      </w:r>
      <w:r>
        <w:rPr>
          <w:rFonts w:ascii="Times New Roman" w:hAnsi="Times New Roman" w:cs="Times New Roman"/>
          <w:sz w:val="24"/>
          <w:szCs w:val="24"/>
        </w:rPr>
        <w:t>e applied to these devices before they may be sold, according EU medical equipment regulations. Releasing a systematic tool to the general population for the first time—as a patient, healthcare provider, or distributor, for example—is known as commercializ</w:t>
      </w:r>
      <w:r>
        <w:rPr>
          <w:rFonts w:ascii="Times New Roman" w:hAnsi="Times New Roman" w:cs="Times New Roman"/>
          <w:sz w:val="24"/>
          <w:szCs w:val="24"/>
        </w:rPr>
        <w:t>ation. Whether the device is given away for free, completely refurbished, or brand-new, this holds true.</w:t>
      </w:r>
    </w:p>
    <w:p w:rsidR="00C61622" w:rsidRDefault="00441480">
      <w:pPr>
        <w:spacing w:before="100" w:beforeAutospacing="1" w:after="100" w:afterAutospacing="1" w:line="36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REGULATORY FRAMEWORK FOR MEDICAL DEVICE IN INDIA</w:t>
      </w:r>
    </w:p>
    <w:p w:rsidR="00C61622" w:rsidRDefault="00441480">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ahoma" w:eastAsia="Times New Roman" w:hAnsi="Tahoma" w:cs="Tahoma"/>
          <w:sz w:val="24"/>
          <w:szCs w:val="24"/>
          <w:lang w:eastAsia="en-IN"/>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 xml:space="preserve">India has grown to be one of the largest markets for medicinal products worldwide. India's </w:t>
      </w:r>
      <w:r>
        <w:rPr>
          <w:rFonts w:ascii="Times New Roman" w:eastAsia="Times New Roman" w:hAnsi="Times New Roman" w:cs="Times New Roman"/>
          <w:sz w:val="24"/>
          <w:szCs w:val="24"/>
          <w:lang w:eastAsia="en-IN"/>
        </w:rPr>
        <w:t>healthcare sector is now impartial because of the country's expanding personal healthcare infrastructure, the emergence of rural marketplaces, and the integration of a more varied current generation. Healthcare has the capacity to generate income, and this</w:t>
      </w:r>
      <w:r>
        <w:rPr>
          <w:rFonts w:ascii="Times New Roman" w:eastAsia="Times New Roman" w:hAnsi="Times New Roman" w:cs="Times New Roman"/>
          <w:sz w:val="24"/>
          <w:szCs w:val="24"/>
          <w:lang w:eastAsia="en-IN"/>
        </w:rPr>
        <w:t xml:space="preserve"> potential is growing at the same time as the scientific equipment industry is expanding. The Drugs and Cosmetics Act (DandC, Act) was developed in 1940 by India to control the import, manufacture, supply, and retail of medicines and cosmetics. As of right</w:t>
      </w:r>
      <w:r>
        <w:rPr>
          <w:rFonts w:ascii="Times New Roman" w:eastAsia="Times New Roman" w:hAnsi="Times New Roman" w:cs="Times New Roman"/>
          <w:sz w:val="24"/>
          <w:szCs w:val="24"/>
          <w:lang w:eastAsia="en-IN"/>
        </w:rPr>
        <w:t xml:space="preserve"> now, the Indian government has not enacted any special laws or guidelines that limit the import, manufacture, distribution, or rental of medical equipment inside its boundaries. In 1940, the Drugs and Cosmetics Act (</w:t>
      </w:r>
      <w:proofErr w:type="spellStart"/>
      <w:r>
        <w:rPr>
          <w:rFonts w:ascii="Times New Roman" w:eastAsia="Times New Roman" w:hAnsi="Times New Roman" w:cs="Times New Roman"/>
          <w:sz w:val="24"/>
          <w:szCs w:val="24"/>
          <w:lang w:eastAsia="en-IN"/>
        </w:rPr>
        <w:t>DandC</w:t>
      </w:r>
      <w:proofErr w:type="spellEnd"/>
      <w:r>
        <w:rPr>
          <w:rFonts w:ascii="Times New Roman" w:eastAsia="Times New Roman" w:hAnsi="Times New Roman" w:cs="Times New Roman"/>
          <w:sz w:val="24"/>
          <w:szCs w:val="24"/>
          <w:lang w:eastAsia="en-IN"/>
        </w:rPr>
        <w:t>) was enacted</w:t>
      </w:r>
      <w:commentRangeEnd w:id="15"/>
      <w:r w:rsidR="009D0428">
        <w:rPr>
          <w:rStyle w:val="CommentReference"/>
        </w:rPr>
        <w:commentReference w:id="15"/>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noProof/>
          <w:sz w:val="24"/>
          <w:szCs w:val="24"/>
          <w:lang w:eastAsia="en-IN"/>
        </w:rPr>
        <w:t xml:space="preserve"> </w:t>
      </w:r>
    </w:p>
    <w:p w:rsidR="00C61622" w:rsidRDefault="00C61622">
      <w:pPr>
        <w:spacing w:before="100" w:beforeAutospacing="1" w:after="100" w:afterAutospacing="1" w:line="360" w:lineRule="auto"/>
        <w:rPr>
          <w:rFonts w:ascii="Times New Roman" w:eastAsia="Times New Roman" w:hAnsi="Times New Roman" w:cs="Times New Roman"/>
          <w:sz w:val="24"/>
          <w:szCs w:val="24"/>
          <w:lang w:eastAsia="en-IN"/>
        </w:rPr>
      </w:pPr>
    </w:p>
    <w:p w:rsidR="00C61622" w:rsidRDefault="00C61622">
      <w:pPr>
        <w:pStyle w:val="NormalWeb"/>
        <w:spacing w:line="360" w:lineRule="auto"/>
      </w:pPr>
    </w:p>
    <w:p w:rsidR="00C61622" w:rsidRDefault="00441480">
      <w:pPr>
        <w:pStyle w:val="NormalWeb"/>
        <w:spacing w:line="360" w:lineRule="auto"/>
      </w:pPr>
      <w:r>
        <w:rPr>
          <w:b/>
          <w:noProof/>
          <w:lang w:val="en-GB" w:eastAsia="en-GB"/>
        </w:rPr>
        <w:drawing>
          <wp:anchor distT="0" distB="0" distL="114300" distR="114300" simplePos="0" relativeHeight="3" behindDoc="0" locked="0" layoutInCell="1" allowOverlap="1">
            <wp:simplePos x="0" y="0"/>
            <wp:positionH relativeFrom="column">
              <wp:posOffset>457200</wp:posOffset>
            </wp:positionH>
            <wp:positionV relativeFrom="paragraph">
              <wp:posOffset>0</wp:posOffset>
            </wp:positionV>
            <wp:extent cx="5021580" cy="4381500"/>
            <wp:effectExtent l="0" t="0" r="7620" b="0"/>
            <wp:wrapSquare wrapText="bothSides"/>
            <wp:docPr id="1027" name="Picture 1" descr="C:\Users\Lenovo\Pictures\Screenshots\Screenshot (26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a:stretch/>
                  </pic:blipFill>
                  <pic:spPr>
                    <a:xfrm>
                      <a:off x="0" y="0"/>
                      <a:ext cx="5021580" cy="4381500"/>
                    </a:xfrm>
                    <a:prstGeom prst="rect">
                      <a:avLst/>
                    </a:prstGeom>
                    <a:ln>
                      <a:noFill/>
                    </a:ln>
                  </pic:spPr>
                </pic:pic>
              </a:graphicData>
            </a:graphic>
          </wp:anchor>
        </w:drawing>
      </w:r>
    </w:p>
    <w:p w:rsidR="00C61622" w:rsidRDefault="00C61622">
      <w:pPr>
        <w:pStyle w:val="NormalWeb"/>
        <w:spacing w:line="360" w:lineRule="auto"/>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center"/>
        <w:rPr>
          <w:rFonts w:ascii="Times New Roman" w:hAnsi="Times New Roman" w:cs="Times New Roman"/>
          <w:color w:val="000000"/>
          <w:sz w:val="24"/>
          <w:szCs w:val="24"/>
        </w:rPr>
      </w:pPr>
    </w:p>
    <w:p w:rsidR="00C61622" w:rsidRDefault="00C61622">
      <w:pPr>
        <w:spacing w:line="360" w:lineRule="auto"/>
        <w:jc w:val="center"/>
        <w:rPr>
          <w:rFonts w:ascii="Times New Roman" w:hAnsi="Times New Roman" w:cs="Times New Roman"/>
          <w:b/>
          <w:color w:val="000000"/>
          <w:sz w:val="24"/>
          <w:szCs w:val="24"/>
        </w:rPr>
        <w:sectPr w:rsidR="00C61622">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C61622">
      <w:pPr>
        <w:spacing w:line="360" w:lineRule="auto"/>
        <w:rPr>
          <w:rFonts w:ascii="Times New Roman" w:hAnsi="Times New Roman" w:cs="Times New Roman"/>
          <w:b/>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C61622">
      <w:pPr>
        <w:spacing w:line="360" w:lineRule="auto"/>
        <w:jc w:val="center"/>
        <w:rPr>
          <w:rFonts w:ascii="Times New Roman" w:hAnsi="Times New Roman" w:cs="Times New Roman"/>
          <w:b/>
          <w:color w:val="000000"/>
          <w:sz w:val="24"/>
          <w:szCs w:val="24"/>
        </w:rPr>
      </w:pPr>
    </w:p>
    <w:p w:rsidR="00C61622" w:rsidRDefault="00441480">
      <w:pPr>
        <w:spacing w:after="0" w:line="360" w:lineRule="auto"/>
        <w:jc w:val="center"/>
        <w:rPr>
          <w:rFonts w:ascii="Times New Roman" w:hAnsi="Times New Roman" w:cs="Times New Roman"/>
          <w:b/>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commentRangeStart w:id="16"/>
      <w:r>
        <w:rPr>
          <w:rFonts w:ascii="Times New Roman" w:hAnsi="Times New Roman" w:cs="Times New Roman"/>
          <w:b/>
          <w:color w:val="000000"/>
          <w:sz w:val="24"/>
          <w:szCs w:val="24"/>
        </w:rPr>
        <w:t>Fig.1: REGULATORY APPROVAL PROCE</w:t>
      </w:r>
      <w:r>
        <w:rPr>
          <w:rFonts w:ascii="Times New Roman" w:hAnsi="Times New Roman" w:cs="Times New Roman"/>
          <w:b/>
          <w:color w:val="000000"/>
          <w:sz w:val="24"/>
          <w:szCs w:val="24"/>
        </w:rPr>
        <w:t>SS FOR MEDICAL DEVICE IN US</w:t>
      </w:r>
    </w:p>
    <w:p w:rsidR="00C61622" w:rsidRDefault="00C61622">
      <w:pPr>
        <w:spacing w:line="360" w:lineRule="auto"/>
        <w:jc w:val="center"/>
        <w:rPr>
          <w:rFonts w:ascii="Times New Roman" w:hAnsi="Times New Roman" w:cs="Times New Roman"/>
          <w:b/>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commentRangeEnd w:id="16"/>
    <w:p w:rsidR="00C61622" w:rsidRDefault="009D0428">
      <w:pPr>
        <w:spacing w:line="360" w:lineRule="auto"/>
        <w:jc w:val="both"/>
        <w:rPr>
          <w:rFonts w:ascii="Times New Roman" w:hAnsi="Times New Roman" w:cs="Times New Roman"/>
          <w:b/>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r>
        <w:rPr>
          <w:rStyle w:val="CommentReference"/>
        </w:rPr>
        <w:lastRenderedPageBreak/>
        <w:commentReference w:id="16"/>
      </w:r>
    </w:p>
    <w:p w:rsidR="00C61622" w:rsidRDefault="00C61622">
      <w:pPr>
        <w:spacing w:line="360" w:lineRule="auto"/>
        <w:rPr>
          <w:rFonts w:ascii="Times New Roman" w:hAnsi="Times New Roman" w:cs="Times New Roman"/>
          <w:b/>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C61622">
      <w:pPr>
        <w:spacing w:after="0" w:line="360" w:lineRule="auto"/>
        <w:jc w:val="center"/>
        <w:rPr>
          <w:rFonts w:ascii="Times New Roman" w:hAnsi="Times New Roman" w:cs="Times New Roman"/>
          <w:b/>
          <w:color w:val="000000"/>
          <w:sz w:val="24"/>
          <w:szCs w:val="24"/>
        </w:rPr>
      </w:pPr>
    </w:p>
    <w:p w:rsidR="00C61622" w:rsidRDefault="00C61622">
      <w:pPr>
        <w:spacing w:after="0" w:line="360" w:lineRule="auto"/>
        <w:jc w:val="center"/>
        <w:rPr>
          <w:rFonts w:ascii="Times New Roman" w:hAnsi="Times New Roman" w:cs="Times New Roman"/>
          <w:b/>
          <w:color w:val="000000"/>
          <w:sz w:val="24"/>
          <w:szCs w:val="24"/>
        </w:rPr>
      </w:pPr>
    </w:p>
    <w:p w:rsidR="00C61622" w:rsidRDefault="00C61622">
      <w:pPr>
        <w:spacing w:after="0" w:line="360" w:lineRule="auto"/>
        <w:jc w:val="center"/>
        <w:rPr>
          <w:rFonts w:ascii="Times New Roman" w:hAnsi="Times New Roman" w:cs="Times New Roman"/>
          <w:b/>
          <w:color w:val="000000"/>
          <w:sz w:val="24"/>
          <w:szCs w:val="24"/>
        </w:rPr>
      </w:pPr>
    </w:p>
    <w:p w:rsidR="00C61622" w:rsidRDefault="00C61622">
      <w:pPr>
        <w:spacing w:after="0" w:line="360" w:lineRule="auto"/>
        <w:jc w:val="center"/>
        <w:rPr>
          <w:rFonts w:ascii="Times New Roman" w:hAnsi="Times New Roman" w:cs="Times New Roman"/>
          <w:b/>
          <w:color w:val="000000"/>
          <w:sz w:val="24"/>
          <w:szCs w:val="24"/>
        </w:rPr>
      </w:pPr>
    </w:p>
    <w:p w:rsidR="00C61622" w:rsidRDefault="00C61622">
      <w:pPr>
        <w:spacing w:after="0" w:line="360" w:lineRule="auto"/>
        <w:jc w:val="center"/>
        <w:rPr>
          <w:rFonts w:ascii="Times New Roman" w:hAnsi="Times New Roman" w:cs="Times New Roman"/>
          <w:b/>
          <w:color w:val="000000"/>
          <w:sz w:val="24"/>
          <w:szCs w:val="24"/>
        </w:rPr>
      </w:pPr>
    </w:p>
    <w:p w:rsidR="00C61622" w:rsidRDefault="00441480">
      <w:pPr>
        <w:spacing w:line="360" w:lineRule="auto"/>
        <w:jc w:val="both"/>
        <w:rPr>
          <w:rFonts w:ascii="Times New Roman" w:hAnsi="Times New Roman" w:cs="Times New Roman"/>
          <w:b/>
          <w:color w:val="000000"/>
          <w:sz w:val="24"/>
          <w:szCs w:val="24"/>
        </w:rPr>
      </w:pPr>
      <w:commentRangeStart w:id="17"/>
      <w:r>
        <w:rPr>
          <w:rFonts w:ascii="Times New Roman" w:hAnsi="Times New Roman" w:cs="Times New Roman"/>
          <w:b/>
          <w:noProof/>
          <w:sz w:val="24"/>
          <w:szCs w:val="24"/>
          <w:lang w:val="en-GB" w:eastAsia="en-GB"/>
        </w:rPr>
        <w:lastRenderedPageBreak/>
        <w:drawing>
          <wp:anchor distT="0" distB="0" distL="114300" distR="114300" simplePos="0" relativeHeight="2" behindDoc="0" locked="0" layoutInCell="1" allowOverlap="1">
            <wp:simplePos x="0" y="0"/>
            <wp:positionH relativeFrom="margin">
              <wp:posOffset>0</wp:posOffset>
            </wp:positionH>
            <wp:positionV relativeFrom="margin">
              <wp:posOffset>528955</wp:posOffset>
            </wp:positionV>
            <wp:extent cx="5731510" cy="5530215"/>
            <wp:effectExtent l="0" t="0" r="2540" b="0"/>
            <wp:wrapSquare wrapText="bothSides"/>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9" cstate="print"/>
                    <a:srcRect/>
                    <a:stretch/>
                  </pic:blipFill>
                  <pic:spPr>
                    <a:xfrm>
                      <a:off x="0" y="0"/>
                      <a:ext cx="5731510" cy="5530215"/>
                    </a:xfrm>
                    <a:prstGeom prst="rect">
                      <a:avLst/>
                    </a:prstGeom>
                  </pic:spPr>
                </pic:pic>
              </a:graphicData>
            </a:graphic>
          </wp:anchor>
        </w:drawing>
      </w:r>
      <w:r>
        <w:rPr>
          <w:rFonts w:ascii="Times New Roman" w:hAnsi="Times New Roman" w:cs="Times New Roman"/>
          <w:b/>
          <w:color w:val="000000"/>
          <w:sz w:val="24"/>
          <w:szCs w:val="24"/>
        </w:rPr>
        <w:t>Fig.2: REGULATORY APPROVAL PROCESS FOR MEDICAL DEVICE IN EUROPE</w:t>
      </w:r>
      <w:commentRangeEnd w:id="17"/>
      <w:r w:rsidR="009D0428">
        <w:rPr>
          <w:rStyle w:val="CommentReference"/>
        </w:rPr>
        <w:commentReference w:id="17"/>
      </w:r>
    </w:p>
    <w:p w:rsidR="00C61622" w:rsidRDefault="00C61622">
      <w:pPr>
        <w:spacing w:line="360" w:lineRule="auto"/>
        <w:jc w:val="center"/>
        <w:rPr>
          <w:rFonts w:ascii="Times New Roman" w:hAnsi="Times New Roman" w:cs="Times New Roman"/>
          <w:b/>
          <w:color w:val="000000"/>
          <w:sz w:val="24"/>
          <w:szCs w:val="24"/>
        </w:rPr>
      </w:pPr>
    </w:p>
    <w:p w:rsidR="00C61622" w:rsidRDefault="00C61622">
      <w:pPr>
        <w:spacing w:line="360" w:lineRule="auto"/>
        <w:jc w:val="center"/>
        <w:rPr>
          <w:rFonts w:ascii="Times New Roman" w:hAnsi="Times New Roman" w:cs="Times New Roman"/>
          <w:b/>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441480">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w:t>
      </w:r>
    </w:p>
    <w:p w:rsidR="00C61622" w:rsidRDefault="00C61622">
      <w:pPr>
        <w:spacing w:line="360" w:lineRule="auto"/>
        <w:jc w:val="both"/>
        <w:rPr>
          <w:rFonts w:ascii="Times New Roman" w:hAnsi="Times New Roman" w:cs="Times New Roman"/>
          <w:b/>
          <w:color w:val="000000"/>
          <w:sz w:val="24"/>
          <w:szCs w:val="24"/>
        </w:rPr>
      </w:pPr>
    </w:p>
    <w:p w:rsidR="00C61622" w:rsidRDefault="00C61622">
      <w:pPr>
        <w:spacing w:line="360" w:lineRule="auto"/>
        <w:jc w:val="both"/>
        <w:rPr>
          <w:rFonts w:ascii="Times New Roman" w:hAnsi="Times New Roman" w:cs="Times New Roman"/>
          <w:b/>
          <w:color w:val="000000"/>
          <w:sz w:val="24"/>
          <w:szCs w:val="24"/>
        </w:rPr>
      </w:pPr>
    </w:p>
    <w:p w:rsidR="00C61622" w:rsidRDefault="00C61622">
      <w:pPr>
        <w:spacing w:line="360" w:lineRule="auto"/>
        <w:jc w:val="both"/>
        <w:rPr>
          <w:rFonts w:ascii="Times New Roman" w:hAnsi="Times New Roman" w:cs="Times New Roman"/>
          <w:b/>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b/>
          <w:color w:val="000000"/>
          <w:sz w:val="24"/>
          <w:szCs w:val="24"/>
        </w:rPr>
      </w:pPr>
    </w:p>
    <w:p w:rsidR="00C61622" w:rsidRDefault="00C61622">
      <w:pPr>
        <w:spacing w:line="360" w:lineRule="auto"/>
        <w:jc w:val="both"/>
        <w:rPr>
          <w:rFonts w:ascii="Times New Roman" w:hAnsi="Times New Roman" w:cs="Times New Roman"/>
          <w:b/>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C61622">
      <w:pPr>
        <w:spacing w:line="360" w:lineRule="auto"/>
        <w:jc w:val="both"/>
        <w:rPr>
          <w:rFonts w:ascii="Times New Roman" w:hAnsi="Times New Roman" w:cs="Times New Roman"/>
          <w:b/>
          <w:color w:val="000000"/>
          <w:sz w:val="24"/>
          <w:szCs w:val="24"/>
        </w:rPr>
      </w:pPr>
    </w:p>
    <w:p w:rsidR="00C61622" w:rsidRDefault="00C61622">
      <w:pPr>
        <w:spacing w:line="360" w:lineRule="auto"/>
        <w:jc w:val="both"/>
        <w:rPr>
          <w:rFonts w:ascii="Times New Roman" w:hAnsi="Times New Roman" w:cs="Times New Roman"/>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441480">
      <w:pPr>
        <w:spacing w:line="360" w:lineRule="auto"/>
        <w:jc w:val="both"/>
        <w:rPr>
          <w:rFonts w:ascii="Times New Roman" w:hAnsi="Times New Roman" w:cs="Times New Roman"/>
          <w:color w:val="000000"/>
          <w:sz w:val="24"/>
          <w:szCs w:val="24"/>
        </w:rPr>
      </w:pPr>
      <w:r>
        <w:rPr>
          <w:rFonts w:ascii="Times New Roman" w:hAnsi="Times New Roman" w:cs="Times New Roman"/>
          <w:noProof/>
          <w:sz w:val="24"/>
          <w:szCs w:val="24"/>
          <w:lang w:val="en-GB" w:eastAsia="en-GB"/>
        </w:rPr>
        <w:lastRenderedPageBreak/>
        <w:drawing>
          <wp:anchor distT="0" distB="0" distL="114300" distR="114300" simplePos="0" relativeHeight="4" behindDoc="0" locked="0" layoutInCell="1" allowOverlap="1">
            <wp:simplePos x="0" y="0"/>
            <wp:positionH relativeFrom="margin">
              <wp:posOffset>526334</wp:posOffset>
            </wp:positionH>
            <wp:positionV relativeFrom="margin">
              <wp:posOffset>1306645</wp:posOffset>
            </wp:positionV>
            <wp:extent cx="4742815" cy="5532120"/>
            <wp:effectExtent l="0" t="0" r="635" b="0"/>
            <wp:wrapSquare wrapText="bothSides"/>
            <wp:docPr id="10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20" cstate="print"/>
                    <a:srcRect/>
                    <a:stretch/>
                  </pic:blipFill>
                  <pic:spPr>
                    <a:xfrm>
                      <a:off x="0" y="0"/>
                      <a:ext cx="4742815" cy="5532120"/>
                    </a:xfrm>
                    <a:prstGeom prst="rect">
                      <a:avLst/>
                    </a:prstGeom>
                  </pic:spPr>
                </pic:pic>
              </a:graphicData>
            </a:graphic>
          </wp:anchor>
        </w:drawing>
      </w: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rPr>
          <w:rFonts w:ascii="Times New Roman" w:hAnsi="Times New Roman" w:cs="Times New Roman"/>
          <w:b/>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441480">
      <w:pPr>
        <w:spacing w:line="360" w:lineRule="auto"/>
        <w:jc w:val="both"/>
        <w:rPr>
          <w:rFonts w:ascii="Times New Roman" w:hAnsi="Times New Roman" w:cs="Times New Roman"/>
          <w:b/>
          <w:color w:val="000000"/>
          <w:sz w:val="24"/>
          <w:szCs w:val="24"/>
        </w:rPr>
      </w:pPr>
      <w:commentRangeStart w:id="18"/>
      <w:r>
        <w:rPr>
          <w:rFonts w:ascii="Times New Roman" w:hAnsi="Times New Roman" w:cs="Times New Roman"/>
          <w:b/>
          <w:color w:val="000000"/>
          <w:sz w:val="24"/>
          <w:szCs w:val="24"/>
        </w:rPr>
        <w:lastRenderedPageBreak/>
        <w:t>Fig.3: REGULATORY APPROVAL PROCESS FOR MEDICAL DEVICE IN INDIA</w:t>
      </w:r>
      <w:commentRangeEnd w:id="18"/>
      <w:r w:rsidR="009D0428">
        <w:rPr>
          <w:rStyle w:val="CommentReference"/>
        </w:rPr>
        <w:commentReference w:id="18"/>
      </w:r>
    </w:p>
    <w:p w:rsidR="00C61622" w:rsidRDefault="00C61622">
      <w:pPr>
        <w:spacing w:line="360" w:lineRule="auto"/>
        <w:jc w:val="center"/>
        <w:rPr>
          <w:rFonts w:ascii="Times New Roman" w:hAnsi="Times New Roman" w:cs="Times New Roman"/>
          <w:b/>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C61622">
      <w:pPr>
        <w:spacing w:line="360" w:lineRule="auto"/>
        <w:jc w:val="both"/>
        <w:rPr>
          <w:rFonts w:ascii="Times New Roman" w:hAnsi="Times New Roman" w:cs="Times New Roman"/>
          <w:color w:val="000000"/>
          <w:sz w:val="24"/>
          <w:szCs w:val="24"/>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441480">
      <w:pPr>
        <w:spacing w:before="100" w:beforeAutospacing="1" w:after="100" w:afterAutospacing="1" w:line="360" w:lineRule="auto"/>
        <w:jc w:val="both"/>
        <w:rPr>
          <w:rFonts w:ascii="Times New Roman" w:hAnsi="Times New Roman" w:cs="Times New Roman"/>
          <w:sz w:val="24"/>
          <w:szCs w:val="24"/>
        </w:rPr>
      </w:pPr>
      <w:commentRangeStart w:id="19"/>
      <w:r>
        <w:rPr>
          <w:rFonts w:ascii="Times New Roman" w:hAnsi="Times New Roman" w:cs="Times New Roman"/>
          <w:sz w:val="24"/>
          <w:szCs w:val="24"/>
        </w:rPr>
        <w:lastRenderedPageBreak/>
        <w:t xml:space="preserve">The Central Drugs Standard Control Organization (CDSCO), a division of the Indian government's Ministry of Health and Family Welfare, facilitates the oversight of the approval </w:t>
      </w:r>
      <w:r>
        <w:rPr>
          <w:rFonts w:ascii="Times New Roman" w:hAnsi="Times New Roman" w:cs="Times New Roman"/>
          <w:sz w:val="24"/>
          <w:szCs w:val="24"/>
        </w:rPr>
        <w:lastRenderedPageBreak/>
        <w:t>procedure for healthcare equipment regulations in a more convenient manner. In t</w:t>
      </w:r>
      <w:r>
        <w:rPr>
          <w:rFonts w:ascii="Times New Roman" w:hAnsi="Times New Roman" w:cs="Times New Roman"/>
          <w:sz w:val="24"/>
          <w:szCs w:val="24"/>
        </w:rPr>
        <w:t xml:space="preserve">he process of approving equipment used for research, the sentence that follows steps are frequently included: </w:t>
      </w:r>
    </w:p>
    <w:p w:rsidR="00C61622" w:rsidRDefault="00441480">
      <w:pPr>
        <w:spacing w:before="100" w:beforeAutospacing="1" w:after="100" w:afterAutospacing="1" w:line="360" w:lineRule="auto"/>
        <w:rPr>
          <w:rFonts w:ascii="Times New Roman" w:hAnsi="Times New Roman" w:cs="Times New Roman"/>
          <w:b/>
          <w:sz w:val="24"/>
          <w:szCs w:val="24"/>
        </w:rPr>
      </w:pPr>
      <w:r>
        <w:rPr>
          <w:rFonts w:ascii="Times New Roman" w:hAnsi="Times New Roman" w:cs="Times New Roman"/>
          <w:b/>
          <w:sz w:val="24"/>
          <w:szCs w:val="24"/>
        </w:rPr>
        <w:t xml:space="preserve">Classification of the Medical Device: </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Arrange the medical supplies based on the degree of danger involved in their use. Through the CDSCO, gratu</w:t>
      </w:r>
      <w:r>
        <w:rPr>
          <w:rFonts w:ascii="Times New Roman" w:hAnsi="Times New Roman" w:cs="Times New Roman"/>
          <w:sz w:val="24"/>
          <w:szCs w:val="24"/>
        </w:rPr>
        <w:t xml:space="preserve">ities are used to cover the cost of the entire class. </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Writing guidelines for technical documentation </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Create a thorough technical requirement file that details the general scientific average performance, testing, manufacturing, and design of the clinical </w:t>
      </w:r>
      <w:r>
        <w:rPr>
          <w:rFonts w:ascii="Times New Roman" w:hAnsi="Times New Roman" w:cs="Times New Roman"/>
          <w:sz w:val="24"/>
          <w:szCs w:val="24"/>
        </w:rPr>
        <w:t>equipment.</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Send the necessary paperwork to the CDSCO in order to submit your application for the position and receive formal approval. Together with the filled-out Form MD-1, the technical documentation is included.</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CDSCO conducts a preliminary program</w:t>
      </w:r>
      <w:r>
        <w:rPr>
          <w:rFonts w:ascii="Times New Roman" w:hAnsi="Times New Roman" w:cs="Times New Roman"/>
          <w:sz w:val="24"/>
          <w:szCs w:val="24"/>
        </w:rPr>
        <w:t xml:space="preserve"> evaluation to ensure that all required paperwork is included.</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Visual evaluation To ensure that production facilities follow proper manufacturing practices (GMP), a walk-through observation may be conducted as part of an effort to provide appropriate educa</w:t>
      </w:r>
      <w:r>
        <w:rPr>
          <w:rFonts w:ascii="Times New Roman" w:hAnsi="Times New Roman" w:cs="Times New Roman"/>
          <w:sz w:val="24"/>
          <w:szCs w:val="24"/>
        </w:rPr>
        <w:t xml:space="preserve">tion about gadgets. </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Subject Expert Committee (SEC) evaluated the subsequent items:</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a review of the technical material, the SEC may request more information or clarification. </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If the SEC's recommendations and the review's full results are met</w:t>
      </w:r>
      <w:r>
        <w:rPr>
          <w:rFonts w:ascii="Times New Roman" w:hAnsi="Times New Roman" w:cs="Times New Roman"/>
          <w:sz w:val="24"/>
          <w:szCs w:val="24"/>
        </w:rPr>
        <w:t xml:space="preserve">, the CDSCO has the authority to approve or disapprove the clinical device's entrance into the Indian market. </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It will be challenging to conduct post-marketing surveillance on the clinical gadget once it has been cleared in order to show consumers its effe</w:t>
      </w:r>
      <w:r>
        <w:rPr>
          <w:rFonts w:ascii="Times New Roman" w:hAnsi="Times New Roman" w:cs="Times New Roman"/>
          <w:sz w:val="24"/>
          <w:szCs w:val="24"/>
        </w:rPr>
        <w:t xml:space="preserve">ctiveness and safety. </w:t>
      </w:r>
    </w:p>
    <w:p w:rsidR="00C61622" w:rsidRDefault="00441480">
      <w:pPr>
        <w:pStyle w:val="ListParagraph"/>
        <w:numPr>
          <w:ilvl w:val="0"/>
          <w:numId w:val="3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Extending Permission: The validity of medical device approvals is frequently limited.   </w:t>
      </w:r>
    </w:p>
    <w:p w:rsidR="00C61622" w:rsidRDefault="0044148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Manufacturers are required to confirm their approval by providing up-to-date data and meeting renewal requirements. It is important to remember that regulations and particular requirements might change at any time. Manufacturers can get up-to-date and prec</w:t>
      </w:r>
      <w:r>
        <w:rPr>
          <w:rFonts w:ascii="Times New Roman" w:hAnsi="Times New Roman" w:cs="Times New Roman"/>
          <w:color w:val="000000"/>
          <w:sz w:val="24"/>
          <w:szCs w:val="24"/>
        </w:rPr>
        <w:t xml:space="preserve">ise data by referring to the guidelines and recommendations made accessible by the CDSCO. Consulting with professionals </w:t>
      </w:r>
      <w:r>
        <w:rPr>
          <w:rFonts w:ascii="Times New Roman" w:hAnsi="Times New Roman" w:cs="Times New Roman"/>
          <w:color w:val="000000"/>
          <w:sz w:val="24"/>
          <w:szCs w:val="24"/>
        </w:rPr>
        <w:lastRenderedPageBreak/>
        <w:t>who have previously worked with the relevant issue or gaining regulatory experience may also be beneficial in order to effectively navig</w:t>
      </w:r>
      <w:r>
        <w:rPr>
          <w:rFonts w:ascii="Times New Roman" w:hAnsi="Times New Roman" w:cs="Times New Roman"/>
          <w:color w:val="000000"/>
          <w:sz w:val="24"/>
          <w:szCs w:val="24"/>
        </w:rPr>
        <w:t>ate the approval processes.</w:t>
      </w:r>
    </w:p>
    <w:commentRangeEnd w:id="19"/>
    <w:p w:rsidR="00C61622" w:rsidRDefault="00441480">
      <w:pPr>
        <w:spacing w:line="360" w:lineRule="auto"/>
        <w:jc w:val="both"/>
        <w:rPr>
          <w:rFonts w:ascii="Times New Roman" w:hAnsi="Times New Roman" w:cs="Times New Roman"/>
          <w:color w:val="000000"/>
          <w:sz w:val="24"/>
          <w:szCs w:val="24"/>
        </w:rPr>
      </w:pPr>
      <w:r>
        <w:rPr>
          <w:rStyle w:val="CommentReference"/>
        </w:rPr>
        <w:commentReference w:id="19"/>
      </w:r>
      <w:r>
        <w:rPr>
          <w:rFonts w:ascii="Times New Roman" w:hAnsi="Times New Roman" w:cs="Times New Roman"/>
          <w:noProof/>
          <w:color w:val="000000"/>
          <w:sz w:val="24"/>
          <w:szCs w:val="24"/>
          <w:lang w:val="en-GB" w:eastAsia="en-GB"/>
        </w:rPr>
        <w:drawing>
          <wp:anchor distT="0" distB="0" distL="114300" distR="114300" simplePos="0" relativeHeight="6" behindDoc="1" locked="0" layoutInCell="1" allowOverlap="1">
            <wp:simplePos x="0" y="0"/>
            <wp:positionH relativeFrom="margin">
              <wp:posOffset>647700</wp:posOffset>
            </wp:positionH>
            <wp:positionV relativeFrom="page">
              <wp:posOffset>5819775</wp:posOffset>
            </wp:positionV>
            <wp:extent cx="4640580" cy="3787140"/>
            <wp:effectExtent l="0" t="0" r="7620" b="3810"/>
            <wp:wrapTight wrapText="bothSides">
              <wp:wrapPolygon edited="0">
                <wp:start x="0" y="0"/>
                <wp:lineTo x="0" y="21513"/>
                <wp:lineTo x="21547" y="21513"/>
                <wp:lineTo x="21547" y="0"/>
                <wp:lineTo x="0" y="0"/>
              </wp:wrapPolygon>
            </wp:wrapTight>
            <wp:docPr id="1030" name="Picture 9" descr="C:\Users\Lenovo\Pictures\Screenshots\Screenshot (26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9"/>
                    <pic:cNvPicPr/>
                  </pic:nvPicPr>
                  <pic:blipFill>
                    <a:blip r:embed="rId21" cstate="print"/>
                    <a:srcRect/>
                    <a:stretch/>
                  </pic:blipFill>
                  <pic:spPr>
                    <a:xfrm>
                      <a:off x="0" y="0"/>
                      <a:ext cx="4640580" cy="3787140"/>
                    </a:xfrm>
                    <a:prstGeom prst="rect">
                      <a:avLst/>
                    </a:prstGeom>
                    <a:ln>
                      <a:noFill/>
                    </a:ln>
                  </pic:spPr>
                </pic:pic>
              </a:graphicData>
            </a:graphic>
          </wp:anchor>
        </w:drawing>
      </w:r>
      <w:r>
        <w:rPr>
          <w:rFonts w:ascii="Times New Roman" w:hAnsi="Times New Roman" w:cs="Times New Roman"/>
          <w:color w:val="000000"/>
          <w:sz w:val="24"/>
          <w:szCs w:val="24"/>
        </w:rPr>
        <w:t xml:space="preserve"> </w:t>
      </w:r>
    </w:p>
    <w:p w:rsidR="00C61622" w:rsidRDefault="00441480">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noProof/>
          <w:sz w:val="24"/>
          <w:szCs w:val="24"/>
          <w:lang w:val="en-GB" w:eastAsia="en-GB"/>
        </w:rPr>
        <w:drawing>
          <wp:anchor distT="0" distB="0" distL="114300" distR="114300" simplePos="0" relativeHeight="5" behindDoc="0" locked="0" layoutInCell="1" allowOverlap="1">
            <wp:simplePos x="0" y="0"/>
            <wp:positionH relativeFrom="column">
              <wp:posOffset>0</wp:posOffset>
            </wp:positionH>
            <wp:positionV relativeFrom="margin">
              <wp:posOffset>988694</wp:posOffset>
            </wp:positionV>
            <wp:extent cx="6012180" cy="3767455"/>
            <wp:effectExtent l="0" t="0" r="7620" b="4445"/>
            <wp:wrapSquare wrapText="bothSides"/>
            <wp:docPr id="1031" name="Picture 5" descr="C:\Users\Lenovo\Pictures\Screenshots\Screenshot (26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22" cstate="print"/>
                    <a:srcRect/>
                    <a:stretch/>
                  </pic:blipFill>
                  <pic:spPr>
                    <a:xfrm>
                      <a:off x="0" y="0"/>
                      <a:ext cx="6012180" cy="3767455"/>
                    </a:xfrm>
                    <a:prstGeom prst="rect">
                      <a:avLst/>
                    </a:prstGeom>
                    <a:ln>
                      <a:noFill/>
                    </a:ln>
                  </pic:spPr>
                </pic:pic>
              </a:graphicData>
            </a:graphic>
          </wp:anchor>
        </w:drawing>
      </w: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441480">
      <w:pPr>
        <w:pStyle w:val="NormalWeb"/>
        <w:spacing w:line="360" w:lineRule="auto"/>
        <w:jc w:val="center"/>
        <w:rPr>
          <w:rFonts w:eastAsia="Calibri"/>
          <w:b/>
          <w:color w:val="000000"/>
          <w:lang w:eastAsia="en-US"/>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commentRangeStart w:id="20"/>
      <w:r>
        <w:rPr>
          <w:rFonts w:eastAsia="Calibri"/>
          <w:b/>
          <w:color w:val="000000"/>
          <w:lang w:eastAsia="en-US"/>
        </w:rPr>
        <w:lastRenderedPageBreak/>
        <w:t>Fig.no.4:  Classification of medical device</w:t>
      </w:r>
      <w:commentRangeEnd w:id="20"/>
      <w:r>
        <w:rPr>
          <w:rStyle w:val="CommentReference"/>
          <w:rFonts w:ascii="Calibri" w:eastAsia="Calibri" w:hAnsi="Calibri" w:cs="SimSun"/>
          <w:lang w:eastAsia="en-US"/>
        </w:rPr>
        <w:commentReference w:id="20"/>
      </w: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spacing w:line="360" w:lineRule="auto"/>
        <w:jc w:val="both"/>
        <w:rPr>
          <w:rFonts w:ascii="Times New Roman" w:hAnsi="Times New Roman" w:cs="Times New Roman"/>
          <w:color w:val="000000"/>
          <w:sz w:val="24"/>
          <w:szCs w:val="24"/>
        </w:rPr>
      </w:pPr>
    </w:p>
    <w:p w:rsidR="00C61622" w:rsidRDefault="00C61622">
      <w:pPr>
        <w:pStyle w:val="NormalWeb"/>
        <w:spacing w:line="360" w:lineRule="auto"/>
        <w:rPr>
          <w:rFonts w:eastAsia="Calibri"/>
          <w:b/>
          <w:color w:val="000000"/>
          <w:lang w:eastAsia="en-US"/>
        </w:rPr>
      </w:pPr>
    </w:p>
    <w:p w:rsidR="00C61622" w:rsidRDefault="00C61622">
      <w:pPr>
        <w:pStyle w:val="NormalWeb"/>
        <w:spacing w:line="360" w:lineRule="auto"/>
        <w:rPr>
          <w:rFonts w:eastAsia="Calibri"/>
          <w:b/>
          <w:color w:val="000000"/>
          <w:lang w:eastAsia="en-US"/>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C61622">
      <w:pPr>
        <w:pStyle w:val="NormalWeb"/>
        <w:spacing w:line="360" w:lineRule="auto"/>
        <w:jc w:val="center"/>
        <w:rPr>
          <w:rFonts w:eastAsia="Calibri"/>
          <w:b/>
          <w:color w:val="000000"/>
          <w:lang w:eastAsia="en-US"/>
        </w:rPr>
      </w:pPr>
    </w:p>
    <w:p w:rsidR="00C61622" w:rsidRDefault="00C61622">
      <w:pPr>
        <w:pStyle w:val="NormalWeb"/>
        <w:spacing w:line="360" w:lineRule="auto"/>
        <w:jc w:val="center"/>
        <w:rPr>
          <w:rFonts w:eastAsia="Calibri"/>
          <w:b/>
          <w:color w:val="000000"/>
          <w:lang w:eastAsia="en-US"/>
        </w:rPr>
      </w:pPr>
    </w:p>
    <w:p w:rsidR="00C61622" w:rsidRDefault="00C61622">
      <w:pPr>
        <w:pStyle w:val="NormalWeb"/>
        <w:spacing w:line="360" w:lineRule="auto"/>
        <w:rPr>
          <w:rFonts w:eastAsia="Calibri"/>
          <w:b/>
          <w:color w:val="000000"/>
          <w:lang w:eastAsia="en-US"/>
        </w:r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p>
    <w:p w:rsidR="00C61622" w:rsidRDefault="00441480">
      <w:pPr>
        <w:pStyle w:val="NormalWeb"/>
        <w:spacing w:line="360" w:lineRule="auto"/>
        <w:rPr>
          <w:rFonts w:eastAsia="Calibri"/>
          <w:b/>
          <w:color w:val="000000"/>
          <w:lang w:eastAsia="en-US"/>
        </w:rPr>
      </w:pPr>
      <w:commentRangeStart w:id="21"/>
      <w:r>
        <w:rPr>
          <w:rFonts w:eastAsia="Calibri"/>
          <w:b/>
          <w:color w:val="000000"/>
          <w:lang w:eastAsia="en-US"/>
        </w:rPr>
        <w:lastRenderedPageBreak/>
        <w:t>CONCLUSION:</w:t>
      </w:r>
    </w:p>
    <w:p w:rsidR="00C61622" w:rsidRDefault="00441480">
      <w:pPr>
        <w:pStyle w:val="NormalWeb"/>
        <w:spacing w:line="360" w:lineRule="auto"/>
        <w:jc w:val="both"/>
      </w:pPr>
      <w:r>
        <w:t>To be established with governmental organizations like the Food and Drug Administration ( FDA ) in the US, the EU (European Union), and an organization called the CDSCO (Central Drugs Standard Control Organization) in India, any healthcare tool must be ab</w:t>
      </w:r>
      <w:r>
        <w:t xml:space="preserve">le to prove its outstanding effectiveness, guarantee, and the effectiveness. This is a difficult yet necessary procedure. For the manufacturers, completing this registration process successfully marks a critical turning point since it enables them to sell </w:t>
      </w:r>
      <w:r>
        <w:t>and distribute their medical products in those crucial nations legally. When everything is taken into account, the technological device's ability to be legitimately registered with the FDA, EU, and CDSCO techniques attests to its compliance with strict reg</w:t>
      </w:r>
      <w:r>
        <w:t xml:space="preserve">ulatory standards and its importance for preserving public health. This accomplishment demonstrates the company's commitment to maintaining the highest standards </w:t>
      </w:r>
      <w:r>
        <w:lastRenderedPageBreak/>
        <w:t>of quality and safety in the design and production of scientific apparatus. These organization</w:t>
      </w:r>
      <w:r>
        <w:t>s' regulatory permission allows the company to grow both its patient base and its market share. Because it meets all security and efficacy criteria, the device fosters confidence among patients, healthcare professionals, and other stakeholders. Manufacture</w:t>
      </w:r>
      <w:r>
        <w:t xml:space="preserve">rs are expected to keep an eye on, investigate, and resolve any possible post-market monitoring needs during the length of a product's lifetime. Maintaining regulatory bodies and the health care system overall may be facilitated by a persistent commitment </w:t>
      </w:r>
      <w:r>
        <w:t>to regulatory compliance and continual improvement, which also serves to preserve patients' interests and innovate healthcare.</w:t>
      </w:r>
    </w:p>
    <w:commentRangeEnd w:id="21"/>
    <w:p w:rsidR="00C61622" w:rsidRDefault="00441480">
      <w:pPr>
        <w:pStyle w:val="NormalWeb"/>
        <w:spacing w:line="360" w:lineRule="auto"/>
        <w:jc w:val="both"/>
      </w:pPr>
      <w:r>
        <w:rPr>
          <w:rStyle w:val="CommentReference"/>
          <w:rFonts w:ascii="Calibri" w:eastAsia="Calibri" w:hAnsi="Calibri" w:cs="SimSun"/>
          <w:lang w:eastAsia="en-US"/>
        </w:rPr>
        <w:commentReference w:id="21"/>
      </w:r>
      <w:commentRangeStart w:id="22"/>
      <w:r>
        <w:rPr>
          <w:b/>
          <w:color w:val="000000"/>
        </w:rPr>
        <w:t>REFERENCE:</w:t>
      </w:r>
    </w:p>
    <w:p w:rsidR="00C61622" w:rsidRDefault="00441480">
      <w:pPr>
        <w:pStyle w:val="ListParagraph"/>
        <w:numPr>
          <w:ilvl w:val="0"/>
          <w:numId w:val="10"/>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Center for Devices and Radiological Health. Classify Your Medical Device [Internet]. U.S. Food and Drug Administration</w:t>
      </w:r>
      <w:r>
        <w:rPr>
          <w:rFonts w:ascii="Times New Roman" w:hAnsi="Times New Roman" w:cs="Times New Roman"/>
          <w:color w:val="000000"/>
          <w:sz w:val="24"/>
          <w:szCs w:val="24"/>
        </w:rPr>
        <w:t xml:space="preserve">. 2020. </w:t>
      </w:r>
    </w:p>
    <w:p w:rsidR="00C61622" w:rsidRDefault="00441480">
      <w:pPr>
        <w:pStyle w:val="ListParagraph"/>
        <w:numPr>
          <w:ilvl w:val="0"/>
          <w:numId w:val="10"/>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Lamph S. Regulation of medical devices outside the European Union. J R Soc Med. 2012 Apr; 105 Suppl 1(Suppl 1):S12-21.</w:t>
      </w:r>
    </w:p>
    <w:p w:rsidR="00C61622" w:rsidRDefault="00441480">
      <w:pPr>
        <w:pStyle w:val="ListParagraph"/>
        <w:numPr>
          <w:ilvl w:val="0"/>
          <w:numId w:val="10"/>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Schlauderaff A, Boyer KC. An Overview of Food and Drug Administration Medical Device Legislation and Interplay with Current Medical Practices. Cureus. 2019 May 9;</w:t>
      </w:r>
    </w:p>
    <w:p w:rsidR="00C61622" w:rsidRDefault="00441480">
      <w:pPr>
        <w:pStyle w:val="ListParagraph"/>
        <w:numPr>
          <w:ilvl w:val="0"/>
          <w:numId w:val="10"/>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Difference between Approval Processes for Medicinal Products and Medical Devices in Europ</w:t>
      </w:r>
      <w:r>
        <w:rPr>
          <w:rFonts w:ascii="Times New Roman" w:hAnsi="Times New Roman" w:cs="Times New Roman"/>
          <w:sz w:val="24"/>
          <w:szCs w:val="24"/>
        </w:rPr>
        <w:t xml:space="preserve">e Subject Area: </w:t>
      </w:r>
      <w:hyperlink r:id="rId23" w:history="1">
        <w:r>
          <w:rPr>
            <w:rStyle w:val="Hyperlink"/>
            <w:rFonts w:ascii="Times New Roman" w:hAnsi="Times New Roman" w:cs="Times New Roman"/>
            <w:color w:val="auto"/>
            <w:sz w:val="24"/>
            <w:szCs w:val="24"/>
            <w:u w:val="none"/>
          </w:rPr>
          <w:t>Ophthalmology</w:t>
        </w:r>
      </w:hyperlink>
      <w:r>
        <w:rPr>
          <w:rFonts w:ascii="Times New Roman" w:hAnsi="Times New Roman" w:cs="Times New Roman"/>
          <w:sz w:val="24"/>
          <w:szCs w:val="24"/>
        </w:rPr>
        <w:t xml:space="preserve"> ,</w:t>
      </w:r>
      <w:r>
        <w:rPr>
          <w:rStyle w:val="Hyperlink"/>
          <w:rFonts w:ascii="Times New Roman" w:hAnsi="Times New Roman" w:cs="Times New Roman"/>
          <w:color w:val="auto"/>
          <w:sz w:val="24"/>
          <w:szCs w:val="24"/>
          <w:u w:val="none"/>
        </w:rPr>
        <w:t>John Marshall</w:t>
      </w:r>
      <w:r>
        <w:rPr>
          <w:rFonts w:ascii="Times New Roman" w:hAnsi="Times New Roman" w:cs="Times New Roman"/>
          <w:sz w:val="24"/>
          <w:szCs w:val="24"/>
        </w:rPr>
        <w:t xml:space="preserve"> ,</w:t>
      </w:r>
      <w:hyperlink r:id="rId24" w:history="1">
        <w:r>
          <w:rPr>
            <w:rStyle w:val="Hyperlink"/>
            <w:rFonts w:ascii="Times New Roman" w:hAnsi="Times New Roman" w:cs="Times New Roman"/>
            <w:color w:val="auto"/>
            <w:sz w:val="24"/>
            <w:szCs w:val="24"/>
            <w:u w:val="none"/>
          </w:rPr>
          <w:t>Kristine Morrill</w:t>
        </w:r>
      </w:hyperlink>
      <w:r>
        <w:rPr>
          <w:rStyle w:val="al-author-delim"/>
          <w:rFonts w:ascii="Times New Roman" w:hAnsi="Times New Roman" w:cs="Times New Roman"/>
          <w:sz w:val="24"/>
          <w:szCs w:val="24"/>
        </w:rPr>
        <w:t xml:space="preserve">; </w:t>
      </w:r>
      <w:hyperlink r:id="rId25" w:history="1">
        <w:r>
          <w:rPr>
            <w:rStyle w:val="Hyperlink"/>
            <w:rFonts w:ascii="Times New Roman" w:hAnsi="Times New Roman" w:cs="Times New Roman"/>
            <w:color w:val="auto"/>
            <w:sz w:val="24"/>
            <w:szCs w:val="24"/>
            <w:u w:val="none"/>
          </w:rPr>
          <w:t xml:space="preserve">Marine </w:t>
        </w:r>
        <w:proofErr w:type="spellStart"/>
        <w:r>
          <w:rPr>
            <w:rStyle w:val="Hyperlink"/>
            <w:rFonts w:ascii="Times New Roman" w:hAnsi="Times New Roman" w:cs="Times New Roman"/>
            <w:color w:val="auto"/>
            <w:sz w:val="24"/>
            <w:szCs w:val="24"/>
            <w:u w:val="none"/>
          </w:rPr>
          <w:t>Gobbe</w:t>
        </w:r>
        <w:proofErr w:type="spellEnd"/>
      </w:hyperlink>
      <w:r>
        <w:rPr>
          <w:rStyle w:val="al-author-delim"/>
          <w:rFonts w:ascii="Times New Roman" w:hAnsi="Times New Roman" w:cs="Times New Roman"/>
          <w:sz w:val="24"/>
          <w:szCs w:val="24"/>
        </w:rPr>
        <w:t xml:space="preserve">; </w:t>
      </w:r>
      <w:hyperlink r:id="rId26" w:history="1">
        <w:r>
          <w:rPr>
            <w:rStyle w:val="Hyperlink"/>
            <w:rFonts w:ascii="Times New Roman" w:hAnsi="Times New Roman" w:cs="Times New Roman"/>
            <w:color w:val="auto"/>
            <w:sz w:val="24"/>
            <w:szCs w:val="24"/>
            <w:u w:val="none"/>
          </w:rPr>
          <w:t>Lauren Blanchard</w:t>
        </w:r>
      </w:hyperlink>
      <w:r>
        <w:rPr>
          <w:rFonts w:ascii="Times New Roman" w:hAnsi="Times New Roman" w:cs="Times New Roman"/>
          <w:sz w:val="24"/>
          <w:szCs w:val="24"/>
        </w:rPr>
        <w:t xml:space="preserve"> ,</w:t>
      </w:r>
      <w:proofErr w:type="spellStart"/>
      <w:r>
        <w:rPr>
          <w:rStyle w:val="Emphasis"/>
          <w:rFonts w:ascii="Times New Roman" w:hAnsi="Times New Roman" w:cs="Times New Roman"/>
          <w:i w:val="0"/>
          <w:sz w:val="24"/>
          <w:szCs w:val="24"/>
        </w:rPr>
        <w:t>Ophthalmologica</w:t>
      </w:r>
      <w:proofErr w:type="spellEnd"/>
      <w:r>
        <w:rPr>
          <w:rFonts w:ascii="Times New Roman" w:hAnsi="Times New Roman" w:cs="Times New Roman"/>
          <w:sz w:val="24"/>
          <w:szCs w:val="24"/>
        </w:rPr>
        <w:t xml:space="preserve"> (2021) 244 (5): 368–378.</w:t>
      </w:r>
    </w:p>
    <w:p w:rsidR="00C61622" w:rsidRDefault="00441480">
      <w:pPr>
        <w:pStyle w:val="ListParagraph"/>
        <w:numPr>
          <w:ilvl w:val="0"/>
          <w:numId w:val="10"/>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REGULAT</w:t>
      </w:r>
      <w:r>
        <w:rPr>
          <w:rFonts w:ascii="Times New Roman" w:hAnsi="Times New Roman" w:cs="Times New Roman"/>
          <w:sz w:val="24"/>
          <w:szCs w:val="24"/>
        </w:rPr>
        <w:t>ORY APPROVAL PROCESS FOR MEDICAL DEVICES IN INDIA, USA &amp; EUROPEAN UNION Pushpa Bindu Nannepamu*, Tavva Naga Panindra Kumar, Pagadala Sai Ram, M. V. Nagabhushanam, G. Ramakrishna, Brahmaiah Bonthagarala, Y. Ratna Sindhu, Santosh Kumar Ch Volume 11, Issue 5,</w:t>
      </w:r>
      <w:r>
        <w:rPr>
          <w:rFonts w:ascii="Times New Roman" w:hAnsi="Times New Roman" w:cs="Times New Roman"/>
          <w:sz w:val="24"/>
          <w:szCs w:val="24"/>
        </w:rPr>
        <w:t xml:space="preserve"> 2008-2017, Revised on 11 April 2022, Accepted on 01 May 2022</w:t>
      </w:r>
    </w:p>
    <w:p w:rsidR="00C61622" w:rsidRDefault="00441480">
      <w:pPr>
        <w:pStyle w:val="ListParagraph"/>
        <w:numPr>
          <w:ilvl w:val="0"/>
          <w:numId w:val="10"/>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U.S. Approval Process for Medical Devices: Legislative Issues and Comparison with the Drug Model March 23, 2005 Michele Schoonmaker Specialist in Genetics Domestic Social Policy Division</w:t>
      </w:r>
    </w:p>
    <w:p w:rsidR="00C61622" w:rsidRDefault="00441480">
      <w:pPr>
        <w:pStyle w:val="ListParagraph"/>
        <w:numPr>
          <w:ilvl w:val="0"/>
          <w:numId w:val="10"/>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bCs/>
          <w:color w:val="000000"/>
          <w:kern w:val="36"/>
          <w:sz w:val="24"/>
          <w:szCs w:val="24"/>
        </w:rPr>
        <w:t>A C</w:t>
      </w:r>
      <w:r>
        <w:rPr>
          <w:rFonts w:ascii="Times New Roman" w:hAnsi="Times New Roman" w:cs="Times New Roman"/>
          <w:bCs/>
          <w:color w:val="000000"/>
          <w:kern w:val="36"/>
          <w:sz w:val="24"/>
          <w:szCs w:val="24"/>
        </w:rPr>
        <w:t>omparative Study of Medical Device Regulations:: US, Europe, Canada, and Taiwan ,</w:t>
      </w:r>
      <w:hyperlink r:id="rId27" w:anchor="con1" w:history="1">
        <w:r>
          <w:rPr>
            <w:rFonts w:ascii="Times New Roman" w:hAnsi="Times New Roman" w:cs="Times New Roman"/>
            <w:color w:val="000000"/>
            <w:sz w:val="24"/>
            <w:szCs w:val="24"/>
          </w:rPr>
          <w:t>Yi-Jung Chen, MSc</w:t>
        </w:r>
      </w:hyperlink>
      <w:r>
        <w:rPr>
          <w:rFonts w:ascii="Times New Roman" w:hAnsi="Times New Roman" w:cs="Times New Roman"/>
          <w:color w:val="000000"/>
          <w:sz w:val="24"/>
          <w:szCs w:val="24"/>
        </w:rPr>
        <w:t xml:space="preserve">, </w:t>
      </w:r>
      <w:hyperlink r:id="rId28" w:anchor="con2" w:history="1">
        <w:r>
          <w:rPr>
            <w:rFonts w:ascii="Times New Roman" w:hAnsi="Times New Roman" w:cs="Times New Roman"/>
            <w:color w:val="000000"/>
            <w:sz w:val="24"/>
            <w:szCs w:val="24"/>
          </w:rPr>
          <w:t xml:space="preserve">Chi-Ming </w:t>
        </w:r>
        <w:proofErr w:type="spellStart"/>
        <w:r>
          <w:rPr>
            <w:rFonts w:ascii="Times New Roman" w:hAnsi="Times New Roman" w:cs="Times New Roman"/>
            <w:color w:val="000000"/>
            <w:sz w:val="24"/>
            <w:szCs w:val="24"/>
          </w:rPr>
          <w:t>Chiou</w:t>
        </w:r>
        <w:proofErr w:type="spellEnd"/>
        <w:r>
          <w:rPr>
            <w:rFonts w:ascii="Times New Roman" w:hAnsi="Times New Roman" w:cs="Times New Roman"/>
            <w:color w:val="000000"/>
            <w:sz w:val="24"/>
            <w:szCs w:val="24"/>
          </w:rPr>
          <w:t>, PhD</w:t>
        </w:r>
      </w:hyperlink>
      <w:r>
        <w:rPr>
          <w:rFonts w:ascii="Times New Roman" w:hAnsi="Times New Roman" w:cs="Times New Roman"/>
          <w:color w:val="000000"/>
          <w:sz w:val="24"/>
          <w:szCs w:val="24"/>
        </w:rPr>
        <w:t xml:space="preserve">, and </w:t>
      </w:r>
      <w:hyperlink r:id="rId29" w:anchor="con6" w:history="1">
        <w:proofErr w:type="spellStart"/>
        <w:r>
          <w:rPr>
            <w:rFonts w:ascii="Times New Roman" w:hAnsi="Times New Roman" w:cs="Times New Roman"/>
            <w:color w:val="000000"/>
            <w:sz w:val="24"/>
            <w:szCs w:val="24"/>
          </w:rPr>
          <w:t>Chia</w:t>
        </w:r>
        <w:proofErr w:type="spellEnd"/>
        <w:r>
          <w:rPr>
            <w:rFonts w:ascii="Times New Roman" w:hAnsi="Times New Roman" w:cs="Times New Roman"/>
            <w:color w:val="000000"/>
            <w:sz w:val="24"/>
            <w:szCs w:val="24"/>
          </w:rPr>
          <w:t xml:space="preserve">-Hung </w:t>
        </w:r>
        <w:proofErr w:type="spellStart"/>
        <w:r>
          <w:rPr>
            <w:rFonts w:ascii="Times New Roman" w:hAnsi="Times New Roman" w:cs="Times New Roman"/>
            <w:color w:val="000000"/>
            <w:sz w:val="24"/>
            <w:szCs w:val="24"/>
          </w:rPr>
          <w:t>Chien</w:t>
        </w:r>
        <w:proofErr w:type="spellEnd"/>
        <w:r>
          <w:rPr>
            <w:rFonts w:ascii="Times New Roman" w:hAnsi="Times New Roman" w:cs="Times New Roman"/>
            <w:color w:val="000000"/>
            <w:sz w:val="24"/>
            <w:szCs w:val="24"/>
          </w:rPr>
          <w:t>, PhD</w:t>
        </w:r>
      </w:hyperlink>
      <w:r>
        <w:rPr>
          <w:rFonts w:ascii="Times New Roman" w:hAnsi="Times New Roman" w:cs="Times New Roman"/>
          <w:color w:val="000000"/>
          <w:sz w:val="24"/>
          <w:szCs w:val="24"/>
        </w:rPr>
        <w:t xml:space="preserve"> </w:t>
      </w:r>
      <w:hyperlink r:id="rId30" w:anchor="tab-contributors" w:history="1">
        <w:r>
          <w:rPr>
            <w:rFonts w:ascii="Times New Roman" w:hAnsi="Times New Roman" w:cs="Times New Roman"/>
            <w:color w:val="000000"/>
            <w:sz w:val="24"/>
            <w:szCs w:val="24"/>
          </w:rPr>
          <w:t>View all authors and affiliations</w:t>
        </w:r>
      </w:hyperlink>
      <w:r>
        <w:rPr>
          <w:rFonts w:ascii="Times New Roman" w:hAnsi="Times New Roman" w:cs="Times New Roman"/>
          <w:bCs/>
          <w:color w:val="000000"/>
          <w:kern w:val="36"/>
          <w:sz w:val="24"/>
          <w:szCs w:val="24"/>
        </w:rPr>
        <w:t xml:space="preserve"> </w:t>
      </w:r>
      <w:r>
        <w:rPr>
          <w:rFonts w:ascii="Times New Roman" w:hAnsi="Times New Roman" w:cs="Times New Roman"/>
          <w:color w:val="000000"/>
          <w:sz w:val="24"/>
          <w:szCs w:val="24"/>
        </w:rPr>
        <w:t>July 7, 2017.</w:t>
      </w:r>
    </w:p>
    <w:p w:rsidR="00C61622" w:rsidRDefault="00441480">
      <w:pPr>
        <w:pStyle w:val="ListParagraph"/>
        <w:numPr>
          <w:ilvl w:val="0"/>
          <w:numId w:val="10"/>
        </w:numPr>
        <w:spacing w:line="360" w:lineRule="auto"/>
        <w:jc w:val="both"/>
        <w:rPr>
          <w:rStyle w:val="publish-date-label"/>
          <w:rFonts w:ascii="Times New Roman" w:hAnsi="Times New Roman" w:cs="Times New Roman"/>
          <w:color w:val="000000"/>
          <w:sz w:val="24"/>
          <w:szCs w:val="24"/>
          <w:shd w:val="clear" w:color="auto" w:fill="FFFFFF"/>
        </w:rPr>
      </w:pPr>
      <w:r>
        <w:rPr>
          <w:rFonts w:ascii="Times New Roman" w:eastAsia="Times New Roman" w:hAnsi="Times New Roman" w:cs="Times New Roman"/>
          <w:bCs/>
          <w:color w:val="000000"/>
          <w:kern w:val="36"/>
          <w:sz w:val="24"/>
          <w:szCs w:val="24"/>
          <w:lang w:eastAsia="en-IN"/>
        </w:rPr>
        <w:lastRenderedPageBreak/>
        <w:t xml:space="preserve">Review of U.S. Medical Device Regulation </w:t>
      </w:r>
      <w:hyperlink r:id="rId31" w:history="1">
        <w:r>
          <w:rPr>
            <w:rFonts w:ascii="Times New Roman" w:eastAsia="Times New Roman" w:hAnsi="Times New Roman" w:cs="Times New Roman"/>
            <w:color w:val="000000"/>
            <w:sz w:val="24"/>
            <w:szCs w:val="24"/>
            <w:lang w:eastAsia="en-IN"/>
          </w:rPr>
          <w:t xml:space="preserve">Jan B. </w:t>
        </w:r>
        <w:proofErr w:type="spellStart"/>
        <w:r>
          <w:rPr>
            <w:rFonts w:ascii="Times New Roman" w:eastAsia="Times New Roman" w:hAnsi="Times New Roman" w:cs="Times New Roman"/>
            <w:color w:val="000000"/>
            <w:sz w:val="24"/>
            <w:szCs w:val="24"/>
            <w:lang w:eastAsia="en-IN"/>
          </w:rPr>
          <w:t>Pietzsch</w:t>
        </w:r>
        <w:proofErr w:type="spellEnd"/>
      </w:hyperlink>
      <w:r>
        <w:rPr>
          <w:rFonts w:ascii="Times New Roman" w:eastAsia="Times New Roman" w:hAnsi="Times New Roman" w:cs="Times New Roman"/>
          <w:color w:val="000000"/>
          <w:sz w:val="24"/>
          <w:szCs w:val="24"/>
          <w:lang w:eastAsia="en-IN"/>
        </w:rPr>
        <w:t xml:space="preserve">, </w:t>
      </w:r>
      <w:hyperlink r:id="rId32" w:history="1">
        <w:r>
          <w:rPr>
            <w:rFonts w:ascii="Times New Roman" w:eastAsia="Times New Roman" w:hAnsi="Times New Roman" w:cs="Times New Roman"/>
            <w:color w:val="000000"/>
            <w:sz w:val="24"/>
            <w:szCs w:val="24"/>
            <w:lang w:eastAsia="en-IN"/>
          </w:rPr>
          <w:t>Lauren M. Aquino</w:t>
        </w:r>
      </w:hyperlink>
      <w:r>
        <w:rPr>
          <w:rFonts w:ascii="Times New Roman" w:eastAsia="Times New Roman" w:hAnsi="Times New Roman" w:cs="Times New Roman"/>
          <w:color w:val="000000"/>
          <w:sz w:val="24"/>
          <w:szCs w:val="24"/>
          <w:lang w:eastAsia="en-IN"/>
        </w:rPr>
        <w:t xml:space="preserve">, </w:t>
      </w:r>
      <w:hyperlink r:id="rId33" w:history="1">
        <w:r>
          <w:rPr>
            <w:rFonts w:ascii="Times New Roman" w:eastAsia="Times New Roman" w:hAnsi="Times New Roman" w:cs="Times New Roman"/>
            <w:color w:val="000000"/>
            <w:sz w:val="24"/>
            <w:szCs w:val="24"/>
            <w:lang w:eastAsia="en-IN"/>
          </w:rPr>
          <w:t xml:space="preserve">Paul G. </w:t>
        </w:r>
        <w:proofErr w:type="spellStart"/>
        <w:r>
          <w:rPr>
            <w:rFonts w:ascii="Times New Roman" w:eastAsia="Times New Roman" w:hAnsi="Times New Roman" w:cs="Times New Roman"/>
            <w:color w:val="000000"/>
            <w:sz w:val="24"/>
            <w:szCs w:val="24"/>
            <w:lang w:eastAsia="en-IN"/>
          </w:rPr>
          <w:t>Yock</w:t>
        </w:r>
        <w:proofErr w:type="spellEnd"/>
      </w:hyperlink>
      <w:r>
        <w:rPr>
          <w:rFonts w:ascii="Times New Roman" w:eastAsia="Times New Roman" w:hAnsi="Times New Roman" w:cs="Times New Roman"/>
          <w:color w:val="000000"/>
          <w:sz w:val="24"/>
          <w:szCs w:val="24"/>
          <w:lang w:eastAsia="en-IN"/>
        </w:rPr>
        <w:t xml:space="preserve">, </w:t>
      </w:r>
      <w:hyperlink r:id="rId34" w:history="1">
        <w:r>
          <w:rPr>
            <w:rFonts w:ascii="Times New Roman" w:eastAsia="Times New Roman" w:hAnsi="Times New Roman" w:cs="Times New Roman"/>
            <w:color w:val="000000"/>
            <w:sz w:val="24"/>
            <w:szCs w:val="24"/>
            <w:lang w:eastAsia="en-IN"/>
          </w:rPr>
          <w:t xml:space="preserve">M. Elisabeth </w:t>
        </w:r>
        <w:proofErr w:type="spellStart"/>
        <w:r>
          <w:rPr>
            <w:rFonts w:ascii="Times New Roman" w:eastAsia="Times New Roman" w:hAnsi="Times New Roman" w:cs="Times New Roman"/>
            <w:color w:val="000000"/>
            <w:sz w:val="24"/>
            <w:szCs w:val="24"/>
            <w:lang w:eastAsia="en-IN"/>
          </w:rPr>
          <w:t>Paté</w:t>
        </w:r>
        <w:proofErr w:type="spellEnd"/>
        <w:r>
          <w:rPr>
            <w:rFonts w:ascii="Times New Roman" w:eastAsia="Times New Roman" w:hAnsi="Times New Roman" w:cs="Times New Roman"/>
            <w:color w:val="000000"/>
            <w:sz w:val="24"/>
            <w:szCs w:val="24"/>
            <w:lang w:eastAsia="en-IN"/>
          </w:rPr>
          <w:t>-Cornell</w:t>
        </w:r>
      </w:hyperlink>
      <w:r>
        <w:rPr>
          <w:rFonts w:ascii="Times New Roman" w:eastAsia="Times New Roman" w:hAnsi="Times New Roman" w:cs="Times New Roman"/>
          <w:color w:val="000000"/>
          <w:sz w:val="24"/>
          <w:szCs w:val="24"/>
          <w:lang w:eastAsia="en-IN"/>
        </w:rPr>
        <w:t xml:space="preserve">, </w:t>
      </w:r>
      <w:hyperlink r:id="rId35" w:history="1">
        <w:r>
          <w:rPr>
            <w:rFonts w:ascii="Times New Roman" w:eastAsia="Times New Roman" w:hAnsi="Times New Roman" w:cs="Times New Roman"/>
            <w:color w:val="000000"/>
            <w:sz w:val="24"/>
            <w:szCs w:val="24"/>
            <w:lang w:eastAsia="en-IN"/>
          </w:rPr>
          <w:t xml:space="preserve">John H. </w:t>
        </w:r>
        <w:proofErr w:type="spellStart"/>
        <w:r>
          <w:rPr>
            <w:rFonts w:ascii="Times New Roman" w:eastAsia="Times New Roman" w:hAnsi="Times New Roman" w:cs="Times New Roman"/>
            <w:color w:val="000000"/>
            <w:sz w:val="24"/>
            <w:szCs w:val="24"/>
            <w:lang w:eastAsia="en-IN"/>
          </w:rPr>
          <w:t>Linehan</w:t>
        </w:r>
        <w:proofErr w:type="spellEnd"/>
      </w:hyperlink>
      <w:r>
        <w:rPr>
          <w:rFonts w:ascii="Times New Roman" w:eastAsia="Times New Roman" w:hAnsi="Times New Roman" w:cs="Times New Roman"/>
          <w:color w:val="000000"/>
          <w:sz w:val="24"/>
          <w:szCs w:val="24"/>
          <w:lang w:eastAsia="en-IN"/>
        </w:rPr>
        <w:t xml:space="preserve"> </w:t>
      </w:r>
      <w:r>
        <w:rPr>
          <w:rStyle w:val="publish-date-label"/>
          <w:rFonts w:ascii="Times New Roman" w:hAnsi="Times New Roman" w:cs="Times New Roman"/>
          <w:sz w:val="24"/>
          <w:szCs w:val="24"/>
        </w:rPr>
        <w:t>October 19, 2007</w:t>
      </w:r>
    </w:p>
    <w:p w:rsidR="00C61622" w:rsidRDefault="00441480">
      <w:pPr>
        <w:pStyle w:val="ListParagraph"/>
        <w:numPr>
          <w:ilvl w:val="0"/>
          <w:numId w:val="10"/>
        </w:numPr>
        <w:spacing w:before="100" w:beforeAutospacing="1" w:after="100" w:afterAutospacing="1" w:line="360" w:lineRule="auto"/>
        <w:jc w:val="both"/>
        <w:outlineLvl w:val="0"/>
        <w:rPr>
          <w:rFonts w:ascii="Times New Roman" w:eastAsia="Times New Roman" w:hAnsi="Times New Roman" w:cs="Times New Roman"/>
          <w:sz w:val="24"/>
          <w:szCs w:val="24"/>
          <w:lang w:eastAsia="en-IN"/>
        </w:rPr>
      </w:pPr>
      <w:r>
        <w:rPr>
          <w:rFonts w:ascii="Times New Roman" w:eastAsia="Times New Roman" w:hAnsi="Times New Roman" w:cs="Times New Roman"/>
          <w:bCs/>
          <w:kern w:val="36"/>
          <w:sz w:val="24"/>
          <w:szCs w:val="24"/>
          <w:lang w:eastAsia="en-IN"/>
        </w:rPr>
        <w:t xml:space="preserve">Medical Device Regulation: A Comparison of the United States and the European Union </w:t>
      </w:r>
      <w:r>
        <w:rPr>
          <w:rFonts w:ascii="Times New Roman" w:eastAsia="Times New Roman" w:hAnsi="Times New Roman" w:cs="Times New Roman"/>
          <w:sz w:val="24"/>
          <w:szCs w:val="24"/>
          <w:lang w:eastAsia="en-IN"/>
        </w:rPr>
        <w:t>Maak, Travis G. MD; Wylie,</w:t>
      </w:r>
      <w:r>
        <w:rPr>
          <w:rFonts w:ascii="Times New Roman" w:eastAsia="Times New Roman" w:hAnsi="Times New Roman" w:cs="Times New Roman"/>
          <w:sz w:val="24"/>
          <w:szCs w:val="24"/>
          <w:lang w:eastAsia="en-IN"/>
        </w:rPr>
        <w:t xml:space="preserve"> James D. MD, MHS august 2016.</w:t>
      </w:r>
    </w:p>
    <w:p w:rsidR="00C61622" w:rsidRDefault="00441480">
      <w:pPr>
        <w:pStyle w:val="ListParagraph"/>
        <w:numPr>
          <w:ilvl w:val="0"/>
          <w:numId w:val="10"/>
        </w:num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Medical Device Regulation in the European Union,Linda R. Horton,Food and Drug Law Journal,Vol. 50, No. 3 (1995), pp. 461-476 (16 pages),Published By: Food and Drug Law Institute (FDLI).</w:t>
      </w:r>
    </w:p>
    <w:p w:rsidR="00C61622" w:rsidRDefault="00441480">
      <w:pPr>
        <w:pStyle w:val="ListParagraph"/>
        <w:numPr>
          <w:ilvl w:val="0"/>
          <w:numId w:val="10"/>
        </w:num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Cs/>
          <w:color w:val="000000"/>
          <w:kern w:val="36"/>
          <w:sz w:val="24"/>
          <w:szCs w:val="24"/>
          <w:lang w:eastAsia="en-IN"/>
        </w:rPr>
        <w:t xml:space="preserve">On the new regulation of medical devices in </w:t>
      </w:r>
      <w:proofErr w:type="spellStart"/>
      <w:r>
        <w:rPr>
          <w:rFonts w:ascii="Times New Roman" w:eastAsia="Times New Roman" w:hAnsi="Times New Roman" w:cs="Times New Roman"/>
          <w:bCs/>
          <w:color w:val="000000"/>
          <w:kern w:val="36"/>
          <w:sz w:val="24"/>
          <w:szCs w:val="24"/>
          <w:lang w:eastAsia="en-IN"/>
        </w:rPr>
        <w:t>Europe</w:t>
      </w:r>
      <w:r>
        <w:rPr>
          <w:rFonts w:ascii="Times New Roman" w:eastAsia="Times New Roman" w:hAnsi="Times New Roman" w:cs="Times New Roman"/>
          <w:b/>
          <w:bCs/>
          <w:color w:val="000000"/>
          <w:kern w:val="36"/>
          <w:sz w:val="24"/>
          <w:szCs w:val="24"/>
          <w:lang w:eastAsia="en-IN"/>
        </w:rPr>
        <w:t>,</w:t>
      </w:r>
      <w:hyperlink r:id="rId36" w:history="1">
        <w:r>
          <w:rPr>
            <w:rFonts w:ascii="Times New Roman" w:eastAsia="Times New Roman" w:hAnsi="Times New Roman" w:cs="Times New Roman"/>
            <w:color w:val="000000"/>
            <w:sz w:val="24"/>
            <w:szCs w:val="24"/>
            <w:lang w:eastAsia="en-IN"/>
          </w:rPr>
          <w:t>Antonio</w:t>
        </w:r>
        <w:proofErr w:type="spellEnd"/>
        <w:r>
          <w:rPr>
            <w:rFonts w:ascii="Times New Roman" w:eastAsia="Times New Roman" w:hAnsi="Times New Roman" w:cs="Times New Roman"/>
            <w:color w:val="000000"/>
            <w:sz w:val="24"/>
            <w:szCs w:val="24"/>
            <w:lang w:eastAsia="en-IN"/>
          </w:rPr>
          <w:t xml:space="preserve"> </w:t>
        </w:r>
        <w:proofErr w:type="spellStart"/>
        <w:r>
          <w:rPr>
            <w:rFonts w:ascii="Times New Roman" w:eastAsia="Times New Roman" w:hAnsi="Times New Roman" w:cs="Times New Roman"/>
            <w:color w:val="000000"/>
            <w:sz w:val="24"/>
            <w:szCs w:val="24"/>
            <w:lang w:eastAsia="en-IN"/>
          </w:rPr>
          <w:t>Migliore</w:t>
        </w:r>
        <w:proofErr w:type="spellEnd"/>
      </w:hyperlink>
      <w:r>
        <w:rPr>
          <w:rFonts w:ascii="Times New Roman" w:eastAsia="Times New Roman" w:hAnsi="Times New Roman" w:cs="Times New Roman"/>
          <w:color w:val="000000"/>
          <w:sz w:val="24"/>
          <w:szCs w:val="24"/>
          <w:lang w:eastAsia="en-IN"/>
        </w:rPr>
        <w:t>,</w:t>
      </w:r>
      <w:r>
        <w:rPr>
          <w:rFonts w:ascii="Times New Roman" w:hAnsi="Times New Roman" w:cs="Times New Roman"/>
          <w:sz w:val="24"/>
          <w:szCs w:val="24"/>
        </w:rPr>
        <w:t xml:space="preserve"> 24 Nov 2017</w:t>
      </w:r>
    </w:p>
    <w:p w:rsidR="00C61622" w:rsidRDefault="00441480">
      <w:pPr>
        <w:pStyle w:val="ListParagraph"/>
        <w:numPr>
          <w:ilvl w:val="0"/>
          <w:numId w:val="10"/>
        </w:numPr>
        <w:spacing w:before="100" w:beforeAutospacing="1" w:after="100" w:afterAutospacing="1" w:line="360" w:lineRule="auto"/>
        <w:jc w:val="both"/>
        <w:outlineLvl w:val="0"/>
        <w:rPr>
          <w:rFonts w:ascii="Times New Roman" w:eastAsia="Times New Roman" w:hAnsi="Times New Roman" w:cs="Times New Roman"/>
          <w:bCs/>
          <w:sz w:val="24"/>
          <w:szCs w:val="24"/>
          <w:lang w:eastAsia="en-IN"/>
        </w:rPr>
      </w:pPr>
      <w:r>
        <w:rPr>
          <w:rFonts w:ascii="Times New Roman" w:eastAsia="Times New Roman" w:hAnsi="Times New Roman" w:cs="Times New Roman"/>
          <w:bCs/>
          <w:kern w:val="36"/>
          <w:sz w:val="24"/>
          <w:szCs w:val="24"/>
          <w:lang w:eastAsia="en-IN"/>
        </w:rPr>
        <w:t xml:space="preserve">Regulatory guidelines for medical devices in India: An overview </w:t>
      </w:r>
      <w:r>
        <w:rPr>
          <w:rFonts w:ascii="Times New Roman" w:eastAsia="Times New Roman" w:hAnsi="Times New Roman" w:cs="Times New Roman"/>
          <w:bCs/>
          <w:sz w:val="24"/>
          <w:szCs w:val="24"/>
          <w:lang w:eastAsia="en-IN"/>
        </w:rPr>
        <w:t>Article Sidebar</w:t>
      </w:r>
      <w:r>
        <w:rPr>
          <w:rFonts w:ascii="Times New Roman" w:eastAsia="Times New Roman" w:hAnsi="Times New Roman" w:cs="Times New Roman"/>
          <w:bCs/>
          <w:kern w:val="36"/>
          <w:sz w:val="24"/>
          <w:szCs w:val="24"/>
          <w:lang w:eastAsia="en-IN"/>
        </w:rPr>
        <w:t>,</w:t>
      </w:r>
      <w:r>
        <w:rPr>
          <w:rFonts w:ascii="Times New Roman" w:eastAsia="Times New Roman" w:hAnsi="Times New Roman" w:cs="Times New Roman"/>
          <w:bCs/>
          <w:sz w:val="24"/>
          <w:szCs w:val="24"/>
          <w:lang w:eastAsia="en-IN"/>
        </w:rPr>
        <w:t>Published:</w:t>
      </w:r>
      <w:r>
        <w:rPr>
          <w:rFonts w:ascii="Times New Roman" w:eastAsia="Times New Roman" w:hAnsi="Times New Roman" w:cs="Times New Roman"/>
          <w:sz w:val="24"/>
          <w:szCs w:val="24"/>
          <w:lang w:eastAsia="en-IN"/>
        </w:rPr>
        <w:t xml:space="preserve"> Aug 23, 2014 </w:t>
      </w:r>
      <w:r>
        <w:rPr>
          <w:rFonts w:ascii="Times New Roman" w:eastAsia="Times New Roman" w:hAnsi="Times New Roman" w:cs="Times New Roman"/>
          <w:bCs/>
          <w:kern w:val="36"/>
          <w:sz w:val="24"/>
          <w:szCs w:val="24"/>
          <w:lang w:eastAsia="en-IN"/>
        </w:rPr>
        <w:t>,</w:t>
      </w:r>
      <w:r>
        <w:rPr>
          <w:rFonts w:ascii="Times New Roman" w:eastAsia="Times New Roman" w:hAnsi="Times New Roman" w:cs="Times New Roman"/>
          <w:bCs/>
          <w:sz w:val="24"/>
          <w:szCs w:val="24"/>
          <w:lang w:eastAsia="en-IN"/>
        </w:rPr>
        <w:t>Nadimpalli Radhadevi</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Cs/>
          <w:kern w:val="36"/>
          <w:sz w:val="24"/>
          <w:szCs w:val="24"/>
          <w:lang w:eastAsia="en-IN"/>
        </w:rPr>
        <w:t>,</w:t>
      </w:r>
      <w:r>
        <w:rPr>
          <w:rFonts w:ascii="Times New Roman" w:eastAsia="Times New Roman" w:hAnsi="Times New Roman" w:cs="Times New Roman"/>
          <w:bCs/>
          <w:sz w:val="24"/>
          <w:szCs w:val="24"/>
          <w:lang w:eastAsia="en-IN"/>
        </w:rPr>
        <w:t>Veeranna Balamuralid</w:t>
      </w:r>
      <w:r>
        <w:rPr>
          <w:rFonts w:ascii="Times New Roman" w:eastAsia="Times New Roman" w:hAnsi="Times New Roman" w:cs="Times New Roman"/>
          <w:bCs/>
          <w:sz w:val="24"/>
          <w:szCs w:val="24"/>
          <w:lang w:eastAsia="en-IN"/>
        </w:rPr>
        <w:t>hara</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Cs/>
          <w:kern w:val="36"/>
          <w:sz w:val="24"/>
          <w:szCs w:val="24"/>
          <w:lang w:eastAsia="en-IN"/>
        </w:rPr>
        <w:t>,</w:t>
      </w:r>
      <w:r>
        <w:rPr>
          <w:rFonts w:ascii="Times New Roman" w:eastAsia="Times New Roman" w:hAnsi="Times New Roman" w:cs="Times New Roman"/>
          <w:bCs/>
          <w:sz w:val="24"/>
          <w:szCs w:val="24"/>
          <w:lang w:eastAsia="en-IN"/>
        </w:rPr>
        <w:t>Teggina Math Pramod Kumar</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Cs/>
          <w:kern w:val="36"/>
          <w:sz w:val="24"/>
          <w:szCs w:val="24"/>
          <w:lang w:eastAsia="en-IN"/>
        </w:rPr>
        <w:t>,</w:t>
      </w:r>
      <w:r>
        <w:rPr>
          <w:rFonts w:ascii="Times New Roman" w:eastAsia="Times New Roman" w:hAnsi="Times New Roman" w:cs="Times New Roman"/>
          <w:bCs/>
          <w:sz w:val="24"/>
          <w:szCs w:val="24"/>
          <w:lang w:eastAsia="en-IN"/>
        </w:rPr>
        <w:t>Valluru Ravi.</w:t>
      </w:r>
    </w:p>
    <w:p w:rsidR="00C61622" w:rsidRDefault="00441480">
      <w:pPr>
        <w:pStyle w:val="ListParagraph"/>
        <w:numPr>
          <w:ilvl w:val="0"/>
          <w:numId w:val="10"/>
        </w:numPr>
        <w:spacing w:before="100" w:beforeAutospacing="1" w:after="100" w:afterAutospacing="1" w:line="360" w:lineRule="auto"/>
        <w:jc w:val="both"/>
        <w:outlineLvl w:val="0"/>
        <w:rPr>
          <w:rFonts w:ascii="Times New Roman" w:eastAsia="Times New Roman" w:hAnsi="Times New Roman" w:cs="Times New Roman"/>
          <w:bCs/>
          <w:sz w:val="24"/>
          <w:szCs w:val="24"/>
          <w:lang w:eastAsia="en-IN"/>
        </w:rPr>
      </w:pPr>
      <w:r>
        <w:rPr>
          <w:rFonts w:ascii="Times New Roman" w:eastAsia="Times New Roman" w:hAnsi="Times New Roman" w:cs="Times New Roman"/>
          <w:bCs/>
          <w:color w:val="000000"/>
          <w:kern w:val="36"/>
          <w:sz w:val="24"/>
          <w:szCs w:val="24"/>
          <w:lang w:eastAsia="en-IN"/>
        </w:rPr>
        <w:t>Comparison of approval procedures for medical devices in Europe and the USA ,</w:t>
      </w:r>
      <w:r>
        <w:rPr>
          <w:rFonts w:ascii="Times New Roman" w:eastAsia="Times New Roman" w:hAnsi="Times New Roman" w:cs="Times New Roman"/>
          <w:color w:val="000000"/>
          <w:sz w:val="24"/>
          <w:szCs w:val="24"/>
          <w:lang w:eastAsia="en-IN"/>
        </w:rPr>
        <w:t xml:space="preserve">Marcel Vila Wagner </w:t>
      </w:r>
      <w:r w:rsidR="00C61622" w:rsidRPr="00C61622">
        <w:rPr>
          <w:rFonts w:ascii="Times New Roman" w:hAnsi="Times New Roman" w:cs="Times New Roman"/>
          <w:noProof/>
          <w:sz w:val="24"/>
          <w:szCs w:val="24"/>
          <w:lang w:eastAsia="en-IN"/>
        </w:rPr>
      </w:r>
      <w:r w:rsidR="00C61622" w:rsidRPr="00C61622">
        <w:rPr>
          <w:rFonts w:ascii="Times New Roman" w:hAnsi="Times New Roman" w:cs="Times New Roman"/>
          <w:noProof/>
          <w:sz w:val="24"/>
          <w:szCs w:val="24"/>
          <w:lang w:eastAsia="en-IN"/>
        </w:rPr>
        <w:pict>
          <v:rect id="1032" o:spid="_x0000_s2050" alt="EMAIL logo" style="width:12pt;height:9pt;visibility:visible;mso-left-percent:-10001;mso-top-percent:-10001;mso-wrap-distance-left:0;mso-wrap-distance-right:0;mso-position-horizontal:absolute;mso-position-horizontal-relative:char;mso-position-vertical:absolute;mso-position-vertical-relative:line;mso-left-percent:-10001;mso-top-percent:-10001" filled="f" stroked="f">
            <v:fill rotate="t"/>
            <w10:wrap type="none"/>
            <w10:anchorlock/>
          </v:rect>
        </w:pict>
      </w:r>
      <w:r>
        <w:rPr>
          <w:rFonts w:ascii="Times New Roman" w:eastAsia="Times New Roman" w:hAnsi="Times New Roman" w:cs="Times New Roman"/>
          <w:color w:val="000000"/>
          <w:sz w:val="24"/>
          <w:szCs w:val="24"/>
          <w:lang w:eastAsia="en-IN"/>
        </w:rPr>
        <w:t xml:space="preserve">and Thomas </w:t>
      </w:r>
      <w:proofErr w:type="spellStart"/>
      <w:r>
        <w:rPr>
          <w:rFonts w:ascii="Times New Roman" w:eastAsia="Times New Roman" w:hAnsi="Times New Roman" w:cs="Times New Roman"/>
          <w:color w:val="000000"/>
          <w:sz w:val="24"/>
          <w:szCs w:val="24"/>
          <w:lang w:eastAsia="en-IN"/>
        </w:rPr>
        <w:t>Schanze</w:t>
      </w:r>
      <w:r>
        <w:rPr>
          <w:rFonts w:ascii="Times New Roman" w:eastAsia="Times New Roman" w:hAnsi="Times New Roman" w:cs="Times New Roman"/>
          <w:bCs/>
          <w:color w:val="000000"/>
          <w:kern w:val="36"/>
          <w:sz w:val="24"/>
          <w:szCs w:val="24"/>
          <w:lang w:eastAsia="en-IN"/>
        </w:rPr>
        <w:t>,</w:t>
      </w:r>
      <w:r>
        <w:rPr>
          <w:rFonts w:ascii="Times New Roman" w:eastAsia="Times New Roman" w:hAnsi="Times New Roman" w:cs="Times New Roman"/>
          <w:color w:val="000000"/>
          <w:sz w:val="24"/>
          <w:szCs w:val="24"/>
          <w:lang w:eastAsia="en-IN"/>
        </w:rPr>
        <w:t>From</w:t>
      </w:r>
      <w:proofErr w:type="spellEnd"/>
      <w:r>
        <w:rPr>
          <w:rFonts w:ascii="Times New Roman" w:eastAsia="Times New Roman" w:hAnsi="Times New Roman" w:cs="Times New Roman"/>
          <w:color w:val="000000"/>
          <w:sz w:val="24"/>
          <w:szCs w:val="24"/>
          <w:lang w:eastAsia="en-IN"/>
        </w:rPr>
        <w:t xml:space="preserve"> the journal </w:t>
      </w:r>
      <w:hyperlink r:id="rId37" w:history="1">
        <w:r>
          <w:rPr>
            <w:rFonts w:ascii="Times New Roman" w:eastAsia="Times New Roman" w:hAnsi="Times New Roman" w:cs="Times New Roman"/>
            <w:color w:val="000000"/>
            <w:sz w:val="24"/>
            <w:szCs w:val="24"/>
            <w:lang w:eastAsia="en-IN"/>
          </w:rPr>
          <w:t>Current Directions in Biomedical Engineering</w:t>
        </w:r>
      </w:hyperlink>
      <w:r>
        <w:rPr>
          <w:rFonts w:ascii="Times New Roman" w:eastAsia="Times New Roman" w:hAnsi="Times New Roman" w:cs="Times New Roman"/>
          <w:bCs/>
          <w:color w:val="000000"/>
          <w:kern w:val="36"/>
          <w:sz w:val="24"/>
          <w:szCs w:val="24"/>
          <w:lang w:eastAsia="en-IN"/>
        </w:rPr>
        <w:t>.</w:t>
      </w:r>
    </w:p>
    <w:p w:rsidR="00C61622" w:rsidRDefault="00441480">
      <w:pPr>
        <w:pStyle w:val="ListParagraph"/>
        <w:numPr>
          <w:ilvl w:val="0"/>
          <w:numId w:val="10"/>
        </w:numPr>
        <w:spacing w:before="100" w:beforeAutospacing="1" w:after="100" w:afterAutospacing="1" w:line="360" w:lineRule="auto"/>
        <w:jc w:val="both"/>
        <w:outlineLvl w:val="0"/>
        <w:rPr>
          <w:rFonts w:ascii="Times New Roman" w:eastAsia="Times New Roman" w:hAnsi="Times New Roman" w:cs="Times New Roman"/>
          <w:bCs/>
          <w:sz w:val="24"/>
          <w:szCs w:val="24"/>
          <w:lang w:eastAsia="en-IN"/>
        </w:rPr>
      </w:pPr>
      <w:r>
        <w:rPr>
          <w:rFonts w:ascii="Times New Roman" w:hAnsi="Times New Roman" w:cs="Times New Roman"/>
          <w:color w:val="000000"/>
          <w:sz w:val="24"/>
          <w:szCs w:val="24"/>
        </w:rPr>
        <w:t>Overview of the US FDA Medical Device Approval Process,New Therapies for Cardiovascular Disease (KW Mahaffey, S</w:t>
      </w:r>
      <w:r>
        <w:rPr>
          <w:rFonts w:ascii="Times New Roman" w:hAnsi="Times New Roman" w:cs="Times New Roman"/>
          <w:color w:val="000000"/>
          <w:sz w:val="24"/>
          <w:szCs w:val="24"/>
        </w:rPr>
        <w:t>ection Editor),</w:t>
      </w:r>
      <w:hyperlink r:id="rId38" w:anchor="article-info" w:history="1">
        <w:r>
          <w:rPr>
            <w:rStyle w:val="Hyperlink"/>
            <w:rFonts w:ascii="Times New Roman" w:hAnsi="Times New Roman" w:cs="Times New Roman"/>
            <w:color w:val="000000"/>
            <w:sz w:val="24"/>
            <w:szCs w:val="24"/>
            <w:u w:val="none"/>
          </w:rPr>
          <w:t>Published: 01 June 2014</w:t>
        </w:r>
      </w:hyperlink>
      <w:r>
        <w:rPr>
          <w:rFonts w:ascii="Times New Roman" w:hAnsi="Times New Roman" w:cs="Times New Roman"/>
          <w:color w:val="000000"/>
          <w:sz w:val="24"/>
          <w:szCs w:val="24"/>
        </w:rPr>
        <w:t xml:space="preserve"> ,</w:t>
      </w:r>
      <w:r>
        <w:rPr>
          <w:rStyle w:val="u-visually-hidden"/>
          <w:rFonts w:ascii="Times New Roman" w:hAnsi="Times New Roman" w:cs="Times New Roman"/>
          <w:bCs/>
          <w:color w:val="000000"/>
          <w:sz w:val="24"/>
          <w:szCs w:val="24"/>
        </w:rPr>
        <w:t>volume</w:t>
      </w:r>
      <w:r>
        <w:rPr>
          <w:rFonts w:ascii="Times New Roman" w:hAnsi="Times New Roman" w:cs="Times New Roman"/>
          <w:bCs/>
          <w:color w:val="000000"/>
          <w:sz w:val="24"/>
          <w:szCs w:val="24"/>
        </w:rPr>
        <w:t> 16</w:t>
      </w:r>
      <w:r>
        <w:rPr>
          <w:rFonts w:ascii="Times New Roman" w:hAnsi="Times New Roman" w:cs="Times New Roman"/>
          <w:color w:val="000000"/>
          <w:sz w:val="24"/>
          <w:szCs w:val="24"/>
        </w:rPr>
        <w:t xml:space="preserve">, Article number: 494 (2014) </w:t>
      </w:r>
    </w:p>
    <w:p w:rsidR="00C61622" w:rsidRDefault="00441480">
      <w:pPr>
        <w:pStyle w:val="articletitle"/>
        <w:numPr>
          <w:ilvl w:val="0"/>
          <w:numId w:val="10"/>
        </w:numPr>
        <w:spacing w:line="360" w:lineRule="auto"/>
        <w:jc w:val="both"/>
      </w:pPr>
      <w:bookmarkStart w:id="23" w:name="top"/>
      <w:r>
        <w:t>A review on approval process and regulation of medical devices as per US FDA and CDSCO,Pawar</w:t>
      </w:r>
      <w:r>
        <w:t> Kaustubh Navnath, Gore Rohit Tukaram, Palekar Samiksha Rohidas,SCES’s Indira College of Pharmacy, Tathawade, Pune, Maharashtra,</w:t>
      </w:r>
      <w:r>
        <w:rPr>
          <w:bCs/>
          <w:iCs/>
        </w:rPr>
        <w:t>Online published on 18 April, 2023</w:t>
      </w:r>
      <w:r>
        <w:rPr>
          <w:iCs/>
        </w:rPr>
        <w:t>.</w:t>
      </w:r>
      <w:bookmarkEnd w:id="23"/>
    </w:p>
    <w:p w:rsidR="00C61622" w:rsidRDefault="00441480">
      <w:pPr>
        <w:pStyle w:val="articletitle"/>
        <w:numPr>
          <w:ilvl w:val="0"/>
          <w:numId w:val="10"/>
        </w:numPr>
        <w:spacing w:line="360" w:lineRule="auto"/>
        <w:jc w:val="both"/>
      </w:pPr>
      <w:r>
        <w:rPr>
          <w:bCs/>
          <w:kern w:val="36"/>
        </w:rPr>
        <w:t xml:space="preserve">Regulation and Clinical Investigation of Medical Device in the European Union </w:t>
      </w:r>
      <w:hyperlink r:id="rId39" w:tooltip="Search for articles by this author" w:history="1">
        <w:proofErr w:type="spellStart"/>
        <w:r>
          <w:rPr>
            <w:color w:val="000000"/>
            <w:u w:val="single"/>
          </w:rPr>
          <w:t>Manita</w:t>
        </w:r>
        <w:proofErr w:type="spellEnd"/>
      </w:hyperlink>
      <w:r>
        <w:rPr>
          <w:color w:val="000000"/>
        </w:rPr>
        <w:t>; </w:t>
      </w:r>
      <w:hyperlink r:id="rId40" w:tooltip="Search for articles by this author" w:history="1">
        <w:r>
          <w:rPr>
            <w:color w:val="000000"/>
            <w:u w:val="single"/>
          </w:rPr>
          <w:t xml:space="preserve">Deep, </w:t>
        </w:r>
        <w:proofErr w:type="spellStart"/>
        <w:r>
          <w:rPr>
            <w:color w:val="000000"/>
            <w:u w:val="single"/>
          </w:rPr>
          <w:t>Aakash</w:t>
        </w:r>
        <w:proofErr w:type="spellEnd"/>
      </w:hyperlink>
      <w:r>
        <w:rPr>
          <w:color w:val="000000"/>
        </w:rPr>
        <w:t>; </w:t>
      </w:r>
      <w:proofErr w:type="spellStart"/>
      <w:r>
        <w:rPr>
          <w:color w:val="000000"/>
          <w:u w:val="single"/>
        </w:rPr>
        <w:t>Vikram</w:t>
      </w:r>
      <w:proofErr w:type="spellEnd"/>
      <w:r>
        <w:rPr>
          <w:color w:val="000000"/>
        </w:rPr>
        <w:t>; </w:t>
      </w:r>
      <w:proofErr w:type="spellStart"/>
      <w:r w:rsidR="00C61622">
        <w:fldChar w:fldCharType="begin"/>
      </w:r>
      <w:r>
        <w:instrText xml:space="preserve"> HYPERLINK "about:blank" \o "Search for articles by this author" </w:instrText>
      </w:r>
      <w:r w:rsidR="00C61622">
        <w:fldChar w:fldCharType="separate"/>
      </w:r>
      <w:r>
        <w:rPr>
          <w:color w:val="000000"/>
          <w:u w:val="single"/>
        </w:rPr>
        <w:t>Rana</w:t>
      </w:r>
      <w:proofErr w:type="spellEnd"/>
      <w:r>
        <w:rPr>
          <w:color w:val="000000"/>
          <w:u w:val="single"/>
        </w:rPr>
        <w:t xml:space="preserve">, </w:t>
      </w:r>
      <w:proofErr w:type="spellStart"/>
      <w:r>
        <w:rPr>
          <w:color w:val="000000"/>
          <w:u w:val="single"/>
        </w:rPr>
        <w:t>Avtar</w:t>
      </w:r>
      <w:proofErr w:type="spellEnd"/>
      <w:r>
        <w:rPr>
          <w:color w:val="000000"/>
          <w:u w:val="single"/>
        </w:rPr>
        <w:t xml:space="preserve"> C.</w:t>
      </w:r>
      <w:r w:rsidR="00C61622">
        <w:fldChar w:fldCharType="end"/>
      </w:r>
      <w:r>
        <w:rPr>
          <w:color w:val="000000"/>
        </w:rPr>
        <w:t>; </w:t>
      </w:r>
      <w:hyperlink r:id="rId41" w:tooltip="Search for articles by this author" w:history="1">
        <w:r>
          <w:rPr>
            <w:color w:val="000000"/>
            <w:u w:val="single"/>
          </w:rPr>
          <w:t xml:space="preserve">Sharma, </w:t>
        </w:r>
        <w:proofErr w:type="spellStart"/>
        <w:r>
          <w:rPr>
            <w:color w:val="000000"/>
            <w:u w:val="single"/>
          </w:rPr>
          <w:t>Prabodh</w:t>
        </w:r>
        <w:proofErr w:type="spellEnd"/>
        <w:r>
          <w:rPr>
            <w:color w:val="000000"/>
            <w:u w:val="single"/>
          </w:rPr>
          <w:t xml:space="preserve"> </w:t>
        </w:r>
        <w:proofErr w:type="spellStart"/>
        <w:r>
          <w:rPr>
            <w:color w:val="000000"/>
            <w:u w:val="single"/>
          </w:rPr>
          <w:t>C.</w:t>
        </w:r>
      </w:hyperlink>
      <w:r>
        <w:rPr>
          <w:bCs/>
        </w:rPr>
        <w:t>Source</w:t>
      </w:r>
      <w:proofErr w:type="spellEnd"/>
      <w:r>
        <w:rPr>
          <w:b/>
          <w:bCs/>
        </w:rPr>
        <w:t>:</w:t>
      </w:r>
      <w:r>
        <w:t xml:space="preserve"> </w:t>
      </w:r>
      <w:hyperlink r:id="rId42" w:tooltip="link to all issues of this title" w:history="1">
        <w:r>
          <w:rPr>
            <w:color w:val="000000"/>
            <w:u w:val="single"/>
          </w:rPr>
          <w:t>Applied Clinical Research, Clinical Trials and Regulatory Affairs</w:t>
        </w:r>
      </w:hyperlink>
      <w:r>
        <w:rPr>
          <w:color w:val="000000"/>
        </w:rPr>
        <w:t>,</w:t>
      </w:r>
      <w:r>
        <w:t xml:space="preserve"> Volume 6, Number 3, 2019, pp. 163-181(19)</w:t>
      </w:r>
    </w:p>
    <w:p w:rsidR="00C61622" w:rsidRDefault="00441480">
      <w:pPr>
        <w:pStyle w:val="articletitle"/>
        <w:numPr>
          <w:ilvl w:val="0"/>
          <w:numId w:val="10"/>
        </w:numPr>
        <w:spacing w:line="360" w:lineRule="auto"/>
        <w:jc w:val="both"/>
      </w:pPr>
      <w:r>
        <w:rPr>
          <w:color w:val="000000"/>
        </w:rPr>
        <w:t>Advance</w:t>
      </w:r>
      <w:r>
        <w:rPr>
          <w:color w:val="000000"/>
        </w:rPr>
        <w:t>ments in Regulatory Framework For Medical Device Regulations In India.</w:t>
      </w:r>
      <w:r>
        <w:rPr>
          <w:rStyle w:val="Strong"/>
          <w:b w:val="0"/>
          <w:color w:val="000000"/>
        </w:rPr>
        <w:t>Source:</w:t>
      </w:r>
      <w:r>
        <w:rPr>
          <w:color w:val="000000"/>
        </w:rPr>
        <w:t xml:space="preserve"> International Journal of Pharmaceutical Research (09752366) . 2020 Supplement1, p745-754. 10p. </w:t>
      </w:r>
      <w:r>
        <w:rPr>
          <w:rStyle w:val="Strong"/>
          <w:b w:val="0"/>
          <w:color w:val="000000"/>
        </w:rPr>
        <w:t>Author(s):</w:t>
      </w:r>
      <w:r>
        <w:rPr>
          <w:color w:val="000000"/>
        </w:rPr>
        <w:t xml:space="preserve"> N., VENUGOPAL; M., SELLA SENTHIL; GOWTHAMARAJAN, K.; R., ARUN</w:t>
      </w:r>
    </w:p>
    <w:p w:rsidR="00C61622" w:rsidRDefault="00441480">
      <w:pPr>
        <w:pStyle w:val="articletitle"/>
        <w:numPr>
          <w:ilvl w:val="0"/>
          <w:numId w:val="10"/>
        </w:numPr>
        <w:spacing w:line="360" w:lineRule="auto"/>
        <w:jc w:val="both"/>
        <w:rPr>
          <w:rStyle w:val="fm-vol-iss-date"/>
        </w:rPr>
      </w:pPr>
      <w:r>
        <w:rPr>
          <w:color w:val="000000"/>
        </w:rPr>
        <w:t>A review o</w:t>
      </w:r>
      <w:r>
        <w:rPr>
          <w:color w:val="000000"/>
        </w:rPr>
        <w:t xml:space="preserve">f medical device regulations in India, comparison with European Union and way-ahead </w:t>
      </w:r>
      <w:hyperlink r:id="rId43" w:history="1">
        <w:proofErr w:type="spellStart"/>
        <w:r>
          <w:rPr>
            <w:rStyle w:val="Hyperlink"/>
            <w:color w:val="000000"/>
          </w:rPr>
          <w:t>Manas</w:t>
        </w:r>
        <w:proofErr w:type="spellEnd"/>
        <w:r>
          <w:rPr>
            <w:rStyle w:val="Hyperlink"/>
            <w:color w:val="000000"/>
          </w:rPr>
          <w:t xml:space="preserve"> Manu</w:t>
        </w:r>
      </w:hyperlink>
      <w:r>
        <w:rPr>
          <w:color w:val="000000"/>
        </w:rPr>
        <w:t xml:space="preserve"> and </w:t>
      </w:r>
      <w:proofErr w:type="spellStart"/>
      <w:r>
        <w:rPr>
          <w:color w:val="000000"/>
        </w:rPr>
        <w:t>Gaurav</w:t>
      </w:r>
      <w:proofErr w:type="spellEnd"/>
      <w:r>
        <w:rPr>
          <w:color w:val="000000"/>
        </w:rPr>
        <w:t xml:space="preserve"> </w:t>
      </w:r>
      <w:proofErr w:type="spellStart"/>
      <w:r>
        <w:rPr>
          <w:color w:val="000000"/>
        </w:rPr>
        <w:t>Anand</w:t>
      </w:r>
      <w:proofErr w:type="spellEnd"/>
      <w:r>
        <w:rPr>
          <w:color w:val="000000"/>
        </w:rPr>
        <w:t xml:space="preserve"> </w:t>
      </w:r>
      <w:r>
        <w:rPr>
          <w:rStyle w:val="fm-vol-iss-date"/>
          <w:color w:val="000000"/>
        </w:rPr>
        <w:t>2021 Jul 12</w:t>
      </w:r>
    </w:p>
    <w:p w:rsidR="00C61622" w:rsidRDefault="00441480">
      <w:pPr>
        <w:pStyle w:val="articletitle"/>
        <w:numPr>
          <w:ilvl w:val="0"/>
          <w:numId w:val="10"/>
        </w:numPr>
        <w:spacing w:line="360" w:lineRule="auto"/>
        <w:jc w:val="both"/>
      </w:pPr>
      <w:r>
        <w:lastRenderedPageBreak/>
        <w:t>A comparative study of medical device regulations in India: Before and after the implementation of medical device rules 2017 Gomez Ann Lydia, Venkatesh D. Nagasamy</w:t>
      </w:r>
      <w:r>
        <w:rPr>
          <w:rStyle w:val="Hyperlink"/>
          <w:rFonts w:eastAsia="SimSun"/>
        </w:rPr>
        <w:t>*</w:t>
      </w:r>
      <w:r>
        <w:t>, Neelakandan Niveditha</w:t>
      </w:r>
    </w:p>
    <w:p w:rsidR="00C61622" w:rsidRDefault="00441480">
      <w:pPr>
        <w:pStyle w:val="articletitle"/>
        <w:numPr>
          <w:ilvl w:val="0"/>
          <w:numId w:val="10"/>
        </w:numPr>
        <w:spacing w:line="360" w:lineRule="auto"/>
        <w:jc w:val="both"/>
        <w:rPr>
          <w:rStyle w:val="wi-fullname"/>
        </w:rPr>
      </w:pPr>
      <w:r>
        <w:rPr>
          <w:color w:val="000000"/>
        </w:rPr>
        <w:t>FDA Regulation and Approval of Medical Devices: 1976-2020</w:t>
      </w:r>
      <w:hyperlink r:id="rId44" w:tgtFrame="_blank" w:history="1">
        <w:r>
          <w:rPr>
            <w:rStyle w:val="Hyperlink"/>
            <w:rFonts w:eastAsia="SimSun"/>
            <w:color w:val="000000"/>
            <w:u w:val="none"/>
          </w:rPr>
          <w:t>Jonathan J. Darrow, SJD, LLM, JD, MBA</w:t>
        </w:r>
        <w:r>
          <w:rPr>
            <w:rStyle w:val="Hyperlink"/>
            <w:rFonts w:eastAsia="SimSun"/>
            <w:color w:val="000000"/>
            <w:u w:val="none"/>
            <w:vertAlign w:val="superscript"/>
          </w:rPr>
          <w:t>1</w:t>
        </w:r>
      </w:hyperlink>
      <w:r>
        <w:rPr>
          <w:rStyle w:val="al-author-delim"/>
          <w:color w:val="000000"/>
        </w:rPr>
        <w:t xml:space="preserve">; </w:t>
      </w:r>
      <w:hyperlink r:id="rId45" w:tgtFrame="_blank" w:history="1">
        <w:r>
          <w:rPr>
            <w:rStyle w:val="Hyperlink"/>
            <w:rFonts w:eastAsia="SimSun"/>
            <w:color w:val="000000"/>
            <w:u w:val="none"/>
          </w:rPr>
          <w:t>Jerry </w:t>
        </w:r>
        <w:proofErr w:type="spellStart"/>
        <w:r>
          <w:rPr>
            <w:rStyle w:val="Hyperlink"/>
            <w:rFonts w:eastAsia="SimSun"/>
            <w:color w:val="000000"/>
            <w:u w:val="none"/>
          </w:rPr>
          <w:t>Avorn</w:t>
        </w:r>
        <w:proofErr w:type="spellEnd"/>
        <w:r>
          <w:rPr>
            <w:rStyle w:val="Hyperlink"/>
            <w:rFonts w:eastAsia="SimSun"/>
            <w:color w:val="000000"/>
            <w:u w:val="none"/>
          </w:rPr>
          <w:t>, MD</w:t>
        </w:r>
        <w:r>
          <w:rPr>
            <w:rStyle w:val="Hyperlink"/>
            <w:rFonts w:eastAsia="SimSun"/>
            <w:color w:val="000000"/>
            <w:u w:val="none"/>
            <w:vertAlign w:val="superscript"/>
          </w:rPr>
          <w:t>1</w:t>
        </w:r>
      </w:hyperlink>
      <w:r>
        <w:rPr>
          <w:rStyle w:val="al-author-delim"/>
          <w:color w:val="000000"/>
        </w:rPr>
        <w:t xml:space="preserve">; </w:t>
      </w:r>
      <w:hyperlink r:id="rId46" w:tgtFrame="_blank" w:history="1">
        <w:r>
          <w:rPr>
            <w:rStyle w:val="Hyperlink"/>
            <w:rFonts w:eastAsia="SimSun"/>
            <w:color w:val="000000"/>
            <w:u w:val="none"/>
          </w:rPr>
          <w:t>Aaron S. </w:t>
        </w:r>
        <w:proofErr w:type="spellStart"/>
        <w:r>
          <w:rPr>
            <w:rStyle w:val="Hyperlink"/>
            <w:rFonts w:eastAsia="SimSun"/>
            <w:color w:val="000000"/>
            <w:u w:val="none"/>
          </w:rPr>
          <w:t>Kesselheim</w:t>
        </w:r>
        <w:proofErr w:type="spellEnd"/>
        <w:r>
          <w:rPr>
            <w:rStyle w:val="Hyperlink"/>
            <w:rFonts w:eastAsia="SimSun"/>
            <w:color w:val="000000"/>
            <w:u w:val="none"/>
          </w:rPr>
          <w:t>, MD, JD, MPH</w:t>
        </w:r>
        <w:r>
          <w:rPr>
            <w:rStyle w:val="Hyperlink"/>
            <w:rFonts w:eastAsia="SimSun"/>
            <w:color w:val="000000"/>
            <w:u w:val="none"/>
            <w:vertAlign w:val="superscript"/>
          </w:rPr>
          <w:t>1</w:t>
        </w:r>
      </w:hyperlink>
      <w:r>
        <w:rPr>
          <w:rStyle w:val="wi-fullname"/>
          <w:color w:val="000000"/>
        </w:rPr>
        <w:t>.</w:t>
      </w:r>
    </w:p>
    <w:p w:rsidR="00C61622" w:rsidRDefault="00441480">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review on approval process and regulation of medical</w:t>
      </w:r>
      <w:r>
        <w:rPr>
          <w:rFonts w:ascii="Times New Roman" w:eastAsia="Times New Roman" w:hAnsi="Times New Roman" w:cs="Times New Roman"/>
          <w:sz w:val="24"/>
          <w:szCs w:val="24"/>
          <w:lang w:eastAsia="en-IN"/>
        </w:rPr>
        <w:t xml:space="preserve"> devices as per US FDA and CDSCO Pawar Kaustubh Navnath, Gore Rohit Tukaram, Palekar Samiksha Rohidas </w:t>
      </w:r>
      <w:r>
        <w:rPr>
          <w:rFonts w:ascii="Times New Roman" w:hAnsi="Times New Roman" w:cs="Times New Roman"/>
          <w:bCs/>
          <w:iCs/>
          <w:sz w:val="24"/>
          <w:szCs w:val="24"/>
        </w:rPr>
        <w:t>18 April, 2023</w:t>
      </w:r>
      <w:r>
        <w:rPr>
          <w:rFonts w:ascii="Times New Roman" w:hAnsi="Times New Roman" w:cs="Times New Roman"/>
          <w:i/>
          <w:iCs/>
          <w:sz w:val="24"/>
          <w:szCs w:val="24"/>
        </w:rPr>
        <w:t>.</w:t>
      </w:r>
    </w:p>
    <w:p w:rsidR="00C61622" w:rsidRDefault="00C61622">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hyperlink r:id="rId47" w:history="1">
        <w:r w:rsidR="00441480">
          <w:rPr>
            <w:rStyle w:val="Hyperlink"/>
            <w:rFonts w:ascii="Times New Roman" w:hAnsi="Times New Roman" w:cs="Times New Roman"/>
            <w:color w:val="000000"/>
            <w:sz w:val="24"/>
            <w:szCs w:val="24"/>
            <w:u w:val="none"/>
          </w:rPr>
          <w:t xml:space="preserve">Medical device regulations: a current </w:t>
        </w:r>
        <w:proofErr w:type="spellStart"/>
        <w:r w:rsidR="00441480">
          <w:rPr>
            <w:rStyle w:val="Hyperlink"/>
            <w:rFonts w:ascii="Times New Roman" w:hAnsi="Times New Roman" w:cs="Times New Roman"/>
            <w:color w:val="000000"/>
            <w:sz w:val="24"/>
            <w:szCs w:val="24"/>
            <w:u w:val="none"/>
          </w:rPr>
          <w:t>perspective</w:t>
        </w:r>
      </w:hyperlink>
      <w:r w:rsidR="00441480">
        <w:rPr>
          <w:rFonts w:ascii="Times New Roman" w:hAnsi="Times New Roman" w:cs="Times New Roman"/>
          <w:color w:val="000000"/>
          <w:sz w:val="24"/>
          <w:szCs w:val="24"/>
        </w:rPr>
        <w:t>,</w:t>
      </w:r>
      <w:r w:rsidR="00441480">
        <w:rPr>
          <w:rStyle w:val="Hyperlink"/>
          <w:rFonts w:ascii="Times New Roman" w:hAnsi="Times New Roman" w:cs="Times New Roman"/>
          <w:color w:val="000000"/>
          <w:sz w:val="24"/>
          <w:szCs w:val="24"/>
          <w:u w:val="none"/>
        </w:rPr>
        <w:t>SK</w:t>
      </w:r>
      <w:proofErr w:type="spellEnd"/>
      <w:r w:rsidR="00441480">
        <w:rPr>
          <w:rStyle w:val="Hyperlink"/>
          <w:rFonts w:ascii="Times New Roman" w:hAnsi="Times New Roman" w:cs="Times New Roman"/>
          <w:color w:val="000000"/>
          <w:sz w:val="24"/>
          <w:szCs w:val="24"/>
          <w:u w:val="none"/>
        </w:rPr>
        <w:t xml:space="preserve"> Gupta</w:t>
      </w:r>
      <w:r w:rsidR="00441480">
        <w:rPr>
          <w:rFonts w:ascii="Times New Roman" w:hAnsi="Times New Roman" w:cs="Times New Roman"/>
          <w:color w:val="000000"/>
          <w:sz w:val="24"/>
          <w:szCs w:val="24"/>
        </w:rPr>
        <w:t> - Journal of Young Pharmacists, 2016.</w:t>
      </w:r>
    </w:p>
    <w:p w:rsidR="00C61622" w:rsidRDefault="00441480">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hAnsi="Times New Roman" w:cs="Times New Roman"/>
          <w:color w:val="000000"/>
          <w:sz w:val="24"/>
          <w:szCs w:val="24"/>
        </w:rPr>
        <w:t xml:space="preserve">Medical </w:t>
      </w:r>
      <w:r>
        <w:rPr>
          <w:rFonts w:ascii="Times New Roman" w:hAnsi="Times New Roman" w:cs="Times New Roman"/>
          <w:color w:val="000000"/>
          <w:sz w:val="24"/>
          <w:szCs w:val="24"/>
        </w:rPr>
        <w:t>Devices and Combination Products: General Regulatory Framework Ray Bakhtiar Teva Branded Pharmaceutical Products R &amp; D, USA Received: February 4, 2017; Accepted: March 22, 2017; Published: April 5, 2017.</w:t>
      </w:r>
    </w:p>
    <w:p w:rsidR="00C61622" w:rsidRDefault="00441480">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hAnsi="Times New Roman" w:cs="Times New Roman"/>
          <w:color w:val="000000"/>
          <w:sz w:val="24"/>
          <w:szCs w:val="24"/>
        </w:rPr>
        <w:t xml:space="preserve">A review on approval process and regulation of medical devices as per US FDA and CDSCO,Pawar Kaustubh Navnath, Gore Rohit Tukaram, Palekar Samiksha Rohidas International Journal Of Drug Regulatory Affairs,Year : 2023, Volume : 11, Issue. </w:t>
      </w:r>
    </w:p>
    <w:p w:rsidR="00C61622" w:rsidRDefault="00441480">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Regulatory requir</w:t>
      </w:r>
      <w:r>
        <w:rPr>
          <w:rFonts w:ascii="Times New Roman" w:hAnsi="Times New Roman" w:cs="Times New Roman"/>
          <w:sz w:val="24"/>
          <w:szCs w:val="24"/>
        </w:rPr>
        <w:t xml:space="preserve">ements for Medical Device Registration in Kingdom of Saudi Arabia, US and European </w:t>
      </w:r>
      <w:proofErr w:type="spellStart"/>
      <w:r>
        <w:rPr>
          <w:rFonts w:ascii="Times New Roman" w:hAnsi="Times New Roman" w:cs="Times New Roman"/>
          <w:sz w:val="24"/>
          <w:szCs w:val="24"/>
        </w:rPr>
        <w:t>Union</w:t>
      </w:r>
      <w:r>
        <w:rPr>
          <w:rFonts w:ascii="Times New Roman" w:eastAsia="Times New Roman" w:hAnsi="Times New Roman" w:cs="Times New Roman"/>
          <w:sz w:val="24"/>
          <w:szCs w:val="24"/>
          <w:lang w:eastAsia="en-IN"/>
        </w:rPr>
        <w:t>Bhaskar</w:t>
      </w:r>
      <w:proofErr w:type="spellEnd"/>
      <w:r>
        <w:rPr>
          <w:rFonts w:ascii="Times New Roman" w:eastAsia="Times New Roman" w:hAnsi="Times New Roman" w:cs="Times New Roman"/>
          <w:sz w:val="24"/>
          <w:szCs w:val="24"/>
          <w:lang w:eastAsia="en-IN"/>
        </w:rPr>
        <w:t> Rajveer</w:t>
      </w:r>
      <w:hyperlink r:id="rId48" w:anchor="aff001" w:history="1">
        <w:r>
          <w:rPr>
            <w:rFonts w:ascii="Times New Roman" w:eastAsia="Times New Roman" w:hAnsi="Times New Roman" w:cs="Times New Roman"/>
            <w:color w:val="0000FF"/>
            <w:sz w:val="24"/>
            <w:szCs w:val="24"/>
            <w:u w:val="single"/>
            <w:vertAlign w:val="superscript"/>
            <w:lang w:eastAsia="en-IN"/>
          </w:rPr>
          <w:t>1</w:t>
        </w:r>
      </w:hyperlink>
      <w:r>
        <w:rPr>
          <w:rFonts w:ascii="Times New Roman" w:eastAsia="Times New Roman" w:hAnsi="Times New Roman" w:cs="Times New Roman"/>
          <w:sz w:val="24"/>
          <w:szCs w:val="24"/>
          <w:lang w:eastAsia="en-IN"/>
        </w:rPr>
        <w:t>, Ola Monika</w:t>
      </w:r>
      <w:hyperlink r:id="rId49" w:anchor="aff002" w:history="1">
        <w:r>
          <w:rPr>
            <w:rFonts w:ascii="Times New Roman" w:eastAsia="Times New Roman" w:hAnsi="Times New Roman" w:cs="Times New Roman"/>
            <w:color w:val="0000FF"/>
            <w:sz w:val="24"/>
            <w:szCs w:val="24"/>
            <w:u w:val="single"/>
            <w:vertAlign w:val="superscript"/>
            <w:lang w:eastAsia="en-IN"/>
          </w:rPr>
          <w:t>2</w:t>
        </w:r>
      </w:hyperlink>
      <w:r>
        <w:rPr>
          <w:rFonts w:ascii="Times New Roman" w:eastAsia="Times New Roman" w:hAnsi="Times New Roman" w:cs="Times New Roman"/>
          <w:sz w:val="24"/>
          <w:szCs w:val="24"/>
          <w:lang w:eastAsia="en-IN"/>
        </w:rPr>
        <w:t>, Saharan </w:t>
      </w:r>
      <w:proofErr w:type="spellStart"/>
      <w:r>
        <w:rPr>
          <w:rFonts w:ascii="Times New Roman" w:eastAsia="Times New Roman" w:hAnsi="Times New Roman" w:cs="Times New Roman"/>
          <w:sz w:val="24"/>
          <w:szCs w:val="24"/>
          <w:lang w:eastAsia="en-IN"/>
        </w:rPr>
        <w:t>Subhash</w:t>
      </w:r>
      <w:proofErr w:type="spellEnd"/>
      <w:r>
        <w:rPr>
          <w:rFonts w:ascii="Times New Roman" w:eastAsia="Times New Roman" w:hAnsi="Times New Roman" w:cs="Times New Roman"/>
          <w:sz w:val="24"/>
          <w:szCs w:val="24"/>
          <w:lang w:eastAsia="en-IN"/>
        </w:rPr>
        <w:t xml:space="preserve"> Singh</w:t>
      </w:r>
      <w:hyperlink r:id="rId50" w:anchor="aff003" w:history="1">
        <w:r>
          <w:rPr>
            <w:rFonts w:ascii="Times New Roman" w:eastAsia="Times New Roman" w:hAnsi="Times New Roman" w:cs="Times New Roman"/>
            <w:color w:val="0000FF"/>
            <w:sz w:val="24"/>
            <w:szCs w:val="24"/>
            <w:u w:val="single"/>
            <w:vertAlign w:val="superscript"/>
            <w:lang w:eastAsia="en-IN"/>
          </w:rPr>
          <w:t>3</w:t>
        </w:r>
      </w:hyperlink>
      <w:r>
        <w:rPr>
          <w:rFonts w:ascii="Times New Roman" w:eastAsia="Times New Roman" w:hAnsi="Times New Roman" w:cs="Times New Roman"/>
          <w:sz w:val="24"/>
          <w:szCs w:val="24"/>
          <w:lang w:eastAsia="en-IN"/>
        </w:rPr>
        <w:t>, </w:t>
      </w:r>
      <w:proofErr w:type="spellStart"/>
      <w:r>
        <w:rPr>
          <w:rFonts w:ascii="Times New Roman" w:eastAsia="Times New Roman" w:hAnsi="Times New Roman" w:cs="Times New Roman"/>
          <w:sz w:val="24"/>
          <w:szCs w:val="24"/>
          <w:lang w:eastAsia="en-IN"/>
        </w:rPr>
        <w:t>Nikam</w:t>
      </w:r>
      <w:proofErr w:type="spellEnd"/>
      <w:r>
        <w:rPr>
          <w:rFonts w:ascii="Times New Roman" w:eastAsia="Times New Roman" w:hAnsi="Times New Roman" w:cs="Times New Roman"/>
          <w:sz w:val="24"/>
          <w:szCs w:val="24"/>
          <w:lang w:eastAsia="en-IN"/>
        </w:rPr>
        <w:t> </w:t>
      </w:r>
      <w:proofErr w:type="spellStart"/>
      <w:r>
        <w:rPr>
          <w:rFonts w:ascii="Times New Roman" w:eastAsia="Times New Roman" w:hAnsi="Times New Roman" w:cs="Times New Roman"/>
          <w:sz w:val="24"/>
          <w:szCs w:val="24"/>
          <w:lang w:eastAsia="en-IN"/>
        </w:rPr>
        <w:t>Vishal</w:t>
      </w:r>
      <w:proofErr w:type="spellEnd"/>
      <w:r>
        <w:rPr>
          <w:rFonts w:ascii="Times New Roman" w:eastAsia="Times New Roman" w:hAnsi="Times New Roman" w:cs="Times New Roman"/>
          <w:sz w:val="24"/>
          <w:szCs w:val="24"/>
          <w:lang w:eastAsia="en-IN"/>
        </w:rPr>
        <w:t>.</w:t>
      </w:r>
    </w:p>
    <w:p w:rsidR="00C61622" w:rsidRDefault="00441480">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sz w:val="24"/>
          <w:szCs w:val="24"/>
          <w:lang w:eastAsia="en-IN"/>
        </w:rPr>
      </w:pPr>
      <w:r>
        <w:rPr>
          <w:rFonts w:ascii="Times New Roman" w:hAnsi="Times New Roman" w:cs="Times New Roman"/>
          <w:sz w:val="24"/>
          <w:szCs w:val="24"/>
        </w:rPr>
        <w:t>US Perspectives on the EU Medical Device Approval System, and Lessons Learned from the United States,Published online by Cambridge University Press</w:t>
      </w:r>
      <w:r>
        <w:rPr>
          <w:rFonts w:ascii="Times New Roman" w:hAnsi="Times New Roman" w:cs="Times New Roman"/>
          <w:b/>
          <w:sz w:val="24"/>
          <w:szCs w:val="24"/>
        </w:rPr>
        <w:t xml:space="preserve">:  </w:t>
      </w:r>
      <w:r>
        <w:rPr>
          <w:rStyle w:val="Strong"/>
          <w:rFonts w:ascii="Times New Roman" w:eastAsia="SimSun" w:hAnsi="Times New Roman" w:cs="Times New Roman"/>
          <w:b w:val="0"/>
          <w:sz w:val="24"/>
          <w:szCs w:val="24"/>
        </w:rPr>
        <w:t>20 January 2017,</w:t>
      </w:r>
      <w:r>
        <w:rPr>
          <w:rFonts w:ascii="Times New Roman" w:hAnsi="Times New Roman" w:cs="Times New Roman"/>
          <w:sz w:val="24"/>
          <w:szCs w:val="24"/>
        </w:rPr>
        <w:t xml:space="preserve"> Christa Altenstetter.</w:t>
      </w:r>
    </w:p>
    <w:p w:rsidR="00C61622" w:rsidRDefault="00441480">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sz w:val="24"/>
          <w:szCs w:val="24"/>
          <w:lang w:eastAsia="en-IN"/>
        </w:rPr>
      </w:pPr>
      <w:r>
        <w:rPr>
          <w:rFonts w:ascii="Times New Roman" w:hAnsi="Times New Roman" w:cs="Times New Roman"/>
          <w:sz w:val="24"/>
          <w:szCs w:val="24"/>
        </w:rPr>
        <w:t xml:space="preserve">comparison of medical device approval process </w:t>
      </w:r>
      <w:r>
        <w:rPr>
          <w:rFonts w:ascii="Times New Roman" w:hAnsi="Times New Roman" w:cs="Times New Roman"/>
          <w:sz w:val="24"/>
          <w:szCs w:val="24"/>
        </w:rPr>
        <w:t>in regulated countries, associates of regulated countries and emerging countries konuri dinesh chandra* a. elphin prabhahar, brahma srinivasa rao desu, rama rao nadendla</w:t>
      </w:r>
    </w:p>
    <w:p w:rsidR="00C61622" w:rsidRDefault="00441480">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sz w:val="24"/>
          <w:szCs w:val="24"/>
          <w:lang w:eastAsia="en-IN"/>
        </w:rPr>
      </w:pPr>
      <w:r>
        <w:rPr>
          <w:rFonts w:ascii="Times New Roman" w:hAnsi="Times New Roman" w:cs="Times New Roman"/>
          <w:sz w:val="24"/>
          <w:szCs w:val="24"/>
        </w:rPr>
        <w:t>The FDA and the Medical Device Approval Process By Ghislaine Guez, MD, MBA, Arun Garg,</w:t>
      </w:r>
      <w:r>
        <w:rPr>
          <w:rFonts w:ascii="Times New Roman" w:hAnsi="Times New Roman" w:cs="Times New Roman"/>
          <w:sz w:val="24"/>
          <w:szCs w:val="24"/>
        </w:rPr>
        <w:t xml:space="preserve"> DMD, Volume 23, Number 5 May 2012.</w:t>
      </w:r>
    </w:p>
    <w:p w:rsidR="00C61622" w:rsidRDefault="00C61622">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sz w:val="24"/>
          <w:szCs w:val="24"/>
          <w:lang w:eastAsia="en-IN"/>
        </w:rPr>
      </w:pPr>
      <w:hyperlink r:id="rId51" w:history="1">
        <w:r w:rsidR="00441480">
          <w:rPr>
            <w:rStyle w:val="Hyperlink"/>
            <w:rFonts w:ascii="Times New Roman" w:hAnsi="Times New Roman" w:cs="Times New Roman"/>
            <w:color w:val="000000"/>
            <w:sz w:val="24"/>
            <w:szCs w:val="24"/>
            <w:u w:val="none"/>
          </w:rPr>
          <w:t xml:space="preserve">14 New Medical Device Approval Process in the United </w:t>
        </w:r>
        <w:proofErr w:type="spellStart"/>
        <w:r w:rsidR="00441480">
          <w:rPr>
            <w:rStyle w:val="Hyperlink"/>
            <w:rFonts w:ascii="Times New Roman" w:hAnsi="Times New Roman" w:cs="Times New Roman"/>
            <w:color w:val="000000"/>
            <w:sz w:val="24"/>
            <w:szCs w:val="24"/>
            <w:u w:val="none"/>
          </w:rPr>
          <w:t>States</w:t>
        </w:r>
      </w:hyperlink>
      <w:r w:rsidR="00441480">
        <w:rPr>
          <w:rFonts w:ascii="Times New Roman" w:hAnsi="Times New Roman" w:cs="Times New Roman"/>
          <w:color w:val="000000"/>
          <w:sz w:val="24"/>
          <w:szCs w:val="24"/>
        </w:rPr>
        <w:t>,M</w:t>
      </w:r>
      <w:proofErr w:type="spellEnd"/>
      <w:r w:rsidR="00441480">
        <w:rPr>
          <w:rFonts w:ascii="Times New Roman" w:hAnsi="Times New Roman" w:cs="Times New Roman"/>
          <w:color w:val="000000"/>
          <w:sz w:val="24"/>
          <w:szCs w:val="24"/>
        </w:rPr>
        <w:t xml:space="preserve"> Sherman - New Drug </w:t>
      </w:r>
      <w:r w:rsidR="00441480">
        <w:rPr>
          <w:rFonts w:ascii="Times New Roman" w:hAnsi="Times New Roman" w:cs="Times New Roman"/>
          <w:bCs/>
          <w:color w:val="000000"/>
          <w:sz w:val="24"/>
          <w:szCs w:val="24"/>
        </w:rPr>
        <w:t>Approval Process</w:t>
      </w:r>
      <w:r w:rsidR="00441480">
        <w:rPr>
          <w:rFonts w:ascii="Times New Roman" w:hAnsi="Times New Roman" w:cs="Times New Roman"/>
          <w:color w:val="000000"/>
          <w:sz w:val="24"/>
          <w:szCs w:val="24"/>
        </w:rPr>
        <w:t>, 2016.</w:t>
      </w:r>
      <w:r w:rsidR="00441480">
        <w:rPr>
          <w:rFonts w:ascii="Times New Roman" w:eastAsia="Times New Roman" w:hAnsi="Times New Roman" w:cs="Times New Roman"/>
          <w:b/>
          <w:bCs/>
          <w:sz w:val="24"/>
          <w:szCs w:val="24"/>
          <w:lang w:eastAsia="en-IN"/>
        </w:rPr>
        <w:t xml:space="preserve"> </w:t>
      </w:r>
    </w:p>
    <w:p w:rsidR="00C61622" w:rsidRDefault="00C61622">
      <w:pPr>
        <w:pStyle w:val="ListParagraph"/>
        <w:numPr>
          <w:ilvl w:val="0"/>
          <w:numId w:val="10"/>
        </w:num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hyperlink r:id="rId52" w:history="1">
        <w:r w:rsidR="00441480">
          <w:rPr>
            <w:rFonts w:ascii="Times New Roman" w:eastAsia="Times New Roman" w:hAnsi="Times New Roman" w:cs="Times New Roman"/>
            <w:bCs/>
            <w:color w:val="000000"/>
            <w:sz w:val="24"/>
            <w:szCs w:val="24"/>
            <w:lang w:eastAsia="en-IN"/>
          </w:rPr>
          <w:t xml:space="preserve">Improving FDA's Product Approval Process for Medical </w:t>
        </w:r>
        <w:proofErr w:type="spellStart"/>
        <w:r w:rsidR="00441480">
          <w:rPr>
            <w:rFonts w:ascii="Times New Roman" w:eastAsia="Times New Roman" w:hAnsi="Times New Roman" w:cs="Times New Roman"/>
            <w:bCs/>
            <w:color w:val="000000"/>
            <w:sz w:val="24"/>
            <w:szCs w:val="24"/>
            <w:lang w:eastAsia="en-IN"/>
          </w:rPr>
          <w:t>Devices</w:t>
        </w:r>
      </w:hyperlink>
      <w:r w:rsidR="00441480">
        <w:rPr>
          <w:rFonts w:ascii="Times New Roman" w:eastAsia="Times New Roman" w:hAnsi="Times New Roman" w:cs="Times New Roman"/>
          <w:bCs/>
          <w:color w:val="000000"/>
          <w:sz w:val="24"/>
          <w:szCs w:val="24"/>
          <w:lang w:eastAsia="en-IN"/>
        </w:rPr>
        <w:t>,</w:t>
      </w:r>
      <w:r w:rsidR="00441480">
        <w:rPr>
          <w:rFonts w:ascii="Times New Roman" w:eastAsia="Times New Roman" w:hAnsi="Times New Roman" w:cs="Times New Roman"/>
          <w:color w:val="000000"/>
          <w:sz w:val="24"/>
          <w:szCs w:val="24"/>
          <w:lang w:eastAsia="en-IN"/>
        </w:rPr>
        <w:t>EM</w:t>
      </w:r>
      <w:proofErr w:type="spellEnd"/>
      <w:r w:rsidR="00441480">
        <w:rPr>
          <w:rFonts w:ascii="Times New Roman" w:eastAsia="Times New Roman" w:hAnsi="Times New Roman" w:cs="Times New Roman"/>
          <w:color w:val="000000"/>
          <w:sz w:val="24"/>
          <w:szCs w:val="24"/>
          <w:lang w:eastAsia="en-IN"/>
        </w:rPr>
        <w:t xml:space="preserve"> </w:t>
      </w:r>
      <w:proofErr w:type="spellStart"/>
      <w:r w:rsidR="00441480">
        <w:rPr>
          <w:rFonts w:ascii="Times New Roman" w:eastAsia="Times New Roman" w:hAnsi="Times New Roman" w:cs="Times New Roman"/>
          <w:color w:val="000000"/>
          <w:sz w:val="24"/>
          <w:szCs w:val="24"/>
          <w:lang w:eastAsia="en-IN"/>
        </w:rPr>
        <w:t>Basile</w:t>
      </w:r>
      <w:proofErr w:type="spellEnd"/>
      <w:r w:rsidR="00441480">
        <w:rPr>
          <w:rFonts w:ascii="Times New Roman" w:eastAsia="Times New Roman" w:hAnsi="Times New Roman" w:cs="Times New Roman"/>
          <w:color w:val="000000"/>
          <w:sz w:val="24"/>
          <w:szCs w:val="24"/>
          <w:lang w:eastAsia="en-IN"/>
        </w:rPr>
        <w:t> - Food Drug Cosm. LJ, 1986.</w:t>
      </w:r>
    </w:p>
    <w:commentRangeEnd w:id="22"/>
    <w:p w:rsidR="00C61622" w:rsidRDefault="00441480">
      <w:pPr>
        <w:sectPr w:rsidR="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454"/>
          <w:docGrid w:linePitch="360"/>
        </w:sectPr>
      </w:pPr>
      <w:r>
        <w:rPr>
          <w:rStyle w:val="CommentReference"/>
        </w:rPr>
        <w:commentReference w:id="22"/>
      </w:r>
    </w:p>
    <w:p w:rsidR="00C61622" w:rsidRDefault="00C61622"/>
    <w:p w:rsidR="00C61622" w:rsidRDefault="00C61622">
      <w:pPr>
        <w:rPr>
          <w:rFonts w:ascii="Times New Roman" w:hAnsi="Times New Roman" w:cs="Times New Roman"/>
          <w:color w:val="000000"/>
        </w:rPr>
      </w:pPr>
    </w:p>
    <w:p w:rsidR="00C61622" w:rsidRDefault="00C61622"/>
    <w:p w:rsidR="00C61622" w:rsidRDefault="00441480">
      <w:pPr>
        <w:spacing w:before="100" w:beforeAutospacing="1" w:after="100" w:afterAutospacing="1" w:line="240" w:lineRule="auto"/>
        <w:outlineLvl w:val="0"/>
        <w:rPr>
          <w:rFonts w:ascii="Times New Roman" w:eastAsia="Times New Roman" w:hAnsi="Times New Roman" w:cs="Times New Roman"/>
          <w:bCs/>
          <w:kern w:val="36"/>
          <w:sz w:val="28"/>
          <w:szCs w:val="28"/>
          <w:lang w:eastAsia="en-IN"/>
        </w:rPr>
      </w:pPr>
      <w:r>
        <w:rPr>
          <w:rFonts w:ascii="Times New Roman" w:eastAsia="Times New Roman" w:hAnsi="Times New Roman" w:cs="Times New Roman"/>
          <w:sz w:val="28"/>
          <w:szCs w:val="28"/>
          <w:lang w:eastAsia="en-IN"/>
        </w:rPr>
        <w:t xml:space="preserve"> </w:t>
      </w:r>
    </w:p>
    <w:p w:rsidR="00C61622" w:rsidRDefault="00C61622">
      <w:pPr>
        <w:spacing w:before="100" w:beforeAutospacing="1" w:after="100" w:afterAutospacing="1" w:line="240" w:lineRule="auto"/>
        <w:outlineLvl w:val="0"/>
        <w:rPr>
          <w:rFonts w:ascii="Times New Roman" w:eastAsia="Times New Roman" w:hAnsi="Times New Roman" w:cs="Times New Roman"/>
          <w:bCs/>
          <w:kern w:val="36"/>
          <w:sz w:val="28"/>
          <w:szCs w:val="28"/>
          <w:lang w:eastAsia="en-IN"/>
        </w:rPr>
      </w:pPr>
    </w:p>
    <w:p w:rsidR="00C61622" w:rsidRDefault="00C61622">
      <w:pPr>
        <w:spacing w:before="100" w:beforeAutospacing="1" w:after="100" w:afterAutospacing="1" w:line="240" w:lineRule="auto"/>
        <w:outlineLvl w:val="0"/>
        <w:rPr>
          <w:rFonts w:ascii="Times New Roman" w:eastAsia="Times New Roman" w:hAnsi="Times New Roman" w:cs="Times New Roman"/>
          <w:bCs/>
          <w:color w:val="000000"/>
          <w:kern w:val="36"/>
          <w:sz w:val="28"/>
          <w:szCs w:val="28"/>
          <w:lang w:eastAsia="en-IN"/>
        </w:rPr>
      </w:pPr>
    </w:p>
    <w:p w:rsidR="00C61622" w:rsidRDefault="00C61622">
      <w:pPr>
        <w:rPr>
          <w:color w:val="000000"/>
          <w:sz w:val="28"/>
          <w:szCs w:val="28"/>
          <w:lang w:eastAsia="en-IN"/>
        </w:rPr>
      </w:pPr>
    </w:p>
    <w:p w:rsidR="00C61622" w:rsidRDefault="00C61622">
      <w:pPr>
        <w:rPr>
          <w:rFonts w:ascii="Times New Roman" w:eastAsia="Times New Roman" w:hAnsi="Times New Roman" w:cs="Times New Roman"/>
          <w:color w:val="000000"/>
          <w:sz w:val="28"/>
          <w:szCs w:val="28"/>
          <w:lang w:eastAsia="en-IN"/>
        </w:rPr>
      </w:pPr>
    </w:p>
    <w:p w:rsidR="00C61622" w:rsidRDefault="00C61622">
      <w:pPr>
        <w:spacing w:before="100" w:beforeAutospacing="1" w:after="100" w:afterAutospacing="1" w:line="240" w:lineRule="auto"/>
        <w:rPr>
          <w:rFonts w:ascii="Times New Roman" w:eastAsia="Times New Roman" w:hAnsi="Times New Roman" w:cs="Times New Roman"/>
          <w:sz w:val="24"/>
          <w:szCs w:val="24"/>
          <w:lang w:eastAsia="en-IN"/>
        </w:rPr>
      </w:pPr>
    </w:p>
    <w:p w:rsidR="00C61622" w:rsidRDefault="00C61622">
      <w:pPr>
        <w:pStyle w:val="NormalWeb"/>
        <w:rPr>
          <w:color w:val="000000"/>
          <w:sz w:val="28"/>
          <w:szCs w:val="28"/>
        </w:rPr>
      </w:pPr>
    </w:p>
    <w:p w:rsidR="00C61622" w:rsidRDefault="00C61622">
      <w:pPr>
        <w:pStyle w:val="NormalWeb"/>
        <w:rPr>
          <w:color w:val="000000"/>
          <w:sz w:val="28"/>
          <w:szCs w:val="28"/>
        </w:rPr>
      </w:pPr>
    </w:p>
    <w:p w:rsidR="00C61622" w:rsidRDefault="00C61622">
      <w:pPr>
        <w:jc w:val="both"/>
        <w:rPr>
          <w:rFonts w:ascii="Times New Roman" w:hAnsi="Times New Roman" w:cs="Times New Roman"/>
          <w:color w:val="000000"/>
        </w:rPr>
      </w:pPr>
    </w:p>
    <w:sectPr w:rsidR="00C61622" w:rsidSect="00C61622">
      <w:type w:val="continuous"/>
      <w:pgSz w:w="12240" w:h="15840" w:code="1"/>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454"/>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4-06-25T10:18:00Z" w:initials="U">
    <w:p w:rsidR="0027303A" w:rsidRDefault="009E5DAB">
      <w:pPr>
        <w:pStyle w:val="CommentText"/>
      </w:pPr>
      <w:r>
        <w:rPr>
          <w:rStyle w:val="CommentReference"/>
        </w:rPr>
        <w:annotationRef/>
      </w:r>
      <w:r>
        <w:t>Remove. What m</w:t>
      </w:r>
      <w:r w:rsidR="0027303A">
        <w:t>ade the abstract comprehensive?</w:t>
      </w:r>
    </w:p>
    <w:p w:rsidR="0027303A" w:rsidRDefault="009E5DAB">
      <w:pPr>
        <w:pStyle w:val="CommentText"/>
      </w:pPr>
      <w:r>
        <w:t>Your abstract suppose to capture a short introduction of the subject matter  and its importance which you did not do; the challenge calling for solution; no co</w:t>
      </w:r>
      <w:r w:rsidR="0027303A">
        <w:t>nclusion and no recommendation.</w:t>
      </w:r>
    </w:p>
    <w:p w:rsidR="009E5DAB" w:rsidRDefault="009E5DAB">
      <w:pPr>
        <w:pStyle w:val="CommentText"/>
      </w:pPr>
      <w:r>
        <w:t>You need to re-write this abstract to make it</w:t>
      </w:r>
      <w:r w:rsidR="0027303A">
        <w:t xml:space="preserve"> meaningful.</w:t>
      </w:r>
    </w:p>
  </w:comment>
  <w:comment w:id="2" w:author="User" w:date="2024-06-25T10:21:00Z" w:initials="U">
    <w:p w:rsidR="0027303A" w:rsidRDefault="0027303A">
      <w:pPr>
        <w:pStyle w:val="CommentText"/>
      </w:pPr>
      <w:r>
        <w:rPr>
          <w:rStyle w:val="CommentReference"/>
        </w:rPr>
        <w:annotationRef/>
      </w:r>
      <w:r>
        <w:t>What is CE? You did not interpret  it elsewhere before the use of abbreviation. Just like the way you expressed the meanings of EU, FDA and CDSCO before the use of  abbreviations</w:t>
      </w:r>
    </w:p>
  </w:comment>
  <w:comment w:id="0" w:author="User" w:date="2024-06-25T10:24:00Z" w:initials="U">
    <w:p w:rsidR="0027303A" w:rsidRDefault="0027303A">
      <w:pPr>
        <w:pStyle w:val="CommentText"/>
      </w:pPr>
      <w:r>
        <w:rPr>
          <w:rStyle w:val="CommentReference"/>
        </w:rPr>
        <w:annotationRef/>
      </w:r>
      <w:r>
        <w:t>Please, re-write the abstract to make it meaningful</w:t>
      </w:r>
    </w:p>
  </w:comment>
  <w:comment w:id="3" w:author="User" w:date="2024-06-25T10:23:00Z" w:initials="U">
    <w:p w:rsidR="0027303A" w:rsidRDefault="0027303A">
      <w:pPr>
        <w:pStyle w:val="CommentText"/>
      </w:pPr>
      <w:r>
        <w:rPr>
          <w:rStyle w:val="CommentReference"/>
        </w:rPr>
        <w:annotationRef/>
      </w:r>
      <w:r>
        <w:t>Please, write scientifically to bring out sense in what you are writing</w:t>
      </w:r>
    </w:p>
  </w:comment>
  <w:comment w:id="4" w:author="User" w:date="2024-06-25T10:26:00Z" w:initials="U">
    <w:p w:rsidR="0027303A" w:rsidRDefault="0027303A">
      <w:pPr>
        <w:pStyle w:val="CommentText"/>
      </w:pPr>
      <w:r>
        <w:rPr>
          <w:rStyle w:val="CommentReference"/>
        </w:rPr>
        <w:annotationRef/>
      </w:r>
      <w:r>
        <w:t>Provide the reference or were you the one that classified them?</w:t>
      </w:r>
    </w:p>
  </w:comment>
  <w:comment w:id="6" w:author="User" w:date="2024-06-25T10:27:00Z" w:initials="U">
    <w:p w:rsidR="0027303A" w:rsidRDefault="0027303A">
      <w:pPr>
        <w:pStyle w:val="CommentText"/>
      </w:pPr>
      <w:r>
        <w:rPr>
          <w:rStyle w:val="CommentReference"/>
        </w:rPr>
        <w:annotationRef/>
      </w:r>
      <w:r>
        <w:t>Do not use this instead, use “do not”</w:t>
      </w:r>
    </w:p>
  </w:comment>
  <w:comment w:id="5" w:author="User" w:date="2024-06-25T10:28:00Z" w:initials="U">
    <w:p w:rsidR="001218B1" w:rsidRDefault="001218B1">
      <w:pPr>
        <w:pStyle w:val="CommentText"/>
      </w:pPr>
      <w:r>
        <w:rPr>
          <w:rStyle w:val="CommentReference"/>
        </w:rPr>
        <w:annotationRef/>
      </w:r>
      <w:r>
        <w:t>Provide the reference for this.</w:t>
      </w:r>
    </w:p>
  </w:comment>
  <w:comment w:id="7" w:author="User" w:date="2024-06-25T10:31:00Z" w:initials="U">
    <w:p w:rsidR="001218B1" w:rsidRPr="001218B1" w:rsidRDefault="001218B1">
      <w:pPr>
        <w:pStyle w:val="CommentText"/>
      </w:pPr>
      <w:r>
        <w:rPr>
          <w:rStyle w:val="CommentReference"/>
        </w:rPr>
        <w:annotationRef/>
      </w:r>
      <w:r>
        <w:t xml:space="preserve">It is not a table, it is not a chart and it needs to be labelled as “Figure 1: </w:t>
      </w:r>
      <w:r w:rsidRPr="001218B1">
        <w:rPr>
          <w:rFonts w:ascii="Times New Roman" w:hAnsi="Times New Roman" w:cs="Times New Roman"/>
          <w:color w:val="000000"/>
          <w:sz w:val="24"/>
          <w:szCs w:val="24"/>
        </w:rPr>
        <w:t>Classification of Medical device and regulatory control</w:t>
      </w:r>
    </w:p>
    <w:p w:rsidR="001218B1" w:rsidRDefault="001218B1">
      <w:pPr>
        <w:pStyle w:val="CommentText"/>
      </w:pPr>
      <w:r>
        <w:t>Provide the source  of this figure.</w:t>
      </w:r>
    </w:p>
  </w:comment>
  <w:comment w:id="8" w:author="User" w:date="2024-06-25T10:34:00Z" w:initials="U">
    <w:p w:rsidR="001218B1" w:rsidRDefault="001218B1">
      <w:pPr>
        <w:pStyle w:val="CommentText"/>
      </w:pPr>
      <w:r>
        <w:rPr>
          <w:rStyle w:val="CommentReference"/>
        </w:rPr>
        <w:annotationRef/>
      </w:r>
      <w:r>
        <w:t>You are not connecting your write-up to the previous ones because this one is standing in isolation. Source of information ???? Delete</w:t>
      </w:r>
    </w:p>
  </w:comment>
  <w:comment w:id="10" w:author="User" w:date="2024-06-25T10:35:00Z" w:initials="U">
    <w:p w:rsidR="001218B1" w:rsidRDefault="001218B1">
      <w:pPr>
        <w:pStyle w:val="CommentText"/>
      </w:pPr>
      <w:r>
        <w:rPr>
          <w:rStyle w:val="CommentReference"/>
        </w:rPr>
        <w:annotationRef/>
      </w:r>
      <w:r>
        <w:t>Do not start a sentence with because. Please, re-cast</w:t>
      </w:r>
    </w:p>
  </w:comment>
  <w:comment w:id="9" w:author="User" w:date="2024-06-25T10:36:00Z" w:initials="U">
    <w:p w:rsidR="001218B1" w:rsidRDefault="001218B1">
      <w:pPr>
        <w:pStyle w:val="CommentText"/>
      </w:pPr>
      <w:r>
        <w:rPr>
          <w:rStyle w:val="CommentReference"/>
        </w:rPr>
        <w:annotationRef/>
      </w:r>
      <w:r>
        <w:t>Re-write everything so that it can make sense and provide relevant references</w:t>
      </w:r>
    </w:p>
  </w:comment>
  <w:comment w:id="11" w:author="User" w:date="2024-06-25T10:38:00Z" w:initials="U">
    <w:p w:rsidR="00521D14" w:rsidRDefault="00521D14">
      <w:pPr>
        <w:pStyle w:val="CommentText"/>
      </w:pPr>
      <w:r>
        <w:rPr>
          <w:rStyle w:val="CommentReference"/>
        </w:rPr>
        <w:annotationRef/>
      </w:r>
      <w:r>
        <w:t>Re-cast and provide references accordingly</w:t>
      </w:r>
    </w:p>
  </w:comment>
  <w:comment w:id="12" w:author="User" w:date="2024-06-25T10:39:00Z" w:initials="U">
    <w:p w:rsidR="00521D14" w:rsidRDefault="00521D14">
      <w:pPr>
        <w:pStyle w:val="CommentText"/>
      </w:pPr>
      <w:r>
        <w:rPr>
          <w:rStyle w:val="CommentReference"/>
        </w:rPr>
        <w:annotationRef/>
      </w:r>
      <w:r>
        <w:t>Same as U12</w:t>
      </w:r>
    </w:p>
  </w:comment>
  <w:comment w:id="13" w:author="User" w:date="2024-06-25T10:40:00Z" w:initials="U">
    <w:p w:rsidR="00521D14" w:rsidRDefault="00521D14">
      <w:pPr>
        <w:pStyle w:val="CommentText"/>
      </w:pPr>
      <w:r>
        <w:rPr>
          <w:rStyle w:val="CommentReference"/>
        </w:rPr>
        <w:annotationRef/>
      </w:r>
      <w:r>
        <w:t>Same as U12</w:t>
      </w:r>
    </w:p>
  </w:comment>
  <w:comment w:id="14" w:author="User" w:date="2024-06-25T10:42:00Z" w:initials="U">
    <w:p w:rsidR="00521D14" w:rsidRDefault="00521D14">
      <w:pPr>
        <w:pStyle w:val="CommentText"/>
      </w:pPr>
      <w:r>
        <w:rPr>
          <w:rStyle w:val="CommentReference"/>
        </w:rPr>
        <w:annotationRef/>
      </w:r>
      <w:r>
        <w:t>Same as U12. Let your ideas communicate your thoughts to the readers so that knowledge can be gained</w:t>
      </w:r>
    </w:p>
    <w:p w:rsidR="00521D14" w:rsidRDefault="00521D14">
      <w:pPr>
        <w:pStyle w:val="CommentText"/>
      </w:pPr>
      <w:r>
        <w:t>No references???</w:t>
      </w:r>
    </w:p>
  </w:comment>
  <w:comment w:id="15" w:author="User" w:date="2024-06-25T10:45:00Z" w:initials="U">
    <w:p w:rsidR="009D0428" w:rsidRDefault="009D0428">
      <w:pPr>
        <w:pStyle w:val="CommentText"/>
      </w:pPr>
      <w:r>
        <w:rPr>
          <w:rStyle w:val="CommentReference"/>
        </w:rPr>
        <w:annotationRef/>
      </w:r>
      <w:r>
        <w:t>Same as U12. Please, write scientifically. It seems as if it is copy and paste because there are disconnections</w:t>
      </w:r>
    </w:p>
  </w:comment>
  <w:comment w:id="16" w:author="User" w:date="2024-06-25T10:46:00Z" w:initials="U">
    <w:p w:rsidR="009D0428" w:rsidRDefault="009D0428">
      <w:pPr>
        <w:pStyle w:val="CommentText"/>
      </w:pPr>
      <w:r>
        <w:rPr>
          <w:rStyle w:val="CommentReference"/>
        </w:rPr>
        <w:annotationRef/>
      </w:r>
      <w:r>
        <w:t xml:space="preserve"> This should be Figure 2.</w:t>
      </w:r>
    </w:p>
    <w:p w:rsidR="009D0428" w:rsidRDefault="009D0428">
      <w:pPr>
        <w:pStyle w:val="CommentText"/>
      </w:pPr>
      <w:r>
        <w:t>provide the source</w:t>
      </w:r>
    </w:p>
  </w:comment>
  <w:comment w:id="17" w:author="User" w:date="2024-06-25T10:47:00Z" w:initials="U">
    <w:p w:rsidR="009D0428" w:rsidRDefault="009D0428">
      <w:pPr>
        <w:pStyle w:val="CommentText"/>
      </w:pPr>
      <w:r>
        <w:rPr>
          <w:rStyle w:val="CommentReference"/>
        </w:rPr>
        <w:annotationRef/>
      </w:r>
      <w:r>
        <w:t>It should be Figure 3.</w:t>
      </w:r>
    </w:p>
  </w:comment>
  <w:comment w:id="18" w:author="User" w:date="2024-06-25T10:47:00Z" w:initials="U">
    <w:p w:rsidR="009D0428" w:rsidRDefault="009D0428">
      <w:pPr>
        <w:pStyle w:val="CommentText"/>
      </w:pPr>
      <w:r>
        <w:rPr>
          <w:rStyle w:val="CommentReference"/>
        </w:rPr>
        <w:annotationRef/>
      </w:r>
      <w:r>
        <w:t>Figure 4</w:t>
      </w:r>
    </w:p>
  </w:comment>
  <w:comment w:id="19" w:author="User" w:date="2024-06-25T10:49:00Z" w:initials="U">
    <w:p w:rsidR="00441480" w:rsidRDefault="00441480">
      <w:pPr>
        <w:pStyle w:val="CommentText"/>
      </w:pPr>
      <w:r>
        <w:rPr>
          <w:rStyle w:val="CommentReference"/>
        </w:rPr>
        <w:annotationRef/>
      </w:r>
      <w:r>
        <w:t>References????</w:t>
      </w:r>
    </w:p>
    <w:p w:rsidR="00441480" w:rsidRDefault="00441480">
      <w:pPr>
        <w:pStyle w:val="CommentText"/>
      </w:pPr>
      <w:r>
        <w:t>Re-write</w:t>
      </w:r>
    </w:p>
  </w:comment>
  <w:comment w:id="20" w:author="User" w:date="2024-06-25T10:49:00Z" w:initials="U">
    <w:p w:rsidR="00441480" w:rsidRDefault="00441480">
      <w:pPr>
        <w:pStyle w:val="CommentText"/>
      </w:pPr>
      <w:r>
        <w:rPr>
          <w:rStyle w:val="CommentReference"/>
        </w:rPr>
        <w:annotationRef/>
      </w:r>
      <w:r>
        <w:t>Figure 5</w:t>
      </w:r>
    </w:p>
  </w:comment>
  <w:comment w:id="21" w:author="User" w:date="2024-06-25T10:52:00Z" w:initials="U">
    <w:p w:rsidR="00441480" w:rsidRDefault="00441480">
      <w:pPr>
        <w:pStyle w:val="CommentText"/>
      </w:pPr>
      <w:r>
        <w:rPr>
          <w:rStyle w:val="CommentReference"/>
        </w:rPr>
        <w:annotationRef/>
      </w:r>
      <w:r>
        <w:t>This conclusion should be re-casted if not it will not make sense</w:t>
      </w:r>
    </w:p>
  </w:comment>
  <w:comment w:id="22" w:author="User" w:date="2024-06-25T10:54:00Z" w:initials="U">
    <w:p w:rsidR="00441480" w:rsidRDefault="00441480">
      <w:pPr>
        <w:pStyle w:val="CommentText"/>
      </w:pPr>
      <w:r>
        <w:rPr>
          <w:rStyle w:val="CommentReference"/>
        </w:rPr>
        <w:annotationRef/>
      </w:r>
      <w:r>
        <w:t>It seems you just copy the references without adhering to the author’s guidelines because there are a lot of inconsistencies and mix-ups. Capital letters throughout in some places while some small letters.</w:t>
      </w:r>
    </w:p>
    <w:p w:rsidR="00441480" w:rsidRDefault="00441480">
      <w:pPr>
        <w:pStyle w:val="CommentText"/>
      </w:pPr>
      <w:r>
        <w:t xml:space="preserve">Please, follow the author’s </w:t>
      </w:r>
      <w:r>
        <w:t>guidelines.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622" w:rsidRDefault="00C61622" w:rsidP="00C61622">
      <w:pPr>
        <w:spacing w:after="0" w:line="240" w:lineRule="auto"/>
      </w:pPr>
      <w:r>
        <w:separator/>
      </w:r>
    </w:p>
  </w:endnote>
  <w:endnote w:type="continuationSeparator" w:id="0">
    <w:p w:rsidR="00C61622" w:rsidRDefault="00C61622" w:rsidP="00C61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22" w:rsidRDefault="00C616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22" w:rsidRDefault="00C616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622" w:rsidRDefault="00C61622" w:rsidP="00C61622">
      <w:pPr>
        <w:spacing w:after="0" w:line="240" w:lineRule="auto"/>
      </w:pPr>
      <w:r>
        <w:separator/>
      </w:r>
    </w:p>
  </w:footnote>
  <w:footnote w:type="continuationSeparator" w:id="0">
    <w:p w:rsidR="00C61622" w:rsidRDefault="00C61622" w:rsidP="00C616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22" w:rsidRDefault="00C61622">
    <w:pPr>
      <w:pStyle w:val="Header"/>
    </w:pPr>
    <w:r w:rsidRPr="00C616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22" w:rsidRDefault="00C61622">
    <w:pPr>
      <w:pStyle w:val="Header"/>
    </w:pPr>
    <w:r w:rsidRPr="00C616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22" w:rsidRDefault="00C61622">
    <w:pPr>
      <w:pStyle w:val="Header"/>
    </w:pPr>
    <w:r w:rsidRPr="00C616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A75E4B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hybridMultilevel"/>
    <w:tmpl w:val="830870A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00000002"/>
    <w:multiLevelType w:val="multilevel"/>
    <w:tmpl w:val="427862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hybridMultilevel"/>
    <w:tmpl w:val="EF44B12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00000004"/>
    <w:multiLevelType w:val="multilevel"/>
    <w:tmpl w:val="502C37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35DE13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hybridMultilevel"/>
    <w:tmpl w:val="49743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F10A9A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EDF8FE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hybridMultilevel"/>
    <w:tmpl w:val="95AA41A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24BCB7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E24A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78B644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000000D"/>
    <w:multiLevelType w:val="hybridMultilevel"/>
    <w:tmpl w:val="615EC69C"/>
    <w:lvl w:ilvl="0" w:tplc="EF0C4FFE">
      <w:start w:val="1"/>
      <w:numFmt w:val="decimal"/>
      <w:lvlText w:val="%1."/>
      <w:lvlJc w:val="left"/>
      <w:pPr>
        <w:ind w:left="786" w:hanging="360"/>
      </w:pPr>
      <w:rPr>
        <w:color w:val="00000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nsid w:val="0000000E"/>
    <w:multiLevelType w:val="hybridMultilevel"/>
    <w:tmpl w:val="24D692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5AE69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8E248BDA"/>
    <w:lvl w:ilvl="0" w:tplc="5C081E6C">
      <w:start w:val="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659C8E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C9D80574"/>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00000013"/>
    <w:multiLevelType w:val="hybridMultilevel"/>
    <w:tmpl w:val="615EC69C"/>
    <w:lvl w:ilvl="0" w:tplc="EF0C4FFE">
      <w:start w:val="1"/>
      <w:numFmt w:val="decimal"/>
      <w:lvlText w:val="%1."/>
      <w:lvlJc w:val="left"/>
      <w:pPr>
        <w:ind w:left="786" w:hanging="360"/>
      </w:pPr>
      <w:rPr>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00000014"/>
    <w:multiLevelType w:val="hybridMultilevel"/>
    <w:tmpl w:val="020CD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16262C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D95E94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B5EA5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E15C0F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00000019"/>
    <w:multiLevelType w:val="multilevel"/>
    <w:tmpl w:val="A484E8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A"/>
    <w:multiLevelType w:val="hybridMultilevel"/>
    <w:tmpl w:val="244253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CDC24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0000001C"/>
    <w:multiLevelType w:val="hybridMultilevel"/>
    <w:tmpl w:val="05FCF3F4"/>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FDDA528A"/>
    <w:lvl w:ilvl="0" w:tplc="5C081E6C">
      <w:start w:val="1"/>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nsid w:val="0000001E"/>
    <w:multiLevelType w:val="multilevel"/>
    <w:tmpl w:val="449454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nsid w:val="0000001F"/>
    <w:multiLevelType w:val="hybridMultilevel"/>
    <w:tmpl w:val="F7087A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00000020"/>
    <w:multiLevelType w:val="hybridMultilevel"/>
    <w:tmpl w:val="A600E70A"/>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3">
    <w:nsid w:val="00000021"/>
    <w:multiLevelType w:val="hybridMultilevel"/>
    <w:tmpl w:val="DAB61634"/>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nsid w:val="00000022"/>
    <w:multiLevelType w:val="hybridMultilevel"/>
    <w:tmpl w:val="29E6DE60"/>
    <w:lvl w:ilvl="0" w:tplc="40090001">
      <w:start w:val="1"/>
      <w:numFmt w:val="bullet"/>
      <w:lvlText w:val=""/>
      <w:lvlJc w:val="left"/>
      <w:pPr>
        <w:ind w:left="1080" w:hanging="360"/>
      </w:pPr>
      <w:rPr>
        <w:rFonts w:ascii="Symbol" w:hAnsi="Symbol" w:hint="default"/>
      </w:rPr>
    </w:lvl>
    <w:lvl w:ilvl="1" w:tplc="C2247084">
      <w:start w:val="1"/>
      <w:numFmt w:val="bullet"/>
      <w:lvlText w:val="•"/>
      <w:lvlJc w:val="left"/>
      <w:pPr>
        <w:ind w:left="1800" w:hanging="360"/>
      </w:pPr>
      <w:rPr>
        <w:rFonts w:ascii="Times New Roman" w:eastAsia="Times New Roman" w:hAnsi="Times New Roman" w:cs="Times New Roman"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nsid w:val="00000023"/>
    <w:multiLevelType w:val="multilevel"/>
    <w:tmpl w:val="DBA4E5B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6">
    <w:nsid w:val="00000024"/>
    <w:multiLevelType w:val="hybridMultilevel"/>
    <w:tmpl w:val="B47EED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00000025"/>
    <w:multiLevelType w:val="multilevel"/>
    <w:tmpl w:val="6C58C2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4"/>
  </w:num>
  <w:num w:numId="2">
    <w:abstractNumId w:val="37"/>
  </w:num>
  <w:num w:numId="3">
    <w:abstractNumId w:val="0"/>
  </w:num>
  <w:num w:numId="4">
    <w:abstractNumId w:val="2"/>
  </w:num>
  <w:num w:numId="5">
    <w:abstractNumId w:val="25"/>
  </w:num>
  <w:num w:numId="6">
    <w:abstractNumId w:val="32"/>
  </w:num>
  <w:num w:numId="7">
    <w:abstractNumId w:val="35"/>
  </w:num>
  <w:num w:numId="8">
    <w:abstractNumId w:val="31"/>
  </w:num>
  <w:num w:numId="9">
    <w:abstractNumId w:val="8"/>
  </w:num>
  <w:num w:numId="10">
    <w:abstractNumId w:val="19"/>
  </w:num>
  <w:num w:numId="11">
    <w:abstractNumId w:val="5"/>
  </w:num>
  <w:num w:numId="12">
    <w:abstractNumId w:val="4"/>
  </w:num>
  <w:num w:numId="13">
    <w:abstractNumId w:val="12"/>
  </w:num>
  <w:num w:numId="14">
    <w:abstractNumId w:val="30"/>
  </w:num>
  <w:num w:numId="15">
    <w:abstractNumId w:val="13"/>
  </w:num>
  <w:num w:numId="16">
    <w:abstractNumId w:val="7"/>
  </w:num>
  <w:num w:numId="17">
    <w:abstractNumId w:val="11"/>
  </w:num>
  <w:num w:numId="18">
    <w:abstractNumId w:val="28"/>
  </w:num>
  <w:num w:numId="19">
    <w:abstractNumId w:val="14"/>
  </w:num>
  <w:num w:numId="20">
    <w:abstractNumId w:val="17"/>
  </w:num>
  <w:num w:numId="21">
    <w:abstractNumId w:val="22"/>
  </w:num>
  <w:num w:numId="22">
    <w:abstractNumId w:val="26"/>
  </w:num>
  <w:num w:numId="23">
    <w:abstractNumId w:val="10"/>
  </w:num>
  <w:num w:numId="24">
    <w:abstractNumId w:val="36"/>
  </w:num>
  <w:num w:numId="25">
    <w:abstractNumId w:val="15"/>
  </w:num>
  <w:num w:numId="26">
    <w:abstractNumId w:val="16"/>
  </w:num>
  <w:num w:numId="27">
    <w:abstractNumId w:val="29"/>
  </w:num>
  <w:num w:numId="28">
    <w:abstractNumId w:val="3"/>
  </w:num>
  <w:num w:numId="29">
    <w:abstractNumId w:val="6"/>
  </w:num>
  <w:num w:numId="30">
    <w:abstractNumId w:val="24"/>
  </w:num>
  <w:num w:numId="31">
    <w:abstractNumId w:val="20"/>
  </w:num>
  <w:num w:numId="32">
    <w:abstractNumId w:val="21"/>
  </w:num>
  <w:num w:numId="33">
    <w:abstractNumId w:val="1"/>
  </w:num>
  <w:num w:numId="34">
    <w:abstractNumId w:val="9"/>
  </w:num>
  <w:num w:numId="35">
    <w:abstractNumId w:val="18"/>
  </w:num>
  <w:num w:numId="36">
    <w:abstractNumId w:val="33"/>
  </w:num>
  <w:num w:numId="37">
    <w:abstractNumId w:val="23"/>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rsids>
    <w:rsidRoot w:val="00C61622"/>
    <w:rsid w:val="001218B1"/>
    <w:rsid w:val="0027303A"/>
    <w:rsid w:val="00441480"/>
    <w:rsid w:val="00521D14"/>
    <w:rsid w:val="009D0428"/>
    <w:rsid w:val="009E5DAB"/>
    <w:rsid w:val="00C6162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622"/>
  </w:style>
  <w:style w:type="paragraph" w:styleId="Heading1">
    <w:name w:val="heading 1"/>
    <w:basedOn w:val="Normal"/>
    <w:next w:val="Normal"/>
    <w:link w:val="Heading1Char"/>
    <w:uiPriority w:val="9"/>
    <w:qFormat/>
    <w:rsid w:val="00C61622"/>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rsid w:val="00C61622"/>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rsid w:val="00C61622"/>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C61622"/>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6162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rsid w:val="00C61622"/>
    <w:rPr>
      <w:color w:val="0000FF"/>
      <w:u w:val="single"/>
    </w:rPr>
  </w:style>
  <w:style w:type="character" w:customStyle="1" w:styleId="Heading4Char">
    <w:name w:val="Heading 4 Char"/>
    <w:basedOn w:val="DefaultParagraphFont"/>
    <w:link w:val="Heading4"/>
    <w:uiPriority w:val="9"/>
    <w:rsid w:val="00C61622"/>
    <w:rPr>
      <w:rFonts w:ascii="Calibri Light" w:eastAsia="SimSun" w:hAnsi="Calibri Light" w:cs="SimSun"/>
      <w:i/>
      <w:iCs/>
      <w:color w:val="2E74B5"/>
    </w:rPr>
  </w:style>
  <w:style w:type="character" w:customStyle="1" w:styleId="hscoswrapper">
    <w:name w:val="hs_cos_wrapper"/>
    <w:basedOn w:val="DefaultParagraphFont"/>
    <w:rsid w:val="00C61622"/>
  </w:style>
  <w:style w:type="character" w:styleId="Emphasis">
    <w:name w:val="Emphasis"/>
    <w:basedOn w:val="DefaultParagraphFont"/>
    <w:uiPriority w:val="20"/>
    <w:qFormat/>
    <w:rsid w:val="00C61622"/>
    <w:rPr>
      <w:i/>
      <w:iCs/>
    </w:rPr>
  </w:style>
  <w:style w:type="paragraph" w:styleId="ListParagraph">
    <w:name w:val="List Paragraph"/>
    <w:basedOn w:val="Normal"/>
    <w:uiPriority w:val="34"/>
    <w:qFormat/>
    <w:rsid w:val="00C61622"/>
    <w:pPr>
      <w:ind w:left="720"/>
      <w:contextualSpacing/>
    </w:pPr>
  </w:style>
  <w:style w:type="character" w:customStyle="1" w:styleId="hgkelc">
    <w:name w:val="hgkelc"/>
    <w:basedOn w:val="DefaultParagraphFont"/>
    <w:rsid w:val="00C61622"/>
  </w:style>
  <w:style w:type="character" w:customStyle="1" w:styleId="Heading1Char">
    <w:name w:val="Heading 1 Char"/>
    <w:basedOn w:val="DefaultParagraphFont"/>
    <w:link w:val="Heading1"/>
    <w:uiPriority w:val="9"/>
    <w:rsid w:val="00C61622"/>
    <w:rPr>
      <w:rFonts w:ascii="Calibri Light" w:eastAsia="SimSun" w:hAnsi="Calibri Light" w:cs="SimSun"/>
      <w:color w:val="2E74B5"/>
      <w:sz w:val="32"/>
      <w:szCs w:val="32"/>
    </w:rPr>
  </w:style>
  <w:style w:type="character" w:customStyle="1" w:styleId="publish-date-label">
    <w:name w:val="publish-date-label"/>
    <w:basedOn w:val="DefaultParagraphFont"/>
    <w:rsid w:val="00C61622"/>
  </w:style>
  <w:style w:type="character" w:customStyle="1" w:styleId="Heading2Char">
    <w:name w:val="Heading 2 Char"/>
    <w:basedOn w:val="DefaultParagraphFont"/>
    <w:link w:val="Heading2"/>
    <w:uiPriority w:val="9"/>
    <w:rsid w:val="00C61622"/>
    <w:rPr>
      <w:rFonts w:ascii="Calibri Light" w:eastAsia="SimSun" w:hAnsi="Calibri Light" w:cs="SimSun"/>
      <w:color w:val="2E74B5"/>
      <w:sz w:val="26"/>
      <w:szCs w:val="26"/>
    </w:rPr>
  </w:style>
  <w:style w:type="character" w:customStyle="1" w:styleId="u-visually-hidden">
    <w:name w:val="u-visually-hidden"/>
    <w:basedOn w:val="DefaultParagraphFont"/>
    <w:rsid w:val="00C61622"/>
  </w:style>
  <w:style w:type="paragraph" w:customStyle="1" w:styleId="articletitle">
    <w:name w:val="articletitle"/>
    <w:basedOn w:val="Normal"/>
    <w:rsid w:val="00C6162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uthornames">
    <w:name w:val="authornames"/>
    <w:basedOn w:val="Normal"/>
    <w:rsid w:val="00C6162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uthoraffiliation">
    <w:name w:val="authoraffiliation"/>
    <w:basedOn w:val="Normal"/>
    <w:rsid w:val="00C6162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uthornote">
    <w:name w:val="authornote"/>
    <w:basedOn w:val="Normal"/>
    <w:rsid w:val="00C6162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l-author-delim">
    <w:name w:val="al-author-delim"/>
    <w:basedOn w:val="DefaultParagraphFont"/>
    <w:rsid w:val="00C61622"/>
  </w:style>
  <w:style w:type="character" w:styleId="Strong">
    <w:name w:val="Strong"/>
    <w:basedOn w:val="DefaultParagraphFont"/>
    <w:uiPriority w:val="22"/>
    <w:qFormat/>
    <w:rsid w:val="00C61622"/>
    <w:rPr>
      <w:b/>
      <w:bCs/>
    </w:rPr>
  </w:style>
  <w:style w:type="character" w:customStyle="1" w:styleId="fm-vol-iss-date">
    <w:name w:val="fm-vol-iss-date"/>
    <w:basedOn w:val="DefaultParagraphFont"/>
    <w:rsid w:val="00C61622"/>
  </w:style>
  <w:style w:type="character" w:customStyle="1" w:styleId="wi-fullname">
    <w:name w:val="wi-fullname"/>
    <w:basedOn w:val="DefaultParagraphFont"/>
    <w:rsid w:val="00C61622"/>
  </w:style>
  <w:style w:type="character" w:customStyle="1" w:styleId="Heading3Char">
    <w:name w:val="Heading 3 Char"/>
    <w:basedOn w:val="DefaultParagraphFont"/>
    <w:link w:val="Heading3"/>
    <w:uiPriority w:val="9"/>
    <w:rsid w:val="00C61622"/>
    <w:rPr>
      <w:rFonts w:ascii="Calibri Light" w:eastAsia="SimSun" w:hAnsi="Calibri Light" w:cs="SimSun"/>
      <w:color w:val="1F4D78"/>
      <w:sz w:val="24"/>
      <w:szCs w:val="24"/>
    </w:rPr>
  </w:style>
  <w:style w:type="paragraph" w:styleId="BalloonText">
    <w:name w:val="Balloon Text"/>
    <w:basedOn w:val="Normal"/>
    <w:link w:val="BalloonTextChar"/>
    <w:uiPriority w:val="99"/>
    <w:rsid w:val="00C61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61622"/>
    <w:rPr>
      <w:rFonts w:ascii="Tahoma" w:hAnsi="Tahoma" w:cs="Tahoma"/>
      <w:sz w:val="16"/>
      <w:szCs w:val="16"/>
    </w:rPr>
  </w:style>
  <w:style w:type="character" w:customStyle="1" w:styleId="UnresolvedMention">
    <w:name w:val="Unresolved Mention"/>
    <w:basedOn w:val="DefaultParagraphFont"/>
    <w:uiPriority w:val="99"/>
    <w:rsid w:val="00C61622"/>
    <w:rPr>
      <w:color w:val="605E5C"/>
      <w:shd w:val="clear" w:color="auto" w:fill="E1DFDD"/>
    </w:rPr>
  </w:style>
  <w:style w:type="paragraph" w:styleId="Header">
    <w:name w:val="header"/>
    <w:basedOn w:val="Normal"/>
    <w:link w:val="HeaderChar"/>
    <w:uiPriority w:val="99"/>
    <w:rsid w:val="00C61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622"/>
  </w:style>
  <w:style w:type="paragraph" w:styleId="Footer">
    <w:name w:val="footer"/>
    <w:basedOn w:val="Normal"/>
    <w:link w:val="FooterChar"/>
    <w:uiPriority w:val="99"/>
    <w:rsid w:val="00C61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622"/>
  </w:style>
  <w:style w:type="character" w:styleId="CommentReference">
    <w:name w:val="annotation reference"/>
    <w:basedOn w:val="DefaultParagraphFont"/>
    <w:uiPriority w:val="99"/>
    <w:semiHidden/>
    <w:unhideWhenUsed/>
    <w:rsid w:val="009E5DAB"/>
    <w:rPr>
      <w:sz w:val="16"/>
      <w:szCs w:val="16"/>
    </w:rPr>
  </w:style>
  <w:style w:type="paragraph" w:styleId="CommentText">
    <w:name w:val="annotation text"/>
    <w:basedOn w:val="Normal"/>
    <w:link w:val="CommentTextChar"/>
    <w:uiPriority w:val="99"/>
    <w:semiHidden/>
    <w:unhideWhenUsed/>
    <w:rsid w:val="009E5DAB"/>
    <w:pPr>
      <w:spacing w:line="240" w:lineRule="auto"/>
    </w:pPr>
    <w:rPr>
      <w:sz w:val="20"/>
      <w:szCs w:val="20"/>
    </w:rPr>
  </w:style>
  <w:style w:type="character" w:customStyle="1" w:styleId="CommentTextChar">
    <w:name w:val="Comment Text Char"/>
    <w:basedOn w:val="DefaultParagraphFont"/>
    <w:link w:val="CommentText"/>
    <w:uiPriority w:val="99"/>
    <w:semiHidden/>
    <w:rsid w:val="009E5DAB"/>
    <w:rPr>
      <w:sz w:val="20"/>
      <w:szCs w:val="20"/>
    </w:rPr>
  </w:style>
  <w:style w:type="paragraph" w:styleId="CommentSubject">
    <w:name w:val="annotation subject"/>
    <w:basedOn w:val="CommentText"/>
    <w:next w:val="CommentText"/>
    <w:link w:val="CommentSubjectChar"/>
    <w:uiPriority w:val="99"/>
    <w:semiHidden/>
    <w:unhideWhenUsed/>
    <w:rsid w:val="009E5DAB"/>
    <w:rPr>
      <w:b/>
      <w:bCs/>
    </w:rPr>
  </w:style>
  <w:style w:type="character" w:customStyle="1" w:styleId="CommentSubjectChar">
    <w:name w:val="Comment Subject Char"/>
    <w:basedOn w:val="CommentTextChar"/>
    <w:link w:val="CommentSubject"/>
    <w:uiPriority w:val="99"/>
    <w:semiHidden/>
    <w:rsid w:val="009E5DA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NULL"/><Relationship Id="rId18" Type="http://schemas.openxmlformats.org/officeDocument/2006/relationships/header" Target="header3.xm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image" Target="NUL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7" Type="http://schemas.openxmlformats.org/officeDocument/2006/relationships/comments" Target="comments.xml"/><Relationship Id="rId12" Type="http://schemas.microsoft.com/office/2007/relationships/diagramDrawing" Target="diagrams/drawing1.xml"/><Relationship Id="rId17" Type="http://schemas.openxmlformats.org/officeDocument/2006/relationships/footer" Target="footer2.xm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NULL"/><Relationship Id="rId29"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10" Type="http://schemas.openxmlformats.org/officeDocument/2006/relationships/diagramQuickStyle" Target="diagrams/quickStyle1.xml"/><Relationship Id="rId19" Type="http://schemas.openxmlformats.org/officeDocument/2006/relationships/image" Target="NUL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 Id="rId22" Type="http://schemas.openxmlformats.org/officeDocument/2006/relationships/image" Target="NUL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8" Type="http://schemas.openxmlformats.org/officeDocument/2006/relationships/diagramData" Target="diagrams/data1.xml"/><Relationship Id="rId51" Type="http://schemas.openxmlformats.org/officeDocument/2006/relationships/hyperlink" Target="about:blank"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27EAFF-8A34-4465-9DBB-0A51F959B776}"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IN"/>
        </a:p>
      </dgm:t>
    </dgm:pt>
    <dgm:pt modelId="{372F6A4A-7C07-4C1C-946E-68A67EFF498D}">
      <dgm:prSet phldrT="[Text]"/>
      <dgm:spPr>
        <a:xfrm rot="5400000">
          <a:off x="-192119" y="173419"/>
          <a:ext cx="1156129" cy="809290"/>
        </a:xfrm>
        <a:solidFill>
          <a:sysClr val="windowText" lastClr="000000"/>
        </a:solidFill>
        <a:ln w="12700" cap="flat" cmpd="sng" algn="ctr">
          <a:solidFill>
            <a:sysClr val="windowText" lastClr="000000"/>
          </a:solidFill>
          <a:prstDash val="solid"/>
          <a:miter lim="800000"/>
        </a:ln>
        <a:effectLst/>
      </dgm:spPr>
      <dgm:t>
        <a:bodyPr/>
        <a:lstStyle/>
        <a:p>
          <a:pPr algn="l"/>
          <a:r>
            <a:rPr lang="en-IN" b="1">
              <a:solidFill>
                <a:sysClr val="window" lastClr="FFFFFF"/>
              </a:solidFill>
              <a:latin typeface="Times New Roman" panose="02020603050405020304" pitchFamily="18" charset="0"/>
              <a:ea typeface="+mn-ea"/>
              <a:cs typeface="Times New Roman" panose="02020603050405020304" pitchFamily="18" charset="0"/>
            </a:rPr>
            <a:t>Class I</a:t>
          </a:r>
        </a:p>
      </dgm:t>
    </dgm:pt>
    <dgm:pt modelId="{811BF56E-DF4A-49A4-8867-6B97629D1D6C}" type="parTrans" cxnId="{13DD0511-0E57-43E2-A8EE-9B1566BE8FF6}">
      <dgm:prSet/>
      <dgm:spPr/>
      <dgm:t>
        <a:bodyPr/>
        <a:lstStyle/>
        <a:p>
          <a:pPr algn="l"/>
          <a:endParaRPr lang="en-IN"/>
        </a:p>
      </dgm:t>
    </dgm:pt>
    <dgm:pt modelId="{07856762-F5AE-437F-8C69-8C49EC440E9E}" type="sibTrans" cxnId="{13DD0511-0E57-43E2-A8EE-9B1566BE8FF6}">
      <dgm:prSet/>
      <dgm:spPr/>
      <dgm:t>
        <a:bodyPr/>
        <a:lstStyle/>
        <a:p>
          <a:pPr algn="l"/>
          <a:endParaRPr lang="en-IN"/>
        </a:p>
      </dgm:t>
    </dgm:pt>
    <dgm:pt modelId="{CBB0A33C-E186-4497-9A35-C79059519EC3}">
      <dgm:prSet phldrT="[Text]"/>
      <dgm:spPr>
        <a:xfrm rot="5400000">
          <a:off x="-192119" y="1293661"/>
          <a:ext cx="1156129" cy="809290"/>
        </a:xfrm>
        <a:solidFill>
          <a:srgbClr val="ED7D31">
            <a:lumMod val="50000"/>
          </a:srgbClr>
        </a:solidFill>
        <a:ln w="12700" cap="flat" cmpd="sng" algn="ctr">
          <a:solidFill>
            <a:srgbClr val="ED7D31">
              <a:lumMod val="50000"/>
            </a:srgbClr>
          </a:solidFill>
          <a:prstDash val="solid"/>
          <a:miter lim="800000"/>
        </a:ln>
        <a:effectLst/>
      </dgm:spPr>
      <dgm:t>
        <a:bodyPr/>
        <a:lstStyle/>
        <a:p>
          <a:pPr algn="l"/>
          <a:r>
            <a:rPr lang="en-IN" b="1">
              <a:solidFill>
                <a:sysClr val="window" lastClr="FFFFFF"/>
              </a:solidFill>
              <a:latin typeface="Times New Roman" panose="02020603050405020304" pitchFamily="18" charset="0"/>
              <a:ea typeface="+mn-ea"/>
              <a:cs typeface="Times New Roman" panose="02020603050405020304" pitchFamily="18" charset="0"/>
            </a:rPr>
            <a:t>Class II</a:t>
          </a:r>
        </a:p>
      </dgm:t>
    </dgm:pt>
    <dgm:pt modelId="{6F54F49E-4DBC-4D62-ADCC-E5B393265C26}" type="parTrans" cxnId="{46CEEE12-1618-4516-B6E7-3096CB713A96}">
      <dgm:prSet/>
      <dgm:spPr/>
      <dgm:t>
        <a:bodyPr/>
        <a:lstStyle/>
        <a:p>
          <a:pPr algn="l"/>
          <a:endParaRPr lang="en-IN"/>
        </a:p>
      </dgm:t>
    </dgm:pt>
    <dgm:pt modelId="{D0C72C4A-952A-432B-B543-2809B11A4A23}" type="sibTrans" cxnId="{46CEEE12-1618-4516-B6E7-3096CB713A96}">
      <dgm:prSet/>
      <dgm:spPr/>
      <dgm:t>
        <a:bodyPr/>
        <a:lstStyle/>
        <a:p>
          <a:pPr algn="l"/>
          <a:endParaRPr lang="en-IN"/>
        </a:p>
      </dgm:t>
    </dgm:pt>
    <dgm:pt modelId="{3881A90C-3F19-4A51-8E39-5839A981B830}">
      <dgm:prSet phldrT="[Text]"/>
      <dgm:spPr>
        <a:xfrm rot="5400000">
          <a:off x="-192119" y="2242542"/>
          <a:ext cx="1156129" cy="809290"/>
        </a:xfrm>
        <a:solidFill>
          <a:srgbClr val="70AD47">
            <a:lumMod val="50000"/>
          </a:srgbClr>
        </a:solidFill>
        <a:ln w="12700" cap="flat" cmpd="sng" algn="ctr">
          <a:solidFill>
            <a:srgbClr val="70AD47">
              <a:lumMod val="50000"/>
            </a:srgbClr>
          </a:solidFill>
          <a:prstDash val="solid"/>
          <a:miter lim="800000"/>
        </a:ln>
        <a:effectLst/>
      </dgm:spPr>
      <dgm:t>
        <a:bodyPr/>
        <a:lstStyle/>
        <a:p>
          <a:pPr algn="l"/>
          <a:r>
            <a:rPr lang="en-IN" b="1">
              <a:solidFill>
                <a:sysClr val="window" lastClr="FFFFFF"/>
              </a:solidFill>
              <a:latin typeface="Times New Roman" panose="02020603050405020304" pitchFamily="18" charset="0"/>
              <a:ea typeface="+mn-ea"/>
              <a:cs typeface="Times New Roman" panose="02020603050405020304" pitchFamily="18" charset="0"/>
            </a:rPr>
            <a:t>Class III</a:t>
          </a:r>
        </a:p>
      </dgm:t>
    </dgm:pt>
    <dgm:pt modelId="{B22AE6A8-8610-4E50-8539-A15BA079134B}" type="parTrans" cxnId="{871299E7-E823-48CB-A5B1-EE91EB669CDB}">
      <dgm:prSet/>
      <dgm:spPr/>
      <dgm:t>
        <a:bodyPr/>
        <a:lstStyle/>
        <a:p>
          <a:pPr algn="l"/>
          <a:endParaRPr lang="en-IN"/>
        </a:p>
      </dgm:t>
    </dgm:pt>
    <dgm:pt modelId="{E6E9859D-9DE4-47B0-B838-F39303B9D151}" type="sibTrans" cxnId="{871299E7-E823-48CB-A5B1-EE91EB669CDB}">
      <dgm:prSet/>
      <dgm:spPr/>
      <dgm:t>
        <a:bodyPr/>
        <a:lstStyle/>
        <a:p>
          <a:pPr algn="l"/>
          <a:endParaRPr lang="en-IN"/>
        </a:p>
      </dgm:t>
    </dgm:pt>
    <dgm:pt modelId="{EAFFEEFB-640C-4B9F-BC06-78016207D170}">
      <dgm:prSet/>
      <dgm:spPr>
        <a:xfrm rot="5400000">
          <a:off x="1465273" y="-607794"/>
          <a:ext cx="751484" cy="2063449"/>
        </a:xfrm>
        <a:noFill/>
        <a:ln w="12700" cap="flat" cmpd="sng" algn="ctr">
          <a:solidFill>
            <a:sysClr val="windowText" lastClr="000000"/>
          </a:solidFill>
          <a:prstDash val="solid"/>
          <a:miter lim="800000"/>
        </a:ln>
        <a:effectLst/>
      </dgm:spPr>
      <dgm:t>
        <a:bodyPr/>
        <a:lstStyle/>
        <a:p>
          <a:pPr algn="l"/>
          <a:r>
            <a:rPr lang="en-I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General control</a:t>
          </a:r>
        </a:p>
      </dgm:t>
    </dgm:pt>
    <dgm:pt modelId="{D6C803FD-96FC-4F50-9FFD-D598E22EC9A9}" type="parTrans" cxnId="{CA932953-5E74-4236-AA78-74B7160150F9}">
      <dgm:prSet/>
      <dgm:spPr/>
      <dgm:t>
        <a:bodyPr/>
        <a:lstStyle/>
        <a:p>
          <a:pPr algn="l"/>
          <a:endParaRPr lang="en-IN"/>
        </a:p>
      </dgm:t>
    </dgm:pt>
    <dgm:pt modelId="{5788C420-E0E9-4BC2-B8B9-5D9925C31DE2}" type="sibTrans" cxnId="{CA932953-5E74-4236-AA78-74B7160150F9}">
      <dgm:prSet/>
      <dgm:spPr/>
      <dgm:t>
        <a:bodyPr/>
        <a:lstStyle/>
        <a:p>
          <a:pPr algn="l"/>
          <a:endParaRPr lang="en-IN"/>
        </a:p>
      </dgm:t>
    </dgm:pt>
    <dgm:pt modelId="{15163AB9-B492-4D92-A7E8-F42F48FD2CF6}">
      <dgm:prSet/>
      <dgm:spPr>
        <a:xfrm rot="5400000">
          <a:off x="1446573" y="380440"/>
          <a:ext cx="751484" cy="2063449"/>
        </a:xfrm>
        <a:solidFill>
          <a:sysClr val="window" lastClr="FFFFFF">
            <a:alpha val="90000"/>
            <a:hueOff val="0"/>
            <a:satOff val="0"/>
            <a:lumOff val="0"/>
            <a:alphaOff val="0"/>
          </a:sysClr>
        </a:solidFill>
        <a:ln w="12700" cap="flat" cmpd="sng" algn="ctr">
          <a:solidFill>
            <a:srgbClr val="ED7D31">
              <a:lumMod val="50000"/>
            </a:srgbClr>
          </a:solidFill>
          <a:prstDash val="solid"/>
          <a:miter lim="800000"/>
        </a:ln>
        <a:effectLst/>
      </dgm:spPr>
      <dgm:t>
        <a:bodyPr/>
        <a:lstStyle/>
        <a:p>
          <a:pPr algn="l"/>
          <a:r>
            <a:rPr lang="en-I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General control and special controls	</a:t>
          </a:r>
        </a:p>
      </dgm:t>
    </dgm:pt>
    <dgm:pt modelId="{7374A9DC-BBC9-4BA5-B90F-F7B8DEDE04FA}" type="parTrans" cxnId="{50C9AC8F-47C7-4891-9948-F481E86269D9}">
      <dgm:prSet/>
      <dgm:spPr/>
      <dgm:t>
        <a:bodyPr/>
        <a:lstStyle/>
        <a:p>
          <a:pPr algn="l"/>
          <a:endParaRPr lang="en-IN"/>
        </a:p>
      </dgm:t>
    </dgm:pt>
    <dgm:pt modelId="{1631811B-0D05-45B8-A98B-2A55CB7D2E5E}" type="sibTrans" cxnId="{50C9AC8F-47C7-4891-9948-F481E86269D9}">
      <dgm:prSet/>
      <dgm:spPr/>
      <dgm:t>
        <a:bodyPr/>
        <a:lstStyle/>
        <a:p>
          <a:pPr algn="l"/>
          <a:endParaRPr lang="en-IN"/>
        </a:p>
      </dgm:t>
    </dgm:pt>
    <dgm:pt modelId="{7B43F675-DDB6-4265-A468-6FAC76C1D422}">
      <dgm:prSet/>
      <dgm:spPr>
        <a:xfrm rot="5400000">
          <a:off x="1446573" y="1375739"/>
          <a:ext cx="751484" cy="2138249"/>
        </a:xfrm>
        <a:solidFill>
          <a:sysClr val="window" lastClr="FFFFFF">
            <a:alpha val="90000"/>
            <a:hueOff val="0"/>
            <a:satOff val="0"/>
            <a:lumOff val="0"/>
            <a:alphaOff val="0"/>
          </a:sysClr>
        </a:solidFill>
        <a:ln w="12700" cap="flat" cmpd="sng" algn="ctr">
          <a:solidFill>
            <a:srgbClr val="70AD47">
              <a:lumMod val="50000"/>
            </a:srgbClr>
          </a:solidFill>
          <a:prstDash val="solid"/>
          <a:miter lim="800000"/>
        </a:ln>
        <a:effectLst/>
      </dgm:spPr>
      <dgm:t>
        <a:bodyPr/>
        <a:lstStyle/>
        <a:p>
          <a:pPr algn="l"/>
          <a:r>
            <a:rPr lang="en-IN" b="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General Controls and Premarket Approval</a:t>
          </a:r>
          <a:endParaRPr lang="en-I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3E518CF-2F89-4B66-A773-260A7BC103C4}" type="parTrans" cxnId="{97C5B022-F0FC-4FF8-940D-D07BB64E4FD7}">
      <dgm:prSet/>
      <dgm:spPr/>
      <dgm:t>
        <a:bodyPr/>
        <a:lstStyle/>
        <a:p>
          <a:pPr algn="l"/>
          <a:endParaRPr lang="en-IN"/>
        </a:p>
      </dgm:t>
    </dgm:pt>
    <dgm:pt modelId="{58217A00-897E-4705-A383-BD9C069AB62C}" type="sibTrans" cxnId="{97C5B022-F0FC-4FF8-940D-D07BB64E4FD7}">
      <dgm:prSet/>
      <dgm:spPr/>
      <dgm:t>
        <a:bodyPr/>
        <a:lstStyle/>
        <a:p>
          <a:pPr algn="l"/>
          <a:endParaRPr lang="en-IN"/>
        </a:p>
      </dgm:t>
    </dgm:pt>
    <dgm:pt modelId="{F2972521-69FF-4336-AA3A-4BCC6F9F2AFA}">
      <dgm:prSet/>
      <dgm:spPr>
        <a:xfrm rot="5400000">
          <a:off x="1465273" y="-607794"/>
          <a:ext cx="751484" cy="2063449"/>
        </a:xfrm>
        <a:noFill/>
        <a:ln w="12700" cap="flat" cmpd="sng" algn="ctr">
          <a:solidFill>
            <a:sysClr val="windowText" lastClr="000000"/>
          </a:solidFill>
          <a:prstDash val="solid"/>
          <a:miter lim="800000"/>
        </a:ln>
        <a:effectLst/>
      </dgm:spPr>
      <dgm:t>
        <a:bodyPr/>
        <a:lstStyle/>
        <a:p>
          <a:pPr algn="l"/>
          <a:r>
            <a:rPr lang="en-I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With </a:t>
          </a:r>
          <a:r>
            <a:rPr lang="en-IN" b="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Exemptions</a:t>
          </a:r>
          <a:endParaRPr lang="en-I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8E62545-DD5E-456D-90A2-83B4D213A193}" type="parTrans" cxnId="{FF49862B-07F5-4B54-9C7B-6864EDC88EB0}">
      <dgm:prSet/>
      <dgm:spPr/>
      <dgm:t>
        <a:bodyPr/>
        <a:lstStyle/>
        <a:p>
          <a:pPr algn="l"/>
          <a:endParaRPr lang="en-IN"/>
        </a:p>
      </dgm:t>
    </dgm:pt>
    <dgm:pt modelId="{5C60A4C7-9798-424C-8437-AB90D8BE6A92}" type="sibTrans" cxnId="{FF49862B-07F5-4B54-9C7B-6864EDC88EB0}">
      <dgm:prSet/>
      <dgm:spPr/>
      <dgm:t>
        <a:bodyPr/>
        <a:lstStyle/>
        <a:p>
          <a:pPr algn="l"/>
          <a:endParaRPr lang="en-IN"/>
        </a:p>
      </dgm:t>
    </dgm:pt>
    <dgm:pt modelId="{4BA13D5E-5527-41EE-B48B-D45941905136}">
      <dgm:prSet/>
      <dgm:spPr>
        <a:xfrm rot="5400000">
          <a:off x="1465273" y="-607794"/>
          <a:ext cx="751484" cy="2063449"/>
        </a:xfrm>
        <a:noFill/>
        <a:ln w="12700" cap="flat" cmpd="sng" algn="ctr">
          <a:solidFill>
            <a:sysClr val="windowText" lastClr="000000"/>
          </a:solidFill>
          <a:prstDash val="solid"/>
          <a:miter lim="800000"/>
        </a:ln>
        <a:effectLst/>
      </dgm:spPr>
      <dgm:t>
        <a:bodyPr/>
        <a:lstStyle/>
        <a:p>
          <a:pPr algn="l"/>
          <a:r>
            <a:rPr lang="en-I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Without Exemptions </a:t>
          </a:r>
        </a:p>
      </dgm:t>
    </dgm:pt>
    <dgm:pt modelId="{7DC8941A-155E-4DD8-BB8D-2D890FFA54A5}" type="parTrans" cxnId="{F446B705-6E0C-40C3-BDE7-37C5F78A9EBC}">
      <dgm:prSet/>
      <dgm:spPr/>
      <dgm:t>
        <a:bodyPr/>
        <a:lstStyle/>
        <a:p>
          <a:pPr algn="l"/>
          <a:endParaRPr lang="en-IN"/>
        </a:p>
      </dgm:t>
    </dgm:pt>
    <dgm:pt modelId="{5E36FBC1-58D3-4A1C-AC5A-75A0E8D72045}" type="sibTrans" cxnId="{F446B705-6E0C-40C3-BDE7-37C5F78A9EBC}">
      <dgm:prSet/>
      <dgm:spPr/>
      <dgm:t>
        <a:bodyPr/>
        <a:lstStyle/>
        <a:p>
          <a:pPr algn="l"/>
          <a:endParaRPr lang="en-IN"/>
        </a:p>
      </dgm:t>
    </dgm:pt>
    <dgm:pt modelId="{BB530CF3-E753-4915-8A9C-EC8CF431418E}">
      <dgm:prSet/>
      <dgm:spPr>
        <a:xfrm rot="5400000">
          <a:off x="1446573" y="380440"/>
          <a:ext cx="751484" cy="2063449"/>
        </a:xfrm>
        <a:solidFill>
          <a:sysClr val="window" lastClr="FFFFFF">
            <a:alpha val="90000"/>
            <a:hueOff val="0"/>
            <a:satOff val="0"/>
            <a:lumOff val="0"/>
            <a:alphaOff val="0"/>
          </a:sysClr>
        </a:solidFill>
        <a:ln w="12700" cap="flat" cmpd="sng" algn="ctr">
          <a:solidFill>
            <a:srgbClr val="ED7D31">
              <a:lumMod val="50000"/>
            </a:srgbClr>
          </a:solidFill>
          <a:prstDash val="solid"/>
          <a:miter lim="800000"/>
        </a:ln>
        <a:effectLst/>
      </dgm:spPr>
      <dgm:t>
        <a:bodyPr/>
        <a:lstStyle/>
        <a:p>
          <a:pPr algn="l"/>
          <a:r>
            <a:rPr lang="en-I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With </a:t>
          </a:r>
          <a:r>
            <a:rPr lang="en-IN" b="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Exemptions</a:t>
          </a:r>
          <a:endParaRPr lang="en-I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A7812FB-7893-4167-B5A2-893A820E809E}" type="parTrans" cxnId="{22D08063-D699-4DAF-BC4E-0E5AF3ECC3E8}">
      <dgm:prSet/>
      <dgm:spPr/>
      <dgm:t>
        <a:bodyPr/>
        <a:lstStyle/>
        <a:p>
          <a:pPr algn="l"/>
          <a:endParaRPr lang="en-IN"/>
        </a:p>
      </dgm:t>
    </dgm:pt>
    <dgm:pt modelId="{C46262C3-5F63-40B1-A5A9-CA43C28886C6}" type="sibTrans" cxnId="{22D08063-D699-4DAF-BC4E-0E5AF3ECC3E8}">
      <dgm:prSet/>
      <dgm:spPr/>
      <dgm:t>
        <a:bodyPr/>
        <a:lstStyle/>
        <a:p>
          <a:pPr algn="l"/>
          <a:endParaRPr lang="en-IN"/>
        </a:p>
      </dgm:t>
    </dgm:pt>
    <dgm:pt modelId="{CAEA8AC8-E642-4239-AD33-E4947B43C9DC}">
      <dgm:prSet/>
      <dgm:spPr>
        <a:xfrm rot="5400000">
          <a:off x="1446573" y="380440"/>
          <a:ext cx="751484" cy="2063449"/>
        </a:xfrm>
        <a:solidFill>
          <a:sysClr val="window" lastClr="FFFFFF">
            <a:alpha val="90000"/>
            <a:hueOff val="0"/>
            <a:satOff val="0"/>
            <a:lumOff val="0"/>
            <a:alphaOff val="0"/>
          </a:sysClr>
        </a:solidFill>
        <a:ln w="12700" cap="flat" cmpd="sng" algn="ctr">
          <a:solidFill>
            <a:srgbClr val="ED7D31">
              <a:lumMod val="50000"/>
            </a:srgbClr>
          </a:solidFill>
          <a:prstDash val="solid"/>
          <a:miter lim="800000"/>
        </a:ln>
        <a:effectLst/>
      </dgm:spPr>
      <dgm:t>
        <a:bodyPr/>
        <a:lstStyle/>
        <a:p>
          <a:pPr algn="l"/>
          <a:r>
            <a:rPr lang="en-IN">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Without Exemptions </a:t>
          </a:r>
        </a:p>
      </dgm:t>
    </dgm:pt>
    <dgm:pt modelId="{5B55DF5D-43C3-43A2-BC60-8684E1258E38}" type="sibTrans" cxnId="{A91D506A-C8C5-4374-A684-D0334C74414B}">
      <dgm:prSet/>
      <dgm:spPr/>
      <dgm:t>
        <a:bodyPr/>
        <a:lstStyle/>
        <a:p>
          <a:pPr algn="l"/>
          <a:endParaRPr lang="en-IN"/>
        </a:p>
      </dgm:t>
    </dgm:pt>
    <dgm:pt modelId="{23806538-53E6-462C-9BBE-281B4C8C4C13}" type="parTrans" cxnId="{A91D506A-C8C5-4374-A684-D0334C74414B}">
      <dgm:prSet/>
      <dgm:spPr/>
      <dgm:t>
        <a:bodyPr/>
        <a:lstStyle/>
        <a:p>
          <a:pPr algn="l"/>
          <a:endParaRPr lang="en-IN"/>
        </a:p>
      </dgm:t>
    </dgm:pt>
    <dgm:pt modelId="{DD64F03A-2892-4602-BAC6-E6C640EE4233}" type="pres">
      <dgm:prSet presAssocID="{6C27EAFF-8A34-4465-9DBB-0A51F959B776}" presName="linearFlow" presStyleCnt="0">
        <dgm:presLayoutVars>
          <dgm:dir/>
          <dgm:animLvl val="lvl"/>
          <dgm:resizeHandles val="exact"/>
        </dgm:presLayoutVars>
      </dgm:prSet>
      <dgm:spPr/>
      <dgm:t>
        <a:bodyPr/>
        <a:lstStyle/>
        <a:p>
          <a:endParaRPr lang="en-GB"/>
        </a:p>
      </dgm:t>
    </dgm:pt>
    <dgm:pt modelId="{F3C4E4B9-45CD-4BB6-985A-762F998C6DC9}" type="pres">
      <dgm:prSet presAssocID="{372F6A4A-7C07-4C1C-946E-68A67EFF498D}" presName="composite" presStyleCnt="0"/>
      <dgm:spPr/>
    </dgm:pt>
    <dgm:pt modelId="{AB5E2384-E205-44CF-B89E-87F1AB83433D}" type="pres">
      <dgm:prSet presAssocID="{372F6A4A-7C07-4C1C-946E-68A67EFF498D}" presName="parentText" presStyleLbl="alignNode1" presStyleIdx="0" presStyleCnt="3" custLinFactNeighborY="-2873">
        <dgm:presLayoutVars>
          <dgm:chMax val="1"/>
          <dgm:bulletEnabled val="1"/>
        </dgm:presLayoutVars>
      </dgm:prSet>
      <dgm:spPr>
        <a:prstGeom prst="chevron">
          <a:avLst/>
        </a:prstGeom>
      </dgm:spPr>
      <dgm:t>
        <a:bodyPr/>
        <a:lstStyle/>
        <a:p>
          <a:endParaRPr lang="en-GB"/>
        </a:p>
      </dgm:t>
    </dgm:pt>
    <dgm:pt modelId="{B803F54B-A3FA-4583-BFEE-E64FA6E210E1}" type="pres">
      <dgm:prSet presAssocID="{372F6A4A-7C07-4C1C-946E-68A67EFF498D}" presName="descendantText" presStyleLbl="alignAcc1" presStyleIdx="0" presStyleCnt="3" custLinFactNeighborX="1267" custLinFactNeighborY="5917">
        <dgm:presLayoutVars>
          <dgm:bulletEnabled val="1"/>
        </dgm:presLayoutVars>
      </dgm:prSet>
      <dgm:spPr>
        <a:prstGeom prst="round2SameRect">
          <a:avLst/>
        </a:prstGeom>
      </dgm:spPr>
      <dgm:t>
        <a:bodyPr/>
        <a:lstStyle/>
        <a:p>
          <a:endParaRPr lang="en-GB"/>
        </a:p>
      </dgm:t>
    </dgm:pt>
    <dgm:pt modelId="{3FE25606-5FCB-4875-A96D-B7E7A562AEE1}" type="pres">
      <dgm:prSet presAssocID="{07856762-F5AE-437F-8C69-8C49EC440E9E}" presName="sp" presStyleCnt="0"/>
      <dgm:spPr/>
    </dgm:pt>
    <dgm:pt modelId="{146202C0-01E1-4D61-994F-D9FE08A64B95}" type="pres">
      <dgm:prSet presAssocID="{CBB0A33C-E186-4497-9A35-C79059519EC3}" presName="composite" presStyleCnt="0"/>
      <dgm:spPr/>
    </dgm:pt>
    <dgm:pt modelId="{6045930A-E45E-4F4D-ABE6-AD7FFB7D6579}" type="pres">
      <dgm:prSet presAssocID="{CBB0A33C-E186-4497-9A35-C79059519EC3}" presName="parentText" presStyleLbl="alignNode1" presStyleIdx="1" presStyleCnt="3" custLinFactNeighborY="7250">
        <dgm:presLayoutVars>
          <dgm:chMax val="1"/>
          <dgm:bulletEnabled val="1"/>
        </dgm:presLayoutVars>
      </dgm:prSet>
      <dgm:spPr>
        <a:prstGeom prst="chevron">
          <a:avLst/>
        </a:prstGeom>
      </dgm:spPr>
      <dgm:t>
        <a:bodyPr/>
        <a:lstStyle/>
        <a:p>
          <a:endParaRPr lang="en-GB"/>
        </a:p>
      </dgm:t>
    </dgm:pt>
    <dgm:pt modelId="{8D24B7FF-7AF5-4927-8063-2E4FB5D84236}" type="pres">
      <dgm:prSet presAssocID="{CBB0A33C-E186-4497-9A35-C79059519EC3}" presName="descendantText" presStyleLbl="alignAcc1" presStyleIdx="1" presStyleCnt="3" custLinFactNeighborX="906" custLinFactNeighborY="1014">
        <dgm:presLayoutVars>
          <dgm:bulletEnabled val="1"/>
        </dgm:presLayoutVars>
      </dgm:prSet>
      <dgm:spPr>
        <a:prstGeom prst="round2SameRect">
          <a:avLst/>
        </a:prstGeom>
      </dgm:spPr>
      <dgm:t>
        <a:bodyPr/>
        <a:lstStyle/>
        <a:p>
          <a:endParaRPr lang="en-GB"/>
        </a:p>
      </dgm:t>
    </dgm:pt>
    <dgm:pt modelId="{C599A522-1220-4DDC-BCB3-13D4B4D2984A}" type="pres">
      <dgm:prSet presAssocID="{D0C72C4A-952A-432B-B543-2809B11A4A23}" presName="sp" presStyleCnt="0"/>
      <dgm:spPr/>
    </dgm:pt>
    <dgm:pt modelId="{BD78E22F-96C0-4942-9164-01EE094509FB}" type="pres">
      <dgm:prSet presAssocID="{3881A90C-3F19-4A51-8E39-5839A981B830}" presName="composite" presStyleCnt="0"/>
      <dgm:spPr/>
    </dgm:pt>
    <dgm:pt modelId="{E77956FA-135D-458F-8EEB-739F406CD69E}" type="pres">
      <dgm:prSet presAssocID="{3881A90C-3F19-4A51-8E39-5839A981B830}" presName="parentText" presStyleLbl="alignNode1" presStyleIdx="2" presStyleCnt="3">
        <dgm:presLayoutVars>
          <dgm:chMax val="1"/>
          <dgm:bulletEnabled val="1"/>
        </dgm:presLayoutVars>
      </dgm:prSet>
      <dgm:spPr>
        <a:prstGeom prst="chevron">
          <a:avLst/>
        </a:prstGeom>
      </dgm:spPr>
      <dgm:t>
        <a:bodyPr/>
        <a:lstStyle/>
        <a:p>
          <a:endParaRPr lang="en-GB"/>
        </a:p>
      </dgm:t>
    </dgm:pt>
    <dgm:pt modelId="{2253E5CE-6CE4-4888-9E1F-65DD4D731FE8}" type="pres">
      <dgm:prSet presAssocID="{3881A90C-3F19-4A51-8E39-5839A981B830}" presName="descendantText" presStyleLbl="alignAcc1" presStyleIdx="2" presStyleCnt="3" custScaleX="103625">
        <dgm:presLayoutVars>
          <dgm:bulletEnabled val="1"/>
        </dgm:presLayoutVars>
      </dgm:prSet>
      <dgm:spPr>
        <a:prstGeom prst="round2SameRect">
          <a:avLst/>
        </a:prstGeom>
      </dgm:spPr>
      <dgm:t>
        <a:bodyPr/>
        <a:lstStyle/>
        <a:p>
          <a:endParaRPr lang="en-GB"/>
        </a:p>
      </dgm:t>
    </dgm:pt>
  </dgm:ptLst>
  <dgm:cxnLst>
    <dgm:cxn modelId="{13DD0511-0E57-43E2-A8EE-9B1566BE8FF6}" srcId="{6C27EAFF-8A34-4465-9DBB-0A51F959B776}" destId="{372F6A4A-7C07-4C1C-946E-68A67EFF498D}" srcOrd="0" destOrd="0" parTransId="{811BF56E-DF4A-49A4-8867-6B97629D1D6C}" sibTransId="{07856762-F5AE-437F-8C69-8C49EC440E9E}"/>
    <dgm:cxn modelId="{4EE20867-1FEA-408B-9233-B09A10452F46}" type="presOf" srcId="{CAEA8AC8-E642-4239-AD33-E4947B43C9DC}" destId="{8D24B7FF-7AF5-4927-8063-2E4FB5D84236}" srcOrd="0" destOrd="2" presId="urn:microsoft.com/office/officeart/2005/8/layout/chevron2"/>
    <dgm:cxn modelId="{97C5B022-F0FC-4FF8-940D-D07BB64E4FD7}" srcId="{3881A90C-3F19-4A51-8E39-5839A981B830}" destId="{7B43F675-DDB6-4265-A468-6FAC76C1D422}" srcOrd="0" destOrd="0" parTransId="{43E518CF-2F89-4B66-A773-260A7BC103C4}" sibTransId="{58217A00-897E-4705-A383-BD9C069AB62C}"/>
    <dgm:cxn modelId="{22D08063-D699-4DAF-BC4E-0E5AF3ECC3E8}" srcId="{15163AB9-B492-4D92-A7E8-F42F48FD2CF6}" destId="{BB530CF3-E753-4915-8A9C-EC8CF431418E}" srcOrd="0" destOrd="0" parTransId="{4A7812FB-7893-4167-B5A2-893A820E809E}" sibTransId="{C46262C3-5F63-40B1-A5A9-CA43C28886C6}"/>
    <dgm:cxn modelId="{46CEEE12-1618-4516-B6E7-3096CB713A96}" srcId="{6C27EAFF-8A34-4465-9DBB-0A51F959B776}" destId="{CBB0A33C-E186-4497-9A35-C79059519EC3}" srcOrd="1" destOrd="0" parTransId="{6F54F49E-4DBC-4D62-ADCC-E5B393265C26}" sibTransId="{D0C72C4A-952A-432B-B543-2809B11A4A23}"/>
    <dgm:cxn modelId="{FF49862B-07F5-4B54-9C7B-6864EDC88EB0}" srcId="{EAFFEEFB-640C-4B9F-BC06-78016207D170}" destId="{F2972521-69FF-4336-AA3A-4BCC6F9F2AFA}" srcOrd="0" destOrd="0" parTransId="{A8E62545-DD5E-456D-90A2-83B4D213A193}" sibTransId="{5C60A4C7-9798-424C-8437-AB90D8BE6A92}"/>
    <dgm:cxn modelId="{532E1B07-A43E-4400-9D44-A7B2ECAA732D}" type="presOf" srcId="{15163AB9-B492-4D92-A7E8-F42F48FD2CF6}" destId="{8D24B7FF-7AF5-4927-8063-2E4FB5D84236}" srcOrd="0" destOrd="0" presId="urn:microsoft.com/office/officeart/2005/8/layout/chevron2"/>
    <dgm:cxn modelId="{CA932953-5E74-4236-AA78-74B7160150F9}" srcId="{372F6A4A-7C07-4C1C-946E-68A67EFF498D}" destId="{EAFFEEFB-640C-4B9F-BC06-78016207D170}" srcOrd="0" destOrd="0" parTransId="{D6C803FD-96FC-4F50-9FFD-D598E22EC9A9}" sibTransId="{5788C420-E0E9-4BC2-B8B9-5D9925C31DE2}"/>
    <dgm:cxn modelId="{308E9129-E4FB-46FA-B71F-92BCBDD4825E}" type="presOf" srcId="{372F6A4A-7C07-4C1C-946E-68A67EFF498D}" destId="{AB5E2384-E205-44CF-B89E-87F1AB83433D}" srcOrd="0" destOrd="0" presId="urn:microsoft.com/office/officeart/2005/8/layout/chevron2"/>
    <dgm:cxn modelId="{DF2D4643-583F-41F6-B2A5-70E6F0D894F7}" type="presOf" srcId="{EAFFEEFB-640C-4B9F-BC06-78016207D170}" destId="{B803F54B-A3FA-4583-BFEE-E64FA6E210E1}" srcOrd="0" destOrd="0" presId="urn:microsoft.com/office/officeart/2005/8/layout/chevron2"/>
    <dgm:cxn modelId="{A0811E80-72E8-4775-8BFA-FBD9F8386269}" type="presOf" srcId="{F2972521-69FF-4336-AA3A-4BCC6F9F2AFA}" destId="{B803F54B-A3FA-4583-BFEE-E64FA6E210E1}" srcOrd="0" destOrd="1" presId="urn:microsoft.com/office/officeart/2005/8/layout/chevron2"/>
    <dgm:cxn modelId="{871299E7-E823-48CB-A5B1-EE91EB669CDB}" srcId="{6C27EAFF-8A34-4465-9DBB-0A51F959B776}" destId="{3881A90C-3F19-4A51-8E39-5839A981B830}" srcOrd="2" destOrd="0" parTransId="{B22AE6A8-8610-4E50-8539-A15BA079134B}" sibTransId="{E6E9859D-9DE4-47B0-B838-F39303B9D151}"/>
    <dgm:cxn modelId="{C5C1BDEF-8C3E-4928-95F7-D4F534685657}" type="presOf" srcId="{7B43F675-DDB6-4265-A468-6FAC76C1D422}" destId="{2253E5CE-6CE4-4888-9E1F-65DD4D731FE8}" srcOrd="0" destOrd="0" presId="urn:microsoft.com/office/officeart/2005/8/layout/chevron2"/>
    <dgm:cxn modelId="{258979B8-70CA-4F20-B897-FDECE1589906}" type="presOf" srcId="{3881A90C-3F19-4A51-8E39-5839A981B830}" destId="{E77956FA-135D-458F-8EEB-739F406CD69E}" srcOrd="0" destOrd="0" presId="urn:microsoft.com/office/officeart/2005/8/layout/chevron2"/>
    <dgm:cxn modelId="{A7DC67C5-5833-4A18-B8F0-46EA112FA9EF}" type="presOf" srcId="{4BA13D5E-5527-41EE-B48B-D45941905136}" destId="{B803F54B-A3FA-4583-BFEE-E64FA6E210E1}" srcOrd="0" destOrd="2" presId="urn:microsoft.com/office/officeart/2005/8/layout/chevron2"/>
    <dgm:cxn modelId="{354DFE86-5C19-4485-86C6-A442C58D5F40}" type="presOf" srcId="{CBB0A33C-E186-4497-9A35-C79059519EC3}" destId="{6045930A-E45E-4F4D-ABE6-AD7FFB7D6579}" srcOrd="0" destOrd="0" presId="urn:microsoft.com/office/officeart/2005/8/layout/chevron2"/>
    <dgm:cxn modelId="{F446B705-6E0C-40C3-BDE7-37C5F78A9EBC}" srcId="{EAFFEEFB-640C-4B9F-BC06-78016207D170}" destId="{4BA13D5E-5527-41EE-B48B-D45941905136}" srcOrd="1" destOrd="0" parTransId="{7DC8941A-155E-4DD8-BB8D-2D890FFA54A5}" sibTransId="{5E36FBC1-58D3-4A1C-AC5A-75A0E8D72045}"/>
    <dgm:cxn modelId="{A91D506A-C8C5-4374-A684-D0334C74414B}" srcId="{15163AB9-B492-4D92-A7E8-F42F48FD2CF6}" destId="{CAEA8AC8-E642-4239-AD33-E4947B43C9DC}" srcOrd="1" destOrd="0" parTransId="{23806538-53E6-462C-9BBE-281B4C8C4C13}" sibTransId="{5B55DF5D-43C3-43A2-BC60-8684E1258E38}"/>
    <dgm:cxn modelId="{77277732-8200-455B-B4D2-2007E0FB517F}" type="presOf" srcId="{6C27EAFF-8A34-4465-9DBB-0A51F959B776}" destId="{DD64F03A-2892-4602-BAC6-E6C640EE4233}" srcOrd="0" destOrd="0" presId="urn:microsoft.com/office/officeart/2005/8/layout/chevron2"/>
    <dgm:cxn modelId="{50C9AC8F-47C7-4891-9948-F481E86269D9}" srcId="{CBB0A33C-E186-4497-9A35-C79059519EC3}" destId="{15163AB9-B492-4D92-A7E8-F42F48FD2CF6}" srcOrd="0" destOrd="0" parTransId="{7374A9DC-BBC9-4BA5-B90F-F7B8DEDE04FA}" sibTransId="{1631811B-0D05-45B8-A98B-2A55CB7D2E5E}"/>
    <dgm:cxn modelId="{4A3DB8B6-F10A-458C-9D3D-571D42EBFF9D}" type="presOf" srcId="{BB530CF3-E753-4915-8A9C-EC8CF431418E}" destId="{8D24B7FF-7AF5-4927-8063-2E4FB5D84236}" srcOrd="0" destOrd="1" presId="urn:microsoft.com/office/officeart/2005/8/layout/chevron2"/>
    <dgm:cxn modelId="{F3BD5291-C5B3-4EE2-844C-B7E44953306C}" type="presParOf" srcId="{DD64F03A-2892-4602-BAC6-E6C640EE4233}" destId="{F3C4E4B9-45CD-4BB6-985A-762F998C6DC9}" srcOrd="0" destOrd="0" presId="urn:microsoft.com/office/officeart/2005/8/layout/chevron2"/>
    <dgm:cxn modelId="{424FB3EB-9F7D-44A7-B1DD-CF128A33E4CC}" type="presParOf" srcId="{F3C4E4B9-45CD-4BB6-985A-762F998C6DC9}" destId="{AB5E2384-E205-44CF-B89E-87F1AB83433D}" srcOrd="0" destOrd="0" presId="urn:microsoft.com/office/officeart/2005/8/layout/chevron2"/>
    <dgm:cxn modelId="{1CD24C18-CBE0-4BF0-AB62-1DC38E11590D}" type="presParOf" srcId="{F3C4E4B9-45CD-4BB6-985A-762F998C6DC9}" destId="{B803F54B-A3FA-4583-BFEE-E64FA6E210E1}" srcOrd="1" destOrd="0" presId="urn:microsoft.com/office/officeart/2005/8/layout/chevron2"/>
    <dgm:cxn modelId="{A26C80DE-C72F-4E88-91CE-5C02583B18DE}" type="presParOf" srcId="{DD64F03A-2892-4602-BAC6-E6C640EE4233}" destId="{3FE25606-5FCB-4875-A96D-B7E7A562AEE1}" srcOrd="1" destOrd="0" presId="urn:microsoft.com/office/officeart/2005/8/layout/chevron2"/>
    <dgm:cxn modelId="{DEBD4C64-6B66-4186-8D20-688D2E47B5CD}" type="presParOf" srcId="{DD64F03A-2892-4602-BAC6-E6C640EE4233}" destId="{146202C0-01E1-4D61-994F-D9FE08A64B95}" srcOrd="2" destOrd="0" presId="urn:microsoft.com/office/officeart/2005/8/layout/chevron2"/>
    <dgm:cxn modelId="{F0450DB4-CBD5-47BB-B26E-5248E266EA87}" type="presParOf" srcId="{146202C0-01E1-4D61-994F-D9FE08A64B95}" destId="{6045930A-E45E-4F4D-ABE6-AD7FFB7D6579}" srcOrd="0" destOrd="0" presId="urn:microsoft.com/office/officeart/2005/8/layout/chevron2"/>
    <dgm:cxn modelId="{488077C0-0451-4BDC-B075-0B5A8BAD8073}" type="presParOf" srcId="{146202C0-01E1-4D61-994F-D9FE08A64B95}" destId="{8D24B7FF-7AF5-4927-8063-2E4FB5D84236}" srcOrd="1" destOrd="0" presId="urn:microsoft.com/office/officeart/2005/8/layout/chevron2"/>
    <dgm:cxn modelId="{20B98975-7B8C-405C-BF37-33D59956E3F0}" type="presParOf" srcId="{DD64F03A-2892-4602-BAC6-E6C640EE4233}" destId="{C599A522-1220-4DDC-BCB3-13D4B4D2984A}" srcOrd="3" destOrd="0" presId="urn:microsoft.com/office/officeart/2005/8/layout/chevron2"/>
    <dgm:cxn modelId="{06693C45-EEEE-4575-89FD-1283A642CA8C}" type="presParOf" srcId="{DD64F03A-2892-4602-BAC6-E6C640EE4233}" destId="{BD78E22F-96C0-4942-9164-01EE094509FB}" srcOrd="4" destOrd="0" presId="urn:microsoft.com/office/officeart/2005/8/layout/chevron2"/>
    <dgm:cxn modelId="{1BC9F300-D229-46E8-B78D-694AE18D39E0}" type="presParOf" srcId="{BD78E22F-96C0-4942-9164-01EE094509FB}" destId="{E77956FA-135D-458F-8EEB-739F406CD69E}" srcOrd="0" destOrd="0" presId="urn:microsoft.com/office/officeart/2005/8/layout/chevron2"/>
    <dgm:cxn modelId="{985BAAA8-7370-4C32-AD53-D4AD65D3F418}" type="presParOf" srcId="{BD78E22F-96C0-4942-9164-01EE094509FB}" destId="{2253E5CE-6CE4-4888-9E1F-65DD4D731FE8}" srcOrd="1" destOrd="0" presId="urn:microsoft.com/office/officeart/2005/8/layout/chevr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B5E2384-E205-44CF-B89E-87F1AB83433D}">
      <dsp:nvSpPr>
        <dsp:cNvPr id="0" name=""/>
        <dsp:cNvSpPr/>
      </dsp:nvSpPr>
      <dsp:spPr>
        <a:xfrm rot="5400000">
          <a:off x="-192119" y="173419"/>
          <a:ext cx="1156129" cy="809290"/>
        </a:xfrm>
        <a:prstGeom prst="chevron">
          <a:avLst/>
        </a:prstGeom>
        <a:solidFill>
          <a:sysClr val="windowText" lastClr="0000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l" defTabSz="711200">
            <a:lnSpc>
              <a:spcPct val="90000"/>
            </a:lnSpc>
            <a:spcBef>
              <a:spcPct val="0"/>
            </a:spcBef>
            <a:spcAft>
              <a:spcPct val="35000"/>
            </a:spcAft>
          </a:pPr>
          <a:r>
            <a:rPr lang="en-IN" sz="1600" b="1" kern="1200">
              <a:solidFill>
                <a:sysClr val="window" lastClr="FFFFFF"/>
              </a:solidFill>
              <a:latin typeface="Times New Roman" panose="02020603050405020304" pitchFamily="18" charset="0"/>
              <a:ea typeface="+mn-ea"/>
              <a:cs typeface="Times New Roman" panose="02020603050405020304" pitchFamily="18" charset="0"/>
            </a:rPr>
            <a:t>Class I</a:t>
          </a:r>
        </a:p>
      </dsp:txBody>
      <dsp:txXfrm rot="5400000">
        <a:off x="-192119" y="173419"/>
        <a:ext cx="1156129" cy="809290"/>
      </dsp:txXfrm>
    </dsp:sp>
    <dsp:sp modelId="{B803F54B-A3FA-4583-BFEE-E64FA6E210E1}">
      <dsp:nvSpPr>
        <dsp:cNvPr id="0" name=""/>
        <dsp:cNvSpPr/>
      </dsp:nvSpPr>
      <dsp:spPr>
        <a:xfrm rot="5400000">
          <a:off x="1465273" y="-607794"/>
          <a:ext cx="751483" cy="2063449"/>
        </a:xfrm>
        <a:prstGeom prst="round2Same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IN"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General control</a:t>
          </a:r>
        </a:p>
        <a:p>
          <a:pPr marL="114300" lvl="2" indent="-57150" algn="l" defTabSz="488950">
            <a:lnSpc>
              <a:spcPct val="90000"/>
            </a:lnSpc>
            <a:spcBef>
              <a:spcPct val="0"/>
            </a:spcBef>
            <a:spcAft>
              <a:spcPct val="15000"/>
            </a:spcAft>
            <a:buChar char="••"/>
          </a:pPr>
          <a:r>
            <a:rPr lang="en-IN"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With </a:t>
          </a:r>
          <a:r>
            <a:rPr lang="en-IN" sz="1100" b="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Exemptions</a:t>
          </a:r>
          <a:endParaRPr lang="en-IN"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2" indent="-57150" algn="l" defTabSz="488950">
            <a:lnSpc>
              <a:spcPct val="90000"/>
            </a:lnSpc>
            <a:spcBef>
              <a:spcPct val="0"/>
            </a:spcBef>
            <a:spcAft>
              <a:spcPct val="15000"/>
            </a:spcAft>
            <a:buChar char="••"/>
          </a:pPr>
          <a:r>
            <a:rPr lang="en-IN"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Without Exemptions </a:t>
          </a:r>
        </a:p>
      </dsp:txBody>
      <dsp:txXfrm rot="5400000">
        <a:off x="1465273" y="-607794"/>
        <a:ext cx="751483" cy="2063449"/>
      </dsp:txXfrm>
    </dsp:sp>
    <dsp:sp modelId="{6045930A-E45E-4F4D-ABE6-AD7FFB7D6579}">
      <dsp:nvSpPr>
        <dsp:cNvPr id="0" name=""/>
        <dsp:cNvSpPr/>
      </dsp:nvSpPr>
      <dsp:spPr>
        <a:xfrm rot="5400000">
          <a:off x="-192119" y="1293661"/>
          <a:ext cx="1156129" cy="809290"/>
        </a:xfrm>
        <a:prstGeom prst="chevron">
          <a:avLst/>
        </a:prstGeom>
        <a:solidFill>
          <a:srgbClr val="ED7D31">
            <a:lumMod val="50000"/>
          </a:srgbClr>
        </a:solidFill>
        <a:ln w="12700" cap="flat" cmpd="sng" algn="ctr">
          <a:solidFill>
            <a:srgbClr val="ED7D31">
              <a:lumMod val="5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l" defTabSz="711200">
            <a:lnSpc>
              <a:spcPct val="90000"/>
            </a:lnSpc>
            <a:spcBef>
              <a:spcPct val="0"/>
            </a:spcBef>
            <a:spcAft>
              <a:spcPct val="35000"/>
            </a:spcAft>
          </a:pPr>
          <a:r>
            <a:rPr lang="en-IN" sz="1600" b="1" kern="1200">
              <a:solidFill>
                <a:sysClr val="window" lastClr="FFFFFF"/>
              </a:solidFill>
              <a:latin typeface="Times New Roman" panose="02020603050405020304" pitchFamily="18" charset="0"/>
              <a:ea typeface="+mn-ea"/>
              <a:cs typeface="Times New Roman" panose="02020603050405020304" pitchFamily="18" charset="0"/>
            </a:rPr>
            <a:t>Class II</a:t>
          </a:r>
        </a:p>
      </dsp:txBody>
      <dsp:txXfrm rot="5400000">
        <a:off x="-192119" y="1293661"/>
        <a:ext cx="1156129" cy="809290"/>
      </dsp:txXfrm>
    </dsp:sp>
    <dsp:sp modelId="{8D24B7FF-7AF5-4927-8063-2E4FB5D84236}">
      <dsp:nvSpPr>
        <dsp:cNvPr id="0" name=""/>
        <dsp:cNvSpPr/>
      </dsp:nvSpPr>
      <dsp:spPr>
        <a:xfrm rot="5400000">
          <a:off x="1465268" y="388059"/>
          <a:ext cx="751483" cy="2063449"/>
        </a:xfrm>
        <a:prstGeom prst="round2SameRect">
          <a:avLst/>
        </a:prstGeom>
        <a:solidFill>
          <a:sysClr val="window" lastClr="FFFFFF">
            <a:alpha val="90000"/>
            <a:hueOff val="0"/>
            <a:satOff val="0"/>
            <a:lumOff val="0"/>
            <a:alphaOff val="0"/>
          </a:sysClr>
        </a:solidFill>
        <a:ln w="12700" cap="flat" cmpd="sng" algn="ctr">
          <a:solidFill>
            <a:srgbClr val="ED7D31">
              <a:lumMod val="5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IN"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General control and special controls	</a:t>
          </a:r>
        </a:p>
        <a:p>
          <a:pPr marL="114300" lvl="2" indent="-57150" algn="l" defTabSz="488950">
            <a:lnSpc>
              <a:spcPct val="90000"/>
            </a:lnSpc>
            <a:spcBef>
              <a:spcPct val="0"/>
            </a:spcBef>
            <a:spcAft>
              <a:spcPct val="15000"/>
            </a:spcAft>
            <a:buChar char="••"/>
          </a:pPr>
          <a:r>
            <a:rPr lang="en-IN"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With </a:t>
          </a:r>
          <a:r>
            <a:rPr lang="en-IN" sz="1100" b="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Exemptions</a:t>
          </a:r>
          <a:endParaRPr lang="en-IN"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2" indent="-57150" algn="l" defTabSz="488950">
            <a:lnSpc>
              <a:spcPct val="90000"/>
            </a:lnSpc>
            <a:spcBef>
              <a:spcPct val="0"/>
            </a:spcBef>
            <a:spcAft>
              <a:spcPct val="15000"/>
            </a:spcAft>
            <a:buChar char="••"/>
          </a:pPr>
          <a:r>
            <a:rPr lang="en-IN"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Without Exemptions </a:t>
          </a:r>
        </a:p>
      </dsp:txBody>
      <dsp:txXfrm rot="5400000">
        <a:off x="1465268" y="388059"/>
        <a:ext cx="751483" cy="2063449"/>
      </dsp:txXfrm>
    </dsp:sp>
    <dsp:sp modelId="{E77956FA-135D-458F-8EEB-739F406CD69E}">
      <dsp:nvSpPr>
        <dsp:cNvPr id="0" name=""/>
        <dsp:cNvSpPr/>
      </dsp:nvSpPr>
      <dsp:spPr>
        <a:xfrm rot="5400000">
          <a:off x="-192119" y="2242541"/>
          <a:ext cx="1156129" cy="809290"/>
        </a:xfrm>
        <a:prstGeom prst="chevron">
          <a:avLst/>
        </a:prstGeom>
        <a:solidFill>
          <a:srgbClr val="70AD47">
            <a:lumMod val="50000"/>
          </a:srgbClr>
        </a:solidFill>
        <a:ln w="12700" cap="flat" cmpd="sng" algn="ctr">
          <a:solidFill>
            <a:srgbClr val="70AD47">
              <a:lumMod val="5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l" defTabSz="711200">
            <a:lnSpc>
              <a:spcPct val="90000"/>
            </a:lnSpc>
            <a:spcBef>
              <a:spcPct val="0"/>
            </a:spcBef>
            <a:spcAft>
              <a:spcPct val="35000"/>
            </a:spcAft>
          </a:pPr>
          <a:r>
            <a:rPr lang="en-IN" sz="1600" b="1" kern="1200">
              <a:solidFill>
                <a:sysClr val="window" lastClr="FFFFFF"/>
              </a:solidFill>
              <a:latin typeface="Times New Roman" panose="02020603050405020304" pitchFamily="18" charset="0"/>
              <a:ea typeface="+mn-ea"/>
              <a:cs typeface="Times New Roman" panose="02020603050405020304" pitchFamily="18" charset="0"/>
            </a:rPr>
            <a:t>Class III</a:t>
          </a:r>
        </a:p>
      </dsp:txBody>
      <dsp:txXfrm rot="5400000">
        <a:off x="-192119" y="2242541"/>
        <a:ext cx="1156129" cy="809290"/>
      </dsp:txXfrm>
    </dsp:sp>
    <dsp:sp modelId="{2253E5CE-6CE4-4888-9E1F-65DD4D731FE8}">
      <dsp:nvSpPr>
        <dsp:cNvPr id="0" name=""/>
        <dsp:cNvSpPr/>
      </dsp:nvSpPr>
      <dsp:spPr>
        <a:xfrm rot="5400000">
          <a:off x="1446573" y="1375739"/>
          <a:ext cx="751483" cy="2138249"/>
        </a:xfrm>
        <a:prstGeom prst="round2SameRect">
          <a:avLst/>
        </a:prstGeom>
        <a:solidFill>
          <a:sysClr val="window" lastClr="FFFFFF">
            <a:alpha val="90000"/>
            <a:hueOff val="0"/>
            <a:satOff val="0"/>
            <a:lumOff val="0"/>
            <a:alphaOff val="0"/>
          </a:sysClr>
        </a:solidFill>
        <a:ln w="12700" cap="flat" cmpd="sng" algn="ctr">
          <a:solidFill>
            <a:srgbClr val="70AD47">
              <a:lumMod val="5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IN" sz="1100" b="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General Controls and Premarket Approval</a:t>
          </a:r>
          <a:endParaRPr lang="en-IN"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446573" y="1375739"/>
        <a:ext cx="751483" cy="213824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4645</Words>
  <Characters>26479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THILLAI GOVINDARAJAN</dc:creator>
  <cp:lastModifiedBy>User</cp:lastModifiedBy>
  <cp:revision>129</cp:revision>
  <dcterms:created xsi:type="dcterms:W3CDTF">2024-06-24T11:02:00Z</dcterms:created>
  <dcterms:modified xsi:type="dcterms:W3CDTF">2024-06-25T09:54:00Z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f2e4e8d256dc0204718df196291a63916d76ad788641fdd730f4146762532ebf</vt:lpwstr>
  </property>
  <property fmtid="{D5CDD505-2E9C-101B-9397-08002B2CF9AE}" pid="3" name="ICV">
    <vt:lpwstr>0a82af158f314d33b89bad50007b6030</vt:lpwstr>
  </property>
</Properties>
</file>