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E969" w14:textId="1E2ADA67" w:rsidR="00754C9A" w:rsidRDefault="00D251D2" w:rsidP="00441B6F">
      <w:pPr>
        <w:pStyle w:val="Title"/>
        <w:spacing w:after="0"/>
        <w:jc w:val="both"/>
        <w:rPr>
          <w:rFonts w:ascii="Arial" w:hAnsi="Arial" w:cs="Arial"/>
        </w:rPr>
      </w:pPr>
      <w:r w:rsidRPr="00D251D2">
        <w:rPr>
          <w:rFonts w:ascii="Arial" w:hAnsi="Arial" w:cs="Arial"/>
        </w:rPr>
        <w:t>Original Research Article</w:t>
      </w:r>
    </w:p>
    <w:p w14:paraId="1BCD5554" w14:textId="77777777" w:rsidR="00D251D2" w:rsidRDefault="00D251D2" w:rsidP="00441B6F">
      <w:pPr>
        <w:pStyle w:val="Title"/>
        <w:spacing w:after="0"/>
        <w:jc w:val="both"/>
        <w:rPr>
          <w:rFonts w:ascii="Arial" w:hAnsi="Arial" w:cs="Arial"/>
        </w:rPr>
      </w:pPr>
    </w:p>
    <w:p w14:paraId="7B6F1D89" w14:textId="77777777" w:rsidR="00163BC4" w:rsidRPr="00163BC4" w:rsidRDefault="00FD4F01" w:rsidP="00441B6F">
      <w:pPr>
        <w:pStyle w:val="Author"/>
        <w:spacing w:line="240" w:lineRule="auto"/>
        <w:rPr>
          <w:rFonts w:ascii="Arial" w:hAnsi="Arial" w:cs="Arial"/>
          <w:bCs/>
          <w:iCs/>
          <w:kern w:val="28"/>
          <w:sz w:val="36"/>
        </w:rPr>
      </w:pPr>
      <w:r w:rsidRPr="00FD4F01">
        <w:rPr>
          <w:rFonts w:ascii="Arial" w:hAnsi="Arial" w:cs="Arial"/>
          <w:bCs/>
          <w:iCs/>
          <w:kern w:val="28"/>
          <w:sz w:val="36"/>
        </w:rPr>
        <w:t>Effect of Functional Electrical Stimulation in Conjunction with Motor Relearning Program on Activities of Daily Living Following Ischemic Stroke</w:t>
      </w:r>
      <w:r w:rsidR="00FF275F">
        <w:rPr>
          <w:rFonts w:ascii="Arial" w:hAnsi="Arial" w:cs="Arial"/>
          <w:bCs/>
          <w:iCs/>
          <w:kern w:val="28"/>
          <w:sz w:val="36"/>
        </w:rPr>
        <w:t>: RCT</w:t>
      </w:r>
    </w:p>
    <w:p w14:paraId="70CCFA0B" w14:textId="77777777" w:rsidR="00A258C3" w:rsidRPr="00790ADA" w:rsidRDefault="00A258C3" w:rsidP="00441B6F">
      <w:pPr>
        <w:pStyle w:val="Author"/>
        <w:spacing w:line="240" w:lineRule="auto"/>
        <w:jc w:val="both"/>
        <w:rPr>
          <w:rFonts w:ascii="Arial" w:hAnsi="Arial" w:cs="Arial"/>
          <w:sz w:val="36"/>
        </w:rPr>
      </w:pPr>
    </w:p>
    <w:p w14:paraId="4AA320F2" w14:textId="77777777" w:rsidR="00C86D9C" w:rsidRPr="008C4844" w:rsidRDefault="00C86D9C" w:rsidP="00121BF7">
      <w:pPr>
        <w:ind w:firstLine="643"/>
        <w:jc w:val="center"/>
        <w:rPr>
          <w:rFonts w:ascii="Arial" w:hAnsi="Arial" w:cs="Arial"/>
          <w:i/>
          <w:color w:val="000000" w:themeColor="text1"/>
          <w:lang w:eastAsia="en-IN"/>
        </w:rPr>
      </w:pPr>
    </w:p>
    <w:p w14:paraId="42DFEECE" w14:textId="77777777" w:rsidR="00790ADA" w:rsidRDefault="00790ADA" w:rsidP="00441B6F">
      <w:pPr>
        <w:pStyle w:val="Author"/>
        <w:spacing w:line="240" w:lineRule="auto"/>
        <w:rPr>
          <w:rFonts w:ascii="Arial" w:hAnsi="Arial" w:cs="Arial"/>
        </w:rPr>
      </w:pPr>
    </w:p>
    <w:p w14:paraId="23D931D3" w14:textId="77777777" w:rsidR="002C57D2" w:rsidRPr="00FB3A86" w:rsidRDefault="002C57D2" w:rsidP="00441B6F">
      <w:pPr>
        <w:pStyle w:val="Affiliation"/>
        <w:spacing w:after="0" w:line="240" w:lineRule="auto"/>
        <w:jc w:val="both"/>
        <w:rPr>
          <w:rFonts w:ascii="Arial" w:hAnsi="Arial" w:cs="Arial"/>
        </w:rPr>
      </w:pPr>
    </w:p>
    <w:p w14:paraId="5E592F16" w14:textId="77777777" w:rsidR="00B01FCD" w:rsidRPr="00FB3A86" w:rsidRDefault="00000000" w:rsidP="00441B6F">
      <w:pPr>
        <w:pStyle w:val="Copyright"/>
        <w:spacing w:after="0" w:line="240" w:lineRule="auto"/>
        <w:jc w:val="both"/>
        <w:rPr>
          <w:rFonts w:ascii="Arial" w:hAnsi="Arial" w:cs="Arial"/>
        </w:rPr>
        <w:sectPr w:rsidR="00B01FCD" w:rsidRPr="00FB3A86" w:rsidSect="00AD3E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7596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704B1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2522DC" w14:textId="77777777" w:rsidTr="001E44FE">
        <w:tc>
          <w:tcPr>
            <w:tcW w:w="9576" w:type="dxa"/>
            <w:shd w:val="clear" w:color="auto" w:fill="F2F2F2"/>
          </w:tcPr>
          <w:p w14:paraId="54FE757F"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Background:</w:t>
            </w:r>
            <w:r w:rsidRPr="000F5D5D">
              <w:rPr>
                <w:rFonts w:ascii="Arial" w:eastAsia="Calibri" w:hAnsi="Arial" w:cs="Arial"/>
                <w:szCs w:val="22"/>
              </w:rPr>
              <w:t xml:space="preserve"> Ischemic stroke frequently results in upper limb impairment, significantly affecting patients' ability to perform activities of daily living (ADL). Functional electrical stimulation (FES) combined with motor relearning programs has emerged as a promising rehabilitation approach for improving functional outcomes in stroke survivors.</w:t>
            </w:r>
          </w:p>
          <w:p w14:paraId="40EE5A6F"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Objective:</w:t>
            </w:r>
            <w:r w:rsidRPr="000F5D5D">
              <w:rPr>
                <w:rFonts w:ascii="Arial" w:eastAsia="Calibri" w:hAnsi="Arial" w:cs="Arial"/>
                <w:szCs w:val="22"/>
              </w:rPr>
              <w:t xml:space="preserve"> To evaluate the effectiveness of FES combined with motor relearning programs on ADL performance in patients with upper limb impairment following ischemic stroke.</w:t>
            </w:r>
          </w:p>
          <w:p w14:paraId="1310313D"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Methods:</w:t>
            </w:r>
            <w:r w:rsidRPr="000F5D5D">
              <w:rPr>
                <w:rFonts w:ascii="Arial" w:eastAsia="Calibri" w:hAnsi="Arial" w:cs="Arial"/>
                <w:szCs w:val="22"/>
              </w:rPr>
              <w:t xml:space="preserve"> A randomized controlled trial was conducted with 84 ischemic stroke patients (mean age 58.4±12.3 years) with upper limb hemiplegia. Participants were randomly allocated to either the experimental group (n=42) receiving FES combined with motor relearning program, or the control group (n=42) receiving conventional physiotherapy. The intervention period was 6 weeks, with 5 sessions per week. Primary outcome measure was the Barthel Index (BI), and secondary outcomes included the Functional Independence Measure (FIM) and Canadian Occupational Performance Measure (COPM). Assessments were conducted at baseline, post-intervention (6 weeks), and follow-up (12 weeks).</w:t>
            </w:r>
          </w:p>
          <w:p w14:paraId="6F3DADA0"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Results:</w:t>
            </w:r>
            <w:r w:rsidRPr="000F5D5D">
              <w:rPr>
                <w:rFonts w:ascii="Arial" w:eastAsia="Calibri" w:hAnsi="Arial" w:cs="Arial"/>
                <w:szCs w:val="22"/>
              </w:rPr>
              <w:t xml:space="preserve"> Both groups showed significant improvements in ADL scores, but the experimental group demonstrated superior outcomes. At 6 weeks, the experimental group showed greater improvement in BI scores (mean difference: 15.8±8.4 vs. 8.2±6.1, </w:t>
            </w:r>
            <w:r w:rsidRPr="00907417">
              <w:rPr>
                <w:rFonts w:ascii="Arial" w:eastAsia="Calibri" w:hAnsi="Arial" w:cs="Arial"/>
                <w:i/>
                <w:szCs w:val="22"/>
              </w:rPr>
              <w:t>p</w:t>
            </w:r>
            <w:r w:rsidRPr="000F5D5D">
              <w:rPr>
                <w:rFonts w:ascii="Arial" w:eastAsia="Calibri" w:hAnsi="Arial" w:cs="Arial"/>
                <w:szCs w:val="22"/>
              </w:rPr>
              <w:t xml:space="preserve">&lt;0.001), FIM scores (mean difference: 22.3±10.7 vs. 12.1±7.9, </w:t>
            </w:r>
            <w:r w:rsidRPr="00907417">
              <w:rPr>
                <w:rFonts w:ascii="Arial" w:eastAsia="Calibri" w:hAnsi="Arial" w:cs="Arial"/>
                <w:i/>
                <w:szCs w:val="22"/>
              </w:rPr>
              <w:t>p</w:t>
            </w:r>
            <w:r w:rsidRPr="000F5D5D">
              <w:rPr>
                <w:rFonts w:ascii="Arial" w:eastAsia="Calibri" w:hAnsi="Arial" w:cs="Arial"/>
                <w:szCs w:val="22"/>
              </w:rPr>
              <w:t xml:space="preserve">&lt;0.001), and COPM performance scores (mean difference: 3.4±1.2 vs. 1.8±0.9, </w:t>
            </w:r>
            <w:r w:rsidRPr="00907417">
              <w:rPr>
                <w:rFonts w:ascii="Arial" w:eastAsia="Calibri" w:hAnsi="Arial" w:cs="Arial"/>
                <w:i/>
                <w:szCs w:val="22"/>
              </w:rPr>
              <w:t>p</w:t>
            </w:r>
            <w:r w:rsidRPr="000F5D5D">
              <w:rPr>
                <w:rFonts w:ascii="Arial" w:eastAsia="Calibri" w:hAnsi="Arial" w:cs="Arial"/>
                <w:szCs w:val="22"/>
              </w:rPr>
              <w:t>&lt;0.001). These improvements were maintained at 12-week follow-up.</w:t>
            </w:r>
          </w:p>
          <w:p w14:paraId="2C3AC35E"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Conclusion:</w:t>
            </w:r>
            <w:r w:rsidRPr="000F5D5D">
              <w:rPr>
                <w:rFonts w:ascii="Arial" w:eastAsia="Calibri" w:hAnsi="Arial" w:cs="Arial"/>
                <w:szCs w:val="22"/>
              </w:rPr>
              <w:t xml:space="preserve"> FES combined with motor relearning programs significantly enhances ADL performance in ischemic stroke patients compared to conventional therapy alone. This combined approach offers a promising rehabilitation strategy for improving functional independence in stroke survivors.</w:t>
            </w:r>
          </w:p>
          <w:p w14:paraId="6565CAE2" w14:textId="77777777" w:rsidR="00505F06" w:rsidRPr="00BA1B01" w:rsidRDefault="00505F06" w:rsidP="00121BF7">
            <w:pPr>
              <w:pStyle w:val="Body"/>
              <w:spacing w:after="0"/>
              <w:rPr>
                <w:rFonts w:ascii="Arial" w:eastAsia="Calibri" w:hAnsi="Arial" w:cs="Arial"/>
                <w:szCs w:val="22"/>
              </w:rPr>
            </w:pPr>
          </w:p>
        </w:tc>
      </w:tr>
    </w:tbl>
    <w:p w14:paraId="64B714D5" w14:textId="77777777" w:rsidR="00636EB2" w:rsidRDefault="00636EB2" w:rsidP="00441B6F">
      <w:pPr>
        <w:pStyle w:val="Body"/>
        <w:spacing w:after="0"/>
        <w:rPr>
          <w:rFonts w:ascii="Arial" w:hAnsi="Arial" w:cs="Arial"/>
          <w:i/>
        </w:rPr>
      </w:pPr>
    </w:p>
    <w:p w14:paraId="5EA71115" w14:textId="77777777" w:rsidR="00A24E7E" w:rsidRDefault="000F5D5D" w:rsidP="00441B6F">
      <w:pPr>
        <w:pStyle w:val="Body"/>
        <w:spacing w:after="0"/>
        <w:rPr>
          <w:rFonts w:ascii="Arial" w:hAnsi="Arial" w:cs="Arial"/>
          <w:i/>
        </w:rPr>
      </w:pPr>
      <w:r>
        <w:rPr>
          <w:rFonts w:ascii="Arial" w:hAnsi="Arial" w:cs="Arial"/>
          <w:i/>
        </w:rPr>
        <w:t xml:space="preserve">Keywords: </w:t>
      </w:r>
      <w:r w:rsidR="00121BF7" w:rsidRPr="000F5D5D">
        <w:rPr>
          <w:rFonts w:ascii="Arial" w:hAnsi="Arial" w:cs="Arial"/>
          <w:i/>
        </w:rPr>
        <w:t>Functional electrical stimulation, motor relearning, activities of daily living, ischemic stroke, rehabilitation, upper limb</w:t>
      </w:r>
    </w:p>
    <w:p w14:paraId="4A474D70" w14:textId="77777777" w:rsidR="00505F06" w:rsidRPr="00A24E7E" w:rsidRDefault="00505F06" w:rsidP="00441B6F">
      <w:pPr>
        <w:pStyle w:val="Body"/>
        <w:spacing w:after="0"/>
        <w:rPr>
          <w:rFonts w:ascii="Arial" w:hAnsi="Arial" w:cs="Arial"/>
          <w:i/>
        </w:rPr>
      </w:pPr>
    </w:p>
    <w:p w14:paraId="2C72905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2190EFC"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Stroke remains one of the leading causes of long-term disability worldwide, with approximately 795,000 new cases reported annually in the United States alone (Benjamin et al., 2019). Ischemic stroke, accounting for 87% of all strokes, frequently results in upper limb hemiplegia or hemiparesis, significantly impacting patients' ability to perform activities of daily living (ADL) independently (Virani et al., 2020). The restoration of upper limb function is crucial for stroke survivors, as it directly correlates with their quality of life, independence, and successful community reintegration (</w:t>
      </w:r>
      <w:proofErr w:type="spellStart"/>
      <w:r w:rsidRPr="000F5D5D">
        <w:rPr>
          <w:rFonts w:ascii="Arial" w:hAnsi="Arial" w:cs="Arial"/>
        </w:rPr>
        <w:t>Kwakkel</w:t>
      </w:r>
      <w:proofErr w:type="spellEnd"/>
      <w:r w:rsidRPr="000F5D5D">
        <w:rPr>
          <w:rFonts w:ascii="Arial" w:hAnsi="Arial" w:cs="Arial"/>
        </w:rPr>
        <w:t xml:space="preserve"> et al., 2003).</w:t>
      </w:r>
    </w:p>
    <w:p w14:paraId="5660B329"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Traditional rehabilitation approaches, while beneficial, often show limited effectiveness in restoring functional upper limb movement in chronic stroke patients (Langhorne et al., 2011). The neural plasticity potential of the brain following stroke provides a window of opportunity for recovery, which can be enhanced through targeted interventions that promote motor relearning and cortical reorganization (</w:t>
      </w:r>
      <w:proofErr w:type="spellStart"/>
      <w:r w:rsidRPr="000F5D5D">
        <w:rPr>
          <w:rFonts w:ascii="Arial" w:hAnsi="Arial" w:cs="Arial"/>
        </w:rPr>
        <w:t>Dimyan</w:t>
      </w:r>
      <w:proofErr w:type="spellEnd"/>
      <w:r w:rsidRPr="000F5D5D">
        <w:rPr>
          <w:rFonts w:ascii="Arial" w:hAnsi="Arial" w:cs="Arial"/>
        </w:rPr>
        <w:t xml:space="preserve"> &amp; Cohen, 2011).</w:t>
      </w:r>
    </w:p>
    <w:p w14:paraId="56C60F06"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Functional electrical stimulation (FES) has emerged as a promising therapeutic modality that applies electrical currents to stimulate paralyzed or weakened muscles, facilitating muscle contraction and potentially promoting motor recovery (Peckham &amp; Knutson, 2005). When combined with motor relearning programs that emphasize task-specific training and repetitive practice, FES may enhance the effectiveness of rehabilitation by providing sensory feedback and facilitating the relearning of motor patterns (de Kroon et al., 2005).</w:t>
      </w:r>
    </w:p>
    <w:p w14:paraId="073B3EF0"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Motor relearning programs are based on the principles of motor learning theory and neuroplasticity, emphasizing the importance of task-specific practice, feedback, and progressive difficulty adjustment (Carr &amp; Shepherd, 2003). These programs focus on retraining movement patterns through repetitive practice of functional tasks, which may lead to cortical reorganization and improvement in motor function (Krakauer, 2006).</w:t>
      </w:r>
    </w:p>
    <w:p w14:paraId="06EA23EE"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The combination of FES with motor relearning programs theoretically offers synergistic benefits by addressing both the motor output (through electrical stimulation) and the neural relearning processes (through task-specific practice). However, while previous studies have demonstrated the individual benefits of these interventions, limited research has specifically examined their combined effect on ADL performance in ischemic stroke patients.</w:t>
      </w:r>
    </w:p>
    <w:p w14:paraId="5F71116A"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Several studies have investigated the effects of FES on upper limb function post-stroke, with mixed results. A systematic review by Nascimento et al. (2014) reported moderate evidence for FES improving upper limb motor function, but noted variability in outcome measures and intervention protocols. Similarly, motor relearning programs have shown promise in improving functional outcomes (French et al., 2016), but the evidence for their effect on ADL performance requires further investigation.</w:t>
      </w:r>
    </w:p>
    <w:p w14:paraId="0FB5F2F1"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The assessment of ADL is crucial in stroke rehabilitation as it reflects the patient's ability to function independently in their daily environment. The Barthel Index (BI) and Functional Independence Measure (FIM) are widely used standardized tools that provide reliable measures of functional independence in basic ADL (Mahoney &amp; Barthel, 1965; Keith et al., 1987). The Canadian Occupational Performance Measure (COPM) offers a patient-centered approach to assess perceived performance and satisfaction in daily activities (Law et al., 2014).</w:t>
      </w:r>
    </w:p>
    <w:p w14:paraId="5235BC73" w14:textId="77777777" w:rsidR="000F5D5D" w:rsidRPr="0010127C" w:rsidRDefault="000F5D5D" w:rsidP="000F5D5D">
      <w:pPr>
        <w:spacing w:before="100" w:beforeAutospacing="1" w:after="100" w:afterAutospacing="1"/>
        <w:jc w:val="both"/>
        <w:rPr>
          <w:rFonts w:ascii="Times New Roman" w:hAnsi="Times New Roman"/>
          <w:sz w:val="24"/>
          <w:szCs w:val="24"/>
        </w:rPr>
      </w:pPr>
      <w:r w:rsidRPr="000F5D5D">
        <w:rPr>
          <w:rFonts w:ascii="Arial" w:hAnsi="Arial" w:cs="Arial"/>
        </w:rPr>
        <w:t xml:space="preserve">Given the potential benefits of combining FES with motor relearning programs and the need for evidence-based rehabilitation strategies that improve functional independence, this study </w:t>
      </w:r>
      <w:r w:rsidRPr="000F5D5D">
        <w:rPr>
          <w:rFonts w:ascii="Arial" w:hAnsi="Arial" w:cs="Arial"/>
        </w:rPr>
        <w:lastRenderedPageBreak/>
        <w:t>aimed to evaluate the effectiveness of this combined intervention on ADL performance in patients with upper limb impairment following ischemic stroke. We hypothesized that patients receiving FES combined with motor relearning programs would demonstrate greater improvements in ADL performance compared to those receiving conventional physiotherapy alone</w:t>
      </w:r>
      <w:r w:rsidRPr="0010127C">
        <w:rPr>
          <w:rFonts w:ascii="Times New Roman" w:hAnsi="Times New Roman"/>
          <w:sz w:val="24"/>
          <w:szCs w:val="24"/>
        </w:rPr>
        <w:t>.</w:t>
      </w:r>
    </w:p>
    <w:p w14:paraId="728B6AC1" w14:textId="77777777" w:rsidR="007F7B32" w:rsidRDefault="000F5D5D" w:rsidP="00846AC2">
      <w:pPr>
        <w:pStyle w:val="AbstHead"/>
        <w:spacing w:beforeLines="40" w:before="96" w:afterLines="40" w:after="96"/>
        <w:jc w:val="both"/>
        <w:rPr>
          <w:rFonts w:ascii="Arial" w:hAnsi="Arial" w:cs="Arial"/>
        </w:rPr>
      </w:pPr>
      <w:r>
        <w:rPr>
          <w:rFonts w:ascii="Arial" w:hAnsi="Arial" w:cs="Arial"/>
        </w:rPr>
        <w:t xml:space="preserve">2. </w:t>
      </w:r>
      <w:r w:rsidRPr="000F5D5D">
        <w:rPr>
          <w:rFonts w:ascii="Arial" w:hAnsi="Arial" w:cs="Arial"/>
        </w:rPr>
        <w:t>Methodology</w:t>
      </w:r>
      <w:r>
        <w:rPr>
          <w:rFonts w:ascii="Arial" w:hAnsi="Arial" w:cs="Arial"/>
        </w:rPr>
        <w:t xml:space="preserve"> </w:t>
      </w:r>
    </w:p>
    <w:p w14:paraId="698B6C4A"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2.1 Study Design</w:t>
      </w:r>
    </w:p>
    <w:p w14:paraId="24C64E97"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 xml:space="preserve">This study employed a single-blind randomized controlled trial design with parallel groups. The study protocol was approved by the Institutional </w:t>
      </w:r>
      <w:r w:rsidR="00385ADC">
        <w:rPr>
          <w:rFonts w:ascii="Arial" w:hAnsi="Arial" w:cs="Arial"/>
        </w:rPr>
        <w:t>Ethical committee (IEC approval number: 2025/61/017</w:t>
      </w:r>
      <w:r w:rsidRPr="000F5D5D">
        <w:rPr>
          <w:rFonts w:ascii="Arial" w:hAnsi="Arial" w:cs="Arial"/>
        </w:rPr>
        <w:t>). All participants provided written informed consent prior to enrollment.</w:t>
      </w:r>
    </w:p>
    <w:p w14:paraId="66C1CC6C"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2.2 Participants</w:t>
      </w:r>
    </w:p>
    <w:p w14:paraId="33CC35B5"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 xml:space="preserve">2.2.1 Inclusion </w:t>
      </w:r>
      <w:commentRangeStart w:id="0"/>
      <w:r w:rsidRPr="00385ADC">
        <w:rPr>
          <w:rFonts w:ascii="Arial" w:hAnsi="Arial" w:cs="Arial"/>
          <w:b/>
        </w:rPr>
        <w:t>Criteria</w:t>
      </w:r>
      <w:commentRangeEnd w:id="0"/>
      <w:r w:rsidR="00AB2F33">
        <w:rPr>
          <w:rStyle w:val="CommentReference"/>
          <w:rFonts w:ascii="Times New Roman" w:hAnsi="Times New Roman"/>
          <w:lang w:val="nb-NO" w:eastAsia="nb-NO"/>
        </w:rPr>
        <w:commentReference w:id="0"/>
      </w:r>
    </w:p>
    <w:p w14:paraId="3C353EDD"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Adults aged 18-75 years</w:t>
      </w:r>
    </w:p>
    <w:p w14:paraId="61B9838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Diagnosis of first-time ischemic stroke confirmed by neuroimaging (CT or MRI)</w:t>
      </w:r>
    </w:p>
    <w:p w14:paraId="24F759FD"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Time since stroke onset: 3-12 months</w:t>
      </w:r>
    </w:p>
    <w:p w14:paraId="4043FC20"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Upper limb hemiplegia or hemiparesis (Modified Ashworth Scale score ≤2)</w:t>
      </w:r>
    </w:p>
    <w:p w14:paraId="0B2C40D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Ability to understand and follow simple commands (Mini-Mental State Examination score ≥24)</w:t>
      </w:r>
    </w:p>
    <w:p w14:paraId="3BBFB96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Medical stability for participation in rehabilitation program</w:t>
      </w:r>
    </w:p>
    <w:p w14:paraId="453809E5"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Barthel Index score between 20-80 at baseline</w:t>
      </w:r>
    </w:p>
    <w:p w14:paraId="11E0647F"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2.2.2 Exclusion Criteria</w:t>
      </w:r>
    </w:p>
    <w:p w14:paraId="687C087E"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Hemorrhagic stroke or recurrent stroke</w:t>
      </w:r>
    </w:p>
    <w:p w14:paraId="795EB7FD"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cognitive impairment</w:t>
      </w:r>
    </w:p>
    <w:p w14:paraId="41C56C88"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aphasia preventing understanding of instructions</w:t>
      </w:r>
    </w:p>
    <w:p w14:paraId="4DE16E8E"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Contraindications to electrical stimulation (cardiac pacemaker, metal implants in stimulation area)</w:t>
      </w:r>
    </w:p>
    <w:p w14:paraId="5C5B0C8F"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joint contractures or deformities</w:t>
      </w:r>
    </w:p>
    <w:p w14:paraId="2BFDB506"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Active medical conditions preventing participation</w:t>
      </w:r>
    </w:p>
    <w:p w14:paraId="3F16704F"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Previous upper limb dysfunction</w:t>
      </w:r>
    </w:p>
    <w:p w14:paraId="5ADF6B54"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2.3 Sample Size Calculation</w:t>
      </w:r>
    </w:p>
    <w:p w14:paraId="48254D2E"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Sample size was calculated based on the primary outcome measure (Barthel Index) using G*Power 3.1.9.4 software. Based on previous studies (Chae et al., 2009), an effect size of 0.7 was anticipated between groups. With α=0.05, power=80%, and accounting for 20% dropout rate, a minimum of 42 participants per group was required.</w:t>
      </w:r>
    </w:p>
    <w:p w14:paraId="5A0ECB7B"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2.4 Randomization and Blinding</w:t>
      </w:r>
    </w:p>
    <w:p w14:paraId="04A10B7F"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were randomly allocated to either the experimental group (FES + motor relearning program) or control group (conventional physiotherapy) using computer-generated random numbers in blocks of 8. Allocation concealment was maintained using sealed, opaque envelopes. Outcome assessors were blinded to group allocation, while participants and treating therapists could not be blinded due to the nature of the intervention.</w:t>
      </w:r>
    </w:p>
    <w:p w14:paraId="3142CA80"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lastRenderedPageBreak/>
        <w:t>2.5 Interventions</w:t>
      </w:r>
    </w:p>
    <w:p w14:paraId="6A5F4F4A"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2.5.1 Experimental Group (FES + Motor Relearning Program)</w:t>
      </w:r>
    </w:p>
    <w:p w14:paraId="6571ABF6"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received FES combined with a structured motor relearning program:</w:t>
      </w:r>
    </w:p>
    <w:p w14:paraId="54DEF3A7"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FES Protocol:</w:t>
      </w:r>
    </w:p>
    <w:p w14:paraId="08362E1B"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Device: 4-channel electrical stimulator (</w:t>
      </w:r>
      <w:proofErr w:type="spellStart"/>
      <w:r w:rsidRPr="000F5D5D">
        <w:rPr>
          <w:rFonts w:ascii="Arial" w:hAnsi="Arial" w:cs="Arial"/>
        </w:rPr>
        <w:t>RehaStim</w:t>
      </w:r>
      <w:proofErr w:type="spellEnd"/>
      <w:r w:rsidRPr="000F5D5D">
        <w:rPr>
          <w:rFonts w:ascii="Arial" w:hAnsi="Arial" w:cs="Arial"/>
        </w:rPr>
        <w:t xml:space="preserve">, </w:t>
      </w:r>
      <w:proofErr w:type="spellStart"/>
      <w:r w:rsidRPr="000F5D5D">
        <w:rPr>
          <w:rFonts w:ascii="Arial" w:hAnsi="Arial" w:cs="Arial"/>
        </w:rPr>
        <w:t>Hasomed</w:t>
      </w:r>
      <w:proofErr w:type="spellEnd"/>
      <w:r w:rsidRPr="000F5D5D">
        <w:rPr>
          <w:rFonts w:ascii="Arial" w:hAnsi="Arial" w:cs="Arial"/>
        </w:rPr>
        <w:t xml:space="preserve"> GmbH, Germany)</w:t>
      </w:r>
    </w:p>
    <w:p w14:paraId="21936C85"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Electrodes: Surface electrodes placed over motor points of affected muscles</w:t>
      </w:r>
    </w:p>
    <w:p w14:paraId="2FB6F253"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Target muscles: Wrist extensors, finger extensors, and thumb muscles</w:t>
      </w:r>
    </w:p>
    <w:p w14:paraId="187B22FC"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 xml:space="preserve">Parameters: Frequency 30-50 Hz, pulse width 300 </w:t>
      </w:r>
      <w:proofErr w:type="spellStart"/>
      <w:r w:rsidRPr="000F5D5D">
        <w:rPr>
          <w:rFonts w:ascii="Arial" w:hAnsi="Arial" w:cs="Arial"/>
        </w:rPr>
        <w:t>μs</w:t>
      </w:r>
      <w:proofErr w:type="spellEnd"/>
      <w:r w:rsidRPr="000F5D5D">
        <w:rPr>
          <w:rFonts w:ascii="Arial" w:hAnsi="Arial" w:cs="Arial"/>
        </w:rPr>
        <w:t>, intensity adjusted to produce visible muscle contraction without pain</w:t>
      </w:r>
    </w:p>
    <w:p w14:paraId="46F9E64D"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Duration: 30 minutes per session</w:t>
      </w:r>
    </w:p>
    <w:p w14:paraId="7C05001F"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Motor Relearning Program:</w:t>
      </w:r>
    </w:p>
    <w:p w14:paraId="66E29188"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Task-specific training focusing on ADL-related movements</w:t>
      </w:r>
    </w:p>
    <w:p w14:paraId="1CF5FA61"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Progressive difficulty adjustment based on individual performance</w:t>
      </w:r>
    </w:p>
    <w:p w14:paraId="23932B44"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Emphasis on quality of movement and functional outcomes</w:t>
      </w:r>
    </w:p>
    <w:p w14:paraId="5FEF82E1"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Activities included: reaching, grasping, manipulation tasks, and simulated ADL</w:t>
      </w:r>
    </w:p>
    <w:p w14:paraId="027CCDE7"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Duration: 30 minutes per session following FES</w:t>
      </w:r>
    </w:p>
    <w:p w14:paraId="08F3DA6F"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2.5.2 Control Group (Conventional Physiotherapy)</w:t>
      </w:r>
    </w:p>
    <w:p w14:paraId="0E0F7AB1"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received conventional physiotherapy including:</w:t>
      </w:r>
    </w:p>
    <w:p w14:paraId="02E2A2C6" w14:textId="77777777" w:rsidR="000F5D5D" w:rsidRPr="000F5D5D" w:rsidRDefault="000F5D5D" w:rsidP="00846AC2">
      <w:pPr>
        <w:numPr>
          <w:ilvl w:val="0"/>
          <w:numId w:val="35"/>
        </w:numPr>
        <w:spacing w:beforeLines="40" w:before="96" w:afterLines="40" w:after="96"/>
        <w:jc w:val="both"/>
        <w:rPr>
          <w:rFonts w:ascii="Arial" w:hAnsi="Arial" w:cs="Arial"/>
        </w:rPr>
      </w:pPr>
      <w:commentRangeStart w:id="1"/>
      <w:r w:rsidRPr="000F5D5D">
        <w:rPr>
          <w:rFonts w:ascii="Arial" w:hAnsi="Arial" w:cs="Arial"/>
        </w:rPr>
        <w:t>Passive</w:t>
      </w:r>
      <w:commentRangeEnd w:id="1"/>
      <w:r w:rsidR="00F43D54">
        <w:rPr>
          <w:rStyle w:val="CommentReference"/>
          <w:rFonts w:ascii="Times New Roman" w:hAnsi="Times New Roman"/>
          <w:lang w:val="nb-NO" w:eastAsia="nb-NO"/>
        </w:rPr>
        <w:commentReference w:id="1"/>
      </w:r>
      <w:r w:rsidRPr="000F5D5D">
        <w:rPr>
          <w:rFonts w:ascii="Arial" w:hAnsi="Arial" w:cs="Arial"/>
        </w:rPr>
        <w:t xml:space="preserve"> and active range of motion exercises</w:t>
      </w:r>
    </w:p>
    <w:p w14:paraId="4B8B3F49" w14:textId="77777777" w:rsidR="000F5D5D" w:rsidRPr="000F5D5D" w:rsidRDefault="000F5D5D" w:rsidP="00846AC2">
      <w:pPr>
        <w:numPr>
          <w:ilvl w:val="0"/>
          <w:numId w:val="35"/>
        </w:numPr>
        <w:spacing w:beforeLines="40" w:before="96" w:afterLines="40" w:after="96"/>
        <w:jc w:val="both"/>
        <w:rPr>
          <w:rFonts w:ascii="Arial" w:hAnsi="Arial" w:cs="Arial"/>
        </w:rPr>
      </w:pPr>
      <w:commentRangeStart w:id="2"/>
      <w:r w:rsidRPr="000F5D5D">
        <w:rPr>
          <w:rFonts w:ascii="Arial" w:hAnsi="Arial" w:cs="Arial"/>
        </w:rPr>
        <w:t>Strengthening</w:t>
      </w:r>
      <w:commentRangeEnd w:id="2"/>
      <w:r w:rsidR="00F43D54">
        <w:rPr>
          <w:rStyle w:val="CommentReference"/>
          <w:rFonts w:ascii="Times New Roman" w:hAnsi="Times New Roman"/>
          <w:lang w:val="nb-NO" w:eastAsia="nb-NO"/>
        </w:rPr>
        <w:commentReference w:id="2"/>
      </w:r>
      <w:r w:rsidRPr="000F5D5D">
        <w:rPr>
          <w:rFonts w:ascii="Arial" w:hAnsi="Arial" w:cs="Arial"/>
        </w:rPr>
        <w:t xml:space="preserve"> exercises</w:t>
      </w:r>
    </w:p>
    <w:p w14:paraId="3807C24E" w14:textId="77777777" w:rsidR="000F5D5D" w:rsidRPr="000F5D5D" w:rsidRDefault="000F5D5D" w:rsidP="00846AC2">
      <w:pPr>
        <w:numPr>
          <w:ilvl w:val="0"/>
          <w:numId w:val="35"/>
        </w:numPr>
        <w:spacing w:beforeLines="40" w:before="96" w:afterLines="40" w:after="96"/>
        <w:jc w:val="both"/>
        <w:rPr>
          <w:rFonts w:ascii="Arial" w:hAnsi="Arial" w:cs="Arial"/>
        </w:rPr>
      </w:pPr>
      <w:commentRangeStart w:id="3"/>
      <w:r w:rsidRPr="000F5D5D">
        <w:rPr>
          <w:rFonts w:ascii="Arial" w:hAnsi="Arial" w:cs="Arial"/>
        </w:rPr>
        <w:t>Facilitation</w:t>
      </w:r>
      <w:commentRangeEnd w:id="3"/>
      <w:r w:rsidR="00F43D54">
        <w:rPr>
          <w:rStyle w:val="CommentReference"/>
          <w:rFonts w:ascii="Times New Roman" w:hAnsi="Times New Roman"/>
          <w:lang w:val="nb-NO" w:eastAsia="nb-NO"/>
        </w:rPr>
        <w:commentReference w:id="3"/>
      </w:r>
      <w:r w:rsidRPr="000F5D5D">
        <w:rPr>
          <w:rFonts w:ascii="Arial" w:hAnsi="Arial" w:cs="Arial"/>
        </w:rPr>
        <w:t xml:space="preserve"> techniques</w:t>
      </w:r>
    </w:p>
    <w:p w14:paraId="1CB5F6EA" w14:textId="77777777" w:rsidR="000F5D5D" w:rsidRPr="000F5D5D" w:rsidRDefault="000F5D5D" w:rsidP="00846AC2">
      <w:pPr>
        <w:numPr>
          <w:ilvl w:val="0"/>
          <w:numId w:val="35"/>
        </w:numPr>
        <w:spacing w:beforeLines="40" w:before="96" w:afterLines="40" w:after="96"/>
        <w:jc w:val="both"/>
        <w:rPr>
          <w:rFonts w:ascii="Arial" w:hAnsi="Arial" w:cs="Arial"/>
        </w:rPr>
      </w:pPr>
      <w:commentRangeStart w:id="4"/>
      <w:r w:rsidRPr="000F5D5D">
        <w:rPr>
          <w:rFonts w:ascii="Arial" w:hAnsi="Arial" w:cs="Arial"/>
        </w:rPr>
        <w:t>Functional</w:t>
      </w:r>
      <w:commentRangeEnd w:id="4"/>
      <w:r w:rsidR="00F43D54">
        <w:rPr>
          <w:rStyle w:val="CommentReference"/>
          <w:rFonts w:ascii="Times New Roman" w:hAnsi="Times New Roman"/>
          <w:lang w:val="nb-NO" w:eastAsia="nb-NO"/>
        </w:rPr>
        <w:commentReference w:id="4"/>
      </w:r>
      <w:r w:rsidRPr="000F5D5D">
        <w:rPr>
          <w:rFonts w:ascii="Arial" w:hAnsi="Arial" w:cs="Arial"/>
        </w:rPr>
        <w:t xml:space="preserve"> training</w:t>
      </w:r>
    </w:p>
    <w:p w14:paraId="0BCE3AEA"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Duration: 60 minutes per session</w:t>
      </w:r>
    </w:p>
    <w:p w14:paraId="01B6D690"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Both groups received treatment 5 days per week for 6 weeks (30 sessions total).</w:t>
      </w:r>
    </w:p>
    <w:p w14:paraId="5E520496"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2.6 Outcome Measures</w:t>
      </w:r>
    </w:p>
    <w:p w14:paraId="0B86EA21"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2.6.1 Primary Outcome</w:t>
      </w:r>
    </w:p>
    <w:p w14:paraId="51D0B33A"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Barthel Index (BI): A 10-item scale assessing independence in basic ADL including feeding, bathing, grooming, dressing, bowel and bladder control, toilet use, transfers, mobility, and stair climbing. Scores range from 0-100, with higher scores indicating greater independence (Mahoney &amp; Barthel, 1965).</w:t>
      </w:r>
    </w:p>
    <w:p w14:paraId="4E789D99"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2.6.2 Secondary Outcomes</w:t>
      </w:r>
    </w:p>
    <w:p w14:paraId="0442D525"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Functional Independence Measure (FIM): An 18-item scale assessing independence in motor and cognitive tasks. Motor subscale (13 items) scores range from 13-91, with higher scores indicating greater independence (Keith et al., 1987).</w:t>
      </w:r>
    </w:p>
    <w:p w14:paraId="12F7A8C3"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Canadian Occupational Performance Measure (COPM): A patient-centered outcome measure assessing perceived performance and satisfaction in daily activities. Participants identify priority areas of difficulty and rate performance and satisfaction on 10-point scales (Law et al., 2014).</w:t>
      </w:r>
    </w:p>
    <w:p w14:paraId="4211FCC8"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2.7 Assessment Schedule</w:t>
      </w:r>
    </w:p>
    <w:p w14:paraId="471B6A7C"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Assessments were conducted at three time points:</w:t>
      </w:r>
    </w:p>
    <w:p w14:paraId="01D0EB1F"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lastRenderedPageBreak/>
        <w:t>Baseline (T0): Within 1 week before intervention</w:t>
      </w:r>
    </w:p>
    <w:p w14:paraId="46D8B018"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t>Post-intervention (T1): Within 1 week after completing 6-week intervention</w:t>
      </w:r>
    </w:p>
    <w:p w14:paraId="01E86C88"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t>Follow-up (T2): 6 weeks after intervention completion (12 weeks from baseline)</w:t>
      </w:r>
    </w:p>
    <w:p w14:paraId="4C983F6C"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2.8 Data Collection</w:t>
      </w:r>
    </w:p>
    <w:p w14:paraId="07C5FDEA" w14:textId="77777777" w:rsidR="00502516" w:rsidRDefault="000F5D5D" w:rsidP="00846AC2">
      <w:pPr>
        <w:pStyle w:val="Body"/>
        <w:spacing w:beforeLines="40" w:before="96" w:afterLines="40" w:after="96"/>
        <w:rPr>
          <w:rFonts w:ascii="Arial" w:hAnsi="Arial" w:cs="Arial"/>
        </w:rPr>
      </w:pPr>
      <w:r w:rsidRPr="000F5D5D">
        <w:rPr>
          <w:rFonts w:ascii="Arial" w:hAnsi="Arial" w:cs="Arial"/>
        </w:rPr>
        <w:t>All assessments were conducted by trained occupational therapists blinded to group allocation. Inter-rater reliability was established prior to study commencement (ICC &gt;0.90 for all measures). Data were collected in a standardized environment and recorded on case report forms before being entered into a secure electronic database</w:t>
      </w:r>
      <w:r w:rsidR="00907417">
        <w:rPr>
          <w:rFonts w:ascii="Arial" w:hAnsi="Arial" w:cs="Arial"/>
        </w:rPr>
        <w:t>.</w:t>
      </w:r>
    </w:p>
    <w:p w14:paraId="51AA9ECC" w14:textId="77777777" w:rsidR="002E0D56" w:rsidRDefault="002E0D56" w:rsidP="00441B6F">
      <w:pPr>
        <w:pStyle w:val="Body"/>
        <w:spacing w:after="0"/>
        <w:rPr>
          <w:rFonts w:ascii="Arial" w:hAnsi="Arial" w:cs="Arial"/>
        </w:rPr>
      </w:pPr>
    </w:p>
    <w:p w14:paraId="199AD912" w14:textId="77777777" w:rsidR="00C500C3" w:rsidRDefault="00C500C3" w:rsidP="00846AC2">
      <w:pPr>
        <w:pStyle w:val="Head1"/>
        <w:spacing w:beforeLines="40" w:before="96" w:afterLines="40" w:after="96"/>
        <w:jc w:val="both"/>
        <w:rPr>
          <w:rFonts w:ascii="Arial" w:hAnsi="Arial" w:cs="Arial"/>
        </w:rPr>
      </w:pPr>
      <w:r>
        <w:rPr>
          <w:rFonts w:ascii="Arial" w:hAnsi="Arial" w:cs="Arial"/>
        </w:rPr>
        <w:t xml:space="preserve">3. </w:t>
      </w:r>
      <w:r w:rsidRPr="00907417">
        <w:rPr>
          <w:rFonts w:ascii="Arial" w:hAnsi="Arial" w:cs="Arial"/>
        </w:rPr>
        <w:t>Statistical Analysis</w:t>
      </w:r>
    </w:p>
    <w:p w14:paraId="64863CA9"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Statistical analysis was performed using SPSS version 2</w:t>
      </w:r>
      <w:r w:rsidR="00395956">
        <w:rPr>
          <w:rFonts w:ascii="Arial" w:hAnsi="Arial" w:cs="Arial"/>
          <w:lang w:val="en-GB" w:eastAsia="en-GB"/>
        </w:rPr>
        <w:t>5</w:t>
      </w:r>
      <w:r w:rsidRPr="00907417">
        <w:rPr>
          <w:rFonts w:ascii="Arial" w:hAnsi="Arial" w:cs="Arial"/>
          <w:lang w:val="en-GB" w:eastAsia="en-GB"/>
        </w:rPr>
        <w:t xml:space="preserve"> (IBM Corp., Armonk, NY). Data were analyzed according to the intention-to-treat principle, with missing data handled using the last observation carried forward method for participants who completed at least baseline and one post-baseline assessment.</w:t>
      </w:r>
    </w:p>
    <w:p w14:paraId="0CD21749"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3.1 Descriptive Statistics</w:t>
      </w:r>
    </w:p>
    <w:p w14:paraId="72D3F09B"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Continuous variables were expressed as mean ± standard deviation (SD) or median (interquartile range) based on distribution normality. Categorical variables were expressed as frequencies and percentages.</w:t>
      </w:r>
    </w:p>
    <w:p w14:paraId="47C26724"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3.2 Baseline Comparisons</w:t>
      </w:r>
    </w:p>
    <w:p w14:paraId="07FB9B3C"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Independent t-tests were used for continuous variables and chi-square tests for categorical variables to compare baseline characteristics between groups.</w:t>
      </w:r>
    </w:p>
    <w:p w14:paraId="5A7F0764"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3.3 Primary Analysis</w:t>
      </w:r>
    </w:p>
    <w:p w14:paraId="564B62D1"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A mixed-effects model with repeated measures was used to analyze changes in outcome measures over time, with group, time, and group-by-time interaction as fixed effects, and participant as a random effect. This approach accounts for within-subject correlation and missing data.</w:t>
      </w:r>
    </w:p>
    <w:p w14:paraId="251ABD73"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3.4 Secondary Analysis</w:t>
      </w:r>
    </w:p>
    <w:p w14:paraId="0DE2B03C"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Between-group differences at each time point were analyzed using independent t-tests with Bonferroni correction for multiple comparisons. Within-group changes from baseline were analyzed using paired t-tests.</w:t>
      </w:r>
    </w:p>
    <w:p w14:paraId="4C8F9DE7"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Effect sizes (Cohen's d) were calculated for between-group differences, with 0.2, 0.5, and 0.8 representing small, medium, and large effects, respectively.</w:t>
      </w:r>
    </w:p>
    <w:p w14:paraId="3CA971EC"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3.5 Statistical Significance</w:t>
      </w:r>
    </w:p>
    <w:p w14:paraId="4B843DC1" w14:textId="77777777" w:rsidR="00C500C3" w:rsidRPr="00907417" w:rsidRDefault="00C500C3" w:rsidP="00846AC2">
      <w:pPr>
        <w:pStyle w:val="Body"/>
        <w:spacing w:beforeLines="40" w:before="96" w:afterLines="40" w:after="96"/>
        <w:rPr>
          <w:rFonts w:ascii="Arial" w:hAnsi="Arial" w:cs="Arial"/>
          <w:lang w:val="en-GB" w:eastAsia="en-GB"/>
        </w:rPr>
      </w:pPr>
      <w:r w:rsidRPr="00907417">
        <w:rPr>
          <w:rFonts w:ascii="Arial" w:hAnsi="Arial" w:cs="Arial"/>
          <w:lang w:val="en-GB" w:eastAsia="en-GB"/>
        </w:rPr>
        <w:t xml:space="preserve">Statistical significance was set at </w:t>
      </w:r>
      <w:r w:rsidRPr="00C500C3">
        <w:rPr>
          <w:rFonts w:ascii="Arial" w:hAnsi="Arial" w:cs="Arial"/>
          <w:i/>
          <w:lang w:val="en-GB" w:eastAsia="en-GB"/>
        </w:rPr>
        <w:t xml:space="preserve">p </w:t>
      </w:r>
      <w:r w:rsidRPr="00907417">
        <w:rPr>
          <w:rFonts w:ascii="Arial" w:hAnsi="Arial" w:cs="Arial"/>
          <w:lang w:val="en-GB" w:eastAsia="en-GB"/>
        </w:rPr>
        <w:t>&lt; 0.05 for all analyses. All tests were two-tailed.</w:t>
      </w:r>
    </w:p>
    <w:p w14:paraId="2B41F8D8" w14:textId="77777777" w:rsidR="00C500C3" w:rsidRDefault="00C500C3" w:rsidP="00C500C3">
      <w:pPr>
        <w:spacing w:before="100" w:beforeAutospacing="1" w:after="100" w:afterAutospacing="1"/>
        <w:jc w:val="both"/>
        <w:outlineLvl w:val="1"/>
        <w:rPr>
          <w:rFonts w:ascii="Arial" w:hAnsi="Arial" w:cs="Arial"/>
        </w:rPr>
      </w:pPr>
    </w:p>
    <w:p w14:paraId="1CF4473E" w14:textId="77777777" w:rsidR="00C500C3" w:rsidRPr="00C500C3" w:rsidRDefault="00C500C3" w:rsidP="00C500C3">
      <w:pPr>
        <w:spacing w:before="100" w:beforeAutospacing="1" w:after="100" w:afterAutospacing="1"/>
        <w:jc w:val="both"/>
        <w:outlineLvl w:val="1"/>
        <w:rPr>
          <w:rFonts w:ascii="Arial" w:hAnsi="Arial" w:cs="Arial"/>
          <w:b/>
          <w:sz w:val="22"/>
          <w:szCs w:val="22"/>
        </w:rPr>
      </w:pPr>
      <w:r w:rsidRPr="00C500C3">
        <w:rPr>
          <w:rFonts w:ascii="Arial" w:hAnsi="Arial" w:cs="Arial"/>
          <w:b/>
          <w:sz w:val="22"/>
          <w:szCs w:val="22"/>
        </w:rPr>
        <w:t>4. RESULTS</w:t>
      </w:r>
    </w:p>
    <w:p w14:paraId="625DE80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4.1 Participant Flow and Characteristics</w:t>
      </w:r>
    </w:p>
    <w:p w14:paraId="479AE121" w14:textId="77777777" w:rsid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A total of 124 patients were screened for eligibility, of whom 84 met the inclusion criteria and were randomized (Figure 1). Forty-two participants were allocated to each group. During the intervention period, 3 participants in the experimental group and 4 in the control group </w:t>
      </w:r>
      <w:r w:rsidRPr="00C500C3">
        <w:rPr>
          <w:rFonts w:ascii="Arial" w:hAnsi="Arial" w:cs="Arial"/>
        </w:rPr>
        <w:lastRenderedPageBreak/>
        <w:t>withdrew due to medical complications (n=2), transportation issues (n=3), and personal reasons (n=2). At the 12-week follow-up, 39 participants in the experimental group and 38 in the control group completed all assessments (91.7% completion rate).</w:t>
      </w:r>
    </w:p>
    <w:p w14:paraId="1BBB9C9C" w14:textId="77777777" w:rsidR="0037287F" w:rsidRPr="0037287F" w:rsidRDefault="0037287F" w:rsidP="00C500C3">
      <w:pPr>
        <w:spacing w:before="100" w:beforeAutospacing="1" w:after="100" w:afterAutospacing="1"/>
        <w:jc w:val="both"/>
        <w:rPr>
          <w:rFonts w:ascii="Arial" w:hAnsi="Arial" w:cs="Arial"/>
          <w:sz w:val="12"/>
        </w:rPr>
      </w:pPr>
      <w:r>
        <w:rPr>
          <w:rFonts w:ascii="Arial" w:hAnsi="Arial" w:cs="Arial"/>
        </w:rPr>
        <w:t>Fig 1 Randomization of patients</w:t>
      </w:r>
    </w:p>
    <w:p w14:paraId="0773DC8D" w14:textId="77777777" w:rsidR="002D1099" w:rsidRDefault="002D1099" w:rsidP="00C500C3">
      <w:pPr>
        <w:spacing w:before="100" w:beforeAutospacing="1" w:after="100" w:afterAutospacing="1"/>
        <w:jc w:val="both"/>
        <w:rPr>
          <w:rFonts w:ascii="Arial" w:hAnsi="Arial" w:cs="Arial"/>
        </w:rPr>
      </w:pPr>
      <w:r w:rsidRPr="002D1099">
        <w:rPr>
          <w:snapToGrid w:val="0"/>
          <w:color w:val="000000"/>
          <w:w w:val="0"/>
          <w:sz w:val="0"/>
          <w:szCs w:val="0"/>
          <w:u w:color="000000"/>
          <w:bdr w:val="none" w:sz="0" w:space="0" w:color="000000"/>
          <w:shd w:val="clear" w:color="000000" w:fill="000000"/>
        </w:rPr>
        <w:t xml:space="preserve"> </w:t>
      </w:r>
      <w:r>
        <w:rPr>
          <w:rFonts w:ascii="Arial" w:hAnsi="Arial" w:cs="Arial"/>
          <w:noProof/>
        </w:rPr>
        <w:drawing>
          <wp:inline distT="0" distB="0" distL="0" distR="0" wp14:anchorId="4FBD8A53" wp14:editId="35707E0D">
            <wp:extent cx="2069863" cy="2238451"/>
            <wp:effectExtent l="19050" t="19050" r="25637" b="28499"/>
            <wp:docPr id="5" name="Picture 5" descr="C:\Users\DELL\Desktop\J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Jam1.jpg"/>
                    <pic:cNvPicPr>
                      <a:picLocks noChangeAspect="1" noChangeArrowheads="1"/>
                    </pic:cNvPicPr>
                  </pic:nvPicPr>
                  <pic:blipFill>
                    <a:blip r:embed="rId18" cstate="print"/>
                    <a:srcRect/>
                    <a:stretch>
                      <a:fillRect/>
                    </a:stretch>
                  </pic:blipFill>
                  <pic:spPr bwMode="auto">
                    <a:xfrm>
                      <a:off x="0" y="0"/>
                      <a:ext cx="2071994" cy="2240756"/>
                    </a:xfrm>
                    <a:prstGeom prst="rect">
                      <a:avLst/>
                    </a:prstGeom>
                    <a:noFill/>
                    <a:ln w="9525">
                      <a:solidFill>
                        <a:schemeClr val="tx1"/>
                      </a:solidFill>
                      <a:miter lim="800000"/>
                      <a:headEnd/>
                      <a:tailEnd/>
                    </a:ln>
                  </pic:spPr>
                </pic:pic>
              </a:graphicData>
            </a:graphic>
          </wp:inline>
        </w:drawing>
      </w:r>
    </w:p>
    <w:p w14:paraId="02E0B27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Baseline characteristics were well-balanced between groups (Table 1). The mean age was 58.4±12.3 years, with 58.3% male participants. The mean time since stroke was 6.8±3.2 months, and 52.4% had right-sided hemiplegia.</w:t>
      </w:r>
    </w:p>
    <w:p w14:paraId="012B3D46"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 xml:space="preserve">4.2 </w:t>
      </w:r>
      <w:commentRangeStart w:id="5"/>
      <w:r w:rsidRPr="00C500C3">
        <w:rPr>
          <w:rFonts w:ascii="Arial" w:hAnsi="Arial" w:cs="Arial"/>
          <w:b/>
          <w:sz w:val="22"/>
          <w:szCs w:val="22"/>
        </w:rPr>
        <w:t>Primary</w:t>
      </w:r>
      <w:commentRangeEnd w:id="5"/>
      <w:r w:rsidR="00E029EB">
        <w:rPr>
          <w:rStyle w:val="CommentReference"/>
          <w:rFonts w:ascii="Times New Roman" w:hAnsi="Times New Roman"/>
          <w:lang w:val="nb-NO" w:eastAsia="nb-NO"/>
        </w:rPr>
        <w:commentReference w:id="5"/>
      </w:r>
      <w:r w:rsidRPr="00C500C3">
        <w:rPr>
          <w:rFonts w:ascii="Arial" w:hAnsi="Arial" w:cs="Arial"/>
          <w:b/>
          <w:sz w:val="22"/>
          <w:szCs w:val="22"/>
        </w:rPr>
        <w:t xml:space="preserve"> Outcome: Barthel Index</w:t>
      </w:r>
    </w:p>
    <w:p w14:paraId="72DA693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Table 2 presents the Barthel Index scores across all time points. The mixed-effects model revealed significant main effects for time (F=156.8, </w:t>
      </w:r>
      <w:r w:rsidRPr="0037287F">
        <w:rPr>
          <w:rFonts w:ascii="Arial" w:hAnsi="Arial" w:cs="Arial"/>
          <w:i/>
        </w:rPr>
        <w:t>p</w:t>
      </w:r>
      <w:r w:rsidRPr="00C500C3">
        <w:rPr>
          <w:rFonts w:ascii="Arial" w:hAnsi="Arial" w:cs="Arial"/>
        </w:rPr>
        <w:t xml:space="preserve">&lt;0.001) and group-by-time interaction (F=12.4, </w:t>
      </w:r>
      <w:r w:rsidRPr="0037287F">
        <w:rPr>
          <w:rFonts w:ascii="Arial" w:hAnsi="Arial" w:cs="Arial"/>
          <w:i/>
        </w:rPr>
        <w:t>p</w:t>
      </w:r>
      <w:r w:rsidRPr="00C500C3">
        <w:rPr>
          <w:rFonts w:ascii="Arial" w:hAnsi="Arial" w:cs="Arial"/>
        </w:rPr>
        <w:t>&lt;0.001), indicating differential improvement between groups over time.</w:t>
      </w:r>
    </w:p>
    <w:p w14:paraId="4002679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At baseline, there were no significant differences in BI scores between groups (experimental: 45.2±18.7; control: 43.8±17.9; </w:t>
      </w:r>
      <w:r w:rsidRPr="0037287F">
        <w:rPr>
          <w:rFonts w:ascii="Arial" w:hAnsi="Arial" w:cs="Arial"/>
          <w:i/>
        </w:rPr>
        <w:t>p</w:t>
      </w:r>
      <w:r w:rsidRPr="00C500C3">
        <w:rPr>
          <w:rFonts w:ascii="Arial" w:hAnsi="Arial" w:cs="Arial"/>
        </w:rPr>
        <w:t xml:space="preserve">=0.72). At 6 weeks post-intervention, the experimental group showed significantly greater improvement (61.0±20.1) compared to the control group (52.0±19.4; </w:t>
      </w:r>
      <w:r w:rsidRPr="0037287F">
        <w:rPr>
          <w:rFonts w:ascii="Arial" w:hAnsi="Arial" w:cs="Arial"/>
          <w:i/>
        </w:rPr>
        <w:t>p</w:t>
      </w:r>
      <w:r w:rsidRPr="00C500C3">
        <w:rPr>
          <w:rFonts w:ascii="Arial" w:hAnsi="Arial" w:cs="Arial"/>
        </w:rPr>
        <w:t xml:space="preserve">=0.037, Cohen's d=0.46). This difference was more pronounced at 12-week follow-up (experimental: 67.3±21.2; control: 55.1±20.8; </w:t>
      </w:r>
      <w:r w:rsidRPr="0037287F">
        <w:rPr>
          <w:rFonts w:ascii="Arial" w:hAnsi="Arial" w:cs="Arial"/>
          <w:i/>
        </w:rPr>
        <w:t>p</w:t>
      </w:r>
      <w:r w:rsidRPr="00C500C3">
        <w:rPr>
          <w:rFonts w:ascii="Arial" w:hAnsi="Arial" w:cs="Arial"/>
        </w:rPr>
        <w:t>=0.009, Cohen's d=0.58).</w:t>
      </w:r>
    </w:p>
    <w:p w14:paraId="374C0C8E"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Within-group analysis revealed significant improvements from baseline in both groups at all time points (all </w:t>
      </w:r>
      <w:r w:rsidRPr="0037287F">
        <w:rPr>
          <w:rFonts w:ascii="Arial" w:hAnsi="Arial" w:cs="Arial"/>
          <w:i/>
        </w:rPr>
        <w:t>p</w:t>
      </w:r>
      <w:r w:rsidRPr="00C500C3">
        <w:rPr>
          <w:rFonts w:ascii="Arial" w:hAnsi="Arial" w:cs="Arial"/>
        </w:rPr>
        <w:t>&lt;0.001). However, the experimental group demonstrated larger effect sizes for improvement (baseline to 12 weeks: d=1.24 vs. d=0.68 for control group).</w:t>
      </w:r>
    </w:p>
    <w:p w14:paraId="7B8A661E"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4.3 Secondary Outcomes</w:t>
      </w:r>
    </w:p>
    <w:p w14:paraId="077C987E"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4.3.1 Functional Independence Measure (FIM) Motor Subscale</w:t>
      </w:r>
    </w:p>
    <w:p w14:paraId="51F2DC8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Similar patterns were observed for FIM motor scores (Table 3). The experimental group showed significantly greater improvements at 6 weeks (67.2±15.8 vs. 58.9±14.2; </w:t>
      </w:r>
      <w:r w:rsidRPr="0037287F">
        <w:rPr>
          <w:rFonts w:ascii="Arial" w:hAnsi="Arial" w:cs="Arial"/>
          <w:i/>
        </w:rPr>
        <w:t>p</w:t>
      </w:r>
      <w:r w:rsidRPr="00C500C3">
        <w:rPr>
          <w:rFonts w:ascii="Arial" w:hAnsi="Arial" w:cs="Arial"/>
        </w:rPr>
        <w:t xml:space="preserve">=0.012, Cohen's d=0.56) and 12 weeks (72.1±16.4 vs. 62.3±15.7; </w:t>
      </w:r>
      <w:r w:rsidRPr="0037287F">
        <w:rPr>
          <w:rFonts w:ascii="Arial" w:hAnsi="Arial" w:cs="Arial"/>
          <w:i/>
        </w:rPr>
        <w:t>p</w:t>
      </w:r>
      <w:r w:rsidRPr="00C500C3">
        <w:rPr>
          <w:rFonts w:ascii="Arial" w:hAnsi="Arial" w:cs="Arial"/>
        </w:rPr>
        <w:t>=0.006, Cohen's d=0.61) compared to the control group.</w:t>
      </w:r>
    </w:p>
    <w:p w14:paraId="6D034789"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lastRenderedPageBreak/>
        <w:t>4.3.2 Canadian Occupational Performance Measure (COPM)</w:t>
      </w:r>
    </w:p>
    <w:p w14:paraId="31DC55D2"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COPM performance scores showed significant between-group differences favoring the experimental group at both post-intervention time points (Table 4). At 12 weeks, the experimental group scored 6.8±1.9 compared to 5.2±1.7 in the control group (</w:t>
      </w:r>
      <w:r w:rsidRPr="0037287F">
        <w:rPr>
          <w:rFonts w:ascii="Arial" w:hAnsi="Arial" w:cs="Arial"/>
          <w:i/>
        </w:rPr>
        <w:t>p</w:t>
      </w:r>
      <w:r w:rsidRPr="00C500C3">
        <w:rPr>
          <w:rFonts w:ascii="Arial" w:hAnsi="Arial" w:cs="Arial"/>
        </w:rPr>
        <w:t>&lt;0.001, Cohen's d=0.89).</w:t>
      </w:r>
    </w:p>
    <w:p w14:paraId="6CD5274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COPM satisfaction scores followed a similar pattern, with the experimental group showing greater improvements at 6 weeks (6.1±1.8 vs. 4.9±1.6; </w:t>
      </w:r>
      <w:r w:rsidRPr="0037287F">
        <w:rPr>
          <w:rFonts w:ascii="Arial" w:hAnsi="Arial" w:cs="Arial"/>
          <w:i/>
        </w:rPr>
        <w:t>p</w:t>
      </w:r>
      <w:r w:rsidRPr="00C500C3">
        <w:rPr>
          <w:rFonts w:ascii="Arial" w:hAnsi="Arial" w:cs="Arial"/>
        </w:rPr>
        <w:t xml:space="preserve">=0.002) and 12 weeks (7.2±1.8 vs. 5.7±1.9; </w:t>
      </w:r>
      <w:r w:rsidRPr="0037287F">
        <w:rPr>
          <w:rFonts w:ascii="Arial" w:hAnsi="Arial" w:cs="Arial"/>
          <w:i/>
        </w:rPr>
        <w:t>p</w:t>
      </w:r>
      <w:r w:rsidRPr="00C500C3">
        <w:rPr>
          <w:rFonts w:ascii="Arial" w:hAnsi="Arial" w:cs="Arial"/>
        </w:rPr>
        <w:t>&lt;0.001).</w:t>
      </w:r>
    </w:p>
    <w:p w14:paraId="48511F18"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4.4 Adverse Events</w:t>
      </w:r>
    </w:p>
    <w:p w14:paraId="6B22B40F"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No serious adverse events related to the interventions were reported. Minor adverse events included temporary skin redness at electrode sites in 8 participants (19%) in the experimental group, which resolved within 24 hours. Two participants in the control group reported temporary muscle soreness during conventional exercises.</w:t>
      </w:r>
    </w:p>
    <w:p w14:paraId="2D628336"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 Discussion</w:t>
      </w:r>
    </w:p>
    <w:p w14:paraId="3750677D"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This randomized controlled trial demonstrated that FES combined with motor relearning programs significantly improves ADL performance in patients with upper limb impairment following ischemic stroke compared to conventional physiotherapy alone. The combined intervention showed superior effects across all outcome measures, with improvements maintained at 12-week follow-up.</w:t>
      </w:r>
    </w:p>
    <w:p w14:paraId="229EFB1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5.1 Primary Findings</w:t>
      </w:r>
    </w:p>
    <w:p w14:paraId="481311D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15.8-point improvement in Barthel Index scores in the experimental group compared to 8.2 points in the control group represents a clinically meaningful difference. Previous research has established that a 4-point change in BI represents a minimal clinically important difference (Hsieh et al., 2007), suggesting that our findings have practical significance for patients' daily functioning.</w:t>
      </w:r>
    </w:p>
    <w:p w14:paraId="1EA074AC"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sustained improvements at 12-week follow-up are particularly noteworthy, as they suggest that the combined intervention may promote lasting neuroplastic changes rather than temporary effects. This finding aligns with motor learning principles, which suggest that intensive, task-specific practice can lead to permanent changes in motor skill acquisition (Schmidt &amp; Lee, 2019).</w:t>
      </w:r>
    </w:p>
    <w:p w14:paraId="0CA89EDD"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5.2 Mechanisms of Action</w:t>
      </w:r>
    </w:p>
    <w:p w14:paraId="3BE3367D"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superior outcomes observed with the combined intervention may be attributed to several mechanisms. FES provides sensory feedback and facilitates muscle activation, potentially enhancing the motor relearning process through increased sensorimotor integration (Rushton, 2003). The electrical stimulation may also promote neuroplasticity by increasing cortical excitability and facilitating use-dependent plasticity (</w:t>
      </w:r>
      <w:proofErr w:type="spellStart"/>
      <w:r w:rsidRPr="00C500C3">
        <w:rPr>
          <w:rFonts w:ascii="Arial" w:hAnsi="Arial" w:cs="Arial"/>
        </w:rPr>
        <w:t>Hummelsheim</w:t>
      </w:r>
      <w:proofErr w:type="spellEnd"/>
      <w:r w:rsidRPr="00C500C3">
        <w:rPr>
          <w:rFonts w:ascii="Arial" w:hAnsi="Arial" w:cs="Arial"/>
        </w:rPr>
        <w:t xml:space="preserve"> et al., 1997).</w:t>
      </w:r>
    </w:p>
    <w:p w14:paraId="16AE27B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Motor relearning programs emphasize task-specific practice and progressive skill acquisition, which are fundamental to motor recovery post-stroke (Krakauer, 2006). The </w:t>
      </w:r>
      <w:r w:rsidRPr="00C500C3">
        <w:rPr>
          <w:rFonts w:ascii="Arial" w:hAnsi="Arial" w:cs="Arial"/>
        </w:rPr>
        <w:lastRenderedPageBreak/>
        <w:t>combination of FES with motor relearning may create an optimal environment for neuroplastic changes by providing both afferent stimulation and efferent motor practice.</w:t>
      </w:r>
    </w:p>
    <w:p w14:paraId="323643D7"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5.3 Comparison with Previous Studies</w:t>
      </w:r>
    </w:p>
    <w:p w14:paraId="66D556F6"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Our findings are consistent with previous research demonstrating the benefits of FES for upper limb recovery post-stroke. Chae et al. (2009) reported similar improvements in functional outcomes with FES intervention, though their study did not specifically examine ADL performance. A systematic review by </w:t>
      </w:r>
      <w:proofErr w:type="spellStart"/>
      <w:r w:rsidRPr="00C500C3">
        <w:rPr>
          <w:rFonts w:ascii="Arial" w:hAnsi="Arial" w:cs="Arial"/>
        </w:rPr>
        <w:t>Eraifej</w:t>
      </w:r>
      <w:proofErr w:type="spellEnd"/>
      <w:r w:rsidRPr="00C500C3">
        <w:rPr>
          <w:rFonts w:ascii="Arial" w:hAnsi="Arial" w:cs="Arial"/>
        </w:rPr>
        <w:t xml:space="preserve"> et al. (2017) found moderate evidence for FES effectiveness but noted the need for standardized outcome measures and intervention protocols.</w:t>
      </w:r>
    </w:p>
    <w:p w14:paraId="2175FCA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motor relearning component of our intervention aligns with evidence supporting task-specific training for stroke recovery. French et al. (2016) demonstrated that repetitive task training improved upper limb function, though the magnitude of improvement in our study was greater, possibly due to the synergistic effects of combining FES with motor relearning.</w:t>
      </w:r>
    </w:p>
    <w:p w14:paraId="4669571F"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5.4 Clinical Implications</w:t>
      </w:r>
    </w:p>
    <w:p w14:paraId="524027A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results of this study have important implications for stroke rehabilitation practice. The combined FES and motor relearning approach offers a feasible intervention that can be implemented in clinical settings with appropriate training and equipment. The significant improvements in ADL performance suggest that this intervention could reduce dependency and improve quality of life for stroke survivors.</w:t>
      </w:r>
    </w:p>
    <w:p w14:paraId="023E71B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patient-centered outcomes measured by COPM demonstrate that improvements were not only statistically significant but also meaningful to patients in their daily lives. This is crucial for rehabilitation interventions, as patient-perceived improvements are essential for motivation and long-term adherence to treatment programs.</w:t>
      </w:r>
    </w:p>
    <w:p w14:paraId="309D1B80"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5.5 Limitations</w:t>
      </w:r>
    </w:p>
    <w:p w14:paraId="1634C2D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Several limitations should be acknowledged. First, the inability to blind participants and treating therapists may have introduced performance bias, though the use of blinded outcome assessors minimized detection bias. Second, the study population was limited to patients with mild to moderate impairment (BI 20-80), and results may not generalize to patients with more severe deficits.</w:t>
      </w:r>
    </w:p>
    <w:p w14:paraId="012270B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Third, the intervention was delivered in a controlled research environment with dedicated equipment and trained personnel, which may not reflect real-world clinical practice. The cost-effectiveness of the intervention was not evaluated, which is important for healthcare decision-making.</w:t>
      </w:r>
    </w:p>
    <w:p w14:paraId="214AFD7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Fourth, while the 12-week follow-up provides insight into short-term maintenance of effects, longer-term follow-up would be valuable to assess the durability of improvements. Finally, the study did not include measures of cortical changes or biomarkers that could provide insight into the underlying mechanisms of recovery.</w:t>
      </w:r>
    </w:p>
    <w:p w14:paraId="54E98D2D"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5.6 Future Research Directions</w:t>
      </w:r>
    </w:p>
    <w:p w14:paraId="1ED9D46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lastRenderedPageBreak/>
        <w:t>Future research should investigate the optimal parameters for FES (frequency, intensity, duration) and the most effective components of motor relearning programs. Studies examining the intervention in patients with different severity levels and stroke characteristics would enhance generalizability.</w:t>
      </w:r>
    </w:p>
    <w:p w14:paraId="25B51A94"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Investigation of the underlying neurophysiological mechanisms through neuroimaging or electrophysiological measures would provide valuable insights into how the combined intervention promotes recovery. Additionally, economic evaluations and implementation studies are needed to facilitate translation into clinical practice.</w:t>
      </w:r>
    </w:p>
    <w:p w14:paraId="2FC95FF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Long-term follow-up studies (6-12 months) would provide important information about the sustainability of improvements and the need for maintenance interventions. Finally, research comparing different combinations of interventions could help optimize treatment protocols for individual patients.</w:t>
      </w:r>
    </w:p>
    <w:p w14:paraId="5B73ED3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5.7 Clinical Recommendations</w:t>
      </w:r>
    </w:p>
    <w:p w14:paraId="095FFFF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Based on these findings, clinicians should consider incorporating FES combined with motor relearning programs into rehabilitation protocols for stroke patients with upper limb impairment. The intervention appears most suitable for patients with mild to moderate impairment who can participate in active motor relearning exercises.</w:t>
      </w:r>
    </w:p>
    <w:p w14:paraId="42EB8E4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Implementation should include proper training of rehabilitation professionals in FES application and motor relearning principles. Regular monitoring of progress using standardized outcome measures is recommended to adjust treatment intensity and focus areas based on individual response.</w:t>
      </w:r>
    </w:p>
    <w:p w14:paraId="61BE3B0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Patient education about the intervention and realistic goal setting are important for maximizing engagement and adherence. The patient-centered approach demonstrated by COPM improvements suggests that involving patients in identifying priority areas for improvement enhances intervention effectiveness.</w:t>
      </w:r>
    </w:p>
    <w:p w14:paraId="59EBFB7F"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6. Conclusion</w:t>
      </w:r>
    </w:p>
    <w:p w14:paraId="4D1C238F"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This randomized controlled trial provides strong evidence that FES combined with motor relearning programs significantly improves ADL performance in patients with upper limb impairment following ischemic stroke. The intervention demonstrated superior effectiveness compared to conventional physiotherapy alone, with improvements maintained at 12-week follow-up.</w:t>
      </w:r>
    </w:p>
    <w:p w14:paraId="4B8CF86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combined approach addresses both motor output through electrical stimulation and motor learning through task-specific practice, potentially optimizing neuroplastic recovery mechanisms. The clinically meaningful improvements in ADL performance, as measured by standardized assessments and patient-perceived outcomes, support the integration of this intervention into stroke rehabilitation protocols.</w:t>
      </w:r>
    </w:p>
    <w:p w14:paraId="7A23080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findings contribute to the growing evidence base for combining therapeutic modalities to enhance stroke recovery outcomes. Future research should focus on optimizing intervention parameters, investigating underlying mechanisms, and evaluating long-term effects to further refine this promising rehabilitation approach.</w:t>
      </w:r>
    </w:p>
    <w:p w14:paraId="2CF892C5" w14:textId="77777777" w:rsidR="00C500C3" w:rsidRDefault="00C500C3" w:rsidP="00C500C3">
      <w:pPr>
        <w:spacing w:before="100" w:beforeAutospacing="1" w:after="100" w:afterAutospacing="1"/>
        <w:jc w:val="both"/>
        <w:rPr>
          <w:rFonts w:ascii="Arial" w:hAnsi="Arial" w:cs="Arial"/>
        </w:rPr>
      </w:pPr>
      <w:r w:rsidRPr="00C500C3">
        <w:rPr>
          <w:rFonts w:ascii="Arial" w:hAnsi="Arial" w:cs="Arial"/>
        </w:rPr>
        <w:lastRenderedPageBreak/>
        <w:t>Healthcare providers should consider implementing FES combined with motor relearning programs as an evidence-based intervention for improving functional independence in stroke survivors, while ensuring appropriate training and resources for safe and effective delivery.</w:t>
      </w:r>
    </w:p>
    <w:p w14:paraId="5723644F" w14:textId="77777777" w:rsidR="00351535" w:rsidRDefault="00351535" w:rsidP="00351535">
      <w:pPr>
        <w:rPr>
          <w:rFonts w:ascii="Arial" w:hAnsi="Arial" w:cs="Arial"/>
        </w:rPr>
      </w:pPr>
      <w:r w:rsidRPr="00351535">
        <w:rPr>
          <w:rFonts w:ascii="Arial" w:hAnsi="Arial" w:cs="Arial"/>
          <w:b/>
        </w:rPr>
        <w:t>ACKNOWLEDGMENTS</w:t>
      </w:r>
      <w:r w:rsidRPr="00351535">
        <w:rPr>
          <w:rFonts w:ascii="Arial" w:hAnsi="Arial" w:cs="Arial"/>
        </w:rPr>
        <w:t>:</w:t>
      </w:r>
    </w:p>
    <w:p w14:paraId="03CC1540" w14:textId="77777777" w:rsidR="00351535" w:rsidRPr="00351535" w:rsidRDefault="00351535" w:rsidP="00351535">
      <w:pPr>
        <w:rPr>
          <w:rFonts w:ascii="Arial" w:hAnsi="Arial" w:cs="Arial"/>
        </w:rPr>
      </w:pPr>
      <w:r w:rsidRPr="00351535">
        <w:rPr>
          <w:rFonts w:ascii="Arial" w:hAnsi="Arial" w:cs="Arial"/>
        </w:rPr>
        <w:t>The authors express gratitude to participants and staff engaged in this study.</w:t>
      </w:r>
    </w:p>
    <w:p w14:paraId="4757F6F7" w14:textId="77777777" w:rsidR="00351535" w:rsidRPr="00351535" w:rsidRDefault="00351535" w:rsidP="00351535">
      <w:pPr>
        <w:rPr>
          <w:rFonts w:ascii="Arial" w:hAnsi="Arial" w:cs="Arial"/>
        </w:rPr>
      </w:pPr>
      <w:r w:rsidRPr="00351535">
        <w:rPr>
          <w:rFonts w:ascii="Arial" w:hAnsi="Arial" w:cs="Arial"/>
        </w:rPr>
        <w:t>Conflict of Interest: The authors declare no conflict of interest.</w:t>
      </w:r>
    </w:p>
    <w:p w14:paraId="14AA3CD9"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Funding: No external funding was received.</w:t>
      </w:r>
    </w:p>
    <w:p w14:paraId="61ECFF83" w14:textId="77777777" w:rsidR="00351535" w:rsidRPr="00351535" w:rsidRDefault="00351535" w:rsidP="00351535">
      <w:pPr>
        <w:pStyle w:val="NoSpacing"/>
        <w:jc w:val="both"/>
        <w:rPr>
          <w:rFonts w:ascii="Arial" w:eastAsia="Times New Roman" w:hAnsi="Arial" w:cs="Arial"/>
          <w:sz w:val="20"/>
          <w:szCs w:val="20"/>
          <w:lang w:val="en-US"/>
        </w:rPr>
      </w:pPr>
    </w:p>
    <w:p w14:paraId="5C1324A6"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Declaration by Authors</w:t>
      </w:r>
    </w:p>
    <w:p w14:paraId="6571C8E6"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Ethical Approval: Approved</w:t>
      </w:r>
    </w:p>
    <w:p w14:paraId="5934FC2A"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Source of Funding: None</w:t>
      </w:r>
    </w:p>
    <w:p w14:paraId="60BAC494"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Conflict of Interest: No conflict of interest by authors.</w:t>
      </w:r>
    </w:p>
    <w:p w14:paraId="78143C20" w14:textId="77777777" w:rsidR="00351535" w:rsidRPr="00351535" w:rsidRDefault="00351535" w:rsidP="00351535">
      <w:pPr>
        <w:pStyle w:val="NoSpacing"/>
        <w:jc w:val="both"/>
        <w:rPr>
          <w:rFonts w:ascii="Arial" w:eastAsia="Times New Roman" w:hAnsi="Arial" w:cs="Arial"/>
          <w:sz w:val="20"/>
          <w:szCs w:val="20"/>
          <w:lang w:val="en-US"/>
        </w:rPr>
      </w:pPr>
    </w:p>
    <w:p w14:paraId="3B539A13" w14:textId="77777777" w:rsidR="00351535" w:rsidRDefault="00351535" w:rsidP="00351535">
      <w:pPr>
        <w:pStyle w:val="NoSpacing"/>
        <w:jc w:val="both"/>
        <w:rPr>
          <w:rFonts w:ascii="Arial" w:hAnsi="Arial" w:cs="Arial"/>
          <w:b/>
          <w:caps/>
          <w:sz w:val="20"/>
        </w:rPr>
      </w:pPr>
      <w:r w:rsidRPr="00351535">
        <w:rPr>
          <w:rFonts w:ascii="Arial" w:eastAsia="Times New Roman" w:hAnsi="Arial" w:cs="Arial"/>
          <w:sz w:val="20"/>
          <w:szCs w:val="20"/>
          <w:lang w:val="en-US"/>
        </w:rPr>
        <w:t>Authors have declared that no competing interests exist.”.</w:t>
      </w:r>
    </w:p>
    <w:p w14:paraId="114AADE3"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Authors’ Contributions</w:t>
      </w:r>
    </w:p>
    <w:p w14:paraId="78FD8EEA" w14:textId="77777777" w:rsidR="00351535" w:rsidRPr="00351535" w:rsidRDefault="00351535" w:rsidP="00351535">
      <w:pPr>
        <w:pStyle w:val="ReferHead"/>
        <w:spacing w:after="0"/>
        <w:jc w:val="both"/>
        <w:rPr>
          <w:rFonts w:ascii="Arial" w:hAnsi="Arial" w:cs="Arial"/>
          <w:b w:val="0"/>
          <w:caps w:val="0"/>
          <w:sz w:val="20"/>
        </w:rPr>
      </w:pPr>
    </w:p>
    <w:p w14:paraId="3260A2B7" w14:textId="77777777" w:rsidR="00351535" w:rsidRPr="00351535" w:rsidRDefault="00351535" w:rsidP="00351535">
      <w:pPr>
        <w:pStyle w:val="ReferHead"/>
        <w:spacing w:after="0"/>
        <w:jc w:val="both"/>
        <w:rPr>
          <w:rFonts w:ascii="Arial" w:hAnsi="Arial" w:cs="Arial"/>
          <w:b w:val="0"/>
          <w:caps w:val="0"/>
          <w:sz w:val="20"/>
        </w:rPr>
      </w:pPr>
      <w:proofErr w:type="gramStart"/>
      <w:r w:rsidRPr="00351535">
        <w:rPr>
          <w:rFonts w:ascii="Arial" w:hAnsi="Arial" w:cs="Arial"/>
          <w:b w:val="0"/>
          <w:caps w:val="0"/>
          <w:sz w:val="20"/>
        </w:rPr>
        <w:t>“ ‘</w:t>
      </w:r>
      <w:proofErr w:type="gramEnd"/>
      <w:r w:rsidRPr="00351535">
        <w:rPr>
          <w:rFonts w:ascii="Arial" w:hAnsi="Arial" w:cs="Arial"/>
          <w:b w:val="0"/>
          <w:caps w:val="0"/>
          <w:sz w:val="20"/>
        </w:rPr>
        <w:t xml:space="preserve">Venugopal Pawar (Author A)’ designed the study, performed the statistical analysis, wrote the protocol, and wrote the first draft of the manuscript. </w:t>
      </w:r>
      <w:proofErr w:type="gramStart"/>
      <w:r w:rsidRPr="00351535">
        <w:rPr>
          <w:rFonts w:ascii="Arial" w:hAnsi="Arial" w:cs="Arial"/>
          <w:b w:val="0"/>
          <w:caps w:val="0"/>
          <w:sz w:val="20"/>
        </w:rPr>
        <w:t>‘ Rakesh</w:t>
      </w:r>
      <w:proofErr w:type="gramEnd"/>
      <w:r>
        <w:rPr>
          <w:rFonts w:ascii="Arial" w:hAnsi="Arial" w:cs="Arial"/>
          <w:b w:val="0"/>
          <w:caps w:val="0"/>
          <w:sz w:val="20"/>
        </w:rPr>
        <w:t xml:space="preserve"> </w:t>
      </w:r>
      <w:proofErr w:type="spellStart"/>
      <w:r w:rsidRPr="00351535">
        <w:rPr>
          <w:rFonts w:ascii="Arial" w:hAnsi="Arial" w:cs="Arial"/>
          <w:b w:val="0"/>
          <w:caps w:val="0"/>
          <w:sz w:val="20"/>
        </w:rPr>
        <w:t>kumar</w:t>
      </w:r>
      <w:proofErr w:type="spellEnd"/>
      <w:r>
        <w:rPr>
          <w:rFonts w:ascii="Arial" w:hAnsi="Arial" w:cs="Arial"/>
          <w:b w:val="0"/>
          <w:caps w:val="0"/>
          <w:sz w:val="20"/>
        </w:rPr>
        <w:t xml:space="preserve"> </w:t>
      </w:r>
      <w:proofErr w:type="spellStart"/>
      <w:r w:rsidRPr="00351535">
        <w:rPr>
          <w:rFonts w:ascii="Arial" w:hAnsi="Arial" w:cs="Arial"/>
          <w:b w:val="0"/>
          <w:caps w:val="0"/>
          <w:sz w:val="20"/>
        </w:rPr>
        <w:t>singh</w:t>
      </w:r>
      <w:proofErr w:type="spellEnd"/>
      <w:r w:rsidRPr="00351535">
        <w:rPr>
          <w:rFonts w:ascii="Arial" w:hAnsi="Arial" w:cs="Arial"/>
          <w:b w:val="0"/>
          <w:caps w:val="0"/>
          <w:sz w:val="20"/>
        </w:rPr>
        <w:t xml:space="preserve"> (Author B) guided the manuscript’ and ‘</w:t>
      </w:r>
      <w:r>
        <w:rPr>
          <w:rFonts w:ascii="Arial" w:hAnsi="Arial" w:cs="Arial"/>
          <w:b w:val="0"/>
          <w:caps w:val="0"/>
          <w:sz w:val="20"/>
        </w:rPr>
        <w:t xml:space="preserve">Shailendra </w:t>
      </w:r>
      <w:proofErr w:type="spellStart"/>
      <w:r>
        <w:rPr>
          <w:rFonts w:ascii="Arial" w:hAnsi="Arial" w:cs="Arial"/>
          <w:b w:val="0"/>
          <w:caps w:val="0"/>
          <w:sz w:val="20"/>
        </w:rPr>
        <w:t>mehta</w:t>
      </w:r>
      <w:proofErr w:type="spellEnd"/>
      <w:r w:rsidRPr="00351535">
        <w:rPr>
          <w:rFonts w:ascii="Arial" w:hAnsi="Arial" w:cs="Arial"/>
          <w:b w:val="0"/>
          <w:caps w:val="0"/>
          <w:sz w:val="20"/>
        </w:rPr>
        <w:t xml:space="preserve"> (Author C)’ managed the analyses of the study. ‘Author A’ managed the literature searches All authors read and approved the final manuscript.”</w:t>
      </w:r>
    </w:p>
    <w:p w14:paraId="404F1C20" w14:textId="77777777" w:rsidR="00351535" w:rsidRPr="00351535" w:rsidRDefault="00351535" w:rsidP="00351535">
      <w:pPr>
        <w:pStyle w:val="ReferHead"/>
        <w:spacing w:after="0"/>
        <w:jc w:val="both"/>
        <w:rPr>
          <w:rFonts w:ascii="Arial" w:hAnsi="Arial" w:cs="Arial"/>
          <w:b w:val="0"/>
          <w:caps w:val="0"/>
          <w:sz w:val="20"/>
        </w:rPr>
      </w:pPr>
    </w:p>
    <w:p w14:paraId="35F6C2B4"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"All authors declare that ‘written informed consent was obtained from the </w:t>
      </w:r>
      <w:proofErr w:type="gramStart"/>
      <w:r w:rsidRPr="00351535">
        <w:rPr>
          <w:rFonts w:ascii="Arial" w:hAnsi="Arial" w:cs="Arial"/>
          <w:b w:val="0"/>
          <w:caps w:val="0"/>
          <w:sz w:val="20"/>
        </w:rPr>
        <w:t>patient  for</w:t>
      </w:r>
      <w:proofErr w:type="gramEnd"/>
      <w:r w:rsidRPr="00351535">
        <w:rPr>
          <w:rFonts w:ascii="Arial" w:hAnsi="Arial" w:cs="Arial"/>
          <w:b w:val="0"/>
          <w:caps w:val="0"/>
          <w:sz w:val="20"/>
        </w:rPr>
        <w:t xml:space="preserve"> publication of this case report and accompanying images. A copy of the written consent is available for review by the Editorial office/Chief Editor/Editorial Board members of this journal."</w:t>
      </w:r>
    </w:p>
    <w:p w14:paraId="56984D61" w14:textId="77777777" w:rsidR="00351535" w:rsidRPr="00351535" w:rsidRDefault="00351535" w:rsidP="00351535">
      <w:pPr>
        <w:pStyle w:val="ReferHead"/>
        <w:spacing w:after="0"/>
        <w:jc w:val="both"/>
        <w:rPr>
          <w:rFonts w:ascii="Arial" w:hAnsi="Arial" w:cs="Arial"/>
          <w:b w:val="0"/>
          <w:caps w:val="0"/>
          <w:sz w:val="20"/>
        </w:rPr>
      </w:pPr>
    </w:p>
    <w:p w14:paraId="2BDD61D9"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Ethical approval</w:t>
      </w:r>
    </w:p>
    <w:p w14:paraId="66FF92FA" w14:textId="77777777" w:rsidR="00351535" w:rsidRPr="00351535" w:rsidRDefault="00351535" w:rsidP="00351535">
      <w:pPr>
        <w:pStyle w:val="ReferHead"/>
        <w:spacing w:after="0"/>
        <w:jc w:val="both"/>
        <w:rPr>
          <w:rFonts w:ascii="Arial" w:hAnsi="Arial" w:cs="Arial"/>
          <w:b w:val="0"/>
          <w:caps w:val="0"/>
          <w:sz w:val="20"/>
        </w:rPr>
      </w:pPr>
    </w:p>
    <w:p w14:paraId="75B67628" w14:textId="77777777" w:rsidR="00351535" w:rsidRPr="00351535" w:rsidRDefault="00351535" w:rsidP="00351535">
      <w:pPr>
        <w:pStyle w:val="ReferHead"/>
        <w:spacing w:after="0"/>
        <w:jc w:val="both"/>
        <w:rPr>
          <w:rFonts w:ascii="Arial" w:hAnsi="Arial" w:cs="Arial"/>
          <w:b w:val="0"/>
          <w:caps w:val="0"/>
          <w:sz w:val="20"/>
        </w:rPr>
      </w:pPr>
      <w:proofErr w:type="spellStart"/>
      <w:r w:rsidRPr="00351535">
        <w:rPr>
          <w:rFonts w:ascii="Arial" w:hAnsi="Arial" w:cs="Arial"/>
          <w:b w:val="0"/>
          <w:caps w:val="0"/>
          <w:sz w:val="20"/>
        </w:rPr>
        <w:t>iEC</w:t>
      </w:r>
      <w:proofErr w:type="spellEnd"/>
      <w:r w:rsidRPr="00351535">
        <w:rPr>
          <w:rFonts w:ascii="Arial" w:hAnsi="Arial" w:cs="Arial"/>
          <w:b w:val="0"/>
          <w:caps w:val="0"/>
          <w:sz w:val="20"/>
        </w:rPr>
        <w:t xml:space="preserve"> No.2025/61/017</w:t>
      </w:r>
    </w:p>
    <w:p w14:paraId="73DFC79A"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Proceeding of the 61st meeting of IEC </w:t>
      </w:r>
      <w:proofErr w:type="gramStart"/>
      <w:r w:rsidRPr="00351535">
        <w:rPr>
          <w:rFonts w:ascii="Arial" w:hAnsi="Arial" w:cs="Arial"/>
          <w:b w:val="0"/>
          <w:caps w:val="0"/>
          <w:sz w:val="20"/>
        </w:rPr>
        <w:t>of  DCMS</w:t>
      </w:r>
      <w:proofErr w:type="gramEnd"/>
      <w:r w:rsidRPr="00351535">
        <w:rPr>
          <w:rFonts w:ascii="Arial" w:hAnsi="Arial" w:cs="Arial"/>
          <w:b w:val="0"/>
          <w:caps w:val="0"/>
          <w:sz w:val="20"/>
        </w:rPr>
        <w:t xml:space="preserve">&amp; AH, </w:t>
      </w:r>
      <w:proofErr w:type="spellStart"/>
      <w:r w:rsidRPr="00351535">
        <w:rPr>
          <w:rFonts w:ascii="Arial" w:hAnsi="Arial" w:cs="Arial"/>
          <w:b w:val="0"/>
          <w:caps w:val="0"/>
          <w:sz w:val="20"/>
        </w:rPr>
        <w:t>Hyd</w:t>
      </w:r>
      <w:proofErr w:type="spellEnd"/>
      <w:r w:rsidRPr="00351535">
        <w:rPr>
          <w:rFonts w:ascii="Arial" w:hAnsi="Arial" w:cs="Arial"/>
          <w:b w:val="0"/>
          <w:caps w:val="0"/>
          <w:sz w:val="20"/>
        </w:rPr>
        <w:t xml:space="preserve"> held on 12th April 2025 at 11:30 AM</w:t>
      </w:r>
    </w:p>
    <w:p w14:paraId="6AF94E83" w14:textId="77777777" w:rsid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Issuing Authority: Institutional Ethical committee </w:t>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p>
    <w:p w14:paraId="7945E342"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(Deccan College of Medical scien</w:t>
      </w:r>
      <w:r>
        <w:rPr>
          <w:rFonts w:ascii="Arial" w:hAnsi="Arial" w:cs="Arial"/>
          <w:b w:val="0"/>
          <w:caps w:val="0"/>
          <w:sz w:val="20"/>
        </w:rPr>
        <w:t xml:space="preserve">ces &amp; Allied Hospitals), </w:t>
      </w:r>
      <w:proofErr w:type="spellStart"/>
      <w:r w:rsidRPr="00351535">
        <w:rPr>
          <w:rFonts w:ascii="Arial" w:hAnsi="Arial" w:cs="Arial"/>
          <w:b w:val="0"/>
          <w:caps w:val="0"/>
          <w:sz w:val="20"/>
        </w:rPr>
        <w:t>Kanchanbagh</w:t>
      </w:r>
      <w:proofErr w:type="spellEnd"/>
      <w:r w:rsidRPr="00351535">
        <w:rPr>
          <w:rFonts w:ascii="Arial" w:hAnsi="Arial" w:cs="Arial"/>
          <w:b w:val="0"/>
          <w:caps w:val="0"/>
          <w:sz w:val="20"/>
        </w:rPr>
        <w:t>, Hyderabad- 500058, Telangana, India</w:t>
      </w:r>
    </w:p>
    <w:p w14:paraId="092C5BEF" w14:textId="77777777" w:rsidR="00351535" w:rsidRPr="00351535" w:rsidRDefault="00351535" w:rsidP="00351535">
      <w:pPr>
        <w:pStyle w:val="ReferHead"/>
        <w:spacing w:after="0"/>
        <w:jc w:val="both"/>
        <w:rPr>
          <w:rFonts w:ascii="Arial" w:hAnsi="Arial" w:cs="Arial"/>
          <w:b w:val="0"/>
          <w:caps w:val="0"/>
          <w:sz w:val="20"/>
        </w:rPr>
      </w:pPr>
    </w:p>
    <w:p w14:paraId="05CF842B"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050E1CC6" w14:textId="77777777" w:rsidR="00351535" w:rsidRPr="00351535" w:rsidRDefault="00351535" w:rsidP="00351535">
      <w:pPr>
        <w:pStyle w:val="ReferHead"/>
        <w:spacing w:after="0"/>
        <w:jc w:val="both"/>
        <w:rPr>
          <w:rFonts w:ascii="Arial" w:hAnsi="Arial" w:cs="Arial"/>
          <w:b w:val="0"/>
          <w:caps w:val="0"/>
          <w:sz w:val="20"/>
        </w:rPr>
      </w:pPr>
    </w:p>
    <w:p w14:paraId="09727F6C" w14:textId="77777777" w:rsidR="00351535" w:rsidRPr="00351535" w:rsidRDefault="00351535" w:rsidP="00351535">
      <w:pPr>
        <w:rPr>
          <w:rFonts w:ascii="Arial" w:hAnsi="Arial" w:cs="Arial"/>
        </w:rPr>
      </w:pPr>
      <w:bookmarkStart w:id="6" w:name="_Hlk197682619"/>
      <w:bookmarkStart w:id="7" w:name="_Hlk180402183"/>
      <w:bookmarkStart w:id="8" w:name="_Hlk183680988"/>
      <w:r w:rsidRPr="00351535">
        <w:rPr>
          <w:rFonts w:ascii="Arial" w:hAnsi="Arial" w:cs="Arial"/>
        </w:rPr>
        <w:t>Disclaimer (Artificial intelligence)</w:t>
      </w:r>
    </w:p>
    <w:p w14:paraId="088EFB26" w14:textId="77777777" w:rsidR="00351535" w:rsidRPr="00351535" w:rsidRDefault="00351535" w:rsidP="00351535">
      <w:pPr>
        <w:rPr>
          <w:rFonts w:ascii="Arial" w:hAnsi="Arial" w:cs="Arial"/>
        </w:rPr>
      </w:pPr>
      <w:r w:rsidRPr="0035153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70459B0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References</w:t>
      </w:r>
    </w:p>
    <w:p w14:paraId="39591431" w14:textId="77777777" w:rsidR="00C500C3" w:rsidRDefault="00C500C3" w:rsidP="002C7EE6">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t>Benjamin, E. J., Muntner, P., Alonso, A., Bittencourt, M. S., Callaway, C. W., Carson, A. P., ... &amp; American Heart Association Council on Epidemiology and Prevention Statistics Committee and Stroke Statistics Subcommittee. (2019). Heart disease and stroke statistics—2019 update: a report from the American Heart Association. Circulation, 139(10), e56-e528.</w:t>
      </w:r>
    </w:p>
    <w:p w14:paraId="29685B9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lastRenderedPageBreak/>
        <w:t>Carr, J. H., &amp; Shepherd, R. B. (2003). Stroke rehabilitation: guidelines for exercise and training to optimize motor skill. Elsevier Health Sciences.</w:t>
      </w:r>
    </w:p>
    <w:p w14:paraId="238D934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t xml:space="preserve">Chae, J., </w:t>
      </w:r>
      <w:proofErr w:type="spellStart"/>
      <w:r w:rsidRPr="002C7EE6">
        <w:rPr>
          <w:rFonts w:ascii="Arial" w:hAnsi="Arial" w:cs="Arial"/>
        </w:rPr>
        <w:t>Bethoux</w:t>
      </w:r>
      <w:proofErr w:type="spellEnd"/>
      <w:r w:rsidRPr="002C7EE6">
        <w:rPr>
          <w:rFonts w:ascii="Arial" w:hAnsi="Arial" w:cs="Arial"/>
        </w:rPr>
        <w:t xml:space="preserve">, F., </w:t>
      </w:r>
      <w:proofErr w:type="spellStart"/>
      <w:r w:rsidRPr="002C7EE6">
        <w:rPr>
          <w:rFonts w:ascii="Arial" w:hAnsi="Arial" w:cs="Arial"/>
        </w:rPr>
        <w:t>Bohine</w:t>
      </w:r>
      <w:proofErr w:type="spellEnd"/>
      <w:r w:rsidRPr="002C7EE6">
        <w:rPr>
          <w:rFonts w:ascii="Arial" w:hAnsi="Arial" w:cs="Arial"/>
        </w:rPr>
        <w:t>, T., Dobos, L., Davis, T., &amp; Friedl, A. (2009). Neuromuscular stimulation for upper extremity motor and functional recovery in acute hemiplegia. Stroke, 29(5), 975-979.</w:t>
      </w:r>
    </w:p>
    <w:p w14:paraId="09570CB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de Kroon, J. R., van der Lee, J. H., </w:t>
      </w:r>
      <w:proofErr w:type="spellStart"/>
      <w:r w:rsidRPr="00395956">
        <w:rPr>
          <w:rFonts w:ascii="Arial" w:hAnsi="Arial" w:cs="Arial"/>
        </w:rPr>
        <w:t>IJzerman</w:t>
      </w:r>
      <w:proofErr w:type="spellEnd"/>
      <w:r w:rsidRPr="00395956">
        <w:rPr>
          <w:rFonts w:ascii="Arial" w:hAnsi="Arial" w:cs="Arial"/>
        </w:rPr>
        <w:t xml:space="preserve">, M. J., &amp; </w:t>
      </w:r>
      <w:proofErr w:type="spellStart"/>
      <w:r w:rsidRPr="00395956">
        <w:rPr>
          <w:rFonts w:ascii="Arial" w:hAnsi="Arial" w:cs="Arial"/>
        </w:rPr>
        <w:t>Lankhorst</w:t>
      </w:r>
      <w:proofErr w:type="spellEnd"/>
      <w:r w:rsidRPr="00395956">
        <w:rPr>
          <w:rFonts w:ascii="Arial" w:hAnsi="Arial" w:cs="Arial"/>
        </w:rPr>
        <w:t>, G. J. (2005). Therapeutic electrical stimulation to improve motor control and functional abilities of the upper extremity after stroke: a systematic review. Clinical Rehabilitation, 19(4), 407-415.</w:t>
      </w:r>
    </w:p>
    <w:p w14:paraId="6B8EA13D"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Dimyan</w:t>
      </w:r>
      <w:proofErr w:type="spellEnd"/>
      <w:r w:rsidRPr="00395956">
        <w:rPr>
          <w:rFonts w:ascii="Arial" w:hAnsi="Arial" w:cs="Arial"/>
        </w:rPr>
        <w:t>, M. A., &amp; Cohen, L. G. (2011). Neuroplasticity in the context of motor rehabilitation after stroke. Nature Reviews Neurology, 7(2), 76-85.</w:t>
      </w:r>
    </w:p>
    <w:p w14:paraId="59CC912D"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Eraifej</w:t>
      </w:r>
      <w:proofErr w:type="spellEnd"/>
      <w:r w:rsidRPr="00395956">
        <w:rPr>
          <w:rFonts w:ascii="Arial" w:hAnsi="Arial" w:cs="Arial"/>
        </w:rPr>
        <w:t xml:space="preserve">, J., Clark, W., France, B., </w:t>
      </w:r>
      <w:proofErr w:type="spellStart"/>
      <w:r w:rsidRPr="00395956">
        <w:rPr>
          <w:rFonts w:ascii="Arial" w:hAnsi="Arial" w:cs="Arial"/>
        </w:rPr>
        <w:t>Desando</w:t>
      </w:r>
      <w:proofErr w:type="spellEnd"/>
      <w:r w:rsidRPr="00395956">
        <w:rPr>
          <w:rFonts w:ascii="Arial" w:hAnsi="Arial" w:cs="Arial"/>
        </w:rPr>
        <w:t>, S., &amp; Moore, D. (2017). Effectiveness of upper limb functional electrical stimulation after stroke for the improvement of activities of daily living and motor function: a systematic review and meta-analysis. Systematic Reviews, 6(1), 1-21.</w:t>
      </w:r>
    </w:p>
    <w:p w14:paraId="17EA5A78"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French, B., Thomas, L. H., Coupe, J., McMahon, N. E., Connell, L., Harrison, J., ... &amp; Watkins, C. L. (2016). Repetitive task training for improving functional ability after stroke. Cochrane Database of Systematic Reviews, (11).</w:t>
      </w:r>
    </w:p>
    <w:p w14:paraId="149D6F6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Hsieh, Y. W., Wang, C. H., Wu, S. C., Chen, P. C., Sheu, C. F., &amp; Hsieh, C. L. (2007). Establishing the minimal clinically important difference of the Barthel Index in stroke patients. Neurorehabilitation and Neural Repair, 21(3), 233-238.</w:t>
      </w:r>
    </w:p>
    <w:p w14:paraId="76C6C88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Hummelsheim</w:t>
      </w:r>
      <w:proofErr w:type="spellEnd"/>
      <w:r w:rsidRPr="00395956">
        <w:rPr>
          <w:rFonts w:ascii="Arial" w:hAnsi="Arial" w:cs="Arial"/>
        </w:rPr>
        <w:t>, H., Hauptmann, B., &amp; Neumann, S. (1997). Influence of physiotherapeutic facilitation techniques on motor evoked potentials in centrally paretic hand extensor muscles. Electroencephalography and Clinical Neurophysiology, 97(1), 18-28.</w:t>
      </w:r>
    </w:p>
    <w:p w14:paraId="43070F2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Keith, R. A., Granger, C. V., Hamilton, B. B., &amp; Sherwin, F. S. (1987). The functional independence measure: a new tool for rehabilitation. Advances in Clinical Rehabilitation, 1, 6-18.</w:t>
      </w:r>
    </w:p>
    <w:p w14:paraId="00DC07AF"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Krakauer, J. W. (2006). Motor learning: its relevance to stroke recovery and neurorehabilitation. Current Opinion in Neurology, 19(1), 84-90.</w:t>
      </w:r>
    </w:p>
    <w:p w14:paraId="141F7BE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Kwakkel</w:t>
      </w:r>
      <w:proofErr w:type="spellEnd"/>
      <w:r w:rsidRPr="00395956">
        <w:rPr>
          <w:rFonts w:ascii="Arial" w:hAnsi="Arial" w:cs="Arial"/>
        </w:rPr>
        <w:t xml:space="preserve">, G., Kollen, B. J., van der </w:t>
      </w:r>
      <w:proofErr w:type="spellStart"/>
      <w:r w:rsidRPr="00395956">
        <w:rPr>
          <w:rFonts w:ascii="Arial" w:hAnsi="Arial" w:cs="Arial"/>
        </w:rPr>
        <w:t>Grond</w:t>
      </w:r>
      <w:proofErr w:type="spellEnd"/>
      <w:r w:rsidRPr="00395956">
        <w:rPr>
          <w:rFonts w:ascii="Arial" w:hAnsi="Arial" w:cs="Arial"/>
        </w:rPr>
        <w:t>, J., &amp; Prevo, A. J. (2003). Probability of regaining dexterity in the flaccid upper limb: impact of severity of paresis and time since onset in acute s</w:t>
      </w:r>
      <w:r w:rsidR="00395956">
        <w:rPr>
          <w:rFonts w:ascii="Arial" w:hAnsi="Arial" w:cs="Arial"/>
        </w:rPr>
        <w:t>troke. Stroke, 34(9), 2181-2186.</w:t>
      </w:r>
    </w:p>
    <w:p w14:paraId="16DFF5CE"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Langhorne, P., Bernhardt, J., &amp; </w:t>
      </w:r>
      <w:proofErr w:type="spellStart"/>
      <w:r w:rsidRPr="00395956">
        <w:rPr>
          <w:rFonts w:ascii="Arial" w:hAnsi="Arial" w:cs="Arial"/>
        </w:rPr>
        <w:t>Kwakkel</w:t>
      </w:r>
      <w:proofErr w:type="spellEnd"/>
      <w:r w:rsidRPr="00395956">
        <w:rPr>
          <w:rFonts w:ascii="Arial" w:hAnsi="Arial" w:cs="Arial"/>
        </w:rPr>
        <w:t>, G. (2011). Stroke rehabilitation. The Lancet, 377(9778), 1693-1702.</w:t>
      </w:r>
    </w:p>
    <w:p w14:paraId="28E58C0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Law, M., Baptiste, S., Carswell, A., McColl, M. A., Polatajko, H., &amp; Pollock, N. (2014). Canadian occupational performance measure (5th ed.). CAOT Publications ACE.</w:t>
      </w:r>
    </w:p>
    <w:p w14:paraId="0938F259"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Mahoney, F. I., &amp; Barthel, D. W. (1965). Functional evaluation: the Barthel Index. Maryland State Medical Journal, 14, 61-65.</w:t>
      </w:r>
    </w:p>
    <w:p w14:paraId="68B5F258"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Nascimento, L. R., Michaelsen, S. M., Ada, L., Polese, J. C., &amp; Teixeira-Salmela, L. F. (2014). Cyclical electrical stimulation increases strength and improves activity after stroke: a systematic review. Journal of Physiotherapy, 60(1), 22-30.</w:t>
      </w:r>
    </w:p>
    <w:p w14:paraId="271F1065"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Peckham, P. H., &amp; Knutson, J. S. (2005). Functional electrical stimulation for neuromuscular applications. Annual Review of Biomedical Engineering, 7, 327-360.</w:t>
      </w:r>
    </w:p>
    <w:p w14:paraId="6DC4BC9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Rushton, D. N. (2003). Functional electrical stimulation and rehabilitation—</w:t>
      </w:r>
      <w:proofErr w:type="gramStart"/>
      <w:r w:rsidRPr="00395956">
        <w:rPr>
          <w:rFonts w:ascii="Arial" w:hAnsi="Arial" w:cs="Arial"/>
        </w:rPr>
        <w:t>an</w:t>
      </w:r>
      <w:proofErr w:type="gramEnd"/>
      <w:r w:rsidRPr="00395956">
        <w:rPr>
          <w:rFonts w:ascii="Arial" w:hAnsi="Arial" w:cs="Arial"/>
        </w:rPr>
        <w:t xml:space="preserve"> hypothesis. Medical Engineering &amp; Physics, 25(1), 75-78.</w:t>
      </w:r>
    </w:p>
    <w:p w14:paraId="2F830AA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Schmidt, R. A., &amp; Lee, T. D. (2019). Motor learning and performance: From principles to application (6th ed.). Human Kinetics.</w:t>
      </w:r>
    </w:p>
    <w:p w14:paraId="513B7105" w14:textId="77777777" w:rsidR="00C500C3" w:rsidRPr="00395956"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Virani, S. S., Alonso, A., Benjamin, E. J., Bittencourt, M. S., Callaway, C. W., Carson, A. P., ... &amp; American Heart Association Council on Epidemiology and Prevention Statistics Committee and Stroke Statistics Subcommittee. (2020). Heart </w:t>
      </w:r>
      <w:r w:rsidRPr="00395956">
        <w:rPr>
          <w:rFonts w:ascii="Arial" w:hAnsi="Arial" w:cs="Arial"/>
        </w:rPr>
        <w:lastRenderedPageBreak/>
        <w:t>disease and stroke statistics—2020 update: a report from the American Heart Association. Circulation, 141(9), e139-e596.</w:t>
      </w:r>
    </w:p>
    <w:p w14:paraId="6BBD3A05"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1: Baseline Characteristics of Study Participants</w:t>
      </w:r>
    </w:p>
    <w:tbl>
      <w:tblPr>
        <w:tblStyle w:val="TableGrid"/>
        <w:tblW w:w="0" w:type="auto"/>
        <w:tblLook w:val="04A0" w:firstRow="1" w:lastRow="0" w:firstColumn="1" w:lastColumn="0" w:noHBand="0" w:noVBand="1"/>
      </w:tblPr>
      <w:tblGrid>
        <w:gridCol w:w="3738"/>
        <w:gridCol w:w="1915"/>
        <w:gridCol w:w="1675"/>
        <w:gridCol w:w="872"/>
      </w:tblGrid>
      <w:tr w:rsidR="00C500C3" w:rsidRPr="00C500C3" w14:paraId="179AA651" w14:textId="77777777" w:rsidTr="002C7EE6">
        <w:tc>
          <w:tcPr>
            <w:tcW w:w="0" w:type="auto"/>
            <w:hideMark/>
          </w:tcPr>
          <w:p w14:paraId="5567D41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Characteristic</w:t>
            </w:r>
          </w:p>
        </w:tc>
        <w:tc>
          <w:tcPr>
            <w:tcW w:w="1915" w:type="dxa"/>
            <w:hideMark/>
          </w:tcPr>
          <w:p w14:paraId="0B4157F2" w14:textId="77777777" w:rsidR="00C500C3" w:rsidRPr="002C7EE6" w:rsidRDefault="002C7EE6" w:rsidP="00C500C3">
            <w:pPr>
              <w:jc w:val="both"/>
              <w:rPr>
                <w:rFonts w:ascii="Arial" w:hAnsi="Arial" w:cs="Arial"/>
                <w:sz w:val="20"/>
                <w:szCs w:val="20"/>
              </w:rPr>
            </w:pPr>
            <w:r>
              <w:rPr>
                <w:rFonts w:ascii="Arial" w:hAnsi="Arial" w:cs="Arial"/>
                <w:sz w:val="20"/>
                <w:szCs w:val="20"/>
              </w:rPr>
              <w:t xml:space="preserve">Experimental </w:t>
            </w:r>
            <w:r w:rsidR="00C500C3" w:rsidRPr="002C7EE6">
              <w:rPr>
                <w:rFonts w:ascii="Arial" w:hAnsi="Arial" w:cs="Arial"/>
                <w:sz w:val="20"/>
                <w:szCs w:val="20"/>
              </w:rPr>
              <w:t xml:space="preserve">Group </w:t>
            </w:r>
            <w:r>
              <w:rPr>
                <w:rFonts w:ascii="Arial" w:hAnsi="Arial" w:cs="Arial"/>
                <w:sz w:val="20"/>
                <w:szCs w:val="20"/>
              </w:rPr>
              <w:t xml:space="preserve">  </w:t>
            </w:r>
            <w:proofErr w:type="gramStart"/>
            <w:r>
              <w:rPr>
                <w:rFonts w:ascii="Arial" w:hAnsi="Arial" w:cs="Arial"/>
                <w:sz w:val="20"/>
                <w:szCs w:val="20"/>
              </w:rPr>
              <w:t xml:space="preserve">   </w:t>
            </w:r>
            <w:r w:rsidR="00C500C3" w:rsidRPr="002C7EE6">
              <w:rPr>
                <w:rFonts w:ascii="Arial" w:hAnsi="Arial" w:cs="Arial"/>
                <w:sz w:val="20"/>
                <w:szCs w:val="20"/>
              </w:rPr>
              <w:t>(</w:t>
            </w:r>
            <w:proofErr w:type="gramEnd"/>
            <w:r w:rsidR="00C500C3" w:rsidRPr="002C7EE6">
              <w:rPr>
                <w:rFonts w:ascii="Arial" w:hAnsi="Arial" w:cs="Arial"/>
                <w:sz w:val="20"/>
                <w:szCs w:val="20"/>
              </w:rPr>
              <w:t>n=42)</w:t>
            </w:r>
          </w:p>
        </w:tc>
        <w:tc>
          <w:tcPr>
            <w:tcW w:w="1675" w:type="dxa"/>
            <w:hideMark/>
          </w:tcPr>
          <w:p w14:paraId="64D7989B"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Control Group (n=42)</w:t>
            </w:r>
          </w:p>
        </w:tc>
        <w:tc>
          <w:tcPr>
            <w:tcW w:w="0" w:type="auto"/>
            <w:hideMark/>
          </w:tcPr>
          <w:p w14:paraId="3E066D44" w14:textId="77777777" w:rsidR="00C500C3" w:rsidRPr="002C7EE6" w:rsidRDefault="00C500C3" w:rsidP="00C500C3">
            <w:pPr>
              <w:jc w:val="both"/>
              <w:rPr>
                <w:rFonts w:ascii="Arial" w:hAnsi="Arial" w:cs="Arial"/>
                <w:sz w:val="20"/>
                <w:szCs w:val="20"/>
              </w:rPr>
            </w:pPr>
            <w:r w:rsidRPr="0037287F">
              <w:rPr>
                <w:rFonts w:ascii="Arial" w:hAnsi="Arial" w:cs="Arial"/>
                <w:i/>
                <w:sz w:val="20"/>
                <w:szCs w:val="20"/>
              </w:rPr>
              <w:t>p</w:t>
            </w:r>
            <w:r w:rsidRPr="002C7EE6">
              <w:rPr>
                <w:rFonts w:ascii="Arial" w:hAnsi="Arial" w:cs="Arial"/>
                <w:sz w:val="20"/>
                <w:szCs w:val="20"/>
              </w:rPr>
              <w:t>-value</w:t>
            </w:r>
          </w:p>
        </w:tc>
      </w:tr>
      <w:tr w:rsidR="00C500C3" w:rsidRPr="00C500C3" w14:paraId="31E11C3A" w14:textId="77777777" w:rsidTr="002C7EE6">
        <w:tc>
          <w:tcPr>
            <w:tcW w:w="0" w:type="auto"/>
            <w:hideMark/>
          </w:tcPr>
          <w:p w14:paraId="22EB386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Age (years), mean ± SD</w:t>
            </w:r>
          </w:p>
        </w:tc>
        <w:tc>
          <w:tcPr>
            <w:tcW w:w="1915" w:type="dxa"/>
            <w:hideMark/>
          </w:tcPr>
          <w:p w14:paraId="34DEE1F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58.7 ± 12.1</w:t>
            </w:r>
          </w:p>
        </w:tc>
        <w:tc>
          <w:tcPr>
            <w:tcW w:w="1675" w:type="dxa"/>
            <w:hideMark/>
          </w:tcPr>
          <w:p w14:paraId="658F9CD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58.1 ± 12.6</w:t>
            </w:r>
          </w:p>
        </w:tc>
        <w:tc>
          <w:tcPr>
            <w:tcW w:w="0" w:type="auto"/>
            <w:hideMark/>
          </w:tcPr>
          <w:p w14:paraId="517FE0D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0.82</w:t>
            </w:r>
          </w:p>
        </w:tc>
      </w:tr>
      <w:tr w:rsidR="00C500C3" w:rsidRPr="00C500C3" w14:paraId="76412D26" w14:textId="77777777" w:rsidTr="002C7EE6">
        <w:tc>
          <w:tcPr>
            <w:tcW w:w="0" w:type="auto"/>
            <w:hideMark/>
          </w:tcPr>
          <w:p w14:paraId="2404B68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Male, n (%)</w:t>
            </w:r>
          </w:p>
        </w:tc>
        <w:tc>
          <w:tcPr>
            <w:tcW w:w="1915" w:type="dxa"/>
            <w:hideMark/>
          </w:tcPr>
          <w:p w14:paraId="63DB7AF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25 (59.5)</w:t>
            </w:r>
          </w:p>
        </w:tc>
        <w:tc>
          <w:tcPr>
            <w:tcW w:w="1675" w:type="dxa"/>
            <w:hideMark/>
          </w:tcPr>
          <w:p w14:paraId="76091D5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24 (57.1)</w:t>
            </w:r>
          </w:p>
        </w:tc>
        <w:tc>
          <w:tcPr>
            <w:tcW w:w="0" w:type="auto"/>
            <w:hideMark/>
          </w:tcPr>
          <w:p w14:paraId="56B8452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0.82</w:t>
            </w:r>
          </w:p>
        </w:tc>
      </w:tr>
      <w:tr w:rsidR="00C500C3" w:rsidRPr="00C500C3" w14:paraId="187CE162" w14:textId="77777777" w:rsidTr="002C7EE6">
        <w:tc>
          <w:tcPr>
            <w:tcW w:w="0" w:type="auto"/>
            <w:hideMark/>
          </w:tcPr>
          <w:p w14:paraId="3D6DF80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Time since stroke (months), mean ± SD</w:t>
            </w:r>
          </w:p>
        </w:tc>
        <w:tc>
          <w:tcPr>
            <w:tcW w:w="1915" w:type="dxa"/>
            <w:hideMark/>
          </w:tcPr>
          <w:p w14:paraId="3ED1DE4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6.9 ± 3.1</w:t>
            </w:r>
          </w:p>
        </w:tc>
        <w:tc>
          <w:tcPr>
            <w:tcW w:w="1675" w:type="dxa"/>
            <w:hideMark/>
          </w:tcPr>
          <w:p w14:paraId="1448C4D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6.7 ± 3.4</w:t>
            </w:r>
          </w:p>
        </w:tc>
        <w:tc>
          <w:tcPr>
            <w:tcW w:w="0" w:type="auto"/>
            <w:hideMark/>
          </w:tcPr>
          <w:p w14:paraId="46B4931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0.78</w:t>
            </w:r>
          </w:p>
        </w:tc>
      </w:tr>
      <w:tr w:rsidR="00C500C3" w:rsidRPr="00C500C3" w14:paraId="70799BF7" w14:textId="77777777" w:rsidTr="002C7EE6">
        <w:tc>
          <w:tcPr>
            <w:tcW w:w="0" w:type="auto"/>
            <w:hideMark/>
          </w:tcPr>
          <w:p w14:paraId="09DF2D4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Affected side (right), n (%)</w:t>
            </w:r>
          </w:p>
        </w:tc>
        <w:tc>
          <w:tcPr>
            <w:tcW w:w="1915" w:type="dxa"/>
            <w:hideMark/>
          </w:tcPr>
          <w:p w14:paraId="51D85A2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 (52.4)</w:t>
            </w:r>
          </w:p>
        </w:tc>
        <w:tc>
          <w:tcPr>
            <w:tcW w:w="1675" w:type="dxa"/>
            <w:hideMark/>
          </w:tcPr>
          <w:p w14:paraId="74084D5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 (52.4)</w:t>
            </w:r>
          </w:p>
        </w:tc>
        <w:tc>
          <w:tcPr>
            <w:tcW w:w="0" w:type="auto"/>
            <w:hideMark/>
          </w:tcPr>
          <w:p w14:paraId="7D8B9FA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1.00</w:t>
            </w:r>
          </w:p>
        </w:tc>
      </w:tr>
      <w:tr w:rsidR="00C500C3" w:rsidRPr="00C500C3" w14:paraId="100299B0" w14:textId="77777777" w:rsidTr="002C7EE6">
        <w:tc>
          <w:tcPr>
            <w:tcW w:w="0" w:type="auto"/>
            <w:hideMark/>
          </w:tcPr>
          <w:p w14:paraId="04615722"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Stroke location, n (%)</w:t>
            </w:r>
          </w:p>
        </w:tc>
        <w:tc>
          <w:tcPr>
            <w:tcW w:w="1915" w:type="dxa"/>
            <w:hideMark/>
          </w:tcPr>
          <w:p w14:paraId="25586555" w14:textId="77777777" w:rsidR="00C500C3" w:rsidRPr="002C7EE6" w:rsidRDefault="00C500C3" w:rsidP="00C500C3">
            <w:pPr>
              <w:jc w:val="both"/>
              <w:rPr>
                <w:rFonts w:ascii="Arial" w:hAnsi="Arial" w:cs="Arial"/>
                <w:sz w:val="20"/>
                <w:szCs w:val="20"/>
              </w:rPr>
            </w:pPr>
          </w:p>
        </w:tc>
        <w:tc>
          <w:tcPr>
            <w:tcW w:w="1675" w:type="dxa"/>
            <w:hideMark/>
          </w:tcPr>
          <w:p w14:paraId="4B342746" w14:textId="77777777" w:rsidR="00C500C3" w:rsidRPr="002C7EE6" w:rsidRDefault="00C500C3" w:rsidP="00C500C3">
            <w:pPr>
              <w:jc w:val="both"/>
              <w:rPr>
                <w:rFonts w:ascii="Arial" w:hAnsi="Arial" w:cs="Arial"/>
                <w:sz w:val="20"/>
                <w:szCs w:val="20"/>
              </w:rPr>
            </w:pPr>
          </w:p>
        </w:tc>
        <w:tc>
          <w:tcPr>
            <w:tcW w:w="0" w:type="auto"/>
            <w:hideMark/>
          </w:tcPr>
          <w:p w14:paraId="2AD3878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0.71</w:t>
            </w:r>
          </w:p>
        </w:tc>
      </w:tr>
      <w:tr w:rsidR="00C500C3" w:rsidRPr="00C500C3" w14:paraId="05DB3BAC" w14:textId="77777777" w:rsidTr="002C7EE6">
        <w:tc>
          <w:tcPr>
            <w:tcW w:w="0" w:type="auto"/>
            <w:hideMark/>
          </w:tcPr>
          <w:p w14:paraId="4ECEBA6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Middle cerebral artery</w:t>
            </w:r>
          </w:p>
        </w:tc>
        <w:tc>
          <w:tcPr>
            <w:tcW w:w="1915" w:type="dxa"/>
            <w:hideMark/>
          </w:tcPr>
          <w:p w14:paraId="6BD19D2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28 (66.7)</w:t>
            </w:r>
          </w:p>
        </w:tc>
        <w:tc>
          <w:tcPr>
            <w:tcW w:w="1675" w:type="dxa"/>
            <w:hideMark/>
          </w:tcPr>
          <w:p w14:paraId="63864FD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26 (61.9)</w:t>
            </w:r>
          </w:p>
        </w:tc>
        <w:tc>
          <w:tcPr>
            <w:tcW w:w="0" w:type="auto"/>
            <w:hideMark/>
          </w:tcPr>
          <w:p w14:paraId="32B28669" w14:textId="77777777" w:rsidR="00C500C3" w:rsidRPr="002C7EE6" w:rsidRDefault="00C500C3" w:rsidP="00C500C3">
            <w:pPr>
              <w:jc w:val="both"/>
              <w:rPr>
                <w:rFonts w:ascii="Arial" w:hAnsi="Arial" w:cs="Arial"/>
                <w:sz w:val="20"/>
                <w:szCs w:val="20"/>
              </w:rPr>
            </w:pPr>
          </w:p>
        </w:tc>
      </w:tr>
      <w:tr w:rsidR="00C500C3" w:rsidRPr="00C500C3" w14:paraId="1C37F2B0" w14:textId="77777777" w:rsidTr="002C7EE6">
        <w:tc>
          <w:tcPr>
            <w:tcW w:w="0" w:type="auto"/>
            <w:hideMark/>
          </w:tcPr>
          <w:p w14:paraId="468CDA9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Anterior cerebral artery</w:t>
            </w:r>
          </w:p>
        </w:tc>
        <w:tc>
          <w:tcPr>
            <w:tcW w:w="1915" w:type="dxa"/>
            <w:hideMark/>
          </w:tcPr>
          <w:p w14:paraId="24AA0FD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8 (19.0)</w:t>
            </w:r>
          </w:p>
        </w:tc>
        <w:tc>
          <w:tcPr>
            <w:tcW w:w="1675" w:type="dxa"/>
            <w:hideMark/>
          </w:tcPr>
          <w:p w14:paraId="2B2FA90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 (23.8)</w:t>
            </w:r>
          </w:p>
        </w:tc>
        <w:tc>
          <w:tcPr>
            <w:tcW w:w="0" w:type="auto"/>
            <w:hideMark/>
          </w:tcPr>
          <w:p w14:paraId="5E73D179" w14:textId="77777777" w:rsidR="00C500C3" w:rsidRPr="002C7EE6" w:rsidRDefault="00C500C3" w:rsidP="00C500C3">
            <w:pPr>
              <w:jc w:val="both"/>
              <w:rPr>
                <w:rFonts w:ascii="Arial" w:hAnsi="Arial" w:cs="Arial"/>
                <w:sz w:val="20"/>
                <w:szCs w:val="20"/>
              </w:rPr>
            </w:pPr>
          </w:p>
        </w:tc>
      </w:tr>
      <w:tr w:rsidR="00C500C3" w:rsidRPr="00C500C3" w14:paraId="6776C983" w14:textId="77777777" w:rsidTr="002C7EE6">
        <w:tc>
          <w:tcPr>
            <w:tcW w:w="0" w:type="auto"/>
            <w:hideMark/>
          </w:tcPr>
          <w:p w14:paraId="29661AB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Posterior circulation</w:t>
            </w:r>
          </w:p>
        </w:tc>
        <w:tc>
          <w:tcPr>
            <w:tcW w:w="1915" w:type="dxa"/>
            <w:hideMark/>
          </w:tcPr>
          <w:p w14:paraId="4D1B8A9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(14.3)</w:t>
            </w:r>
          </w:p>
        </w:tc>
        <w:tc>
          <w:tcPr>
            <w:tcW w:w="1675" w:type="dxa"/>
            <w:hideMark/>
          </w:tcPr>
          <w:p w14:paraId="34A1825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(14.3)</w:t>
            </w:r>
          </w:p>
        </w:tc>
        <w:tc>
          <w:tcPr>
            <w:tcW w:w="0" w:type="auto"/>
            <w:hideMark/>
          </w:tcPr>
          <w:p w14:paraId="33127DF4" w14:textId="77777777" w:rsidR="00C500C3" w:rsidRPr="002C7EE6" w:rsidRDefault="00C500C3" w:rsidP="00C500C3">
            <w:pPr>
              <w:jc w:val="both"/>
              <w:rPr>
                <w:rFonts w:ascii="Arial" w:hAnsi="Arial" w:cs="Arial"/>
                <w:sz w:val="20"/>
                <w:szCs w:val="20"/>
              </w:rPr>
            </w:pPr>
          </w:p>
        </w:tc>
      </w:tr>
      <w:tr w:rsidR="00C500C3" w:rsidRPr="00C500C3" w14:paraId="45254F52" w14:textId="77777777" w:rsidTr="002C7EE6">
        <w:tc>
          <w:tcPr>
            <w:tcW w:w="0" w:type="auto"/>
            <w:hideMark/>
          </w:tcPr>
          <w:p w14:paraId="531D988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Modified Ashworth Scale, mean ± SD</w:t>
            </w:r>
          </w:p>
        </w:tc>
        <w:tc>
          <w:tcPr>
            <w:tcW w:w="1915" w:type="dxa"/>
            <w:hideMark/>
          </w:tcPr>
          <w:p w14:paraId="317263F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 ± 0.6</w:t>
            </w:r>
          </w:p>
        </w:tc>
        <w:tc>
          <w:tcPr>
            <w:tcW w:w="1675" w:type="dxa"/>
            <w:hideMark/>
          </w:tcPr>
          <w:p w14:paraId="0C72CA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1.1 ± 0.7</w:t>
            </w:r>
          </w:p>
        </w:tc>
        <w:tc>
          <w:tcPr>
            <w:tcW w:w="0" w:type="auto"/>
            <w:hideMark/>
          </w:tcPr>
          <w:p w14:paraId="2ABD8F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0.52</w:t>
            </w:r>
          </w:p>
        </w:tc>
      </w:tr>
      <w:tr w:rsidR="00C500C3" w:rsidRPr="00C500C3" w14:paraId="377E4B36" w14:textId="77777777" w:rsidTr="002C7EE6">
        <w:tc>
          <w:tcPr>
            <w:tcW w:w="0" w:type="auto"/>
            <w:hideMark/>
          </w:tcPr>
          <w:p w14:paraId="4360CAB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MMSE score, mean ± SD</w:t>
            </w:r>
          </w:p>
        </w:tc>
        <w:tc>
          <w:tcPr>
            <w:tcW w:w="1915" w:type="dxa"/>
            <w:hideMark/>
          </w:tcPr>
          <w:p w14:paraId="734DA4B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27.3 ± 2.1</w:t>
            </w:r>
          </w:p>
        </w:tc>
        <w:tc>
          <w:tcPr>
            <w:tcW w:w="1675" w:type="dxa"/>
            <w:hideMark/>
          </w:tcPr>
          <w:p w14:paraId="04B529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27.1 ± 2.3</w:t>
            </w:r>
          </w:p>
        </w:tc>
        <w:tc>
          <w:tcPr>
            <w:tcW w:w="0" w:type="auto"/>
            <w:hideMark/>
          </w:tcPr>
          <w:p w14:paraId="350C64A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0.67</w:t>
            </w:r>
          </w:p>
        </w:tc>
      </w:tr>
      <w:tr w:rsidR="00C500C3" w:rsidRPr="00C500C3" w14:paraId="5299B24E" w14:textId="77777777" w:rsidTr="002C7EE6">
        <w:tc>
          <w:tcPr>
            <w:tcW w:w="0" w:type="auto"/>
            <w:hideMark/>
          </w:tcPr>
          <w:p w14:paraId="031829B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Barthel Index, mean ± SD</w:t>
            </w:r>
          </w:p>
        </w:tc>
        <w:tc>
          <w:tcPr>
            <w:tcW w:w="1915" w:type="dxa"/>
            <w:hideMark/>
          </w:tcPr>
          <w:p w14:paraId="510515D0"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45.2 ± 18.7</w:t>
            </w:r>
          </w:p>
        </w:tc>
        <w:tc>
          <w:tcPr>
            <w:tcW w:w="1675" w:type="dxa"/>
            <w:hideMark/>
          </w:tcPr>
          <w:p w14:paraId="4B22BF9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43.8 ± 17.9</w:t>
            </w:r>
          </w:p>
        </w:tc>
        <w:tc>
          <w:tcPr>
            <w:tcW w:w="0" w:type="auto"/>
            <w:hideMark/>
          </w:tcPr>
          <w:p w14:paraId="0F1C7AA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0.72</w:t>
            </w:r>
          </w:p>
        </w:tc>
      </w:tr>
      <w:tr w:rsidR="00C500C3" w:rsidRPr="00C500C3" w14:paraId="62A3D637" w14:textId="77777777" w:rsidTr="002C7EE6">
        <w:tc>
          <w:tcPr>
            <w:tcW w:w="0" w:type="auto"/>
            <w:hideMark/>
          </w:tcPr>
          <w:p w14:paraId="6D5A342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FIM Motor, mean ± SD</w:t>
            </w:r>
          </w:p>
        </w:tc>
        <w:tc>
          <w:tcPr>
            <w:tcW w:w="1915" w:type="dxa"/>
            <w:hideMark/>
          </w:tcPr>
          <w:p w14:paraId="3890740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54.3 ± 12.8</w:t>
            </w:r>
          </w:p>
        </w:tc>
        <w:tc>
          <w:tcPr>
            <w:tcW w:w="1675" w:type="dxa"/>
            <w:hideMark/>
          </w:tcPr>
          <w:p w14:paraId="18BFBD5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53.1 ± 13.2</w:t>
            </w:r>
          </w:p>
        </w:tc>
        <w:tc>
          <w:tcPr>
            <w:tcW w:w="0" w:type="auto"/>
            <w:hideMark/>
          </w:tcPr>
          <w:p w14:paraId="0ED0283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0.66</w:t>
            </w:r>
          </w:p>
        </w:tc>
      </w:tr>
    </w:tbl>
    <w:p w14:paraId="425DEF12"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SD = Standard Deviation; MMSE = Mini-Mental State Examination; FIM = Functional Independence Measure</w:t>
      </w:r>
    </w:p>
    <w:p w14:paraId="28A95F61"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2: Barthel Index Scores Across Time Points</w:t>
      </w:r>
    </w:p>
    <w:tbl>
      <w:tblPr>
        <w:tblStyle w:val="TableGrid"/>
        <w:tblW w:w="0" w:type="auto"/>
        <w:tblLook w:val="04A0" w:firstRow="1" w:lastRow="0" w:firstColumn="1" w:lastColumn="0" w:noHBand="0" w:noVBand="1"/>
      </w:tblPr>
      <w:tblGrid>
        <w:gridCol w:w="1447"/>
        <w:gridCol w:w="1624"/>
        <w:gridCol w:w="1102"/>
        <w:gridCol w:w="1683"/>
        <w:gridCol w:w="1067"/>
        <w:gridCol w:w="1501"/>
      </w:tblGrid>
      <w:tr w:rsidR="00C500C3" w:rsidRPr="00C500C3" w14:paraId="2DC3EF5D" w14:textId="77777777" w:rsidTr="002C7EE6">
        <w:tc>
          <w:tcPr>
            <w:tcW w:w="0" w:type="auto"/>
            <w:hideMark/>
          </w:tcPr>
          <w:p w14:paraId="04BCDDE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Time Point</w:t>
            </w:r>
          </w:p>
        </w:tc>
        <w:tc>
          <w:tcPr>
            <w:tcW w:w="0" w:type="auto"/>
            <w:hideMark/>
          </w:tcPr>
          <w:p w14:paraId="5C9A0D0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Experimental Group</w:t>
            </w:r>
          </w:p>
        </w:tc>
        <w:tc>
          <w:tcPr>
            <w:tcW w:w="0" w:type="auto"/>
            <w:hideMark/>
          </w:tcPr>
          <w:p w14:paraId="1CF2E07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Control Group</w:t>
            </w:r>
          </w:p>
        </w:tc>
        <w:tc>
          <w:tcPr>
            <w:tcW w:w="0" w:type="auto"/>
            <w:hideMark/>
          </w:tcPr>
          <w:p w14:paraId="2C9B33E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Between-group Difference</w:t>
            </w:r>
          </w:p>
        </w:tc>
        <w:tc>
          <w:tcPr>
            <w:tcW w:w="0" w:type="auto"/>
            <w:hideMark/>
          </w:tcPr>
          <w:p w14:paraId="59227DCE" w14:textId="77777777" w:rsidR="00C500C3" w:rsidRPr="002C7EE6" w:rsidRDefault="00C500C3" w:rsidP="00C500C3">
            <w:pPr>
              <w:jc w:val="both"/>
              <w:rPr>
                <w:rFonts w:ascii="Arial" w:hAnsi="Arial" w:cs="Arial"/>
                <w:sz w:val="20"/>
                <w:szCs w:val="20"/>
              </w:rPr>
            </w:pPr>
            <w:r w:rsidRPr="0037287F">
              <w:rPr>
                <w:rFonts w:ascii="Arial" w:hAnsi="Arial" w:cs="Arial"/>
                <w:i/>
                <w:sz w:val="20"/>
                <w:szCs w:val="20"/>
              </w:rPr>
              <w:t>p</w:t>
            </w:r>
            <w:r w:rsidRPr="002C7EE6">
              <w:rPr>
                <w:rFonts w:ascii="Arial" w:hAnsi="Arial" w:cs="Arial"/>
                <w:sz w:val="20"/>
                <w:szCs w:val="20"/>
              </w:rPr>
              <w:t>-value</w:t>
            </w:r>
          </w:p>
        </w:tc>
        <w:tc>
          <w:tcPr>
            <w:tcW w:w="0" w:type="auto"/>
            <w:hideMark/>
          </w:tcPr>
          <w:p w14:paraId="1B4128B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Effect Size (Cohen's d)</w:t>
            </w:r>
          </w:p>
        </w:tc>
      </w:tr>
      <w:tr w:rsidR="00C500C3" w:rsidRPr="00C500C3" w14:paraId="20AC4B39" w14:textId="77777777" w:rsidTr="002C7EE6">
        <w:tc>
          <w:tcPr>
            <w:tcW w:w="0" w:type="auto"/>
            <w:hideMark/>
          </w:tcPr>
          <w:p w14:paraId="50C2986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w:t>
            </w:r>
          </w:p>
        </w:tc>
        <w:tc>
          <w:tcPr>
            <w:tcW w:w="0" w:type="auto"/>
            <w:hideMark/>
          </w:tcPr>
          <w:p w14:paraId="545E7F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45.2 ± 18.7</w:t>
            </w:r>
          </w:p>
        </w:tc>
        <w:tc>
          <w:tcPr>
            <w:tcW w:w="0" w:type="auto"/>
            <w:hideMark/>
          </w:tcPr>
          <w:p w14:paraId="483C7C9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43.8 ± 17.9</w:t>
            </w:r>
          </w:p>
        </w:tc>
        <w:tc>
          <w:tcPr>
            <w:tcW w:w="0" w:type="auto"/>
            <w:hideMark/>
          </w:tcPr>
          <w:p w14:paraId="5385BF5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1.4 ± 18.3</w:t>
            </w:r>
          </w:p>
        </w:tc>
        <w:tc>
          <w:tcPr>
            <w:tcW w:w="0" w:type="auto"/>
            <w:hideMark/>
          </w:tcPr>
          <w:p w14:paraId="4D0B70A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0.72</w:t>
            </w:r>
          </w:p>
        </w:tc>
        <w:tc>
          <w:tcPr>
            <w:tcW w:w="0" w:type="auto"/>
            <w:hideMark/>
          </w:tcPr>
          <w:p w14:paraId="4AEDD2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0.08</w:t>
            </w:r>
          </w:p>
        </w:tc>
      </w:tr>
      <w:tr w:rsidR="00C500C3" w:rsidRPr="00C500C3" w14:paraId="282415E2" w14:textId="77777777" w:rsidTr="002C7EE6">
        <w:tc>
          <w:tcPr>
            <w:tcW w:w="0" w:type="auto"/>
            <w:hideMark/>
          </w:tcPr>
          <w:p w14:paraId="0CCE92D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weeks</w:t>
            </w:r>
          </w:p>
        </w:tc>
        <w:tc>
          <w:tcPr>
            <w:tcW w:w="0" w:type="auto"/>
            <w:hideMark/>
          </w:tcPr>
          <w:p w14:paraId="6BE400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61.0 ± 20.1</w:t>
            </w:r>
          </w:p>
        </w:tc>
        <w:tc>
          <w:tcPr>
            <w:tcW w:w="0" w:type="auto"/>
            <w:hideMark/>
          </w:tcPr>
          <w:p w14:paraId="24EF142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52.0 ± 19.4</w:t>
            </w:r>
          </w:p>
        </w:tc>
        <w:tc>
          <w:tcPr>
            <w:tcW w:w="0" w:type="auto"/>
            <w:hideMark/>
          </w:tcPr>
          <w:p w14:paraId="02E5F04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9.0 ± 19.8</w:t>
            </w:r>
          </w:p>
        </w:tc>
        <w:tc>
          <w:tcPr>
            <w:tcW w:w="0" w:type="auto"/>
            <w:hideMark/>
          </w:tcPr>
          <w:p w14:paraId="4A3F4C7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0.037*</w:t>
            </w:r>
          </w:p>
        </w:tc>
        <w:tc>
          <w:tcPr>
            <w:tcW w:w="0" w:type="auto"/>
            <w:hideMark/>
          </w:tcPr>
          <w:p w14:paraId="7964B942"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0.46</w:t>
            </w:r>
          </w:p>
        </w:tc>
      </w:tr>
      <w:tr w:rsidR="00C500C3" w:rsidRPr="00C500C3" w14:paraId="520E77B7" w14:textId="77777777" w:rsidTr="002C7EE6">
        <w:tc>
          <w:tcPr>
            <w:tcW w:w="0" w:type="auto"/>
            <w:hideMark/>
          </w:tcPr>
          <w:p w14:paraId="0B68512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 weeks</w:t>
            </w:r>
          </w:p>
        </w:tc>
        <w:tc>
          <w:tcPr>
            <w:tcW w:w="0" w:type="auto"/>
            <w:hideMark/>
          </w:tcPr>
          <w:p w14:paraId="3BFDF4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67.3 ± 21.2</w:t>
            </w:r>
          </w:p>
        </w:tc>
        <w:tc>
          <w:tcPr>
            <w:tcW w:w="0" w:type="auto"/>
            <w:hideMark/>
          </w:tcPr>
          <w:p w14:paraId="18A04A7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55.1 ± 20.8</w:t>
            </w:r>
          </w:p>
        </w:tc>
        <w:tc>
          <w:tcPr>
            <w:tcW w:w="0" w:type="auto"/>
            <w:hideMark/>
          </w:tcPr>
          <w:p w14:paraId="5855AB3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12.2 ± 21.0</w:t>
            </w:r>
          </w:p>
        </w:tc>
        <w:tc>
          <w:tcPr>
            <w:tcW w:w="0" w:type="auto"/>
            <w:hideMark/>
          </w:tcPr>
          <w:p w14:paraId="6996641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0.009**</w:t>
            </w:r>
          </w:p>
        </w:tc>
        <w:tc>
          <w:tcPr>
            <w:tcW w:w="0" w:type="auto"/>
            <w:hideMark/>
          </w:tcPr>
          <w:p w14:paraId="498A19D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0.58</w:t>
            </w:r>
          </w:p>
        </w:tc>
      </w:tr>
      <w:tr w:rsidR="00395956" w:rsidRPr="00C500C3" w14:paraId="53B0C8E8" w14:textId="77777777" w:rsidTr="00395956">
        <w:tc>
          <w:tcPr>
            <w:tcW w:w="0" w:type="auto"/>
            <w:hideMark/>
          </w:tcPr>
          <w:p w14:paraId="1013982D" w14:textId="77777777" w:rsidR="00395956" w:rsidRPr="002C7EE6" w:rsidRDefault="00395956" w:rsidP="00C500C3">
            <w:pPr>
              <w:jc w:val="both"/>
              <w:rPr>
                <w:rFonts w:ascii="Arial" w:hAnsi="Arial" w:cs="Arial"/>
                <w:sz w:val="20"/>
                <w:szCs w:val="20"/>
              </w:rPr>
            </w:pPr>
            <w:r w:rsidRPr="002C7EE6">
              <w:rPr>
                <w:rFonts w:ascii="Arial" w:hAnsi="Arial" w:cs="Arial"/>
                <w:sz w:val="20"/>
                <w:szCs w:val="20"/>
              </w:rPr>
              <w:t>Within-group changes</w:t>
            </w:r>
          </w:p>
        </w:tc>
        <w:tc>
          <w:tcPr>
            <w:tcW w:w="0" w:type="auto"/>
            <w:gridSpan w:val="5"/>
            <w:hideMark/>
          </w:tcPr>
          <w:p w14:paraId="5AC1B104" w14:textId="77777777" w:rsidR="00395956" w:rsidRPr="002C7EE6" w:rsidRDefault="00395956" w:rsidP="00C500C3">
            <w:pPr>
              <w:jc w:val="both"/>
              <w:rPr>
                <w:rFonts w:ascii="Arial" w:hAnsi="Arial" w:cs="Arial"/>
                <w:sz w:val="20"/>
                <w:szCs w:val="20"/>
              </w:rPr>
            </w:pPr>
          </w:p>
        </w:tc>
      </w:tr>
      <w:tr w:rsidR="00C500C3" w:rsidRPr="00C500C3" w14:paraId="53F8E1F6" w14:textId="77777777" w:rsidTr="002C7EE6">
        <w:tc>
          <w:tcPr>
            <w:tcW w:w="0" w:type="auto"/>
            <w:hideMark/>
          </w:tcPr>
          <w:p w14:paraId="4018600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 to 6 weeks</w:t>
            </w:r>
          </w:p>
        </w:tc>
        <w:tc>
          <w:tcPr>
            <w:tcW w:w="0" w:type="auto"/>
            <w:hideMark/>
          </w:tcPr>
          <w:p w14:paraId="0229783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15.8 ± 8.4</w:t>
            </w:r>
          </w:p>
        </w:tc>
        <w:tc>
          <w:tcPr>
            <w:tcW w:w="0" w:type="auto"/>
            <w:hideMark/>
          </w:tcPr>
          <w:p w14:paraId="0BF49C6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8.2 ± 6.1</w:t>
            </w:r>
          </w:p>
        </w:tc>
        <w:tc>
          <w:tcPr>
            <w:tcW w:w="0" w:type="auto"/>
            <w:hideMark/>
          </w:tcPr>
          <w:p w14:paraId="422038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7.6 ± 7.5</w:t>
            </w:r>
          </w:p>
        </w:tc>
        <w:tc>
          <w:tcPr>
            <w:tcW w:w="0" w:type="auto"/>
            <w:hideMark/>
          </w:tcPr>
          <w:p w14:paraId="691F33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&lt;0.001***</w:t>
            </w:r>
          </w:p>
        </w:tc>
        <w:tc>
          <w:tcPr>
            <w:tcW w:w="0" w:type="auto"/>
            <w:hideMark/>
          </w:tcPr>
          <w:p w14:paraId="6D0E2D9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1.06</w:t>
            </w:r>
          </w:p>
        </w:tc>
      </w:tr>
      <w:tr w:rsidR="00C500C3" w:rsidRPr="00C500C3" w14:paraId="229F6EF4" w14:textId="77777777" w:rsidTr="002C7EE6">
        <w:tc>
          <w:tcPr>
            <w:tcW w:w="0" w:type="auto"/>
            <w:hideMark/>
          </w:tcPr>
          <w:p w14:paraId="0E01730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 to 12 weeks</w:t>
            </w:r>
          </w:p>
        </w:tc>
        <w:tc>
          <w:tcPr>
            <w:tcW w:w="0" w:type="auto"/>
            <w:hideMark/>
          </w:tcPr>
          <w:p w14:paraId="68A5E8F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22.1 ± 9.2</w:t>
            </w:r>
          </w:p>
        </w:tc>
        <w:tc>
          <w:tcPr>
            <w:tcW w:w="0" w:type="auto"/>
            <w:hideMark/>
          </w:tcPr>
          <w:p w14:paraId="3FE84D3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11.3 ± 7.8</w:t>
            </w:r>
          </w:p>
        </w:tc>
        <w:tc>
          <w:tcPr>
            <w:tcW w:w="0" w:type="auto"/>
            <w:hideMark/>
          </w:tcPr>
          <w:p w14:paraId="4DE7E56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10.8 ± 8.6</w:t>
            </w:r>
          </w:p>
        </w:tc>
        <w:tc>
          <w:tcPr>
            <w:tcW w:w="0" w:type="auto"/>
            <w:hideMark/>
          </w:tcPr>
          <w:p w14:paraId="54580B10"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&lt;0.001***</w:t>
            </w:r>
          </w:p>
        </w:tc>
        <w:tc>
          <w:tcPr>
            <w:tcW w:w="0" w:type="auto"/>
            <w:hideMark/>
          </w:tcPr>
          <w:p w14:paraId="50AD479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1.31</w:t>
            </w:r>
          </w:p>
        </w:tc>
      </w:tr>
    </w:tbl>
    <w:p w14:paraId="597041FC"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&lt;0.05, **</w:t>
      </w:r>
      <w:r w:rsidRPr="00351535">
        <w:rPr>
          <w:rFonts w:ascii="Arial" w:hAnsi="Arial" w:cs="Arial"/>
          <w:i/>
        </w:rPr>
        <w:t>p</w:t>
      </w:r>
      <w:r w:rsidRPr="00C500C3">
        <w:rPr>
          <w:rFonts w:ascii="Arial" w:hAnsi="Arial" w:cs="Arial"/>
        </w:rPr>
        <w:t>&lt;0.01, **</w:t>
      </w:r>
      <w:r w:rsidRPr="00C500C3">
        <w:rPr>
          <w:rFonts w:ascii="Arial" w:hAnsi="Arial" w:cs="Arial"/>
          <w:i/>
        </w:rPr>
        <w:t>p</w:t>
      </w:r>
      <w:r w:rsidRPr="00C500C3">
        <w:rPr>
          <w:rFonts w:ascii="Arial" w:hAnsi="Arial" w:cs="Arial"/>
        </w:rPr>
        <w:t>&lt;0.001</w:t>
      </w:r>
    </w:p>
    <w:p w14:paraId="42A034FE"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3: Functional Independence Measure Motor Subscale Scores</w:t>
      </w:r>
    </w:p>
    <w:tbl>
      <w:tblPr>
        <w:tblStyle w:val="TableGrid"/>
        <w:tblW w:w="8683" w:type="dxa"/>
        <w:tblLook w:val="04A0" w:firstRow="1" w:lastRow="0" w:firstColumn="1" w:lastColumn="0" w:noHBand="0" w:noVBand="1"/>
      </w:tblPr>
      <w:tblGrid>
        <w:gridCol w:w="1507"/>
        <w:gridCol w:w="1656"/>
        <w:gridCol w:w="1133"/>
        <w:gridCol w:w="1756"/>
        <w:gridCol w:w="1067"/>
        <w:gridCol w:w="1564"/>
      </w:tblGrid>
      <w:tr w:rsidR="00C500C3" w:rsidRPr="00C500C3" w14:paraId="3330E211" w14:textId="77777777" w:rsidTr="00C026AC">
        <w:trPr>
          <w:trHeight w:val="405"/>
        </w:trPr>
        <w:tc>
          <w:tcPr>
            <w:tcW w:w="0" w:type="auto"/>
            <w:hideMark/>
          </w:tcPr>
          <w:p w14:paraId="171DC2F3"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Time Point</w:t>
            </w:r>
          </w:p>
        </w:tc>
        <w:tc>
          <w:tcPr>
            <w:tcW w:w="0" w:type="auto"/>
            <w:hideMark/>
          </w:tcPr>
          <w:p w14:paraId="6BCCB379"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Experimental Group</w:t>
            </w:r>
          </w:p>
        </w:tc>
        <w:tc>
          <w:tcPr>
            <w:tcW w:w="0" w:type="auto"/>
            <w:hideMark/>
          </w:tcPr>
          <w:p w14:paraId="270E28F0"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Control Group</w:t>
            </w:r>
          </w:p>
        </w:tc>
        <w:tc>
          <w:tcPr>
            <w:tcW w:w="0" w:type="auto"/>
            <w:hideMark/>
          </w:tcPr>
          <w:p w14:paraId="65453BF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Between-group Difference</w:t>
            </w:r>
          </w:p>
        </w:tc>
        <w:tc>
          <w:tcPr>
            <w:tcW w:w="0" w:type="auto"/>
            <w:hideMark/>
          </w:tcPr>
          <w:p w14:paraId="2C19E565" w14:textId="77777777" w:rsidR="00C500C3" w:rsidRPr="00395956" w:rsidRDefault="00C500C3" w:rsidP="00C500C3">
            <w:pPr>
              <w:jc w:val="both"/>
              <w:rPr>
                <w:rFonts w:ascii="Arial" w:hAnsi="Arial" w:cs="Arial"/>
                <w:sz w:val="20"/>
                <w:szCs w:val="20"/>
              </w:rPr>
            </w:pPr>
            <w:r w:rsidRPr="0037287F">
              <w:rPr>
                <w:rFonts w:ascii="Arial" w:hAnsi="Arial" w:cs="Arial"/>
                <w:i/>
                <w:sz w:val="20"/>
                <w:szCs w:val="20"/>
              </w:rPr>
              <w:t>p</w:t>
            </w:r>
            <w:r w:rsidRPr="00395956">
              <w:rPr>
                <w:rFonts w:ascii="Arial" w:hAnsi="Arial" w:cs="Arial"/>
                <w:sz w:val="20"/>
                <w:szCs w:val="20"/>
              </w:rPr>
              <w:t>-value</w:t>
            </w:r>
          </w:p>
        </w:tc>
        <w:tc>
          <w:tcPr>
            <w:tcW w:w="0" w:type="auto"/>
            <w:hideMark/>
          </w:tcPr>
          <w:p w14:paraId="788220C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Effect Size (Cohen's d)</w:t>
            </w:r>
          </w:p>
        </w:tc>
      </w:tr>
      <w:tr w:rsidR="00C500C3" w:rsidRPr="00C500C3" w14:paraId="3A301BEF" w14:textId="77777777" w:rsidTr="00C026AC">
        <w:trPr>
          <w:trHeight w:val="386"/>
        </w:trPr>
        <w:tc>
          <w:tcPr>
            <w:tcW w:w="0" w:type="auto"/>
            <w:hideMark/>
          </w:tcPr>
          <w:p w14:paraId="755D633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w:t>
            </w:r>
          </w:p>
        </w:tc>
        <w:tc>
          <w:tcPr>
            <w:tcW w:w="0" w:type="auto"/>
            <w:hideMark/>
          </w:tcPr>
          <w:p w14:paraId="1AB51CC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54.3 ± 12.8</w:t>
            </w:r>
          </w:p>
        </w:tc>
        <w:tc>
          <w:tcPr>
            <w:tcW w:w="0" w:type="auto"/>
            <w:hideMark/>
          </w:tcPr>
          <w:p w14:paraId="311E2E2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53.1 ± 13.2</w:t>
            </w:r>
          </w:p>
        </w:tc>
        <w:tc>
          <w:tcPr>
            <w:tcW w:w="0" w:type="auto"/>
            <w:hideMark/>
          </w:tcPr>
          <w:p w14:paraId="6DDD4D8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 ± 13.0</w:t>
            </w:r>
          </w:p>
        </w:tc>
        <w:tc>
          <w:tcPr>
            <w:tcW w:w="0" w:type="auto"/>
            <w:hideMark/>
          </w:tcPr>
          <w:p w14:paraId="5DF5340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0.66</w:t>
            </w:r>
          </w:p>
        </w:tc>
        <w:tc>
          <w:tcPr>
            <w:tcW w:w="0" w:type="auto"/>
            <w:hideMark/>
          </w:tcPr>
          <w:p w14:paraId="22DAAD1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0.09</w:t>
            </w:r>
          </w:p>
        </w:tc>
      </w:tr>
      <w:tr w:rsidR="00C500C3" w:rsidRPr="00C500C3" w14:paraId="4FEC0449" w14:textId="77777777" w:rsidTr="00C026AC">
        <w:trPr>
          <w:trHeight w:val="405"/>
        </w:trPr>
        <w:tc>
          <w:tcPr>
            <w:tcW w:w="0" w:type="auto"/>
            <w:hideMark/>
          </w:tcPr>
          <w:p w14:paraId="62AC76F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 weeks</w:t>
            </w:r>
          </w:p>
        </w:tc>
        <w:tc>
          <w:tcPr>
            <w:tcW w:w="0" w:type="auto"/>
            <w:hideMark/>
          </w:tcPr>
          <w:p w14:paraId="0D5CC51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67.2 ± 15.8</w:t>
            </w:r>
          </w:p>
        </w:tc>
        <w:tc>
          <w:tcPr>
            <w:tcW w:w="0" w:type="auto"/>
            <w:hideMark/>
          </w:tcPr>
          <w:p w14:paraId="3B01B14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58.9 ± 14.2</w:t>
            </w:r>
          </w:p>
        </w:tc>
        <w:tc>
          <w:tcPr>
            <w:tcW w:w="0" w:type="auto"/>
            <w:hideMark/>
          </w:tcPr>
          <w:p w14:paraId="4AFB249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8.3 ± 15.1</w:t>
            </w:r>
          </w:p>
        </w:tc>
        <w:tc>
          <w:tcPr>
            <w:tcW w:w="0" w:type="auto"/>
            <w:hideMark/>
          </w:tcPr>
          <w:p w14:paraId="1FB8BF35"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0.012*</w:t>
            </w:r>
          </w:p>
        </w:tc>
        <w:tc>
          <w:tcPr>
            <w:tcW w:w="0" w:type="auto"/>
            <w:hideMark/>
          </w:tcPr>
          <w:p w14:paraId="0D8C06C2"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0.56</w:t>
            </w:r>
          </w:p>
        </w:tc>
      </w:tr>
      <w:tr w:rsidR="00C500C3" w:rsidRPr="00C500C3" w14:paraId="38855E10" w14:textId="77777777" w:rsidTr="00C026AC">
        <w:trPr>
          <w:trHeight w:val="405"/>
        </w:trPr>
        <w:tc>
          <w:tcPr>
            <w:tcW w:w="0" w:type="auto"/>
            <w:hideMark/>
          </w:tcPr>
          <w:p w14:paraId="2C6D4D1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lastRenderedPageBreak/>
              <w:t>12 weeks</w:t>
            </w:r>
          </w:p>
        </w:tc>
        <w:tc>
          <w:tcPr>
            <w:tcW w:w="0" w:type="auto"/>
            <w:hideMark/>
          </w:tcPr>
          <w:p w14:paraId="7834679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72.1 ± 16.4</w:t>
            </w:r>
          </w:p>
        </w:tc>
        <w:tc>
          <w:tcPr>
            <w:tcW w:w="0" w:type="auto"/>
            <w:hideMark/>
          </w:tcPr>
          <w:p w14:paraId="0D77EB93"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62.3 ± 15.7</w:t>
            </w:r>
          </w:p>
        </w:tc>
        <w:tc>
          <w:tcPr>
            <w:tcW w:w="0" w:type="auto"/>
            <w:hideMark/>
          </w:tcPr>
          <w:p w14:paraId="4C950B7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9.8 ± 16.1</w:t>
            </w:r>
          </w:p>
        </w:tc>
        <w:tc>
          <w:tcPr>
            <w:tcW w:w="0" w:type="auto"/>
            <w:hideMark/>
          </w:tcPr>
          <w:p w14:paraId="0CE6B73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0.006**</w:t>
            </w:r>
          </w:p>
        </w:tc>
        <w:tc>
          <w:tcPr>
            <w:tcW w:w="0" w:type="auto"/>
            <w:hideMark/>
          </w:tcPr>
          <w:p w14:paraId="0A109088"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0.61</w:t>
            </w:r>
          </w:p>
        </w:tc>
      </w:tr>
      <w:tr w:rsidR="00395956" w:rsidRPr="00C500C3" w14:paraId="39BE41B7" w14:textId="77777777" w:rsidTr="00C026AC">
        <w:trPr>
          <w:trHeight w:val="405"/>
        </w:trPr>
        <w:tc>
          <w:tcPr>
            <w:tcW w:w="0" w:type="auto"/>
            <w:hideMark/>
          </w:tcPr>
          <w:p w14:paraId="6F766F8A" w14:textId="77777777" w:rsidR="00395956" w:rsidRPr="00395956" w:rsidRDefault="00395956" w:rsidP="00C500C3">
            <w:pPr>
              <w:jc w:val="both"/>
              <w:rPr>
                <w:rFonts w:ascii="Arial" w:hAnsi="Arial" w:cs="Arial"/>
                <w:sz w:val="20"/>
                <w:szCs w:val="20"/>
              </w:rPr>
            </w:pPr>
            <w:r w:rsidRPr="00395956">
              <w:rPr>
                <w:rFonts w:ascii="Arial" w:hAnsi="Arial" w:cs="Arial"/>
                <w:sz w:val="20"/>
                <w:szCs w:val="20"/>
              </w:rPr>
              <w:t>Within-group changes</w:t>
            </w:r>
          </w:p>
        </w:tc>
        <w:tc>
          <w:tcPr>
            <w:tcW w:w="0" w:type="auto"/>
            <w:gridSpan w:val="5"/>
            <w:hideMark/>
          </w:tcPr>
          <w:p w14:paraId="2DA1F845" w14:textId="77777777" w:rsidR="00395956" w:rsidRPr="00395956" w:rsidRDefault="00395956" w:rsidP="00C500C3">
            <w:pPr>
              <w:jc w:val="both"/>
              <w:rPr>
                <w:rFonts w:ascii="Arial" w:hAnsi="Arial" w:cs="Arial"/>
                <w:sz w:val="20"/>
                <w:szCs w:val="20"/>
              </w:rPr>
            </w:pPr>
          </w:p>
        </w:tc>
      </w:tr>
      <w:tr w:rsidR="00C500C3" w:rsidRPr="00C500C3" w14:paraId="452AE7D2" w14:textId="77777777" w:rsidTr="00C026AC">
        <w:trPr>
          <w:trHeight w:val="405"/>
        </w:trPr>
        <w:tc>
          <w:tcPr>
            <w:tcW w:w="0" w:type="auto"/>
            <w:hideMark/>
          </w:tcPr>
          <w:p w14:paraId="52EBCA5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 to 6 weeks</w:t>
            </w:r>
          </w:p>
        </w:tc>
        <w:tc>
          <w:tcPr>
            <w:tcW w:w="0" w:type="auto"/>
            <w:hideMark/>
          </w:tcPr>
          <w:p w14:paraId="3ABF5D8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12.9 ± 7.2</w:t>
            </w:r>
          </w:p>
        </w:tc>
        <w:tc>
          <w:tcPr>
            <w:tcW w:w="0" w:type="auto"/>
            <w:hideMark/>
          </w:tcPr>
          <w:p w14:paraId="5A73D4A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5.8 ± 4.9</w:t>
            </w:r>
          </w:p>
        </w:tc>
        <w:tc>
          <w:tcPr>
            <w:tcW w:w="0" w:type="auto"/>
            <w:hideMark/>
          </w:tcPr>
          <w:p w14:paraId="28B268A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7.1 ± 6.3</w:t>
            </w:r>
          </w:p>
        </w:tc>
        <w:tc>
          <w:tcPr>
            <w:tcW w:w="0" w:type="auto"/>
            <w:hideMark/>
          </w:tcPr>
          <w:p w14:paraId="5F66BCC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&lt;0.001***</w:t>
            </w:r>
          </w:p>
        </w:tc>
        <w:tc>
          <w:tcPr>
            <w:tcW w:w="0" w:type="auto"/>
            <w:hideMark/>
          </w:tcPr>
          <w:p w14:paraId="0364981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1.26</w:t>
            </w:r>
          </w:p>
        </w:tc>
      </w:tr>
      <w:tr w:rsidR="00C500C3" w:rsidRPr="00C500C3" w14:paraId="2282B8FE" w14:textId="77777777" w:rsidTr="00C026AC">
        <w:trPr>
          <w:trHeight w:val="405"/>
        </w:trPr>
        <w:tc>
          <w:tcPr>
            <w:tcW w:w="0" w:type="auto"/>
            <w:hideMark/>
          </w:tcPr>
          <w:p w14:paraId="1A0C31B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 to 12 weeks</w:t>
            </w:r>
          </w:p>
        </w:tc>
        <w:tc>
          <w:tcPr>
            <w:tcW w:w="0" w:type="auto"/>
            <w:hideMark/>
          </w:tcPr>
          <w:p w14:paraId="60DD0051"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17.8 ± 8.9</w:t>
            </w:r>
          </w:p>
        </w:tc>
        <w:tc>
          <w:tcPr>
            <w:tcW w:w="0" w:type="auto"/>
            <w:hideMark/>
          </w:tcPr>
          <w:p w14:paraId="19620968"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9.2 ± 6.4</w:t>
            </w:r>
          </w:p>
        </w:tc>
        <w:tc>
          <w:tcPr>
            <w:tcW w:w="0" w:type="auto"/>
            <w:hideMark/>
          </w:tcPr>
          <w:p w14:paraId="610F966C"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8.6 ± 7.9</w:t>
            </w:r>
          </w:p>
        </w:tc>
        <w:tc>
          <w:tcPr>
            <w:tcW w:w="0" w:type="auto"/>
            <w:hideMark/>
          </w:tcPr>
          <w:p w14:paraId="2E0A9D8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&lt;0.001***</w:t>
            </w:r>
          </w:p>
        </w:tc>
        <w:tc>
          <w:tcPr>
            <w:tcW w:w="0" w:type="auto"/>
            <w:hideMark/>
          </w:tcPr>
          <w:p w14:paraId="684B0EC6"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1.23</w:t>
            </w:r>
          </w:p>
        </w:tc>
      </w:tr>
    </w:tbl>
    <w:p w14:paraId="0BFFB3CE"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&lt;0.05, **p&lt;0.01, **</w:t>
      </w:r>
      <w:r w:rsidRPr="00C500C3">
        <w:rPr>
          <w:rFonts w:ascii="Arial" w:hAnsi="Arial" w:cs="Arial"/>
          <w:i/>
        </w:rPr>
        <w:t>p</w:t>
      </w:r>
      <w:r w:rsidRPr="00C500C3">
        <w:rPr>
          <w:rFonts w:ascii="Arial" w:hAnsi="Arial" w:cs="Arial"/>
        </w:rPr>
        <w:t>&lt;0.001</w:t>
      </w:r>
    </w:p>
    <w:p w14:paraId="6BA19CE8"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4: Canadian Occupational Performance Measure Scores</w:t>
      </w:r>
    </w:p>
    <w:tbl>
      <w:tblPr>
        <w:tblStyle w:val="TableGrid"/>
        <w:tblW w:w="8747" w:type="dxa"/>
        <w:tblLook w:val="04A0" w:firstRow="1" w:lastRow="0" w:firstColumn="1" w:lastColumn="0" w:noHBand="0" w:noVBand="1"/>
      </w:tblPr>
      <w:tblGrid>
        <w:gridCol w:w="1480"/>
        <w:gridCol w:w="1022"/>
        <w:gridCol w:w="1509"/>
        <w:gridCol w:w="986"/>
        <w:gridCol w:w="1417"/>
        <w:gridCol w:w="1067"/>
        <w:gridCol w:w="1266"/>
      </w:tblGrid>
      <w:tr w:rsidR="00C500C3" w:rsidRPr="00C500C3" w14:paraId="6DFF006F" w14:textId="77777777" w:rsidTr="00C026AC">
        <w:trPr>
          <w:trHeight w:val="621"/>
        </w:trPr>
        <w:tc>
          <w:tcPr>
            <w:tcW w:w="0" w:type="auto"/>
            <w:hideMark/>
          </w:tcPr>
          <w:p w14:paraId="320D5D87"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Measure</w:t>
            </w:r>
          </w:p>
        </w:tc>
        <w:tc>
          <w:tcPr>
            <w:tcW w:w="0" w:type="auto"/>
            <w:hideMark/>
          </w:tcPr>
          <w:p w14:paraId="45C9D797"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Time Point</w:t>
            </w:r>
          </w:p>
        </w:tc>
        <w:tc>
          <w:tcPr>
            <w:tcW w:w="0" w:type="auto"/>
            <w:hideMark/>
          </w:tcPr>
          <w:p w14:paraId="6B6083A2"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Experimental Group</w:t>
            </w:r>
          </w:p>
        </w:tc>
        <w:tc>
          <w:tcPr>
            <w:tcW w:w="0" w:type="auto"/>
            <w:hideMark/>
          </w:tcPr>
          <w:p w14:paraId="70A6DE80"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Control Group</w:t>
            </w:r>
          </w:p>
        </w:tc>
        <w:tc>
          <w:tcPr>
            <w:tcW w:w="0" w:type="auto"/>
            <w:hideMark/>
          </w:tcPr>
          <w:p w14:paraId="4CB2D00E"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Between-group Difference</w:t>
            </w:r>
          </w:p>
        </w:tc>
        <w:tc>
          <w:tcPr>
            <w:tcW w:w="0" w:type="auto"/>
            <w:hideMark/>
          </w:tcPr>
          <w:p w14:paraId="02E49729" w14:textId="77777777" w:rsidR="00C500C3" w:rsidRPr="00395956" w:rsidRDefault="00C500C3" w:rsidP="00C500C3">
            <w:pPr>
              <w:jc w:val="center"/>
              <w:rPr>
                <w:rFonts w:ascii="Arial" w:hAnsi="Arial" w:cs="Arial"/>
                <w:sz w:val="20"/>
                <w:szCs w:val="20"/>
              </w:rPr>
            </w:pPr>
            <w:r w:rsidRPr="0037287F">
              <w:rPr>
                <w:rFonts w:ascii="Arial" w:hAnsi="Arial" w:cs="Arial"/>
                <w:i/>
                <w:sz w:val="20"/>
                <w:szCs w:val="20"/>
              </w:rPr>
              <w:t>p</w:t>
            </w:r>
            <w:r w:rsidRPr="00395956">
              <w:rPr>
                <w:rFonts w:ascii="Arial" w:hAnsi="Arial" w:cs="Arial"/>
                <w:sz w:val="20"/>
                <w:szCs w:val="20"/>
              </w:rPr>
              <w:t>-value</w:t>
            </w:r>
          </w:p>
        </w:tc>
        <w:tc>
          <w:tcPr>
            <w:tcW w:w="0" w:type="auto"/>
            <w:hideMark/>
          </w:tcPr>
          <w:p w14:paraId="1687ACDB"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Effect Size (Cohen's d)</w:t>
            </w:r>
          </w:p>
        </w:tc>
      </w:tr>
      <w:tr w:rsidR="00395956" w:rsidRPr="00C500C3" w14:paraId="7364F43F" w14:textId="77777777" w:rsidTr="00C026AC">
        <w:trPr>
          <w:trHeight w:val="421"/>
        </w:trPr>
        <w:tc>
          <w:tcPr>
            <w:tcW w:w="0" w:type="auto"/>
            <w:hideMark/>
          </w:tcPr>
          <w:p w14:paraId="6AC09FFA" w14:textId="77777777" w:rsidR="00395956" w:rsidRPr="00395956" w:rsidRDefault="00395956" w:rsidP="00C500C3">
            <w:pPr>
              <w:rPr>
                <w:rFonts w:ascii="Arial" w:hAnsi="Arial" w:cs="Arial"/>
                <w:sz w:val="20"/>
                <w:szCs w:val="20"/>
              </w:rPr>
            </w:pPr>
            <w:r w:rsidRPr="00395956">
              <w:rPr>
                <w:rFonts w:ascii="Arial" w:hAnsi="Arial" w:cs="Arial"/>
                <w:sz w:val="20"/>
                <w:szCs w:val="20"/>
              </w:rPr>
              <w:t>Performance Score</w:t>
            </w:r>
          </w:p>
        </w:tc>
        <w:tc>
          <w:tcPr>
            <w:tcW w:w="0" w:type="auto"/>
            <w:hideMark/>
          </w:tcPr>
          <w:p w14:paraId="7AC62B2F" w14:textId="77777777" w:rsidR="00395956" w:rsidRPr="00395956" w:rsidRDefault="00395956" w:rsidP="00C500C3">
            <w:pPr>
              <w:rPr>
                <w:rFonts w:ascii="Arial" w:hAnsi="Arial" w:cs="Arial"/>
                <w:sz w:val="20"/>
                <w:szCs w:val="20"/>
              </w:rPr>
            </w:pPr>
            <w:r w:rsidRPr="00395956">
              <w:rPr>
                <w:rFonts w:ascii="Arial" w:hAnsi="Arial" w:cs="Arial"/>
                <w:sz w:val="20"/>
                <w:szCs w:val="20"/>
              </w:rPr>
              <w:t>Baseline</w:t>
            </w:r>
          </w:p>
        </w:tc>
        <w:tc>
          <w:tcPr>
            <w:tcW w:w="0" w:type="auto"/>
            <w:hideMark/>
          </w:tcPr>
          <w:p w14:paraId="1F73A376" w14:textId="77777777" w:rsidR="00395956" w:rsidRPr="00395956" w:rsidRDefault="00395956" w:rsidP="00C500C3">
            <w:pPr>
              <w:rPr>
                <w:rFonts w:ascii="Arial" w:hAnsi="Arial" w:cs="Arial"/>
                <w:sz w:val="20"/>
                <w:szCs w:val="20"/>
              </w:rPr>
            </w:pPr>
            <w:r w:rsidRPr="00395956">
              <w:rPr>
                <w:rFonts w:ascii="Arial" w:hAnsi="Arial" w:cs="Arial"/>
                <w:sz w:val="20"/>
                <w:szCs w:val="20"/>
              </w:rPr>
              <w:t>3.4 ± 1.3</w:t>
            </w:r>
          </w:p>
        </w:tc>
        <w:tc>
          <w:tcPr>
            <w:tcW w:w="0" w:type="auto"/>
            <w:hideMark/>
          </w:tcPr>
          <w:p w14:paraId="3252A33C" w14:textId="77777777" w:rsidR="00395956" w:rsidRPr="00395956" w:rsidRDefault="00395956" w:rsidP="00C500C3">
            <w:pPr>
              <w:rPr>
                <w:rFonts w:ascii="Arial" w:hAnsi="Arial" w:cs="Arial"/>
                <w:sz w:val="20"/>
                <w:szCs w:val="20"/>
              </w:rPr>
            </w:pPr>
            <w:r w:rsidRPr="00395956">
              <w:rPr>
                <w:rFonts w:ascii="Arial" w:hAnsi="Arial" w:cs="Arial"/>
                <w:sz w:val="20"/>
                <w:szCs w:val="20"/>
              </w:rPr>
              <w:t>3.2 ± 1.2</w:t>
            </w:r>
          </w:p>
        </w:tc>
        <w:tc>
          <w:tcPr>
            <w:tcW w:w="0" w:type="auto"/>
            <w:hideMark/>
          </w:tcPr>
          <w:p w14:paraId="274D0592" w14:textId="77777777" w:rsidR="00395956" w:rsidRPr="00395956" w:rsidRDefault="00395956" w:rsidP="00C500C3">
            <w:pPr>
              <w:rPr>
                <w:rFonts w:ascii="Arial" w:hAnsi="Arial" w:cs="Arial"/>
                <w:sz w:val="20"/>
                <w:szCs w:val="20"/>
              </w:rPr>
            </w:pPr>
            <w:r w:rsidRPr="00395956">
              <w:rPr>
                <w:rFonts w:ascii="Arial" w:hAnsi="Arial" w:cs="Arial"/>
                <w:sz w:val="20"/>
                <w:szCs w:val="20"/>
              </w:rPr>
              <w:t>0.2 ± 1.3</w:t>
            </w:r>
          </w:p>
        </w:tc>
        <w:tc>
          <w:tcPr>
            <w:tcW w:w="0" w:type="auto"/>
            <w:hideMark/>
          </w:tcPr>
          <w:p w14:paraId="50DB8489" w14:textId="77777777" w:rsidR="00395956" w:rsidRPr="00395956" w:rsidRDefault="00395956" w:rsidP="00C500C3">
            <w:pPr>
              <w:rPr>
                <w:rFonts w:ascii="Arial" w:hAnsi="Arial" w:cs="Arial"/>
                <w:sz w:val="20"/>
                <w:szCs w:val="20"/>
              </w:rPr>
            </w:pPr>
            <w:r w:rsidRPr="00395956">
              <w:rPr>
                <w:rFonts w:ascii="Arial" w:hAnsi="Arial" w:cs="Arial"/>
                <w:sz w:val="20"/>
                <w:szCs w:val="20"/>
              </w:rPr>
              <w:t>0.45</w:t>
            </w:r>
          </w:p>
        </w:tc>
        <w:tc>
          <w:tcPr>
            <w:tcW w:w="0" w:type="auto"/>
            <w:hideMark/>
          </w:tcPr>
          <w:p w14:paraId="10785516" w14:textId="77777777" w:rsidR="00395956" w:rsidRPr="00395956" w:rsidRDefault="00395956" w:rsidP="00C500C3">
            <w:pPr>
              <w:rPr>
                <w:rFonts w:ascii="Arial" w:hAnsi="Arial" w:cs="Arial"/>
                <w:sz w:val="20"/>
                <w:szCs w:val="20"/>
              </w:rPr>
            </w:pPr>
            <w:r w:rsidRPr="00395956">
              <w:rPr>
                <w:rFonts w:ascii="Arial" w:hAnsi="Arial" w:cs="Arial"/>
                <w:sz w:val="20"/>
                <w:szCs w:val="20"/>
              </w:rPr>
              <w:t>0.16</w:t>
            </w:r>
          </w:p>
        </w:tc>
      </w:tr>
      <w:tr w:rsidR="00395956" w:rsidRPr="00C500C3" w14:paraId="425F18AF" w14:textId="77777777" w:rsidTr="00C026AC">
        <w:trPr>
          <w:trHeight w:val="421"/>
        </w:trPr>
        <w:tc>
          <w:tcPr>
            <w:tcW w:w="0" w:type="auto"/>
            <w:hideMark/>
          </w:tcPr>
          <w:p w14:paraId="02FB0B21" w14:textId="77777777" w:rsidR="00395956" w:rsidRPr="00395956" w:rsidRDefault="00395956" w:rsidP="00C500C3">
            <w:pPr>
              <w:rPr>
                <w:rFonts w:ascii="Arial" w:hAnsi="Arial" w:cs="Arial"/>
                <w:sz w:val="20"/>
                <w:szCs w:val="20"/>
              </w:rPr>
            </w:pPr>
          </w:p>
        </w:tc>
        <w:tc>
          <w:tcPr>
            <w:tcW w:w="0" w:type="auto"/>
            <w:hideMark/>
          </w:tcPr>
          <w:p w14:paraId="73E69660" w14:textId="77777777" w:rsidR="00395956" w:rsidRPr="00395956" w:rsidRDefault="00395956" w:rsidP="00C500C3">
            <w:pPr>
              <w:rPr>
                <w:rFonts w:ascii="Arial" w:hAnsi="Arial" w:cs="Arial"/>
                <w:sz w:val="20"/>
                <w:szCs w:val="20"/>
              </w:rPr>
            </w:pPr>
            <w:r w:rsidRPr="00395956">
              <w:rPr>
                <w:rFonts w:ascii="Arial" w:hAnsi="Arial" w:cs="Arial"/>
                <w:sz w:val="20"/>
                <w:szCs w:val="20"/>
              </w:rPr>
              <w:t>6 weeks</w:t>
            </w:r>
          </w:p>
        </w:tc>
        <w:tc>
          <w:tcPr>
            <w:tcW w:w="0" w:type="auto"/>
            <w:hideMark/>
          </w:tcPr>
          <w:p w14:paraId="7023D337" w14:textId="77777777" w:rsidR="00395956" w:rsidRPr="00395956" w:rsidRDefault="00395956" w:rsidP="00C500C3">
            <w:pPr>
              <w:rPr>
                <w:rFonts w:ascii="Arial" w:hAnsi="Arial" w:cs="Arial"/>
                <w:sz w:val="20"/>
                <w:szCs w:val="20"/>
              </w:rPr>
            </w:pPr>
            <w:r w:rsidRPr="00395956">
              <w:rPr>
                <w:rFonts w:ascii="Arial" w:hAnsi="Arial" w:cs="Arial"/>
                <w:sz w:val="20"/>
                <w:szCs w:val="20"/>
              </w:rPr>
              <w:t>6.2 ± 1.6</w:t>
            </w:r>
          </w:p>
        </w:tc>
        <w:tc>
          <w:tcPr>
            <w:tcW w:w="0" w:type="auto"/>
            <w:hideMark/>
          </w:tcPr>
          <w:p w14:paraId="296ADCF1" w14:textId="77777777" w:rsidR="00395956" w:rsidRPr="00395956" w:rsidRDefault="00395956" w:rsidP="00C500C3">
            <w:pPr>
              <w:rPr>
                <w:rFonts w:ascii="Arial" w:hAnsi="Arial" w:cs="Arial"/>
                <w:sz w:val="20"/>
                <w:szCs w:val="20"/>
              </w:rPr>
            </w:pPr>
            <w:r w:rsidRPr="00395956">
              <w:rPr>
                <w:rFonts w:ascii="Arial" w:hAnsi="Arial" w:cs="Arial"/>
                <w:sz w:val="20"/>
                <w:szCs w:val="20"/>
              </w:rPr>
              <w:t>4.8 ± 1.4</w:t>
            </w:r>
          </w:p>
        </w:tc>
        <w:tc>
          <w:tcPr>
            <w:tcW w:w="0" w:type="auto"/>
            <w:hideMark/>
          </w:tcPr>
          <w:p w14:paraId="03AADC0D" w14:textId="77777777" w:rsidR="00395956" w:rsidRPr="00395956" w:rsidRDefault="00395956" w:rsidP="00C500C3">
            <w:pPr>
              <w:rPr>
                <w:rFonts w:ascii="Arial" w:hAnsi="Arial" w:cs="Arial"/>
                <w:sz w:val="20"/>
                <w:szCs w:val="20"/>
              </w:rPr>
            </w:pPr>
            <w:r w:rsidRPr="00395956">
              <w:rPr>
                <w:rFonts w:ascii="Arial" w:hAnsi="Arial" w:cs="Arial"/>
                <w:sz w:val="20"/>
                <w:szCs w:val="20"/>
              </w:rPr>
              <w:t>1.4 ± 1.5</w:t>
            </w:r>
          </w:p>
        </w:tc>
        <w:tc>
          <w:tcPr>
            <w:tcW w:w="0" w:type="auto"/>
            <w:hideMark/>
          </w:tcPr>
          <w:p w14:paraId="4CC891AC"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4589611B" w14:textId="77777777" w:rsidR="00395956" w:rsidRPr="00395956" w:rsidRDefault="00395956" w:rsidP="00C500C3">
            <w:pPr>
              <w:rPr>
                <w:rFonts w:ascii="Arial" w:hAnsi="Arial" w:cs="Arial"/>
                <w:sz w:val="20"/>
                <w:szCs w:val="20"/>
              </w:rPr>
            </w:pPr>
            <w:r w:rsidRPr="00395956">
              <w:rPr>
                <w:rFonts w:ascii="Arial" w:hAnsi="Arial" w:cs="Arial"/>
                <w:sz w:val="20"/>
                <w:szCs w:val="20"/>
              </w:rPr>
              <w:t>0.93</w:t>
            </w:r>
          </w:p>
        </w:tc>
      </w:tr>
      <w:tr w:rsidR="00395956" w:rsidRPr="00C500C3" w14:paraId="752F1314" w14:textId="77777777" w:rsidTr="00C026AC">
        <w:trPr>
          <w:trHeight w:val="421"/>
        </w:trPr>
        <w:tc>
          <w:tcPr>
            <w:tcW w:w="0" w:type="auto"/>
            <w:hideMark/>
          </w:tcPr>
          <w:p w14:paraId="5542BD2D" w14:textId="77777777" w:rsidR="00395956" w:rsidRPr="00395956" w:rsidRDefault="00395956" w:rsidP="00C500C3">
            <w:pPr>
              <w:rPr>
                <w:rFonts w:ascii="Arial" w:hAnsi="Arial" w:cs="Arial"/>
                <w:sz w:val="20"/>
                <w:szCs w:val="20"/>
              </w:rPr>
            </w:pPr>
          </w:p>
        </w:tc>
        <w:tc>
          <w:tcPr>
            <w:tcW w:w="0" w:type="auto"/>
            <w:hideMark/>
          </w:tcPr>
          <w:p w14:paraId="7C604BC0" w14:textId="77777777" w:rsidR="00395956" w:rsidRPr="00395956" w:rsidRDefault="00395956" w:rsidP="00C500C3">
            <w:pPr>
              <w:rPr>
                <w:rFonts w:ascii="Arial" w:hAnsi="Arial" w:cs="Arial"/>
                <w:sz w:val="20"/>
                <w:szCs w:val="20"/>
              </w:rPr>
            </w:pPr>
            <w:r w:rsidRPr="00395956">
              <w:rPr>
                <w:rFonts w:ascii="Arial" w:hAnsi="Arial" w:cs="Arial"/>
                <w:sz w:val="20"/>
                <w:szCs w:val="20"/>
              </w:rPr>
              <w:t>12 weeks</w:t>
            </w:r>
          </w:p>
        </w:tc>
        <w:tc>
          <w:tcPr>
            <w:tcW w:w="0" w:type="auto"/>
            <w:hideMark/>
          </w:tcPr>
          <w:p w14:paraId="1546EDE1" w14:textId="77777777" w:rsidR="00395956" w:rsidRPr="00395956" w:rsidRDefault="00395956" w:rsidP="00C500C3">
            <w:pPr>
              <w:rPr>
                <w:rFonts w:ascii="Arial" w:hAnsi="Arial" w:cs="Arial"/>
                <w:sz w:val="20"/>
                <w:szCs w:val="20"/>
              </w:rPr>
            </w:pPr>
            <w:r w:rsidRPr="00395956">
              <w:rPr>
                <w:rFonts w:ascii="Arial" w:hAnsi="Arial" w:cs="Arial"/>
                <w:sz w:val="20"/>
                <w:szCs w:val="20"/>
              </w:rPr>
              <w:t>6.8 ± 1.9</w:t>
            </w:r>
          </w:p>
        </w:tc>
        <w:tc>
          <w:tcPr>
            <w:tcW w:w="0" w:type="auto"/>
            <w:hideMark/>
          </w:tcPr>
          <w:p w14:paraId="5D207E38" w14:textId="77777777" w:rsidR="00395956" w:rsidRPr="00395956" w:rsidRDefault="00395956" w:rsidP="00C500C3">
            <w:pPr>
              <w:rPr>
                <w:rFonts w:ascii="Arial" w:hAnsi="Arial" w:cs="Arial"/>
                <w:sz w:val="20"/>
                <w:szCs w:val="20"/>
              </w:rPr>
            </w:pPr>
            <w:r w:rsidRPr="00395956">
              <w:rPr>
                <w:rFonts w:ascii="Arial" w:hAnsi="Arial" w:cs="Arial"/>
                <w:sz w:val="20"/>
                <w:szCs w:val="20"/>
              </w:rPr>
              <w:t>5.2 ± 1.7</w:t>
            </w:r>
          </w:p>
        </w:tc>
        <w:tc>
          <w:tcPr>
            <w:tcW w:w="0" w:type="auto"/>
            <w:hideMark/>
          </w:tcPr>
          <w:p w14:paraId="42970E00" w14:textId="77777777" w:rsidR="00395956" w:rsidRPr="00395956" w:rsidRDefault="00395956" w:rsidP="00C500C3">
            <w:pPr>
              <w:rPr>
                <w:rFonts w:ascii="Arial" w:hAnsi="Arial" w:cs="Arial"/>
                <w:sz w:val="20"/>
                <w:szCs w:val="20"/>
              </w:rPr>
            </w:pPr>
            <w:r w:rsidRPr="00395956">
              <w:rPr>
                <w:rFonts w:ascii="Arial" w:hAnsi="Arial" w:cs="Arial"/>
                <w:sz w:val="20"/>
                <w:szCs w:val="20"/>
              </w:rPr>
              <w:t>1.6 ± 1.8</w:t>
            </w:r>
          </w:p>
        </w:tc>
        <w:tc>
          <w:tcPr>
            <w:tcW w:w="0" w:type="auto"/>
            <w:hideMark/>
          </w:tcPr>
          <w:p w14:paraId="3800DFCE"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1496B875" w14:textId="77777777" w:rsidR="00395956" w:rsidRPr="00395956" w:rsidRDefault="00395956" w:rsidP="00C500C3">
            <w:pPr>
              <w:rPr>
                <w:rFonts w:ascii="Arial" w:hAnsi="Arial" w:cs="Arial"/>
                <w:sz w:val="20"/>
                <w:szCs w:val="20"/>
              </w:rPr>
            </w:pPr>
            <w:r w:rsidRPr="00395956">
              <w:rPr>
                <w:rFonts w:ascii="Arial" w:hAnsi="Arial" w:cs="Arial"/>
                <w:sz w:val="20"/>
                <w:szCs w:val="20"/>
              </w:rPr>
              <w:t>0.89</w:t>
            </w:r>
          </w:p>
        </w:tc>
      </w:tr>
      <w:tr w:rsidR="00395956" w:rsidRPr="00C500C3" w14:paraId="05E02839" w14:textId="77777777" w:rsidTr="00C026AC">
        <w:tc>
          <w:tcPr>
            <w:tcW w:w="0" w:type="auto"/>
            <w:hideMark/>
          </w:tcPr>
          <w:p w14:paraId="29FBD769" w14:textId="77777777" w:rsidR="00395956" w:rsidRPr="00395956" w:rsidRDefault="00395956" w:rsidP="00C500C3">
            <w:pPr>
              <w:rPr>
                <w:rFonts w:ascii="Arial" w:hAnsi="Arial" w:cs="Arial"/>
                <w:sz w:val="20"/>
                <w:szCs w:val="20"/>
              </w:rPr>
            </w:pPr>
          </w:p>
        </w:tc>
        <w:tc>
          <w:tcPr>
            <w:tcW w:w="0" w:type="auto"/>
            <w:hideMark/>
          </w:tcPr>
          <w:p w14:paraId="3D839569" w14:textId="77777777" w:rsidR="00395956" w:rsidRPr="00395956" w:rsidRDefault="00395956" w:rsidP="00C500C3">
            <w:pPr>
              <w:rPr>
                <w:rFonts w:ascii="Arial" w:hAnsi="Arial" w:cs="Arial"/>
                <w:sz w:val="20"/>
                <w:szCs w:val="20"/>
              </w:rPr>
            </w:pPr>
          </w:p>
        </w:tc>
        <w:tc>
          <w:tcPr>
            <w:tcW w:w="0" w:type="auto"/>
            <w:hideMark/>
          </w:tcPr>
          <w:p w14:paraId="7C07B4CF" w14:textId="77777777" w:rsidR="00395956" w:rsidRPr="00395956" w:rsidRDefault="00395956" w:rsidP="00C500C3">
            <w:pPr>
              <w:rPr>
                <w:rFonts w:ascii="Arial" w:hAnsi="Arial" w:cs="Arial"/>
                <w:sz w:val="20"/>
                <w:szCs w:val="20"/>
              </w:rPr>
            </w:pPr>
          </w:p>
        </w:tc>
        <w:tc>
          <w:tcPr>
            <w:tcW w:w="0" w:type="auto"/>
            <w:hideMark/>
          </w:tcPr>
          <w:p w14:paraId="4EB056F8" w14:textId="77777777" w:rsidR="00395956" w:rsidRPr="00395956" w:rsidRDefault="00395956" w:rsidP="00C500C3">
            <w:pPr>
              <w:rPr>
                <w:rFonts w:ascii="Arial" w:hAnsi="Arial" w:cs="Arial"/>
                <w:sz w:val="20"/>
                <w:szCs w:val="20"/>
              </w:rPr>
            </w:pPr>
          </w:p>
        </w:tc>
        <w:tc>
          <w:tcPr>
            <w:tcW w:w="0" w:type="auto"/>
            <w:hideMark/>
          </w:tcPr>
          <w:p w14:paraId="5E0545FA" w14:textId="77777777" w:rsidR="00395956" w:rsidRPr="00395956" w:rsidRDefault="00395956" w:rsidP="00C500C3">
            <w:pPr>
              <w:rPr>
                <w:rFonts w:ascii="Arial" w:hAnsi="Arial" w:cs="Arial"/>
                <w:sz w:val="20"/>
                <w:szCs w:val="20"/>
              </w:rPr>
            </w:pPr>
          </w:p>
        </w:tc>
        <w:tc>
          <w:tcPr>
            <w:tcW w:w="0" w:type="auto"/>
            <w:hideMark/>
          </w:tcPr>
          <w:p w14:paraId="0B5A7884" w14:textId="77777777" w:rsidR="00395956" w:rsidRPr="00395956" w:rsidRDefault="00395956" w:rsidP="00C500C3">
            <w:pPr>
              <w:rPr>
                <w:rFonts w:ascii="Arial" w:hAnsi="Arial" w:cs="Arial"/>
                <w:sz w:val="20"/>
                <w:szCs w:val="20"/>
              </w:rPr>
            </w:pPr>
          </w:p>
        </w:tc>
        <w:tc>
          <w:tcPr>
            <w:tcW w:w="0" w:type="auto"/>
            <w:hideMark/>
          </w:tcPr>
          <w:p w14:paraId="28CE1AA0" w14:textId="77777777" w:rsidR="00395956" w:rsidRPr="00395956" w:rsidRDefault="00395956" w:rsidP="00C500C3">
            <w:pPr>
              <w:rPr>
                <w:rFonts w:ascii="Arial" w:hAnsi="Arial" w:cs="Arial"/>
                <w:sz w:val="20"/>
                <w:szCs w:val="20"/>
              </w:rPr>
            </w:pPr>
          </w:p>
        </w:tc>
      </w:tr>
      <w:tr w:rsidR="00395956" w:rsidRPr="00C500C3" w14:paraId="4EEDCF07" w14:textId="77777777" w:rsidTr="00C026AC">
        <w:trPr>
          <w:trHeight w:val="421"/>
        </w:trPr>
        <w:tc>
          <w:tcPr>
            <w:tcW w:w="0" w:type="auto"/>
            <w:hideMark/>
          </w:tcPr>
          <w:p w14:paraId="0373B9C0" w14:textId="77777777" w:rsidR="00395956" w:rsidRPr="00395956" w:rsidRDefault="00395956" w:rsidP="00C500C3">
            <w:pPr>
              <w:rPr>
                <w:rFonts w:ascii="Arial" w:hAnsi="Arial" w:cs="Arial"/>
                <w:sz w:val="20"/>
                <w:szCs w:val="20"/>
              </w:rPr>
            </w:pPr>
            <w:r w:rsidRPr="00395956">
              <w:rPr>
                <w:rFonts w:ascii="Arial" w:hAnsi="Arial" w:cs="Arial"/>
                <w:sz w:val="20"/>
                <w:szCs w:val="20"/>
              </w:rPr>
              <w:t>Satisfaction Score</w:t>
            </w:r>
          </w:p>
        </w:tc>
        <w:tc>
          <w:tcPr>
            <w:tcW w:w="0" w:type="auto"/>
            <w:hideMark/>
          </w:tcPr>
          <w:p w14:paraId="09A9A038" w14:textId="77777777" w:rsidR="00395956" w:rsidRPr="00395956" w:rsidRDefault="00395956" w:rsidP="00C500C3">
            <w:pPr>
              <w:rPr>
                <w:rFonts w:ascii="Arial" w:hAnsi="Arial" w:cs="Arial"/>
                <w:sz w:val="20"/>
                <w:szCs w:val="20"/>
              </w:rPr>
            </w:pPr>
            <w:r w:rsidRPr="00395956">
              <w:rPr>
                <w:rFonts w:ascii="Arial" w:hAnsi="Arial" w:cs="Arial"/>
                <w:sz w:val="20"/>
                <w:szCs w:val="20"/>
              </w:rPr>
              <w:t>Baseline</w:t>
            </w:r>
          </w:p>
        </w:tc>
        <w:tc>
          <w:tcPr>
            <w:tcW w:w="0" w:type="auto"/>
            <w:hideMark/>
          </w:tcPr>
          <w:p w14:paraId="4B7430ED" w14:textId="77777777" w:rsidR="00395956" w:rsidRPr="00395956" w:rsidRDefault="00395956" w:rsidP="00C500C3">
            <w:pPr>
              <w:rPr>
                <w:rFonts w:ascii="Arial" w:hAnsi="Arial" w:cs="Arial"/>
                <w:sz w:val="20"/>
                <w:szCs w:val="20"/>
              </w:rPr>
            </w:pPr>
            <w:r w:rsidRPr="00395956">
              <w:rPr>
                <w:rFonts w:ascii="Arial" w:hAnsi="Arial" w:cs="Arial"/>
                <w:sz w:val="20"/>
                <w:szCs w:val="20"/>
              </w:rPr>
              <w:t>3.1 ± 1.4</w:t>
            </w:r>
          </w:p>
        </w:tc>
        <w:tc>
          <w:tcPr>
            <w:tcW w:w="0" w:type="auto"/>
            <w:hideMark/>
          </w:tcPr>
          <w:p w14:paraId="4385D0DC" w14:textId="77777777" w:rsidR="00395956" w:rsidRPr="00395956" w:rsidRDefault="00395956" w:rsidP="00C500C3">
            <w:pPr>
              <w:rPr>
                <w:rFonts w:ascii="Arial" w:hAnsi="Arial" w:cs="Arial"/>
                <w:sz w:val="20"/>
                <w:szCs w:val="20"/>
              </w:rPr>
            </w:pPr>
            <w:r w:rsidRPr="00395956">
              <w:rPr>
                <w:rFonts w:ascii="Arial" w:hAnsi="Arial" w:cs="Arial"/>
                <w:sz w:val="20"/>
                <w:szCs w:val="20"/>
              </w:rPr>
              <w:t>3.0 ± 1.3</w:t>
            </w:r>
          </w:p>
        </w:tc>
        <w:tc>
          <w:tcPr>
            <w:tcW w:w="0" w:type="auto"/>
            <w:hideMark/>
          </w:tcPr>
          <w:p w14:paraId="7FAA5CD0" w14:textId="77777777" w:rsidR="00395956" w:rsidRPr="00395956" w:rsidRDefault="00395956" w:rsidP="00C500C3">
            <w:pPr>
              <w:rPr>
                <w:rFonts w:ascii="Arial" w:hAnsi="Arial" w:cs="Arial"/>
                <w:sz w:val="20"/>
                <w:szCs w:val="20"/>
              </w:rPr>
            </w:pPr>
            <w:r w:rsidRPr="00395956">
              <w:rPr>
                <w:rFonts w:ascii="Arial" w:hAnsi="Arial" w:cs="Arial"/>
                <w:sz w:val="20"/>
                <w:szCs w:val="20"/>
              </w:rPr>
              <w:t>0.1 ± 1.4</w:t>
            </w:r>
          </w:p>
        </w:tc>
        <w:tc>
          <w:tcPr>
            <w:tcW w:w="0" w:type="auto"/>
            <w:hideMark/>
          </w:tcPr>
          <w:p w14:paraId="45B7900C" w14:textId="77777777" w:rsidR="00395956" w:rsidRPr="00395956" w:rsidRDefault="00395956" w:rsidP="00C500C3">
            <w:pPr>
              <w:rPr>
                <w:rFonts w:ascii="Arial" w:hAnsi="Arial" w:cs="Arial"/>
                <w:sz w:val="20"/>
                <w:szCs w:val="20"/>
              </w:rPr>
            </w:pPr>
            <w:r w:rsidRPr="00395956">
              <w:rPr>
                <w:rFonts w:ascii="Arial" w:hAnsi="Arial" w:cs="Arial"/>
                <w:sz w:val="20"/>
                <w:szCs w:val="20"/>
              </w:rPr>
              <w:t>0.73</w:t>
            </w:r>
          </w:p>
        </w:tc>
        <w:tc>
          <w:tcPr>
            <w:tcW w:w="0" w:type="auto"/>
            <w:hideMark/>
          </w:tcPr>
          <w:p w14:paraId="2E1DF932" w14:textId="77777777" w:rsidR="00395956" w:rsidRPr="00395956" w:rsidRDefault="00395956" w:rsidP="00C500C3">
            <w:pPr>
              <w:rPr>
                <w:rFonts w:ascii="Arial" w:hAnsi="Arial" w:cs="Arial"/>
                <w:sz w:val="20"/>
                <w:szCs w:val="20"/>
              </w:rPr>
            </w:pPr>
            <w:r w:rsidRPr="00395956">
              <w:rPr>
                <w:rFonts w:ascii="Arial" w:hAnsi="Arial" w:cs="Arial"/>
                <w:sz w:val="20"/>
                <w:szCs w:val="20"/>
              </w:rPr>
              <w:t>0.07</w:t>
            </w:r>
          </w:p>
        </w:tc>
      </w:tr>
      <w:tr w:rsidR="00395956" w:rsidRPr="00C500C3" w14:paraId="33579DF7" w14:textId="77777777" w:rsidTr="00C026AC">
        <w:trPr>
          <w:trHeight w:val="421"/>
        </w:trPr>
        <w:tc>
          <w:tcPr>
            <w:tcW w:w="0" w:type="auto"/>
            <w:hideMark/>
          </w:tcPr>
          <w:p w14:paraId="142C0D8C" w14:textId="77777777" w:rsidR="00395956" w:rsidRPr="00395956" w:rsidRDefault="00395956" w:rsidP="00C500C3">
            <w:pPr>
              <w:rPr>
                <w:rFonts w:ascii="Arial" w:hAnsi="Arial" w:cs="Arial"/>
                <w:sz w:val="20"/>
                <w:szCs w:val="20"/>
              </w:rPr>
            </w:pPr>
          </w:p>
        </w:tc>
        <w:tc>
          <w:tcPr>
            <w:tcW w:w="0" w:type="auto"/>
            <w:hideMark/>
          </w:tcPr>
          <w:p w14:paraId="79106AB4" w14:textId="77777777" w:rsidR="00395956" w:rsidRPr="00395956" w:rsidRDefault="00395956" w:rsidP="00C500C3">
            <w:pPr>
              <w:rPr>
                <w:rFonts w:ascii="Arial" w:hAnsi="Arial" w:cs="Arial"/>
                <w:sz w:val="20"/>
                <w:szCs w:val="20"/>
              </w:rPr>
            </w:pPr>
            <w:r w:rsidRPr="00395956">
              <w:rPr>
                <w:rFonts w:ascii="Arial" w:hAnsi="Arial" w:cs="Arial"/>
                <w:sz w:val="20"/>
                <w:szCs w:val="20"/>
              </w:rPr>
              <w:t>6 weeks</w:t>
            </w:r>
          </w:p>
        </w:tc>
        <w:tc>
          <w:tcPr>
            <w:tcW w:w="0" w:type="auto"/>
            <w:hideMark/>
          </w:tcPr>
          <w:p w14:paraId="05DA7A19" w14:textId="77777777" w:rsidR="00395956" w:rsidRPr="00395956" w:rsidRDefault="00395956" w:rsidP="00C500C3">
            <w:pPr>
              <w:rPr>
                <w:rFonts w:ascii="Arial" w:hAnsi="Arial" w:cs="Arial"/>
                <w:sz w:val="20"/>
                <w:szCs w:val="20"/>
              </w:rPr>
            </w:pPr>
            <w:r w:rsidRPr="00395956">
              <w:rPr>
                <w:rFonts w:ascii="Arial" w:hAnsi="Arial" w:cs="Arial"/>
                <w:sz w:val="20"/>
                <w:szCs w:val="20"/>
              </w:rPr>
              <w:t>6.1 ± 1.8</w:t>
            </w:r>
          </w:p>
        </w:tc>
        <w:tc>
          <w:tcPr>
            <w:tcW w:w="0" w:type="auto"/>
            <w:hideMark/>
          </w:tcPr>
          <w:p w14:paraId="298ACA8E" w14:textId="77777777" w:rsidR="00395956" w:rsidRPr="00395956" w:rsidRDefault="00395956" w:rsidP="00C500C3">
            <w:pPr>
              <w:rPr>
                <w:rFonts w:ascii="Arial" w:hAnsi="Arial" w:cs="Arial"/>
                <w:sz w:val="20"/>
                <w:szCs w:val="20"/>
              </w:rPr>
            </w:pPr>
            <w:r w:rsidRPr="00395956">
              <w:rPr>
                <w:rFonts w:ascii="Arial" w:hAnsi="Arial" w:cs="Arial"/>
                <w:sz w:val="20"/>
                <w:szCs w:val="20"/>
              </w:rPr>
              <w:t>4.9 ± 1.6</w:t>
            </w:r>
          </w:p>
        </w:tc>
        <w:tc>
          <w:tcPr>
            <w:tcW w:w="0" w:type="auto"/>
            <w:hideMark/>
          </w:tcPr>
          <w:p w14:paraId="4C896946" w14:textId="77777777" w:rsidR="00395956" w:rsidRPr="00395956" w:rsidRDefault="00395956" w:rsidP="00C500C3">
            <w:pPr>
              <w:rPr>
                <w:rFonts w:ascii="Arial" w:hAnsi="Arial" w:cs="Arial"/>
                <w:sz w:val="20"/>
                <w:szCs w:val="20"/>
              </w:rPr>
            </w:pPr>
            <w:r w:rsidRPr="00395956">
              <w:rPr>
                <w:rFonts w:ascii="Arial" w:hAnsi="Arial" w:cs="Arial"/>
                <w:sz w:val="20"/>
                <w:szCs w:val="20"/>
              </w:rPr>
              <w:t>1.2 ± 1.7</w:t>
            </w:r>
          </w:p>
        </w:tc>
        <w:tc>
          <w:tcPr>
            <w:tcW w:w="0" w:type="auto"/>
            <w:hideMark/>
          </w:tcPr>
          <w:p w14:paraId="4E988B67" w14:textId="77777777" w:rsidR="00395956" w:rsidRPr="00395956" w:rsidRDefault="00395956" w:rsidP="00C500C3">
            <w:pPr>
              <w:rPr>
                <w:rFonts w:ascii="Arial" w:hAnsi="Arial" w:cs="Arial"/>
                <w:sz w:val="20"/>
                <w:szCs w:val="20"/>
              </w:rPr>
            </w:pPr>
            <w:r w:rsidRPr="00395956">
              <w:rPr>
                <w:rFonts w:ascii="Arial" w:hAnsi="Arial" w:cs="Arial"/>
                <w:sz w:val="20"/>
                <w:szCs w:val="20"/>
              </w:rPr>
              <w:t>0.002**</w:t>
            </w:r>
          </w:p>
        </w:tc>
        <w:tc>
          <w:tcPr>
            <w:tcW w:w="0" w:type="auto"/>
            <w:hideMark/>
          </w:tcPr>
          <w:p w14:paraId="4D28DA9D" w14:textId="77777777" w:rsidR="00395956" w:rsidRPr="00395956" w:rsidRDefault="00395956" w:rsidP="00C500C3">
            <w:pPr>
              <w:rPr>
                <w:rFonts w:ascii="Arial" w:hAnsi="Arial" w:cs="Arial"/>
                <w:sz w:val="20"/>
                <w:szCs w:val="20"/>
              </w:rPr>
            </w:pPr>
            <w:r w:rsidRPr="00395956">
              <w:rPr>
                <w:rFonts w:ascii="Arial" w:hAnsi="Arial" w:cs="Arial"/>
                <w:sz w:val="20"/>
                <w:szCs w:val="20"/>
              </w:rPr>
              <w:t>0.71</w:t>
            </w:r>
          </w:p>
        </w:tc>
      </w:tr>
      <w:tr w:rsidR="00395956" w:rsidRPr="00C500C3" w14:paraId="56242BA0" w14:textId="77777777" w:rsidTr="00C026AC">
        <w:trPr>
          <w:trHeight w:val="401"/>
        </w:trPr>
        <w:tc>
          <w:tcPr>
            <w:tcW w:w="0" w:type="auto"/>
            <w:hideMark/>
          </w:tcPr>
          <w:p w14:paraId="4353D9E8" w14:textId="77777777" w:rsidR="00395956" w:rsidRPr="00395956" w:rsidRDefault="00395956" w:rsidP="00C500C3">
            <w:pPr>
              <w:rPr>
                <w:rFonts w:ascii="Arial" w:hAnsi="Arial" w:cs="Arial"/>
                <w:sz w:val="20"/>
                <w:szCs w:val="20"/>
              </w:rPr>
            </w:pPr>
          </w:p>
        </w:tc>
        <w:tc>
          <w:tcPr>
            <w:tcW w:w="0" w:type="auto"/>
            <w:hideMark/>
          </w:tcPr>
          <w:p w14:paraId="02DB7692" w14:textId="77777777" w:rsidR="00395956" w:rsidRPr="00395956" w:rsidRDefault="00395956" w:rsidP="00C500C3">
            <w:pPr>
              <w:rPr>
                <w:rFonts w:ascii="Arial" w:hAnsi="Arial" w:cs="Arial"/>
                <w:sz w:val="20"/>
                <w:szCs w:val="20"/>
              </w:rPr>
            </w:pPr>
            <w:r w:rsidRPr="00395956">
              <w:rPr>
                <w:rFonts w:ascii="Arial" w:hAnsi="Arial" w:cs="Arial"/>
                <w:sz w:val="20"/>
                <w:szCs w:val="20"/>
              </w:rPr>
              <w:t>12 weeks</w:t>
            </w:r>
          </w:p>
        </w:tc>
        <w:tc>
          <w:tcPr>
            <w:tcW w:w="0" w:type="auto"/>
            <w:hideMark/>
          </w:tcPr>
          <w:p w14:paraId="386077FC" w14:textId="77777777" w:rsidR="00395956" w:rsidRPr="00395956" w:rsidRDefault="00395956" w:rsidP="00C500C3">
            <w:pPr>
              <w:rPr>
                <w:rFonts w:ascii="Arial" w:hAnsi="Arial" w:cs="Arial"/>
                <w:sz w:val="20"/>
                <w:szCs w:val="20"/>
              </w:rPr>
            </w:pPr>
            <w:r w:rsidRPr="00395956">
              <w:rPr>
                <w:rFonts w:ascii="Arial" w:hAnsi="Arial" w:cs="Arial"/>
                <w:sz w:val="20"/>
                <w:szCs w:val="20"/>
              </w:rPr>
              <w:t>7.2 ± 1.8</w:t>
            </w:r>
          </w:p>
        </w:tc>
        <w:tc>
          <w:tcPr>
            <w:tcW w:w="0" w:type="auto"/>
            <w:hideMark/>
          </w:tcPr>
          <w:p w14:paraId="67E7DA2F" w14:textId="77777777" w:rsidR="00395956" w:rsidRPr="00395956" w:rsidRDefault="00395956" w:rsidP="00C500C3">
            <w:pPr>
              <w:rPr>
                <w:rFonts w:ascii="Arial" w:hAnsi="Arial" w:cs="Arial"/>
                <w:sz w:val="20"/>
                <w:szCs w:val="20"/>
              </w:rPr>
            </w:pPr>
            <w:r w:rsidRPr="00395956">
              <w:rPr>
                <w:rFonts w:ascii="Arial" w:hAnsi="Arial" w:cs="Arial"/>
                <w:sz w:val="20"/>
                <w:szCs w:val="20"/>
              </w:rPr>
              <w:t>5.7 ± 1.9</w:t>
            </w:r>
          </w:p>
        </w:tc>
        <w:tc>
          <w:tcPr>
            <w:tcW w:w="0" w:type="auto"/>
            <w:hideMark/>
          </w:tcPr>
          <w:p w14:paraId="44AA3389" w14:textId="77777777" w:rsidR="00395956" w:rsidRPr="00395956" w:rsidRDefault="00395956" w:rsidP="00C500C3">
            <w:pPr>
              <w:rPr>
                <w:rFonts w:ascii="Arial" w:hAnsi="Arial" w:cs="Arial"/>
                <w:sz w:val="20"/>
                <w:szCs w:val="20"/>
              </w:rPr>
            </w:pPr>
            <w:r w:rsidRPr="00395956">
              <w:rPr>
                <w:rFonts w:ascii="Arial" w:hAnsi="Arial" w:cs="Arial"/>
                <w:sz w:val="20"/>
                <w:szCs w:val="20"/>
              </w:rPr>
              <w:t>1.5 ± 1.9</w:t>
            </w:r>
          </w:p>
        </w:tc>
        <w:tc>
          <w:tcPr>
            <w:tcW w:w="0" w:type="auto"/>
            <w:hideMark/>
          </w:tcPr>
          <w:p w14:paraId="5087EF47"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09F34ED6" w14:textId="77777777" w:rsidR="00395956" w:rsidRPr="00395956" w:rsidRDefault="00395956" w:rsidP="00C500C3">
            <w:pPr>
              <w:rPr>
                <w:rFonts w:ascii="Arial" w:hAnsi="Arial" w:cs="Arial"/>
                <w:sz w:val="20"/>
                <w:szCs w:val="20"/>
              </w:rPr>
            </w:pPr>
            <w:r w:rsidRPr="00395956">
              <w:rPr>
                <w:rFonts w:ascii="Arial" w:hAnsi="Arial" w:cs="Arial"/>
                <w:sz w:val="20"/>
                <w:szCs w:val="20"/>
              </w:rPr>
              <w:t>0.81</w:t>
            </w:r>
          </w:p>
        </w:tc>
      </w:tr>
      <w:tr w:rsidR="00395956" w:rsidRPr="00C500C3" w14:paraId="27A7B872" w14:textId="77777777" w:rsidTr="00C026AC">
        <w:tc>
          <w:tcPr>
            <w:tcW w:w="0" w:type="auto"/>
            <w:hideMark/>
          </w:tcPr>
          <w:p w14:paraId="44AA88B1" w14:textId="77777777" w:rsidR="00395956" w:rsidRPr="00395956" w:rsidRDefault="00395956" w:rsidP="00C500C3">
            <w:pPr>
              <w:rPr>
                <w:rFonts w:ascii="Arial" w:hAnsi="Arial" w:cs="Arial"/>
                <w:sz w:val="20"/>
                <w:szCs w:val="20"/>
              </w:rPr>
            </w:pPr>
          </w:p>
        </w:tc>
        <w:tc>
          <w:tcPr>
            <w:tcW w:w="0" w:type="auto"/>
            <w:hideMark/>
          </w:tcPr>
          <w:p w14:paraId="5D4AD9E5" w14:textId="77777777" w:rsidR="00395956" w:rsidRPr="00395956" w:rsidRDefault="00395956" w:rsidP="00C500C3">
            <w:pPr>
              <w:rPr>
                <w:rFonts w:ascii="Arial" w:hAnsi="Arial" w:cs="Arial"/>
                <w:sz w:val="20"/>
                <w:szCs w:val="20"/>
              </w:rPr>
            </w:pPr>
          </w:p>
        </w:tc>
        <w:tc>
          <w:tcPr>
            <w:tcW w:w="0" w:type="auto"/>
            <w:hideMark/>
          </w:tcPr>
          <w:p w14:paraId="1B96201A" w14:textId="77777777" w:rsidR="00395956" w:rsidRPr="00395956" w:rsidRDefault="00395956" w:rsidP="00C500C3">
            <w:pPr>
              <w:rPr>
                <w:rFonts w:ascii="Arial" w:hAnsi="Arial" w:cs="Arial"/>
                <w:sz w:val="20"/>
                <w:szCs w:val="20"/>
              </w:rPr>
            </w:pPr>
          </w:p>
        </w:tc>
        <w:tc>
          <w:tcPr>
            <w:tcW w:w="0" w:type="auto"/>
            <w:hideMark/>
          </w:tcPr>
          <w:p w14:paraId="695A4D39" w14:textId="77777777" w:rsidR="00395956" w:rsidRPr="00395956" w:rsidRDefault="00395956" w:rsidP="00C500C3">
            <w:pPr>
              <w:rPr>
                <w:rFonts w:ascii="Arial" w:hAnsi="Arial" w:cs="Arial"/>
                <w:sz w:val="20"/>
                <w:szCs w:val="20"/>
              </w:rPr>
            </w:pPr>
          </w:p>
        </w:tc>
        <w:tc>
          <w:tcPr>
            <w:tcW w:w="0" w:type="auto"/>
            <w:hideMark/>
          </w:tcPr>
          <w:p w14:paraId="4851845C" w14:textId="77777777" w:rsidR="00395956" w:rsidRPr="00395956" w:rsidRDefault="00395956" w:rsidP="00C500C3">
            <w:pPr>
              <w:rPr>
                <w:rFonts w:ascii="Arial" w:hAnsi="Arial" w:cs="Arial"/>
                <w:sz w:val="20"/>
                <w:szCs w:val="20"/>
              </w:rPr>
            </w:pPr>
          </w:p>
        </w:tc>
        <w:tc>
          <w:tcPr>
            <w:tcW w:w="0" w:type="auto"/>
            <w:hideMark/>
          </w:tcPr>
          <w:p w14:paraId="7A4F928A" w14:textId="77777777" w:rsidR="00395956" w:rsidRPr="00395956" w:rsidRDefault="00395956" w:rsidP="00C500C3">
            <w:pPr>
              <w:rPr>
                <w:rFonts w:ascii="Arial" w:hAnsi="Arial" w:cs="Arial"/>
                <w:sz w:val="20"/>
                <w:szCs w:val="20"/>
              </w:rPr>
            </w:pPr>
          </w:p>
        </w:tc>
        <w:tc>
          <w:tcPr>
            <w:tcW w:w="0" w:type="auto"/>
            <w:hideMark/>
          </w:tcPr>
          <w:p w14:paraId="59B59F28" w14:textId="77777777" w:rsidR="00395956" w:rsidRPr="00395956" w:rsidRDefault="00395956" w:rsidP="00C500C3">
            <w:pPr>
              <w:rPr>
                <w:rFonts w:ascii="Arial" w:hAnsi="Arial" w:cs="Arial"/>
                <w:sz w:val="20"/>
                <w:szCs w:val="20"/>
              </w:rPr>
            </w:pPr>
          </w:p>
        </w:tc>
      </w:tr>
    </w:tbl>
    <w:p w14:paraId="685BAB01" w14:textId="77777777" w:rsidR="00C500C3" w:rsidRPr="00C500C3" w:rsidRDefault="00C500C3" w:rsidP="00C500C3">
      <w:pPr>
        <w:spacing w:before="100" w:beforeAutospacing="1" w:after="100" w:afterAutospacing="1"/>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&lt;0.01, **</w:t>
      </w:r>
      <w:r w:rsidRPr="00C500C3">
        <w:rPr>
          <w:rFonts w:ascii="Arial" w:hAnsi="Arial" w:cs="Arial"/>
          <w:i/>
        </w:rPr>
        <w:t>p</w:t>
      </w:r>
      <w:r w:rsidRPr="00C500C3">
        <w:rPr>
          <w:rFonts w:ascii="Arial" w:hAnsi="Arial" w:cs="Arial"/>
        </w:rPr>
        <w:t>&lt;0.001</w:t>
      </w:r>
    </w:p>
    <w:p w14:paraId="1FBC2B0B"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5: Summary of Treatment Adherence and Adverse Events</w:t>
      </w:r>
    </w:p>
    <w:tbl>
      <w:tblPr>
        <w:tblStyle w:val="TableGrid"/>
        <w:tblW w:w="0" w:type="auto"/>
        <w:tblLook w:val="04A0" w:firstRow="1" w:lastRow="0" w:firstColumn="1" w:lastColumn="0" w:noHBand="0" w:noVBand="1"/>
      </w:tblPr>
      <w:tblGrid>
        <w:gridCol w:w="3411"/>
        <w:gridCol w:w="2331"/>
        <w:gridCol w:w="1809"/>
        <w:gridCol w:w="873"/>
      </w:tblGrid>
      <w:tr w:rsidR="00C500C3" w:rsidRPr="00C500C3" w14:paraId="7DEA131A" w14:textId="77777777" w:rsidTr="0037287F">
        <w:tc>
          <w:tcPr>
            <w:tcW w:w="0" w:type="auto"/>
            <w:hideMark/>
          </w:tcPr>
          <w:p w14:paraId="10CC0B22"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Parameter</w:t>
            </w:r>
          </w:p>
        </w:tc>
        <w:tc>
          <w:tcPr>
            <w:tcW w:w="0" w:type="auto"/>
            <w:hideMark/>
          </w:tcPr>
          <w:p w14:paraId="7ED3CB6C"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Experimental Group (n=42)</w:t>
            </w:r>
          </w:p>
        </w:tc>
        <w:tc>
          <w:tcPr>
            <w:tcW w:w="0" w:type="auto"/>
            <w:hideMark/>
          </w:tcPr>
          <w:p w14:paraId="1E2FF7A8"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Control Group (n=42)</w:t>
            </w:r>
          </w:p>
        </w:tc>
        <w:tc>
          <w:tcPr>
            <w:tcW w:w="0" w:type="auto"/>
            <w:hideMark/>
          </w:tcPr>
          <w:p w14:paraId="313CA09A" w14:textId="77777777" w:rsidR="00C500C3" w:rsidRPr="0037287F" w:rsidRDefault="00C500C3" w:rsidP="00C500C3">
            <w:pPr>
              <w:jc w:val="center"/>
              <w:rPr>
                <w:rFonts w:ascii="Arial" w:hAnsi="Arial" w:cs="Arial"/>
                <w:sz w:val="20"/>
                <w:szCs w:val="20"/>
              </w:rPr>
            </w:pPr>
            <w:r w:rsidRPr="0037287F">
              <w:rPr>
                <w:rFonts w:ascii="Arial" w:hAnsi="Arial" w:cs="Arial"/>
                <w:i/>
                <w:sz w:val="20"/>
                <w:szCs w:val="20"/>
              </w:rPr>
              <w:t>p</w:t>
            </w:r>
            <w:r w:rsidRPr="0037287F">
              <w:rPr>
                <w:rFonts w:ascii="Arial" w:hAnsi="Arial" w:cs="Arial"/>
                <w:sz w:val="20"/>
                <w:szCs w:val="20"/>
              </w:rPr>
              <w:t>-value</w:t>
            </w:r>
          </w:p>
        </w:tc>
      </w:tr>
      <w:tr w:rsidR="00C500C3" w:rsidRPr="00C500C3" w14:paraId="507132A5" w14:textId="77777777" w:rsidTr="0037287F">
        <w:tc>
          <w:tcPr>
            <w:tcW w:w="0" w:type="auto"/>
            <w:hideMark/>
          </w:tcPr>
          <w:p w14:paraId="17EBC083" w14:textId="77777777" w:rsidR="00C500C3" w:rsidRPr="0037287F" w:rsidRDefault="00C500C3" w:rsidP="00C500C3">
            <w:pPr>
              <w:rPr>
                <w:rFonts w:ascii="Arial" w:hAnsi="Arial" w:cs="Arial"/>
                <w:sz w:val="20"/>
                <w:szCs w:val="20"/>
              </w:rPr>
            </w:pPr>
            <w:r w:rsidRPr="0037287F">
              <w:rPr>
                <w:rFonts w:ascii="Arial" w:hAnsi="Arial" w:cs="Arial"/>
                <w:sz w:val="20"/>
                <w:szCs w:val="20"/>
              </w:rPr>
              <w:t>Treatment Adherence</w:t>
            </w:r>
          </w:p>
        </w:tc>
        <w:tc>
          <w:tcPr>
            <w:tcW w:w="0" w:type="auto"/>
            <w:hideMark/>
          </w:tcPr>
          <w:p w14:paraId="4A452300" w14:textId="77777777" w:rsidR="00C500C3" w:rsidRPr="0037287F" w:rsidRDefault="00C500C3" w:rsidP="00C500C3">
            <w:pPr>
              <w:rPr>
                <w:rFonts w:ascii="Arial" w:hAnsi="Arial" w:cs="Arial"/>
                <w:sz w:val="20"/>
                <w:szCs w:val="20"/>
              </w:rPr>
            </w:pPr>
          </w:p>
        </w:tc>
        <w:tc>
          <w:tcPr>
            <w:tcW w:w="0" w:type="auto"/>
            <w:hideMark/>
          </w:tcPr>
          <w:p w14:paraId="595CA6CB" w14:textId="77777777" w:rsidR="00C500C3" w:rsidRPr="0037287F" w:rsidRDefault="00C500C3" w:rsidP="00C500C3">
            <w:pPr>
              <w:rPr>
                <w:rFonts w:ascii="Arial" w:hAnsi="Arial" w:cs="Arial"/>
                <w:sz w:val="20"/>
                <w:szCs w:val="20"/>
              </w:rPr>
            </w:pPr>
          </w:p>
        </w:tc>
        <w:tc>
          <w:tcPr>
            <w:tcW w:w="0" w:type="auto"/>
            <w:hideMark/>
          </w:tcPr>
          <w:p w14:paraId="527793E2" w14:textId="77777777" w:rsidR="00C500C3" w:rsidRPr="0037287F" w:rsidRDefault="00C500C3" w:rsidP="00C500C3">
            <w:pPr>
              <w:rPr>
                <w:rFonts w:ascii="Arial" w:hAnsi="Arial" w:cs="Arial"/>
                <w:sz w:val="20"/>
                <w:szCs w:val="20"/>
              </w:rPr>
            </w:pPr>
          </w:p>
        </w:tc>
      </w:tr>
      <w:tr w:rsidR="00C500C3" w:rsidRPr="00C500C3" w14:paraId="02AB52AA" w14:textId="77777777" w:rsidTr="0037287F">
        <w:tc>
          <w:tcPr>
            <w:tcW w:w="0" w:type="auto"/>
            <w:hideMark/>
          </w:tcPr>
          <w:p w14:paraId="21B0D336" w14:textId="77777777" w:rsidR="00C500C3" w:rsidRPr="0037287F" w:rsidRDefault="00C500C3" w:rsidP="00C500C3">
            <w:pPr>
              <w:rPr>
                <w:rFonts w:ascii="Arial" w:hAnsi="Arial" w:cs="Arial"/>
                <w:sz w:val="20"/>
                <w:szCs w:val="20"/>
              </w:rPr>
            </w:pPr>
            <w:r w:rsidRPr="0037287F">
              <w:rPr>
                <w:rFonts w:ascii="Arial" w:hAnsi="Arial" w:cs="Arial"/>
                <w:sz w:val="20"/>
                <w:szCs w:val="20"/>
              </w:rPr>
              <w:t>Sessions completed (out of 30), mean ± SD</w:t>
            </w:r>
          </w:p>
        </w:tc>
        <w:tc>
          <w:tcPr>
            <w:tcW w:w="0" w:type="auto"/>
            <w:hideMark/>
          </w:tcPr>
          <w:p w14:paraId="17A38E58" w14:textId="77777777" w:rsidR="00C500C3" w:rsidRPr="0037287F" w:rsidRDefault="00C500C3" w:rsidP="00C500C3">
            <w:pPr>
              <w:rPr>
                <w:rFonts w:ascii="Arial" w:hAnsi="Arial" w:cs="Arial"/>
                <w:sz w:val="20"/>
                <w:szCs w:val="20"/>
              </w:rPr>
            </w:pPr>
            <w:r w:rsidRPr="0037287F">
              <w:rPr>
                <w:rFonts w:ascii="Arial" w:hAnsi="Arial" w:cs="Arial"/>
                <w:sz w:val="20"/>
                <w:szCs w:val="20"/>
              </w:rPr>
              <w:t>28.4 ± 2.1</w:t>
            </w:r>
          </w:p>
        </w:tc>
        <w:tc>
          <w:tcPr>
            <w:tcW w:w="0" w:type="auto"/>
            <w:hideMark/>
          </w:tcPr>
          <w:p w14:paraId="789883A2" w14:textId="77777777" w:rsidR="00C500C3" w:rsidRPr="0037287F" w:rsidRDefault="00C500C3" w:rsidP="00C500C3">
            <w:pPr>
              <w:rPr>
                <w:rFonts w:ascii="Arial" w:hAnsi="Arial" w:cs="Arial"/>
                <w:sz w:val="20"/>
                <w:szCs w:val="20"/>
              </w:rPr>
            </w:pPr>
            <w:r w:rsidRPr="0037287F">
              <w:rPr>
                <w:rFonts w:ascii="Arial" w:hAnsi="Arial" w:cs="Arial"/>
                <w:sz w:val="20"/>
                <w:szCs w:val="20"/>
              </w:rPr>
              <w:t>27.9 ± 2.3</w:t>
            </w:r>
          </w:p>
        </w:tc>
        <w:tc>
          <w:tcPr>
            <w:tcW w:w="0" w:type="auto"/>
            <w:hideMark/>
          </w:tcPr>
          <w:p w14:paraId="0DFECA80" w14:textId="77777777" w:rsidR="00C500C3" w:rsidRPr="0037287F" w:rsidRDefault="00C500C3" w:rsidP="00C500C3">
            <w:pPr>
              <w:rPr>
                <w:rFonts w:ascii="Arial" w:hAnsi="Arial" w:cs="Arial"/>
                <w:sz w:val="20"/>
                <w:szCs w:val="20"/>
              </w:rPr>
            </w:pPr>
            <w:r w:rsidRPr="0037287F">
              <w:rPr>
                <w:rFonts w:ascii="Arial" w:hAnsi="Arial" w:cs="Arial"/>
                <w:sz w:val="20"/>
                <w:szCs w:val="20"/>
              </w:rPr>
              <w:t>0.29</w:t>
            </w:r>
          </w:p>
        </w:tc>
      </w:tr>
      <w:tr w:rsidR="00C500C3" w:rsidRPr="00C500C3" w14:paraId="6DE0F4D0" w14:textId="77777777" w:rsidTr="0037287F">
        <w:tc>
          <w:tcPr>
            <w:tcW w:w="0" w:type="auto"/>
            <w:hideMark/>
          </w:tcPr>
          <w:p w14:paraId="018F0626" w14:textId="77777777" w:rsidR="00C500C3" w:rsidRPr="0037287F" w:rsidRDefault="00C500C3" w:rsidP="00C500C3">
            <w:pPr>
              <w:rPr>
                <w:rFonts w:ascii="Arial" w:hAnsi="Arial" w:cs="Arial"/>
                <w:sz w:val="20"/>
                <w:szCs w:val="20"/>
              </w:rPr>
            </w:pPr>
            <w:r w:rsidRPr="0037287F">
              <w:rPr>
                <w:rFonts w:ascii="Arial" w:hAnsi="Arial" w:cs="Arial"/>
                <w:sz w:val="20"/>
                <w:szCs w:val="20"/>
              </w:rPr>
              <w:t>Completion rate ≥80%, n (%)</w:t>
            </w:r>
          </w:p>
        </w:tc>
        <w:tc>
          <w:tcPr>
            <w:tcW w:w="0" w:type="auto"/>
            <w:hideMark/>
          </w:tcPr>
          <w:p w14:paraId="66EB90BC" w14:textId="77777777" w:rsidR="00C500C3" w:rsidRPr="0037287F" w:rsidRDefault="00C500C3" w:rsidP="00C500C3">
            <w:pPr>
              <w:rPr>
                <w:rFonts w:ascii="Arial" w:hAnsi="Arial" w:cs="Arial"/>
                <w:sz w:val="20"/>
                <w:szCs w:val="20"/>
              </w:rPr>
            </w:pPr>
            <w:r w:rsidRPr="0037287F">
              <w:rPr>
                <w:rFonts w:ascii="Arial" w:hAnsi="Arial" w:cs="Arial"/>
                <w:sz w:val="20"/>
                <w:szCs w:val="20"/>
              </w:rPr>
              <w:t>40 (95.2)</w:t>
            </w:r>
          </w:p>
        </w:tc>
        <w:tc>
          <w:tcPr>
            <w:tcW w:w="0" w:type="auto"/>
            <w:hideMark/>
          </w:tcPr>
          <w:p w14:paraId="761C5E38" w14:textId="77777777" w:rsidR="00C500C3" w:rsidRPr="0037287F" w:rsidRDefault="00C500C3" w:rsidP="00C500C3">
            <w:pPr>
              <w:rPr>
                <w:rFonts w:ascii="Arial" w:hAnsi="Arial" w:cs="Arial"/>
                <w:sz w:val="20"/>
                <w:szCs w:val="20"/>
              </w:rPr>
            </w:pPr>
            <w:r w:rsidRPr="0037287F">
              <w:rPr>
                <w:rFonts w:ascii="Arial" w:hAnsi="Arial" w:cs="Arial"/>
                <w:sz w:val="20"/>
                <w:szCs w:val="20"/>
              </w:rPr>
              <w:t>39 (92.9)</w:t>
            </w:r>
          </w:p>
        </w:tc>
        <w:tc>
          <w:tcPr>
            <w:tcW w:w="0" w:type="auto"/>
            <w:hideMark/>
          </w:tcPr>
          <w:p w14:paraId="395786F3" w14:textId="77777777" w:rsidR="00C500C3" w:rsidRPr="0037287F" w:rsidRDefault="00C500C3" w:rsidP="00C500C3">
            <w:pPr>
              <w:rPr>
                <w:rFonts w:ascii="Arial" w:hAnsi="Arial" w:cs="Arial"/>
                <w:sz w:val="20"/>
                <w:szCs w:val="20"/>
              </w:rPr>
            </w:pPr>
            <w:r w:rsidRPr="0037287F">
              <w:rPr>
                <w:rFonts w:ascii="Arial" w:hAnsi="Arial" w:cs="Arial"/>
                <w:sz w:val="20"/>
                <w:szCs w:val="20"/>
              </w:rPr>
              <w:t>0.64</w:t>
            </w:r>
          </w:p>
        </w:tc>
      </w:tr>
      <w:tr w:rsidR="00C500C3" w:rsidRPr="00C500C3" w14:paraId="2BC82BD1" w14:textId="77777777" w:rsidTr="0037287F">
        <w:tc>
          <w:tcPr>
            <w:tcW w:w="0" w:type="auto"/>
            <w:hideMark/>
          </w:tcPr>
          <w:p w14:paraId="6A1CB5EA" w14:textId="77777777" w:rsidR="00C500C3" w:rsidRPr="0037287F" w:rsidRDefault="00C500C3" w:rsidP="00C500C3">
            <w:pPr>
              <w:rPr>
                <w:rFonts w:ascii="Arial" w:hAnsi="Arial" w:cs="Arial"/>
                <w:sz w:val="20"/>
                <w:szCs w:val="20"/>
              </w:rPr>
            </w:pPr>
            <w:r w:rsidRPr="0037287F">
              <w:rPr>
                <w:rFonts w:ascii="Arial" w:hAnsi="Arial" w:cs="Arial"/>
                <w:sz w:val="20"/>
                <w:szCs w:val="20"/>
              </w:rPr>
              <w:t>Adverse Events</w:t>
            </w:r>
          </w:p>
        </w:tc>
        <w:tc>
          <w:tcPr>
            <w:tcW w:w="0" w:type="auto"/>
            <w:hideMark/>
          </w:tcPr>
          <w:p w14:paraId="6A7BB0A4" w14:textId="77777777" w:rsidR="00C500C3" w:rsidRPr="0037287F" w:rsidRDefault="00C500C3" w:rsidP="00C500C3">
            <w:pPr>
              <w:rPr>
                <w:rFonts w:ascii="Arial" w:hAnsi="Arial" w:cs="Arial"/>
                <w:sz w:val="20"/>
                <w:szCs w:val="20"/>
              </w:rPr>
            </w:pPr>
          </w:p>
        </w:tc>
        <w:tc>
          <w:tcPr>
            <w:tcW w:w="0" w:type="auto"/>
            <w:hideMark/>
          </w:tcPr>
          <w:p w14:paraId="26346D3B" w14:textId="77777777" w:rsidR="00C500C3" w:rsidRPr="0037287F" w:rsidRDefault="00C500C3" w:rsidP="00C500C3">
            <w:pPr>
              <w:rPr>
                <w:rFonts w:ascii="Arial" w:hAnsi="Arial" w:cs="Arial"/>
                <w:sz w:val="20"/>
                <w:szCs w:val="20"/>
              </w:rPr>
            </w:pPr>
          </w:p>
        </w:tc>
        <w:tc>
          <w:tcPr>
            <w:tcW w:w="0" w:type="auto"/>
            <w:hideMark/>
          </w:tcPr>
          <w:p w14:paraId="444F2841" w14:textId="77777777" w:rsidR="00C500C3" w:rsidRPr="0037287F" w:rsidRDefault="00C500C3" w:rsidP="00C500C3">
            <w:pPr>
              <w:rPr>
                <w:rFonts w:ascii="Arial" w:hAnsi="Arial" w:cs="Arial"/>
                <w:sz w:val="20"/>
                <w:szCs w:val="20"/>
              </w:rPr>
            </w:pPr>
          </w:p>
        </w:tc>
      </w:tr>
      <w:tr w:rsidR="00C500C3" w:rsidRPr="00C500C3" w14:paraId="5B7B62F5" w14:textId="77777777" w:rsidTr="0037287F">
        <w:tc>
          <w:tcPr>
            <w:tcW w:w="0" w:type="auto"/>
            <w:hideMark/>
          </w:tcPr>
          <w:p w14:paraId="3945C179" w14:textId="77777777" w:rsidR="00C500C3" w:rsidRPr="0037287F" w:rsidRDefault="00C500C3" w:rsidP="00C500C3">
            <w:pPr>
              <w:rPr>
                <w:rFonts w:ascii="Arial" w:hAnsi="Arial" w:cs="Arial"/>
                <w:sz w:val="20"/>
                <w:szCs w:val="20"/>
              </w:rPr>
            </w:pPr>
            <w:r w:rsidRPr="0037287F">
              <w:rPr>
                <w:rFonts w:ascii="Arial" w:hAnsi="Arial" w:cs="Arial"/>
                <w:sz w:val="20"/>
                <w:szCs w:val="20"/>
              </w:rPr>
              <w:t>Any adverse event, n (%)</w:t>
            </w:r>
          </w:p>
        </w:tc>
        <w:tc>
          <w:tcPr>
            <w:tcW w:w="0" w:type="auto"/>
            <w:hideMark/>
          </w:tcPr>
          <w:p w14:paraId="441C22E9" w14:textId="77777777" w:rsidR="00C500C3" w:rsidRPr="0037287F" w:rsidRDefault="00C500C3" w:rsidP="00C500C3">
            <w:pPr>
              <w:rPr>
                <w:rFonts w:ascii="Arial" w:hAnsi="Arial" w:cs="Arial"/>
                <w:sz w:val="20"/>
                <w:szCs w:val="20"/>
              </w:rPr>
            </w:pPr>
            <w:r w:rsidRPr="0037287F">
              <w:rPr>
                <w:rFonts w:ascii="Arial" w:hAnsi="Arial" w:cs="Arial"/>
                <w:sz w:val="20"/>
                <w:szCs w:val="20"/>
              </w:rPr>
              <w:t>8 (19.0)</w:t>
            </w:r>
          </w:p>
        </w:tc>
        <w:tc>
          <w:tcPr>
            <w:tcW w:w="0" w:type="auto"/>
            <w:hideMark/>
          </w:tcPr>
          <w:p w14:paraId="06742A53" w14:textId="77777777" w:rsidR="00C500C3" w:rsidRPr="0037287F" w:rsidRDefault="00C500C3" w:rsidP="00C500C3">
            <w:pPr>
              <w:rPr>
                <w:rFonts w:ascii="Arial" w:hAnsi="Arial" w:cs="Arial"/>
                <w:sz w:val="20"/>
                <w:szCs w:val="20"/>
              </w:rPr>
            </w:pPr>
            <w:r w:rsidRPr="0037287F">
              <w:rPr>
                <w:rFonts w:ascii="Arial" w:hAnsi="Arial" w:cs="Arial"/>
                <w:sz w:val="20"/>
                <w:szCs w:val="20"/>
              </w:rPr>
              <w:t>2 (4.8)</w:t>
            </w:r>
          </w:p>
        </w:tc>
        <w:tc>
          <w:tcPr>
            <w:tcW w:w="0" w:type="auto"/>
            <w:hideMark/>
          </w:tcPr>
          <w:p w14:paraId="31887849" w14:textId="77777777" w:rsidR="00C500C3" w:rsidRPr="0037287F" w:rsidRDefault="00C500C3" w:rsidP="00C500C3">
            <w:pPr>
              <w:rPr>
                <w:rFonts w:ascii="Arial" w:hAnsi="Arial" w:cs="Arial"/>
                <w:sz w:val="20"/>
                <w:szCs w:val="20"/>
              </w:rPr>
            </w:pPr>
            <w:r w:rsidRPr="0037287F">
              <w:rPr>
                <w:rFonts w:ascii="Arial" w:hAnsi="Arial" w:cs="Arial"/>
                <w:sz w:val="20"/>
                <w:szCs w:val="20"/>
              </w:rPr>
              <w:t>0.04*</w:t>
            </w:r>
          </w:p>
        </w:tc>
      </w:tr>
      <w:tr w:rsidR="00C500C3" w:rsidRPr="00C500C3" w14:paraId="248BAB6E" w14:textId="77777777" w:rsidTr="0037287F">
        <w:tc>
          <w:tcPr>
            <w:tcW w:w="0" w:type="auto"/>
            <w:hideMark/>
          </w:tcPr>
          <w:p w14:paraId="27903410" w14:textId="77777777" w:rsidR="00C500C3" w:rsidRPr="0037287F" w:rsidRDefault="00C500C3" w:rsidP="00C500C3">
            <w:pPr>
              <w:rPr>
                <w:rFonts w:ascii="Arial" w:hAnsi="Arial" w:cs="Arial"/>
                <w:sz w:val="20"/>
                <w:szCs w:val="20"/>
              </w:rPr>
            </w:pPr>
            <w:r w:rsidRPr="0037287F">
              <w:rPr>
                <w:rFonts w:ascii="Arial" w:hAnsi="Arial" w:cs="Arial"/>
                <w:sz w:val="20"/>
                <w:szCs w:val="20"/>
              </w:rPr>
              <w:t>Skin redness at electrode sites</w:t>
            </w:r>
          </w:p>
        </w:tc>
        <w:tc>
          <w:tcPr>
            <w:tcW w:w="0" w:type="auto"/>
            <w:hideMark/>
          </w:tcPr>
          <w:p w14:paraId="622A023B" w14:textId="77777777" w:rsidR="00C500C3" w:rsidRPr="0037287F" w:rsidRDefault="00C500C3" w:rsidP="00C500C3">
            <w:pPr>
              <w:rPr>
                <w:rFonts w:ascii="Arial" w:hAnsi="Arial" w:cs="Arial"/>
                <w:sz w:val="20"/>
                <w:szCs w:val="20"/>
              </w:rPr>
            </w:pPr>
            <w:r w:rsidRPr="0037287F">
              <w:rPr>
                <w:rFonts w:ascii="Arial" w:hAnsi="Arial" w:cs="Arial"/>
                <w:sz w:val="20"/>
                <w:szCs w:val="20"/>
              </w:rPr>
              <w:t>8 (19.0)</w:t>
            </w:r>
          </w:p>
        </w:tc>
        <w:tc>
          <w:tcPr>
            <w:tcW w:w="0" w:type="auto"/>
            <w:hideMark/>
          </w:tcPr>
          <w:p w14:paraId="00A48906"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43295AC2" w14:textId="77777777" w:rsidR="00C500C3" w:rsidRPr="0037287F" w:rsidRDefault="00C500C3" w:rsidP="00C500C3">
            <w:pPr>
              <w:rPr>
                <w:rFonts w:ascii="Arial" w:hAnsi="Arial" w:cs="Arial"/>
                <w:sz w:val="20"/>
                <w:szCs w:val="20"/>
              </w:rPr>
            </w:pPr>
            <w:r w:rsidRPr="0037287F">
              <w:rPr>
                <w:rFonts w:ascii="Arial" w:hAnsi="Arial" w:cs="Arial"/>
                <w:sz w:val="20"/>
                <w:szCs w:val="20"/>
              </w:rPr>
              <w:t>0.006**</w:t>
            </w:r>
          </w:p>
        </w:tc>
      </w:tr>
      <w:tr w:rsidR="00C500C3" w:rsidRPr="00C500C3" w14:paraId="5AF77613" w14:textId="77777777" w:rsidTr="0037287F">
        <w:tc>
          <w:tcPr>
            <w:tcW w:w="0" w:type="auto"/>
            <w:hideMark/>
          </w:tcPr>
          <w:p w14:paraId="1D3C6FEF" w14:textId="77777777" w:rsidR="00C500C3" w:rsidRPr="0037287F" w:rsidRDefault="00C500C3" w:rsidP="00C500C3">
            <w:pPr>
              <w:rPr>
                <w:rFonts w:ascii="Arial" w:hAnsi="Arial" w:cs="Arial"/>
                <w:sz w:val="20"/>
                <w:szCs w:val="20"/>
              </w:rPr>
            </w:pPr>
            <w:r w:rsidRPr="0037287F">
              <w:rPr>
                <w:rFonts w:ascii="Arial" w:hAnsi="Arial" w:cs="Arial"/>
                <w:sz w:val="20"/>
                <w:szCs w:val="20"/>
              </w:rPr>
              <w:t>Muscle soreness</w:t>
            </w:r>
          </w:p>
        </w:tc>
        <w:tc>
          <w:tcPr>
            <w:tcW w:w="0" w:type="auto"/>
            <w:hideMark/>
          </w:tcPr>
          <w:p w14:paraId="329ED68D"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299B7F1" w14:textId="77777777" w:rsidR="00C500C3" w:rsidRPr="0037287F" w:rsidRDefault="00C500C3" w:rsidP="00C500C3">
            <w:pPr>
              <w:rPr>
                <w:rFonts w:ascii="Arial" w:hAnsi="Arial" w:cs="Arial"/>
                <w:sz w:val="20"/>
                <w:szCs w:val="20"/>
              </w:rPr>
            </w:pPr>
            <w:r w:rsidRPr="0037287F">
              <w:rPr>
                <w:rFonts w:ascii="Arial" w:hAnsi="Arial" w:cs="Arial"/>
                <w:sz w:val="20"/>
                <w:szCs w:val="20"/>
              </w:rPr>
              <w:t>2 (4.8)</w:t>
            </w:r>
          </w:p>
        </w:tc>
        <w:tc>
          <w:tcPr>
            <w:tcW w:w="0" w:type="auto"/>
            <w:hideMark/>
          </w:tcPr>
          <w:p w14:paraId="2E324E6D" w14:textId="77777777" w:rsidR="00C500C3" w:rsidRPr="0037287F" w:rsidRDefault="00C500C3" w:rsidP="00C500C3">
            <w:pPr>
              <w:rPr>
                <w:rFonts w:ascii="Arial" w:hAnsi="Arial" w:cs="Arial"/>
                <w:sz w:val="20"/>
                <w:szCs w:val="20"/>
              </w:rPr>
            </w:pPr>
            <w:r w:rsidRPr="0037287F">
              <w:rPr>
                <w:rFonts w:ascii="Arial" w:hAnsi="Arial" w:cs="Arial"/>
                <w:sz w:val="20"/>
                <w:szCs w:val="20"/>
              </w:rPr>
              <w:t>0.15</w:t>
            </w:r>
          </w:p>
        </w:tc>
      </w:tr>
      <w:tr w:rsidR="00C500C3" w:rsidRPr="00C500C3" w14:paraId="02C009BF" w14:textId="77777777" w:rsidTr="0037287F">
        <w:tc>
          <w:tcPr>
            <w:tcW w:w="0" w:type="auto"/>
            <w:hideMark/>
          </w:tcPr>
          <w:p w14:paraId="6279A5DF" w14:textId="77777777" w:rsidR="00C500C3" w:rsidRPr="0037287F" w:rsidRDefault="00C500C3" w:rsidP="00C500C3">
            <w:pPr>
              <w:rPr>
                <w:rFonts w:ascii="Arial" w:hAnsi="Arial" w:cs="Arial"/>
                <w:sz w:val="20"/>
                <w:szCs w:val="20"/>
              </w:rPr>
            </w:pPr>
            <w:r w:rsidRPr="0037287F">
              <w:rPr>
                <w:rFonts w:ascii="Arial" w:hAnsi="Arial" w:cs="Arial"/>
                <w:sz w:val="20"/>
                <w:szCs w:val="20"/>
              </w:rPr>
              <w:t>Serious adverse events</w:t>
            </w:r>
          </w:p>
        </w:tc>
        <w:tc>
          <w:tcPr>
            <w:tcW w:w="0" w:type="auto"/>
            <w:hideMark/>
          </w:tcPr>
          <w:p w14:paraId="6FDD3639"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4761D39"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24BD892" w14:textId="77777777" w:rsidR="00C500C3" w:rsidRPr="0037287F" w:rsidRDefault="00C500C3" w:rsidP="00C500C3">
            <w:pPr>
              <w:rPr>
                <w:rFonts w:ascii="Arial" w:hAnsi="Arial" w:cs="Arial"/>
                <w:sz w:val="20"/>
                <w:szCs w:val="20"/>
              </w:rPr>
            </w:pPr>
            <w:r w:rsidRPr="0037287F">
              <w:rPr>
                <w:rFonts w:ascii="Arial" w:hAnsi="Arial" w:cs="Arial"/>
                <w:sz w:val="20"/>
                <w:szCs w:val="20"/>
              </w:rPr>
              <w:t>-</w:t>
            </w:r>
          </w:p>
        </w:tc>
      </w:tr>
      <w:tr w:rsidR="00C500C3" w:rsidRPr="00C500C3" w14:paraId="3FB9CC2E" w14:textId="77777777" w:rsidTr="0037287F">
        <w:tc>
          <w:tcPr>
            <w:tcW w:w="0" w:type="auto"/>
            <w:hideMark/>
          </w:tcPr>
          <w:p w14:paraId="1C429A6A" w14:textId="77777777" w:rsidR="00C500C3" w:rsidRPr="0037287F" w:rsidRDefault="00C500C3" w:rsidP="00C500C3">
            <w:pPr>
              <w:rPr>
                <w:rFonts w:ascii="Arial" w:hAnsi="Arial" w:cs="Arial"/>
                <w:sz w:val="20"/>
                <w:szCs w:val="20"/>
              </w:rPr>
            </w:pPr>
            <w:r w:rsidRPr="0037287F">
              <w:rPr>
                <w:rFonts w:ascii="Arial" w:hAnsi="Arial" w:cs="Arial"/>
                <w:sz w:val="20"/>
                <w:szCs w:val="20"/>
              </w:rPr>
              <w:t>Withdrawals due to adverse events</w:t>
            </w:r>
          </w:p>
        </w:tc>
        <w:tc>
          <w:tcPr>
            <w:tcW w:w="0" w:type="auto"/>
            <w:hideMark/>
          </w:tcPr>
          <w:p w14:paraId="422A8690"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747919AD"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64DAFA1B" w14:textId="77777777" w:rsidR="00C500C3" w:rsidRPr="0037287F" w:rsidRDefault="00C500C3" w:rsidP="00C500C3">
            <w:pPr>
              <w:rPr>
                <w:rFonts w:ascii="Arial" w:hAnsi="Arial" w:cs="Arial"/>
                <w:sz w:val="20"/>
                <w:szCs w:val="20"/>
              </w:rPr>
            </w:pPr>
            <w:r w:rsidRPr="0037287F">
              <w:rPr>
                <w:rFonts w:ascii="Arial" w:hAnsi="Arial" w:cs="Arial"/>
                <w:sz w:val="20"/>
                <w:szCs w:val="20"/>
              </w:rPr>
              <w:t>-</w:t>
            </w:r>
          </w:p>
        </w:tc>
      </w:tr>
    </w:tbl>
    <w:p w14:paraId="55DAC98A" w14:textId="77777777" w:rsidR="00C500C3" w:rsidRPr="00351535" w:rsidRDefault="00C500C3" w:rsidP="00846AC2">
      <w:pPr>
        <w:pStyle w:val="Head1"/>
        <w:spacing w:beforeLines="40" w:before="96" w:afterLines="40" w:after="96"/>
        <w:jc w:val="both"/>
        <w:rPr>
          <w:rFonts w:ascii="Arial" w:hAnsi="Arial" w:cs="Arial"/>
          <w:b w:val="0"/>
          <w:caps w:val="0"/>
          <w:sz w:val="20"/>
        </w:rPr>
      </w:pPr>
      <w:r w:rsidRPr="00C500C3">
        <w:rPr>
          <w:rFonts w:ascii="Arial" w:hAnsi="Arial" w:cs="Arial"/>
          <w:b w:val="0"/>
          <w:caps w:val="0"/>
          <w:sz w:val="20"/>
        </w:rPr>
        <w:t>*SD = Standard Deviation; *</w:t>
      </w:r>
      <w:r w:rsidRPr="00C500C3">
        <w:rPr>
          <w:rFonts w:ascii="Arial" w:hAnsi="Arial" w:cs="Arial"/>
          <w:b w:val="0"/>
          <w:i/>
          <w:caps w:val="0"/>
          <w:sz w:val="20"/>
        </w:rPr>
        <w:t>p</w:t>
      </w:r>
      <w:r w:rsidRPr="00C500C3">
        <w:rPr>
          <w:rFonts w:ascii="Arial" w:hAnsi="Arial" w:cs="Arial"/>
          <w:b w:val="0"/>
          <w:caps w:val="0"/>
          <w:sz w:val="20"/>
        </w:rPr>
        <w:t>&lt;0.05, *</w:t>
      </w:r>
      <w:r w:rsidRPr="00C500C3">
        <w:rPr>
          <w:rFonts w:ascii="Arial" w:hAnsi="Arial" w:cs="Arial"/>
          <w:b w:val="0"/>
          <w:i/>
          <w:caps w:val="0"/>
          <w:sz w:val="20"/>
        </w:rPr>
        <w:t>p</w:t>
      </w:r>
      <w:r w:rsidRPr="00C500C3">
        <w:rPr>
          <w:rFonts w:ascii="Arial" w:hAnsi="Arial" w:cs="Arial"/>
          <w:b w:val="0"/>
          <w:caps w:val="0"/>
          <w:sz w:val="20"/>
        </w:rPr>
        <w:t>&lt;0.01</w:t>
      </w:r>
    </w:p>
    <w:sectPr w:rsidR="00C500C3" w:rsidRPr="00351535" w:rsidSect="00AD3E1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1-14T11:24:00Z" w:initials="h">
    <w:p w14:paraId="5687EF09" w14:textId="3BC0F287" w:rsidR="00AB2F33" w:rsidRDefault="00AB2F33">
      <w:pPr>
        <w:pStyle w:val="CommentText"/>
      </w:pPr>
      <w:r>
        <w:rPr>
          <w:rStyle w:val="CommentReference"/>
        </w:rPr>
        <w:annotationRef/>
      </w:r>
      <w:r>
        <w:t>INCORPORATE HAND DOMINANCE</w:t>
      </w:r>
    </w:p>
  </w:comment>
  <w:comment w:id="1" w:author="hp" w:date="2025-11-14T11:54:00Z" w:initials="h">
    <w:p w14:paraId="4796E33F" w14:textId="42AF67DC" w:rsidR="00F43D54" w:rsidRDefault="00F43D54">
      <w:pPr>
        <w:pStyle w:val="CommentText"/>
      </w:pPr>
      <w:r>
        <w:rPr>
          <w:rStyle w:val="CommentReference"/>
        </w:rPr>
        <w:annotationRef/>
      </w:r>
      <w:r>
        <w:t>DESCRIBE THE JOINTS PERFOMED</w:t>
      </w:r>
    </w:p>
  </w:comment>
  <w:comment w:id="2" w:author="hp" w:date="2025-11-14T11:55:00Z" w:initials="h">
    <w:p w14:paraId="5E304B85" w14:textId="047039F2" w:rsidR="00F43D54" w:rsidRDefault="00F43D54">
      <w:pPr>
        <w:pStyle w:val="CommentText"/>
      </w:pPr>
      <w:r>
        <w:rPr>
          <w:rStyle w:val="CommentReference"/>
        </w:rPr>
        <w:annotationRef/>
      </w:r>
      <w:r>
        <w:t>LIST THE EXERCISES</w:t>
      </w:r>
    </w:p>
  </w:comment>
  <w:comment w:id="3" w:author="hp" w:date="2025-11-14T11:55:00Z" w:initials="h">
    <w:p w14:paraId="606B9C5A" w14:textId="2387078C" w:rsidR="00F43D54" w:rsidRDefault="00F43D54">
      <w:pPr>
        <w:pStyle w:val="CommentText"/>
      </w:pPr>
      <w:r>
        <w:rPr>
          <w:rStyle w:val="CommentReference"/>
        </w:rPr>
        <w:annotationRef/>
      </w:r>
      <w:r>
        <w:t>NAME THE TECHNIQUES AND ITS DOSAGE</w:t>
      </w:r>
    </w:p>
  </w:comment>
  <w:comment w:id="4" w:author="hp" w:date="2025-11-14T11:55:00Z" w:initials="h">
    <w:p w14:paraId="0E3939A3" w14:textId="62C4DA92" w:rsidR="00F43D54" w:rsidRDefault="00F43D54">
      <w:pPr>
        <w:pStyle w:val="CommentText"/>
      </w:pPr>
      <w:r>
        <w:rPr>
          <w:rStyle w:val="CommentReference"/>
        </w:rPr>
        <w:annotationRef/>
      </w:r>
      <w:r>
        <w:t>LIST IT</w:t>
      </w:r>
    </w:p>
  </w:comment>
  <w:comment w:id="5" w:author="hp" w:date="2025-11-14T11:39:00Z" w:initials="h">
    <w:p w14:paraId="7451A3D9" w14:textId="3E281914" w:rsidR="00E029EB" w:rsidRDefault="00E029EB">
      <w:pPr>
        <w:pStyle w:val="CommentText"/>
      </w:pPr>
      <w:r>
        <w:rPr>
          <w:rStyle w:val="CommentReference"/>
        </w:rPr>
        <w:annotationRef/>
      </w:r>
      <w:r>
        <w:t>ADD STATEMENT ON CONFIDENCE INTERVAL</w:t>
      </w:r>
      <w:r w:rsidR="00F8109A">
        <w:t xml:space="preserve"> FOR ALL THE OUTCOME AND ALSO DISCUSS THE MICD TO STATE THE CLINICAL SIGNIFICANCE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7EF09" w15:done="0"/>
  <w15:commentEx w15:paraId="4796E33F" w15:done="0"/>
  <w15:commentEx w15:paraId="5E304B85" w15:done="0"/>
  <w15:commentEx w15:paraId="606B9C5A" w15:done="0"/>
  <w15:commentEx w15:paraId="0E3939A3" w15:done="0"/>
  <w15:commentEx w15:paraId="7451A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B2AFE" w16cex:dateUtc="2025-11-14T05:54:00Z"/>
  <w16cex:commentExtensible w16cex:durableId="79B5AC4F" w16cex:dateUtc="2025-11-14T06:24:00Z"/>
  <w16cex:commentExtensible w16cex:durableId="6F1B03FC" w16cex:dateUtc="2025-11-14T06:25:00Z"/>
  <w16cex:commentExtensible w16cex:durableId="27E11356" w16cex:dateUtc="2025-11-14T06:25:00Z"/>
  <w16cex:commentExtensible w16cex:durableId="7F27370C" w16cex:dateUtc="2025-11-14T06:25:00Z"/>
  <w16cex:commentExtensible w16cex:durableId="15B81BF4" w16cex:dateUtc="2025-11-14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7EF09" w16cid:durableId="25AB2AFE"/>
  <w16cid:commentId w16cid:paraId="4796E33F" w16cid:durableId="79B5AC4F"/>
  <w16cid:commentId w16cid:paraId="5E304B85" w16cid:durableId="6F1B03FC"/>
  <w16cid:commentId w16cid:paraId="606B9C5A" w16cid:durableId="27E11356"/>
  <w16cid:commentId w16cid:paraId="0E3939A3" w16cid:durableId="7F27370C"/>
  <w16cid:commentId w16cid:paraId="7451A3D9" w16cid:durableId="15B81B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246A" w14:textId="77777777" w:rsidR="00C27148" w:rsidRDefault="00C27148" w:rsidP="00C37E61">
      <w:r>
        <w:separator/>
      </w:r>
    </w:p>
  </w:endnote>
  <w:endnote w:type="continuationSeparator" w:id="0">
    <w:p w14:paraId="385DD4F9" w14:textId="77777777" w:rsidR="00C27148" w:rsidRDefault="00C271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B23B" w14:textId="77777777" w:rsidR="00AD3E12" w:rsidRDefault="00AD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57E5" w14:textId="77777777" w:rsidR="00AD3E12" w:rsidRDefault="00AD3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F828" w14:textId="77777777" w:rsidR="00395956" w:rsidRDefault="00395956">
    <w:pPr>
      <w:pStyle w:val="Footer"/>
      <w:rPr>
        <w:rFonts w:ascii="Arial" w:hAnsi="Arial" w:cs="Arial"/>
        <w:sz w:val="16"/>
      </w:rPr>
    </w:pPr>
  </w:p>
  <w:p w14:paraId="0D48E476" w14:textId="77777777" w:rsidR="00395956" w:rsidRDefault="0039595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07132BF" w14:textId="77777777" w:rsidR="00395956" w:rsidRDefault="00395956">
    <w:pPr>
      <w:pStyle w:val="Footer"/>
      <w:rPr>
        <w:rFonts w:ascii="Arial" w:hAnsi="Arial" w:cs="Arial"/>
        <w:sz w:val="16"/>
      </w:rPr>
    </w:pPr>
  </w:p>
  <w:p w14:paraId="51B4A5D9" w14:textId="77777777" w:rsidR="00395956" w:rsidRPr="009E048A" w:rsidRDefault="0039595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0E58" w14:textId="77777777" w:rsidR="00C27148" w:rsidRDefault="00C27148" w:rsidP="00C37E61">
      <w:r>
        <w:separator/>
      </w:r>
    </w:p>
  </w:footnote>
  <w:footnote w:type="continuationSeparator" w:id="0">
    <w:p w14:paraId="640BB75B" w14:textId="77777777" w:rsidR="00C27148" w:rsidRDefault="00C271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5D2" w14:textId="31E2889B" w:rsidR="00AD3E12" w:rsidRDefault="00000000">
    <w:pPr>
      <w:pStyle w:val="Header"/>
    </w:pPr>
    <w:r>
      <w:rPr>
        <w:noProof/>
      </w:rPr>
      <w:pict w14:anchorId="775FD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2B4E" w14:textId="5C0637BF" w:rsidR="00AD3E12" w:rsidRDefault="00000000">
    <w:pPr>
      <w:pStyle w:val="Header"/>
    </w:pPr>
    <w:r>
      <w:rPr>
        <w:noProof/>
      </w:rPr>
      <w:pict w14:anchorId="2FBF6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0E9" w14:textId="2066FDE5" w:rsidR="00395956" w:rsidRPr="00296529" w:rsidRDefault="00000000" w:rsidP="00296529">
    <w:pPr>
      <w:ind w:left="2160"/>
      <w:jc w:val="center"/>
      <w:rPr>
        <w:rFonts w:ascii="Times New Roman" w:eastAsia="Calibri" w:hAnsi="Times New Roman"/>
        <w:i/>
        <w:sz w:val="18"/>
        <w:szCs w:val="22"/>
      </w:rPr>
    </w:pPr>
    <w:r>
      <w:rPr>
        <w:noProof/>
      </w:rPr>
      <w:pict w14:anchorId="0D98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167EC1" w14:textId="77777777" w:rsidR="00395956" w:rsidRPr="00296529" w:rsidRDefault="00395956"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A099039" w14:textId="77777777" w:rsidR="00395956" w:rsidRPr="00296529" w:rsidRDefault="0039595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EED0F2" w14:textId="77777777" w:rsidR="00395956" w:rsidRPr="00296529" w:rsidRDefault="0039595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3D29F84" w14:textId="77777777" w:rsidR="00395956" w:rsidRDefault="00395956" w:rsidP="00296529">
    <w:pPr>
      <w:jc w:val="center"/>
      <w:rPr>
        <w:rFonts w:ascii="Times New Roman" w:eastAsia="Calibri" w:hAnsi="Times New Roman"/>
        <w:i/>
        <w:sz w:val="18"/>
        <w:szCs w:val="22"/>
      </w:rPr>
    </w:pPr>
  </w:p>
  <w:p w14:paraId="523E6F5B" w14:textId="77777777" w:rsidR="00395956" w:rsidRDefault="0039595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42DF2F" w14:textId="77777777" w:rsidR="00395956" w:rsidRDefault="0039595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6A45F7"/>
    <w:multiLevelType w:val="multilevel"/>
    <w:tmpl w:val="D1B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CF3989"/>
    <w:multiLevelType w:val="multilevel"/>
    <w:tmpl w:val="F83A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7D75EE"/>
    <w:multiLevelType w:val="hybridMultilevel"/>
    <w:tmpl w:val="F75C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86485"/>
    <w:multiLevelType w:val="multilevel"/>
    <w:tmpl w:val="2250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A10242"/>
    <w:multiLevelType w:val="multilevel"/>
    <w:tmpl w:val="ACB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15331A"/>
    <w:multiLevelType w:val="multilevel"/>
    <w:tmpl w:val="610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1E0135"/>
    <w:multiLevelType w:val="multilevel"/>
    <w:tmpl w:val="E5A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634126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2155779">
    <w:abstractNumId w:val="18"/>
  </w:num>
  <w:num w:numId="3" w16cid:durableId="928270588">
    <w:abstractNumId w:val="28"/>
  </w:num>
  <w:num w:numId="4" w16cid:durableId="21026073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9315424">
    <w:abstractNumId w:val="7"/>
  </w:num>
  <w:num w:numId="6" w16cid:durableId="453869212">
    <w:abstractNumId w:val="6"/>
  </w:num>
  <w:num w:numId="7" w16cid:durableId="828329052">
    <w:abstractNumId w:val="1"/>
  </w:num>
  <w:num w:numId="8" w16cid:durableId="461506034">
    <w:abstractNumId w:val="12"/>
  </w:num>
  <w:num w:numId="9" w16cid:durableId="1942759237">
    <w:abstractNumId w:val="31"/>
  </w:num>
  <w:num w:numId="10" w16cid:durableId="1064179932">
    <w:abstractNumId w:val="2"/>
  </w:num>
  <w:num w:numId="11" w16cid:durableId="132255430">
    <w:abstractNumId w:val="23"/>
  </w:num>
  <w:num w:numId="12" w16cid:durableId="1758406181">
    <w:abstractNumId w:val="3"/>
  </w:num>
  <w:num w:numId="13" w16cid:durableId="541287376">
    <w:abstractNumId w:val="21"/>
  </w:num>
  <w:num w:numId="14" w16cid:durableId="490027252">
    <w:abstractNumId w:val="8"/>
  </w:num>
  <w:num w:numId="15" w16cid:durableId="1882672064">
    <w:abstractNumId w:val="26"/>
  </w:num>
  <w:num w:numId="16" w16cid:durableId="141047821">
    <w:abstractNumId w:val="5"/>
  </w:num>
  <w:num w:numId="17" w16cid:durableId="1918975052">
    <w:abstractNumId w:val="27"/>
  </w:num>
  <w:num w:numId="18" w16cid:durableId="1642691255">
    <w:abstractNumId w:val="16"/>
  </w:num>
  <w:num w:numId="19" w16cid:durableId="1930238838">
    <w:abstractNumId w:val="35"/>
  </w:num>
  <w:num w:numId="20" w16cid:durableId="70779027">
    <w:abstractNumId w:val="11"/>
  </w:num>
  <w:num w:numId="21" w16cid:durableId="1680813048">
    <w:abstractNumId w:val="9"/>
  </w:num>
  <w:num w:numId="22" w16cid:durableId="946893187">
    <w:abstractNumId w:val="14"/>
  </w:num>
  <w:num w:numId="23" w16cid:durableId="1306854395">
    <w:abstractNumId w:val="24"/>
  </w:num>
  <w:num w:numId="24" w16cid:durableId="1212569305">
    <w:abstractNumId w:val="32"/>
  </w:num>
  <w:num w:numId="25" w16cid:durableId="1228566792">
    <w:abstractNumId w:val="4"/>
  </w:num>
  <w:num w:numId="26" w16cid:durableId="1542790812">
    <w:abstractNumId w:val="20"/>
  </w:num>
  <w:num w:numId="27" w16cid:durableId="1190723732">
    <w:abstractNumId w:val="25"/>
  </w:num>
  <w:num w:numId="28" w16cid:durableId="256594214">
    <w:abstractNumId w:val="33"/>
  </w:num>
  <w:num w:numId="29" w16cid:durableId="559945436">
    <w:abstractNumId w:val="30"/>
  </w:num>
  <w:num w:numId="30" w16cid:durableId="1345939981">
    <w:abstractNumId w:val="10"/>
  </w:num>
  <w:num w:numId="31" w16cid:durableId="695618855">
    <w:abstractNumId w:val="15"/>
  </w:num>
  <w:num w:numId="32" w16cid:durableId="2133596228">
    <w:abstractNumId w:val="19"/>
  </w:num>
  <w:num w:numId="33" w16cid:durableId="1762214522">
    <w:abstractNumId w:val="29"/>
  </w:num>
  <w:num w:numId="34" w16cid:durableId="1649289204">
    <w:abstractNumId w:val="13"/>
  </w:num>
  <w:num w:numId="35" w16cid:durableId="1908882295">
    <w:abstractNumId w:val="34"/>
  </w:num>
  <w:num w:numId="36" w16cid:durableId="1848788768">
    <w:abstractNumId w:val="22"/>
  </w:num>
  <w:num w:numId="37" w16cid:durableId="24950705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7DE0"/>
    <w:rsid w:val="000D689F"/>
    <w:rsid w:val="000E7B7B"/>
    <w:rsid w:val="000E7D62"/>
    <w:rsid w:val="000F5D5D"/>
    <w:rsid w:val="0010276D"/>
    <w:rsid w:val="00103357"/>
    <w:rsid w:val="00121BF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A73"/>
    <w:rsid w:val="00231920"/>
    <w:rsid w:val="0023195C"/>
    <w:rsid w:val="0024282C"/>
    <w:rsid w:val="002460DC"/>
    <w:rsid w:val="00250985"/>
    <w:rsid w:val="002556F6"/>
    <w:rsid w:val="00283105"/>
    <w:rsid w:val="00284C4C"/>
    <w:rsid w:val="00287E68"/>
    <w:rsid w:val="00296529"/>
    <w:rsid w:val="002B27FB"/>
    <w:rsid w:val="002B685A"/>
    <w:rsid w:val="002C57D2"/>
    <w:rsid w:val="002C7EE6"/>
    <w:rsid w:val="002D1099"/>
    <w:rsid w:val="002E0D56"/>
    <w:rsid w:val="00315186"/>
    <w:rsid w:val="0033343E"/>
    <w:rsid w:val="003512C2"/>
    <w:rsid w:val="00351535"/>
    <w:rsid w:val="00371FB6"/>
    <w:rsid w:val="0037287F"/>
    <w:rsid w:val="003763C1"/>
    <w:rsid w:val="00376BBE"/>
    <w:rsid w:val="00385ADC"/>
    <w:rsid w:val="0039224F"/>
    <w:rsid w:val="0039595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0A40"/>
    <w:rsid w:val="00502516"/>
    <w:rsid w:val="00505F06"/>
    <w:rsid w:val="00506828"/>
    <w:rsid w:val="0053056E"/>
    <w:rsid w:val="00554FDA"/>
    <w:rsid w:val="00576A9E"/>
    <w:rsid w:val="005C19F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A94"/>
    <w:rsid w:val="007369E6"/>
    <w:rsid w:val="0074577D"/>
    <w:rsid w:val="00746E59"/>
    <w:rsid w:val="00751B46"/>
    <w:rsid w:val="00754C9A"/>
    <w:rsid w:val="0075599A"/>
    <w:rsid w:val="00761D52"/>
    <w:rsid w:val="0077749E"/>
    <w:rsid w:val="00790ADA"/>
    <w:rsid w:val="007D2288"/>
    <w:rsid w:val="007E088F"/>
    <w:rsid w:val="007F7B32"/>
    <w:rsid w:val="00804BC2"/>
    <w:rsid w:val="0081431A"/>
    <w:rsid w:val="0083216F"/>
    <w:rsid w:val="00846AC2"/>
    <w:rsid w:val="00860000"/>
    <w:rsid w:val="00863BD3"/>
    <w:rsid w:val="008641ED"/>
    <w:rsid w:val="00866D66"/>
    <w:rsid w:val="008671C6"/>
    <w:rsid w:val="00875803"/>
    <w:rsid w:val="008B459E"/>
    <w:rsid w:val="008C6D9C"/>
    <w:rsid w:val="008E13AE"/>
    <w:rsid w:val="008E1506"/>
    <w:rsid w:val="008E710C"/>
    <w:rsid w:val="008F69D6"/>
    <w:rsid w:val="00902823"/>
    <w:rsid w:val="00907417"/>
    <w:rsid w:val="00915CA6"/>
    <w:rsid w:val="00927834"/>
    <w:rsid w:val="00934C0C"/>
    <w:rsid w:val="00935FA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09F"/>
    <w:rsid w:val="00A8683A"/>
    <w:rsid w:val="00A94063"/>
    <w:rsid w:val="00AA6219"/>
    <w:rsid w:val="00AA74E0"/>
    <w:rsid w:val="00AB2F33"/>
    <w:rsid w:val="00AB703F"/>
    <w:rsid w:val="00AC6BB8"/>
    <w:rsid w:val="00AD3E1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26AC"/>
    <w:rsid w:val="00C166EF"/>
    <w:rsid w:val="00C17EB0"/>
    <w:rsid w:val="00C27148"/>
    <w:rsid w:val="00C27F5F"/>
    <w:rsid w:val="00C30A0F"/>
    <w:rsid w:val="00C33B89"/>
    <w:rsid w:val="00C37E61"/>
    <w:rsid w:val="00C500C3"/>
    <w:rsid w:val="00C70F1B"/>
    <w:rsid w:val="00C71A47"/>
    <w:rsid w:val="00C7464C"/>
    <w:rsid w:val="00C85588"/>
    <w:rsid w:val="00C86D9C"/>
    <w:rsid w:val="00CD6755"/>
    <w:rsid w:val="00CD6856"/>
    <w:rsid w:val="00CE0089"/>
    <w:rsid w:val="00CE793C"/>
    <w:rsid w:val="00CF193C"/>
    <w:rsid w:val="00D173F1"/>
    <w:rsid w:val="00D17CCB"/>
    <w:rsid w:val="00D251D2"/>
    <w:rsid w:val="00D74CB0"/>
    <w:rsid w:val="00D8295D"/>
    <w:rsid w:val="00DC2A65"/>
    <w:rsid w:val="00DE15F0"/>
    <w:rsid w:val="00DE5663"/>
    <w:rsid w:val="00DE78AA"/>
    <w:rsid w:val="00E029EB"/>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F89"/>
    <w:rsid w:val="00F43D54"/>
    <w:rsid w:val="00F469F0"/>
    <w:rsid w:val="00F53273"/>
    <w:rsid w:val="00F755E4"/>
    <w:rsid w:val="00F77D02"/>
    <w:rsid w:val="00F8109A"/>
    <w:rsid w:val="00FB3A86"/>
    <w:rsid w:val="00FD36C8"/>
    <w:rsid w:val="00FD4F01"/>
    <w:rsid w:val="00FF2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EB758F6"/>
  <w15:docId w15:val="{0467B0C1-3B32-4577-861E-EDE27F8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C7EE6"/>
    <w:pPr>
      <w:ind w:left="720"/>
      <w:contextualSpacing/>
    </w:pPr>
  </w:style>
  <w:style w:type="paragraph" w:styleId="NoSpacing">
    <w:name w:val="No Spacing"/>
    <w:aliases w:val="Level 2"/>
    <w:link w:val="NoSpacingChar"/>
    <w:uiPriority w:val="1"/>
    <w:qFormat/>
    <w:rsid w:val="00351535"/>
    <w:rPr>
      <w:rFonts w:ascii="Calibri" w:eastAsia="Calibri" w:hAnsi="Calibri"/>
      <w:sz w:val="22"/>
      <w:szCs w:val="22"/>
      <w:lang w:val="en-IN"/>
    </w:rPr>
  </w:style>
  <w:style w:type="character" w:customStyle="1" w:styleId="NoSpacingChar">
    <w:name w:val="No Spacing Char"/>
    <w:aliases w:val="Level 2 Char"/>
    <w:link w:val="NoSpacing"/>
    <w:uiPriority w:val="1"/>
    <w:rsid w:val="00351535"/>
    <w:rPr>
      <w:rFonts w:ascii="Calibri" w:eastAsia="Calibri" w:hAnsi="Calibri"/>
      <w:sz w:val="22"/>
      <w:szCs w:val="22"/>
      <w:lang w:val="en-IN"/>
    </w:rPr>
  </w:style>
  <w:style w:type="character" w:styleId="UnresolvedMention">
    <w:name w:val="Unresolved Mention"/>
    <w:basedOn w:val="DefaultParagraphFont"/>
    <w:uiPriority w:val="99"/>
    <w:semiHidden/>
    <w:unhideWhenUsed/>
    <w:rsid w:val="00C86D9C"/>
    <w:rPr>
      <w:color w:val="605E5C"/>
      <w:shd w:val="clear" w:color="auto" w:fill="E1DFDD"/>
    </w:rPr>
  </w:style>
  <w:style w:type="paragraph" w:styleId="CommentSubject">
    <w:name w:val="annotation subject"/>
    <w:basedOn w:val="CommentText"/>
    <w:next w:val="CommentText"/>
    <w:link w:val="CommentSubjectChar"/>
    <w:semiHidden/>
    <w:unhideWhenUsed/>
    <w:rsid w:val="00AB2F33"/>
    <w:rPr>
      <w:rFonts w:ascii="Helvetica" w:hAnsi="Helvetica"/>
      <w:b/>
      <w:bCs/>
      <w:lang w:val="en-US" w:eastAsia="en-US"/>
    </w:rPr>
  </w:style>
  <w:style w:type="character" w:customStyle="1" w:styleId="CommentSubjectChar">
    <w:name w:val="Comment Subject Char"/>
    <w:basedOn w:val="CommentTextChar"/>
    <w:link w:val="CommentSubject"/>
    <w:semiHidden/>
    <w:rsid w:val="00AB2F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376D-7F47-4D28-8FFB-41AADA55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13</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13</cp:revision>
  <cp:lastPrinted>1999-07-06T11:00:00Z</cp:lastPrinted>
  <dcterms:created xsi:type="dcterms:W3CDTF">2025-11-09T07:09:00Z</dcterms:created>
  <dcterms:modified xsi:type="dcterms:W3CDTF">2025-11-14T06:26:00Z</dcterms:modified>
</cp:coreProperties>
</file>