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9D74E" w14:textId="77777777" w:rsidR="00771C5B" w:rsidRPr="00DB7185" w:rsidRDefault="00715EF1" w:rsidP="00DB7185">
      <w:pPr>
        <w:spacing w:line="276" w:lineRule="auto"/>
        <w:jc w:val="center"/>
        <w:rPr>
          <w:rFonts w:ascii="Times New Roman" w:hAnsi="Times New Roman" w:cs="Times New Roman"/>
          <w:b/>
          <w:bCs/>
          <w:sz w:val="24"/>
          <w:szCs w:val="24"/>
          <w:lang w:val="en-US"/>
        </w:rPr>
      </w:pPr>
      <w:commentRangeStart w:id="0"/>
      <w:commentRangeStart w:id="1"/>
      <w:r w:rsidRPr="00DB7185">
        <w:rPr>
          <w:rFonts w:ascii="Times New Roman" w:hAnsi="Times New Roman" w:cs="Times New Roman"/>
          <w:b/>
          <w:bCs/>
          <w:sz w:val="24"/>
          <w:szCs w:val="24"/>
          <w:lang w:val="en-US"/>
        </w:rPr>
        <w:t>Evaluation of fungicide</w:t>
      </w:r>
      <w:r w:rsidR="006A48C6" w:rsidRPr="00DB7185">
        <w:rPr>
          <w:rFonts w:ascii="Times New Roman" w:hAnsi="Times New Roman" w:cs="Times New Roman"/>
          <w:b/>
          <w:bCs/>
          <w:sz w:val="24"/>
          <w:szCs w:val="24"/>
          <w:lang w:val="en-US"/>
        </w:rPr>
        <w:t>s</w:t>
      </w:r>
      <w:r w:rsidRPr="00DB7185">
        <w:rPr>
          <w:rFonts w:ascii="Times New Roman" w:hAnsi="Times New Roman" w:cs="Times New Roman"/>
          <w:b/>
          <w:bCs/>
          <w:sz w:val="24"/>
          <w:szCs w:val="24"/>
          <w:lang w:val="en-US"/>
        </w:rPr>
        <w:t xml:space="preserve"> against </w:t>
      </w:r>
      <w:r w:rsidR="00C42CBE" w:rsidRPr="00DB7185">
        <w:rPr>
          <w:rFonts w:ascii="Times New Roman" w:hAnsi="Times New Roman" w:cs="Times New Roman"/>
          <w:b/>
          <w:bCs/>
          <w:sz w:val="24"/>
          <w:szCs w:val="24"/>
          <w:lang w:val="en-US"/>
        </w:rPr>
        <w:t xml:space="preserve">sheath blight and false smut </w:t>
      </w:r>
      <w:r w:rsidR="006A48C6" w:rsidRPr="00DB7185">
        <w:rPr>
          <w:rFonts w:ascii="Times New Roman" w:hAnsi="Times New Roman" w:cs="Times New Roman"/>
          <w:b/>
          <w:bCs/>
          <w:sz w:val="24"/>
          <w:szCs w:val="24"/>
          <w:lang w:val="en-US"/>
        </w:rPr>
        <w:t>diseases</w:t>
      </w:r>
      <w:r w:rsidRPr="00DB7185">
        <w:rPr>
          <w:rFonts w:ascii="Times New Roman" w:hAnsi="Times New Roman" w:cs="Times New Roman"/>
          <w:b/>
          <w:bCs/>
          <w:sz w:val="24"/>
          <w:szCs w:val="24"/>
          <w:lang w:val="en-US"/>
        </w:rPr>
        <w:t xml:space="preserve"> in </w:t>
      </w:r>
      <w:r w:rsidR="006A48C6" w:rsidRPr="00DB7185">
        <w:rPr>
          <w:rFonts w:ascii="Times New Roman" w:hAnsi="Times New Roman" w:cs="Times New Roman"/>
          <w:b/>
          <w:bCs/>
          <w:sz w:val="24"/>
          <w:szCs w:val="24"/>
          <w:lang w:val="en-US"/>
        </w:rPr>
        <w:t>paddy</w:t>
      </w:r>
      <w:commentRangeEnd w:id="0"/>
      <w:r w:rsidR="00E77CDB">
        <w:rPr>
          <w:rStyle w:val="CommentReference"/>
        </w:rPr>
        <w:commentReference w:id="0"/>
      </w:r>
      <w:commentRangeEnd w:id="1"/>
      <w:r w:rsidR="00E77CDB">
        <w:rPr>
          <w:rStyle w:val="CommentReference"/>
        </w:rPr>
        <w:commentReference w:id="1"/>
      </w:r>
    </w:p>
    <w:p w14:paraId="2C25EE83" w14:textId="77777777" w:rsidR="00771C5B" w:rsidRPr="0081472D" w:rsidRDefault="00771C5B" w:rsidP="00DB7185">
      <w:pPr>
        <w:spacing w:line="276" w:lineRule="auto"/>
        <w:jc w:val="both"/>
        <w:rPr>
          <w:rFonts w:ascii="Times New Roman" w:hAnsi="Times New Roman" w:cs="Times New Roman"/>
          <w:b/>
          <w:bCs/>
          <w:sz w:val="24"/>
          <w:szCs w:val="24"/>
        </w:rPr>
      </w:pPr>
    </w:p>
    <w:p w14:paraId="463BEE6F" w14:textId="77777777" w:rsidR="00DD7C09"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b/>
          <w:bCs/>
          <w:sz w:val="24"/>
          <w:szCs w:val="24"/>
        </w:rPr>
        <w:t>Abstract:</w:t>
      </w:r>
      <w:r w:rsidRPr="0081472D">
        <w:rPr>
          <w:rFonts w:ascii="Times New Roman" w:hAnsi="Times New Roman" w:cs="Times New Roman"/>
          <w:sz w:val="24"/>
          <w:szCs w:val="24"/>
        </w:rPr>
        <w:t xml:space="preserve"> </w:t>
      </w:r>
      <w:r w:rsidR="00DD7C09" w:rsidRPr="0081472D">
        <w:rPr>
          <w:rFonts w:ascii="Times New Roman" w:hAnsi="Times New Roman" w:cs="Times New Roman"/>
          <w:sz w:val="24"/>
          <w:szCs w:val="24"/>
        </w:rPr>
        <w:t xml:space="preserve">The study on the evaluation of fungicides against </w:t>
      </w:r>
      <w:r w:rsidR="00C42CBE" w:rsidRPr="0081472D">
        <w:rPr>
          <w:rFonts w:ascii="Times New Roman" w:hAnsi="Times New Roman" w:cs="Times New Roman"/>
          <w:sz w:val="24"/>
          <w:szCs w:val="24"/>
          <w:lang w:val="en-US"/>
        </w:rPr>
        <w:t>sheath blight and false smut</w:t>
      </w:r>
      <w:r w:rsidR="00C42CBE" w:rsidRPr="0081472D">
        <w:rPr>
          <w:rFonts w:ascii="Times New Roman" w:hAnsi="Times New Roman" w:cs="Times New Roman"/>
          <w:b/>
          <w:bCs/>
          <w:sz w:val="24"/>
          <w:szCs w:val="24"/>
          <w:lang w:val="en-US"/>
        </w:rPr>
        <w:t xml:space="preserve"> </w:t>
      </w:r>
      <w:r w:rsidR="00DD7C09" w:rsidRPr="0081472D">
        <w:rPr>
          <w:rFonts w:ascii="Times New Roman" w:hAnsi="Times New Roman" w:cs="Times New Roman"/>
          <w:sz w:val="24"/>
          <w:szCs w:val="24"/>
        </w:rPr>
        <w:t>diseases in paddy was conducted by the District Agricultural Advisory and Transfer of Technology Centre, Vizia</w:t>
      </w:r>
      <w:r w:rsidR="005849EE" w:rsidRPr="0081472D">
        <w:rPr>
          <w:rFonts w:ascii="Times New Roman" w:hAnsi="Times New Roman" w:cs="Times New Roman"/>
          <w:sz w:val="24"/>
          <w:szCs w:val="24"/>
        </w:rPr>
        <w:t xml:space="preserve">nagaram (DAATTC), Vizianagaram in </w:t>
      </w:r>
      <w:r w:rsidR="00DD7C09" w:rsidRPr="0081472D">
        <w:rPr>
          <w:rFonts w:ascii="Times New Roman" w:hAnsi="Times New Roman" w:cs="Times New Roman"/>
          <w:sz w:val="24"/>
          <w:szCs w:val="24"/>
        </w:rPr>
        <w:t xml:space="preserve">five farmers’ fields </w:t>
      </w:r>
      <w:r w:rsidR="005849EE" w:rsidRPr="0081472D">
        <w:rPr>
          <w:rFonts w:ascii="Times New Roman" w:hAnsi="Times New Roman" w:cs="Times New Roman"/>
          <w:sz w:val="24"/>
          <w:szCs w:val="24"/>
        </w:rPr>
        <w:t xml:space="preserve">of Vizianagaram district </w:t>
      </w:r>
      <w:r w:rsidR="00DD7C09" w:rsidRPr="0081472D">
        <w:rPr>
          <w:rFonts w:ascii="Times New Roman" w:hAnsi="Times New Roman" w:cs="Times New Roman"/>
          <w:sz w:val="24"/>
          <w:szCs w:val="24"/>
        </w:rPr>
        <w:t>during 2021–22, 2022–23 and 2023–24. The results revealed that the incidence of sheath blight and false smut diseases was substantially lower in fungicide</w:t>
      </w:r>
      <w:r w:rsidR="00DD7C09" w:rsidRPr="0081472D">
        <w:rPr>
          <w:rFonts w:ascii="Times New Roman" w:hAnsi="Times New Roman" w:cs="Times New Roman"/>
          <w:sz w:val="24"/>
          <w:szCs w:val="24"/>
        </w:rPr>
        <w:noBreakHyphen/>
        <w:t xml:space="preserve">treated plots than the farmers’ practice. A yield enhancement of </w:t>
      </w:r>
      <w:r w:rsidR="00DD7C09" w:rsidRPr="0081472D">
        <w:rPr>
          <w:rStyle w:val="Strong"/>
          <w:rFonts w:ascii="Times New Roman" w:hAnsi="Times New Roman" w:cs="Times New Roman"/>
          <w:b w:val="0"/>
          <w:bCs w:val="0"/>
          <w:sz w:val="24"/>
          <w:szCs w:val="24"/>
        </w:rPr>
        <w:t>8.77 %</w:t>
      </w:r>
      <w:r w:rsidR="00DD7C09" w:rsidRPr="0081472D">
        <w:rPr>
          <w:rFonts w:ascii="Times New Roman" w:hAnsi="Times New Roman" w:cs="Times New Roman"/>
          <w:sz w:val="24"/>
          <w:szCs w:val="24"/>
        </w:rPr>
        <w:t xml:space="preserve"> was obs</w:t>
      </w:r>
      <w:r w:rsidR="005849EE" w:rsidRPr="0081472D">
        <w:rPr>
          <w:rFonts w:ascii="Times New Roman" w:hAnsi="Times New Roman" w:cs="Times New Roman"/>
          <w:sz w:val="24"/>
          <w:szCs w:val="24"/>
        </w:rPr>
        <w:t>erved in the demonstration plot</w:t>
      </w:r>
      <w:r w:rsidR="00DD7C09" w:rsidRPr="0081472D">
        <w:rPr>
          <w:rFonts w:ascii="Times New Roman" w:hAnsi="Times New Roman" w:cs="Times New Roman"/>
          <w:sz w:val="24"/>
          <w:szCs w:val="24"/>
        </w:rPr>
        <w:t xml:space="preserve"> (6 112 kg/ha) compared with the farmers’ practice (5 632 kg/ha). The net returns were higher in the fungicide</w:t>
      </w:r>
      <w:r w:rsidR="00DD7C09" w:rsidRPr="0081472D">
        <w:rPr>
          <w:rFonts w:ascii="Times New Roman" w:hAnsi="Times New Roman" w:cs="Times New Roman"/>
          <w:sz w:val="24"/>
          <w:szCs w:val="24"/>
        </w:rPr>
        <w:noBreakHyphen/>
        <w:t>treated plots (₹ 64 092/ha) compared with the farmers’ practice (₹ 55 311/ha). The recorded extension gap, technology gap, and technology index were 511 kg/ha, 605 kg/ha and 8.75 %, respectively. The relatively low technology index indicates that the demonstrated fungicidal practice is technically feasible and economically viable under farmers’ field conditions.</w:t>
      </w:r>
    </w:p>
    <w:p w14:paraId="0436DFC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sz w:val="24"/>
          <w:szCs w:val="24"/>
        </w:rPr>
        <w:t xml:space="preserve">Keywords: </w:t>
      </w:r>
      <w:r w:rsidR="00230F07" w:rsidRPr="0081472D">
        <w:rPr>
          <w:rFonts w:ascii="Times New Roman" w:hAnsi="Times New Roman" w:cs="Times New Roman"/>
          <w:sz w:val="24"/>
          <w:szCs w:val="24"/>
        </w:rPr>
        <w:t>Paddy</w:t>
      </w:r>
      <w:r w:rsidRPr="0081472D">
        <w:rPr>
          <w:rFonts w:ascii="Times New Roman" w:hAnsi="Times New Roman" w:cs="Times New Roman"/>
          <w:sz w:val="24"/>
          <w:szCs w:val="24"/>
        </w:rPr>
        <w:t xml:space="preserve">, </w:t>
      </w:r>
      <w:r w:rsidR="00230F07" w:rsidRPr="0081472D">
        <w:rPr>
          <w:rFonts w:ascii="Times New Roman" w:hAnsi="Times New Roman" w:cs="Times New Roman"/>
          <w:sz w:val="24"/>
          <w:szCs w:val="24"/>
        </w:rPr>
        <w:t>false</w:t>
      </w:r>
      <w:r w:rsidRPr="0081472D">
        <w:rPr>
          <w:rFonts w:ascii="Times New Roman" w:hAnsi="Times New Roman" w:cs="Times New Roman"/>
          <w:sz w:val="24"/>
          <w:szCs w:val="24"/>
        </w:rPr>
        <w:t xml:space="preserve"> smut, </w:t>
      </w:r>
      <w:r w:rsidR="00230F07" w:rsidRPr="0081472D">
        <w:rPr>
          <w:rFonts w:ascii="Times New Roman" w:hAnsi="Times New Roman" w:cs="Times New Roman"/>
          <w:sz w:val="24"/>
          <w:szCs w:val="24"/>
        </w:rPr>
        <w:t xml:space="preserve">sheath blight, </w:t>
      </w:r>
      <w:r w:rsidRPr="0081472D">
        <w:rPr>
          <w:rFonts w:ascii="Times New Roman" w:hAnsi="Times New Roman" w:cs="Times New Roman"/>
          <w:sz w:val="24"/>
          <w:szCs w:val="24"/>
        </w:rPr>
        <w:t>technology gap, extension gap, technology index</w:t>
      </w:r>
    </w:p>
    <w:p w14:paraId="4834C69D" w14:textId="77777777" w:rsidR="00771C5B" w:rsidRPr="0081472D" w:rsidRDefault="00715EF1" w:rsidP="00DB7185">
      <w:pPr>
        <w:pStyle w:val="NormalWeb"/>
        <w:spacing w:line="276" w:lineRule="auto"/>
        <w:jc w:val="both"/>
        <w:rPr>
          <w:lang w:val="en-US" w:bidi="te-IN"/>
        </w:rPr>
      </w:pPr>
      <w:r w:rsidRPr="0081472D">
        <w:rPr>
          <w:b/>
          <w:bCs/>
        </w:rPr>
        <w:t xml:space="preserve">Introduction: </w:t>
      </w:r>
    </w:p>
    <w:p w14:paraId="2BB45AA4" w14:textId="77777777" w:rsidR="00F12D26" w:rsidRPr="0081472D" w:rsidRDefault="005233A8" w:rsidP="00DB7185">
      <w:pPr>
        <w:shd w:val="clear" w:color="auto" w:fill="FFFFFF"/>
        <w:spacing w:line="276" w:lineRule="auto"/>
        <w:ind w:firstLine="720"/>
        <w:jc w:val="both"/>
        <w:rPr>
          <w:rFonts w:ascii="Times New Roman" w:eastAsia="Times New Roman" w:hAnsi="Times New Roman" w:cs="Times New Roman"/>
          <w:kern w:val="0"/>
          <w:sz w:val="24"/>
          <w:szCs w:val="24"/>
          <w:lang w:val="en-US" w:bidi="te-IN"/>
          <w14:ligatures w14:val="none"/>
        </w:rPr>
      </w:pPr>
      <w:r w:rsidRPr="0081472D">
        <w:rPr>
          <w:rFonts w:ascii="Times New Roman" w:hAnsi="Times New Roman" w:cs="Times New Roman"/>
          <w:sz w:val="24"/>
          <w:szCs w:val="24"/>
        </w:rPr>
        <w:t>Paddy (</w:t>
      </w:r>
      <w:r w:rsidRPr="0081472D">
        <w:rPr>
          <w:rFonts w:ascii="Times New Roman" w:hAnsi="Times New Roman" w:cs="Times New Roman"/>
          <w:i/>
          <w:iCs/>
          <w:sz w:val="24"/>
          <w:szCs w:val="24"/>
        </w:rPr>
        <w:t>Oryza sativa</w:t>
      </w:r>
      <w:r w:rsidRPr="0081472D">
        <w:rPr>
          <w:rFonts w:ascii="Times New Roman" w:hAnsi="Times New Roman" w:cs="Times New Roman"/>
          <w:sz w:val="24"/>
          <w:szCs w:val="24"/>
        </w:rPr>
        <w:t xml:space="preserve"> L.) is one of the most important cereal crops and a major contributor to the </w:t>
      </w:r>
      <w:r w:rsidR="006429A2" w:rsidRPr="0081472D">
        <w:rPr>
          <w:rFonts w:ascii="Times New Roman" w:hAnsi="Times New Roman" w:cs="Times New Roman"/>
          <w:sz w:val="24"/>
          <w:szCs w:val="24"/>
        </w:rPr>
        <w:t>global</w:t>
      </w:r>
      <w:r w:rsidRPr="0081472D">
        <w:rPr>
          <w:rFonts w:ascii="Times New Roman" w:hAnsi="Times New Roman" w:cs="Times New Roman"/>
          <w:sz w:val="24"/>
          <w:szCs w:val="24"/>
        </w:rPr>
        <w:t xml:space="preserve"> </w:t>
      </w:r>
      <w:r w:rsidR="007072A3" w:rsidRPr="0081472D">
        <w:rPr>
          <w:rFonts w:ascii="Times New Roman" w:hAnsi="Times New Roman" w:cs="Times New Roman"/>
          <w:sz w:val="24"/>
          <w:szCs w:val="24"/>
        </w:rPr>
        <w:t xml:space="preserve">food </w:t>
      </w:r>
      <w:r w:rsidRPr="0081472D">
        <w:rPr>
          <w:rFonts w:ascii="Times New Roman" w:hAnsi="Times New Roman" w:cs="Times New Roman"/>
          <w:sz w:val="24"/>
          <w:szCs w:val="24"/>
        </w:rPr>
        <w:t>grain basket.</w:t>
      </w:r>
      <w:r w:rsidR="00A02723" w:rsidRPr="0081472D">
        <w:rPr>
          <w:rFonts w:ascii="Times New Roman" w:hAnsi="Times New Roman" w:cs="Times New Roman"/>
          <w:sz w:val="24"/>
          <w:szCs w:val="24"/>
        </w:rPr>
        <w:t xml:space="preserve"> </w:t>
      </w:r>
      <w:r w:rsidR="00187941" w:rsidRPr="0081472D">
        <w:rPr>
          <w:rFonts w:ascii="Times New Roman" w:hAnsi="Times New Roman" w:cs="Times New Roman"/>
          <w:sz w:val="24"/>
          <w:szCs w:val="24"/>
        </w:rPr>
        <w:t>It provides</w:t>
      </w:r>
      <w:r w:rsidR="00A02723" w:rsidRPr="0081472D">
        <w:rPr>
          <w:rFonts w:ascii="Times New Roman" w:hAnsi="Times New Roman" w:cs="Times New Roman"/>
          <w:sz w:val="24"/>
          <w:szCs w:val="24"/>
        </w:rPr>
        <w:t xml:space="preserve"> food to more than 50% </w:t>
      </w:r>
      <w:r w:rsidR="007072A3" w:rsidRPr="0081472D">
        <w:rPr>
          <w:rFonts w:ascii="Times New Roman" w:hAnsi="Times New Roman" w:cs="Times New Roman"/>
          <w:sz w:val="24"/>
          <w:szCs w:val="24"/>
        </w:rPr>
        <w:t xml:space="preserve">of the </w:t>
      </w:r>
      <w:r w:rsidR="00A02723" w:rsidRPr="0081472D">
        <w:rPr>
          <w:rFonts w:ascii="Times New Roman" w:hAnsi="Times New Roman" w:cs="Times New Roman"/>
          <w:sz w:val="24"/>
          <w:szCs w:val="24"/>
        </w:rPr>
        <w:t xml:space="preserve">global population .More than 90% of the world’s rice is grown and consumed in Asia. </w:t>
      </w:r>
      <w:r w:rsidR="007072A3" w:rsidRPr="0081472D">
        <w:rPr>
          <w:rFonts w:ascii="Times New Roman" w:hAnsi="Times New Roman" w:cs="Times New Roman"/>
          <w:sz w:val="24"/>
          <w:szCs w:val="24"/>
        </w:rPr>
        <w:t xml:space="preserve">In India, </w:t>
      </w:r>
      <w:r w:rsidR="00715EF1" w:rsidRPr="0081472D">
        <w:rPr>
          <w:rFonts w:ascii="Times New Roman" w:eastAsia="SimSun" w:hAnsi="Times New Roman" w:cs="Times New Roman"/>
          <w:sz w:val="24"/>
          <w:szCs w:val="24"/>
        </w:rPr>
        <w:t xml:space="preserve">The crop is cultivated in an area of </w:t>
      </w:r>
      <w:r w:rsidR="009331C8" w:rsidRPr="0081472D">
        <w:rPr>
          <w:rFonts w:ascii="Times New Roman" w:eastAsia="SimSun" w:hAnsi="Times New Roman" w:cs="Times New Roman"/>
          <w:sz w:val="24"/>
          <w:szCs w:val="24"/>
        </w:rPr>
        <w:t>514.23</w:t>
      </w:r>
      <w:r w:rsidR="00715EF1" w:rsidRPr="0081472D">
        <w:rPr>
          <w:rFonts w:ascii="Times New Roman" w:eastAsia="SimSun" w:hAnsi="Times New Roman" w:cs="Times New Roman"/>
          <w:sz w:val="24"/>
          <w:szCs w:val="24"/>
        </w:rPr>
        <w:t xml:space="preserve"> lakh ha with a total production of </w:t>
      </w:r>
      <w:r w:rsidR="009331C8" w:rsidRPr="0081472D">
        <w:rPr>
          <w:rFonts w:ascii="Times New Roman" w:eastAsia="SimSun" w:hAnsi="Times New Roman" w:cs="Times New Roman"/>
          <w:sz w:val="24"/>
          <w:szCs w:val="24"/>
        </w:rPr>
        <w:t>1</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490.74</w:t>
      </w:r>
      <w:r w:rsidR="00715EF1" w:rsidRPr="0081472D">
        <w:rPr>
          <w:rFonts w:ascii="Times New Roman" w:eastAsia="SimSun" w:hAnsi="Times New Roman" w:cs="Times New Roman"/>
          <w:sz w:val="24"/>
          <w:szCs w:val="24"/>
        </w:rPr>
        <w:t xml:space="preserve"> million tonnes and a productivity of </w:t>
      </w:r>
      <w:r w:rsidR="009331C8" w:rsidRPr="0081472D">
        <w:rPr>
          <w:rFonts w:ascii="Times New Roman" w:eastAsia="SimSun" w:hAnsi="Times New Roman" w:cs="Times New Roman"/>
          <w:sz w:val="24"/>
          <w:szCs w:val="24"/>
        </w:rPr>
        <w:t>2</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899</w:t>
      </w:r>
      <w:r w:rsidR="00715EF1" w:rsidRPr="0081472D">
        <w:rPr>
          <w:rFonts w:ascii="Times New Roman" w:eastAsia="SimSun" w:hAnsi="Times New Roman" w:cs="Times New Roman"/>
          <w:sz w:val="24"/>
          <w:szCs w:val="24"/>
        </w:rPr>
        <w:t xml:space="preserve"> </w:t>
      </w:r>
      <w:r w:rsidR="009331C8" w:rsidRPr="0081472D">
        <w:rPr>
          <w:rFonts w:ascii="Times New Roman" w:eastAsia="SimSun" w:hAnsi="Times New Roman" w:cs="Times New Roman"/>
          <w:sz w:val="24"/>
          <w:szCs w:val="24"/>
        </w:rPr>
        <w:t>kg</w:t>
      </w:r>
      <w:r w:rsidR="00715EF1" w:rsidRPr="0081472D">
        <w:rPr>
          <w:rFonts w:ascii="Times New Roman" w:eastAsia="SimSun" w:hAnsi="Times New Roman" w:cs="Times New Roman"/>
          <w:sz w:val="24"/>
          <w:szCs w:val="24"/>
        </w:rPr>
        <w:t xml:space="preserve">/ha. In Andhra Pradesh, </w:t>
      </w:r>
      <w:r w:rsidR="009331C8" w:rsidRPr="0081472D">
        <w:rPr>
          <w:rFonts w:ascii="Times New Roman" w:eastAsia="SimSun" w:hAnsi="Times New Roman" w:cs="Times New Roman"/>
          <w:sz w:val="24"/>
          <w:szCs w:val="24"/>
        </w:rPr>
        <w:t>paddy</w:t>
      </w:r>
      <w:r w:rsidR="00715EF1" w:rsidRPr="0081472D">
        <w:rPr>
          <w:rFonts w:ascii="Times New Roman" w:eastAsia="SimSun" w:hAnsi="Times New Roman" w:cs="Times New Roman"/>
          <w:sz w:val="24"/>
          <w:szCs w:val="24"/>
        </w:rPr>
        <w:t xml:space="preserve"> </w:t>
      </w:r>
      <w:proofErr w:type="spellStart"/>
      <w:r w:rsidR="00715EF1" w:rsidRPr="0081472D">
        <w:rPr>
          <w:rFonts w:ascii="Times New Roman" w:eastAsia="SimSun" w:hAnsi="Times New Roman" w:cs="Times New Roman"/>
          <w:sz w:val="24"/>
          <w:szCs w:val="24"/>
        </w:rPr>
        <w:t>occupie</w:t>
      </w:r>
      <w:proofErr w:type="spellEnd"/>
      <w:r w:rsidR="00715EF1" w:rsidRPr="0081472D">
        <w:rPr>
          <w:rFonts w:ascii="Times New Roman" w:eastAsia="SimSun" w:hAnsi="Times New Roman" w:cs="Times New Roman"/>
          <w:sz w:val="24"/>
          <w:szCs w:val="24"/>
          <w:lang w:val="en-US"/>
        </w:rPr>
        <w:t>d</w:t>
      </w:r>
      <w:r w:rsidR="00715EF1" w:rsidRPr="0081472D">
        <w:rPr>
          <w:rFonts w:ascii="Times New Roman" w:eastAsia="SimSun" w:hAnsi="Times New Roman" w:cs="Times New Roman"/>
          <w:sz w:val="24"/>
          <w:szCs w:val="24"/>
        </w:rPr>
        <w:t xml:space="preserve"> an area of </w:t>
      </w:r>
      <w:r w:rsidR="009331C8" w:rsidRPr="0081472D">
        <w:rPr>
          <w:rFonts w:ascii="Times New Roman" w:eastAsia="SimSun" w:hAnsi="Times New Roman" w:cs="Times New Roman"/>
          <w:sz w:val="24"/>
          <w:szCs w:val="24"/>
        </w:rPr>
        <w:t>20.75</w:t>
      </w:r>
      <w:r w:rsidR="00715EF1" w:rsidRPr="0081472D">
        <w:rPr>
          <w:rFonts w:ascii="Times New Roman" w:eastAsia="SimSun" w:hAnsi="Times New Roman" w:cs="Times New Roman"/>
          <w:sz w:val="24"/>
          <w:szCs w:val="24"/>
        </w:rPr>
        <w:t xml:space="preserve"> lakh ha with an annual production of </w:t>
      </w:r>
      <w:r w:rsidR="009331C8" w:rsidRPr="0081472D">
        <w:rPr>
          <w:rFonts w:ascii="Times New Roman" w:eastAsia="SimSun" w:hAnsi="Times New Roman" w:cs="Times New Roman"/>
          <w:sz w:val="24"/>
          <w:szCs w:val="24"/>
        </w:rPr>
        <w:t>80.16</w:t>
      </w:r>
      <w:r w:rsidR="00715EF1" w:rsidRPr="0081472D">
        <w:rPr>
          <w:rFonts w:ascii="Times New Roman" w:eastAsia="SimSun" w:hAnsi="Times New Roman" w:cs="Times New Roman"/>
          <w:sz w:val="24"/>
          <w:szCs w:val="24"/>
        </w:rPr>
        <w:t xml:space="preserve"> million tonnes and a productivity of </w:t>
      </w:r>
      <w:r w:rsidR="009331C8" w:rsidRPr="0081472D">
        <w:rPr>
          <w:rFonts w:ascii="Times New Roman" w:eastAsia="SimSun" w:hAnsi="Times New Roman" w:cs="Times New Roman"/>
          <w:sz w:val="24"/>
          <w:szCs w:val="24"/>
        </w:rPr>
        <w:t>3</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863 kg</w:t>
      </w:r>
      <w:r w:rsidR="00715EF1" w:rsidRPr="0081472D">
        <w:rPr>
          <w:rFonts w:ascii="Times New Roman" w:eastAsia="SimSun" w:hAnsi="Times New Roman" w:cs="Times New Roman"/>
          <w:sz w:val="24"/>
          <w:szCs w:val="24"/>
        </w:rPr>
        <w:t>/ha</w:t>
      </w:r>
      <w:r w:rsidR="00715EF1" w:rsidRPr="0081472D">
        <w:rPr>
          <w:rFonts w:ascii="Times New Roman" w:eastAsia="Times New Roman" w:hAnsi="Times New Roman" w:cs="Times New Roman"/>
          <w:kern w:val="0"/>
          <w:sz w:val="24"/>
          <w:szCs w:val="24"/>
          <w:lang w:val="en-US" w:bidi="te-IN"/>
          <w14:ligatures w14:val="none"/>
        </w:rPr>
        <w:t xml:space="preserve"> (</w:t>
      </w:r>
      <w:r w:rsidR="00715EF1" w:rsidRPr="0081472D">
        <w:rPr>
          <w:rFonts w:ascii="Times New Roman" w:eastAsia="Times New Roman" w:hAnsi="Times New Roman" w:cs="Times New Roman"/>
          <w:b/>
          <w:bCs/>
          <w:kern w:val="0"/>
          <w:sz w:val="24"/>
          <w:szCs w:val="24"/>
          <w:lang w:val="en-US" w:bidi="te-IN"/>
          <w14:ligatures w14:val="none"/>
        </w:rPr>
        <w:t>DAFW, GOI, 2025</w:t>
      </w:r>
      <w:r w:rsidR="00715EF1" w:rsidRPr="0081472D">
        <w:rPr>
          <w:rFonts w:ascii="Times New Roman" w:eastAsia="Times New Roman" w:hAnsi="Times New Roman" w:cs="Times New Roman"/>
          <w:kern w:val="0"/>
          <w:sz w:val="24"/>
          <w:szCs w:val="24"/>
          <w:lang w:val="en-US" w:bidi="te-IN"/>
          <w14:ligatures w14:val="none"/>
        </w:rPr>
        <w:t xml:space="preserve">). </w:t>
      </w:r>
    </w:p>
    <w:p w14:paraId="410604BE" w14:textId="77777777" w:rsidR="005E5BF6" w:rsidRPr="0081472D" w:rsidRDefault="00B94C78" w:rsidP="00DB7185">
      <w:pPr>
        <w:shd w:val="clear" w:color="auto" w:fill="FFFFFF"/>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The crop</w:t>
      </w:r>
      <w:r w:rsidR="005E5BF6" w:rsidRPr="0081472D">
        <w:rPr>
          <w:rFonts w:ascii="Times New Roman" w:hAnsi="Times New Roman" w:cs="Times New Roman"/>
          <w:sz w:val="24"/>
          <w:szCs w:val="24"/>
        </w:rPr>
        <w:t>’s</w:t>
      </w:r>
      <w:r w:rsidRPr="0081472D">
        <w:rPr>
          <w:rFonts w:ascii="Times New Roman" w:hAnsi="Times New Roman" w:cs="Times New Roman"/>
          <w:sz w:val="24"/>
          <w:szCs w:val="24"/>
        </w:rPr>
        <w:t xml:space="preserve"> growth and </w:t>
      </w:r>
      <w:r w:rsidR="00410C76" w:rsidRPr="0081472D">
        <w:rPr>
          <w:rFonts w:ascii="Times New Roman" w:hAnsi="Times New Roman" w:cs="Times New Roman"/>
          <w:sz w:val="24"/>
          <w:szCs w:val="24"/>
        </w:rPr>
        <w:t>productivity are highly affected</w:t>
      </w:r>
      <w:r w:rsidRPr="0081472D">
        <w:rPr>
          <w:rFonts w:ascii="Times New Roman" w:hAnsi="Times New Roman" w:cs="Times New Roman"/>
          <w:sz w:val="24"/>
          <w:szCs w:val="24"/>
        </w:rPr>
        <w:t xml:space="preserve"> by various biotic and abiotic factors. Biotic stresses include insect pests and diseases caused by </w:t>
      </w:r>
      <w:r w:rsidR="006315CB" w:rsidRPr="0081472D">
        <w:rPr>
          <w:rFonts w:ascii="Times New Roman" w:hAnsi="Times New Roman" w:cs="Times New Roman"/>
          <w:sz w:val="24"/>
          <w:szCs w:val="24"/>
        </w:rPr>
        <w:t>fungi, bacteria, viruses, phyto</w:t>
      </w:r>
      <w:r w:rsidRPr="0081472D">
        <w:rPr>
          <w:rFonts w:ascii="Times New Roman" w:hAnsi="Times New Roman" w:cs="Times New Roman"/>
          <w:sz w:val="24"/>
          <w:szCs w:val="24"/>
        </w:rPr>
        <w:t>plasmas and nematodes</w:t>
      </w:r>
      <w:r w:rsidR="006429A2" w:rsidRPr="0081472D">
        <w:rPr>
          <w:rFonts w:ascii="Times New Roman" w:hAnsi="Times New Roman" w:cs="Times New Roman"/>
          <w:sz w:val="24"/>
          <w:szCs w:val="24"/>
        </w:rPr>
        <w:t>.</w:t>
      </w:r>
      <w:r w:rsidR="00F872AF" w:rsidRPr="0081472D">
        <w:rPr>
          <w:rFonts w:ascii="Times New Roman" w:hAnsi="Times New Roman" w:cs="Times New Roman"/>
          <w:sz w:val="24"/>
          <w:szCs w:val="24"/>
        </w:rPr>
        <w:t xml:space="preserve"> </w:t>
      </w:r>
      <w:r w:rsidRPr="0081472D">
        <w:rPr>
          <w:rFonts w:ascii="Times New Roman" w:hAnsi="Times New Roman" w:cs="Times New Roman"/>
          <w:sz w:val="24"/>
          <w:szCs w:val="24"/>
        </w:rPr>
        <w:t>Abiotic stresses</w:t>
      </w:r>
      <w:r w:rsidR="006315CB" w:rsidRPr="0081472D">
        <w:rPr>
          <w:rFonts w:ascii="Times New Roman" w:hAnsi="Times New Roman" w:cs="Times New Roman"/>
          <w:sz w:val="24"/>
          <w:szCs w:val="24"/>
        </w:rPr>
        <w:t xml:space="preserve"> such as</w:t>
      </w:r>
      <w:r w:rsidRPr="0081472D">
        <w:rPr>
          <w:rFonts w:ascii="Times New Roman" w:hAnsi="Times New Roman" w:cs="Times New Roman"/>
          <w:sz w:val="24"/>
          <w:szCs w:val="24"/>
        </w:rPr>
        <w:t xml:space="preserve"> drought, cold, heat, chemical</w:t>
      </w:r>
      <w:r w:rsidR="006315CB" w:rsidRPr="0081472D">
        <w:rPr>
          <w:rFonts w:ascii="Times New Roman" w:hAnsi="Times New Roman" w:cs="Times New Roman"/>
          <w:sz w:val="24"/>
          <w:szCs w:val="24"/>
        </w:rPr>
        <w:t xml:space="preserve"> injury, salinity and other non-</w:t>
      </w:r>
      <w:r w:rsidRPr="0081472D">
        <w:rPr>
          <w:rFonts w:ascii="Times New Roman" w:hAnsi="Times New Roman" w:cs="Times New Roman"/>
          <w:sz w:val="24"/>
          <w:szCs w:val="24"/>
        </w:rPr>
        <w:t>parasitic disorders also responsible for significant reduction in production and productivity</w:t>
      </w:r>
      <w:r w:rsidR="006315CB" w:rsidRPr="0081472D">
        <w:rPr>
          <w:rFonts w:ascii="Times New Roman" w:hAnsi="Times New Roman" w:cs="Times New Roman"/>
          <w:sz w:val="24"/>
          <w:szCs w:val="24"/>
        </w:rPr>
        <w:t xml:space="preserve"> of </w:t>
      </w:r>
      <w:proofErr w:type="gramStart"/>
      <w:r w:rsidR="006315CB" w:rsidRPr="0081472D">
        <w:rPr>
          <w:rFonts w:ascii="Times New Roman" w:hAnsi="Times New Roman" w:cs="Times New Roman"/>
          <w:sz w:val="24"/>
          <w:szCs w:val="24"/>
        </w:rPr>
        <w:t>paddy</w:t>
      </w:r>
      <w:r w:rsidR="006429A2" w:rsidRPr="0081472D">
        <w:rPr>
          <w:rFonts w:ascii="Times New Roman" w:hAnsi="Times New Roman" w:cs="Times New Roman"/>
          <w:sz w:val="24"/>
          <w:szCs w:val="24"/>
        </w:rPr>
        <w:t>(</w:t>
      </w:r>
      <w:proofErr w:type="gramEnd"/>
      <w:r w:rsidR="006429A2" w:rsidRPr="0081472D">
        <w:rPr>
          <w:rFonts w:ascii="Times New Roman" w:hAnsi="Times New Roman" w:cs="Times New Roman"/>
          <w:b/>
          <w:bCs/>
          <w:sz w:val="24"/>
          <w:szCs w:val="24"/>
        </w:rPr>
        <w:t xml:space="preserve">Hollier </w:t>
      </w:r>
      <w:r w:rsidR="006429A2" w:rsidRPr="0081472D">
        <w:rPr>
          <w:rFonts w:ascii="Times New Roman" w:hAnsi="Times New Roman" w:cs="Times New Roman"/>
          <w:b/>
          <w:bCs/>
          <w:i/>
          <w:iCs/>
          <w:sz w:val="24"/>
          <w:szCs w:val="24"/>
        </w:rPr>
        <w:t>et al</w:t>
      </w:r>
      <w:r w:rsidR="006429A2" w:rsidRPr="0081472D">
        <w:rPr>
          <w:rFonts w:ascii="Times New Roman" w:hAnsi="Times New Roman" w:cs="Times New Roman"/>
          <w:b/>
          <w:bCs/>
          <w:sz w:val="24"/>
          <w:szCs w:val="24"/>
        </w:rPr>
        <w:t>., 1984)</w:t>
      </w:r>
      <w:r w:rsidR="006429A2" w:rsidRPr="0081472D">
        <w:rPr>
          <w:rFonts w:ascii="Times New Roman" w:hAnsi="Times New Roman" w:cs="Times New Roman"/>
          <w:sz w:val="24"/>
          <w:szCs w:val="24"/>
        </w:rPr>
        <w:t>.</w:t>
      </w:r>
      <w:r w:rsidRPr="0081472D">
        <w:rPr>
          <w:rFonts w:ascii="Times New Roman" w:hAnsi="Times New Roman" w:cs="Times New Roman"/>
          <w:sz w:val="24"/>
          <w:szCs w:val="24"/>
        </w:rPr>
        <w:t xml:space="preserve">. </w:t>
      </w:r>
    </w:p>
    <w:p w14:paraId="1EF0CB96" w14:textId="77777777" w:rsidR="00416F31" w:rsidRPr="0081472D" w:rsidRDefault="00FC759E" w:rsidP="00DB7185">
      <w:pPr>
        <w:shd w:val="clear" w:color="auto" w:fill="FFFFFF"/>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The important f</w:t>
      </w:r>
      <w:r w:rsidR="00B94C78" w:rsidRPr="0081472D">
        <w:rPr>
          <w:rFonts w:ascii="Times New Roman" w:hAnsi="Times New Roman" w:cs="Times New Roman"/>
          <w:sz w:val="24"/>
          <w:szCs w:val="24"/>
        </w:rPr>
        <w:t xml:space="preserve">ungal diseases like, </w:t>
      </w:r>
      <w:r w:rsidR="00222901" w:rsidRPr="0081472D">
        <w:rPr>
          <w:rFonts w:ascii="Times New Roman" w:hAnsi="Times New Roman" w:cs="Times New Roman"/>
          <w:sz w:val="24"/>
          <w:szCs w:val="24"/>
        </w:rPr>
        <w:t xml:space="preserve">blast, sheath blight, brown spot, </w:t>
      </w:r>
      <w:proofErr w:type="spellStart"/>
      <w:r w:rsidR="00222901" w:rsidRPr="0081472D">
        <w:rPr>
          <w:rFonts w:ascii="Times New Roman" w:hAnsi="Times New Roman" w:cs="Times New Roman"/>
          <w:sz w:val="24"/>
          <w:szCs w:val="24"/>
        </w:rPr>
        <w:t>bakanae</w:t>
      </w:r>
      <w:proofErr w:type="spellEnd"/>
      <w:r w:rsidR="00222901" w:rsidRPr="0081472D">
        <w:rPr>
          <w:rFonts w:ascii="Times New Roman" w:hAnsi="Times New Roman" w:cs="Times New Roman"/>
          <w:sz w:val="24"/>
          <w:szCs w:val="24"/>
        </w:rPr>
        <w:t xml:space="preserve"> or foot</w:t>
      </w:r>
      <w:r w:rsidR="00222901" w:rsidRPr="0081472D">
        <w:rPr>
          <w:rFonts w:ascii="Times New Roman" w:hAnsi="Times New Roman" w:cs="Times New Roman"/>
          <w:sz w:val="24"/>
          <w:szCs w:val="24"/>
        </w:rPr>
        <w:noBreakHyphen/>
        <w:t>rot, sheath rot</w:t>
      </w:r>
      <w:r w:rsidR="000C4C86" w:rsidRPr="0081472D">
        <w:rPr>
          <w:rFonts w:ascii="Times New Roman" w:hAnsi="Times New Roman" w:cs="Times New Roman"/>
          <w:sz w:val="24"/>
          <w:szCs w:val="24"/>
        </w:rPr>
        <w:t>,</w:t>
      </w:r>
      <w:r w:rsidR="00222901" w:rsidRPr="0081472D">
        <w:rPr>
          <w:rFonts w:ascii="Times New Roman" w:hAnsi="Times New Roman" w:cs="Times New Roman"/>
          <w:sz w:val="24"/>
          <w:szCs w:val="24"/>
        </w:rPr>
        <w:t xml:space="preserve"> leaf scald, narrow leaf spot, leaf smut and </w:t>
      </w:r>
      <w:proofErr w:type="spellStart"/>
      <w:r w:rsidR="00222901" w:rsidRPr="0081472D">
        <w:rPr>
          <w:rFonts w:ascii="Times New Roman" w:hAnsi="Times New Roman" w:cs="Times New Roman"/>
          <w:sz w:val="24"/>
          <w:szCs w:val="24"/>
        </w:rPr>
        <w:t>udbatta</w:t>
      </w:r>
      <w:proofErr w:type="spellEnd"/>
      <w:r w:rsidR="00222901" w:rsidRPr="0081472D">
        <w:rPr>
          <w:rFonts w:ascii="Times New Roman" w:hAnsi="Times New Roman" w:cs="Times New Roman"/>
          <w:sz w:val="24"/>
          <w:szCs w:val="24"/>
        </w:rPr>
        <w:t xml:space="preserve"> disease. Bacterial diseases such as bacterial leaf blight and bacterial leaf streak are of economic importance. The viral disease rice </w:t>
      </w:r>
      <w:proofErr w:type="spellStart"/>
      <w:r w:rsidR="00222901" w:rsidRPr="0081472D">
        <w:rPr>
          <w:rFonts w:ascii="Times New Roman" w:hAnsi="Times New Roman" w:cs="Times New Roman"/>
          <w:sz w:val="24"/>
          <w:szCs w:val="24"/>
        </w:rPr>
        <w:t>tungro</w:t>
      </w:r>
      <w:proofErr w:type="spellEnd"/>
      <w:r w:rsidR="00222901" w:rsidRPr="0081472D">
        <w:rPr>
          <w:rFonts w:ascii="Times New Roman" w:hAnsi="Times New Roman" w:cs="Times New Roman"/>
          <w:sz w:val="24"/>
          <w:szCs w:val="24"/>
        </w:rPr>
        <w:t xml:space="preserve"> is especially prevalent and destructive under Indian conditions (</w:t>
      </w:r>
      <w:proofErr w:type="spellStart"/>
      <w:r w:rsidR="00222901" w:rsidRPr="0081472D">
        <w:rPr>
          <w:rFonts w:ascii="Times New Roman" w:hAnsi="Times New Roman" w:cs="Times New Roman"/>
          <w:b/>
          <w:bCs/>
          <w:sz w:val="24"/>
          <w:szCs w:val="24"/>
        </w:rPr>
        <w:t>Hosagoudar</w:t>
      </w:r>
      <w:proofErr w:type="spellEnd"/>
      <w:r w:rsidR="00222901" w:rsidRPr="0081472D">
        <w:rPr>
          <w:rFonts w:ascii="Times New Roman" w:hAnsi="Times New Roman" w:cs="Times New Roman"/>
          <w:b/>
          <w:bCs/>
          <w:sz w:val="24"/>
          <w:szCs w:val="24"/>
        </w:rPr>
        <w:t>, 2018)</w:t>
      </w:r>
      <w:r w:rsidR="00222901" w:rsidRPr="0081472D">
        <w:rPr>
          <w:rFonts w:ascii="Times New Roman" w:hAnsi="Times New Roman" w:cs="Times New Roman"/>
          <w:sz w:val="24"/>
          <w:szCs w:val="24"/>
        </w:rPr>
        <w:t>.</w:t>
      </w:r>
      <w:r w:rsidR="00F872AF" w:rsidRPr="0081472D">
        <w:rPr>
          <w:rFonts w:ascii="Times New Roman" w:eastAsia="Times New Roman" w:hAnsi="Times New Roman" w:cs="Times New Roman"/>
          <w:kern w:val="0"/>
          <w:sz w:val="24"/>
          <w:szCs w:val="24"/>
          <w:lang w:val="en-US" w:bidi="te-IN"/>
          <w14:ligatures w14:val="none"/>
        </w:rPr>
        <w:t xml:space="preserve"> </w:t>
      </w:r>
      <w:r w:rsidR="001F42B4" w:rsidRPr="0081472D">
        <w:rPr>
          <w:rFonts w:ascii="Times New Roman" w:hAnsi="Times New Roman" w:cs="Times New Roman"/>
          <w:b/>
          <w:bCs/>
          <w:sz w:val="24"/>
          <w:szCs w:val="24"/>
        </w:rPr>
        <w:t xml:space="preserve">Kumar and </w:t>
      </w:r>
      <w:proofErr w:type="spellStart"/>
      <w:r w:rsidR="001F42B4" w:rsidRPr="0081472D">
        <w:rPr>
          <w:rFonts w:ascii="Times New Roman" w:hAnsi="Times New Roman" w:cs="Times New Roman"/>
          <w:b/>
          <w:bCs/>
          <w:sz w:val="24"/>
          <w:szCs w:val="24"/>
        </w:rPr>
        <w:t>Veerabhadraswamy</w:t>
      </w:r>
      <w:proofErr w:type="spellEnd"/>
      <w:r w:rsidR="001F42B4" w:rsidRPr="0081472D">
        <w:rPr>
          <w:rFonts w:ascii="Times New Roman" w:hAnsi="Times New Roman" w:cs="Times New Roman"/>
          <w:b/>
          <w:bCs/>
          <w:sz w:val="24"/>
          <w:szCs w:val="24"/>
        </w:rPr>
        <w:t xml:space="preserve"> (2014)</w:t>
      </w:r>
      <w:r w:rsidR="001F42B4" w:rsidRPr="0081472D">
        <w:rPr>
          <w:rFonts w:ascii="Times New Roman" w:hAnsi="Times New Roman" w:cs="Times New Roman"/>
          <w:sz w:val="24"/>
          <w:szCs w:val="24"/>
        </w:rPr>
        <w:t xml:space="preserve"> </w:t>
      </w:r>
      <w:r w:rsidR="00416F31" w:rsidRPr="0081472D">
        <w:rPr>
          <w:rFonts w:ascii="Times New Roman" w:hAnsi="Times New Roman" w:cs="Times New Roman"/>
          <w:sz w:val="24"/>
          <w:szCs w:val="24"/>
        </w:rPr>
        <w:t xml:space="preserve">reported that the total yield losses due to diseases in </w:t>
      </w:r>
      <w:r w:rsidR="009A2CFB" w:rsidRPr="0081472D">
        <w:rPr>
          <w:rFonts w:ascii="Times New Roman" w:hAnsi="Times New Roman" w:cs="Times New Roman"/>
          <w:sz w:val="24"/>
          <w:szCs w:val="24"/>
        </w:rPr>
        <w:t>paddy</w:t>
      </w:r>
      <w:r w:rsidR="00416F31" w:rsidRPr="0081472D">
        <w:rPr>
          <w:rFonts w:ascii="Times New Roman" w:hAnsi="Times New Roman" w:cs="Times New Roman"/>
          <w:sz w:val="24"/>
          <w:szCs w:val="24"/>
        </w:rPr>
        <w:t xml:space="preserve"> were approximately </w:t>
      </w:r>
      <w:r w:rsidR="00222901" w:rsidRPr="0081472D">
        <w:rPr>
          <w:rFonts w:ascii="Times New Roman" w:hAnsi="Times New Roman" w:cs="Times New Roman"/>
          <w:sz w:val="24"/>
          <w:szCs w:val="24"/>
        </w:rPr>
        <w:t xml:space="preserve">35% from blast, 25% from sheath blight, 20% from bacterial leaf blight, 10% from </w:t>
      </w:r>
      <w:proofErr w:type="spellStart"/>
      <w:r w:rsidR="00222901" w:rsidRPr="0081472D">
        <w:rPr>
          <w:rFonts w:ascii="Times New Roman" w:hAnsi="Times New Roman" w:cs="Times New Roman"/>
          <w:sz w:val="24"/>
          <w:szCs w:val="24"/>
        </w:rPr>
        <w:t>tungro</w:t>
      </w:r>
      <w:proofErr w:type="spellEnd"/>
      <w:r w:rsidR="00222901" w:rsidRPr="0081472D">
        <w:rPr>
          <w:rFonts w:ascii="Times New Roman" w:hAnsi="Times New Roman" w:cs="Times New Roman"/>
          <w:sz w:val="24"/>
          <w:szCs w:val="24"/>
        </w:rPr>
        <w:t xml:space="preserve"> virus, and the remaining 10% from other diseases</w:t>
      </w:r>
      <w:r w:rsidR="00416F31" w:rsidRPr="0081472D">
        <w:rPr>
          <w:rFonts w:ascii="Times New Roman" w:hAnsi="Times New Roman" w:cs="Times New Roman"/>
          <w:sz w:val="24"/>
          <w:szCs w:val="24"/>
        </w:rPr>
        <w:t>.</w:t>
      </w:r>
    </w:p>
    <w:p w14:paraId="16BEF5D0" w14:textId="77777777" w:rsidR="00266A2A" w:rsidRPr="0081472D" w:rsidRDefault="00932BEE" w:rsidP="00DB7185">
      <w:pPr>
        <w:shd w:val="clear" w:color="auto" w:fill="FFFFFF"/>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 xml:space="preserve">Recently in </w:t>
      </w:r>
      <w:r w:rsidR="00291634" w:rsidRPr="0081472D">
        <w:rPr>
          <w:rFonts w:ascii="Times New Roman" w:hAnsi="Times New Roman" w:cs="Times New Roman"/>
          <w:sz w:val="24"/>
          <w:szCs w:val="24"/>
        </w:rPr>
        <w:t>India</w:t>
      </w:r>
      <w:r w:rsidRPr="0081472D">
        <w:rPr>
          <w:rFonts w:ascii="Times New Roman" w:hAnsi="Times New Roman" w:cs="Times New Roman"/>
          <w:sz w:val="24"/>
          <w:szCs w:val="24"/>
        </w:rPr>
        <w:t xml:space="preserve">, sheath blight and false smut diseases </w:t>
      </w:r>
      <w:r w:rsidR="00145AA6" w:rsidRPr="0081472D">
        <w:rPr>
          <w:rFonts w:ascii="Times New Roman" w:hAnsi="Times New Roman" w:cs="Times New Roman"/>
          <w:sz w:val="24"/>
          <w:szCs w:val="24"/>
        </w:rPr>
        <w:t>have caused</w:t>
      </w:r>
      <w:r w:rsidRPr="0081472D">
        <w:rPr>
          <w:rFonts w:ascii="Times New Roman" w:hAnsi="Times New Roman" w:cs="Times New Roman"/>
          <w:sz w:val="24"/>
          <w:szCs w:val="24"/>
        </w:rPr>
        <w:t xml:space="preserve"> severe yield losses </w:t>
      </w:r>
      <w:r w:rsidR="00291634" w:rsidRPr="0081472D">
        <w:rPr>
          <w:rFonts w:ascii="Times New Roman" w:hAnsi="Times New Roman" w:cs="Times New Roman"/>
          <w:sz w:val="24"/>
          <w:szCs w:val="24"/>
        </w:rPr>
        <w:t>in all the paddy growing states</w:t>
      </w:r>
      <w:r w:rsidR="00297E7B" w:rsidRPr="0081472D">
        <w:rPr>
          <w:rFonts w:ascii="Times New Roman" w:hAnsi="Times New Roman" w:cs="Times New Roman"/>
          <w:sz w:val="24"/>
          <w:szCs w:val="24"/>
        </w:rPr>
        <w:t xml:space="preserve"> due to the climate change and injudicious use of fertilizers and pesticides</w:t>
      </w:r>
      <w:r w:rsidR="0028063E" w:rsidRPr="0081472D">
        <w:rPr>
          <w:rFonts w:ascii="Times New Roman" w:hAnsi="Times New Roman" w:cs="Times New Roman"/>
          <w:b/>
          <w:bCs/>
          <w:sz w:val="24"/>
          <w:szCs w:val="24"/>
        </w:rPr>
        <w:t xml:space="preserve"> </w:t>
      </w:r>
      <w:r w:rsidR="00145AA6" w:rsidRPr="0081472D">
        <w:rPr>
          <w:rFonts w:ascii="Times New Roman" w:hAnsi="Times New Roman" w:cs="Times New Roman"/>
          <w:b/>
          <w:bCs/>
          <w:sz w:val="24"/>
          <w:szCs w:val="24"/>
        </w:rPr>
        <w:t>(</w:t>
      </w:r>
      <w:proofErr w:type="spellStart"/>
      <w:r w:rsidR="0028063E" w:rsidRPr="0081472D">
        <w:rPr>
          <w:rFonts w:ascii="Times New Roman" w:hAnsi="Times New Roman" w:cs="Times New Roman"/>
          <w:b/>
          <w:bCs/>
          <w:sz w:val="24"/>
          <w:szCs w:val="24"/>
        </w:rPr>
        <w:t>Dodan</w:t>
      </w:r>
      <w:proofErr w:type="spellEnd"/>
      <w:r w:rsidR="0028063E" w:rsidRPr="0081472D">
        <w:rPr>
          <w:rFonts w:ascii="Times New Roman" w:hAnsi="Times New Roman" w:cs="Times New Roman"/>
          <w:b/>
          <w:bCs/>
          <w:sz w:val="24"/>
          <w:szCs w:val="24"/>
        </w:rPr>
        <w:t xml:space="preserve"> and</w:t>
      </w:r>
      <w:r w:rsidR="00145AA6" w:rsidRPr="0081472D">
        <w:rPr>
          <w:rFonts w:ascii="Times New Roman" w:hAnsi="Times New Roman" w:cs="Times New Roman"/>
          <w:b/>
          <w:bCs/>
          <w:sz w:val="24"/>
          <w:szCs w:val="24"/>
        </w:rPr>
        <w:t xml:space="preserve"> Singh 1996;</w:t>
      </w:r>
      <w:r w:rsidR="00130034" w:rsidRPr="0081472D">
        <w:rPr>
          <w:rFonts w:ascii="Times New Roman" w:hAnsi="Times New Roman" w:cs="Times New Roman"/>
          <w:b/>
          <w:bCs/>
          <w:sz w:val="24"/>
          <w:szCs w:val="24"/>
        </w:rPr>
        <w:t xml:space="preserve"> </w:t>
      </w:r>
      <w:proofErr w:type="spellStart"/>
      <w:r w:rsidR="00130034" w:rsidRPr="0081472D">
        <w:rPr>
          <w:rFonts w:ascii="Times New Roman" w:hAnsi="Times New Roman" w:cs="Times New Roman"/>
          <w:b/>
          <w:bCs/>
          <w:sz w:val="24"/>
          <w:szCs w:val="24"/>
        </w:rPr>
        <w:t>Mandhare</w:t>
      </w:r>
      <w:proofErr w:type="spellEnd"/>
      <w:r w:rsidR="00130034" w:rsidRPr="0081472D">
        <w:rPr>
          <w:rFonts w:ascii="Times New Roman" w:hAnsi="Times New Roman" w:cs="Times New Roman"/>
          <w:b/>
          <w:bCs/>
          <w:sz w:val="24"/>
          <w:szCs w:val="24"/>
        </w:rPr>
        <w:t xml:space="preserve"> </w:t>
      </w:r>
      <w:r w:rsidR="00130034" w:rsidRPr="0081472D">
        <w:rPr>
          <w:rFonts w:ascii="Times New Roman" w:hAnsi="Times New Roman" w:cs="Times New Roman"/>
          <w:b/>
          <w:bCs/>
          <w:i/>
          <w:iCs/>
          <w:sz w:val="24"/>
          <w:szCs w:val="24"/>
        </w:rPr>
        <w:t>et al</w:t>
      </w:r>
      <w:r w:rsidR="00130034" w:rsidRPr="0081472D">
        <w:rPr>
          <w:rFonts w:ascii="Times New Roman" w:hAnsi="Times New Roman" w:cs="Times New Roman"/>
          <w:b/>
          <w:bCs/>
          <w:sz w:val="24"/>
          <w:szCs w:val="24"/>
        </w:rPr>
        <w:t xml:space="preserve">., </w:t>
      </w:r>
      <w:r w:rsidR="0028063E" w:rsidRPr="0081472D">
        <w:rPr>
          <w:rFonts w:ascii="Times New Roman" w:hAnsi="Times New Roman" w:cs="Times New Roman"/>
          <w:b/>
          <w:bCs/>
          <w:sz w:val="24"/>
          <w:szCs w:val="24"/>
        </w:rPr>
        <w:t>2008</w:t>
      </w:r>
      <w:r w:rsidR="00145AA6" w:rsidRPr="0081472D">
        <w:rPr>
          <w:rFonts w:ascii="Times New Roman" w:hAnsi="Times New Roman" w:cs="Times New Roman"/>
          <w:sz w:val="24"/>
          <w:szCs w:val="24"/>
        </w:rPr>
        <w:t>;</w:t>
      </w:r>
      <w:r w:rsidR="00130034" w:rsidRPr="0081472D">
        <w:rPr>
          <w:rFonts w:ascii="Times New Roman" w:hAnsi="Times New Roman" w:cs="Times New Roman"/>
          <w:b/>
          <w:bCs/>
          <w:sz w:val="24"/>
          <w:szCs w:val="24"/>
        </w:rPr>
        <w:t xml:space="preserve"> Lu </w:t>
      </w:r>
      <w:r w:rsidR="00130034" w:rsidRPr="0081472D">
        <w:rPr>
          <w:rFonts w:ascii="Times New Roman" w:hAnsi="Times New Roman" w:cs="Times New Roman"/>
          <w:b/>
          <w:bCs/>
          <w:i/>
          <w:iCs/>
          <w:sz w:val="24"/>
          <w:szCs w:val="24"/>
        </w:rPr>
        <w:t>et al</w:t>
      </w:r>
      <w:r w:rsidR="00130034" w:rsidRPr="0081472D">
        <w:rPr>
          <w:rFonts w:ascii="Times New Roman" w:hAnsi="Times New Roman" w:cs="Times New Roman"/>
          <w:b/>
          <w:bCs/>
          <w:sz w:val="24"/>
          <w:szCs w:val="24"/>
        </w:rPr>
        <w:t>., 2009</w:t>
      </w:r>
      <w:r w:rsidR="00145AA6" w:rsidRPr="0081472D">
        <w:rPr>
          <w:rFonts w:ascii="Times New Roman" w:hAnsi="Times New Roman" w:cs="Times New Roman"/>
          <w:b/>
          <w:bCs/>
          <w:sz w:val="24"/>
          <w:szCs w:val="24"/>
        </w:rPr>
        <w:t>)</w:t>
      </w:r>
      <w:r w:rsidR="0028063E" w:rsidRPr="0081472D">
        <w:rPr>
          <w:rFonts w:ascii="Times New Roman" w:hAnsi="Times New Roman" w:cs="Times New Roman"/>
          <w:sz w:val="24"/>
          <w:szCs w:val="24"/>
        </w:rPr>
        <w:t>.</w:t>
      </w:r>
      <w:r w:rsidR="003B2BD0" w:rsidRPr="0081472D">
        <w:rPr>
          <w:rFonts w:ascii="Times New Roman" w:hAnsi="Times New Roman" w:cs="Times New Roman"/>
          <w:sz w:val="24"/>
          <w:szCs w:val="24"/>
        </w:rPr>
        <w:t xml:space="preserve"> </w:t>
      </w:r>
      <w:r w:rsidR="00584149" w:rsidRPr="0081472D">
        <w:rPr>
          <w:rFonts w:ascii="Times New Roman" w:hAnsi="Times New Roman" w:cs="Times New Roman"/>
          <w:sz w:val="24"/>
          <w:szCs w:val="24"/>
        </w:rPr>
        <w:lastRenderedPageBreak/>
        <w:t xml:space="preserve">According to </w:t>
      </w:r>
      <w:r w:rsidR="00584149" w:rsidRPr="0081472D">
        <w:rPr>
          <w:rFonts w:ascii="Times New Roman" w:hAnsi="Times New Roman" w:cs="Times New Roman"/>
          <w:b/>
          <w:bCs/>
          <w:sz w:val="24"/>
          <w:szCs w:val="24"/>
        </w:rPr>
        <w:t xml:space="preserve">Chahal </w:t>
      </w:r>
      <w:r w:rsidR="00584149" w:rsidRPr="0081472D">
        <w:rPr>
          <w:rFonts w:ascii="Times New Roman" w:hAnsi="Times New Roman" w:cs="Times New Roman"/>
          <w:b/>
          <w:bCs/>
          <w:i/>
          <w:iCs/>
          <w:sz w:val="24"/>
          <w:szCs w:val="24"/>
        </w:rPr>
        <w:t>et al</w:t>
      </w:r>
      <w:r w:rsidR="00584149" w:rsidRPr="0081472D">
        <w:rPr>
          <w:rFonts w:ascii="Times New Roman" w:hAnsi="Times New Roman" w:cs="Times New Roman"/>
          <w:b/>
          <w:bCs/>
          <w:sz w:val="24"/>
          <w:szCs w:val="24"/>
        </w:rPr>
        <w:t>. (2003)</w:t>
      </w:r>
      <w:r w:rsidR="002E302E" w:rsidRPr="0081472D">
        <w:rPr>
          <w:rFonts w:ascii="Times New Roman" w:hAnsi="Times New Roman" w:cs="Times New Roman"/>
          <w:b/>
          <w:bCs/>
          <w:sz w:val="24"/>
          <w:szCs w:val="24"/>
        </w:rPr>
        <w:t>,</w:t>
      </w:r>
      <w:r w:rsidR="00584149" w:rsidRPr="0081472D">
        <w:rPr>
          <w:rFonts w:ascii="Times New Roman" w:hAnsi="Times New Roman" w:cs="Times New Roman"/>
          <w:sz w:val="24"/>
          <w:szCs w:val="24"/>
        </w:rPr>
        <w:t xml:space="preserve"> the </w:t>
      </w:r>
      <w:r w:rsidR="002E302E" w:rsidRPr="0081472D">
        <w:rPr>
          <w:rFonts w:ascii="Times New Roman" w:hAnsi="Times New Roman" w:cs="Times New Roman"/>
          <w:sz w:val="24"/>
          <w:szCs w:val="24"/>
        </w:rPr>
        <w:t>yield</w:t>
      </w:r>
      <w:r w:rsidR="00584149" w:rsidRPr="0081472D">
        <w:rPr>
          <w:rFonts w:ascii="Times New Roman" w:hAnsi="Times New Roman" w:cs="Times New Roman"/>
          <w:sz w:val="24"/>
          <w:szCs w:val="24"/>
        </w:rPr>
        <w:t xml:space="preserve"> losses due to sheath blight of </w:t>
      </w:r>
      <w:r w:rsidR="003B2BD0" w:rsidRPr="0081472D">
        <w:rPr>
          <w:rFonts w:ascii="Times New Roman" w:hAnsi="Times New Roman" w:cs="Times New Roman"/>
          <w:sz w:val="24"/>
          <w:szCs w:val="24"/>
        </w:rPr>
        <w:t>paddy</w:t>
      </w:r>
      <w:r w:rsidR="00584149" w:rsidRPr="0081472D">
        <w:rPr>
          <w:rFonts w:ascii="Times New Roman" w:hAnsi="Times New Roman" w:cs="Times New Roman"/>
          <w:sz w:val="24"/>
          <w:szCs w:val="24"/>
        </w:rPr>
        <w:t xml:space="preserve"> in India has been reported up to 54.3</w:t>
      </w:r>
      <w:r w:rsidR="002E302E" w:rsidRPr="0081472D">
        <w:rPr>
          <w:rFonts w:ascii="Times New Roman" w:hAnsi="Times New Roman" w:cs="Times New Roman"/>
          <w:sz w:val="24"/>
          <w:szCs w:val="24"/>
        </w:rPr>
        <w:t>0%</w:t>
      </w:r>
      <w:r w:rsidR="00584149" w:rsidRPr="0081472D">
        <w:rPr>
          <w:rFonts w:ascii="Times New Roman" w:hAnsi="Times New Roman" w:cs="Times New Roman"/>
          <w:sz w:val="24"/>
          <w:szCs w:val="24"/>
        </w:rPr>
        <w:t xml:space="preserve">. </w:t>
      </w:r>
      <w:r w:rsidR="00D02E47" w:rsidRPr="0081472D">
        <w:rPr>
          <w:rFonts w:ascii="Times New Roman" w:hAnsi="Times New Roman" w:cs="Times New Roman"/>
          <w:sz w:val="24"/>
          <w:szCs w:val="24"/>
        </w:rPr>
        <w:t>False smut is an important devastating disease causing yield losses from 1</w:t>
      </w:r>
      <w:r w:rsidR="002E302E" w:rsidRPr="0081472D">
        <w:rPr>
          <w:rFonts w:ascii="Times New Roman" w:hAnsi="Times New Roman" w:cs="Times New Roman"/>
          <w:sz w:val="24"/>
          <w:szCs w:val="24"/>
        </w:rPr>
        <w:t>%</w:t>
      </w:r>
      <w:r w:rsidR="00D02E47" w:rsidRPr="0081472D">
        <w:rPr>
          <w:rFonts w:ascii="Times New Roman" w:hAnsi="Times New Roman" w:cs="Times New Roman"/>
          <w:sz w:val="24"/>
          <w:szCs w:val="24"/>
        </w:rPr>
        <w:t xml:space="preserve"> to 11</w:t>
      </w:r>
      <w:r w:rsidR="002E302E" w:rsidRPr="0081472D">
        <w:rPr>
          <w:rFonts w:ascii="Times New Roman" w:hAnsi="Times New Roman" w:cs="Times New Roman"/>
          <w:sz w:val="24"/>
          <w:szCs w:val="24"/>
        </w:rPr>
        <w:t>%</w:t>
      </w:r>
      <w:r w:rsidR="00D02E47" w:rsidRPr="0081472D">
        <w:rPr>
          <w:rFonts w:ascii="Times New Roman" w:hAnsi="Times New Roman" w:cs="Times New Roman"/>
          <w:sz w:val="24"/>
          <w:szCs w:val="24"/>
        </w:rPr>
        <w:t xml:space="preserve"> </w:t>
      </w:r>
      <w:r w:rsidR="00D02E47" w:rsidRPr="0081472D">
        <w:rPr>
          <w:rFonts w:ascii="Times New Roman" w:hAnsi="Times New Roman" w:cs="Times New Roman"/>
          <w:b/>
          <w:bCs/>
          <w:sz w:val="24"/>
          <w:szCs w:val="24"/>
        </w:rPr>
        <w:t>(Atia, 2004).</w:t>
      </w:r>
      <w:r w:rsidR="00D02E47" w:rsidRPr="0081472D">
        <w:rPr>
          <w:rFonts w:ascii="Times New Roman" w:hAnsi="Times New Roman" w:cs="Times New Roman"/>
          <w:sz w:val="24"/>
          <w:szCs w:val="24"/>
        </w:rPr>
        <w:t xml:space="preserve"> The </w:t>
      </w:r>
      <w:r w:rsidR="00730878" w:rsidRPr="0081472D">
        <w:rPr>
          <w:rFonts w:ascii="Times New Roman" w:hAnsi="Times New Roman" w:cs="Times New Roman"/>
          <w:sz w:val="24"/>
          <w:szCs w:val="24"/>
        </w:rPr>
        <w:t xml:space="preserve">level of false smut </w:t>
      </w:r>
      <w:r w:rsidR="00130034" w:rsidRPr="0081472D">
        <w:rPr>
          <w:rFonts w:ascii="Times New Roman" w:hAnsi="Times New Roman" w:cs="Times New Roman"/>
          <w:sz w:val="24"/>
          <w:szCs w:val="24"/>
        </w:rPr>
        <w:t>d</w:t>
      </w:r>
      <w:r w:rsidR="00D901B9" w:rsidRPr="0081472D">
        <w:rPr>
          <w:rFonts w:ascii="Times New Roman" w:hAnsi="Times New Roman" w:cs="Times New Roman"/>
          <w:sz w:val="24"/>
          <w:szCs w:val="24"/>
        </w:rPr>
        <w:t xml:space="preserve">isease incidence </w:t>
      </w:r>
      <w:r w:rsidR="00730878" w:rsidRPr="0081472D">
        <w:rPr>
          <w:rFonts w:ascii="Times New Roman" w:hAnsi="Times New Roman" w:cs="Times New Roman"/>
          <w:sz w:val="24"/>
          <w:szCs w:val="24"/>
        </w:rPr>
        <w:t>on various rice cultivars in Punjab and Tamil Nadu was ranged from</w:t>
      </w:r>
      <w:r w:rsidR="00D901B9" w:rsidRPr="0081472D">
        <w:rPr>
          <w:rFonts w:ascii="Times New Roman" w:hAnsi="Times New Roman" w:cs="Times New Roman"/>
          <w:sz w:val="24"/>
          <w:szCs w:val="24"/>
        </w:rPr>
        <w:t xml:space="preserve"> 10-20 </w:t>
      </w:r>
      <w:r w:rsidR="00130034" w:rsidRPr="0081472D">
        <w:rPr>
          <w:rFonts w:ascii="Times New Roman" w:hAnsi="Times New Roman" w:cs="Times New Roman"/>
          <w:sz w:val="24"/>
          <w:szCs w:val="24"/>
        </w:rPr>
        <w:t>%</w:t>
      </w:r>
      <w:r w:rsidR="00D901B9" w:rsidRPr="0081472D">
        <w:rPr>
          <w:rFonts w:ascii="Times New Roman" w:hAnsi="Times New Roman" w:cs="Times New Roman"/>
          <w:sz w:val="24"/>
          <w:szCs w:val="24"/>
        </w:rPr>
        <w:t xml:space="preserve"> and 5-85 </w:t>
      </w:r>
      <w:r w:rsidR="00130034" w:rsidRPr="0081472D">
        <w:rPr>
          <w:rFonts w:ascii="Times New Roman" w:hAnsi="Times New Roman" w:cs="Times New Roman"/>
          <w:sz w:val="24"/>
          <w:szCs w:val="24"/>
        </w:rPr>
        <w:t>%</w:t>
      </w:r>
      <w:r w:rsidR="00FC759E" w:rsidRPr="0081472D">
        <w:rPr>
          <w:rFonts w:ascii="Times New Roman" w:hAnsi="Times New Roman" w:cs="Times New Roman"/>
          <w:sz w:val="24"/>
          <w:szCs w:val="24"/>
        </w:rPr>
        <w:t>,</w:t>
      </w:r>
      <w:r w:rsidR="00D901B9" w:rsidRPr="0081472D">
        <w:rPr>
          <w:rFonts w:ascii="Times New Roman" w:hAnsi="Times New Roman" w:cs="Times New Roman"/>
          <w:sz w:val="24"/>
          <w:szCs w:val="24"/>
        </w:rPr>
        <w:t xml:space="preserve"> respectively (</w:t>
      </w:r>
      <w:proofErr w:type="spellStart"/>
      <w:r w:rsidR="00D901B9" w:rsidRPr="0081472D">
        <w:rPr>
          <w:rFonts w:ascii="Times New Roman" w:hAnsi="Times New Roman" w:cs="Times New Roman"/>
          <w:b/>
          <w:bCs/>
          <w:sz w:val="24"/>
          <w:szCs w:val="24"/>
        </w:rPr>
        <w:t>Ladhalakshmi</w:t>
      </w:r>
      <w:proofErr w:type="spellEnd"/>
      <w:r w:rsidR="00D901B9" w:rsidRPr="0081472D">
        <w:rPr>
          <w:rFonts w:ascii="Times New Roman" w:hAnsi="Times New Roman" w:cs="Times New Roman"/>
          <w:b/>
          <w:bCs/>
          <w:sz w:val="24"/>
          <w:szCs w:val="24"/>
        </w:rPr>
        <w:t xml:space="preserve"> </w:t>
      </w:r>
      <w:r w:rsidR="00D901B9" w:rsidRPr="0081472D">
        <w:rPr>
          <w:rFonts w:ascii="Times New Roman" w:hAnsi="Times New Roman" w:cs="Times New Roman"/>
          <w:b/>
          <w:bCs/>
          <w:i/>
          <w:iCs/>
          <w:sz w:val="24"/>
          <w:szCs w:val="24"/>
        </w:rPr>
        <w:t>et al</w:t>
      </w:r>
      <w:r w:rsidR="00D901B9" w:rsidRPr="0081472D">
        <w:rPr>
          <w:rFonts w:ascii="Times New Roman" w:hAnsi="Times New Roman" w:cs="Times New Roman"/>
          <w:b/>
          <w:bCs/>
          <w:sz w:val="24"/>
          <w:szCs w:val="24"/>
        </w:rPr>
        <w:t>., 2012</w:t>
      </w:r>
      <w:r w:rsidR="00D901B9" w:rsidRPr="0081472D">
        <w:rPr>
          <w:rFonts w:ascii="Times New Roman" w:hAnsi="Times New Roman" w:cs="Times New Roman"/>
          <w:sz w:val="24"/>
          <w:szCs w:val="24"/>
        </w:rPr>
        <w:t xml:space="preserve">). </w:t>
      </w:r>
    </w:p>
    <w:p w14:paraId="36E8E882" w14:textId="77777777" w:rsidR="008B785E" w:rsidRPr="0081472D" w:rsidRDefault="00266A2A" w:rsidP="00DB7185">
      <w:pPr>
        <w:shd w:val="clear" w:color="auto" w:fill="FFFFFF"/>
        <w:spacing w:line="276" w:lineRule="auto"/>
        <w:ind w:firstLine="720"/>
        <w:jc w:val="both"/>
        <w:rPr>
          <w:rFonts w:ascii="Times New Roman" w:hAnsi="Times New Roman" w:cs="Times New Roman"/>
          <w:b/>
          <w:bCs/>
          <w:sz w:val="24"/>
          <w:szCs w:val="24"/>
        </w:rPr>
      </w:pPr>
      <w:r w:rsidRPr="0081472D">
        <w:rPr>
          <w:rFonts w:ascii="Times New Roman" w:hAnsi="Times New Roman" w:cs="Times New Roman"/>
          <w:sz w:val="24"/>
          <w:szCs w:val="24"/>
        </w:rPr>
        <w:t xml:space="preserve">Fungicide application is the most prevalent strategy used by farmers to manage </w:t>
      </w:r>
      <w:r w:rsidR="00FE2F27" w:rsidRPr="0081472D">
        <w:rPr>
          <w:rFonts w:ascii="Times New Roman" w:hAnsi="Times New Roman" w:cs="Times New Roman"/>
          <w:sz w:val="24"/>
          <w:szCs w:val="24"/>
        </w:rPr>
        <w:t>the</w:t>
      </w:r>
      <w:r w:rsidR="00D87FBE" w:rsidRPr="0081472D">
        <w:rPr>
          <w:rFonts w:ascii="Times New Roman" w:hAnsi="Times New Roman" w:cs="Times New Roman"/>
          <w:sz w:val="24"/>
          <w:szCs w:val="24"/>
        </w:rPr>
        <w:t>se</w:t>
      </w:r>
      <w:r w:rsidR="00FE2F27" w:rsidRPr="0081472D">
        <w:rPr>
          <w:rFonts w:ascii="Times New Roman" w:hAnsi="Times New Roman" w:cs="Times New Roman"/>
          <w:sz w:val="24"/>
          <w:szCs w:val="24"/>
        </w:rPr>
        <w:t xml:space="preserve"> diseases</w:t>
      </w:r>
      <w:r w:rsidRPr="0081472D">
        <w:rPr>
          <w:rFonts w:ascii="Times New Roman" w:hAnsi="Times New Roman" w:cs="Times New Roman"/>
          <w:sz w:val="24"/>
          <w:szCs w:val="24"/>
        </w:rPr>
        <w:t xml:space="preserve">. </w:t>
      </w:r>
      <w:r w:rsidR="00D87FBE" w:rsidRPr="0081472D">
        <w:rPr>
          <w:rFonts w:ascii="Times New Roman" w:hAnsi="Times New Roman" w:cs="Times New Roman"/>
          <w:sz w:val="24"/>
          <w:szCs w:val="24"/>
        </w:rPr>
        <w:t>However, t</w:t>
      </w:r>
      <w:r w:rsidRPr="0081472D">
        <w:rPr>
          <w:rFonts w:ascii="Times New Roman" w:hAnsi="Times New Roman" w:cs="Times New Roman"/>
          <w:sz w:val="24"/>
          <w:szCs w:val="24"/>
        </w:rPr>
        <w:t xml:space="preserve">he </w:t>
      </w:r>
      <w:r w:rsidR="000C4AF8" w:rsidRPr="0081472D">
        <w:rPr>
          <w:rFonts w:ascii="Times New Roman" w:hAnsi="Times New Roman" w:cs="Times New Roman"/>
          <w:sz w:val="24"/>
          <w:szCs w:val="24"/>
        </w:rPr>
        <w:t xml:space="preserve">injudicious </w:t>
      </w:r>
      <w:r w:rsidRPr="0081472D">
        <w:rPr>
          <w:rFonts w:ascii="Times New Roman" w:hAnsi="Times New Roman" w:cs="Times New Roman"/>
          <w:sz w:val="24"/>
          <w:szCs w:val="24"/>
        </w:rPr>
        <w:t xml:space="preserve">use of fungicides </w:t>
      </w:r>
      <w:r w:rsidR="000C4AF8" w:rsidRPr="0081472D">
        <w:rPr>
          <w:rFonts w:ascii="Times New Roman" w:hAnsi="Times New Roman" w:cs="Times New Roman"/>
          <w:sz w:val="24"/>
          <w:szCs w:val="24"/>
        </w:rPr>
        <w:t>may lead to</w:t>
      </w:r>
      <w:r w:rsidRPr="0081472D">
        <w:rPr>
          <w:rFonts w:ascii="Times New Roman" w:hAnsi="Times New Roman" w:cs="Times New Roman"/>
          <w:sz w:val="24"/>
          <w:szCs w:val="24"/>
        </w:rPr>
        <w:t xml:space="preserve"> negative consequences</w:t>
      </w:r>
      <w:r w:rsidR="000C4AF8" w:rsidRPr="0081472D">
        <w:rPr>
          <w:rFonts w:ascii="Times New Roman" w:hAnsi="Times New Roman" w:cs="Times New Roman"/>
          <w:sz w:val="24"/>
          <w:szCs w:val="24"/>
        </w:rPr>
        <w:t xml:space="preserve"> </w:t>
      </w:r>
      <w:r w:rsidR="00D87FBE" w:rsidRPr="0081472D">
        <w:rPr>
          <w:rFonts w:ascii="Times New Roman" w:hAnsi="Times New Roman" w:cs="Times New Roman"/>
          <w:sz w:val="24"/>
          <w:szCs w:val="24"/>
        </w:rPr>
        <w:t>such as</w:t>
      </w:r>
      <w:r w:rsidR="000C4AF8" w:rsidRPr="0081472D">
        <w:rPr>
          <w:rFonts w:ascii="Times New Roman" w:hAnsi="Times New Roman" w:cs="Times New Roman"/>
          <w:sz w:val="24"/>
          <w:szCs w:val="24"/>
        </w:rPr>
        <w:t xml:space="preserve"> development of</w:t>
      </w:r>
      <w:r w:rsidRPr="0081472D">
        <w:rPr>
          <w:rFonts w:ascii="Times New Roman" w:hAnsi="Times New Roman" w:cs="Times New Roman"/>
          <w:sz w:val="24"/>
          <w:szCs w:val="24"/>
        </w:rPr>
        <w:t xml:space="preserve"> </w:t>
      </w:r>
      <w:r w:rsidR="000C4AF8" w:rsidRPr="0081472D">
        <w:rPr>
          <w:rFonts w:ascii="Times New Roman" w:hAnsi="Times New Roman" w:cs="Times New Roman"/>
          <w:sz w:val="24"/>
          <w:szCs w:val="24"/>
        </w:rPr>
        <w:t>resistance in pathogens</w:t>
      </w:r>
      <w:r w:rsidR="00CD46D5" w:rsidRPr="0081472D">
        <w:rPr>
          <w:rFonts w:ascii="Times New Roman" w:hAnsi="Times New Roman" w:cs="Times New Roman"/>
          <w:sz w:val="24"/>
          <w:szCs w:val="24"/>
        </w:rPr>
        <w:t>, residual toxicity and</w:t>
      </w:r>
      <w:r w:rsidRPr="0081472D">
        <w:rPr>
          <w:rFonts w:ascii="Times New Roman" w:hAnsi="Times New Roman" w:cs="Times New Roman"/>
          <w:sz w:val="24"/>
          <w:szCs w:val="24"/>
        </w:rPr>
        <w:t xml:space="preserve"> environmental pollution. </w:t>
      </w:r>
      <w:r w:rsidR="00CD46D5" w:rsidRPr="0081472D">
        <w:rPr>
          <w:rFonts w:ascii="Times New Roman" w:hAnsi="Times New Roman" w:cs="Times New Roman"/>
          <w:sz w:val="24"/>
          <w:szCs w:val="24"/>
        </w:rPr>
        <w:t>Therefore,</w:t>
      </w:r>
      <w:r w:rsidRPr="0081472D">
        <w:rPr>
          <w:rFonts w:ascii="Times New Roman" w:hAnsi="Times New Roman" w:cs="Times New Roman"/>
          <w:sz w:val="24"/>
          <w:szCs w:val="24"/>
        </w:rPr>
        <w:t xml:space="preserve"> </w:t>
      </w:r>
      <w:r w:rsidR="00F531DB" w:rsidRPr="0081472D">
        <w:rPr>
          <w:rFonts w:ascii="Times New Roman" w:hAnsi="Times New Roman" w:cs="Times New Roman"/>
          <w:sz w:val="24"/>
          <w:szCs w:val="24"/>
        </w:rPr>
        <w:t xml:space="preserve">the </w:t>
      </w:r>
      <w:r w:rsidRPr="0081472D">
        <w:rPr>
          <w:rFonts w:ascii="Times New Roman" w:hAnsi="Times New Roman" w:cs="Times New Roman"/>
          <w:sz w:val="24"/>
          <w:szCs w:val="24"/>
        </w:rPr>
        <w:t xml:space="preserve">novel fungicidal compounds </w:t>
      </w:r>
      <w:r w:rsidR="00FA0169" w:rsidRPr="0081472D">
        <w:rPr>
          <w:rFonts w:ascii="Times New Roman" w:hAnsi="Times New Roman" w:cs="Times New Roman"/>
          <w:sz w:val="24"/>
          <w:szCs w:val="24"/>
        </w:rPr>
        <w:t>have</w:t>
      </w:r>
      <w:r w:rsidR="00CD46D5" w:rsidRPr="0081472D">
        <w:rPr>
          <w:rFonts w:ascii="Times New Roman" w:hAnsi="Times New Roman" w:cs="Times New Roman"/>
          <w:sz w:val="24"/>
          <w:szCs w:val="24"/>
        </w:rPr>
        <w:t xml:space="preserve"> to</w:t>
      </w:r>
      <w:r w:rsidRPr="0081472D">
        <w:rPr>
          <w:rFonts w:ascii="Times New Roman" w:hAnsi="Times New Roman" w:cs="Times New Roman"/>
          <w:sz w:val="24"/>
          <w:szCs w:val="24"/>
        </w:rPr>
        <w:t xml:space="preserve"> be screened to successfully manage the disease</w:t>
      </w:r>
      <w:r w:rsidR="00FA0169" w:rsidRPr="0081472D">
        <w:rPr>
          <w:rFonts w:ascii="Times New Roman" w:hAnsi="Times New Roman" w:cs="Times New Roman"/>
          <w:sz w:val="24"/>
          <w:szCs w:val="24"/>
        </w:rPr>
        <w:t>s</w:t>
      </w:r>
      <w:r w:rsidRPr="0081472D">
        <w:rPr>
          <w:rFonts w:ascii="Times New Roman" w:hAnsi="Times New Roman" w:cs="Times New Roman"/>
          <w:sz w:val="24"/>
          <w:szCs w:val="24"/>
        </w:rPr>
        <w:t xml:space="preserve"> in order to avoid pathogen resistance and </w:t>
      </w:r>
      <w:r w:rsidR="00FA0169" w:rsidRPr="0081472D">
        <w:rPr>
          <w:rFonts w:ascii="Times New Roman" w:hAnsi="Times New Roman" w:cs="Times New Roman"/>
          <w:sz w:val="24"/>
          <w:szCs w:val="24"/>
        </w:rPr>
        <w:t>reduce</w:t>
      </w:r>
      <w:r w:rsidRPr="0081472D">
        <w:rPr>
          <w:rFonts w:ascii="Times New Roman" w:hAnsi="Times New Roman" w:cs="Times New Roman"/>
          <w:sz w:val="24"/>
          <w:szCs w:val="24"/>
        </w:rPr>
        <w:t xml:space="preserve"> </w:t>
      </w:r>
      <w:r w:rsidR="00863C5C" w:rsidRPr="0081472D">
        <w:rPr>
          <w:rFonts w:ascii="Times New Roman" w:hAnsi="Times New Roman" w:cs="Times New Roman"/>
          <w:sz w:val="24"/>
          <w:szCs w:val="24"/>
        </w:rPr>
        <w:t xml:space="preserve">their impact on the </w:t>
      </w:r>
      <w:r w:rsidRPr="0081472D">
        <w:rPr>
          <w:rFonts w:ascii="Times New Roman" w:hAnsi="Times New Roman" w:cs="Times New Roman"/>
          <w:sz w:val="24"/>
          <w:szCs w:val="24"/>
        </w:rPr>
        <w:t xml:space="preserve">environmental. </w:t>
      </w:r>
      <w:r w:rsidR="00863C5C" w:rsidRPr="0081472D">
        <w:rPr>
          <w:rFonts w:ascii="Times New Roman" w:hAnsi="Times New Roman" w:cs="Times New Roman"/>
          <w:sz w:val="24"/>
          <w:szCs w:val="24"/>
        </w:rPr>
        <w:t>T</w:t>
      </w:r>
      <w:r w:rsidRPr="0081472D">
        <w:rPr>
          <w:rFonts w:ascii="Times New Roman" w:hAnsi="Times New Roman" w:cs="Times New Roman"/>
          <w:sz w:val="24"/>
          <w:szCs w:val="24"/>
        </w:rPr>
        <w:t xml:space="preserve">he present study was undertaken to evaluate the </w:t>
      </w:r>
      <w:r w:rsidR="008B785E" w:rsidRPr="0081472D">
        <w:rPr>
          <w:rFonts w:ascii="Times New Roman" w:hAnsi="Times New Roman" w:cs="Times New Roman"/>
          <w:sz w:val="24"/>
          <w:szCs w:val="24"/>
        </w:rPr>
        <w:t xml:space="preserve">fungicides against major diseases in paddy was conducted to assess the field performance of selected strobilurin- and triazole-based fungicidal combinations in the management of </w:t>
      </w:r>
      <w:r w:rsidR="008B785E" w:rsidRPr="0081472D">
        <w:rPr>
          <w:rStyle w:val="Strong"/>
          <w:rFonts w:ascii="Times New Roman" w:hAnsi="Times New Roman" w:cs="Times New Roman"/>
          <w:b w:val="0"/>
          <w:bCs w:val="0"/>
          <w:sz w:val="24"/>
          <w:szCs w:val="24"/>
        </w:rPr>
        <w:t>sheath blight</w:t>
      </w:r>
      <w:r w:rsidR="008B785E" w:rsidRPr="0081472D">
        <w:rPr>
          <w:rFonts w:ascii="Times New Roman" w:hAnsi="Times New Roman" w:cs="Times New Roman"/>
          <w:sz w:val="24"/>
          <w:szCs w:val="24"/>
        </w:rPr>
        <w:t xml:space="preserve"> and </w:t>
      </w:r>
      <w:r w:rsidR="008B785E" w:rsidRPr="0081472D">
        <w:rPr>
          <w:rStyle w:val="Strong"/>
          <w:rFonts w:ascii="Times New Roman" w:hAnsi="Times New Roman" w:cs="Times New Roman"/>
          <w:b w:val="0"/>
          <w:bCs w:val="0"/>
          <w:sz w:val="24"/>
          <w:szCs w:val="24"/>
        </w:rPr>
        <w:t>false smut</w:t>
      </w:r>
      <w:r w:rsidR="008B785E" w:rsidRPr="0081472D">
        <w:rPr>
          <w:rFonts w:ascii="Times New Roman" w:hAnsi="Times New Roman" w:cs="Times New Roman"/>
          <w:sz w:val="24"/>
          <w:szCs w:val="24"/>
        </w:rPr>
        <w:t>—two of the most destructive fungal diseases that significantly reduce yield and grain quality. The study aimed to generate field-level evidence on the efficacy, profitability, and adoption feasibility of these fungicidal technologies under farmers’ field conditions in Vizianagaram district of Andhra Pradesh.</w:t>
      </w:r>
    </w:p>
    <w:p w14:paraId="202C82B1" w14:textId="77777777" w:rsidR="00771C5B" w:rsidRPr="0081472D" w:rsidRDefault="00715EF1" w:rsidP="00DB7185">
      <w:pPr>
        <w:pStyle w:val="Default"/>
        <w:spacing w:line="276" w:lineRule="auto"/>
        <w:jc w:val="both"/>
        <w:rPr>
          <w:b/>
          <w:bCs/>
          <w:color w:val="auto"/>
        </w:rPr>
      </w:pPr>
      <w:r w:rsidRPr="0081472D">
        <w:rPr>
          <w:b/>
          <w:bCs/>
          <w:color w:val="auto"/>
        </w:rPr>
        <w:t xml:space="preserve">Material and </w:t>
      </w:r>
      <w:commentRangeStart w:id="2"/>
      <w:r w:rsidRPr="0081472D">
        <w:rPr>
          <w:b/>
          <w:bCs/>
          <w:color w:val="auto"/>
        </w:rPr>
        <w:t xml:space="preserve">methods: </w:t>
      </w:r>
      <w:commentRangeEnd w:id="2"/>
      <w:r w:rsidR="00E77CDB">
        <w:rPr>
          <w:rStyle w:val="CommentReference"/>
          <w:rFonts w:asciiTheme="minorHAnsi" w:eastAsiaTheme="minorHAnsi" w:hAnsiTheme="minorHAnsi" w:cstheme="minorBidi"/>
          <w:color w:val="auto"/>
          <w:kern w:val="2"/>
          <w:lang w:val="en-IN"/>
          <w14:ligatures w14:val="standardContextual"/>
        </w:rPr>
        <w:commentReference w:id="2"/>
      </w:r>
    </w:p>
    <w:p w14:paraId="669E945E" w14:textId="77777777" w:rsidR="00410F1F" w:rsidRPr="0081472D" w:rsidRDefault="00410F1F" w:rsidP="00DB7185">
      <w:pPr>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 xml:space="preserve">The present investigation was undertaken by the </w:t>
      </w:r>
      <w:r w:rsidRPr="0081472D">
        <w:rPr>
          <w:rStyle w:val="Strong"/>
          <w:rFonts w:ascii="Times New Roman" w:hAnsi="Times New Roman" w:cs="Times New Roman"/>
          <w:b w:val="0"/>
          <w:bCs w:val="0"/>
          <w:sz w:val="24"/>
          <w:szCs w:val="24"/>
        </w:rPr>
        <w:t>District Agricultural Advisory and Transfer of Technology Centre (DAATTC), Vizianagaram</w:t>
      </w:r>
      <w:r w:rsidRPr="0081472D">
        <w:rPr>
          <w:rFonts w:ascii="Times New Roman" w:hAnsi="Times New Roman" w:cs="Times New Roman"/>
          <w:sz w:val="24"/>
          <w:szCs w:val="24"/>
        </w:rPr>
        <w:t xml:space="preserve">, with the primary objective of evaluating the efficacy of improved fungicidal schedules against major fungal diseases of paddy under real farm conditions. The study was implemented across </w:t>
      </w:r>
      <w:r w:rsidRPr="0081472D">
        <w:rPr>
          <w:rStyle w:val="Strong"/>
          <w:rFonts w:ascii="Times New Roman" w:hAnsi="Times New Roman" w:cs="Times New Roman"/>
          <w:b w:val="0"/>
          <w:bCs w:val="0"/>
          <w:sz w:val="24"/>
          <w:szCs w:val="24"/>
        </w:rPr>
        <w:t>five farmers’ fields</w:t>
      </w:r>
      <w:r w:rsidRPr="0081472D">
        <w:rPr>
          <w:rFonts w:ascii="Times New Roman" w:hAnsi="Times New Roman" w:cs="Times New Roman"/>
          <w:sz w:val="24"/>
          <w:szCs w:val="24"/>
        </w:rPr>
        <w:t xml:space="preserve"> located in different mandals of the Vizianagaram district during </w:t>
      </w:r>
      <w:r w:rsidRPr="0081472D">
        <w:rPr>
          <w:rStyle w:val="Strong"/>
          <w:rFonts w:ascii="Times New Roman" w:hAnsi="Times New Roman" w:cs="Times New Roman"/>
          <w:b w:val="0"/>
          <w:bCs w:val="0"/>
          <w:sz w:val="24"/>
          <w:szCs w:val="24"/>
        </w:rPr>
        <w:t>three consecutive kharif seasons of 2021, 2022, and 2023</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to ensure reliability and representativeness of the results across varying agro-climatic conditions.</w:t>
      </w:r>
      <w:r w:rsidR="00AB058F" w:rsidRPr="0081472D">
        <w:rPr>
          <w:sz w:val="24"/>
          <w:szCs w:val="24"/>
        </w:rPr>
        <w:t xml:space="preserve"> </w:t>
      </w:r>
      <w:r w:rsidR="00AB058F" w:rsidRPr="0081472D">
        <w:rPr>
          <w:rFonts w:ascii="Times New Roman" w:hAnsi="Times New Roman" w:cs="Times New Roman"/>
          <w:sz w:val="24"/>
          <w:szCs w:val="24"/>
        </w:rPr>
        <w:t xml:space="preserve">The experimental design followed </w:t>
      </w:r>
      <w:r w:rsidR="00B73DEF" w:rsidRPr="0081472D">
        <w:rPr>
          <w:rFonts w:ascii="Times New Roman" w:hAnsi="Times New Roman" w:cs="Times New Roman"/>
          <w:sz w:val="24"/>
          <w:szCs w:val="24"/>
        </w:rPr>
        <w:t xml:space="preserve">was </w:t>
      </w:r>
      <w:r w:rsidR="00AB058F" w:rsidRPr="0081472D">
        <w:rPr>
          <w:rStyle w:val="Strong"/>
          <w:rFonts w:ascii="Times New Roman" w:hAnsi="Times New Roman" w:cs="Times New Roman"/>
          <w:b w:val="0"/>
          <w:bCs w:val="0"/>
          <w:sz w:val="24"/>
          <w:szCs w:val="24"/>
        </w:rPr>
        <w:t>on-farm demonstration approach</w:t>
      </w:r>
      <w:r w:rsidR="00AB058F" w:rsidRPr="0081472D">
        <w:rPr>
          <w:rFonts w:ascii="Times New Roman" w:hAnsi="Times New Roman" w:cs="Times New Roman"/>
          <w:sz w:val="24"/>
          <w:szCs w:val="24"/>
        </w:rPr>
        <w:t xml:space="preserve">, wherein the </w:t>
      </w:r>
      <w:r w:rsidR="00AB058F" w:rsidRPr="0081472D">
        <w:rPr>
          <w:rStyle w:val="Strong"/>
          <w:rFonts w:ascii="Times New Roman" w:hAnsi="Times New Roman" w:cs="Times New Roman"/>
          <w:b w:val="0"/>
          <w:bCs w:val="0"/>
          <w:sz w:val="24"/>
          <w:szCs w:val="24"/>
        </w:rPr>
        <w:t>improved fungicidal technology</w:t>
      </w:r>
      <w:r w:rsidR="00AB058F" w:rsidRPr="0081472D">
        <w:rPr>
          <w:rFonts w:ascii="Times New Roman" w:hAnsi="Times New Roman" w:cs="Times New Roman"/>
          <w:sz w:val="24"/>
          <w:szCs w:val="24"/>
        </w:rPr>
        <w:t xml:space="preserve"> was compared against the </w:t>
      </w:r>
      <w:r w:rsidR="00AB058F" w:rsidRPr="0081472D">
        <w:rPr>
          <w:rStyle w:val="Strong"/>
          <w:rFonts w:ascii="Times New Roman" w:hAnsi="Times New Roman" w:cs="Times New Roman"/>
          <w:b w:val="0"/>
          <w:bCs w:val="0"/>
          <w:sz w:val="24"/>
          <w:szCs w:val="24"/>
        </w:rPr>
        <w:t>existing farmers’ practice</w:t>
      </w:r>
      <w:r w:rsidR="00AB058F" w:rsidRPr="0081472D">
        <w:rPr>
          <w:rFonts w:ascii="Times New Roman" w:hAnsi="Times New Roman" w:cs="Times New Roman"/>
          <w:sz w:val="24"/>
          <w:szCs w:val="24"/>
        </w:rPr>
        <w:t xml:space="preserve"> to assess its practical feasibility, yield advantage, and economic profitability.</w:t>
      </w:r>
    </w:p>
    <w:p w14:paraId="6CAED2B5" w14:textId="77777777" w:rsidR="0035399F" w:rsidRPr="0081472D" w:rsidRDefault="00BD2739" w:rsidP="00DB7185">
      <w:pPr>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The recommended treatment schedule involved two critical sprays:</w:t>
      </w:r>
      <w:r w:rsidRPr="0081472D">
        <w:rPr>
          <w:sz w:val="24"/>
          <w:szCs w:val="24"/>
        </w:rPr>
        <w:t xml:space="preserve"> </w:t>
      </w:r>
      <w:r w:rsidR="0035399F" w:rsidRPr="0081472D">
        <w:rPr>
          <w:rFonts w:ascii="Times New Roman" w:hAnsi="Times New Roman" w:cs="Times New Roman"/>
          <w:sz w:val="24"/>
          <w:szCs w:val="24"/>
        </w:rPr>
        <w:t xml:space="preserve">azoxystrobin 11% +tebuconazole 18.3%SC@1.5ml/L at tillering stage and </w:t>
      </w:r>
      <w:proofErr w:type="spellStart"/>
      <w:r w:rsidR="0035399F" w:rsidRPr="0081472D">
        <w:rPr>
          <w:rFonts w:ascii="Times New Roman" w:hAnsi="Times New Roman" w:cs="Times New Roman"/>
          <w:sz w:val="24"/>
          <w:szCs w:val="24"/>
        </w:rPr>
        <w:t>azoxystrobin</w:t>
      </w:r>
      <w:proofErr w:type="spellEnd"/>
      <w:r w:rsidR="0035399F" w:rsidRPr="0081472D">
        <w:rPr>
          <w:rFonts w:ascii="Times New Roman" w:hAnsi="Times New Roman" w:cs="Times New Roman"/>
          <w:sz w:val="24"/>
          <w:szCs w:val="24"/>
        </w:rPr>
        <w:t xml:space="preserve"> 11% +</w:t>
      </w:r>
      <w:proofErr w:type="spellStart"/>
      <w:r w:rsidR="0035399F" w:rsidRPr="0081472D">
        <w:rPr>
          <w:rFonts w:ascii="Times New Roman" w:hAnsi="Times New Roman" w:cs="Times New Roman"/>
          <w:sz w:val="24"/>
          <w:szCs w:val="24"/>
        </w:rPr>
        <w:t>difenconazole</w:t>
      </w:r>
      <w:proofErr w:type="spellEnd"/>
      <w:r w:rsidR="0035399F" w:rsidRPr="0081472D">
        <w:rPr>
          <w:rFonts w:ascii="Times New Roman" w:hAnsi="Times New Roman" w:cs="Times New Roman"/>
          <w:sz w:val="24"/>
          <w:szCs w:val="24"/>
        </w:rPr>
        <w:t xml:space="preserve"> 11.4% SC @1.25ml/L at 50% flowering stage. </w:t>
      </w:r>
    </w:p>
    <w:p w14:paraId="09D64D90" w14:textId="77777777" w:rsidR="008E1025" w:rsidRPr="0081472D" w:rsidRDefault="0035399F" w:rsidP="00DB7185">
      <w:pPr>
        <w:pStyle w:val="NormalWeb"/>
        <w:spacing w:line="276" w:lineRule="auto"/>
        <w:ind w:firstLine="720"/>
        <w:jc w:val="both"/>
      </w:pPr>
      <w:r w:rsidRPr="0081472D">
        <w:t xml:space="preserve">The Observations on the </w:t>
      </w:r>
      <w:r w:rsidRPr="0081472D">
        <w:rPr>
          <w:rStyle w:val="Strong"/>
          <w:b w:val="0"/>
          <w:bCs w:val="0"/>
        </w:rPr>
        <w:t xml:space="preserve">incidence </w:t>
      </w:r>
      <w:r w:rsidRPr="0081472D">
        <w:t xml:space="preserve">of sheath blight and false smut were recorded at </w:t>
      </w:r>
      <w:r w:rsidRPr="0081472D">
        <w:rPr>
          <w:rStyle w:val="Strong"/>
          <w:b w:val="0"/>
          <w:bCs w:val="0"/>
        </w:rPr>
        <w:t>15-day intervals</w:t>
      </w:r>
      <w:r w:rsidRPr="0081472D">
        <w:t xml:space="preserve">, starting from the first appearance of disease symptoms and continuing up to the </w:t>
      </w:r>
      <w:r w:rsidRPr="0081472D">
        <w:rPr>
          <w:rStyle w:val="Strong"/>
          <w:b w:val="0"/>
          <w:bCs w:val="0"/>
        </w:rPr>
        <w:t>harvest stage</w:t>
      </w:r>
      <w:r w:rsidRPr="0081472D">
        <w:t>. Standard plant protection assessment procedures were followed to ensure data accuracy and comparability.</w:t>
      </w:r>
      <w:r w:rsidR="008E1025" w:rsidRPr="0081472D">
        <w:t xml:space="preserve"> </w:t>
      </w:r>
      <w:r w:rsidR="005A5DD3" w:rsidRPr="0081472D">
        <w:t xml:space="preserve">The </w:t>
      </w:r>
      <w:r w:rsidR="008E1025" w:rsidRPr="0081472D">
        <w:t>grain yield was recorded from both the demonstration and farmers’ practice plots using standard sampling methods</w:t>
      </w:r>
      <w:r w:rsidR="005A5DD3" w:rsidRPr="0081472D">
        <w:t xml:space="preserve"> at maturity</w:t>
      </w:r>
      <w:r w:rsidR="008E1025" w:rsidRPr="0081472D">
        <w:t xml:space="preserve">. The recorded yields were later converted to </w:t>
      </w:r>
      <w:r w:rsidR="008E1025" w:rsidRPr="0081472D">
        <w:rPr>
          <w:rStyle w:val="Strong"/>
          <w:b w:val="0"/>
          <w:bCs w:val="0"/>
        </w:rPr>
        <w:t>kilograms per hectare (kg/ha)</w:t>
      </w:r>
      <w:r w:rsidR="008E1025" w:rsidRPr="0081472D">
        <w:t xml:space="preserve"> for statistical comparison. In addition to yield data, information on the cost of cultivation, gross returns, net returns and benefit–cost ratio (B:C) was computed to determine the economic feasibility of the demonstrated technology.</w:t>
      </w:r>
    </w:p>
    <w:p w14:paraId="7D6A3EB0" w14:textId="77777777" w:rsidR="008E1025" w:rsidRPr="0081472D" w:rsidRDefault="008E1025" w:rsidP="00DB7185">
      <w:pPr>
        <w:pStyle w:val="NormalWeb"/>
        <w:spacing w:line="276" w:lineRule="auto"/>
        <w:ind w:firstLine="720"/>
        <w:jc w:val="both"/>
      </w:pPr>
      <w:r w:rsidRPr="0081472D">
        <w:lastRenderedPageBreak/>
        <w:t xml:space="preserve">To evaluate the efficiency and impact of the improved technology over the traditional practice, </w:t>
      </w:r>
      <w:r w:rsidRPr="0081472D">
        <w:rPr>
          <w:rStyle w:val="Strong"/>
          <w:b w:val="0"/>
          <w:bCs w:val="0"/>
        </w:rPr>
        <w:t>extension gap, technology gap, and technology index</w:t>
      </w:r>
      <w:r w:rsidRPr="0081472D">
        <w:rPr>
          <w:b/>
          <w:bCs/>
        </w:rPr>
        <w:t xml:space="preserve"> </w:t>
      </w:r>
      <w:r w:rsidRPr="0081472D">
        <w:t xml:space="preserve">were calculated using the standard formulae proposed by </w:t>
      </w:r>
      <w:r w:rsidRPr="0081472D">
        <w:rPr>
          <w:rStyle w:val="Strong"/>
        </w:rPr>
        <w:t xml:space="preserve">Samui </w:t>
      </w:r>
      <w:r w:rsidRPr="0081472D">
        <w:rPr>
          <w:rStyle w:val="Strong"/>
          <w:i/>
          <w:iCs/>
        </w:rPr>
        <w:t>et al</w:t>
      </w:r>
      <w:r w:rsidRPr="0081472D">
        <w:rPr>
          <w:rStyle w:val="Strong"/>
        </w:rPr>
        <w:t>. (2000)</w:t>
      </w:r>
      <w:r w:rsidRPr="0081472D">
        <w:t xml:space="preserve"> and </w:t>
      </w:r>
      <w:r w:rsidRPr="0081472D">
        <w:rPr>
          <w:rStyle w:val="Strong"/>
        </w:rPr>
        <w:t xml:space="preserve">Swathi </w:t>
      </w:r>
      <w:r w:rsidRPr="0081472D">
        <w:rPr>
          <w:rStyle w:val="Strong"/>
          <w:i/>
          <w:iCs/>
        </w:rPr>
        <w:t>et al</w:t>
      </w:r>
      <w:r w:rsidRPr="0081472D">
        <w:rPr>
          <w:rStyle w:val="Strong"/>
        </w:rPr>
        <w:t>. (2020)</w:t>
      </w:r>
      <w:r w:rsidRPr="0081472D">
        <w:t>. These indicators provided a quantitative measure of the difference between potential and realized yields, the effectiveness of the technology in field conditions, and the scope for further improvement through extension interventions.</w:t>
      </w:r>
    </w:p>
    <w:p w14:paraId="6FF3DAAC" w14:textId="77777777" w:rsidR="00771C5B" w:rsidRPr="0081472D" w:rsidRDefault="00715EF1" w:rsidP="00DB7185">
      <w:pPr>
        <w:spacing w:line="276" w:lineRule="auto"/>
        <w:jc w:val="both"/>
        <w:rPr>
          <w:rFonts w:ascii="Times New Roman" w:hAnsi="Times New Roman" w:cs="Times New Roman"/>
          <w:sz w:val="24"/>
          <w:szCs w:val="24"/>
          <w:lang w:val="en-US"/>
        </w:rPr>
      </w:pPr>
      <w:r w:rsidRPr="0081472D">
        <w:rPr>
          <w:rFonts w:ascii="Times New Roman" w:hAnsi="Times New Roman" w:cs="Times New Roman"/>
          <w:sz w:val="24"/>
          <w:szCs w:val="24"/>
          <w:lang w:val="en-US"/>
        </w:rPr>
        <w:t>Technology gap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Potential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Demonstration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7918F8A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sz w:val="24"/>
          <w:szCs w:val="24"/>
          <w:lang w:val="en-US"/>
        </w:rPr>
        <w:t>Extension gap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Demonstration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Farmer’s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4E0949AF" w14:textId="77777777" w:rsidR="00771C5B" w:rsidRPr="0081472D" w:rsidRDefault="00715EF1" w:rsidP="00DB7185">
      <w:pPr>
        <w:spacing w:line="276" w:lineRule="auto"/>
        <w:ind w:left="2694" w:hanging="2694"/>
        <w:jc w:val="both"/>
        <w:rPr>
          <w:rFonts w:ascii="Times New Roman" w:hAnsi="Times New Roman" w:cs="Times New Roman"/>
          <w:sz w:val="24"/>
          <w:szCs w:val="24"/>
          <w:lang w:val="en-US"/>
        </w:rPr>
      </w:pPr>
      <w:r w:rsidRPr="0081472D">
        <w:rPr>
          <w:rFonts w:ascii="Times New Roman" w:hAnsi="Times New Roman" w:cs="Times New Roman"/>
          <w:sz w:val="24"/>
          <w:szCs w:val="24"/>
        </w:rPr>
        <w:t>Technology index (%) = (</w:t>
      </w:r>
      <w:r w:rsidRPr="0081472D">
        <w:rPr>
          <w:rFonts w:ascii="Times New Roman" w:hAnsi="Times New Roman" w:cs="Times New Roman"/>
          <w:sz w:val="24"/>
          <w:szCs w:val="24"/>
          <w:lang w:val="en-US"/>
        </w:rPr>
        <w:t>Potential yield (tha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)–Demonstration yield (tha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X100/ Potential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555C9F02" w14:textId="77777777" w:rsidR="000D6908" w:rsidRDefault="00715EF1" w:rsidP="00DB7185">
      <w:pPr>
        <w:pStyle w:val="NormalWeb"/>
        <w:spacing w:before="0" w:beforeAutospacing="0" w:after="0" w:afterAutospacing="0" w:line="276" w:lineRule="auto"/>
        <w:jc w:val="both"/>
        <w:rPr>
          <w:b/>
          <w:bCs/>
        </w:rPr>
      </w:pPr>
      <w:r w:rsidRPr="0081472D">
        <w:rPr>
          <w:b/>
          <w:bCs/>
        </w:rPr>
        <w:t xml:space="preserve">Results and </w:t>
      </w:r>
      <w:commentRangeStart w:id="3"/>
      <w:r w:rsidRPr="0081472D">
        <w:rPr>
          <w:b/>
          <w:bCs/>
        </w:rPr>
        <w:t>discussion</w:t>
      </w:r>
      <w:commentRangeEnd w:id="3"/>
      <w:r w:rsidR="00E77CDB">
        <w:rPr>
          <w:rStyle w:val="CommentReference"/>
          <w:rFonts w:asciiTheme="minorHAnsi" w:eastAsiaTheme="minorHAnsi" w:hAnsiTheme="minorHAnsi" w:cstheme="minorBidi"/>
          <w:kern w:val="2"/>
          <w:lang w:eastAsia="en-US"/>
          <w14:ligatures w14:val="standardContextual"/>
        </w:rPr>
        <w:commentReference w:id="3"/>
      </w:r>
      <w:r w:rsidRPr="0081472D">
        <w:rPr>
          <w:b/>
          <w:bCs/>
        </w:rPr>
        <w:t xml:space="preserve">: </w:t>
      </w:r>
    </w:p>
    <w:p w14:paraId="5D4CE0CC" w14:textId="77777777" w:rsidR="000162AE" w:rsidRPr="0081472D" w:rsidRDefault="000162AE" w:rsidP="000162AE">
      <w:pPr>
        <w:pStyle w:val="NormalWeb"/>
        <w:spacing w:before="0" w:beforeAutospacing="0" w:after="0" w:afterAutospacing="0" w:line="276" w:lineRule="auto"/>
        <w:jc w:val="both"/>
        <w:rPr>
          <w:b/>
          <w:bCs/>
        </w:rPr>
      </w:pPr>
      <w:r>
        <w:rPr>
          <w:b/>
          <w:bCs/>
        </w:rPr>
        <w:t>Effect of fungicides on disease incidence:</w:t>
      </w:r>
    </w:p>
    <w:p w14:paraId="6958E07A" w14:textId="77777777" w:rsidR="003E6812" w:rsidRPr="0081472D" w:rsidRDefault="003E6812" w:rsidP="000162AE">
      <w:pPr>
        <w:pStyle w:val="NormalWeb"/>
        <w:spacing w:before="0" w:beforeAutospacing="0" w:after="0" w:afterAutospacing="0" w:line="276" w:lineRule="auto"/>
        <w:ind w:firstLine="720"/>
        <w:jc w:val="both"/>
      </w:pPr>
      <w:r w:rsidRPr="0081472D">
        <w:t xml:space="preserve">The data obtained from the study on the </w:t>
      </w:r>
      <w:r w:rsidRPr="0081472D">
        <w:rPr>
          <w:rStyle w:val="Strong"/>
          <w:b w:val="0"/>
          <w:bCs w:val="0"/>
        </w:rPr>
        <w:t>evaluation of fungicides against major diseases in paddy</w:t>
      </w:r>
      <w:r w:rsidRPr="0081472D">
        <w:t xml:space="preserve"> revealed that the foliar application of fungicides was highly effective in reducing disease incidence under field conditions. The sequential sprays of </w:t>
      </w:r>
      <w:r w:rsidRPr="0081472D">
        <w:rPr>
          <w:rStyle w:val="Strong"/>
          <w:b w:val="0"/>
          <w:bCs w:val="0"/>
        </w:rPr>
        <w:t>azoxystrobin 11% + tebuconazole 18.3% SC @ 1.5 ml/L at the tillering stage</w:t>
      </w:r>
      <w:r w:rsidRPr="0081472D">
        <w:t xml:space="preserve"> and </w:t>
      </w:r>
      <w:r w:rsidRPr="0081472D">
        <w:rPr>
          <w:rStyle w:val="Strong"/>
          <w:b w:val="0"/>
          <w:bCs w:val="0"/>
        </w:rPr>
        <w:t>azoxystrobin 11% + difenoconazole 11.4% SC @ 1.25 ml/L at the 50% flowering stage</w:t>
      </w:r>
      <w:r w:rsidRPr="0081472D">
        <w:t xml:space="preserve"> were found to be most effective in management of </w:t>
      </w:r>
      <w:r w:rsidRPr="0081472D">
        <w:rPr>
          <w:rStyle w:val="Strong"/>
          <w:b w:val="0"/>
          <w:bCs w:val="0"/>
        </w:rPr>
        <w:t>sheath blight</w:t>
      </w:r>
      <w:r w:rsidRPr="0081472D">
        <w:rPr>
          <w:b/>
          <w:bCs/>
        </w:rPr>
        <w:t xml:space="preserve"> </w:t>
      </w:r>
      <w:r w:rsidRPr="0081472D">
        <w:t>and</w:t>
      </w:r>
      <w:r w:rsidRPr="0081472D">
        <w:rPr>
          <w:b/>
          <w:bCs/>
        </w:rPr>
        <w:t xml:space="preserve"> </w:t>
      </w:r>
      <w:r w:rsidRPr="0081472D">
        <w:rPr>
          <w:rStyle w:val="Strong"/>
          <w:b w:val="0"/>
          <w:bCs w:val="0"/>
        </w:rPr>
        <w:t>false smut</w:t>
      </w:r>
      <w:r w:rsidRPr="0081472D">
        <w:rPr>
          <w:b/>
          <w:bCs/>
        </w:rPr>
        <w:t xml:space="preserve"> </w:t>
      </w:r>
      <w:r w:rsidRPr="0081472D">
        <w:t>diseases in paddy.</w:t>
      </w:r>
    </w:p>
    <w:p w14:paraId="11A89784" w14:textId="77777777" w:rsidR="003E6812" w:rsidRPr="0081472D" w:rsidRDefault="003E6812" w:rsidP="00DB7185">
      <w:pPr>
        <w:pStyle w:val="NormalWeb"/>
        <w:spacing w:before="0" w:beforeAutospacing="0" w:after="0" w:afterAutospacing="0" w:line="276" w:lineRule="auto"/>
        <w:ind w:firstLine="720"/>
        <w:jc w:val="both"/>
      </w:pPr>
      <w:r w:rsidRPr="0081472D">
        <w:t xml:space="preserve">The incidence of </w:t>
      </w:r>
      <w:r w:rsidRPr="0081472D">
        <w:rPr>
          <w:rStyle w:val="Strong"/>
          <w:b w:val="0"/>
          <w:bCs w:val="0"/>
        </w:rPr>
        <w:t>sheath blight</w:t>
      </w:r>
      <w:r w:rsidRPr="0081472D">
        <w:t xml:space="preserve"> was considerably lower in the demonstration plots (2.98%) compared to the farmers’ practice plots (7.19%). Similarly, the </w:t>
      </w:r>
      <w:r w:rsidRPr="0081472D">
        <w:rPr>
          <w:rStyle w:val="Strong"/>
          <w:b w:val="0"/>
          <w:bCs w:val="0"/>
        </w:rPr>
        <w:t>false smut</w:t>
      </w:r>
      <w:r w:rsidRPr="0081472D">
        <w:t xml:space="preserve"> incidence was significantly reduced in the demonstration plots (1.90%) as against 6.90% observed under farmers’ practice (Table 1). The superior performance of these fungicidal combinations may be attributed to their </w:t>
      </w:r>
      <w:r w:rsidRPr="0081472D">
        <w:rPr>
          <w:rStyle w:val="Strong"/>
          <w:b w:val="0"/>
          <w:bCs w:val="0"/>
        </w:rPr>
        <w:t>broad-spectrum and systemic activity</w:t>
      </w:r>
      <w:r w:rsidRPr="0081472D">
        <w:t>, which effectively inhibit the development and spread of fungal pathogens within plant tissues</w:t>
      </w:r>
    </w:p>
    <w:p w14:paraId="0BC96BB6" w14:textId="77777777" w:rsidR="00E95AE1" w:rsidRPr="0081472D" w:rsidRDefault="00E95AE1" w:rsidP="00DB7185">
      <w:pPr>
        <w:pStyle w:val="NormalWeb"/>
        <w:spacing w:line="276" w:lineRule="auto"/>
        <w:ind w:firstLine="720"/>
        <w:jc w:val="both"/>
        <w:rPr>
          <w:b/>
          <w:bCs/>
        </w:rPr>
      </w:pPr>
      <w:r w:rsidRPr="0081472D">
        <w:t>The effective suppression of diseases in paddy is mainly due to the presence of</w:t>
      </w:r>
      <w:r w:rsidRPr="0081472D">
        <w:rPr>
          <w:b/>
          <w:bCs/>
        </w:rPr>
        <w:t xml:space="preserve"> </w:t>
      </w:r>
      <w:r w:rsidRPr="0081472D">
        <w:rPr>
          <w:rStyle w:val="Strong"/>
          <w:b w:val="0"/>
          <w:bCs w:val="0"/>
        </w:rPr>
        <w:t>strobilurin group fungicides</w:t>
      </w:r>
      <w:r w:rsidRPr="0081472D">
        <w:rPr>
          <w:b/>
          <w:bCs/>
        </w:rPr>
        <w:t xml:space="preserve">, </w:t>
      </w:r>
      <w:r w:rsidRPr="0081472D">
        <w:t>which act by</w:t>
      </w:r>
      <w:r w:rsidRPr="0081472D">
        <w:rPr>
          <w:b/>
          <w:bCs/>
        </w:rPr>
        <w:t xml:space="preserve"> </w:t>
      </w:r>
      <w:r w:rsidRPr="0081472D">
        <w:rPr>
          <w:rStyle w:val="Strong"/>
          <w:b w:val="0"/>
          <w:bCs w:val="0"/>
        </w:rPr>
        <w:t>interfering with fungal respiration and energy production</w:t>
      </w:r>
      <w:r w:rsidRPr="0081472D">
        <w:rPr>
          <w:b/>
          <w:bCs/>
        </w:rPr>
        <w:t xml:space="preserve">. </w:t>
      </w:r>
      <w:r w:rsidRPr="0081472D">
        <w:t xml:space="preserve">They inhibit electron transfer at the quinol oxidation (Qo) site of the mitochondrial cytochrome </w:t>
      </w:r>
      <w:proofErr w:type="spellStart"/>
      <w:r w:rsidRPr="0081472D">
        <w:rPr>
          <w:rStyle w:val="Emphasis"/>
        </w:rPr>
        <w:t>bc</w:t>
      </w:r>
      <w:proofErr w:type="spellEnd"/>
      <w:r w:rsidRPr="0081472D">
        <w:rPr>
          <w:rStyle w:val="Emphasis"/>
        </w:rPr>
        <w:t>₁</w:t>
      </w:r>
      <w:r w:rsidRPr="0081472D">
        <w:t xml:space="preserve"> complex (Complex III), thereby disrupting ATP synthesis and leading to the death of fungal cells. In addition</w:t>
      </w:r>
      <w:r w:rsidRPr="0081472D">
        <w:rPr>
          <w:b/>
          <w:bCs/>
        </w:rPr>
        <w:t xml:space="preserve">, </w:t>
      </w:r>
      <w:r w:rsidRPr="0081472D">
        <w:rPr>
          <w:rStyle w:val="Strong"/>
          <w:b w:val="0"/>
          <w:bCs w:val="0"/>
        </w:rPr>
        <w:t>azoxystrobin</w:t>
      </w:r>
      <w:r w:rsidRPr="0081472D">
        <w:rPr>
          <w:b/>
          <w:bCs/>
        </w:rPr>
        <w:t xml:space="preserve"> </w:t>
      </w:r>
      <w:r w:rsidRPr="0081472D">
        <w:t xml:space="preserve">exhibits </w:t>
      </w:r>
      <w:r w:rsidRPr="0081472D">
        <w:rPr>
          <w:rStyle w:val="Strong"/>
          <w:b w:val="0"/>
          <w:bCs w:val="0"/>
        </w:rPr>
        <w:t>translaminar and systemic movement</w:t>
      </w:r>
      <w:r w:rsidRPr="0081472D">
        <w:rPr>
          <w:b/>
          <w:bCs/>
        </w:rPr>
        <w:t xml:space="preserve"> </w:t>
      </w:r>
      <w:r w:rsidRPr="0081472D">
        <w:t>through the plant vascular system, offering both preventive and curative protection</w:t>
      </w:r>
      <w:r w:rsidRPr="0081472D">
        <w:rPr>
          <w:b/>
          <w:bCs/>
        </w:rPr>
        <w:t xml:space="preserve">. </w:t>
      </w:r>
      <w:r w:rsidRPr="0081472D">
        <w:t>The</w:t>
      </w:r>
      <w:r w:rsidRPr="0081472D">
        <w:rPr>
          <w:b/>
          <w:bCs/>
        </w:rPr>
        <w:t xml:space="preserve"> </w:t>
      </w:r>
      <w:r w:rsidRPr="0081472D">
        <w:rPr>
          <w:rStyle w:val="Strong"/>
          <w:b w:val="0"/>
          <w:bCs w:val="0"/>
        </w:rPr>
        <w:t>triazole components</w:t>
      </w:r>
      <w:r w:rsidRPr="0081472D">
        <w:rPr>
          <w:b/>
          <w:bCs/>
        </w:rPr>
        <w:t xml:space="preserve">, </w:t>
      </w:r>
      <w:r w:rsidRPr="0081472D">
        <w:t>such as tebuconazole and difenoconazole, complement this action by inhibiting</w:t>
      </w:r>
      <w:r w:rsidRPr="0081472D">
        <w:rPr>
          <w:b/>
          <w:bCs/>
        </w:rPr>
        <w:t xml:space="preserve"> </w:t>
      </w:r>
      <w:r w:rsidRPr="0081472D">
        <w:rPr>
          <w:rStyle w:val="Strong"/>
          <w:b w:val="0"/>
          <w:bCs w:val="0"/>
        </w:rPr>
        <w:t>ergosterol biosynthesis</w:t>
      </w:r>
      <w:r w:rsidRPr="0081472D">
        <w:rPr>
          <w:b/>
          <w:bCs/>
        </w:rPr>
        <w:t xml:space="preserve">, </w:t>
      </w:r>
      <w:r w:rsidRPr="0081472D">
        <w:t>a key component of fungal cell membranes, resulting in enhanced efficacy against a wide range of pathogens</w:t>
      </w:r>
      <w:r w:rsidRPr="0081472D">
        <w:rPr>
          <w:b/>
          <w:bCs/>
        </w:rPr>
        <w:t>.</w:t>
      </w:r>
    </w:p>
    <w:p w14:paraId="4935E6E7" w14:textId="77777777" w:rsidR="00CD4403" w:rsidRPr="0081472D" w:rsidRDefault="0069108A" w:rsidP="00DB7185">
      <w:pPr>
        <w:pStyle w:val="NormalWeb"/>
        <w:spacing w:line="276" w:lineRule="auto"/>
        <w:ind w:firstLine="720"/>
        <w:jc w:val="both"/>
        <w:rPr>
          <w:b/>
          <w:bCs/>
        </w:rPr>
      </w:pPr>
      <w:r w:rsidRPr="0081472D">
        <w:t xml:space="preserve">The present findings are in agreement with several earlier reports on the efficacy of strobilurin and triazole fungicidal combinations against major fungal diseases in paddy. </w:t>
      </w:r>
      <w:r w:rsidRPr="0081472D">
        <w:rPr>
          <w:rStyle w:val="Strong"/>
        </w:rPr>
        <w:t>Bhuvaneswari and Raju (2012)</w:t>
      </w:r>
      <w:r w:rsidRPr="0081472D">
        <w:t xml:space="preserve"> reported that the lowest sheath blight incidence was recorded </w:t>
      </w:r>
      <w:r w:rsidR="00CB66E9" w:rsidRPr="0081472D">
        <w:t xml:space="preserve">in the plots treated </w:t>
      </w:r>
      <w:r w:rsidRPr="0081472D">
        <w:t xml:space="preserve">with </w:t>
      </w:r>
      <w:r w:rsidRPr="0081472D">
        <w:rPr>
          <w:rStyle w:val="Strong"/>
          <w:b w:val="0"/>
          <w:bCs w:val="0"/>
        </w:rPr>
        <w:t>azoxystrobin 18.2% + difenoconazole 11.4% SC @ 1.25 ml/L (9.36%)</w:t>
      </w:r>
      <w:r w:rsidRPr="0081472D">
        <w:rPr>
          <w:b/>
          <w:bCs/>
        </w:rPr>
        <w:t>,</w:t>
      </w:r>
      <w:r w:rsidRPr="0081472D">
        <w:t xml:space="preserve"> followed by </w:t>
      </w:r>
      <w:r w:rsidRPr="0081472D">
        <w:rPr>
          <w:rStyle w:val="Strong"/>
          <w:b w:val="0"/>
          <w:bCs w:val="0"/>
        </w:rPr>
        <w:t>azoxystrobin 18.2% + difenoconazole 11.4% SC @ 1.0 ml/L (16.43%)</w:t>
      </w:r>
      <w:r w:rsidRPr="0081472D">
        <w:rPr>
          <w:b/>
          <w:bCs/>
        </w:rPr>
        <w:t>,</w:t>
      </w:r>
      <w:r w:rsidRPr="0081472D">
        <w:t xml:space="preserve"> both of which were significantly superior to the standard recommended fungicide </w:t>
      </w:r>
      <w:r w:rsidRPr="0081472D">
        <w:rPr>
          <w:rStyle w:val="Strong"/>
          <w:b w:val="0"/>
          <w:bCs w:val="0"/>
        </w:rPr>
        <w:lastRenderedPageBreak/>
        <w:t>hexaconazole 5% EC @ 2.0 ml/L (23.09%)</w:t>
      </w:r>
      <w:r w:rsidRPr="0081472D">
        <w:t xml:space="preserve">. Similarly, </w:t>
      </w:r>
      <w:r w:rsidRPr="0081472D">
        <w:rPr>
          <w:rStyle w:val="Strong"/>
        </w:rPr>
        <w:t xml:space="preserve">Thakur </w:t>
      </w:r>
      <w:r w:rsidRPr="0081472D">
        <w:rPr>
          <w:rStyle w:val="Strong"/>
          <w:i/>
          <w:iCs/>
        </w:rPr>
        <w:t>et al</w:t>
      </w:r>
      <w:r w:rsidRPr="0081472D">
        <w:rPr>
          <w:rStyle w:val="Strong"/>
        </w:rPr>
        <w:t>. (2018)</w:t>
      </w:r>
      <w:r w:rsidRPr="0081472D">
        <w:t xml:space="preserve"> observed that </w:t>
      </w:r>
      <w:r w:rsidRPr="0081472D">
        <w:rPr>
          <w:rStyle w:val="Strong"/>
          <w:b w:val="0"/>
          <w:bCs w:val="0"/>
        </w:rPr>
        <w:t>azoxystrobin 18.2% + difenoconazole 11.4% SC @ 1.0 ml/L</w:t>
      </w:r>
      <w:r w:rsidRPr="0081472D">
        <w:t xml:space="preserve"> and </w:t>
      </w:r>
      <w:r w:rsidRPr="0081472D">
        <w:rPr>
          <w:rStyle w:val="Strong"/>
          <w:b w:val="0"/>
          <w:bCs w:val="0"/>
        </w:rPr>
        <w:t>azoxystrobin 11% + tebuconazole 18.3% SC @ 1.5 ml/L</w:t>
      </w:r>
      <w:r w:rsidRPr="0081472D">
        <w:t xml:space="preserve"> were highly effective against sheath blight in paddy, with per cent disease indices of </w:t>
      </w:r>
      <w:r w:rsidRPr="0081472D">
        <w:rPr>
          <w:rStyle w:val="Strong"/>
          <w:b w:val="0"/>
          <w:bCs w:val="0"/>
        </w:rPr>
        <w:t>11.11</w:t>
      </w:r>
      <w:r w:rsidRPr="0081472D">
        <w:t xml:space="preserve"> and </w:t>
      </w:r>
      <w:r w:rsidRPr="0081472D">
        <w:rPr>
          <w:rStyle w:val="Strong"/>
          <w:b w:val="0"/>
          <w:bCs w:val="0"/>
        </w:rPr>
        <w:t>13.33</w:t>
      </w:r>
      <w:r w:rsidRPr="0081472D">
        <w:t>, respectively.</w:t>
      </w:r>
      <w:r w:rsidR="00CD4403" w:rsidRPr="0081472D">
        <w:t xml:space="preserve"> </w:t>
      </w:r>
      <w:r w:rsidR="003E6A95" w:rsidRPr="0081472D">
        <w:t xml:space="preserve">Further, </w:t>
      </w:r>
      <w:r w:rsidR="003E6A95" w:rsidRPr="0081472D">
        <w:rPr>
          <w:rStyle w:val="Strong"/>
        </w:rPr>
        <w:t xml:space="preserve">Sharma </w:t>
      </w:r>
      <w:r w:rsidR="003E6A95" w:rsidRPr="0081472D">
        <w:rPr>
          <w:rStyle w:val="Strong"/>
          <w:i/>
          <w:iCs/>
        </w:rPr>
        <w:t>et al</w:t>
      </w:r>
      <w:r w:rsidR="003E6A95" w:rsidRPr="0081472D">
        <w:rPr>
          <w:rStyle w:val="Strong"/>
        </w:rPr>
        <w:t>. (2024)</w:t>
      </w:r>
      <w:r w:rsidR="003E6A95" w:rsidRPr="0081472D">
        <w:t xml:space="preserve"> reported that </w:t>
      </w:r>
      <w:r w:rsidR="003E6A95" w:rsidRPr="0081472D">
        <w:rPr>
          <w:rStyle w:val="Strong"/>
          <w:b w:val="0"/>
          <w:bCs w:val="0"/>
        </w:rPr>
        <w:t>azoxystrobin 11% + tebuconazole 18.3% SC @ 1.5 ml/L</w:t>
      </w:r>
      <w:r w:rsidR="003E6A95" w:rsidRPr="0081472D">
        <w:t xml:space="preserve"> was highly effective in reduction of sheath blight severity (</w:t>
      </w:r>
      <w:r w:rsidR="003E6A95" w:rsidRPr="0081472D">
        <w:rPr>
          <w:rStyle w:val="Strong"/>
          <w:b w:val="0"/>
          <w:bCs w:val="0"/>
        </w:rPr>
        <w:t>11.16%</w:t>
      </w:r>
      <w:r w:rsidR="003E6A95" w:rsidRPr="0081472D">
        <w:rPr>
          <w:b/>
          <w:bCs/>
        </w:rPr>
        <w:t>)</w:t>
      </w:r>
      <w:r w:rsidR="000936AF" w:rsidRPr="0081472D">
        <w:t xml:space="preserve"> and attained</w:t>
      </w:r>
      <w:r w:rsidR="003E6A95" w:rsidRPr="0081472D">
        <w:t xml:space="preserve"> a </w:t>
      </w:r>
      <w:r w:rsidR="003E6A95" w:rsidRPr="0081472D">
        <w:rPr>
          <w:rStyle w:val="Strong"/>
          <w:b w:val="0"/>
          <w:bCs w:val="0"/>
        </w:rPr>
        <w:t>67.9% reduction over control</w:t>
      </w:r>
      <w:r w:rsidR="003E6A95" w:rsidRPr="0081472D">
        <w:t xml:space="preserve">, which was statistically at par with </w:t>
      </w:r>
      <w:r w:rsidR="003E6A95" w:rsidRPr="0081472D">
        <w:rPr>
          <w:rStyle w:val="Strong"/>
          <w:b w:val="0"/>
          <w:bCs w:val="0"/>
        </w:rPr>
        <w:t>azoxystrobin 18.2% + difenoconazole 11.4% SC @ 1.0 ml/L</w:t>
      </w:r>
      <w:r w:rsidR="003E6A95" w:rsidRPr="0081472D">
        <w:t xml:space="preserve">, recording </w:t>
      </w:r>
      <w:r w:rsidR="003E6A95" w:rsidRPr="0081472D">
        <w:rPr>
          <w:rStyle w:val="Strong"/>
          <w:b w:val="0"/>
          <w:bCs w:val="0"/>
        </w:rPr>
        <w:t>11.90% disease severity</w:t>
      </w:r>
      <w:r w:rsidR="003E6A95" w:rsidRPr="0081472D">
        <w:t xml:space="preserve"> and </w:t>
      </w:r>
      <w:r w:rsidR="003E6A95" w:rsidRPr="0081472D">
        <w:rPr>
          <w:rStyle w:val="Strong"/>
          <w:b w:val="0"/>
          <w:bCs w:val="0"/>
        </w:rPr>
        <w:t>65.8% reduction over control</w:t>
      </w:r>
      <w:r w:rsidR="003E6A95" w:rsidRPr="0081472D">
        <w:t xml:space="preserve">. </w:t>
      </w:r>
    </w:p>
    <w:p w14:paraId="33E81831" w14:textId="77777777" w:rsidR="00F6658F" w:rsidRPr="00FE423F" w:rsidRDefault="003E6A95" w:rsidP="00DB7185">
      <w:pPr>
        <w:shd w:val="clear" w:color="auto" w:fill="FFFFFF"/>
        <w:spacing w:line="276" w:lineRule="auto"/>
        <w:ind w:firstLine="720"/>
        <w:jc w:val="both"/>
        <w:rPr>
          <w:rFonts w:ascii="Times New Roman" w:eastAsia="Times New Roman" w:hAnsi="Times New Roman" w:cs="Times New Roman"/>
          <w:color w:val="000000"/>
          <w:kern w:val="0"/>
          <w:sz w:val="24"/>
          <w:szCs w:val="24"/>
          <w:lang w:val="en-US" w:bidi="te-IN"/>
          <w14:ligatures w14:val="none"/>
        </w:rPr>
      </w:pPr>
      <w:r w:rsidRPr="0081472D">
        <w:rPr>
          <w:rStyle w:val="Strong"/>
          <w:rFonts w:ascii="Times New Roman" w:hAnsi="Times New Roman" w:cs="Times New Roman"/>
          <w:sz w:val="24"/>
          <w:szCs w:val="24"/>
        </w:rPr>
        <w:t xml:space="preserve">Singh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(2020)</w:t>
      </w:r>
      <w:r w:rsidRPr="0081472D">
        <w:rPr>
          <w:rFonts w:ascii="Times New Roman" w:hAnsi="Times New Roman" w:cs="Times New Roman"/>
          <w:sz w:val="24"/>
          <w:szCs w:val="24"/>
        </w:rPr>
        <w:t xml:space="preserve"> observed lower </w:t>
      </w:r>
      <w:r w:rsidR="006A34C9" w:rsidRPr="0081472D">
        <w:rPr>
          <w:rFonts w:ascii="Times New Roman" w:hAnsi="Times New Roman" w:cs="Times New Roman"/>
          <w:sz w:val="24"/>
          <w:szCs w:val="24"/>
        </w:rPr>
        <w:t xml:space="preserve">false smut </w:t>
      </w:r>
      <w:r w:rsidRPr="0081472D">
        <w:rPr>
          <w:rFonts w:ascii="Times New Roman" w:hAnsi="Times New Roman" w:cs="Times New Roman"/>
          <w:sz w:val="24"/>
          <w:szCs w:val="24"/>
        </w:rPr>
        <w:t xml:space="preserve">disease severity in plots treated with </w:t>
      </w:r>
      <w:r w:rsidRPr="0081472D">
        <w:rPr>
          <w:rStyle w:val="Strong"/>
          <w:rFonts w:ascii="Times New Roman" w:hAnsi="Times New Roman" w:cs="Times New Roman"/>
          <w:b w:val="0"/>
          <w:bCs w:val="0"/>
          <w:sz w:val="24"/>
          <w:szCs w:val="24"/>
        </w:rPr>
        <w:t>propiconazole 25 EC @ 1 ml/L (1.80%)</w:t>
      </w:r>
      <w:r w:rsidRPr="0081472D">
        <w:rPr>
          <w:rFonts w:ascii="Times New Roman" w:hAnsi="Times New Roman" w:cs="Times New Roman"/>
          <w:sz w:val="24"/>
          <w:szCs w:val="24"/>
        </w:rPr>
        <w:t xml:space="preserve"> and </w:t>
      </w:r>
      <w:r w:rsidRPr="0081472D">
        <w:rPr>
          <w:rStyle w:val="Strong"/>
          <w:rFonts w:ascii="Times New Roman" w:hAnsi="Times New Roman" w:cs="Times New Roman"/>
          <w:b w:val="0"/>
          <w:bCs w:val="0"/>
          <w:sz w:val="24"/>
          <w:szCs w:val="24"/>
        </w:rPr>
        <w:t>azoxystrobin 18.2% + difenoconazole 11.4% SC @ 1.0 ml/L (3.60%)</w:t>
      </w:r>
      <w:r w:rsidRPr="0081472D">
        <w:rPr>
          <w:rFonts w:ascii="Times New Roman" w:hAnsi="Times New Roman" w:cs="Times New Roman"/>
          <w:sz w:val="24"/>
          <w:szCs w:val="24"/>
        </w:rPr>
        <w:t>. The incidence of infected panicles was also minimal with propiconazole (3.10%) followed by azoxystrobin + difenoconazole (3.67%).</w:t>
      </w:r>
      <w:r w:rsidR="00CD4403" w:rsidRPr="0081472D">
        <w:rPr>
          <w:rFonts w:ascii="Times New Roman" w:hAnsi="Times New Roman" w:cs="Times New Roman"/>
          <w:sz w:val="24"/>
          <w:szCs w:val="24"/>
        </w:rPr>
        <w:t xml:space="preserve"> </w:t>
      </w:r>
      <w:r w:rsidR="00F6658F" w:rsidRPr="0081472D">
        <w:rPr>
          <w:rFonts w:ascii="Times New Roman" w:hAnsi="Times New Roman" w:cs="Times New Roman"/>
          <w:sz w:val="24"/>
          <w:szCs w:val="24"/>
        </w:rPr>
        <w:t xml:space="preserve">In a similar study, </w:t>
      </w:r>
      <w:proofErr w:type="spellStart"/>
      <w:r w:rsidR="00F6658F" w:rsidRPr="0081472D">
        <w:rPr>
          <w:rStyle w:val="Strong"/>
          <w:rFonts w:ascii="Times New Roman" w:hAnsi="Times New Roman" w:cs="Times New Roman"/>
          <w:sz w:val="24"/>
          <w:szCs w:val="24"/>
        </w:rPr>
        <w:t>Sharanabasav</w:t>
      </w:r>
      <w:proofErr w:type="spellEnd"/>
      <w:r w:rsidR="00F6658F" w:rsidRPr="0081472D">
        <w:rPr>
          <w:rStyle w:val="Strong"/>
          <w:rFonts w:ascii="Times New Roman" w:hAnsi="Times New Roman" w:cs="Times New Roman"/>
          <w:sz w:val="24"/>
          <w:szCs w:val="24"/>
        </w:rPr>
        <w:t xml:space="preserve"> </w:t>
      </w:r>
      <w:r w:rsidR="00F6658F" w:rsidRPr="0081472D">
        <w:rPr>
          <w:rStyle w:val="Strong"/>
          <w:rFonts w:ascii="Times New Roman" w:hAnsi="Times New Roman" w:cs="Times New Roman"/>
          <w:i/>
          <w:iCs/>
          <w:sz w:val="24"/>
          <w:szCs w:val="24"/>
        </w:rPr>
        <w:t>et al</w:t>
      </w:r>
      <w:r w:rsidR="00F6658F" w:rsidRPr="0081472D">
        <w:rPr>
          <w:rStyle w:val="Strong"/>
          <w:rFonts w:ascii="Times New Roman" w:hAnsi="Times New Roman" w:cs="Times New Roman"/>
          <w:sz w:val="24"/>
          <w:szCs w:val="24"/>
        </w:rPr>
        <w:t>. (2020)</w:t>
      </w:r>
      <w:r w:rsidR="00F6658F" w:rsidRPr="0081472D">
        <w:rPr>
          <w:rFonts w:ascii="Times New Roman" w:hAnsi="Times New Roman" w:cs="Times New Roman"/>
          <w:sz w:val="24"/>
          <w:szCs w:val="24"/>
        </w:rPr>
        <w:t xml:space="preserve"> noticed that </w:t>
      </w:r>
      <w:proofErr w:type="spellStart"/>
      <w:r w:rsidR="00F6658F" w:rsidRPr="0081472D">
        <w:rPr>
          <w:rStyle w:val="Strong"/>
          <w:rFonts w:ascii="Times New Roman" w:hAnsi="Times New Roman" w:cs="Times New Roman"/>
          <w:b w:val="0"/>
          <w:bCs w:val="0"/>
          <w:sz w:val="24"/>
          <w:szCs w:val="24"/>
        </w:rPr>
        <w:t>trifloxystrobin</w:t>
      </w:r>
      <w:proofErr w:type="spellEnd"/>
      <w:r w:rsidR="00F6658F" w:rsidRPr="0081472D">
        <w:rPr>
          <w:rStyle w:val="Strong"/>
          <w:rFonts w:ascii="Times New Roman" w:hAnsi="Times New Roman" w:cs="Times New Roman"/>
          <w:b w:val="0"/>
          <w:bCs w:val="0"/>
          <w:sz w:val="24"/>
          <w:szCs w:val="24"/>
        </w:rPr>
        <w:t xml:space="preserve"> 25% + </w:t>
      </w:r>
      <w:proofErr w:type="spellStart"/>
      <w:r w:rsidR="00F6658F" w:rsidRPr="0081472D">
        <w:rPr>
          <w:rStyle w:val="Strong"/>
          <w:rFonts w:ascii="Times New Roman" w:hAnsi="Times New Roman" w:cs="Times New Roman"/>
          <w:b w:val="0"/>
          <w:bCs w:val="0"/>
          <w:sz w:val="24"/>
          <w:szCs w:val="24"/>
        </w:rPr>
        <w:t>tebuconazole</w:t>
      </w:r>
      <w:proofErr w:type="spellEnd"/>
      <w:r w:rsidR="00F6658F" w:rsidRPr="0081472D">
        <w:rPr>
          <w:rStyle w:val="Strong"/>
          <w:rFonts w:ascii="Times New Roman" w:hAnsi="Times New Roman" w:cs="Times New Roman"/>
          <w:b w:val="0"/>
          <w:bCs w:val="0"/>
          <w:sz w:val="24"/>
          <w:szCs w:val="24"/>
        </w:rPr>
        <w:t xml:space="preserve"> 50% @ 0.4 g/L</w:t>
      </w:r>
      <w:r w:rsidR="00F6658F" w:rsidRPr="0081472D">
        <w:rPr>
          <w:rFonts w:ascii="Times New Roman" w:hAnsi="Times New Roman" w:cs="Times New Roman"/>
          <w:sz w:val="24"/>
          <w:szCs w:val="24"/>
        </w:rPr>
        <w:t xml:space="preserve"> recorded the least disease severity </w:t>
      </w:r>
      <w:r w:rsidR="00F6658F" w:rsidRPr="0081472D">
        <w:rPr>
          <w:rFonts w:ascii="Times New Roman" w:hAnsi="Times New Roman" w:cs="Times New Roman"/>
          <w:b/>
          <w:bCs/>
          <w:sz w:val="24"/>
          <w:szCs w:val="24"/>
        </w:rPr>
        <w:t>(</w:t>
      </w:r>
      <w:r w:rsidR="00F6658F" w:rsidRPr="0081472D">
        <w:rPr>
          <w:rStyle w:val="Strong"/>
          <w:rFonts w:ascii="Times New Roman" w:hAnsi="Times New Roman" w:cs="Times New Roman"/>
          <w:b w:val="0"/>
          <w:bCs w:val="0"/>
          <w:sz w:val="24"/>
          <w:szCs w:val="24"/>
        </w:rPr>
        <w:t>35.87%</w:t>
      </w:r>
      <w:r w:rsidR="00F6658F" w:rsidRPr="0081472D">
        <w:rPr>
          <w:rFonts w:ascii="Times New Roman" w:hAnsi="Times New Roman" w:cs="Times New Roman"/>
          <w:b/>
          <w:bCs/>
          <w:sz w:val="24"/>
          <w:szCs w:val="24"/>
        </w:rPr>
        <w:t>),</w:t>
      </w:r>
      <w:r w:rsidR="00F6658F" w:rsidRPr="0081472D">
        <w:rPr>
          <w:rFonts w:ascii="Times New Roman" w:hAnsi="Times New Roman" w:cs="Times New Roman"/>
          <w:sz w:val="24"/>
          <w:szCs w:val="24"/>
        </w:rPr>
        <w:t xml:space="preserve"> followed by </w:t>
      </w:r>
      <w:r w:rsidR="00F6658F" w:rsidRPr="0081472D">
        <w:rPr>
          <w:rStyle w:val="Strong"/>
          <w:rFonts w:ascii="Times New Roman" w:hAnsi="Times New Roman" w:cs="Times New Roman"/>
          <w:b w:val="0"/>
          <w:bCs w:val="0"/>
          <w:sz w:val="24"/>
          <w:szCs w:val="24"/>
        </w:rPr>
        <w:t>azoxystrobin 18.2% + difenoconazole 11.4% SC @ 1.0 ml/L (39.90%)</w:t>
      </w:r>
      <w:r w:rsidR="00F6658F" w:rsidRPr="0081472D">
        <w:rPr>
          <w:rFonts w:ascii="Times New Roman" w:hAnsi="Times New Roman" w:cs="Times New Roman"/>
          <w:sz w:val="24"/>
          <w:szCs w:val="24"/>
        </w:rPr>
        <w:t xml:space="preserve"> under field conditions. These findings collectively emphasize the superior performance of strobilurin and triazole-based fungicide combinations in effectively managing sheath blight and false smut diseases in paddy, owing to their </w:t>
      </w:r>
      <w:r w:rsidR="00F6658F" w:rsidRPr="0081472D">
        <w:rPr>
          <w:rStyle w:val="Strong"/>
          <w:rFonts w:ascii="Times New Roman" w:hAnsi="Times New Roman" w:cs="Times New Roman"/>
          <w:b w:val="0"/>
          <w:bCs w:val="0"/>
          <w:sz w:val="24"/>
          <w:szCs w:val="24"/>
        </w:rPr>
        <w:t>systemic, protective, and curative properties</w:t>
      </w:r>
      <w:r w:rsidR="00F6658F" w:rsidRPr="0081472D">
        <w:rPr>
          <w:rFonts w:ascii="Times New Roman" w:hAnsi="Times New Roman" w:cs="Times New Roman"/>
          <w:b/>
          <w:bCs/>
          <w:sz w:val="24"/>
          <w:szCs w:val="24"/>
        </w:rPr>
        <w:t>.</w:t>
      </w:r>
      <w:r w:rsidR="00F6658F" w:rsidRPr="0081472D">
        <w:rPr>
          <w:rFonts w:ascii="Times New Roman" w:hAnsi="Times New Roman" w:cs="Times New Roman"/>
          <w:sz w:val="24"/>
          <w:szCs w:val="24"/>
        </w:rPr>
        <w:t xml:space="preserve"> The combined mode of action of these fungicides—</w:t>
      </w:r>
      <w:r w:rsidR="00F6658F" w:rsidRPr="0081472D">
        <w:rPr>
          <w:rStyle w:val="Strong"/>
          <w:rFonts w:ascii="Times New Roman" w:hAnsi="Times New Roman" w:cs="Times New Roman"/>
          <w:b w:val="0"/>
          <w:bCs w:val="0"/>
          <w:sz w:val="24"/>
          <w:szCs w:val="24"/>
        </w:rPr>
        <w:t>inhibition of mitochondrial respiration</w:t>
      </w:r>
      <w:r w:rsidR="00F6658F" w:rsidRPr="0081472D">
        <w:rPr>
          <w:rFonts w:ascii="Times New Roman" w:hAnsi="Times New Roman" w:cs="Times New Roman"/>
          <w:sz w:val="24"/>
          <w:szCs w:val="24"/>
        </w:rPr>
        <w:t xml:space="preserve"> by strobilurins and </w:t>
      </w:r>
      <w:r w:rsidR="00F6658F" w:rsidRPr="0081472D">
        <w:rPr>
          <w:rStyle w:val="Strong"/>
          <w:rFonts w:ascii="Times New Roman" w:hAnsi="Times New Roman" w:cs="Times New Roman"/>
          <w:b w:val="0"/>
          <w:bCs w:val="0"/>
          <w:sz w:val="24"/>
          <w:szCs w:val="24"/>
        </w:rPr>
        <w:t>disruption of ergosterol biosynthesis</w:t>
      </w:r>
      <w:r w:rsidR="00F6658F" w:rsidRPr="0081472D">
        <w:rPr>
          <w:rFonts w:ascii="Times New Roman" w:hAnsi="Times New Roman" w:cs="Times New Roman"/>
          <w:sz w:val="24"/>
          <w:szCs w:val="24"/>
        </w:rPr>
        <w:t xml:space="preserve"> by triazoles—provides comprehensive disease suppression and improved plant health, leading to higher yield stability in rice ecosystems.</w:t>
      </w:r>
    </w:p>
    <w:p w14:paraId="69F4D555" w14:textId="77777777" w:rsidR="00D54260" w:rsidRPr="00DF68CE" w:rsidRDefault="00D54260" w:rsidP="00DB7185">
      <w:pPr>
        <w:spacing w:before="100" w:beforeAutospacing="1" w:after="100" w:afterAutospacing="1" w:line="276" w:lineRule="auto"/>
        <w:outlineLvl w:val="2"/>
        <w:rPr>
          <w:rFonts w:ascii="Times New Roman" w:eastAsia="Times New Roman" w:hAnsi="Times New Roman" w:cs="Times New Roman"/>
          <w:b/>
          <w:bCs/>
          <w:sz w:val="24"/>
          <w:szCs w:val="24"/>
          <w:lang w:bidi="te-IN"/>
        </w:rPr>
      </w:pPr>
      <w:commentRangeStart w:id="5"/>
      <w:r w:rsidRPr="0081472D">
        <w:rPr>
          <w:rFonts w:ascii="Times New Roman" w:eastAsia="Times New Roman" w:hAnsi="Times New Roman" w:cs="Times New Roman"/>
          <w:b/>
          <w:bCs/>
          <w:sz w:val="24"/>
          <w:szCs w:val="24"/>
          <w:lang w:bidi="te-IN"/>
        </w:rPr>
        <w:t>Yield Performance and Economic Analysis</w:t>
      </w:r>
      <w:commentRangeEnd w:id="5"/>
      <w:r w:rsidR="00E77CDB">
        <w:rPr>
          <w:rStyle w:val="CommentReference"/>
        </w:rPr>
        <w:commentReference w:id="5"/>
      </w:r>
    </w:p>
    <w:p w14:paraId="70A90D4B" w14:textId="77777777" w:rsidR="00D54260" w:rsidRPr="00DF68CE" w:rsidRDefault="00D54260" w:rsidP="00DB7185">
      <w:pPr>
        <w:spacing w:before="100" w:beforeAutospacing="1" w:after="100" w:afterAutospacing="1" w:line="276" w:lineRule="auto"/>
        <w:ind w:firstLine="720"/>
        <w:jc w:val="both"/>
        <w:outlineLvl w:val="2"/>
        <w:rPr>
          <w:rFonts w:ascii="Times New Roman" w:hAnsi="Times New Roman" w:cs="Times New Roman"/>
          <w:i/>
          <w:iCs/>
          <w:sz w:val="24"/>
          <w:szCs w:val="24"/>
        </w:rPr>
      </w:pPr>
      <w:r w:rsidRPr="00DF68CE">
        <w:rPr>
          <w:rFonts w:ascii="Times New Roman" w:eastAsia="Times New Roman" w:hAnsi="Times New Roman" w:cs="Times New Roman"/>
          <w:sz w:val="24"/>
          <w:szCs w:val="24"/>
          <w:lang w:bidi="te-IN"/>
        </w:rPr>
        <w:t xml:space="preserve">The field evaluation of fungicidal treatments revealed a clear and significant improvement in grain yield and economic returns compared with the farmers’ traditional practices. </w:t>
      </w:r>
      <w:r w:rsidR="00C77AF0" w:rsidRPr="0081472D">
        <w:rPr>
          <w:rFonts w:ascii="Times New Roman" w:hAnsi="Times New Roman" w:cs="Times New Roman"/>
          <w:sz w:val="24"/>
          <w:szCs w:val="24"/>
        </w:rPr>
        <w:t xml:space="preserve">The </w:t>
      </w:r>
      <w:r w:rsidR="00C77AF0" w:rsidRPr="0081472D">
        <w:rPr>
          <w:rStyle w:val="Strong"/>
          <w:rFonts w:ascii="Times New Roman" w:hAnsi="Times New Roman" w:cs="Times New Roman"/>
          <w:b w:val="0"/>
          <w:bCs w:val="0"/>
          <w:sz w:val="24"/>
          <w:szCs w:val="24"/>
        </w:rPr>
        <w:t>demonstration plots recorded a grain yield of 6,112 kg/ha</w:t>
      </w:r>
      <w:r w:rsidR="00C77AF0" w:rsidRPr="0081472D">
        <w:rPr>
          <w:rFonts w:ascii="Times New Roman" w:hAnsi="Times New Roman" w:cs="Times New Roman"/>
          <w:b/>
          <w:bCs/>
          <w:sz w:val="24"/>
          <w:szCs w:val="24"/>
        </w:rPr>
        <w:t xml:space="preserve">, </w:t>
      </w:r>
      <w:r w:rsidR="00C77AF0" w:rsidRPr="0081472D">
        <w:rPr>
          <w:rFonts w:ascii="Times New Roman" w:hAnsi="Times New Roman" w:cs="Times New Roman"/>
          <w:sz w:val="24"/>
          <w:szCs w:val="24"/>
        </w:rPr>
        <w:t>which was</w:t>
      </w:r>
      <w:r w:rsidR="00C77AF0" w:rsidRPr="0081472D">
        <w:rPr>
          <w:rFonts w:ascii="Times New Roman" w:hAnsi="Times New Roman" w:cs="Times New Roman"/>
          <w:b/>
          <w:bCs/>
          <w:sz w:val="24"/>
          <w:szCs w:val="24"/>
        </w:rPr>
        <w:t xml:space="preserve"> </w:t>
      </w:r>
      <w:r w:rsidR="00C77AF0" w:rsidRPr="0081472D">
        <w:rPr>
          <w:rStyle w:val="Strong"/>
          <w:rFonts w:ascii="Times New Roman" w:hAnsi="Times New Roman" w:cs="Times New Roman"/>
          <w:b w:val="0"/>
          <w:bCs w:val="0"/>
          <w:sz w:val="24"/>
          <w:szCs w:val="24"/>
        </w:rPr>
        <w:t>8.77% higher</w:t>
      </w:r>
      <w:r w:rsidR="00C77AF0" w:rsidRPr="0081472D">
        <w:rPr>
          <w:rFonts w:ascii="Times New Roman" w:hAnsi="Times New Roman" w:cs="Times New Roman"/>
          <w:b/>
          <w:bCs/>
          <w:sz w:val="24"/>
          <w:szCs w:val="24"/>
        </w:rPr>
        <w:t xml:space="preserve"> </w:t>
      </w:r>
      <w:r w:rsidR="00C77AF0" w:rsidRPr="0081472D">
        <w:rPr>
          <w:rFonts w:ascii="Times New Roman" w:hAnsi="Times New Roman" w:cs="Times New Roman"/>
          <w:sz w:val="24"/>
          <w:szCs w:val="24"/>
        </w:rPr>
        <w:t xml:space="preserve">than the </w:t>
      </w:r>
      <w:r w:rsidR="00C77AF0" w:rsidRPr="0081472D">
        <w:rPr>
          <w:rStyle w:val="Strong"/>
          <w:rFonts w:ascii="Times New Roman" w:hAnsi="Times New Roman" w:cs="Times New Roman"/>
          <w:b w:val="0"/>
          <w:bCs w:val="0"/>
          <w:sz w:val="24"/>
          <w:szCs w:val="24"/>
        </w:rPr>
        <w:t>farmers’ practice plots (5,632 kg/ha)</w:t>
      </w:r>
      <w:r w:rsidR="00C77AF0" w:rsidRPr="0081472D">
        <w:rPr>
          <w:rFonts w:ascii="Times New Roman" w:hAnsi="Times New Roman" w:cs="Times New Roman"/>
          <w:sz w:val="24"/>
          <w:szCs w:val="24"/>
        </w:rPr>
        <w:t xml:space="preserve">. The corresponding </w:t>
      </w:r>
      <w:r w:rsidR="00C77AF0" w:rsidRPr="0081472D">
        <w:rPr>
          <w:rStyle w:val="Strong"/>
          <w:rFonts w:ascii="Times New Roman" w:hAnsi="Times New Roman" w:cs="Times New Roman"/>
          <w:b w:val="0"/>
          <w:bCs w:val="0"/>
          <w:sz w:val="24"/>
          <w:szCs w:val="24"/>
        </w:rPr>
        <w:t>net returns</w:t>
      </w:r>
      <w:r w:rsidR="00C77AF0" w:rsidRPr="0081472D">
        <w:rPr>
          <w:rFonts w:ascii="Times New Roman" w:hAnsi="Times New Roman" w:cs="Times New Roman"/>
          <w:sz w:val="24"/>
          <w:szCs w:val="24"/>
        </w:rPr>
        <w:t xml:space="preserve"> were ₹ 64,092/ha in the demonstration plots compared to ₹ 55,311/ha under farmers’ practice. Likewise, the </w:t>
      </w:r>
      <w:r w:rsidR="00C77AF0" w:rsidRPr="0081472D">
        <w:rPr>
          <w:rStyle w:val="Strong"/>
          <w:rFonts w:ascii="Times New Roman" w:hAnsi="Times New Roman" w:cs="Times New Roman"/>
          <w:b w:val="0"/>
          <w:bCs w:val="0"/>
          <w:sz w:val="24"/>
          <w:szCs w:val="24"/>
        </w:rPr>
        <w:t>benefit–cost ratio (B:C)</w:t>
      </w:r>
      <w:r w:rsidR="00C77AF0" w:rsidRPr="0081472D">
        <w:rPr>
          <w:rFonts w:ascii="Times New Roman" w:hAnsi="Times New Roman" w:cs="Times New Roman"/>
          <w:sz w:val="24"/>
          <w:szCs w:val="24"/>
        </w:rPr>
        <w:t xml:space="preserve"> was higher in the demonstration (1.93:1) than in the farmers’ practice (1.83:1), indicating the economic feasibility of adopting fungicidal treatments at the field level. The enhanced yield and profitability in the demonstration plots can be attributed to the </w:t>
      </w:r>
      <w:r w:rsidR="00C77AF0" w:rsidRPr="0081472D">
        <w:rPr>
          <w:rStyle w:val="Strong"/>
          <w:rFonts w:ascii="Times New Roman" w:hAnsi="Times New Roman" w:cs="Times New Roman"/>
          <w:b w:val="0"/>
          <w:bCs w:val="0"/>
          <w:sz w:val="24"/>
          <w:szCs w:val="24"/>
        </w:rPr>
        <w:t>timely prophylactic application of systemic fungicides</w:t>
      </w:r>
      <w:r w:rsidR="00C77AF0" w:rsidRPr="0081472D">
        <w:rPr>
          <w:rFonts w:ascii="Times New Roman" w:hAnsi="Times New Roman" w:cs="Times New Roman"/>
          <w:sz w:val="24"/>
          <w:szCs w:val="24"/>
        </w:rPr>
        <w:t>, which effectively reduced disease incidence and protected the crop during critical growth stages</w:t>
      </w:r>
      <w:r w:rsidR="00200F04" w:rsidRPr="0081472D">
        <w:rPr>
          <w:rFonts w:ascii="Times New Roman" w:hAnsi="Times New Roman" w:cs="Times New Roman"/>
          <w:sz w:val="24"/>
          <w:szCs w:val="24"/>
        </w:rPr>
        <w:t xml:space="preserve"> </w:t>
      </w:r>
      <w:r w:rsidR="00200F04" w:rsidRPr="0081472D">
        <w:rPr>
          <w:rFonts w:ascii="Times New Roman" w:hAnsi="Times New Roman" w:cs="Times New Roman"/>
          <w:i/>
          <w:iCs/>
          <w:sz w:val="24"/>
          <w:szCs w:val="24"/>
        </w:rPr>
        <w:t xml:space="preserve">i.e. </w:t>
      </w:r>
      <w:r w:rsidRPr="00DF68CE">
        <w:rPr>
          <w:rFonts w:ascii="Times New Roman" w:eastAsia="Times New Roman" w:hAnsi="Times New Roman" w:cs="Times New Roman"/>
          <w:sz w:val="24"/>
          <w:szCs w:val="24"/>
          <w:lang w:bidi="te-IN"/>
        </w:rPr>
        <w:t>tillering and flowering. The significant reduction in disease incidence also contributed to higher grain filling, bet</w:t>
      </w:r>
      <w:r w:rsidR="00200F04" w:rsidRPr="0081472D">
        <w:rPr>
          <w:rFonts w:ascii="Times New Roman" w:eastAsia="Times New Roman" w:hAnsi="Times New Roman" w:cs="Times New Roman"/>
          <w:sz w:val="24"/>
          <w:szCs w:val="24"/>
          <w:lang w:bidi="te-IN"/>
        </w:rPr>
        <w:t>ter panicle health</w:t>
      </w:r>
      <w:r w:rsidRPr="00DF68CE">
        <w:rPr>
          <w:rFonts w:ascii="Times New Roman" w:eastAsia="Times New Roman" w:hAnsi="Times New Roman" w:cs="Times New Roman"/>
          <w:sz w:val="24"/>
          <w:szCs w:val="24"/>
          <w:lang w:bidi="te-IN"/>
        </w:rPr>
        <w:t xml:space="preserve"> and improved grain quality.</w:t>
      </w:r>
    </w:p>
    <w:p w14:paraId="206FFA46" w14:textId="77777777" w:rsidR="004816F0" w:rsidRPr="00A62DA6" w:rsidRDefault="004816F0" w:rsidP="00A62DA6">
      <w:pPr>
        <w:spacing w:before="100" w:beforeAutospacing="1" w:after="100" w:afterAutospacing="1" w:line="276" w:lineRule="auto"/>
        <w:ind w:firstLine="720"/>
        <w:jc w:val="both"/>
        <w:outlineLvl w:val="2"/>
        <w:rPr>
          <w:rFonts w:ascii="Times New Roman" w:hAnsi="Times New Roman" w:cs="Times New Roman"/>
          <w:sz w:val="24"/>
          <w:szCs w:val="24"/>
        </w:rPr>
      </w:pPr>
      <w:r w:rsidRPr="0081472D">
        <w:rPr>
          <w:rFonts w:ascii="Times New Roman" w:hAnsi="Times New Roman" w:cs="Times New Roman"/>
          <w:sz w:val="24"/>
          <w:szCs w:val="24"/>
        </w:rPr>
        <w:t xml:space="preserve">The present findings are in close agreement with those of </w:t>
      </w:r>
      <w:r w:rsidRPr="0081472D">
        <w:rPr>
          <w:rStyle w:val="Strong"/>
          <w:rFonts w:ascii="Times New Roman" w:hAnsi="Times New Roman" w:cs="Times New Roman"/>
          <w:sz w:val="24"/>
          <w:szCs w:val="24"/>
        </w:rPr>
        <w:t xml:space="preserve">Sharma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(2024)</w:t>
      </w:r>
      <w:r w:rsidRPr="0081472D">
        <w:rPr>
          <w:rFonts w:ascii="Times New Roman" w:hAnsi="Times New Roman" w:cs="Times New Roman"/>
          <w:sz w:val="24"/>
          <w:szCs w:val="24"/>
        </w:rPr>
        <w:t xml:space="preserve">, who reported the highest grain yield (3,761 kg/ha) in paddy plots treated with </w:t>
      </w:r>
      <w:r w:rsidRPr="0081472D">
        <w:rPr>
          <w:rStyle w:val="Strong"/>
          <w:rFonts w:ascii="Times New Roman" w:hAnsi="Times New Roman" w:cs="Times New Roman"/>
          <w:b w:val="0"/>
          <w:bCs w:val="0"/>
          <w:sz w:val="24"/>
          <w:szCs w:val="24"/>
        </w:rPr>
        <w:t>azoxystrobin 11% + tebuconazole 18.3% w/w SC @ 1.5 ml/L</w:t>
      </w:r>
      <w:r w:rsidRPr="0081472D">
        <w:rPr>
          <w:rFonts w:ascii="Times New Roman" w:hAnsi="Times New Roman" w:cs="Times New Roman"/>
          <w:sz w:val="24"/>
          <w:szCs w:val="24"/>
        </w:rPr>
        <w:t xml:space="preserve">, which was </w:t>
      </w:r>
      <w:r w:rsidRPr="0081472D">
        <w:rPr>
          <w:rStyle w:val="Strong"/>
          <w:rFonts w:ascii="Times New Roman" w:hAnsi="Times New Roman" w:cs="Times New Roman"/>
          <w:b w:val="0"/>
          <w:bCs w:val="0"/>
          <w:sz w:val="24"/>
          <w:szCs w:val="24"/>
        </w:rPr>
        <w:t>31.0% higher than the control</w:t>
      </w:r>
      <w:r w:rsidRPr="0081472D">
        <w:rPr>
          <w:rFonts w:ascii="Times New Roman" w:hAnsi="Times New Roman" w:cs="Times New Roman"/>
          <w:sz w:val="24"/>
          <w:szCs w:val="24"/>
        </w:rPr>
        <w:t xml:space="preserve">. Similarly, </w:t>
      </w:r>
      <w:r w:rsidRPr="0081472D">
        <w:rPr>
          <w:rStyle w:val="Strong"/>
          <w:rFonts w:ascii="Times New Roman" w:hAnsi="Times New Roman" w:cs="Times New Roman"/>
          <w:sz w:val="24"/>
          <w:szCs w:val="24"/>
        </w:rPr>
        <w:t xml:space="preserve">Singh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(2020)</w:t>
      </w:r>
      <w:r w:rsidRPr="0081472D">
        <w:rPr>
          <w:rFonts w:ascii="Times New Roman" w:hAnsi="Times New Roman" w:cs="Times New Roman"/>
          <w:sz w:val="24"/>
          <w:szCs w:val="24"/>
        </w:rPr>
        <w:t xml:space="preserve"> observed that plots treated with </w:t>
      </w:r>
      <w:r w:rsidRPr="0081472D">
        <w:rPr>
          <w:rStyle w:val="Strong"/>
          <w:rFonts w:ascii="Times New Roman" w:hAnsi="Times New Roman" w:cs="Times New Roman"/>
          <w:b w:val="0"/>
          <w:bCs w:val="0"/>
          <w:sz w:val="24"/>
          <w:szCs w:val="24"/>
        </w:rPr>
        <w:t>propiconazole 25 EC @ 1 ml/L</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 xml:space="preserve">and </w:t>
      </w:r>
      <w:r w:rsidRPr="0081472D">
        <w:rPr>
          <w:rStyle w:val="Strong"/>
          <w:rFonts w:ascii="Times New Roman" w:hAnsi="Times New Roman" w:cs="Times New Roman"/>
          <w:b w:val="0"/>
          <w:bCs w:val="0"/>
          <w:sz w:val="24"/>
          <w:szCs w:val="24"/>
        </w:rPr>
        <w:t>azoxystrobin 18.2% + difenoconazole 11.4% SC @ 1.0 ml/L</w:t>
      </w:r>
      <w:r w:rsidRPr="0081472D">
        <w:rPr>
          <w:rFonts w:ascii="Times New Roman" w:hAnsi="Times New Roman" w:cs="Times New Roman"/>
          <w:sz w:val="24"/>
          <w:szCs w:val="24"/>
        </w:rPr>
        <w:t xml:space="preserve"> recorded </w:t>
      </w:r>
      <w:r w:rsidRPr="0081472D">
        <w:rPr>
          <w:rStyle w:val="Strong"/>
          <w:rFonts w:ascii="Times New Roman" w:hAnsi="Times New Roman" w:cs="Times New Roman"/>
          <w:b w:val="0"/>
          <w:bCs w:val="0"/>
          <w:sz w:val="24"/>
          <w:szCs w:val="24"/>
        </w:rPr>
        <w:t>yield increases of 99.93% and 96.56%</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respectively, over the control, indicating the effectiveness of these </w:t>
      </w:r>
      <w:r w:rsidRPr="0081472D">
        <w:rPr>
          <w:rFonts w:ascii="Times New Roman" w:hAnsi="Times New Roman" w:cs="Times New Roman"/>
          <w:sz w:val="24"/>
          <w:szCs w:val="24"/>
        </w:rPr>
        <w:lastRenderedPageBreak/>
        <w:t xml:space="preserve">fungicides against false smut in paddy. </w:t>
      </w:r>
      <w:r w:rsidRPr="0081472D">
        <w:rPr>
          <w:rStyle w:val="Strong"/>
          <w:rFonts w:ascii="Times New Roman" w:hAnsi="Times New Roman" w:cs="Times New Roman"/>
          <w:sz w:val="24"/>
          <w:szCs w:val="24"/>
        </w:rPr>
        <w:t>Bhuvaneswari and Raju (2012)</w:t>
      </w:r>
      <w:r w:rsidRPr="0081472D">
        <w:rPr>
          <w:rFonts w:ascii="Times New Roman" w:hAnsi="Times New Roman" w:cs="Times New Roman"/>
          <w:sz w:val="24"/>
          <w:szCs w:val="24"/>
        </w:rPr>
        <w:t xml:space="preserve"> also reported that </w:t>
      </w:r>
      <w:r w:rsidRPr="0081472D">
        <w:rPr>
          <w:rStyle w:val="Strong"/>
          <w:rFonts w:ascii="Times New Roman" w:hAnsi="Times New Roman" w:cs="Times New Roman"/>
          <w:b w:val="0"/>
          <w:bCs w:val="0"/>
          <w:sz w:val="24"/>
          <w:szCs w:val="24"/>
        </w:rPr>
        <w:t>azoxystrobin 18.2% + difenoconazole 11.4% SC @ 1.25 ml/L</w:t>
      </w:r>
      <w:r w:rsidRPr="0081472D">
        <w:rPr>
          <w:rFonts w:ascii="Times New Roman" w:hAnsi="Times New Roman" w:cs="Times New Roman"/>
          <w:sz w:val="24"/>
          <w:szCs w:val="24"/>
        </w:rPr>
        <w:t xml:space="preserve"> recorded the highest yield (6,908 kg/ha) in the management of sheath blight, followed by </w:t>
      </w:r>
      <w:r w:rsidRPr="0081472D">
        <w:rPr>
          <w:rStyle w:val="Strong"/>
          <w:rFonts w:ascii="Times New Roman" w:hAnsi="Times New Roman" w:cs="Times New Roman"/>
          <w:b w:val="0"/>
          <w:bCs w:val="0"/>
          <w:sz w:val="24"/>
          <w:szCs w:val="24"/>
        </w:rPr>
        <w:t>hexaconazole 5% EC @ 2.0 ml/L (6,661 kg/ha)</w:t>
      </w:r>
      <w:r w:rsidRPr="0081472D">
        <w:rPr>
          <w:rFonts w:ascii="Times New Roman" w:hAnsi="Times New Roman" w:cs="Times New Roman"/>
          <w:sz w:val="24"/>
          <w:szCs w:val="24"/>
        </w:rPr>
        <w:t>.</w:t>
      </w:r>
      <w:r w:rsidR="00B21FCC">
        <w:rPr>
          <w:rFonts w:ascii="Times New Roman" w:hAnsi="Times New Roman" w:cs="Times New Roman"/>
          <w:sz w:val="24"/>
          <w:szCs w:val="24"/>
        </w:rPr>
        <w:t xml:space="preserve"> </w:t>
      </w:r>
      <w:r w:rsidR="00124E5F" w:rsidRPr="00124E5F">
        <w:rPr>
          <w:rFonts w:ascii="Times New Roman" w:hAnsi="Times New Roman" w:cs="Times New Roman"/>
          <w:b/>
          <w:bCs/>
          <w:sz w:val="24"/>
          <w:szCs w:val="24"/>
        </w:rPr>
        <w:t xml:space="preserve">Sahu </w:t>
      </w:r>
      <w:r w:rsidR="00124E5F" w:rsidRPr="00124E5F">
        <w:rPr>
          <w:rFonts w:ascii="Times New Roman" w:hAnsi="Times New Roman" w:cs="Times New Roman"/>
          <w:b/>
          <w:bCs/>
          <w:i/>
          <w:iCs/>
          <w:sz w:val="24"/>
          <w:szCs w:val="24"/>
        </w:rPr>
        <w:t>et al</w:t>
      </w:r>
      <w:r w:rsidR="00124E5F" w:rsidRPr="00124E5F">
        <w:rPr>
          <w:rFonts w:ascii="Times New Roman" w:hAnsi="Times New Roman" w:cs="Times New Roman"/>
          <w:b/>
          <w:bCs/>
          <w:sz w:val="24"/>
          <w:szCs w:val="24"/>
        </w:rPr>
        <w:t>. (2025)</w:t>
      </w:r>
      <w:r w:rsidR="00124E5F" w:rsidRPr="00124E5F">
        <w:rPr>
          <w:rFonts w:ascii="Times New Roman" w:hAnsi="Times New Roman" w:cs="Times New Roman"/>
          <w:sz w:val="24"/>
          <w:szCs w:val="24"/>
        </w:rPr>
        <w:t xml:space="preserve"> reported that the application of </w:t>
      </w:r>
      <w:r w:rsidR="00124E5F" w:rsidRPr="00124E5F">
        <w:rPr>
          <w:rStyle w:val="Strong"/>
          <w:rFonts w:ascii="Times New Roman" w:hAnsi="Times New Roman" w:cs="Times New Roman"/>
          <w:b w:val="0"/>
          <w:bCs w:val="0"/>
          <w:sz w:val="24"/>
          <w:szCs w:val="24"/>
        </w:rPr>
        <w:t>azoxystrobin 11% + tebuconazole 18.3% SC</w:t>
      </w:r>
      <w:r w:rsidR="00124E5F" w:rsidRPr="00124E5F">
        <w:rPr>
          <w:rFonts w:ascii="Times New Roman" w:hAnsi="Times New Roman" w:cs="Times New Roman"/>
          <w:b/>
          <w:bCs/>
          <w:sz w:val="24"/>
          <w:szCs w:val="24"/>
        </w:rPr>
        <w:t xml:space="preserve"> </w:t>
      </w:r>
      <w:r w:rsidR="00124E5F">
        <w:rPr>
          <w:rFonts w:ascii="Times New Roman" w:hAnsi="Times New Roman" w:cs="Times New Roman"/>
          <w:sz w:val="24"/>
          <w:szCs w:val="24"/>
        </w:rPr>
        <w:t>was highly effective in management of</w:t>
      </w:r>
      <w:r w:rsidR="00124E5F" w:rsidRPr="00124E5F">
        <w:rPr>
          <w:rFonts w:ascii="Times New Roman" w:hAnsi="Times New Roman" w:cs="Times New Roman"/>
          <w:sz w:val="24"/>
          <w:szCs w:val="24"/>
        </w:rPr>
        <w:t xml:space="preserve"> </w:t>
      </w:r>
      <w:r w:rsidR="00124E5F" w:rsidRPr="00124E5F">
        <w:rPr>
          <w:rStyle w:val="Strong"/>
          <w:rFonts w:ascii="Times New Roman" w:hAnsi="Times New Roman" w:cs="Times New Roman"/>
          <w:b w:val="0"/>
          <w:bCs w:val="0"/>
          <w:sz w:val="24"/>
          <w:szCs w:val="24"/>
        </w:rPr>
        <w:t>false smut disease</w:t>
      </w:r>
      <w:r w:rsidR="00124E5F" w:rsidRPr="00124E5F">
        <w:rPr>
          <w:rFonts w:ascii="Times New Roman" w:hAnsi="Times New Roman" w:cs="Times New Roman"/>
          <w:sz w:val="24"/>
          <w:szCs w:val="24"/>
        </w:rPr>
        <w:t xml:space="preserve"> in paddy, resulting in a significantly higher grain yield of </w:t>
      </w:r>
      <w:r w:rsidR="00124E5F" w:rsidRPr="00124E5F">
        <w:rPr>
          <w:rStyle w:val="Strong"/>
          <w:rFonts w:ascii="Times New Roman" w:hAnsi="Times New Roman" w:cs="Times New Roman"/>
          <w:b w:val="0"/>
          <w:bCs w:val="0"/>
          <w:sz w:val="24"/>
          <w:szCs w:val="24"/>
        </w:rPr>
        <w:t>41.57 q/ha</w:t>
      </w:r>
      <w:r w:rsidR="00124E5F" w:rsidRPr="00124E5F">
        <w:rPr>
          <w:rFonts w:ascii="Times New Roman" w:hAnsi="Times New Roman" w:cs="Times New Roman"/>
          <w:sz w:val="24"/>
          <w:szCs w:val="24"/>
        </w:rPr>
        <w:t xml:space="preserve"> compared to the </w:t>
      </w:r>
      <w:r w:rsidR="00124E5F" w:rsidRPr="00124E5F">
        <w:rPr>
          <w:rStyle w:val="Strong"/>
          <w:rFonts w:ascii="Times New Roman" w:hAnsi="Times New Roman" w:cs="Times New Roman"/>
          <w:b w:val="0"/>
          <w:bCs w:val="0"/>
          <w:sz w:val="24"/>
          <w:szCs w:val="24"/>
        </w:rPr>
        <w:t>untreated control (22.72 q/ha)</w:t>
      </w:r>
      <w:r w:rsidR="00124E5F" w:rsidRPr="00124E5F">
        <w:rPr>
          <w:rFonts w:ascii="Times New Roman" w:hAnsi="Times New Roman" w:cs="Times New Roman"/>
          <w:b/>
          <w:bCs/>
          <w:sz w:val="24"/>
          <w:szCs w:val="24"/>
        </w:rPr>
        <w:t>.</w:t>
      </w:r>
      <w:r w:rsidR="00124E5F" w:rsidRPr="00124E5F">
        <w:rPr>
          <w:rFonts w:ascii="Times New Roman" w:hAnsi="Times New Roman" w:cs="Times New Roman"/>
          <w:sz w:val="24"/>
          <w:szCs w:val="24"/>
        </w:rPr>
        <w:t xml:space="preserve"> The yield obtained under this treatment was statistically at par with other effective fungicidal combinations such as </w:t>
      </w:r>
      <w:r w:rsidR="00124E5F" w:rsidRPr="00124E5F">
        <w:rPr>
          <w:rStyle w:val="Strong"/>
          <w:rFonts w:ascii="Times New Roman" w:hAnsi="Times New Roman" w:cs="Times New Roman"/>
          <w:b w:val="0"/>
          <w:bCs w:val="0"/>
          <w:sz w:val="24"/>
          <w:szCs w:val="24"/>
        </w:rPr>
        <w:t>azoxystrobin 18.2% + difenoconazole 11.4% SC (40.22 q/ha)</w:t>
      </w:r>
      <w:r w:rsidR="00124E5F" w:rsidRPr="00124E5F">
        <w:rPr>
          <w:rFonts w:ascii="Times New Roman" w:hAnsi="Times New Roman" w:cs="Times New Roman"/>
          <w:b/>
          <w:bCs/>
          <w:sz w:val="24"/>
          <w:szCs w:val="24"/>
        </w:rPr>
        <w:t xml:space="preserve">, </w:t>
      </w:r>
      <w:r w:rsidR="00124E5F" w:rsidRPr="00124E5F">
        <w:rPr>
          <w:rStyle w:val="Strong"/>
          <w:rFonts w:ascii="Times New Roman" w:hAnsi="Times New Roman" w:cs="Times New Roman"/>
          <w:b w:val="0"/>
          <w:bCs w:val="0"/>
          <w:sz w:val="24"/>
          <w:szCs w:val="24"/>
        </w:rPr>
        <w:t>hexaconazole 4% + zineb 68% WP (37.92 q/ha)</w:t>
      </w:r>
      <w:r w:rsidR="00124E5F" w:rsidRPr="00124E5F">
        <w:rPr>
          <w:rFonts w:ascii="Times New Roman" w:hAnsi="Times New Roman" w:cs="Times New Roman"/>
          <w:b/>
          <w:bCs/>
          <w:sz w:val="24"/>
          <w:szCs w:val="24"/>
        </w:rPr>
        <w:t xml:space="preserve"> </w:t>
      </w:r>
      <w:r w:rsidR="00124E5F" w:rsidRPr="00124E5F">
        <w:rPr>
          <w:rFonts w:ascii="Times New Roman" w:hAnsi="Times New Roman" w:cs="Times New Roman"/>
          <w:sz w:val="24"/>
          <w:szCs w:val="24"/>
        </w:rPr>
        <w:t>and</w:t>
      </w:r>
      <w:r w:rsidR="00124E5F" w:rsidRPr="00124E5F">
        <w:rPr>
          <w:rFonts w:ascii="Times New Roman" w:hAnsi="Times New Roman" w:cs="Times New Roman"/>
          <w:b/>
          <w:bCs/>
          <w:sz w:val="24"/>
          <w:szCs w:val="24"/>
        </w:rPr>
        <w:t xml:space="preserve"> </w:t>
      </w:r>
      <w:proofErr w:type="spellStart"/>
      <w:r w:rsidR="00124E5F" w:rsidRPr="00124E5F">
        <w:rPr>
          <w:rStyle w:val="Strong"/>
          <w:rFonts w:ascii="Times New Roman" w:hAnsi="Times New Roman" w:cs="Times New Roman"/>
          <w:b w:val="0"/>
          <w:bCs w:val="0"/>
          <w:sz w:val="24"/>
          <w:szCs w:val="24"/>
        </w:rPr>
        <w:t>metiram</w:t>
      </w:r>
      <w:proofErr w:type="spellEnd"/>
      <w:r w:rsidR="00124E5F" w:rsidRPr="00124E5F">
        <w:rPr>
          <w:rStyle w:val="Strong"/>
          <w:rFonts w:ascii="Times New Roman" w:hAnsi="Times New Roman" w:cs="Times New Roman"/>
          <w:b w:val="0"/>
          <w:bCs w:val="0"/>
          <w:sz w:val="24"/>
          <w:szCs w:val="24"/>
        </w:rPr>
        <w:t xml:space="preserve"> 55% + </w:t>
      </w:r>
      <w:proofErr w:type="spellStart"/>
      <w:r w:rsidR="00124E5F" w:rsidRPr="00124E5F">
        <w:rPr>
          <w:rStyle w:val="Strong"/>
          <w:rFonts w:ascii="Times New Roman" w:hAnsi="Times New Roman" w:cs="Times New Roman"/>
          <w:b w:val="0"/>
          <w:bCs w:val="0"/>
          <w:sz w:val="24"/>
          <w:szCs w:val="24"/>
        </w:rPr>
        <w:t>pyraclostrobin</w:t>
      </w:r>
      <w:proofErr w:type="spellEnd"/>
      <w:r w:rsidR="00124E5F" w:rsidRPr="00124E5F">
        <w:rPr>
          <w:rStyle w:val="Strong"/>
          <w:rFonts w:ascii="Times New Roman" w:hAnsi="Times New Roman" w:cs="Times New Roman"/>
          <w:b w:val="0"/>
          <w:bCs w:val="0"/>
          <w:sz w:val="24"/>
          <w:szCs w:val="24"/>
        </w:rPr>
        <w:t xml:space="preserve"> 5% WG (36.87 q/ha)</w:t>
      </w:r>
      <w:r w:rsidR="00124E5F" w:rsidRPr="00124E5F">
        <w:rPr>
          <w:rFonts w:ascii="Times New Roman" w:hAnsi="Times New Roman" w:cs="Times New Roman"/>
          <w:sz w:val="24"/>
          <w:szCs w:val="24"/>
        </w:rPr>
        <w:t>.</w:t>
      </w:r>
    </w:p>
    <w:p w14:paraId="02E10502" w14:textId="77777777" w:rsidR="00200F04" w:rsidRPr="0081472D" w:rsidRDefault="00200F04" w:rsidP="00DB7185">
      <w:pPr>
        <w:spacing w:before="100" w:beforeAutospacing="1" w:after="100" w:afterAutospacing="1" w:line="276" w:lineRule="auto"/>
        <w:ind w:firstLine="720"/>
        <w:jc w:val="both"/>
        <w:outlineLvl w:val="2"/>
        <w:rPr>
          <w:rFonts w:ascii="Times New Roman" w:eastAsia="Times New Roman" w:hAnsi="Times New Roman" w:cs="Times New Roman"/>
          <w:sz w:val="24"/>
          <w:szCs w:val="24"/>
          <w:lang w:bidi="te-IN"/>
        </w:rPr>
      </w:pPr>
      <w:r w:rsidRPr="0081472D">
        <w:rPr>
          <w:rFonts w:ascii="Times New Roman" w:hAnsi="Times New Roman" w:cs="Times New Roman"/>
          <w:sz w:val="24"/>
          <w:szCs w:val="24"/>
        </w:rPr>
        <w:t xml:space="preserve">Similarly, </w:t>
      </w:r>
      <w:r w:rsidRPr="0081472D">
        <w:rPr>
          <w:rStyle w:val="Strong"/>
          <w:rFonts w:ascii="Times New Roman" w:hAnsi="Times New Roman" w:cs="Times New Roman"/>
          <w:sz w:val="24"/>
          <w:szCs w:val="24"/>
        </w:rPr>
        <w:t xml:space="preserve">Yadav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(2025)</w:t>
      </w:r>
      <w:r w:rsidRPr="0081472D">
        <w:rPr>
          <w:rFonts w:ascii="Times New Roman" w:hAnsi="Times New Roman" w:cs="Times New Roman"/>
          <w:sz w:val="24"/>
          <w:szCs w:val="24"/>
        </w:rPr>
        <w:t xml:space="preserve"> observed that the </w:t>
      </w:r>
      <w:r w:rsidRPr="0081472D">
        <w:rPr>
          <w:rStyle w:val="Strong"/>
          <w:rFonts w:ascii="Times New Roman" w:hAnsi="Times New Roman" w:cs="Times New Roman"/>
          <w:b w:val="0"/>
          <w:bCs w:val="0"/>
          <w:sz w:val="24"/>
          <w:szCs w:val="24"/>
        </w:rPr>
        <w:t>maximum grain yield (48.87 q/ha)</w:t>
      </w:r>
      <w:r w:rsidRPr="0081472D">
        <w:rPr>
          <w:rFonts w:ascii="Times New Roman" w:hAnsi="Times New Roman" w:cs="Times New Roman"/>
          <w:sz w:val="24"/>
          <w:szCs w:val="24"/>
        </w:rPr>
        <w:t xml:space="preserve"> was obtained from </w:t>
      </w:r>
      <w:r w:rsidR="00F4452F">
        <w:rPr>
          <w:rFonts w:ascii="Times New Roman" w:hAnsi="Times New Roman" w:cs="Times New Roman"/>
          <w:sz w:val="24"/>
          <w:szCs w:val="24"/>
        </w:rPr>
        <w:t xml:space="preserve">the plots treated with </w:t>
      </w:r>
      <w:r w:rsidRPr="0081472D">
        <w:rPr>
          <w:rStyle w:val="Strong"/>
          <w:rFonts w:ascii="Times New Roman" w:hAnsi="Times New Roman" w:cs="Times New Roman"/>
          <w:b w:val="0"/>
          <w:bCs w:val="0"/>
          <w:sz w:val="24"/>
          <w:szCs w:val="24"/>
        </w:rPr>
        <w:t>azoxystrobin 18.2% + difenoconazole 11.4% SC</w:t>
      </w:r>
      <w:r w:rsidRPr="0081472D">
        <w:rPr>
          <w:rFonts w:ascii="Times New Roman" w:hAnsi="Times New Roman" w:cs="Times New Roman"/>
          <w:sz w:val="24"/>
          <w:szCs w:val="24"/>
        </w:rPr>
        <w:t xml:space="preserve">, followed by </w:t>
      </w:r>
      <w:r w:rsidRPr="0081472D">
        <w:rPr>
          <w:rStyle w:val="Strong"/>
          <w:rFonts w:ascii="Times New Roman" w:hAnsi="Times New Roman" w:cs="Times New Roman"/>
          <w:b w:val="0"/>
          <w:bCs w:val="0"/>
          <w:sz w:val="24"/>
          <w:szCs w:val="24"/>
        </w:rPr>
        <w:t>propiconazole 25% EC (48.09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tebuconazole 250 EC (47.35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hexaconazole 5% SC (46.90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thifluzamide 24% SC (44.84 q/ha)</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and </w:t>
      </w:r>
      <w:r w:rsidRPr="0081472D">
        <w:rPr>
          <w:rStyle w:val="Strong"/>
          <w:rFonts w:ascii="Times New Roman" w:hAnsi="Times New Roman" w:cs="Times New Roman"/>
          <w:b w:val="0"/>
          <w:bCs w:val="0"/>
          <w:sz w:val="24"/>
          <w:szCs w:val="24"/>
        </w:rPr>
        <w:t>carbendazim 50% WP (44.67 q/ha)</w:t>
      </w:r>
      <w:r w:rsidR="00F4452F">
        <w:rPr>
          <w:rStyle w:val="Strong"/>
          <w:rFonts w:ascii="Times New Roman" w:hAnsi="Times New Roman" w:cs="Times New Roman"/>
          <w:b w:val="0"/>
          <w:bCs w:val="0"/>
          <w:sz w:val="24"/>
          <w:szCs w:val="24"/>
        </w:rPr>
        <w:t xml:space="preserve"> against false smut in paddy</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The lowest yield (38.26 q/ha) was recorded in the untreated control. The highest </w:t>
      </w:r>
      <w:r w:rsidRPr="0081472D">
        <w:rPr>
          <w:rStyle w:val="Strong"/>
          <w:rFonts w:ascii="Times New Roman" w:hAnsi="Times New Roman" w:cs="Times New Roman"/>
          <w:b w:val="0"/>
          <w:bCs w:val="0"/>
          <w:sz w:val="24"/>
          <w:szCs w:val="24"/>
        </w:rPr>
        <w:t>benefit–cost ratio (2.01</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sz w:val="24"/>
          <w:szCs w:val="24"/>
        </w:rPr>
        <w:t xml:space="preserve"> was also reported with </w:t>
      </w:r>
      <w:r w:rsidRPr="0081472D">
        <w:rPr>
          <w:rStyle w:val="Strong"/>
          <w:rFonts w:ascii="Times New Roman" w:hAnsi="Times New Roman" w:cs="Times New Roman"/>
          <w:b w:val="0"/>
          <w:bCs w:val="0"/>
          <w:sz w:val="24"/>
          <w:szCs w:val="24"/>
        </w:rPr>
        <w:t>azoxystrobin 18.2% + difenoconazole 11.4% SC</w:t>
      </w:r>
      <w:r w:rsidRPr="0081472D">
        <w:rPr>
          <w:rFonts w:ascii="Times New Roman" w:hAnsi="Times New Roman" w:cs="Times New Roman"/>
          <w:sz w:val="24"/>
          <w:szCs w:val="24"/>
        </w:rPr>
        <w:t xml:space="preserve">, followed by </w:t>
      </w:r>
      <w:r w:rsidRPr="0081472D">
        <w:rPr>
          <w:rStyle w:val="Strong"/>
          <w:rFonts w:ascii="Times New Roman" w:hAnsi="Times New Roman" w:cs="Times New Roman"/>
          <w:b w:val="0"/>
          <w:bCs w:val="0"/>
          <w:sz w:val="24"/>
          <w:szCs w:val="24"/>
        </w:rPr>
        <w:t>propiconazole (1.97</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hexaconazole (1.95</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tebuconazole (1.88</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and</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carbendazim (1.86</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00E80858"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w:t>
      </w:r>
      <w:r w:rsidR="00E80858" w:rsidRPr="00DF68CE">
        <w:rPr>
          <w:rFonts w:ascii="Times New Roman" w:eastAsia="Times New Roman" w:hAnsi="Times New Roman" w:cs="Times New Roman"/>
          <w:sz w:val="24"/>
          <w:szCs w:val="24"/>
          <w:lang w:bidi="te-IN"/>
        </w:rPr>
        <w:t xml:space="preserve">The highest </w:t>
      </w:r>
      <w:r w:rsidR="00E80858" w:rsidRPr="0081472D">
        <w:rPr>
          <w:rFonts w:ascii="Times New Roman" w:eastAsia="Times New Roman" w:hAnsi="Times New Roman" w:cs="Times New Roman"/>
          <w:sz w:val="24"/>
          <w:szCs w:val="24"/>
          <w:lang w:bidi="te-IN"/>
        </w:rPr>
        <w:t>benefit–cost ratio (2.01</w:t>
      </w:r>
      <w:r w:rsidR="00524773">
        <w:rPr>
          <w:rFonts w:ascii="Times New Roman" w:eastAsia="Times New Roman" w:hAnsi="Times New Roman" w:cs="Times New Roman"/>
          <w:sz w:val="24"/>
          <w:szCs w:val="24"/>
          <w:lang w:bidi="te-IN"/>
        </w:rPr>
        <w:t>:1</w:t>
      </w:r>
      <w:r w:rsidR="00E80858" w:rsidRPr="0081472D">
        <w:rPr>
          <w:rFonts w:ascii="Times New Roman" w:eastAsia="Times New Roman" w:hAnsi="Times New Roman" w:cs="Times New Roman"/>
          <w:sz w:val="24"/>
          <w:szCs w:val="24"/>
          <w:lang w:bidi="te-IN"/>
        </w:rPr>
        <w:t>)</w:t>
      </w:r>
      <w:r w:rsidR="00E80858" w:rsidRPr="00DF68CE">
        <w:rPr>
          <w:rFonts w:ascii="Times New Roman" w:eastAsia="Times New Roman" w:hAnsi="Times New Roman" w:cs="Times New Roman"/>
          <w:sz w:val="24"/>
          <w:szCs w:val="24"/>
          <w:lang w:bidi="te-IN"/>
        </w:rPr>
        <w:t xml:space="preserve"> was recorded with azoxystrobin + difenoconazole, reinforcing its profitability and suitability for integrated disease management in paddy ecosystems.</w:t>
      </w:r>
    </w:p>
    <w:p w14:paraId="0D89CC56" w14:textId="77777777" w:rsidR="00047410" w:rsidRPr="00DF68CE" w:rsidRDefault="00047410" w:rsidP="00DB7185">
      <w:pPr>
        <w:spacing w:before="100" w:beforeAutospacing="1" w:after="100" w:afterAutospacing="1" w:line="276" w:lineRule="auto"/>
        <w:outlineLvl w:val="2"/>
        <w:rPr>
          <w:rFonts w:ascii="Times New Roman" w:eastAsia="Times New Roman" w:hAnsi="Times New Roman" w:cs="Times New Roman"/>
          <w:b/>
          <w:bCs/>
          <w:sz w:val="24"/>
          <w:szCs w:val="24"/>
          <w:lang w:bidi="te-IN"/>
        </w:rPr>
      </w:pPr>
      <w:r w:rsidRPr="0081472D">
        <w:rPr>
          <w:rFonts w:ascii="Times New Roman" w:eastAsia="Times New Roman" w:hAnsi="Times New Roman" w:cs="Times New Roman"/>
          <w:b/>
          <w:bCs/>
          <w:sz w:val="24"/>
          <w:szCs w:val="24"/>
          <w:lang w:bidi="te-IN"/>
        </w:rPr>
        <w:t>Extension and Technology Gap Analysis</w:t>
      </w:r>
    </w:p>
    <w:p w14:paraId="7A70B1F8" w14:textId="77777777" w:rsidR="00E84144" w:rsidRPr="0081472D" w:rsidRDefault="00E84144" w:rsidP="00DB7185">
      <w:pPr>
        <w:pStyle w:val="NormalWeb"/>
        <w:spacing w:line="276" w:lineRule="auto"/>
        <w:ind w:firstLine="720"/>
        <w:jc w:val="both"/>
      </w:pPr>
      <w:r w:rsidRPr="0081472D">
        <w:t xml:space="preserve">The extension gap, technology gap, and technology index recorded in the present study were 511 kg/ha, 605 kg/ha, and 8.75 %, respectively (Table 3). The existence of considerable extension and technology gaps highlights the need </w:t>
      </w:r>
      <w:r w:rsidR="000A2C29" w:rsidRPr="0081472D">
        <w:t>to strengthen</w:t>
      </w:r>
      <w:r w:rsidRPr="0081472D">
        <w:t xml:space="preserve"> the dissemination of improved disease management practices among farmers. These gaps may be attributed to variations in soil fertility, management skills, and partial adoption of recommended fungicidal treatments. Hence, </w:t>
      </w:r>
      <w:r w:rsidR="000A2C29" w:rsidRPr="0081472D">
        <w:t xml:space="preserve">the </w:t>
      </w:r>
      <w:r w:rsidRPr="0081472D">
        <w:t xml:space="preserve">intensified extension efforts and farmer training </w:t>
      </w:r>
      <w:r w:rsidR="00AA14E2" w:rsidRPr="0081472D">
        <w:t>programmes</w:t>
      </w:r>
      <w:r w:rsidRPr="0081472D">
        <w:t xml:space="preserve"> are essential to enhance awareness and encourage the adoption of chemical control measures for effective disease suppression.</w:t>
      </w:r>
    </w:p>
    <w:p w14:paraId="506866D0" w14:textId="77777777" w:rsidR="00E84144" w:rsidRPr="0081472D" w:rsidRDefault="00E84144" w:rsidP="00DB7185">
      <w:pPr>
        <w:pStyle w:val="NormalWeb"/>
        <w:spacing w:line="276" w:lineRule="auto"/>
        <w:ind w:firstLine="720"/>
      </w:pPr>
      <w:r w:rsidRPr="0081472D">
        <w:t>The technology index of 8.75 % reflects the feasibility and technical soundness of the demonstrated fungicidal strategy under farmers’ field conditions. A lower technology index denotes a closer realization of potential yield, signifying that the demonstrated practice is not only practical but also efficient in improving productivity, reducing disease-induced losses, lowering cultivation costs</w:t>
      </w:r>
      <w:r w:rsidR="00D83876" w:rsidRPr="0081472D">
        <w:t xml:space="preserve"> and enhancing grain quality</w:t>
      </w:r>
      <w:r w:rsidRPr="0081472D">
        <w:t>.</w:t>
      </w:r>
    </w:p>
    <w:p w14:paraId="503D0CC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b/>
          <w:bCs/>
          <w:sz w:val="24"/>
          <w:szCs w:val="24"/>
        </w:rPr>
        <w:t xml:space="preserve">Conclusion: </w:t>
      </w:r>
    </w:p>
    <w:p w14:paraId="51213378" w14:textId="77777777" w:rsidR="00D83876" w:rsidRPr="0081472D" w:rsidRDefault="00D83876" w:rsidP="00DB7185">
      <w:pPr>
        <w:pStyle w:val="NormalWeb"/>
        <w:spacing w:line="276" w:lineRule="auto"/>
        <w:ind w:firstLine="720"/>
        <w:jc w:val="both"/>
      </w:pPr>
      <w:r w:rsidRPr="0081472D">
        <w:t xml:space="preserve">The present study on the evaluation of fungicides against major paddy diseases clearly demonstrated that the recommended fungicidal technology is both practical and effective under farmers’ field conditions. The adoption of this technology resulted in a substantial </w:t>
      </w:r>
      <w:r w:rsidRPr="0081472D">
        <w:lastRenderedPageBreak/>
        <w:t>reduction in disease incidence and a corresponding yield enhancement of 8.77 % over the farmers’ practice, indicating its potential to improve crop productivity and profitability.</w:t>
      </w:r>
    </w:p>
    <w:p w14:paraId="01C06D5F" w14:textId="77777777" w:rsidR="00985494" w:rsidRDefault="00985494" w:rsidP="00DB7185">
      <w:pPr>
        <w:pStyle w:val="NormalWeb"/>
        <w:spacing w:line="276" w:lineRule="auto"/>
        <w:ind w:firstLine="720"/>
        <w:jc w:val="both"/>
      </w:pPr>
      <w:r w:rsidRPr="0081472D">
        <w:t>However, the observed extension gap and technology gap underline the need for strengthened extension efforts to promote awareness and adoption of fungicide-based disease management practices among paddy growers. Conducting capacity-building programmes, field demonstrations, and farmer training sessions in the Vizianagaram district of Andhra Pradesh will help bridge these gaps, leading to improved productivity, profitability, and sustainability of paddy cultivation.</w:t>
      </w:r>
    </w:p>
    <w:p w14:paraId="04ED6CA0" w14:textId="77777777" w:rsidR="00F30DCD" w:rsidRDefault="00F30DCD" w:rsidP="00DB7185">
      <w:pPr>
        <w:pStyle w:val="NormalWeb"/>
        <w:spacing w:line="276" w:lineRule="auto"/>
        <w:ind w:firstLine="720"/>
        <w:jc w:val="both"/>
      </w:pPr>
    </w:p>
    <w:p w14:paraId="54242EEB" w14:textId="77777777" w:rsidR="00F30DCD" w:rsidRPr="00F30DCD" w:rsidRDefault="00F30DCD" w:rsidP="00F30DCD">
      <w:pPr>
        <w:spacing w:after="200" w:line="276" w:lineRule="auto"/>
        <w:jc w:val="both"/>
        <w:outlineLvl w:val="0"/>
        <w:rPr>
          <w:rFonts w:ascii="Arial" w:eastAsia="Times New Roman" w:hAnsi="Arial" w:cs="Arial"/>
          <w:kern w:val="0"/>
          <w:lang w:val="en-GB" w:eastAsia="en-GB"/>
          <w14:ligatures w14:val="none"/>
        </w:rPr>
      </w:pPr>
      <w:r w:rsidRPr="00F30DCD">
        <w:rPr>
          <w:rFonts w:ascii="Arial" w:eastAsia="Times New Roman" w:hAnsi="Arial" w:cs="Arial"/>
          <w:b/>
          <w:bCs/>
          <w:kern w:val="0"/>
          <w:lang w:val="en-GB" w:eastAsia="en-GB"/>
          <w14:ligatures w14:val="none"/>
        </w:rPr>
        <w:t>COMPETING INTERESTS DISCLAIMER:</w:t>
      </w:r>
    </w:p>
    <w:p w14:paraId="0B28CDCF" w14:textId="77777777" w:rsidR="00F30DCD" w:rsidRPr="00F30DCD" w:rsidRDefault="00F30DCD" w:rsidP="00F30DCD">
      <w:pPr>
        <w:spacing w:after="200" w:line="276" w:lineRule="auto"/>
        <w:rPr>
          <w:rFonts w:ascii="Calibri" w:eastAsia="Times New Roman" w:hAnsi="Calibri" w:cs="Times New Roman"/>
          <w:kern w:val="0"/>
          <w:lang w:val="en-GB" w:eastAsia="en-GB"/>
          <w14:ligatures w14:val="none"/>
        </w:rPr>
      </w:pPr>
      <w:r w:rsidRPr="00F30DC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31CB833" w14:textId="77777777" w:rsidR="00F30DCD" w:rsidRPr="0081472D" w:rsidRDefault="00F30DCD" w:rsidP="00DB7185">
      <w:pPr>
        <w:pStyle w:val="NormalWeb"/>
        <w:spacing w:line="276" w:lineRule="auto"/>
        <w:ind w:firstLine="720"/>
        <w:jc w:val="both"/>
      </w:pPr>
    </w:p>
    <w:p w14:paraId="4E3082C5" w14:textId="77777777" w:rsidR="00771C5B" w:rsidRPr="0081472D" w:rsidRDefault="00715EF1" w:rsidP="00DB7185">
      <w:pPr>
        <w:spacing w:line="276" w:lineRule="auto"/>
        <w:jc w:val="both"/>
        <w:rPr>
          <w:rFonts w:ascii="Times New Roman" w:hAnsi="Times New Roman" w:cs="Times New Roman"/>
          <w:b/>
          <w:bCs/>
          <w:sz w:val="24"/>
          <w:szCs w:val="24"/>
        </w:rPr>
      </w:pPr>
      <w:commentRangeStart w:id="6"/>
      <w:r w:rsidRPr="0081472D">
        <w:rPr>
          <w:rFonts w:ascii="Times New Roman" w:hAnsi="Times New Roman" w:cs="Times New Roman"/>
          <w:b/>
          <w:bCs/>
          <w:sz w:val="24"/>
          <w:szCs w:val="24"/>
        </w:rPr>
        <w:t>Reference</w:t>
      </w:r>
      <w:commentRangeEnd w:id="6"/>
      <w:r w:rsidR="00E77CDB">
        <w:rPr>
          <w:rStyle w:val="CommentReference"/>
        </w:rPr>
        <w:commentReference w:id="6"/>
      </w:r>
      <w:r w:rsidRPr="0081472D">
        <w:rPr>
          <w:rFonts w:ascii="Times New Roman" w:hAnsi="Times New Roman" w:cs="Times New Roman"/>
          <w:b/>
          <w:bCs/>
          <w:sz w:val="24"/>
          <w:szCs w:val="24"/>
        </w:rPr>
        <w:t>s:</w:t>
      </w:r>
    </w:p>
    <w:p w14:paraId="36158E52" w14:textId="77777777" w:rsidR="009D2787" w:rsidRPr="0081472D" w:rsidRDefault="009D2787" w:rsidP="00DB7185">
      <w:pPr>
        <w:pStyle w:val="NormalWeb"/>
        <w:spacing w:line="276" w:lineRule="auto"/>
        <w:ind w:left="720" w:hanging="720"/>
        <w:jc w:val="both"/>
      </w:pPr>
      <w:r w:rsidRPr="0081472D">
        <w:t xml:space="preserve">Atia, M. M. M. 2004. Rice false smut in Egypt. </w:t>
      </w:r>
      <w:r w:rsidRPr="0081472D">
        <w:rPr>
          <w:rStyle w:val="Emphasis"/>
        </w:rPr>
        <w:t>Journal of Plant Diseases and Protection</w:t>
      </w:r>
      <w:r w:rsidRPr="0081472D">
        <w:t>, 111, 71</w:t>
      </w:r>
      <w:r w:rsidRPr="0081472D">
        <w:noBreakHyphen/>
        <w:t>82.</w:t>
      </w:r>
    </w:p>
    <w:p w14:paraId="7401A698" w14:textId="77777777" w:rsidR="009D2787" w:rsidRPr="0081472D" w:rsidRDefault="009D2787" w:rsidP="00DB7185">
      <w:pPr>
        <w:pStyle w:val="NormalWeb"/>
        <w:spacing w:line="276" w:lineRule="auto"/>
        <w:ind w:left="720" w:hanging="720"/>
        <w:jc w:val="both"/>
      </w:pPr>
      <w:r w:rsidRPr="0081472D">
        <w:t xml:space="preserve">Bhuvaneswari, V and Raju, S. K. 2012. Efficacy of new combination fungicide against rice sheath blight caused by </w:t>
      </w:r>
      <w:proofErr w:type="spellStart"/>
      <w:r w:rsidRPr="0081472D">
        <w:rPr>
          <w:rStyle w:val="Emphasis"/>
        </w:rPr>
        <w:t>Rhizoctonia</w:t>
      </w:r>
      <w:proofErr w:type="spellEnd"/>
      <w:r w:rsidRPr="0081472D">
        <w:rPr>
          <w:rStyle w:val="Emphasis"/>
        </w:rPr>
        <w:t xml:space="preserve"> </w:t>
      </w:r>
      <w:proofErr w:type="spellStart"/>
      <w:r w:rsidRPr="0081472D">
        <w:rPr>
          <w:rStyle w:val="Emphasis"/>
        </w:rPr>
        <w:t>solani</w:t>
      </w:r>
      <w:proofErr w:type="spellEnd"/>
      <w:r w:rsidRPr="0081472D">
        <w:t xml:space="preserve"> (</w:t>
      </w:r>
      <w:proofErr w:type="spellStart"/>
      <w:r w:rsidRPr="0081472D">
        <w:t>Kühn</w:t>
      </w:r>
      <w:proofErr w:type="spellEnd"/>
      <w:r w:rsidRPr="0081472D">
        <w:t xml:space="preserve">). </w:t>
      </w:r>
      <w:r w:rsidRPr="0081472D">
        <w:rPr>
          <w:rStyle w:val="Emphasis"/>
        </w:rPr>
        <w:t>Journal of Rice Research</w:t>
      </w:r>
      <w:r w:rsidRPr="0081472D">
        <w:t>, 5(1 and 2), 57</w:t>
      </w:r>
      <w:r w:rsidRPr="0081472D">
        <w:noBreakHyphen/>
        <w:t>61.</w:t>
      </w:r>
    </w:p>
    <w:p w14:paraId="7E610801" w14:textId="77777777" w:rsidR="009D2787" w:rsidRPr="0081472D" w:rsidRDefault="009D2787" w:rsidP="00DB7185">
      <w:pPr>
        <w:pStyle w:val="NormalWeb"/>
        <w:spacing w:line="276" w:lineRule="auto"/>
        <w:ind w:left="720" w:hanging="720"/>
        <w:jc w:val="both"/>
      </w:pPr>
      <w:r w:rsidRPr="0081472D">
        <w:t xml:space="preserve">Chahal, K. K. S., </w:t>
      </w:r>
      <w:proofErr w:type="spellStart"/>
      <w:r w:rsidRPr="0081472D">
        <w:t>Sokhi</w:t>
      </w:r>
      <w:proofErr w:type="spellEnd"/>
      <w:r w:rsidRPr="0081472D">
        <w:t xml:space="preserve">, S. S and Rattan, G. S. 2003. Investigation on sheath blight of rice in Punjab. </w:t>
      </w:r>
      <w:r w:rsidRPr="0081472D">
        <w:rPr>
          <w:rStyle w:val="Emphasis"/>
        </w:rPr>
        <w:t>Indian Phytopathology</w:t>
      </w:r>
      <w:r w:rsidRPr="0081472D">
        <w:t>, 56(1), 22</w:t>
      </w:r>
      <w:r w:rsidRPr="0081472D">
        <w:noBreakHyphen/>
        <w:t>26.</w:t>
      </w:r>
    </w:p>
    <w:p w14:paraId="6B7D190E" w14:textId="77777777" w:rsidR="009D2787" w:rsidRPr="0081472D" w:rsidRDefault="009D2787" w:rsidP="00DB7185">
      <w:pPr>
        <w:pStyle w:val="NormalWeb"/>
        <w:spacing w:line="276" w:lineRule="auto"/>
        <w:ind w:left="720" w:hanging="720"/>
        <w:jc w:val="both"/>
      </w:pPr>
      <w:r w:rsidRPr="0081472D">
        <w:t xml:space="preserve">Department of Agriculture and Farmers Welfare (DAFW), Government of India. (2025). </w:t>
      </w:r>
      <w:r w:rsidRPr="0081472D">
        <w:rPr>
          <w:rStyle w:val="Emphasis"/>
        </w:rPr>
        <w:t>Time series 3rd AE 2024–25</w:t>
      </w:r>
      <w:r w:rsidRPr="0081472D">
        <w:t xml:space="preserve">. Retrieved from </w:t>
      </w:r>
      <w:hyperlink r:id="rId9" w:history="1">
        <w:r w:rsidRPr="0081472D">
          <w:rPr>
            <w:rStyle w:val="Hyperlink"/>
            <w:color w:val="auto"/>
          </w:rPr>
          <w:t>https://agriwelfare.gov.in</w:t>
        </w:r>
      </w:hyperlink>
      <w:r w:rsidRPr="0081472D">
        <w:t xml:space="preserve"> /Documents/ Time_Series_3rdAE_2024_25En.pdf</w:t>
      </w:r>
    </w:p>
    <w:p w14:paraId="39371051" w14:textId="77777777" w:rsidR="009D2787" w:rsidRPr="0081472D" w:rsidRDefault="009D2787" w:rsidP="00DB7185">
      <w:pPr>
        <w:pStyle w:val="NormalWeb"/>
        <w:spacing w:line="276" w:lineRule="auto"/>
        <w:ind w:left="720" w:hanging="720"/>
        <w:jc w:val="both"/>
      </w:pPr>
      <w:proofErr w:type="spellStart"/>
      <w:r w:rsidRPr="0081472D">
        <w:t>Dodan</w:t>
      </w:r>
      <w:proofErr w:type="spellEnd"/>
      <w:r w:rsidRPr="0081472D">
        <w:t xml:space="preserve">, D. S and Singh, R. 1996. False smut of rice: present status. </w:t>
      </w:r>
      <w:r w:rsidRPr="0081472D">
        <w:rPr>
          <w:rStyle w:val="Emphasis"/>
        </w:rPr>
        <w:t>Agricultural Research</w:t>
      </w:r>
      <w:r w:rsidRPr="0081472D">
        <w:t>, 17(4), 227</w:t>
      </w:r>
      <w:r w:rsidRPr="0081472D">
        <w:noBreakHyphen/>
        <w:t>240.</w:t>
      </w:r>
    </w:p>
    <w:p w14:paraId="1079D25D" w14:textId="77777777" w:rsidR="009D2787" w:rsidRPr="0081472D" w:rsidRDefault="009D2787" w:rsidP="00DB7185">
      <w:pPr>
        <w:pStyle w:val="NormalWeb"/>
        <w:spacing w:line="276" w:lineRule="auto"/>
        <w:ind w:left="720" w:hanging="720"/>
        <w:jc w:val="both"/>
        <w:rPr>
          <w:color w:val="C00000"/>
        </w:rPr>
      </w:pPr>
      <w:r w:rsidRPr="0081472D">
        <w:t xml:space="preserve">Hollier, C. A., </w:t>
      </w:r>
      <w:proofErr w:type="spellStart"/>
      <w:r w:rsidRPr="0081472D">
        <w:t>Groth</w:t>
      </w:r>
      <w:proofErr w:type="spellEnd"/>
      <w:r w:rsidRPr="0081472D">
        <w:t xml:space="preserve">, D. E., Rush, M. C and Webster, A. K. 1984. </w:t>
      </w:r>
      <w:r w:rsidRPr="0081472D">
        <w:rPr>
          <w:rStyle w:val="Emphasis"/>
        </w:rPr>
        <w:t>Common Names of Plant Diseases.</w:t>
      </w:r>
      <w:r w:rsidRPr="0081472D">
        <w:t xml:space="preserve"> The American </w:t>
      </w:r>
      <w:proofErr w:type="spellStart"/>
      <w:r w:rsidRPr="0081472D">
        <w:t>Phytopathological</w:t>
      </w:r>
      <w:proofErr w:type="spellEnd"/>
      <w:r w:rsidRPr="0081472D">
        <w:t xml:space="preserve"> Society; St. Paul, MN</w:t>
      </w:r>
      <w:r w:rsidRPr="0081472D">
        <w:rPr>
          <w:color w:val="C00000"/>
        </w:rPr>
        <w:t>.</w:t>
      </w:r>
    </w:p>
    <w:p w14:paraId="2C87F295" w14:textId="77777777" w:rsidR="009D2787" w:rsidRPr="0081472D" w:rsidRDefault="009D2787" w:rsidP="00DB7185">
      <w:pPr>
        <w:pStyle w:val="NormalWeb"/>
        <w:spacing w:line="276" w:lineRule="auto"/>
        <w:ind w:left="720" w:hanging="720"/>
        <w:jc w:val="both"/>
      </w:pPr>
      <w:proofErr w:type="spellStart"/>
      <w:r w:rsidRPr="0081472D">
        <w:t>Hosagoudar</w:t>
      </w:r>
      <w:proofErr w:type="spellEnd"/>
      <w:r w:rsidRPr="0081472D">
        <w:t xml:space="preserve">, G. N. 2018. Evaluation of fungicides for the management of false smut of paddy. </w:t>
      </w:r>
      <w:r w:rsidRPr="0081472D">
        <w:rPr>
          <w:rStyle w:val="Emphasis"/>
        </w:rPr>
        <w:t>Journal of Pharmacognosy and Phytochemistry</w:t>
      </w:r>
      <w:r w:rsidRPr="0081472D">
        <w:t>, 7(6), 1870</w:t>
      </w:r>
      <w:r w:rsidRPr="0081472D">
        <w:noBreakHyphen/>
        <w:t>1874.</w:t>
      </w:r>
    </w:p>
    <w:p w14:paraId="76720BD4" w14:textId="77777777" w:rsidR="009D2787" w:rsidRPr="0081472D" w:rsidRDefault="009D2787" w:rsidP="00DB7185">
      <w:pPr>
        <w:pStyle w:val="NormalWeb"/>
        <w:spacing w:line="276" w:lineRule="auto"/>
        <w:ind w:left="720" w:hanging="720"/>
        <w:jc w:val="both"/>
      </w:pPr>
      <w:r w:rsidRPr="0081472D">
        <w:lastRenderedPageBreak/>
        <w:t xml:space="preserve">Kumar, M. K. P and </w:t>
      </w:r>
      <w:proofErr w:type="spellStart"/>
      <w:r w:rsidRPr="0081472D">
        <w:t>Veerabhadraswamy</w:t>
      </w:r>
      <w:proofErr w:type="spellEnd"/>
      <w:r w:rsidRPr="0081472D">
        <w:t xml:space="preserve">. 2014. Appraise a combination of fungicides against blast and sheath blight diseases of paddy (Oryza sativa L.). </w:t>
      </w:r>
      <w:r w:rsidRPr="0081472D">
        <w:rPr>
          <w:rStyle w:val="Emphasis"/>
        </w:rPr>
        <w:t>Journal of Experimental Biology and Agricultural Sciences</w:t>
      </w:r>
      <w:r w:rsidRPr="0081472D">
        <w:t>, 2(1), 49</w:t>
      </w:r>
      <w:r w:rsidRPr="0081472D">
        <w:noBreakHyphen/>
        <w:t>57.</w:t>
      </w:r>
    </w:p>
    <w:p w14:paraId="103CABB8" w14:textId="77777777" w:rsidR="009D2787" w:rsidRPr="0081472D" w:rsidRDefault="009D2787" w:rsidP="00DB7185">
      <w:pPr>
        <w:pStyle w:val="NormalWeb"/>
        <w:spacing w:line="276" w:lineRule="auto"/>
        <w:ind w:left="720" w:hanging="720"/>
        <w:jc w:val="both"/>
      </w:pPr>
      <w:proofErr w:type="spellStart"/>
      <w:r w:rsidRPr="0081472D">
        <w:t>Ladhalakshmi</w:t>
      </w:r>
      <w:proofErr w:type="spellEnd"/>
      <w:r w:rsidRPr="0081472D">
        <w:t xml:space="preserve">, D., Laha, G., Singh, R., Karthikeyan, A., </w:t>
      </w:r>
      <w:proofErr w:type="spellStart"/>
      <w:r w:rsidRPr="0081472D">
        <w:t>Mangrauthia</w:t>
      </w:r>
      <w:proofErr w:type="spellEnd"/>
      <w:r w:rsidRPr="0081472D">
        <w:t xml:space="preserve">, S., Sundaram, R., </w:t>
      </w:r>
      <w:proofErr w:type="spellStart"/>
      <w:r w:rsidRPr="0081472D">
        <w:t>Thukkaiyannan</w:t>
      </w:r>
      <w:proofErr w:type="spellEnd"/>
      <w:r w:rsidRPr="0081472D">
        <w:t xml:space="preserve">, P and </w:t>
      </w:r>
      <w:proofErr w:type="spellStart"/>
      <w:r w:rsidRPr="0081472D">
        <w:t>Viraktamath</w:t>
      </w:r>
      <w:proofErr w:type="spellEnd"/>
      <w:r w:rsidRPr="0081472D">
        <w:t xml:space="preserve">, B. 2012. Isolation and characterization of </w:t>
      </w:r>
      <w:proofErr w:type="spellStart"/>
      <w:r w:rsidRPr="0081472D">
        <w:rPr>
          <w:rStyle w:val="Emphasis"/>
        </w:rPr>
        <w:t>Ustilaginoidea</w:t>
      </w:r>
      <w:proofErr w:type="spellEnd"/>
      <w:r w:rsidRPr="0081472D">
        <w:rPr>
          <w:rStyle w:val="Emphasis"/>
        </w:rPr>
        <w:t xml:space="preserve"> </w:t>
      </w:r>
      <w:proofErr w:type="spellStart"/>
      <w:r w:rsidRPr="0081472D">
        <w:rPr>
          <w:rStyle w:val="Emphasis"/>
        </w:rPr>
        <w:t>virens</w:t>
      </w:r>
      <w:proofErr w:type="spellEnd"/>
      <w:r w:rsidRPr="0081472D">
        <w:t xml:space="preserve"> and survey of false smut disease of rice in India. </w:t>
      </w:r>
      <w:proofErr w:type="spellStart"/>
      <w:r w:rsidRPr="0081472D">
        <w:rPr>
          <w:rStyle w:val="Emphasis"/>
        </w:rPr>
        <w:t>Phytoparasitica</w:t>
      </w:r>
      <w:proofErr w:type="spellEnd"/>
      <w:r w:rsidRPr="0081472D">
        <w:t>, 40(2), 171</w:t>
      </w:r>
      <w:r w:rsidRPr="0081472D">
        <w:noBreakHyphen/>
        <w:t>176.</w:t>
      </w:r>
    </w:p>
    <w:p w14:paraId="0294744F" w14:textId="77777777" w:rsidR="009D2787" w:rsidRPr="0081472D" w:rsidRDefault="009D2787" w:rsidP="00DB7185">
      <w:pPr>
        <w:pStyle w:val="NormalWeb"/>
        <w:spacing w:line="276" w:lineRule="auto"/>
        <w:ind w:left="720" w:hanging="720"/>
        <w:jc w:val="both"/>
      </w:pPr>
      <w:r w:rsidRPr="0081472D">
        <w:t xml:space="preserve">Lu, D., Yang, X. Q., Mao, J. H., Ye, H. L., Wang, P., Chen, Y. P., He, Z. Q and Chen, F. 2009. Characterising the pathogenicity diversity of hybrid rice in China. </w:t>
      </w:r>
      <w:r w:rsidRPr="0081472D">
        <w:rPr>
          <w:rStyle w:val="Emphasis"/>
        </w:rPr>
        <w:t>International Journal of Current Microbiology and Applied Sciences</w:t>
      </w:r>
      <w:r w:rsidRPr="0081472D">
        <w:t xml:space="preserve">, 91(2), 443-451. </w:t>
      </w:r>
    </w:p>
    <w:p w14:paraId="143EB299" w14:textId="77777777" w:rsidR="009D2787" w:rsidRPr="0081472D" w:rsidRDefault="009D2787" w:rsidP="00DB7185">
      <w:pPr>
        <w:pStyle w:val="NormalWeb"/>
        <w:spacing w:line="276" w:lineRule="auto"/>
        <w:ind w:left="720" w:hanging="720"/>
        <w:jc w:val="both"/>
      </w:pPr>
      <w:proofErr w:type="spellStart"/>
      <w:r w:rsidRPr="0081472D">
        <w:t>Mandhare</w:t>
      </w:r>
      <w:proofErr w:type="spellEnd"/>
      <w:r w:rsidRPr="0081472D">
        <w:t xml:space="preserve">, V. K., </w:t>
      </w:r>
      <w:proofErr w:type="spellStart"/>
      <w:r w:rsidRPr="0081472D">
        <w:t>Gawade</w:t>
      </w:r>
      <w:proofErr w:type="spellEnd"/>
      <w:r w:rsidRPr="0081472D">
        <w:t xml:space="preserve">, S. B., Game, B. C and </w:t>
      </w:r>
      <w:proofErr w:type="spellStart"/>
      <w:r w:rsidRPr="0081472D">
        <w:t>Padule</w:t>
      </w:r>
      <w:proofErr w:type="spellEnd"/>
      <w:r w:rsidRPr="0081472D">
        <w:t xml:space="preserve">, D. N. 2008. Prevalence and incidence of bunt and false smut in paddy (Oryza sativa L.) seeds in Maharashtra. </w:t>
      </w:r>
      <w:r w:rsidRPr="0081472D">
        <w:rPr>
          <w:rStyle w:val="Emphasis"/>
        </w:rPr>
        <w:t>Agricultural Science Digest</w:t>
      </w:r>
      <w:r w:rsidRPr="0081472D">
        <w:t>, 28(4), 292</w:t>
      </w:r>
      <w:r w:rsidRPr="0081472D">
        <w:noBreakHyphen/>
        <w:t>294.</w:t>
      </w:r>
    </w:p>
    <w:p w14:paraId="44565E64" w14:textId="77777777" w:rsidR="009D2787" w:rsidRPr="0081472D" w:rsidRDefault="009D2787" w:rsidP="00DB7185">
      <w:pPr>
        <w:pStyle w:val="NormalWeb"/>
        <w:spacing w:line="276" w:lineRule="auto"/>
        <w:ind w:left="720" w:hanging="720"/>
        <w:jc w:val="both"/>
      </w:pPr>
      <w:r>
        <w:t xml:space="preserve">Sahu, A., Tiwari, R. S., and </w:t>
      </w:r>
      <w:proofErr w:type="spellStart"/>
      <w:r>
        <w:t>Nirmalkar</w:t>
      </w:r>
      <w:proofErr w:type="spellEnd"/>
      <w:r>
        <w:t>, V. K. (2025). Evaluation of fungicides against sheath blight (</w:t>
      </w:r>
      <w:proofErr w:type="spellStart"/>
      <w:r>
        <w:t>Rhizoctonia</w:t>
      </w:r>
      <w:proofErr w:type="spellEnd"/>
      <w:r>
        <w:t xml:space="preserve"> </w:t>
      </w:r>
      <w:proofErr w:type="spellStart"/>
      <w:r>
        <w:t>solani</w:t>
      </w:r>
      <w:proofErr w:type="spellEnd"/>
      <w:r>
        <w:t>) and brown spot (</w:t>
      </w:r>
      <w:proofErr w:type="spellStart"/>
      <w:r>
        <w:t>Helminthosporium</w:t>
      </w:r>
      <w:proofErr w:type="spellEnd"/>
      <w:r>
        <w:t xml:space="preserve"> </w:t>
      </w:r>
      <w:proofErr w:type="spellStart"/>
      <w:r>
        <w:t>oryzae</w:t>
      </w:r>
      <w:proofErr w:type="spellEnd"/>
      <w:r>
        <w:t xml:space="preserve">) of rice. </w:t>
      </w:r>
      <w:r>
        <w:rPr>
          <w:rStyle w:val="Emphasis"/>
        </w:rPr>
        <w:t xml:space="preserve">Journal of </w:t>
      </w:r>
      <w:proofErr w:type="spellStart"/>
      <w:r>
        <w:rPr>
          <w:rStyle w:val="Emphasis"/>
        </w:rPr>
        <w:t>Mycopathological</w:t>
      </w:r>
      <w:proofErr w:type="spellEnd"/>
      <w:r>
        <w:rPr>
          <w:rStyle w:val="Emphasis"/>
        </w:rPr>
        <w:t xml:space="preserve"> Research</w:t>
      </w:r>
      <w:r>
        <w:t>, 63(2), 387-397.</w:t>
      </w:r>
    </w:p>
    <w:p w14:paraId="407005C2" w14:textId="77777777" w:rsidR="009D2787" w:rsidRPr="0081472D" w:rsidRDefault="009D2787" w:rsidP="00DB7185">
      <w:pPr>
        <w:pStyle w:val="NormalWeb"/>
        <w:spacing w:line="276" w:lineRule="auto"/>
        <w:ind w:left="720" w:hanging="720"/>
        <w:jc w:val="both"/>
      </w:pPr>
      <w:r w:rsidRPr="0081472D">
        <w:t xml:space="preserve">Samui, S. K., Maitra, S., Roy, D. K., Mondal, A. K and Saha, D. 2000. </w:t>
      </w:r>
      <w:proofErr w:type="gramStart"/>
      <w:r w:rsidRPr="0081472D">
        <w:t>Evaluation of front line demonstration on groundnut (Arachis hypogea L.) in Sundarbans.</w:t>
      </w:r>
      <w:proofErr w:type="gramEnd"/>
      <w:r w:rsidRPr="0081472D">
        <w:t xml:space="preserve"> </w:t>
      </w:r>
      <w:r w:rsidRPr="0081472D">
        <w:rPr>
          <w:rStyle w:val="Emphasis"/>
        </w:rPr>
        <w:t>Journal of the Indian Society of Coastal Agricultural Research</w:t>
      </w:r>
      <w:r w:rsidRPr="0081472D">
        <w:t>, 18(2), 180</w:t>
      </w:r>
      <w:r w:rsidRPr="0081472D">
        <w:noBreakHyphen/>
        <w:t xml:space="preserve">183. </w:t>
      </w:r>
    </w:p>
    <w:p w14:paraId="2499BEBE" w14:textId="77777777" w:rsidR="009D2787" w:rsidRPr="0081472D" w:rsidRDefault="009D2787" w:rsidP="00DB7185">
      <w:pPr>
        <w:pStyle w:val="NormalWeb"/>
        <w:spacing w:line="276" w:lineRule="auto"/>
        <w:ind w:left="720" w:hanging="720"/>
        <w:jc w:val="both"/>
      </w:pPr>
      <w:r w:rsidRPr="0081472D">
        <w:t xml:space="preserve">Sharanabasav, H., Pramesh, D., </w:t>
      </w:r>
      <w:proofErr w:type="spellStart"/>
      <w:r w:rsidRPr="0081472D">
        <w:t>Chidanandappa</w:t>
      </w:r>
      <w:proofErr w:type="spellEnd"/>
      <w:r w:rsidRPr="0081472D">
        <w:t xml:space="preserve">, E., </w:t>
      </w:r>
      <w:proofErr w:type="spellStart"/>
      <w:r w:rsidRPr="0081472D">
        <w:t>Saddamhusen</w:t>
      </w:r>
      <w:proofErr w:type="spellEnd"/>
      <w:r w:rsidRPr="0081472D">
        <w:t xml:space="preserve">, A., </w:t>
      </w:r>
      <w:proofErr w:type="spellStart"/>
      <w:r w:rsidRPr="0081472D">
        <w:t>Chittaragi</w:t>
      </w:r>
      <w:proofErr w:type="spellEnd"/>
      <w:r w:rsidRPr="0081472D">
        <w:t xml:space="preserve">, A., Raghunandana, A., Prasanna Kumar, M.K., </w:t>
      </w:r>
      <w:proofErr w:type="spellStart"/>
      <w:r w:rsidRPr="0081472D">
        <w:t>Raghavendra</w:t>
      </w:r>
      <w:proofErr w:type="spellEnd"/>
      <w:r w:rsidRPr="0081472D">
        <w:t xml:space="preserve">, B.T., </w:t>
      </w:r>
      <w:proofErr w:type="spellStart"/>
      <w:r w:rsidRPr="0081472D">
        <w:t>Harischandra</w:t>
      </w:r>
      <w:proofErr w:type="spellEnd"/>
      <w:r w:rsidRPr="0081472D">
        <w:t xml:space="preserve"> </w:t>
      </w:r>
      <w:proofErr w:type="spellStart"/>
      <w:r w:rsidRPr="0081472D">
        <w:t>Naik</w:t>
      </w:r>
      <w:proofErr w:type="spellEnd"/>
      <w:r w:rsidRPr="0081472D">
        <w:t xml:space="preserve">, R., Mallesh, S.B., Mahantashivayogayya, K., </w:t>
      </w:r>
      <w:proofErr w:type="spellStart"/>
      <w:r w:rsidRPr="0081472D">
        <w:t>Huruli</w:t>
      </w:r>
      <w:proofErr w:type="spellEnd"/>
      <w:r w:rsidRPr="0081472D">
        <w:t xml:space="preserve">, S., Reddy, B.G.M. and Gowda, S.B. 2020. Field evaluation of fungicides against false smut disease of rice. </w:t>
      </w:r>
      <w:r w:rsidRPr="0081472D">
        <w:rPr>
          <w:rStyle w:val="Emphasis"/>
        </w:rPr>
        <w:t xml:space="preserve">J. </w:t>
      </w:r>
      <w:proofErr w:type="spellStart"/>
      <w:r w:rsidRPr="0081472D">
        <w:rPr>
          <w:rStyle w:val="Emphasis"/>
        </w:rPr>
        <w:t>Pharmacogn</w:t>
      </w:r>
      <w:proofErr w:type="spellEnd"/>
      <w:r w:rsidRPr="0081472D">
        <w:rPr>
          <w:rStyle w:val="Emphasis"/>
        </w:rPr>
        <w:t xml:space="preserve">. </w:t>
      </w:r>
      <w:proofErr w:type="spellStart"/>
      <w:r w:rsidRPr="0081472D">
        <w:rPr>
          <w:rStyle w:val="Emphasis"/>
        </w:rPr>
        <w:t>Phytochem</w:t>
      </w:r>
      <w:proofErr w:type="spellEnd"/>
      <w:r w:rsidRPr="0081472D">
        <w:rPr>
          <w:rStyle w:val="Emphasis"/>
        </w:rPr>
        <w:t>.</w:t>
      </w:r>
      <w:r w:rsidRPr="0081472D">
        <w:t xml:space="preserve">, </w:t>
      </w:r>
      <w:r w:rsidRPr="0081472D">
        <w:rPr>
          <w:rStyle w:val="Strong"/>
          <w:b w:val="0"/>
          <w:bCs w:val="0"/>
        </w:rPr>
        <w:t>9(3)</w:t>
      </w:r>
      <w:r w:rsidRPr="0081472D">
        <w:t>: 1453–1456.</w:t>
      </w:r>
    </w:p>
    <w:p w14:paraId="39373BA4" w14:textId="77777777" w:rsidR="009D2787" w:rsidRPr="0081472D" w:rsidRDefault="009D2787" w:rsidP="00DB7185">
      <w:pPr>
        <w:pStyle w:val="NormalWeb"/>
        <w:spacing w:line="276" w:lineRule="auto"/>
        <w:ind w:left="720" w:hanging="720"/>
        <w:jc w:val="both"/>
      </w:pPr>
      <w:r w:rsidRPr="0081472D">
        <w:t xml:space="preserve">Sharma, S., Tripathi, S. K., Sharma, A. K., Prajapati, S., </w:t>
      </w:r>
      <w:proofErr w:type="spellStart"/>
      <w:r w:rsidRPr="0081472D">
        <w:t>Gautam</w:t>
      </w:r>
      <w:proofErr w:type="spellEnd"/>
      <w:r w:rsidRPr="0081472D">
        <w:t xml:space="preserve">, V and </w:t>
      </w:r>
      <w:proofErr w:type="spellStart"/>
      <w:r w:rsidRPr="0081472D">
        <w:t>Mahore</w:t>
      </w:r>
      <w:proofErr w:type="spellEnd"/>
      <w:r w:rsidRPr="0081472D">
        <w:t xml:space="preserve">, P. 2024. Evaluation of chemical fungicides against sheath blight disease of rice in India. </w:t>
      </w:r>
      <w:r w:rsidRPr="0081472D">
        <w:rPr>
          <w:rStyle w:val="Emphasis"/>
        </w:rPr>
        <w:t>International Journal of Plant and Soil Science</w:t>
      </w:r>
      <w:r w:rsidRPr="0081472D">
        <w:t>, 36(3), 177</w:t>
      </w:r>
      <w:r w:rsidRPr="0081472D">
        <w:noBreakHyphen/>
        <w:t>183.</w:t>
      </w:r>
    </w:p>
    <w:p w14:paraId="16F7DA66" w14:textId="77777777" w:rsidR="009D2787" w:rsidRPr="0081472D" w:rsidRDefault="009D2787" w:rsidP="00DB7185">
      <w:pPr>
        <w:pStyle w:val="NormalWeb"/>
        <w:spacing w:line="276" w:lineRule="auto"/>
        <w:ind w:left="720" w:hanging="720"/>
        <w:jc w:val="both"/>
      </w:pPr>
      <w:r w:rsidRPr="0081472D">
        <w:t xml:space="preserve">Singh, U. P., </w:t>
      </w:r>
      <w:proofErr w:type="spellStart"/>
      <w:r w:rsidRPr="0081472D">
        <w:t>Mahendra</w:t>
      </w:r>
      <w:proofErr w:type="spellEnd"/>
      <w:r w:rsidRPr="0081472D">
        <w:t xml:space="preserve"> and </w:t>
      </w:r>
      <w:proofErr w:type="spellStart"/>
      <w:r w:rsidRPr="0081472D">
        <w:t>Aruneesh</w:t>
      </w:r>
      <w:proofErr w:type="spellEnd"/>
      <w:r w:rsidRPr="0081472D">
        <w:t xml:space="preserve">. 2020. Evaluation of fungicides for the false smut in </w:t>
      </w:r>
      <w:proofErr w:type="spellStart"/>
      <w:r w:rsidRPr="0081472D">
        <w:t>Jaunpur</w:t>
      </w:r>
      <w:proofErr w:type="spellEnd"/>
      <w:r w:rsidRPr="0081472D">
        <w:t xml:space="preserve"> of Eastern U.P. </w:t>
      </w:r>
      <w:r w:rsidRPr="0081472D">
        <w:rPr>
          <w:rStyle w:val="Emphasis"/>
        </w:rPr>
        <w:t>International Journal of Current Microbiology and Applied Sciences (Special Issue</w:t>
      </w:r>
      <w:r w:rsidRPr="0081472D">
        <w:rPr>
          <w:rStyle w:val="Emphasis"/>
        </w:rPr>
        <w:noBreakHyphen/>
        <w:t>10)</w:t>
      </w:r>
      <w:r w:rsidRPr="0081472D">
        <w:t>, 101</w:t>
      </w:r>
      <w:r w:rsidRPr="0081472D">
        <w:noBreakHyphen/>
        <w:t>105.</w:t>
      </w:r>
    </w:p>
    <w:p w14:paraId="3D822A09" w14:textId="77777777" w:rsidR="009D2787" w:rsidRPr="0081472D" w:rsidRDefault="009D2787" w:rsidP="00DB7185">
      <w:pPr>
        <w:pStyle w:val="NormalWeb"/>
        <w:spacing w:line="276" w:lineRule="auto"/>
        <w:ind w:left="720" w:hanging="720"/>
        <w:jc w:val="both"/>
      </w:pPr>
      <w:r w:rsidRPr="0081472D">
        <w:t xml:space="preserve">Swathi, M., Lakshmana, K and Rao, K. T. 2020. Evaluation of integrated pest management module for pink bollworm in cotton. </w:t>
      </w:r>
      <w:r w:rsidRPr="0081472D">
        <w:rPr>
          <w:rStyle w:val="Emphasis"/>
        </w:rPr>
        <w:t>Progressive Research – An International Journal</w:t>
      </w:r>
      <w:r w:rsidRPr="0081472D">
        <w:t>, 15, 522</w:t>
      </w:r>
      <w:r w:rsidRPr="0081472D">
        <w:noBreakHyphen/>
        <w:t>523.</w:t>
      </w:r>
    </w:p>
    <w:p w14:paraId="459370D6" w14:textId="77777777" w:rsidR="009D2787" w:rsidRPr="0081472D" w:rsidRDefault="009D2787" w:rsidP="00DB7185">
      <w:pPr>
        <w:pStyle w:val="NormalWeb"/>
        <w:spacing w:line="276" w:lineRule="auto"/>
        <w:ind w:left="720" w:hanging="720"/>
        <w:jc w:val="both"/>
      </w:pPr>
      <w:r w:rsidRPr="0081472D">
        <w:lastRenderedPageBreak/>
        <w:t xml:space="preserve">Thakur, M., Sahu, N.R., Tiwari, P. K and Kotasthane, A. 2018. Combination of Azoxystrobin + Difenoconazole provides effective management of sheath blight of rice caused by </w:t>
      </w:r>
      <w:proofErr w:type="spellStart"/>
      <w:r w:rsidRPr="0081472D">
        <w:rPr>
          <w:rStyle w:val="Emphasis"/>
        </w:rPr>
        <w:t>Rhizoctonia</w:t>
      </w:r>
      <w:proofErr w:type="spellEnd"/>
      <w:r w:rsidRPr="0081472D">
        <w:rPr>
          <w:rStyle w:val="Emphasis"/>
        </w:rPr>
        <w:t xml:space="preserve"> </w:t>
      </w:r>
      <w:proofErr w:type="spellStart"/>
      <w:r w:rsidRPr="0081472D">
        <w:rPr>
          <w:rStyle w:val="Emphasis"/>
        </w:rPr>
        <w:t>solani</w:t>
      </w:r>
      <w:proofErr w:type="spellEnd"/>
      <w:r w:rsidRPr="0081472D">
        <w:t xml:space="preserve">. </w:t>
      </w:r>
      <w:r w:rsidRPr="0081472D">
        <w:rPr>
          <w:rStyle w:val="Emphasis"/>
        </w:rPr>
        <w:t>International Journal of Chemical Studies</w:t>
      </w:r>
      <w:r w:rsidRPr="0081472D">
        <w:t>, 6(4), 1682</w:t>
      </w:r>
      <w:r w:rsidRPr="0081472D">
        <w:noBreakHyphen/>
        <w:t>1685.</w:t>
      </w:r>
    </w:p>
    <w:p w14:paraId="445CAC37" w14:textId="77777777" w:rsidR="00771C5B" w:rsidRPr="0081472D" w:rsidRDefault="009D2787" w:rsidP="000162AE">
      <w:pPr>
        <w:pStyle w:val="NormalWeb"/>
        <w:spacing w:line="276" w:lineRule="auto"/>
        <w:ind w:left="720" w:hanging="720"/>
        <w:jc w:val="both"/>
        <w:sectPr w:rsidR="00771C5B" w:rsidRPr="0081472D" w:rsidSect="00F1643E">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sectPr>
      </w:pPr>
      <w:r w:rsidRPr="0081472D">
        <w:t xml:space="preserve">Yadav, A., Yadav, A., Singh, H., Nath, S. and Pal, A.K. 2025. Evaluation of fungicides against false smut of rice in Ballia district of Eastern U.P. </w:t>
      </w:r>
      <w:r w:rsidRPr="0081472D">
        <w:rPr>
          <w:rStyle w:val="Emphasis"/>
        </w:rPr>
        <w:t xml:space="preserve">Int. J. Adv. </w:t>
      </w:r>
      <w:proofErr w:type="spellStart"/>
      <w:r w:rsidRPr="0081472D">
        <w:rPr>
          <w:rStyle w:val="Emphasis"/>
        </w:rPr>
        <w:t>Biochem</w:t>
      </w:r>
      <w:proofErr w:type="spellEnd"/>
      <w:r w:rsidRPr="0081472D">
        <w:rPr>
          <w:rStyle w:val="Emphasis"/>
        </w:rPr>
        <w:t>. Res.</w:t>
      </w:r>
      <w:r w:rsidRPr="0081472D">
        <w:t xml:space="preserve">, </w:t>
      </w:r>
      <w:r w:rsidRPr="0081472D">
        <w:rPr>
          <w:rStyle w:val="Strong"/>
          <w:b w:val="0"/>
          <w:bCs w:val="0"/>
        </w:rPr>
        <w:t>9(4)</w:t>
      </w:r>
      <w:r w:rsidRPr="0081472D">
        <w:rPr>
          <w:b/>
          <w:bCs/>
        </w:rPr>
        <w:t>:</w:t>
      </w:r>
      <w:r w:rsidRPr="0081472D">
        <w:t xml:space="preserve"> 12–14.</w:t>
      </w:r>
      <w:r w:rsidR="00715EF1" w:rsidRPr="0081472D">
        <w:t xml:space="preserve"> </w:t>
      </w:r>
    </w:p>
    <w:p w14:paraId="32479817"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lastRenderedPageBreak/>
        <w:t>Table 1: Incidence of diseases in paddy</w:t>
      </w:r>
    </w:p>
    <w:tbl>
      <w:tblPr>
        <w:tblStyle w:val="TableGrid"/>
        <w:tblW w:w="0" w:type="auto"/>
        <w:tblLook w:val="04A0" w:firstRow="1" w:lastRow="0" w:firstColumn="1" w:lastColumn="0" w:noHBand="0" w:noVBand="1"/>
      </w:tblPr>
      <w:tblGrid>
        <w:gridCol w:w="722"/>
        <w:gridCol w:w="616"/>
        <w:gridCol w:w="1750"/>
        <w:gridCol w:w="2127"/>
        <w:gridCol w:w="1750"/>
        <w:gridCol w:w="2362"/>
      </w:tblGrid>
      <w:tr w:rsidR="00371BD3" w:rsidRPr="0081472D" w14:paraId="06532EEC" w14:textId="77777777" w:rsidTr="00CF15A6">
        <w:tc>
          <w:tcPr>
            <w:tcW w:w="0" w:type="auto"/>
            <w:vMerge w:val="restart"/>
          </w:tcPr>
          <w:p w14:paraId="7FA28996"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S. No.</w:t>
            </w:r>
          </w:p>
        </w:tc>
        <w:tc>
          <w:tcPr>
            <w:tcW w:w="0" w:type="auto"/>
            <w:vMerge w:val="restart"/>
          </w:tcPr>
          <w:p w14:paraId="19853A87"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Year</w:t>
            </w:r>
          </w:p>
        </w:tc>
        <w:tc>
          <w:tcPr>
            <w:tcW w:w="7989" w:type="dxa"/>
            <w:gridSpan w:val="4"/>
          </w:tcPr>
          <w:p w14:paraId="27230A6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 xml:space="preserve">Disease </w:t>
            </w:r>
            <w:r w:rsidR="00006BC0" w:rsidRPr="0081472D">
              <w:rPr>
                <w:rFonts w:ascii="Times New Roman" w:hAnsi="Times New Roman" w:cs="Times New Roman"/>
                <w:b/>
                <w:bCs/>
                <w:sz w:val="20"/>
                <w:szCs w:val="20"/>
              </w:rPr>
              <w:t>incidence</w:t>
            </w:r>
            <w:r w:rsidRPr="0081472D">
              <w:rPr>
                <w:rFonts w:ascii="Times New Roman" w:hAnsi="Times New Roman" w:cs="Times New Roman"/>
                <w:b/>
                <w:bCs/>
                <w:sz w:val="20"/>
                <w:szCs w:val="20"/>
              </w:rPr>
              <w:t xml:space="preserve"> (%)</w:t>
            </w:r>
          </w:p>
        </w:tc>
      </w:tr>
      <w:tr w:rsidR="00371BD3" w:rsidRPr="0081472D" w14:paraId="267639A0" w14:textId="77777777" w:rsidTr="00CF15A6">
        <w:tc>
          <w:tcPr>
            <w:tcW w:w="0" w:type="auto"/>
            <w:vMerge/>
          </w:tcPr>
          <w:p w14:paraId="403BBFDE"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Merge/>
          </w:tcPr>
          <w:p w14:paraId="4F3C80F6" w14:textId="77777777" w:rsidR="00E715B7" w:rsidRPr="0081472D" w:rsidRDefault="00E715B7" w:rsidP="00DB7185">
            <w:pPr>
              <w:spacing w:after="0" w:line="276" w:lineRule="auto"/>
              <w:jc w:val="center"/>
              <w:rPr>
                <w:rFonts w:ascii="Times New Roman" w:hAnsi="Times New Roman" w:cs="Times New Roman"/>
                <w:b/>
                <w:bCs/>
                <w:sz w:val="20"/>
                <w:szCs w:val="20"/>
              </w:rPr>
            </w:pPr>
          </w:p>
        </w:tc>
        <w:tc>
          <w:tcPr>
            <w:tcW w:w="3877" w:type="dxa"/>
            <w:gridSpan w:val="2"/>
          </w:tcPr>
          <w:p w14:paraId="5F2C4AFC"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Sheath blight</w:t>
            </w:r>
          </w:p>
        </w:tc>
        <w:tc>
          <w:tcPr>
            <w:tcW w:w="4112" w:type="dxa"/>
            <w:gridSpan w:val="2"/>
          </w:tcPr>
          <w:p w14:paraId="41459BC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False smut</w:t>
            </w:r>
          </w:p>
        </w:tc>
      </w:tr>
      <w:tr w:rsidR="00371BD3" w:rsidRPr="0081472D" w14:paraId="7CC73F77" w14:textId="77777777" w:rsidTr="00CF15A6">
        <w:tc>
          <w:tcPr>
            <w:tcW w:w="0" w:type="auto"/>
            <w:vMerge/>
          </w:tcPr>
          <w:p w14:paraId="208D6D2B"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Merge/>
          </w:tcPr>
          <w:p w14:paraId="6CA1CD61" w14:textId="77777777" w:rsidR="00E715B7" w:rsidRPr="0081472D" w:rsidRDefault="00E715B7" w:rsidP="00DB7185">
            <w:pPr>
              <w:spacing w:after="0" w:line="276" w:lineRule="auto"/>
              <w:rPr>
                <w:rFonts w:ascii="Times New Roman" w:hAnsi="Times New Roman" w:cs="Times New Roman"/>
                <w:b/>
                <w:bCs/>
                <w:sz w:val="20"/>
                <w:szCs w:val="20"/>
              </w:rPr>
            </w:pPr>
          </w:p>
        </w:tc>
        <w:tc>
          <w:tcPr>
            <w:tcW w:w="1750" w:type="dxa"/>
          </w:tcPr>
          <w:p w14:paraId="1650FC60"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2127" w:type="dxa"/>
          </w:tcPr>
          <w:p w14:paraId="3BEEA55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1750" w:type="dxa"/>
          </w:tcPr>
          <w:p w14:paraId="4D4A2332"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2362" w:type="dxa"/>
          </w:tcPr>
          <w:p w14:paraId="3035032A"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r>
      <w:tr w:rsidR="00371BD3" w:rsidRPr="0081472D" w14:paraId="0DFFA928" w14:textId="77777777" w:rsidTr="00CF15A6">
        <w:tc>
          <w:tcPr>
            <w:tcW w:w="0" w:type="auto"/>
          </w:tcPr>
          <w:p w14:paraId="02DAB6F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sz w:val="20"/>
                <w:szCs w:val="20"/>
              </w:rPr>
              <w:t>1</w:t>
            </w:r>
          </w:p>
        </w:tc>
        <w:tc>
          <w:tcPr>
            <w:tcW w:w="0" w:type="auto"/>
            <w:vAlign w:val="bottom"/>
          </w:tcPr>
          <w:p w14:paraId="1BA8CEA9"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2021</w:t>
            </w:r>
          </w:p>
        </w:tc>
        <w:tc>
          <w:tcPr>
            <w:tcW w:w="1750" w:type="dxa"/>
            <w:vAlign w:val="bottom"/>
          </w:tcPr>
          <w:p w14:paraId="360CE91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3.15</w:t>
            </w:r>
          </w:p>
        </w:tc>
        <w:tc>
          <w:tcPr>
            <w:tcW w:w="2127" w:type="dxa"/>
            <w:vAlign w:val="bottom"/>
          </w:tcPr>
          <w:p w14:paraId="2856CA9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7.57</w:t>
            </w:r>
          </w:p>
        </w:tc>
        <w:tc>
          <w:tcPr>
            <w:tcW w:w="1750" w:type="dxa"/>
            <w:vAlign w:val="bottom"/>
          </w:tcPr>
          <w:p w14:paraId="24A77F7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2.20</w:t>
            </w:r>
          </w:p>
        </w:tc>
        <w:tc>
          <w:tcPr>
            <w:tcW w:w="2362" w:type="dxa"/>
            <w:vAlign w:val="bottom"/>
          </w:tcPr>
          <w:p w14:paraId="48D0D17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8.20</w:t>
            </w:r>
          </w:p>
        </w:tc>
      </w:tr>
      <w:tr w:rsidR="00371BD3" w:rsidRPr="0081472D" w14:paraId="06A2A02F" w14:textId="77777777" w:rsidTr="00CF15A6">
        <w:tc>
          <w:tcPr>
            <w:tcW w:w="0" w:type="auto"/>
          </w:tcPr>
          <w:p w14:paraId="2409137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w:t>
            </w:r>
          </w:p>
        </w:tc>
        <w:tc>
          <w:tcPr>
            <w:tcW w:w="0" w:type="auto"/>
            <w:vAlign w:val="bottom"/>
          </w:tcPr>
          <w:p w14:paraId="0B3D5F7B"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2022</w:t>
            </w:r>
          </w:p>
        </w:tc>
        <w:tc>
          <w:tcPr>
            <w:tcW w:w="1750" w:type="dxa"/>
            <w:vAlign w:val="bottom"/>
          </w:tcPr>
          <w:p w14:paraId="4C84A69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2.80</w:t>
            </w:r>
          </w:p>
        </w:tc>
        <w:tc>
          <w:tcPr>
            <w:tcW w:w="2127" w:type="dxa"/>
            <w:vAlign w:val="bottom"/>
          </w:tcPr>
          <w:p w14:paraId="17F7851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6.80</w:t>
            </w:r>
          </w:p>
        </w:tc>
        <w:tc>
          <w:tcPr>
            <w:tcW w:w="1750" w:type="dxa"/>
            <w:vAlign w:val="bottom"/>
          </w:tcPr>
          <w:p w14:paraId="0DBA5AF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1.60</w:t>
            </w:r>
          </w:p>
        </w:tc>
        <w:tc>
          <w:tcPr>
            <w:tcW w:w="2362" w:type="dxa"/>
            <w:vAlign w:val="bottom"/>
          </w:tcPr>
          <w:p w14:paraId="4141714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5.60</w:t>
            </w:r>
          </w:p>
        </w:tc>
      </w:tr>
      <w:tr w:rsidR="00371BD3" w:rsidRPr="0081472D" w14:paraId="2D89F64E" w14:textId="77777777" w:rsidTr="00CF15A6">
        <w:tc>
          <w:tcPr>
            <w:tcW w:w="0" w:type="auto"/>
          </w:tcPr>
          <w:p w14:paraId="27E7EF3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w:t>
            </w:r>
          </w:p>
        </w:tc>
        <w:tc>
          <w:tcPr>
            <w:tcW w:w="0" w:type="auto"/>
            <w:vAlign w:val="bottom"/>
          </w:tcPr>
          <w:p w14:paraId="07CFBC30"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2023</w:t>
            </w:r>
          </w:p>
        </w:tc>
        <w:tc>
          <w:tcPr>
            <w:tcW w:w="1750" w:type="dxa"/>
            <w:vAlign w:val="bottom"/>
          </w:tcPr>
          <w:p w14:paraId="4773364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2.50</w:t>
            </w:r>
          </w:p>
        </w:tc>
        <w:tc>
          <w:tcPr>
            <w:tcW w:w="2127" w:type="dxa"/>
            <w:vAlign w:val="bottom"/>
          </w:tcPr>
          <w:p w14:paraId="29F7495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8.80</w:t>
            </w:r>
          </w:p>
        </w:tc>
        <w:tc>
          <w:tcPr>
            <w:tcW w:w="1750" w:type="dxa"/>
            <w:vAlign w:val="bottom"/>
          </w:tcPr>
          <w:p w14:paraId="0EC67EBB"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1.20</w:t>
            </w:r>
          </w:p>
        </w:tc>
        <w:tc>
          <w:tcPr>
            <w:tcW w:w="2362" w:type="dxa"/>
            <w:vAlign w:val="bottom"/>
          </w:tcPr>
          <w:p w14:paraId="6FF88EC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3.20</w:t>
            </w:r>
          </w:p>
        </w:tc>
      </w:tr>
      <w:tr w:rsidR="00371BD3" w:rsidRPr="0081472D" w14:paraId="2217C42A" w14:textId="77777777" w:rsidTr="00CF15A6">
        <w:tc>
          <w:tcPr>
            <w:tcW w:w="0" w:type="auto"/>
            <w:gridSpan w:val="2"/>
          </w:tcPr>
          <w:p w14:paraId="20BAE6F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Mean</w:t>
            </w:r>
          </w:p>
        </w:tc>
        <w:tc>
          <w:tcPr>
            <w:tcW w:w="1750" w:type="dxa"/>
            <w:vAlign w:val="bottom"/>
          </w:tcPr>
          <w:p w14:paraId="3D3BDA1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2.98</w:t>
            </w:r>
          </w:p>
        </w:tc>
        <w:tc>
          <w:tcPr>
            <w:tcW w:w="2127" w:type="dxa"/>
            <w:vAlign w:val="bottom"/>
          </w:tcPr>
          <w:p w14:paraId="3C2A72F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7.19</w:t>
            </w:r>
          </w:p>
        </w:tc>
        <w:tc>
          <w:tcPr>
            <w:tcW w:w="1750" w:type="dxa"/>
            <w:vAlign w:val="bottom"/>
          </w:tcPr>
          <w:p w14:paraId="4388E93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1.90</w:t>
            </w:r>
          </w:p>
        </w:tc>
        <w:tc>
          <w:tcPr>
            <w:tcW w:w="2362" w:type="dxa"/>
            <w:vAlign w:val="bottom"/>
          </w:tcPr>
          <w:p w14:paraId="7668808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w:t>
            </w:r>
          </w:p>
        </w:tc>
      </w:tr>
    </w:tbl>
    <w:p w14:paraId="04CD4253" w14:textId="77777777" w:rsidR="00E715B7" w:rsidRPr="0081472D" w:rsidRDefault="00E715B7" w:rsidP="00DB7185">
      <w:pPr>
        <w:spacing w:line="276" w:lineRule="auto"/>
        <w:rPr>
          <w:rFonts w:ascii="Times New Roman" w:hAnsi="Times New Roman" w:cs="Times New Roman"/>
          <w:b/>
          <w:bCs/>
          <w:sz w:val="20"/>
          <w:szCs w:val="20"/>
        </w:rPr>
      </w:pPr>
    </w:p>
    <w:p w14:paraId="51760D11"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t>Table 2: Effect of chemical management of diseases on the yield and economics of paddy</w:t>
      </w:r>
    </w:p>
    <w:tbl>
      <w:tblPr>
        <w:tblStyle w:val="TableGrid"/>
        <w:tblW w:w="5000" w:type="pct"/>
        <w:tblLayout w:type="fixed"/>
        <w:tblLook w:val="04A0" w:firstRow="1" w:lastRow="0" w:firstColumn="1" w:lastColumn="0" w:noHBand="0" w:noVBand="1"/>
      </w:tblPr>
      <w:tblGrid>
        <w:gridCol w:w="581"/>
        <w:gridCol w:w="967"/>
        <w:gridCol w:w="989"/>
        <w:gridCol w:w="1210"/>
        <w:gridCol w:w="1310"/>
        <w:gridCol w:w="1038"/>
        <w:gridCol w:w="1176"/>
        <w:gridCol w:w="1055"/>
        <w:gridCol w:w="1213"/>
        <w:gridCol w:w="1165"/>
        <w:gridCol w:w="1284"/>
        <w:gridCol w:w="1032"/>
        <w:gridCol w:w="1154"/>
      </w:tblGrid>
      <w:tr w:rsidR="00371BD3" w:rsidRPr="0081472D" w14:paraId="1619DD5C" w14:textId="77777777" w:rsidTr="00114311">
        <w:tc>
          <w:tcPr>
            <w:tcW w:w="205" w:type="pct"/>
            <w:vMerge w:val="restart"/>
          </w:tcPr>
          <w:p w14:paraId="38E037BE"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S. No.</w:t>
            </w:r>
          </w:p>
        </w:tc>
        <w:tc>
          <w:tcPr>
            <w:tcW w:w="341" w:type="pct"/>
            <w:vMerge w:val="restart"/>
          </w:tcPr>
          <w:p w14:paraId="0CC74373"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Year</w:t>
            </w:r>
          </w:p>
        </w:tc>
        <w:tc>
          <w:tcPr>
            <w:tcW w:w="1238" w:type="pct"/>
            <w:gridSpan w:val="3"/>
          </w:tcPr>
          <w:p w14:paraId="53735AEF"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Yield (kg/ha)</w:t>
            </w:r>
          </w:p>
        </w:tc>
        <w:tc>
          <w:tcPr>
            <w:tcW w:w="781" w:type="pct"/>
            <w:gridSpan w:val="2"/>
          </w:tcPr>
          <w:p w14:paraId="0B745998"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Gross returns (Rs./ha)</w:t>
            </w:r>
          </w:p>
        </w:tc>
        <w:tc>
          <w:tcPr>
            <w:tcW w:w="800" w:type="pct"/>
            <w:gridSpan w:val="2"/>
          </w:tcPr>
          <w:p w14:paraId="099DDCBC"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Cost of cultivation (Rs./ha)</w:t>
            </w:r>
          </w:p>
        </w:tc>
        <w:tc>
          <w:tcPr>
            <w:tcW w:w="864" w:type="pct"/>
            <w:gridSpan w:val="2"/>
          </w:tcPr>
          <w:p w14:paraId="0829DAD6"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Net returns (Rs./ha)</w:t>
            </w:r>
          </w:p>
        </w:tc>
        <w:tc>
          <w:tcPr>
            <w:tcW w:w="771" w:type="pct"/>
            <w:gridSpan w:val="2"/>
          </w:tcPr>
          <w:p w14:paraId="48BD029B"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Benefit cost ratio</w:t>
            </w:r>
          </w:p>
        </w:tc>
      </w:tr>
      <w:tr w:rsidR="00371BD3" w:rsidRPr="0081472D" w14:paraId="64820CA8" w14:textId="77777777" w:rsidTr="00114311">
        <w:tc>
          <w:tcPr>
            <w:tcW w:w="205" w:type="pct"/>
            <w:vMerge/>
          </w:tcPr>
          <w:p w14:paraId="794DDF38" w14:textId="77777777" w:rsidR="00E715B7" w:rsidRPr="0081472D" w:rsidRDefault="00E715B7" w:rsidP="00DB7185">
            <w:pPr>
              <w:spacing w:after="0" w:line="276" w:lineRule="auto"/>
              <w:jc w:val="center"/>
              <w:rPr>
                <w:rFonts w:ascii="Times New Roman" w:hAnsi="Times New Roman" w:cs="Times New Roman"/>
                <w:b/>
                <w:bCs/>
                <w:sz w:val="20"/>
                <w:szCs w:val="20"/>
              </w:rPr>
            </w:pPr>
          </w:p>
        </w:tc>
        <w:tc>
          <w:tcPr>
            <w:tcW w:w="341" w:type="pct"/>
            <w:vMerge/>
          </w:tcPr>
          <w:p w14:paraId="3B796E84" w14:textId="77777777" w:rsidR="00E715B7" w:rsidRPr="0081472D" w:rsidRDefault="00E715B7" w:rsidP="00DB7185">
            <w:pPr>
              <w:spacing w:after="0" w:line="276" w:lineRule="auto"/>
              <w:jc w:val="center"/>
              <w:rPr>
                <w:rFonts w:ascii="Times New Roman" w:hAnsi="Times New Roman" w:cs="Times New Roman"/>
                <w:b/>
                <w:bCs/>
                <w:sz w:val="20"/>
                <w:szCs w:val="20"/>
              </w:rPr>
            </w:pPr>
          </w:p>
        </w:tc>
        <w:tc>
          <w:tcPr>
            <w:tcW w:w="349" w:type="pct"/>
          </w:tcPr>
          <w:p w14:paraId="3C918B81"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27" w:type="pct"/>
          </w:tcPr>
          <w:p w14:paraId="36A1ADA1"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462" w:type="pct"/>
          </w:tcPr>
          <w:p w14:paraId="738EC43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Increase in yield (%)</w:t>
            </w:r>
          </w:p>
        </w:tc>
        <w:tc>
          <w:tcPr>
            <w:tcW w:w="366" w:type="pct"/>
          </w:tcPr>
          <w:p w14:paraId="4709695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15" w:type="pct"/>
          </w:tcPr>
          <w:p w14:paraId="4F19EFEA"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372" w:type="pct"/>
          </w:tcPr>
          <w:p w14:paraId="3115B348"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28" w:type="pct"/>
          </w:tcPr>
          <w:p w14:paraId="288BB1BE"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411" w:type="pct"/>
          </w:tcPr>
          <w:p w14:paraId="122E7EAC"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53" w:type="pct"/>
          </w:tcPr>
          <w:p w14:paraId="1CBE4C4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364" w:type="pct"/>
          </w:tcPr>
          <w:p w14:paraId="4B7FFCD4"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07" w:type="pct"/>
          </w:tcPr>
          <w:p w14:paraId="08133918" w14:textId="77777777" w:rsidR="00E715B7" w:rsidRPr="0081472D" w:rsidRDefault="00774E03"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 practice</w:t>
            </w:r>
          </w:p>
        </w:tc>
      </w:tr>
      <w:tr w:rsidR="00371BD3" w:rsidRPr="0081472D" w14:paraId="3A76F13C" w14:textId="77777777" w:rsidTr="00114311">
        <w:tc>
          <w:tcPr>
            <w:tcW w:w="205" w:type="pct"/>
          </w:tcPr>
          <w:p w14:paraId="6C2C790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w:t>
            </w:r>
          </w:p>
        </w:tc>
        <w:tc>
          <w:tcPr>
            <w:tcW w:w="341" w:type="pct"/>
          </w:tcPr>
          <w:p w14:paraId="012CB068" w14:textId="77777777" w:rsidR="00E715B7" w:rsidRPr="0081472D" w:rsidRDefault="0081472D"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2021</w:t>
            </w:r>
          </w:p>
        </w:tc>
        <w:tc>
          <w:tcPr>
            <w:tcW w:w="349" w:type="pct"/>
          </w:tcPr>
          <w:p w14:paraId="2A7840C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5795</w:t>
            </w:r>
          </w:p>
        </w:tc>
        <w:tc>
          <w:tcPr>
            <w:tcW w:w="427" w:type="pct"/>
          </w:tcPr>
          <w:p w14:paraId="6258DDB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5413</w:t>
            </w:r>
          </w:p>
        </w:tc>
        <w:tc>
          <w:tcPr>
            <w:tcW w:w="462" w:type="pct"/>
          </w:tcPr>
          <w:p w14:paraId="063EA44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9.37</w:t>
            </w:r>
          </w:p>
        </w:tc>
        <w:tc>
          <w:tcPr>
            <w:tcW w:w="366" w:type="pct"/>
          </w:tcPr>
          <w:p w14:paraId="2C307A5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112429</w:t>
            </w:r>
          </w:p>
        </w:tc>
        <w:tc>
          <w:tcPr>
            <w:tcW w:w="415" w:type="pct"/>
          </w:tcPr>
          <w:p w14:paraId="5AD2AAA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105019</w:t>
            </w:r>
          </w:p>
        </w:tc>
        <w:tc>
          <w:tcPr>
            <w:tcW w:w="372" w:type="pct"/>
          </w:tcPr>
          <w:p w14:paraId="5EE8DDD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59950</w:t>
            </w:r>
          </w:p>
        </w:tc>
        <w:tc>
          <w:tcPr>
            <w:tcW w:w="428" w:type="pct"/>
          </w:tcPr>
          <w:p w14:paraId="26929A6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57630</w:t>
            </w:r>
          </w:p>
        </w:tc>
        <w:tc>
          <w:tcPr>
            <w:tcW w:w="411" w:type="pct"/>
          </w:tcPr>
          <w:p w14:paraId="613953F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52479</w:t>
            </w:r>
          </w:p>
        </w:tc>
        <w:tc>
          <w:tcPr>
            <w:tcW w:w="453" w:type="pct"/>
          </w:tcPr>
          <w:p w14:paraId="6F5693E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47389</w:t>
            </w:r>
          </w:p>
        </w:tc>
        <w:tc>
          <w:tcPr>
            <w:tcW w:w="364" w:type="pct"/>
          </w:tcPr>
          <w:p w14:paraId="6773E93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1.88</w:t>
            </w:r>
          </w:p>
        </w:tc>
        <w:tc>
          <w:tcPr>
            <w:tcW w:w="407" w:type="pct"/>
          </w:tcPr>
          <w:p w14:paraId="64C6D21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1.82</w:t>
            </w:r>
          </w:p>
        </w:tc>
      </w:tr>
      <w:tr w:rsidR="00371BD3" w:rsidRPr="0081472D" w14:paraId="1A29EDCD" w14:textId="77777777" w:rsidTr="00114311">
        <w:tc>
          <w:tcPr>
            <w:tcW w:w="205" w:type="pct"/>
          </w:tcPr>
          <w:p w14:paraId="001150B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w:t>
            </w:r>
          </w:p>
        </w:tc>
        <w:tc>
          <w:tcPr>
            <w:tcW w:w="341" w:type="pct"/>
          </w:tcPr>
          <w:p w14:paraId="3351F54A" w14:textId="77777777" w:rsidR="00E715B7" w:rsidRPr="0081472D" w:rsidRDefault="0081472D"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2022</w:t>
            </w:r>
          </w:p>
        </w:tc>
        <w:tc>
          <w:tcPr>
            <w:tcW w:w="349" w:type="pct"/>
          </w:tcPr>
          <w:p w14:paraId="6A3BE0F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4"/>
                <w:sz w:val="20"/>
                <w:szCs w:val="20"/>
              </w:rPr>
              <w:t>6428</w:t>
            </w:r>
          </w:p>
        </w:tc>
        <w:tc>
          <w:tcPr>
            <w:tcW w:w="427" w:type="pct"/>
          </w:tcPr>
          <w:p w14:paraId="1631427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4"/>
                <w:sz w:val="20"/>
                <w:szCs w:val="20"/>
              </w:rPr>
              <w:t>5850</w:t>
            </w:r>
          </w:p>
        </w:tc>
        <w:tc>
          <w:tcPr>
            <w:tcW w:w="462" w:type="pct"/>
          </w:tcPr>
          <w:p w14:paraId="7AD06D1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9.88</w:t>
            </w:r>
          </w:p>
        </w:tc>
        <w:tc>
          <w:tcPr>
            <w:tcW w:w="366" w:type="pct"/>
          </w:tcPr>
          <w:p w14:paraId="28F596E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134123</w:t>
            </w:r>
          </w:p>
        </w:tc>
        <w:tc>
          <w:tcPr>
            <w:tcW w:w="415" w:type="pct"/>
          </w:tcPr>
          <w:p w14:paraId="70AAA82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122235</w:t>
            </w:r>
          </w:p>
        </w:tc>
        <w:tc>
          <w:tcPr>
            <w:tcW w:w="372" w:type="pct"/>
          </w:tcPr>
          <w:p w14:paraId="5E00EB2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66378</w:t>
            </w:r>
          </w:p>
        </w:tc>
        <w:tc>
          <w:tcPr>
            <w:tcW w:w="428" w:type="pct"/>
          </w:tcPr>
          <w:p w14:paraId="6449359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64646</w:t>
            </w:r>
          </w:p>
        </w:tc>
        <w:tc>
          <w:tcPr>
            <w:tcW w:w="411" w:type="pct"/>
          </w:tcPr>
          <w:p w14:paraId="679AC61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67745</w:t>
            </w:r>
          </w:p>
        </w:tc>
        <w:tc>
          <w:tcPr>
            <w:tcW w:w="453" w:type="pct"/>
          </w:tcPr>
          <w:p w14:paraId="37AD419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57589</w:t>
            </w:r>
          </w:p>
        </w:tc>
        <w:tc>
          <w:tcPr>
            <w:tcW w:w="364" w:type="pct"/>
          </w:tcPr>
          <w:p w14:paraId="0CB9CEF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w:t>
            </w:r>
          </w:p>
        </w:tc>
        <w:tc>
          <w:tcPr>
            <w:tcW w:w="407" w:type="pct"/>
          </w:tcPr>
          <w:p w14:paraId="4F44B6E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1.89</w:t>
            </w:r>
          </w:p>
        </w:tc>
      </w:tr>
      <w:tr w:rsidR="00371BD3" w:rsidRPr="0081472D" w14:paraId="05C2C048" w14:textId="77777777" w:rsidTr="00114311">
        <w:tc>
          <w:tcPr>
            <w:tcW w:w="205" w:type="pct"/>
          </w:tcPr>
          <w:p w14:paraId="55948D3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w:t>
            </w:r>
          </w:p>
        </w:tc>
        <w:tc>
          <w:tcPr>
            <w:tcW w:w="341" w:type="pct"/>
          </w:tcPr>
          <w:p w14:paraId="3EF961B9" w14:textId="77777777" w:rsidR="00E715B7" w:rsidRPr="0081472D" w:rsidRDefault="0081472D"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2023</w:t>
            </w:r>
          </w:p>
        </w:tc>
        <w:tc>
          <w:tcPr>
            <w:tcW w:w="349" w:type="pct"/>
          </w:tcPr>
          <w:p w14:paraId="0026D6A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6687</w:t>
            </w:r>
          </w:p>
        </w:tc>
        <w:tc>
          <w:tcPr>
            <w:tcW w:w="427" w:type="pct"/>
          </w:tcPr>
          <w:p w14:paraId="6D0522A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6114</w:t>
            </w:r>
          </w:p>
        </w:tc>
        <w:tc>
          <w:tcPr>
            <w:tcW w:w="462" w:type="pct"/>
          </w:tcPr>
          <w:p w14:paraId="790F28A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7.06</w:t>
            </w:r>
          </w:p>
        </w:tc>
        <w:tc>
          <w:tcPr>
            <w:tcW w:w="366" w:type="pct"/>
          </w:tcPr>
          <w:p w14:paraId="55984C23"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152834</w:t>
            </w:r>
          </w:p>
        </w:tc>
        <w:tc>
          <w:tcPr>
            <w:tcW w:w="415" w:type="pct"/>
          </w:tcPr>
          <w:p w14:paraId="4EADCC1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139830</w:t>
            </w:r>
          </w:p>
        </w:tc>
        <w:tc>
          <w:tcPr>
            <w:tcW w:w="372" w:type="pct"/>
          </w:tcPr>
          <w:p w14:paraId="7C7B14A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80783</w:t>
            </w:r>
          </w:p>
        </w:tc>
        <w:tc>
          <w:tcPr>
            <w:tcW w:w="428" w:type="pct"/>
          </w:tcPr>
          <w:p w14:paraId="18D4080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78875</w:t>
            </w:r>
          </w:p>
        </w:tc>
        <w:tc>
          <w:tcPr>
            <w:tcW w:w="411" w:type="pct"/>
          </w:tcPr>
          <w:p w14:paraId="1945121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72051</w:t>
            </w:r>
          </w:p>
        </w:tc>
        <w:tc>
          <w:tcPr>
            <w:tcW w:w="453" w:type="pct"/>
          </w:tcPr>
          <w:p w14:paraId="09D4E25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60955</w:t>
            </w:r>
          </w:p>
        </w:tc>
        <w:tc>
          <w:tcPr>
            <w:tcW w:w="364" w:type="pct"/>
          </w:tcPr>
          <w:p w14:paraId="46FCDEFB"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1.89</w:t>
            </w:r>
          </w:p>
        </w:tc>
        <w:tc>
          <w:tcPr>
            <w:tcW w:w="407" w:type="pct"/>
          </w:tcPr>
          <w:p w14:paraId="6E030AD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1.77</w:t>
            </w:r>
          </w:p>
        </w:tc>
      </w:tr>
      <w:tr w:rsidR="00371BD3" w:rsidRPr="0081472D" w14:paraId="213F7371" w14:textId="77777777" w:rsidTr="00114311">
        <w:tc>
          <w:tcPr>
            <w:tcW w:w="546" w:type="pct"/>
            <w:gridSpan w:val="2"/>
          </w:tcPr>
          <w:p w14:paraId="1B57413B"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Mean</w:t>
            </w:r>
          </w:p>
        </w:tc>
        <w:tc>
          <w:tcPr>
            <w:tcW w:w="349" w:type="pct"/>
            <w:vAlign w:val="bottom"/>
          </w:tcPr>
          <w:p w14:paraId="7D6E3B5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6112</w:t>
            </w:r>
          </w:p>
        </w:tc>
        <w:tc>
          <w:tcPr>
            <w:tcW w:w="427" w:type="pct"/>
            <w:vAlign w:val="bottom"/>
          </w:tcPr>
          <w:p w14:paraId="08E665D3"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5632</w:t>
            </w:r>
          </w:p>
        </w:tc>
        <w:tc>
          <w:tcPr>
            <w:tcW w:w="462" w:type="pct"/>
            <w:vAlign w:val="bottom"/>
          </w:tcPr>
          <w:p w14:paraId="09DD0993"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8.77</w:t>
            </w:r>
          </w:p>
        </w:tc>
        <w:tc>
          <w:tcPr>
            <w:tcW w:w="366" w:type="pct"/>
            <w:vAlign w:val="bottom"/>
          </w:tcPr>
          <w:p w14:paraId="7FC50F8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123276</w:t>
            </w:r>
          </w:p>
        </w:tc>
        <w:tc>
          <w:tcPr>
            <w:tcW w:w="415" w:type="pct"/>
            <w:vAlign w:val="bottom"/>
          </w:tcPr>
          <w:p w14:paraId="45F1F16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113627</w:t>
            </w:r>
          </w:p>
        </w:tc>
        <w:tc>
          <w:tcPr>
            <w:tcW w:w="372" w:type="pct"/>
            <w:vAlign w:val="bottom"/>
          </w:tcPr>
          <w:p w14:paraId="6DC604C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63164</w:t>
            </w:r>
          </w:p>
        </w:tc>
        <w:tc>
          <w:tcPr>
            <w:tcW w:w="428" w:type="pct"/>
            <w:vAlign w:val="bottom"/>
          </w:tcPr>
          <w:p w14:paraId="60B15D3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61138</w:t>
            </w:r>
          </w:p>
        </w:tc>
        <w:tc>
          <w:tcPr>
            <w:tcW w:w="411" w:type="pct"/>
            <w:vAlign w:val="bottom"/>
          </w:tcPr>
          <w:p w14:paraId="0F52FA8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64092</w:t>
            </w:r>
          </w:p>
        </w:tc>
        <w:tc>
          <w:tcPr>
            <w:tcW w:w="453" w:type="pct"/>
            <w:vAlign w:val="bottom"/>
          </w:tcPr>
          <w:p w14:paraId="7D62C3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55311</w:t>
            </w:r>
          </w:p>
        </w:tc>
        <w:tc>
          <w:tcPr>
            <w:tcW w:w="364" w:type="pct"/>
            <w:vAlign w:val="bottom"/>
          </w:tcPr>
          <w:p w14:paraId="50FA60A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1.93</w:t>
            </w:r>
          </w:p>
        </w:tc>
        <w:tc>
          <w:tcPr>
            <w:tcW w:w="407" w:type="pct"/>
            <w:vAlign w:val="bottom"/>
          </w:tcPr>
          <w:p w14:paraId="305AAA2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1.83</w:t>
            </w:r>
          </w:p>
        </w:tc>
      </w:tr>
    </w:tbl>
    <w:p w14:paraId="1A3C6987" w14:textId="77777777" w:rsidR="00E715B7" w:rsidRPr="0081472D" w:rsidRDefault="00E715B7" w:rsidP="00DB7185">
      <w:pPr>
        <w:spacing w:line="276" w:lineRule="auto"/>
        <w:rPr>
          <w:rFonts w:ascii="Times New Roman" w:hAnsi="Times New Roman" w:cs="Times New Roman"/>
          <w:b/>
          <w:bCs/>
          <w:sz w:val="20"/>
          <w:szCs w:val="20"/>
        </w:rPr>
      </w:pPr>
    </w:p>
    <w:p w14:paraId="1AA931B8"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t>Table:3 Technology gap, extension gap and technology index in the management of diseases in paddy</w:t>
      </w:r>
    </w:p>
    <w:tbl>
      <w:tblPr>
        <w:tblStyle w:val="TableGrid"/>
        <w:tblW w:w="0" w:type="auto"/>
        <w:tblLook w:val="04A0" w:firstRow="1" w:lastRow="0" w:firstColumn="1" w:lastColumn="0" w:noHBand="0" w:noVBand="1"/>
      </w:tblPr>
      <w:tblGrid>
        <w:gridCol w:w="722"/>
        <w:gridCol w:w="616"/>
        <w:gridCol w:w="983"/>
        <w:gridCol w:w="1494"/>
        <w:gridCol w:w="1740"/>
        <w:gridCol w:w="1694"/>
        <w:gridCol w:w="1890"/>
        <w:gridCol w:w="1710"/>
      </w:tblGrid>
      <w:tr w:rsidR="00371BD3" w:rsidRPr="0081472D" w14:paraId="1FEBA400" w14:textId="77777777" w:rsidTr="00D57878">
        <w:tc>
          <w:tcPr>
            <w:tcW w:w="0" w:type="auto"/>
            <w:vMerge w:val="restart"/>
            <w:vAlign w:val="center"/>
          </w:tcPr>
          <w:p w14:paraId="67E512DE"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S. No.</w:t>
            </w:r>
          </w:p>
        </w:tc>
        <w:tc>
          <w:tcPr>
            <w:tcW w:w="0" w:type="auto"/>
            <w:vMerge w:val="restart"/>
            <w:vAlign w:val="center"/>
          </w:tcPr>
          <w:p w14:paraId="5A11C33C"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Year</w:t>
            </w:r>
          </w:p>
        </w:tc>
        <w:tc>
          <w:tcPr>
            <w:tcW w:w="0" w:type="auto"/>
            <w:gridSpan w:val="3"/>
            <w:vAlign w:val="center"/>
          </w:tcPr>
          <w:p w14:paraId="767BC6E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Yield (kg/ha)</w:t>
            </w:r>
          </w:p>
        </w:tc>
        <w:tc>
          <w:tcPr>
            <w:tcW w:w="1694" w:type="dxa"/>
            <w:vMerge w:val="restart"/>
            <w:vAlign w:val="center"/>
          </w:tcPr>
          <w:p w14:paraId="058ACAFD"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Technology gap (kg/ha)</w:t>
            </w:r>
          </w:p>
        </w:tc>
        <w:tc>
          <w:tcPr>
            <w:tcW w:w="1890" w:type="dxa"/>
            <w:vMerge w:val="restart"/>
            <w:vAlign w:val="center"/>
          </w:tcPr>
          <w:p w14:paraId="389A0694"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Extension gap</w:t>
            </w:r>
          </w:p>
          <w:p w14:paraId="07FB3E3A"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(kg/ha)</w:t>
            </w:r>
          </w:p>
        </w:tc>
        <w:tc>
          <w:tcPr>
            <w:tcW w:w="1710" w:type="dxa"/>
            <w:vMerge w:val="restart"/>
            <w:vAlign w:val="center"/>
          </w:tcPr>
          <w:p w14:paraId="4C8EDE1C"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Technology index (%)</w:t>
            </w:r>
          </w:p>
        </w:tc>
      </w:tr>
      <w:tr w:rsidR="00371BD3" w:rsidRPr="0081472D" w14:paraId="57B8AB3D" w14:textId="77777777" w:rsidTr="00D57878">
        <w:tc>
          <w:tcPr>
            <w:tcW w:w="0" w:type="auto"/>
            <w:vMerge/>
            <w:vAlign w:val="center"/>
          </w:tcPr>
          <w:p w14:paraId="2DFF66F2"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Merge/>
            <w:vAlign w:val="center"/>
          </w:tcPr>
          <w:p w14:paraId="3A1D2EAD"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Align w:val="center"/>
          </w:tcPr>
          <w:p w14:paraId="0C9477BF"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Potential</w:t>
            </w:r>
          </w:p>
        </w:tc>
        <w:tc>
          <w:tcPr>
            <w:tcW w:w="0" w:type="auto"/>
            <w:vAlign w:val="center"/>
          </w:tcPr>
          <w:p w14:paraId="36C28625"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0" w:type="auto"/>
            <w:vAlign w:val="center"/>
          </w:tcPr>
          <w:p w14:paraId="5FA11647"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1694" w:type="dxa"/>
            <w:vMerge/>
            <w:vAlign w:val="center"/>
          </w:tcPr>
          <w:p w14:paraId="41E07DA8" w14:textId="77777777" w:rsidR="00E715B7" w:rsidRPr="0081472D" w:rsidRDefault="00E715B7" w:rsidP="00DB7185">
            <w:pPr>
              <w:spacing w:after="0" w:line="276" w:lineRule="auto"/>
              <w:rPr>
                <w:rFonts w:ascii="Times New Roman" w:hAnsi="Times New Roman" w:cs="Times New Roman"/>
                <w:b/>
                <w:bCs/>
                <w:sz w:val="20"/>
                <w:szCs w:val="20"/>
              </w:rPr>
            </w:pPr>
          </w:p>
        </w:tc>
        <w:tc>
          <w:tcPr>
            <w:tcW w:w="1890" w:type="dxa"/>
            <w:vMerge/>
            <w:vAlign w:val="center"/>
          </w:tcPr>
          <w:p w14:paraId="5C416408" w14:textId="77777777" w:rsidR="00E715B7" w:rsidRPr="0081472D" w:rsidRDefault="00E715B7" w:rsidP="00DB7185">
            <w:pPr>
              <w:spacing w:after="0" w:line="276" w:lineRule="auto"/>
              <w:rPr>
                <w:rFonts w:ascii="Times New Roman" w:hAnsi="Times New Roman" w:cs="Times New Roman"/>
                <w:b/>
                <w:bCs/>
                <w:sz w:val="20"/>
                <w:szCs w:val="20"/>
              </w:rPr>
            </w:pPr>
          </w:p>
        </w:tc>
        <w:tc>
          <w:tcPr>
            <w:tcW w:w="1710" w:type="dxa"/>
            <w:vMerge/>
            <w:vAlign w:val="center"/>
          </w:tcPr>
          <w:p w14:paraId="53A7641E" w14:textId="77777777" w:rsidR="00E715B7" w:rsidRPr="0081472D" w:rsidRDefault="00E715B7" w:rsidP="00DB7185">
            <w:pPr>
              <w:spacing w:after="0" w:line="276" w:lineRule="auto"/>
              <w:rPr>
                <w:rFonts w:ascii="Times New Roman" w:hAnsi="Times New Roman" w:cs="Times New Roman"/>
                <w:b/>
                <w:bCs/>
                <w:sz w:val="20"/>
                <w:szCs w:val="20"/>
              </w:rPr>
            </w:pPr>
          </w:p>
        </w:tc>
      </w:tr>
      <w:tr w:rsidR="00371BD3" w:rsidRPr="0081472D" w14:paraId="5E7031BC" w14:textId="77777777" w:rsidTr="00D57878">
        <w:tc>
          <w:tcPr>
            <w:tcW w:w="0" w:type="auto"/>
            <w:vAlign w:val="center"/>
          </w:tcPr>
          <w:p w14:paraId="628E22EB"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1</w:t>
            </w:r>
          </w:p>
        </w:tc>
        <w:tc>
          <w:tcPr>
            <w:tcW w:w="0" w:type="auto"/>
            <w:vAlign w:val="center"/>
          </w:tcPr>
          <w:p w14:paraId="01DE7076"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2021</w:t>
            </w:r>
          </w:p>
        </w:tc>
        <w:tc>
          <w:tcPr>
            <w:tcW w:w="0" w:type="auto"/>
            <w:vAlign w:val="center"/>
          </w:tcPr>
          <w:p w14:paraId="4D8CFF3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35288C9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5795</w:t>
            </w:r>
          </w:p>
        </w:tc>
        <w:tc>
          <w:tcPr>
            <w:tcW w:w="0" w:type="auto"/>
            <w:vAlign w:val="center"/>
          </w:tcPr>
          <w:p w14:paraId="6FA788D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5413</w:t>
            </w:r>
          </w:p>
        </w:tc>
        <w:tc>
          <w:tcPr>
            <w:tcW w:w="1694" w:type="dxa"/>
            <w:vAlign w:val="center"/>
          </w:tcPr>
          <w:p w14:paraId="0939EBE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1113</w:t>
            </w:r>
          </w:p>
        </w:tc>
        <w:tc>
          <w:tcPr>
            <w:tcW w:w="1890" w:type="dxa"/>
            <w:vAlign w:val="center"/>
          </w:tcPr>
          <w:p w14:paraId="0E1C25E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382</w:t>
            </w:r>
          </w:p>
        </w:tc>
        <w:tc>
          <w:tcPr>
            <w:tcW w:w="1710" w:type="dxa"/>
            <w:vAlign w:val="center"/>
          </w:tcPr>
          <w:p w14:paraId="68E6199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16.112</w:t>
            </w:r>
          </w:p>
        </w:tc>
      </w:tr>
      <w:tr w:rsidR="00371BD3" w:rsidRPr="0081472D" w14:paraId="0DE6522C" w14:textId="77777777" w:rsidTr="00D57878">
        <w:tc>
          <w:tcPr>
            <w:tcW w:w="0" w:type="auto"/>
            <w:vAlign w:val="center"/>
          </w:tcPr>
          <w:p w14:paraId="1130D384"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2</w:t>
            </w:r>
          </w:p>
        </w:tc>
        <w:tc>
          <w:tcPr>
            <w:tcW w:w="0" w:type="auto"/>
            <w:vAlign w:val="center"/>
          </w:tcPr>
          <w:p w14:paraId="192F16BE"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2022</w:t>
            </w:r>
          </w:p>
        </w:tc>
        <w:tc>
          <w:tcPr>
            <w:tcW w:w="0" w:type="auto"/>
            <w:vAlign w:val="center"/>
          </w:tcPr>
          <w:p w14:paraId="3E883BC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0B6B444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6428</w:t>
            </w:r>
          </w:p>
        </w:tc>
        <w:tc>
          <w:tcPr>
            <w:tcW w:w="0" w:type="auto"/>
            <w:vAlign w:val="center"/>
          </w:tcPr>
          <w:p w14:paraId="2D27F81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5850</w:t>
            </w:r>
          </w:p>
        </w:tc>
        <w:tc>
          <w:tcPr>
            <w:tcW w:w="1694" w:type="dxa"/>
            <w:vAlign w:val="center"/>
          </w:tcPr>
          <w:p w14:paraId="71666EF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480</w:t>
            </w:r>
          </w:p>
        </w:tc>
        <w:tc>
          <w:tcPr>
            <w:tcW w:w="1890" w:type="dxa"/>
            <w:vAlign w:val="center"/>
          </w:tcPr>
          <w:p w14:paraId="01BAD77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578</w:t>
            </w:r>
          </w:p>
        </w:tc>
        <w:tc>
          <w:tcPr>
            <w:tcW w:w="1710" w:type="dxa"/>
            <w:vAlign w:val="center"/>
          </w:tcPr>
          <w:p w14:paraId="77E7AD0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6.948</w:t>
            </w:r>
          </w:p>
        </w:tc>
      </w:tr>
      <w:tr w:rsidR="00371BD3" w:rsidRPr="0081472D" w14:paraId="74C96B7E" w14:textId="77777777" w:rsidTr="00D57878">
        <w:tc>
          <w:tcPr>
            <w:tcW w:w="0" w:type="auto"/>
            <w:vAlign w:val="center"/>
          </w:tcPr>
          <w:p w14:paraId="57EB1E00"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3</w:t>
            </w:r>
          </w:p>
        </w:tc>
        <w:tc>
          <w:tcPr>
            <w:tcW w:w="0" w:type="auto"/>
            <w:vAlign w:val="center"/>
          </w:tcPr>
          <w:p w14:paraId="71EAD2CB"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2023</w:t>
            </w:r>
          </w:p>
        </w:tc>
        <w:tc>
          <w:tcPr>
            <w:tcW w:w="0" w:type="auto"/>
            <w:vAlign w:val="center"/>
          </w:tcPr>
          <w:p w14:paraId="58A5AC0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66C68E18"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6687</w:t>
            </w:r>
          </w:p>
        </w:tc>
        <w:tc>
          <w:tcPr>
            <w:tcW w:w="0" w:type="auto"/>
            <w:vAlign w:val="center"/>
          </w:tcPr>
          <w:p w14:paraId="6A4615F8"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6114</w:t>
            </w:r>
          </w:p>
        </w:tc>
        <w:tc>
          <w:tcPr>
            <w:tcW w:w="1694" w:type="dxa"/>
            <w:vAlign w:val="center"/>
          </w:tcPr>
          <w:p w14:paraId="1DC5B07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221</w:t>
            </w:r>
          </w:p>
        </w:tc>
        <w:tc>
          <w:tcPr>
            <w:tcW w:w="1890" w:type="dxa"/>
            <w:vAlign w:val="center"/>
          </w:tcPr>
          <w:p w14:paraId="440FE29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573</w:t>
            </w:r>
          </w:p>
        </w:tc>
        <w:tc>
          <w:tcPr>
            <w:tcW w:w="1710" w:type="dxa"/>
            <w:vAlign w:val="center"/>
          </w:tcPr>
          <w:p w14:paraId="307432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3.199</w:t>
            </w:r>
          </w:p>
        </w:tc>
      </w:tr>
      <w:tr w:rsidR="00371BD3" w:rsidRPr="0081472D" w14:paraId="26ECE4D1" w14:textId="77777777" w:rsidTr="00D57878">
        <w:tc>
          <w:tcPr>
            <w:tcW w:w="0" w:type="auto"/>
            <w:gridSpan w:val="2"/>
            <w:vAlign w:val="center"/>
          </w:tcPr>
          <w:p w14:paraId="6E2DADA4" w14:textId="77777777" w:rsidR="00E715B7" w:rsidRPr="0081472D" w:rsidRDefault="00E715B7"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Mean</w:t>
            </w:r>
          </w:p>
        </w:tc>
        <w:tc>
          <w:tcPr>
            <w:tcW w:w="0" w:type="auto"/>
            <w:vAlign w:val="center"/>
          </w:tcPr>
          <w:p w14:paraId="696B69E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58CBCB5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6303</w:t>
            </w:r>
          </w:p>
        </w:tc>
        <w:tc>
          <w:tcPr>
            <w:tcW w:w="0" w:type="auto"/>
            <w:vAlign w:val="center"/>
          </w:tcPr>
          <w:p w14:paraId="1D43C5E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5792</w:t>
            </w:r>
          </w:p>
        </w:tc>
        <w:tc>
          <w:tcPr>
            <w:tcW w:w="1694" w:type="dxa"/>
            <w:vAlign w:val="center"/>
          </w:tcPr>
          <w:p w14:paraId="4C0D1D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605</w:t>
            </w:r>
          </w:p>
        </w:tc>
        <w:tc>
          <w:tcPr>
            <w:tcW w:w="1890" w:type="dxa"/>
            <w:vAlign w:val="center"/>
          </w:tcPr>
          <w:p w14:paraId="2E38EE2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511</w:t>
            </w:r>
          </w:p>
        </w:tc>
        <w:tc>
          <w:tcPr>
            <w:tcW w:w="1710" w:type="dxa"/>
            <w:vAlign w:val="center"/>
          </w:tcPr>
          <w:p w14:paraId="5915731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8.753</w:t>
            </w:r>
          </w:p>
        </w:tc>
      </w:tr>
    </w:tbl>
    <w:p w14:paraId="6912E6E3" w14:textId="77777777" w:rsidR="00771C5B" w:rsidRPr="0081472D" w:rsidRDefault="00771C5B" w:rsidP="00DB7185">
      <w:pPr>
        <w:spacing w:line="276" w:lineRule="auto"/>
        <w:jc w:val="both"/>
        <w:rPr>
          <w:rFonts w:ascii="Times New Roman" w:hAnsi="Times New Roman" w:cs="Times New Roman"/>
          <w:b/>
          <w:bCs/>
          <w:sz w:val="20"/>
          <w:szCs w:val="20"/>
        </w:rPr>
      </w:pPr>
    </w:p>
    <w:sectPr w:rsidR="00771C5B" w:rsidRPr="0081472D">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1-08T23:21:00Z" w:initials="U">
    <w:p w14:paraId="7BD06DF6" w14:textId="5D3CA072" w:rsidR="00E77CDB" w:rsidRDefault="00E77CDB">
      <w:pPr>
        <w:pStyle w:val="CommentText"/>
      </w:pPr>
      <w:r>
        <w:rPr>
          <w:rStyle w:val="CommentReference"/>
        </w:rPr>
        <w:annotationRef/>
      </w:r>
      <w:r>
        <w:t>Effectiveness of Selected Fungicides Against Sheath Blight and False Smut of Rice (</w:t>
      </w:r>
      <w:proofErr w:type="spellStart"/>
      <w:r>
        <w:t>Oryza</w:t>
      </w:r>
      <w:proofErr w:type="spellEnd"/>
      <w:r>
        <w:t xml:space="preserve"> </w:t>
      </w:r>
      <w:proofErr w:type="spellStart"/>
      <w:r>
        <w:t>sativa</w:t>
      </w:r>
      <w:proofErr w:type="spellEnd"/>
      <w:r>
        <w:t xml:space="preserve"> L.) Under Field Conditions in [Location]</w:t>
      </w:r>
    </w:p>
  </w:comment>
  <w:comment w:id="1" w:author="User" w:date="2025-11-08T23:22:00Z" w:initials="U">
    <w:p w14:paraId="3F4C29B7" w14:textId="54224950" w:rsidR="00E77CDB" w:rsidRDefault="00E77CDB">
      <w:pPr>
        <w:pStyle w:val="CommentText"/>
      </w:pPr>
      <w:r>
        <w:rPr>
          <w:rStyle w:val="CommentReference"/>
        </w:rPr>
        <w:annotationRef/>
      </w:r>
      <w:r>
        <w:t>Include: background, objectives, methods, key results with data, and conclusion</w:t>
      </w:r>
    </w:p>
  </w:comment>
  <w:comment w:id="2" w:author="User" w:date="2025-11-08T23:23:00Z" w:initials="U">
    <w:p w14:paraId="6559E288" w14:textId="77777777" w:rsidR="00E77CDB" w:rsidRDefault="00E77CDB" w:rsidP="00E77CDB">
      <w:pPr>
        <w:pStyle w:val="NormalWeb"/>
        <w:rPr>
          <w:rFonts w:hAnsi="Symbol"/>
        </w:rPr>
      </w:pPr>
      <w:r>
        <w:rPr>
          <w:rStyle w:val="CommentReference"/>
        </w:rPr>
        <w:annotationRef/>
      </w:r>
    </w:p>
    <w:p w14:paraId="426368F0" w14:textId="6689E95F" w:rsidR="00E77CDB" w:rsidRDefault="00E77CDB" w:rsidP="00E77CDB">
      <w:pPr>
        <w:pStyle w:val="NormalWeb"/>
      </w:pPr>
      <w:r>
        <w:rPr>
          <w:rStyle w:val="Strong"/>
        </w:rPr>
        <w:t>Clarify the experimental design</w:t>
      </w:r>
      <w:r>
        <w:br/>
        <w:t>– Replications</w:t>
      </w:r>
      <w:r>
        <w:br/>
        <w:t>– Plot size</w:t>
      </w:r>
      <w:r>
        <w:br/>
        <w:t>– Disease scoring scale</w:t>
      </w:r>
      <w:r>
        <w:br/>
        <w:t>– Statistical tools</w:t>
      </w:r>
    </w:p>
  </w:comment>
  <w:comment w:id="3" w:author="User" w:date="2025-11-08T23:25:00Z" w:initials="U">
    <w:p w14:paraId="410CAF2D" w14:textId="77777777" w:rsidR="00E77CDB" w:rsidRDefault="00E77CDB">
      <w:pPr>
        <w:pStyle w:val="CommentText"/>
      </w:pPr>
      <w:r>
        <w:rPr>
          <w:rStyle w:val="CommentReference"/>
        </w:rPr>
        <w:annotationRef/>
      </w:r>
    </w:p>
    <w:p w14:paraId="56D46542" w14:textId="1EA93B73" w:rsidR="00E77CDB" w:rsidRDefault="00E77CDB">
      <w:pPr>
        <w:pStyle w:val="CommentText"/>
      </w:pPr>
      <w:bookmarkStart w:id="4" w:name="_GoBack"/>
      <w:bookmarkEnd w:id="4"/>
      <w:r>
        <w:t>Add discussion comparing results to previous studies</w:t>
      </w:r>
    </w:p>
  </w:comment>
  <w:comment w:id="5" w:author="User" w:date="2025-11-08T23:24:00Z" w:initials="U">
    <w:p w14:paraId="743DA5B7" w14:textId="77777777" w:rsidR="00E77CDB" w:rsidRDefault="00E77CDB">
      <w:pPr>
        <w:pStyle w:val="CommentText"/>
        <w:rPr>
          <w:rStyle w:val="Strong"/>
        </w:rPr>
      </w:pPr>
      <w:r>
        <w:rPr>
          <w:rStyle w:val="CommentReference"/>
        </w:rPr>
        <w:annotationRef/>
      </w:r>
    </w:p>
    <w:p w14:paraId="6865B078" w14:textId="7C0B4148" w:rsidR="00E77CDB" w:rsidRDefault="00E77CDB">
      <w:pPr>
        <w:pStyle w:val="CommentText"/>
      </w:pPr>
      <w:r w:rsidRPr="00E77CDB">
        <w:rPr>
          <w:rStyle w:val="Strong"/>
          <w:b w:val="0"/>
        </w:rPr>
        <w:t>Include data tables and figures</w:t>
      </w:r>
      <w:r w:rsidRPr="00E77CDB">
        <w:rPr>
          <w:b/>
        </w:rPr>
        <w:br/>
      </w:r>
      <w:r>
        <w:t>– Disease severity (%</w:t>
      </w:r>
      <w:proofErr w:type="gramStart"/>
      <w:r>
        <w:t>)</w:t>
      </w:r>
      <w:proofErr w:type="gramEnd"/>
      <w:r>
        <w:br/>
        <w:t>– Yield parameters</w:t>
      </w:r>
      <w:r>
        <w:br/>
        <w:t>– Fungicide comparison with statistical significance</w:t>
      </w:r>
    </w:p>
  </w:comment>
  <w:comment w:id="6" w:author="User" w:date="2025-11-08T23:23:00Z" w:initials="U">
    <w:p w14:paraId="6D83B966" w14:textId="77777777" w:rsidR="00E77CDB" w:rsidRDefault="00E77CDB">
      <w:pPr>
        <w:pStyle w:val="CommentText"/>
        <w:rPr>
          <w:rStyle w:val="Strong"/>
        </w:rPr>
      </w:pPr>
      <w:r>
        <w:rPr>
          <w:rStyle w:val="CommentReference"/>
        </w:rPr>
        <w:annotationRef/>
      </w:r>
    </w:p>
    <w:p w14:paraId="53CACE88" w14:textId="716C7231" w:rsidR="00E77CDB" w:rsidRDefault="00E77CDB">
      <w:pPr>
        <w:pStyle w:val="CommentText"/>
      </w:pPr>
      <w:r w:rsidRPr="00E77CDB">
        <w:rPr>
          <w:rStyle w:val="Strong"/>
          <w:b w:val="0"/>
        </w:rPr>
        <w:t>Add recent references (last 5–7 years</w:t>
      </w:r>
      <w:proofErr w:type="gramStart"/>
      <w:r w:rsidRPr="00E77CDB">
        <w:rPr>
          <w:rStyle w:val="Strong"/>
          <w:b w:val="0"/>
        </w:rPr>
        <w:t>)</w:t>
      </w:r>
      <w:proofErr w:type="gramEnd"/>
      <w:r w:rsidRPr="00E77CDB">
        <w:rPr>
          <w:b/>
        </w:rPr>
        <w:br/>
      </w:r>
      <w:r>
        <w:t>Especially on:</w:t>
      </w:r>
      <w:r>
        <w:br/>
        <w:t>– Fungicide resistance</w:t>
      </w:r>
      <w:r>
        <w:br/>
        <w:t>– Integrated disease management</w:t>
      </w:r>
      <w:r>
        <w:br/>
        <w:t>– Sheath blight and false smut epidemiology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8C5D3" w14:textId="77777777" w:rsidR="0000103C" w:rsidRDefault="0000103C">
      <w:pPr>
        <w:spacing w:line="240" w:lineRule="auto"/>
      </w:pPr>
      <w:r>
        <w:separator/>
      </w:r>
    </w:p>
  </w:endnote>
  <w:endnote w:type="continuationSeparator" w:id="0">
    <w:p w14:paraId="3E6EC26C" w14:textId="77777777" w:rsidR="0000103C" w:rsidRDefault="00001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 w:name="等线">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9093" w14:textId="77777777" w:rsidR="000051E8" w:rsidRDefault="00005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B857" w14:textId="77777777" w:rsidR="000051E8" w:rsidRDefault="000051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C112" w14:textId="77777777" w:rsidR="000051E8" w:rsidRDefault="00005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A6CDB" w14:textId="77777777" w:rsidR="0000103C" w:rsidRDefault="0000103C">
      <w:pPr>
        <w:spacing w:after="0"/>
      </w:pPr>
      <w:r>
        <w:separator/>
      </w:r>
    </w:p>
  </w:footnote>
  <w:footnote w:type="continuationSeparator" w:id="0">
    <w:p w14:paraId="35238142" w14:textId="77777777" w:rsidR="0000103C" w:rsidRDefault="000010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C511" w14:textId="077D1E2D" w:rsidR="000051E8" w:rsidRDefault="0000103C">
    <w:pPr>
      <w:pStyle w:val="Header"/>
    </w:pPr>
    <w:r>
      <w:rPr>
        <w:noProof/>
      </w:rPr>
      <w:pict w14:anchorId="5138B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AAE13" w14:textId="0652B92F" w:rsidR="000051E8" w:rsidRDefault="0000103C">
    <w:pPr>
      <w:pStyle w:val="Header"/>
    </w:pPr>
    <w:r>
      <w:rPr>
        <w:noProof/>
      </w:rPr>
      <w:pict w14:anchorId="7BC66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A576" w14:textId="325D0D4E" w:rsidR="000051E8" w:rsidRDefault="0000103C">
    <w:pPr>
      <w:pStyle w:val="Header"/>
    </w:pPr>
    <w:r>
      <w:rPr>
        <w:noProof/>
      </w:rPr>
      <w:pict w14:anchorId="65741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E1E"/>
    <w:multiLevelType w:val="hybridMultilevel"/>
    <w:tmpl w:val="062867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C7D79"/>
    <w:multiLevelType w:val="hybridMultilevel"/>
    <w:tmpl w:val="B6BC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78"/>
    <w:rsid w:val="0000103C"/>
    <w:rsid w:val="0000205B"/>
    <w:rsid w:val="000023C8"/>
    <w:rsid w:val="000051E8"/>
    <w:rsid w:val="000059D4"/>
    <w:rsid w:val="00005C0B"/>
    <w:rsid w:val="00006BC0"/>
    <w:rsid w:val="000162AE"/>
    <w:rsid w:val="00021927"/>
    <w:rsid w:val="00021AFC"/>
    <w:rsid w:val="00024D92"/>
    <w:rsid w:val="00033902"/>
    <w:rsid w:val="00047410"/>
    <w:rsid w:val="00051B39"/>
    <w:rsid w:val="00052476"/>
    <w:rsid w:val="000528BC"/>
    <w:rsid w:val="00057BFE"/>
    <w:rsid w:val="0006082F"/>
    <w:rsid w:val="000656D9"/>
    <w:rsid w:val="00067172"/>
    <w:rsid w:val="0007392D"/>
    <w:rsid w:val="0007554F"/>
    <w:rsid w:val="000764CA"/>
    <w:rsid w:val="000767F3"/>
    <w:rsid w:val="00077FCB"/>
    <w:rsid w:val="00082B7F"/>
    <w:rsid w:val="000905C5"/>
    <w:rsid w:val="00093619"/>
    <w:rsid w:val="000936AF"/>
    <w:rsid w:val="00093FB0"/>
    <w:rsid w:val="000957F1"/>
    <w:rsid w:val="000A2C29"/>
    <w:rsid w:val="000A4952"/>
    <w:rsid w:val="000A4D92"/>
    <w:rsid w:val="000B215F"/>
    <w:rsid w:val="000B7C70"/>
    <w:rsid w:val="000C19B5"/>
    <w:rsid w:val="000C4AF8"/>
    <w:rsid w:val="000C4C86"/>
    <w:rsid w:val="000D570F"/>
    <w:rsid w:val="000D6418"/>
    <w:rsid w:val="000D6908"/>
    <w:rsid w:val="000E4090"/>
    <w:rsid w:val="000E66B4"/>
    <w:rsid w:val="000F3224"/>
    <w:rsid w:val="000F7F7A"/>
    <w:rsid w:val="0010374B"/>
    <w:rsid w:val="001050C6"/>
    <w:rsid w:val="00110B33"/>
    <w:rsid w:val="0011201E"/>
    <w:rsid w:val="00114311"/>
    <w:rsid w:val="00114AC7"/>
    <w:rsid w:val="00124E5F"/>
    <w:rsid w:val="00124F3C"/>
    <w:rsid w:val="00130034"/>
    <w:rsid w:val="001302D1"/>
    <w:rsid w:val="00131167"/>
    <w:rsid w:val="001315B3"/>
    <w:rsid w:val="00134863"/>
    <w:rsid w:val="00134E49"/>
    <w:rsid w:val="00145AA6"/>
    <w:rsid w:val="00167A54"/>
    <w:rsid w:val="001704D7"/>
    <w:rsid w:val="001733DC"/>
    <w:rsid w:val="00177950"/>
    <w:rsid w:val="001845F7"/>
    <w:rsid w:val="00187941"/>
    <w:rsid w:val="001A3F59"/>
    <w:rsid w:val="001B65EB"/>
    <w:rsid w:val="001C2EEA"/>
    <w:rsid w:val="001C412E"/>
    <w:rsid w:val="001C5A78"/>
    <w:rsid w:val="001C6A02"/>
    <w:rsid w:val="001E0221"/>
    <w:rsid w:val="001E6B28"/>
    <w:rsid w:val="001E6E27"/>
    <w:rsid w:val="001E7B83"/>
    <w:rsid w:val="001F2813"/>
    <w:rsid w:val="001F42B4"/>
    <w:rsid w:val="001F47C7"/>
    <w:rsid w:val="001F48CA"/>
    <w:rsid w:val="00200A11"/>
    <w:rsid w:val="00200F04"/>
    <w:rsid w:val="002034E9"/>
    <w:rsid w:val="002056A9"/>
    <w:rsid w:val="0021735A"/>
    <w:rsid w:val="002173EB"/>
    <w:rsid w:val="002216D4"/>
    <w:rsid w:val="00222901"/>
    <w:rsid w:val="00225BC5"/>
    <w:rsid w:val="00230F07"/>
    <w:rsid w:val="0023128B"/>
    <w:rsid w:val="00236D2A"/>
    <w:rsid w:val="0023753B"/>
    <w:rsid w:val="00240C8E"/>
    <w:rsid w:val="002548CB"/>
    <w:rsid w:val="00260A98"/>
    <w:rsid w:val="0026108F"/>
    <w:rsid w:val="00262ED4"/>
    <w:rsid w:val="002648F8"/>
    <w:rsid w:val="00266A2A"/>
    <w:rsid w:val="0028063E"/>
    <w:rsid w:val="00280662"/>
    <w:rsid w:val="00291634"/>
    <w:rsid w:val="002925D5"/>
    <w:rsid w:val="0029771D"/>
    <w:rsid w:val="00297E7B"/>
    <w:rsid w:val="002A51A5"/>
    <w:rsid w:val="002A6466"/>
    <w:rsid w:val="002B7724"/>
    <w:rsid w:val="002B7943"/>
    <w:rsid w:val="002D5AA7"/>
    <w:rsid w:val="002E302E"/>
    <w:rsid w:val="002F2471"/>
    <w:rsid w:val="002F59C1"/>
    <w:rsid w:val="00322D69"/>
    <w:rsid w:val="00323B8B"/>
    <w:rsid w:val="00324D27"/>
    <w:rsid w:val="00325D97"/>
    <w:rsid w:val="003267DC"/>
    <w:rsid w:val="003332E6"/>
    <w:rsid w:val="003355BC"/>
    <w:rsid w:val="0033640B"/>
    <w:rsid w:val="00340099"/>
    <w:rsid w:val="00341408"/>
    <w:rsid w:val="00347F9B"/>
    <w:rsid w:val="003501E6"/>
    <w:rsid w:val="00351CD3"/>
    <w:rsid w:val="0035223F"/>
    <w:rsid w:val="0035399F"/>
    <w:rsid w:val="00354492"/>
    <w:rsid w:val="00362AAE"/>
    <w:rsid w:val="00362C20"/>
    <w:rsid w:val="003632CE"/>
    <w:rsid w:val="00365AFF"/>
    <w:rsid w:val="00370E1F"/>
    <w:rsid w:val="00371B11"/>
    <w:rsid w:val="00371BD3"/>
    <w:rsid w:val="0037602D"/>
    <w:rsid w:val="00381257"/>
    <w:rsid w:val="00381CA3"/>
    <w:rsid w:val="00385D1A"/>
    <w:rsid w:val="003921D0"/>
    <w:rsid w:val="003926BC"/>
    <w:rsid w:val="0039453C"/>
    <w:rsid w:val="00397539"/>
    <w:rsid w:val="003A5655"/>
    <w:rsid w:val="003A5F88"/>
    <w:rsid w:val="003A625C"/>
    <w:rsid w:val="003B2BD0"/>
    <w:rsid w:val="003C52AE"/>
    <w:rsid w:val="003E2953"/>
    <w:rsid w:val="003E6812"/>
    <w:rsid w:val="003E6A95"/>
    <w:rsid w:val="00404E0F"/>
    <w:rsid w:val="00407AE6"/>
    <w:rsid w:val="00410C76"/>
    <w:rsid w:val="00410F1F"/>
    <w:rsid w:val="004113E5"/>
    <w:rsid w:val="00415A73"/>
    <w:rsid w:val="00416F31"/>
    <w:rsid w:val="00417C7A"/>
    <w:rsid w:val="00421B34"/>
    <w:rsid w:val="0042358A"/>
    <w:rsid w:val="004239D8"/>
    <w:rsid w:val="00437619"/>
    <w:rsid w:val="00437D2A"/>
    <w:rsid w:val="00441C3A"/>
    <w:rsid w:val="00443279"/>
    <w:rsid w:val="00447E85"/>
    <w:rsid w:val="0045251E"/>
    <w:rsid w:val="004534CF"/>
    <w:rsid w:val="00457771"/>
    <w:rsid w:val="00461F75"/>
    <w:rsid w:val="004620E6"/>
    <w:rsid w:val="0046287F"/>
    <w:rsid w:val="00464FA6"/>
    <w:rsid w:val="0047725D"/>
    <w:rsid w:val="004816F0"/>
    <w:rsid w:val="004843D9"/>
    <w:rsid w:val="0049248E"/>
    <w:rsid w:val="00492D19"/>
    <w:rsid w:val="004A78A4"/>
    <w:rsid w:val="004B31CC"/>
    <w:rsid w:val="004B4598"/>
    <w:rsid w:val="004C021C"/>
    <w:rsid w:val="004C022C"/>
    <w:rsid w:val="004C29BC"/>
    <w:rsid w:val="004C381F"/>
    <w:rsid w:val="004C5AF8"/>
    <w:rsid w:val="004D007C"/>
    <w:rsid w:val="004E0FA2"/>
    <w:rsid w:val="004E70E8"/>
    <w:rsid w:val="004F1E58"/>
    <w:rsid w:val="004F20C4"/>
    <w:rsid w:val="004F30C0"/>
    <w:rsid w:val="004F439B"/>
    <w:rsid w:val="00502C97"/>
    <w:rsid w:val="00505BD9"/>
    <w:rsid w:val="00507BF7"/>
    <w:rsid w:val="005103D9"/>
    <w:rsid w:val="00511FFD"/>
    <w:rsid w:val="0051315E"/>
    <w:rsid w:val="0051556B"/>
    <w:rsid w:val="00522127"/>
    <w:rsid w:val="005233A8"/>
    <w:rsid w:val="005239E1"/>
    <w:rsid w:val="00524773"/>
    <w:rsid w:val="005271B5"/>
    <w:rsid w:val="005424BD"/>
    <w:rsid w:val="00544E17"/>
    <w:rsid w:val="0055667D"/>
    <w:rsid w:val="00563AEC"/>
    <w:rsid w:val="0057164C"/>
    <w:rsid w:val="00573A32"/>
    <w:rsid w:val="00574065"/>
    <w:rsid w:val="00574098"/>
    <w:rsid w:val="0057680B"/>
    <w:rsid w:val="005772BF"/>
    <w:rsid w:val="00577CBE"/>
    <w:rsid w:val="00583331"/>
    <w:rsid w:val="00584149"/>
    <w:rsid w:val="0058424B"/>
    <w:rsid w:val="005849EE"/>
    <w:rsid w:val="005851B2"/>
    <w:rsid w:val="00586619"/>
    <w:rsid w:val="00590346"/>
    <w:rsid w:val="005A4495"/>
    <w:rsid w:val="005A5DD3"/>
    <w:rsid w:val="005B500C"/>
    <w:rsid w:val="005B5274"/>
    <w:rsid w:val="005B5E33"/>
    <w:rsid w:val="005B73CE"/>
    <w:rsid w:val="005C43C8"/>
    <w:rsid w:val="005E05F3"/>
    <w:rsid w:val="005E5BF6"/>
    <w:rsid w:val="005F6C55"/>
    <w:rsid w:val="00601151"/>
    <w:rsid w:val="00620D99"/>
    <w:rsid w:val="00622691"/>
    <w:rsid w:val="006268C4"/>
    <w:rsid w:val="00626914"/>
    <w:rsid w:val="006315CB"/>
    <w:rsid w:val="00633B1C"/>
    <w:rsid w:val="00634556"/>
    <w:rsid w:val="006429A2"/>
    <w:rsid w:val="006643B9"/>
    <w:rsid w:val="00666BD8"/>
    <w:rsid w:val="00684333"/>
    <w:rsid w:val="00687DFC"/>
    <w:rsid w:val="0069108A"/>
    <w:rsid w:val="00691763"/>
    <w:rsid w:val="00696495"/>
    <w:rsid w:val="00696CB9"/>
    <w:rsid w:val="006A14B2"/>
    <w:rsid w:val="006A1CEB"/>
    <w:rsid w:val="006A34C9"/>
    <w:rsid w:val="006A4167"/>
    <w:rsid w:val="006A48C6"/>
    <w:rsid w:val="006A4F7B"/>
    <w:rsid w:val="006A529E"/>
    <w:rsid w:val="006B42E6"/>
    <w:rsid w:val="006B5E6F"/>
    <w:rsid w:val="006C34D8"/>
    <w:rsid w:val="006C4AD0"/>
    <w:rsid w:val="006D2D0B"/>
    <w:rsid w:val="006D5214"/>
    <w:rsid w:val="006D7AFA"/>
    <w:rsid w:val="006E4E82"/>
    <w:rsid w:val="006E69A6"/>
    <w:rsid w:val="006F59A9"/>
    <w:rsid w:val="006F76B0"/>
    <w:rsid w:val="006F7FC9"/>
    <w:rsid w:val="007023DB"/>
    <w:rsid w:val="00703179"/>
    <w:rsid w:val="007072A3"/>
    <w:rsid w:val="00710D1C"/>
    <w:rsid w:val="007121AF"/>
    <w:rsid w:val="00712598"/>
    <w:rsid w:val="0071533F"/>
    <w:rsid w:val="00715EF1"/>
    <w:rsid w:val="00717F7A"/>
    <w:rsid w:val="00722188"/>
    <w:rsid w:val="00723411"/>
    <w:rsid w:val="007264EB"/>
    <w:rsid w:val="00730878"/>
    <w:rsid w:val="007337E2"/>
    <w:rsid w:val="00746026"/>
    <w:rsid w:val="0075184C"/>
    <w:rsid w:val="00751EF3"/>
    <w:rsid w:val="0075526B"/>
    <w:rsid w:val="00760970"/>
    <w:rsid w:val="00761005"/>
    <w:rsid w:val="00765E71"/>
    <w:rsid w:val="00771C5B"/>
    <w:rsid w:val="00774E03"/>
    <w:rsid w:val="007816B7"/>
    <w:rsid w:val="00785820"/>
    <w:rsid w:val="00792BBB"/>
    <w:rsid w:val="007A0D08"/>
    <w:rsid w:val="007A3819"/>
    <w:rsid w:val="007A40DE"/>
    <w:rsid w:val="007A69AD"/>
    <w:rsid w:val="007B1AF7"/>
    <w:rsid w:val="007B554E"/>
    <w:rsid w:val="007C1691"/>
    <w:rsid w:val="007C1E1C"/>
    <w:rsid w:val="007C3A42"/>
    <w:rsid w:val="007C48E9"/>
    <w:rsid w:val="007C5294"/>
    <w:rsid w:val="007E1C27"/>
    <w:rsid w:val="007E4051"/>
    <w:rsid w:val="007E5358"/>
    <w:rsid w:val="007E59FE"/>
    <w:rsid w:val="007E60B2"/>
    <w:rsid w:val="007F0884"/>
    <w:rsid w:val="007F194F"/>
    <w:rsid w:val="007F2CB6"/>
    <w:rsid w:val="008061E1"/>
    <w:rsid w:val="00812723"/>
    <w:rsid w:val="0081472D"/>
    <w:rsid w:val="0081509B"/>
    <w:rsid w:val="008234EC"/>
    <w:rsid w:val="0082642F"/>
    <w:rsid w:val="00827BF1"/>
    <w:rsid w:val="00827C78"/>
    <w:rsid w:val="00827C84"/>
    <w:rsid w:val="00844598"/>
    <w:rsid w:val="00850CCD"/>
    <w:rsid w:val="00861548"/>
    <w:rsid w:val="0086224A"/>
    <w:rsid w:val="00863C5C"/>
    <w:rsid w:val="00866426"/>
    <w:rsid w:val="008701A9"/>
    <w:rsid w:val="00880556"/>
    <w:rsid w:val="008876CF"/>
    <w:rsid w:val="00891249"/>
    <w:rsid w:val="00894BED"/>
    <w:rsid w:val="008A6330"/>
    <w:rsid w:val="008B0A37"/>
    <w:rsid w:val="008B36D1"/>
    <w:rsid w:val="008B4E48"/>
    <w:rsid w:val="008B4F34"/>
    <w:rsid w:val="008B53EF"/>
    <w:rsid w:val="008B785E"/>
    <w:rsid w:val="008C07D8"/>
    <w:rsid w:val="008C0FA8"/>
    <w:rsid w:val="008C3EC4"/>
    <w:rsid w:val="008C58BD"/>
    <w:rsid w:val="008D0616"/>
    <w:rsid w:val="008D1095"/>
    <w:rsid w:val="008D3322"/>
    <w:rsid w:val="008D4465"/>
    <w:rsid w:val="008E1025"/>
    <w:rsid w:val="008E1C72"/>
    <w:rsid w:val="008E4729"/>
    <w:rsid w:val="008F22D0"/>
    <w:rsid w:val="00900CB3"/>
    <w:rsid w:val="00905AB4"/>
    <w:rsid w:val="00911331"/>
    <w:rsid w:val="00913A8F"/>
    <w:rsid w:val="00914153"/>
    <w:rsid w:val="0092428B"/>
    <w:rsid w:val="009269AE"/>
    <w:rsid w:val="00930F75"/>
    <w:rsid w:val="00932BEE"/>
    <w:rsid w:val="009331C8"/>
    <w:rsid w:val="0093413D"/>
    <w:rsid w:val="0094433D"/>
    <w:rsid w:val="0094473F"/>
    <w:rsid w:val="00944827"/>
    <w:rsid w:val="00945AB0"/>
    <w:rsid w:val="00951FA3"/>
    <w:rsid w:val="00952E9A"/>
    <w:rsid w:val="00962844"/>
    <w:rsid w:val="009720C1"/>
    <w:rsid w:val="0098372B"/>
    <w:rsid w:val="00985494"/>
    <w:rsid w:val="00990846"/>
    <w:rsid w:val="009942A6"/>
    <w:rsid w:val="009965AD"/>
    <w:rsid w:val="009A01FB"/>
    <w:rsid w:val="009A0921"/>
    <w:rsid w:val="009A2CFB"/>
    <w:rsid w:val="009B5DDC"/>
    <w:rsid w:val="009B689A"/>
    <w:rsid w:val="009B7D80"/>
    <w:rsid w:val="009C055D"/>
    <w:rsid w:val="009D2787"/>
    <w:rsid w:val="009E23C9"/>
    <w:rsid w:val="009E2478"/>
    <w:rsid w:val="009E4CE2"/>
    <w:rsid w:val="009E5426"/>
    <w:rsid w:val="009E7A83"/>
    <w:rsid w:val="009F37DA"/>
    <w:rsid w:val="009F3D3F"/>
    <w:rsid w:val="00A02723"/>
    <w:rsid w:val="00A10A88"/>
    <w:rsid w:val="00A215F8"/>
    <w:rsid w:val="00A239BA"/>
    <w:rsid w:val="00A32B55"/>
    <w:rsid w:val="00A330EB"/>
    <w:rsid w:val="00A37C23"/>
    <w:rsid w:val="00A45C00"/>
    <w:rsid w:val="00A5146D"/>
    <w:rsid w:val="00A525CB"/>
    <w:rsid w:val="00A62DA6"/>
    <w:rsid w:val="00A635DB"/>
    <w:rsid w:val="00A644AF"/>
    <w:rsid w:val="00A64AD4"/>
    <w:rsid w:val="00A672C4"/>
    <w:rsid w:val="00A71984"/>
    <w:rsid w:val="00A7546B"/>
    <w:rsid w:val="00A77B4A"/>
    <w:rsid w:val="00A90757"/>
    <w:rsid w:val="00A938C0"/>
    <w:rsid w:val="00A95B04"/>
    <w:rsid w:val="00AA0BCD"/>
    <w:rsid w:val="00AA11B6"/>
    <w:rsid w:val="00AA14E2"/>
    <w:rsid w:val="00AB058F"/>
    <w:rsid w:val="00AB4128"/>
    <w:rsid w:val="00AC3A1F"/>
    <w:rsid w:val="00AC4B27"/>
    <w:rsid w:val="00AE1712"/>
    <w:rsid w:val="00AE1F6D"/>
    <w:rsid w:val="00AE282A"/>
    <w:rsid w:val="00AE31D5"/>
    <w:rsid w:val="00AE537C"/>
    <w:rsid w:val="00AF4007"/>
    <w:rsid w:val="00B10B21"/>
    <w:rsid w:val="00B12769"/>
    <w:rsid w:val="00B17D3D"/>
    <w:rsid w:val="00B204D4"/>
    <w:rsid w:val="00B21FCC"/>
    <w:rsid w:val="00B22FB8"/>
    <w:rsid w:val="00B2662D"/>
    <w:rsid w:val="00B30051"/>
    <w:rsid w:val="00B35ED6"/>
    <w:rsid w:val="00B456AA"/>
    <w:rsid w:val="00B537AF"/>
    <w:rsid w:val="00B5738D"/>
    <w:rsid w:val="00B57818"/>
    <w:rsid w:val="00B6092D"/>
    <w:rsid w:val="00B625FB"/>
    <w:rsid w:val="00B634AB"/>
    <w:rsid w:val="00B67F3C"/>
    <w:rsid w:val="00B73A56"/>
    <w:rsid w:val="00B73DEF"/>
    <w:rsid w:val="00B76E47"/>
    <w:rsid w:val="00B84416"/>
    <w:rsid w:val="00B8568A"/>
    <w:rsid w:val="00B9311B"/>
    <w:rsid w:val="00B93818"/>
    <w:rsid w:val="00B94C78"/>
    <w:rsid w:val="00B952A2"/>
    <w:rsid w:val="00BA13F5"/>
    <w:rsid w:val="00BA1C1C"/>
    <w:rsid w:val="00BA7E85"/>
    <w:rsid w:val="00BB2CDA"/>
    <w:rsid w:val="00BB32E7"/>
    <w:rsid w:val="00BB3607"/>
    <w:rsid w:val="00BC3E3B"/>
    <w:rsid w:val="00BC4673"/>
    <w:rsid w:val="00BD2739"/>
    <w:rsid w:val="00BD5B1F"/>
    <w:rsid w:val="00BD71F4"/>
    <w:rsid w:val="00BE2C08"/>
    <w:rsid w:val="00BE5CCB"/>
    <w:rsid w:val="00BF1BA5"/>
    <w:rsid w:val="00BF23EE"/>
    <w:rsid w:val="00BF54A6"/>
    <w:rsid w:val="00BF7471"/>
    <w:rsid w:val="00C018A8"/>
    <w:rsid w:val="00C02009"/>
    <w:rsid w:val="00C05A93"/>
    <w:rsid w:val="00C142AD"/>
    <w:rsid w:val="00C15D8B"/>
    <w:rsid w:val="00C26333"/>
    <w:rsid w:val="00C3033D"/>
    <w:rsid w:val="00C32766"/>
    <w:rsid w:val="00C33DA6"/>
    <w:rsid w:val="00C36DFF"/>
    <w:rsid w:val="00C42CBE"/>
    <w:rsid w:val="00C43FDF"/>
    <w:rsid w:val="00C50E89"/>
    <w:rsid w:val="00C54E1F"/>
    <w:rsid w:val="00C5715C"/>
    <w:rsid w:val="00C57B7B"/>
    <w:rsid w:val="00C60586"/>
    <w:rsid w:val="00C626C7"/>
    <w:rsid w:val="00C6390C"/>
    <w:rsid w:val="00C65B9B"/>
    <w:rsid w:val="00C719E3"/>
    <w:rsid w:val="00C7609A"/>
    <w:rsid w:val="00C768BA"/>
    <w:rsid w:val="00C7715B"/>
    <w:rsid w:val="00C77AF0"/>
    <w:rsid w:val="00C82938"/>
    <w:rsid w:val="00C90512"/>
    <w:rsid w:val="00C913F9"/>
    <w:rsid w:val="00CA2A41"/>
    <w:rsid w:val="00CA4D92"/>
    <w:rsid w:val="00CA691C"/>
    <w:rsid w:val="00CB1E1C"/>
    <w:rsid w:val="00CB3489"/>
    <w:rsid w:val="00CB3CF1"/>
    <w:rsid w:val="00CB5178"/>
    <w:rsid w:val="00CB66E9"/>
    <w:rsid w:val="00CC4C8D"/>
    <w:rsid w:val="00CD3C97"/>
    <w:rsid w:val="00CD4403"/>
    <w:rsid w:val="00CD46D5"/>
    <w:rsid w:val="00CD4E47"/>
    <w:rsid w:val="00CD71FA"/>
    <w:rsid w:val="00CE19F3"/>
    <w:rsid w:val="00CE1BE1"/>
    <w:rsid w:val="00CE6E2A"/>
    <w:rsid w:val="00CF15A6"/>
    <w:rsid w:val="00CF3480"/>
    <w:rsid w:val="00D012A5"/>
    <w:rsid w:val="00D02B77"/>
    <w:rsid w:val="00D02E47"/>
    <w:rsid w:val="00D07786"/>
    <w:rsid w:val="00D12F5E"/>
    <w:rsid w:val="00D16E87"/>
    <w:rsid w:val="00D17853"/>
    <w:rsid w:val="00D35537"/>
    <w:rsid w:val="00D378E8"/>
    <w:rsid w:val="00D4149F"/>
    <w:rsid w:val="00D4494E"/>
    <w:rsid w:val="00D54260"/>
    <w:rsid w:val="00D57FF9"/>
    <w:rsid w:val="00D74C6C"/>
    <w:rsid w:val="00D76A21"/>
    <w:rsid w:val="00D8228A"/>
    <w:rsid w:val="00D83876"/>
    <w:rsid w:val="00D87FBE"/>
    <w:rsid w:val="00D901B9"/>
    <w:rsid w:val="00D935B9"/>
    <w:rsid w:val="00DB1EE5"/>
    <w:rsid w:val="00DB26AC"/>
    <w:rsid w:val="00DB5F26"/>
    <w:rsid w:val="00DB7185"/>
    <w:rsid w:val="00DC77DA"/>
    <w:rsid w:val="00DD10B8"/>
    <w:rsid w:val="00DD43FF"/>
    <w:rsid w:val="00DD69D2"/>
    <w:rsid w:val="00DD7C09"/>
    <w:rsid w:val="00DE15AE"/>
    <w:rsid w:val="00DF1C34"/>
    <w:rsid w:val="00DF1CBC"/>
    <w:rsid w:val="00DF4D2C"/>
    <w:rsid w:val="00DF4DFF"/>
    <w:rsid w:val="00E0066B"/>
    <w:rsid w:val="00E020B5"/>
    <w:rsid w:val="00E05F4C"/>
    <w:rsid w:val="00E12FE6"/>
    <w:rsid w:val="00E20EE9"/>
    <w:rsid w:val="00E25190"/>
    <w:rsid w:val="00E26C3B"/>
    <w:rsid w:val="00E344EA"/>
    <w:rsid w:val="00E3490F"/>
    <w:rsid w:val="00E50854"/>
    <w:rsid w:val="00E5628E"/>
    <w:rsid w:val="00E57985"/>
    <w:rsid w:val="00E6253A"/>
    <w:rsid w:val="00E715B7"/>
    <w:rsid w:val="00E731D8"/>
    <w:rsid w:val="00E77CDB"/>
    <w:rsid w:val="00E77F23"/>
    <w:rsid w:val="00E80858"/>
    <w:rsid w:val="00E8407F"/>
    <w:rsid w:val="00E84144"/>
    <w:rsid w:val="00E91FBC"/>
    <w:rsid w:val="00E93BD4"/>
    <w:rsid w:val="00E93D25"/>
    <w:rsid w:val="00E95AE1"/>
    <w:rsid w:val="00EA3FF3"/>
    <w:rsid w:val="00EB26BE"/>
    <w:rsid w:val="00EB47C4"/>
    <w:rsid w:val="00EC699C"/>
    <w:rsid w:val="00EE5C3F"/>
    <w:rsid w:val="00EE6008"/>
    <w:rsid w:val="00EE7943"/>
    <w:rsid w:val="00EF2EA9"/>
    <w:rsid w:val="00EF66C0"/>
    <w:rsid w:val="00EF7728"/>
    <w:rsid w:val="00F06527"/>
    <w:rsid w:val="00F12889"/>
    <w:rsid w:val="00F12D26"/>
    <w:rsid w:val="00F1643E"/>
    <w:rsid w:val="00F20087"/>
    <w:rsid w:val="00F252DC"/>
    <w:rsid w:val="00F30DCD"/>
    <w:rsid w:val="00F35983"/>
    <w:rsid w:val="00F36F9A"/>
    <w:rsid w:val="00F42EAA"/>
    <w:rsid w:val="00F4452F"/>
    <w:rsid w:val="00F51A80"/>
    <w:rsid w:val="00F531DB"/>
    <w:rsid w:val="00F53354"/>
    <w:rsid w:val="00F56DFE"/>
    <w:rsid w:val="00F56FB0"/>
    <w:rsid w:val="00F63A6E"/>
    <w:rsid w:val="00F63C1C"/>
    <w:rsid w:val="00F642D3"/>
    <w:rsid w:val="00F6658F"/>
    <w:rsid w:val="00F74ADB"/>
    <w:rsid w:val="00F827A2"/>
    <w:rsid w:val="00F85959"/>
    <w:rsid w:val="00F872AF"/>
    <w:rsid w:val="00F91087"/>
    <w:rsid w:val="00F96DD4"/>
    <w:rsid w:val="00FA0169"/>
    <w:rsid w:val="00FA07B3"/>
    <w:rsid w:val="00FA5DB1"/>
    <w:rsid w:val="00FB3FFF"/>
    <w:rsid w:val="00FB4001"/>
    <w:rsid w:val="00FB5D6A"/>
    <w:rsid w:val="00FC079B"/>
    <w:rsid w:val="00FC6ED7"/>
    <w:rsid w:val="00FC759E"/>
    <w:rsid w:val="00FC7660"/>
    <w:rsid w:val="00FD49E1"/>
    <w:rsid w:val="00FD78A5"/>
    <w:rsid w:val="00FE1CBE"/>
    <w:rsid w:val="00FE2C79"/>
    <w:rsid w:val="00FE2F27"/>
    <w:rsid w:val="00FE423F"/>
    <w:rsid w:val="00FF1457"/>
    <w:rsid w:val="00FF3F8D"/>
    <w:rsid w:val="00FF534B"/>
    <w:rsid w:val="00FF6688"/>
    <w:rsid w:val="052C0334"/>
    <w:rsid w:val="0BB56A5C"/>
    <w:rsid w:val="13EF011E"/>
    <w:rsid w:val="167E20C7"/>
    <w:rsid w:val="1C267994"/>
    <w:rsid w:val="4E326602"/>
    <w:rsid w:val="5BC3732C"/>
    <w:rsid w:val="5C5A3793"/>
    <w:rsid w:val="60E216F6"/>
    <w:rsid w:val="73360E8D"/>
    <w:rsid w:val="792654F9"/>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0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bidi="ar-SA"/>
      <w14:ligatures w14:val="standardContextual"/>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eastAsiaTheme="minorEastAsia"/>
      <w:color w:val="000000"/>
      <w:sz w:val="24"/>
      <w:szCs w:val="24"/>
      <w:lang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kern w:val="0"/>
      <w:sz w:val="24"/>
      <w:szCs w:val="24"/>
      <w:lang w:val="en-US" w:bidi="te-IN"/>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val="en-US" w:bidi="te-IN"/>
      <w14:ligatures w14:val="none"/>
    </w:rPr>
  </w:style>
  <w:style w:type="character" w:customStyle="1" w:styleId="a">
    <w:name w:val="_"/>
    <w:basedOn w:val="DefaultParagraphFont"/>
  </w:style>
  <w:style w:type="character" w:customStyle="1" w:styleId="ms-1">
    <w:name w:val="ms-1"/>
    <w:basedOn w:val="DefaultParagraphFont"/>
    <w:rsid w:val="005E5BF6"/>
  </w:style>
  <w:style w:type="character" w:customStyle="1" w:styleId="max-w-15ch">
    <w:name w:val="max-w-[15ch]"/>
    <w:basedOn w:val="DefaultParagraphFont"/>
    <w:rsid w:val="005E5BF6"/>
  </w:style>
  <w:style w:type="character" w:customStyle="1" w:styleId="-me-1">
    <w:name w:val="-me-1"/>
    <w:basedOn w:val="DefaultParagraphFont"/>
    <w:rsid w:val="005E5BF6"/>
  </w:style>
  <w:style w:type="paragraph" w:styleId="Header">
    <w:name w:val="header"/>
    <w:basedOn w:val="Normal"/>
    <w:link w:val="HeaderChar"/>
    <w:uiPriority w:val="99"/>
    <w:unhideWhenUsed/>
    <w:rsid w:val="00792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BB"/>
    <w:rPr>
      <w:rFonts w:asciiTheme="minorHAnsi" w:eastAsiaTheme="minorHAnsi" w:hAnsiTheme="minorHAnsi" w:cstheme="minorBidi"/>
      <w:kern w:val="2"/>
      <w:sz w:val="22"/>
      <w:szCs w:val="22"/>
      <w:lang w:val="en-IN" w:bidi="ar-SA"/>
      <w14:ligatures w14:val="standardContextual"/>
    </w:rPr>
  </w:style>
  <w:style w:type="paragraph" w:styleId="Footer">
    <w:name w:val="footer"/>
    <w:basedOn w:val="Normal"/>
    <w:link w:val="FooterChar"/>
    <w:uiPriority w:val="99"/>
    <w:unhideWhenUsed/>
    <w:rsid w:val="00792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BB"/>
    <w:rPr>
      <w:rFonts w:asciiTheme="minorHAnsi" w:eastAsiaTheme="minorHAnsi" w:hAnsiTheme="minorHAnsi" w:cstheme="minorBidi"/>
      <w:kern w:val="2"/>
      <w:sz w:val="22"/>
      <w:szCs w:val="22"/>
      <w:lang w:val="en-IN" w:bidi="ar-SA"/>
      <w14:ligatures w14:val="standardContextual"/>
    </w:rPr>
  </w:style>
  <w:style w:type="character" w:customStyle="1" w:styleId="UnresolvedMention">
    <w:name w:val="Unresolved Mention"/>
    <w:basedOn w:val="DefaultParagraphFont"/>
    <w:uiPriority w:val="99"/>
    <w:semiHidden/>
    <w:unhideWhenUsed/>
    <w:rsid w:val="00696495"/>
    <w:rPr>
      <w:color w:val="605E5C"/>
      <w:shd w:val="clear" w:color="auto" w:fill="E1DFDD"/>
    </w:rPr>
  </w:style>
  <w:style w:type="character" w:styleId="CommentReference">
    <w:name w:val="annotation reference"/>
    <w:basedOn w:val="DefaultParagraphFont"/>
    <w:uiPriority w:val="99"/>
    <w:semiHidden/>
    <w:unhideWhenUsed/>
    <w:rsid w:val="00E77CDB"/>
    <w:rPr>
      <w:sz w:val="16"/>
      <w:szCs w:val="16"/>
    </w:rPr>
  </w:style>
  <w:style w:type="paragraph" w:styleId="CommentText">
    <w:name w:val="annotation text"/>
    <w:basedOn w:val="Normal"/>
    <w:link w:val="CommentTextChar"/>
    <w:uiPriority w:val="99"/>
    <w:semiHidden/>
    <w:unhideWhenUsed/>
    <w:rsid w:val="00E77CDB"/>
    <w:pPr>
      <w:spacing w:line="240" w:lineRule="auto"/>
    </w:pPr>
    <w:rPr>
      <w:sz w:val="20"/>
      <w:szCs w:val="20"/>
    </w:rPr>
  </w:style>
  <w:style w:type="character" w:customStyle="1" w:styleId="CommentTextChar">
    <w:name w:val="Comment Text Char"/>
    <w:basedOn w:val="DefaultParagraphFont"/>
    <w:link w:val="CommentText"/>
    <w:uiPriority w:val="99"/>
    <w:semiHidden/>
    <w:rsid w:val="00E77CDB"/>
    <w:rPr>
      <w:rFonts w:asciiTheme="minorHAnsi" w:eastAsiaTheme="minorHAnsi" w:hAnsiTheme="minorHAnsi" w:cstheme="minorBidi"/>
      <w:kern w:val="2"/>
      <w:lang w:val="en-IN" w:bidi="ar-SA"/>
      <w14:ligatures w14:val="standardContextual"/>
    </w:rPr>
  </w:style>
  <w:style w:type="paragraph" w:styleId="CommentSubject">
    <w:name w:val="annotation subject"/>
    <w:basedOn w:val="CommentText"/>
    <w:next w:val="CommentText"/>
    <w:link w:val="CommentSubjectChar"/>
    <w:uiPriority w:val="99"/>
    <w:semiHidden/>
    <w:unhideWhenUsed/>
    <w:rsid w:val="00E77CDB"/>
    <w:rPr>
      <w:b/>
      <w:bCs/>
    </w:rPr>
  </w:style>
  <w:style w:type="character" w:customStyle="1" w:styleId="CommentSubjectChar">
    <w:name w:val="Comment Subject Char"/>
    <w:basedOn w:val="CommentTextChar"/>
    <w:link w:val="CommentSubject"/>
    <w:uiPriority w:val="99"/>
    <w:semiHidden/>
    <w:rsid w:val="00E77CDB"/>
    <w:rPr>
      <w:rFonts w:asciiTheme="minorHAnsi" w:eastAsiaTheme="minorHAnsi" w:hAnsiTheme="minorHAnsi" w:cstheme="minorBidi"/>
      <w:b/>
      <w:bCs/>
      <w:kern w:val="2"/>
      <w:lang w:val="en-IN" w:bidi="ar-SA"/>
      <w14:ligatures w14:val="standardContextual"/>
    </w:rPr>
  </w:style>
  <w:style w:type="paragraph" w:styleId="BalloonText">
    <w:name w:val="Balloon Text"/>
    <w:basedOn w:val="Normal"/>
    <w:link w:val="BalloonTextChar"/>
    <w:uiPriority w:val="99"/>
    <w:semiHidden/>
    <w:unhideWhenUsed/>
    <w:rsid w:val="00E7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CDB"/>
    <w:rPr>
      <w:rFonts w:ascii="Tahoma" w:eastAsiaTheme="minorHAnsi" w:hAnsi="Tahoma" w:cs="Tahoma"/>
      <w:kern w:val="2"/>
      <w:sz w:val="16"/>
      <w:szCs w:val="16"/>
      <w:lang w:val="en-IN"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bidi="ar-SA"/>
      <w14:ligatures w14:val="standardContextual"/>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eastAsiaTheme="minorEastAsia"/>
      <w:color w:val="000000"/>
      <w:sz w:val="24"/>
      <w:szCs w:val="24"/>
      <w:lang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kern w:val="0"/>
      <w:sz w:val="24"/>
      <w:szCs w:val="24"/>
      <w:lang w:val="en-US" w:bidi="te-IN"/>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val="en-US" w:bidi="te-IN"/>
      <w14:ligatures w14:val="none"/>
    </w:rPr>
  </w:style>
  <w:style w:type="character" w:customStyle="1" w:styleId="a">
    <w:name w:val="_"/>
    <w:basedOn w:val="DefaultParagraphFont"/>
  </w:style>
  <w:style w:type="character" w:customStyle="1" w:styleId="ms-1">
    <w:name w:val="ms-1"/>
    <w:basedOn w:val="DefaultParagraphFont"/>
    <w:rsid w:val="005E5BF6"/>
  </w:style>
  <w:style w:type="character" w:customStyle="1" w:styleId="max-w-15ch">
    <w:name w:val="max-w-[15ch]"/>
    <w:basedOn w:val="DefaultParagraphFont"/>
    <w:rsid w:val="005E5BF6"/>
  </w:style>
  <w:style w:type="character" w:customStyle="1" w:styleId="-me-1">
    <w:name w:val="-me-1"/>
    <w:basedOn w:val="DefaultParagraphFont"/>
    <w:rsid w:val="005E5BF6"/>
  </w:style>
  <w:style w:type="paragraph" w:styleId="Header">
    <w:name w:val="header"/>
    <w:basedOn w:val="Normal"/>
    <w:link w:val="HeaderChar"/>
    <w:uiPriority w:val="99"/>
    <w:unhideWhenUsed/>
    <w:rsid w:val="00792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BB"/>
    <w:rPr>
      <w:rFonts w:asciiTheme="minorHAnsi" w:eastAsiaTheme="minorHAnsi" w:hAnsiTheme="minorHAnsi" w:cstheme="minorBidi"/>
      <w:kern w:val="2"/>
      <w:sz w:val="22"/>
      <w:szCs w:val="22"/>
      <w:lang w:val="en-IN" w:bidi="ar-SA"/>
      <w14:ligatures w14:val="standardContextual"/>
    </w:rPr>
  </w:style>
  <w:style w:type="paragraph" w:styleId="Footer">
    <w:name w:val="footer"/>
    <w:basedOn w:val="Normal"/>
    <w:link w:val="FooterChar"/>
    <w:uiPriority w:val="99"/>
    <w:unhideWhenUsed/>
    <w:rsid w:val="00792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BB"/>
    <w:rPr>
      <w:rFonts w:asciiTheme="minorHAnsi" w:eastAsiaTheme="minorHAnsi" w:hAnsiTheme="minorHAnsi" w:cstheme="minorBidi"/>
      <w:kern w:val="2"/>
      <w:sz w:val="22"/>
      <w:szCs w:val="22"/>
      <w:lang w:val="en-IN" w:bidi="ar-SA"/>
      <w14:ligatures w14:val="standardContextual"/>
    </w:rPr>
  </w:style>
  <w:style w:type="character" w:customStyle="1" w:styleId="UnresolvedMention">
    <w:name w:val="Unresolved Mention"/>
    <w:basedOn w:val="DefaultParagraphFont"/>
    <w:uiPriority w:val="99"/>
    <w:semiHidden/>
    <w:unhideWhenUsed/>
    <w:rsid w:val="00696495"/>
    <w:rPr>
      <w:color w:val="605E5C"/>
      <w:shd w:val="clear" w:color="auto" w:fill="E1DFDD"/>
    </w:rPr>
  </w:style>
  <w:style w:type="character" w:styleId="CommentReference">
    <w:name w:val="annotation reference"/>
    <w:basedOn w:val="DefaultParagraphFont"/>
    <w:uiPriority w:val="99"/>
    <w:semiHidden/>
    <w:unhideWhenUsed/>
    <w:rsid w:val="00E77CDB"/>
    <w:rPr>
      <w:sz w:val="16"/>
      <w:szCs w:val="16"/>
    </w:rPr>
  </w:style>
  <w:style w:type="paragraph" w:styleId="CommentText">
    <w:name w:val="annotation text"/>
    <w:basedOn w:val="Normal"/>
    <w:link w:val="CommentTextChar"/>
    <w:uiPriority w:val="99"/>
    <w:semiHidden/>
    <w:unhideWhenUsed/>
    <w:rsid w:val="00E77CDB"/>
    <w:pPr>
      <w:spacing w:line="240" w:lineRule="auto"/>
    </w:pPr>
    <w:rPr>
      <w:sz w:val="20"/>
      <w:szCs w:val="20"/>
    </w:rPr>
  </w:style>
  <w:style w:type="character" w:customStyle="1" w:styleId="CommentTextChar">
    <w:name w:val="Comment Text Char"/>
    <w:basedOn w:val="DefaultParagraphFont"/>
    <w:link w:val="CommentText"/>
    <w:uiPriority w:val="99"/>
    <w:semiHidden/>
    <w:rsid w:val="00E77CDB"/>
    <w:rPr>
      <w:rFonts w:asciiTheme="minorHAnsi" w:eastAsiaTheme="minorHAnsi" w:hAnsiTheme="minorHAnsi" w:cstheme="minorBidi"/>
      <w:kern w:val="2"/>
      <w:lang w:val="en-IN" w:bidi="ar-SA"/>
      <w14:ligatures w14:val="standardContextual"/>
    </w:rPr>
  </w:style>
  <w:style w:type="paragraph" w:styleId="CommentSubject">
    <w:name w:val="annotation subject"/>
    <w:basedOn w:val="CommentText"/>
    <w:next w:val="CommentText"/>
    <w:link w:val="CommentSubjectChar"/>
    <w:uiPriority w:val="99"/>
    <w:semiHidden/>
    <w:unhideWhenUsed/>
    <w:rsid w:val="00E77CDB"/>
    <w:rPr>
      <w:b/>
      <w:bCs/>
    </w:rPr>
  </w:style>
  <w:style w:type="character" w:customStyle="1" w:styleId="CommentSubjectChar">
    <w:name w:val="Comment Subject Char"/>
    <w:basedOn w:val="CommentTextChar"/>
    <w:link w:val="CommentSubject"/>
    <w:uiPriority w:val="99"/>
    <w:semiHidden/>
    <w:rsid w:val="00E77CDB"/>
    <w:rPr>
      <w:rFonts w:asciiTheme="minorHAnsi" w:eastAsiaTheme="minorHAnsi" w:hAnsiTheme="minorHAnsi" w:cstheme="minorBidi"/>
      <w:b/>
      <w:bCs/>
      <w:kern w:val="2"/>
      <w:lang w:val="en-IN" w:bidi="ar-SA"/>
      <w14:ligatures w14:val="standardContextual"/>
    </w:rPr>
  </w:style>
  <w:style w:type="paragraph" w:styleId="BalloonText">
    <w:name w:val="Balloon Text"/>
    <w:basedOn w:val="Normal"/>
    <w:link w:val="BalloonTextChar"/>
    <w:uiPriority w:val="99"/>
    <w:semiHidden/>
    <w:unhideWhenUsed/>
    <w:rsid w:val="00E7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CDB"/>
    <w:rPr>
      <w:rFonts w:ascii="Tahoma" w:eastAsiaTheme="minorHAnsi" w:hAnsi="Tahoma" w:cs="Tahoma"/>
      <w:kern w:val="2"/>
      <w:sz w:val="16"/>
      <w:szCs w:val="16"/>
      <w:lang w:val="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7652">
      <w:bodyDiv w:val="1"/>
      <w:marLeft w:val="0"/>
      <w:marRight w:val="0"/>
      <w:marTop w:val="0"/>
      <w:marBottom w:val="0"/>
      <w:divBdr>
        <w:top w:val="none" w:sz="0" w:space="0" w:color="auto"/>
        <w:left w:val="none" w:sz="0" w:space="0" w:color="auto"/>
        <w:bottom w:val="none" w:sz="0" w:space="0" w:color="auto"/>
        <w:right w:val="none" w:sz="0" w:space="0" w:color="auto"/>
      </w:divBdr>
    </w:div>
    <w:div w:id="527377360">
      <w:bodyDiv w:val="1"/>
      <w:marLeft w:val="0"/>
      <w:marRight w:val="0"/>
      <w:marTop w:val="0"/>
      <w:marBottom w:val="0"/>
      <w:divBdr>
        <w:top w:val="none" w:sz="0" w:space="0" w:color="auto"/>
        <w:left w:val="none" w:sz="0" w:space="0" w:color="auto"/>
        <w:bottom w:val="none" w:sz="0" w:space="0" w:color="auto"/>
        <w:right w:val="none" w:sz="0" w:space="0" w:color="auto"/>
      </w:divBdr>
    </w:div>
    <w:div w:id="795760944">
      <w:bodyDiv w:val="1"/>
      <w:marLeft w:val="0"/>
      <w:marRight w:val="0"/>
      <w:marTop w:val="0"/>
      <w:marBottom w:val="0"/>
      <w:divBdr>
        <w:top w:val="none" w:sz="0" w:space="0" w:color="auto"/>
        <w:left w:val="none" w:sz="0" w:space="0" w:color="auto"/>
        <w:bottom w:val="none" w:sz="0" w:space="0" w:color="auto"/>
        <w:right w:val="none" w:sz="0" w:space="0" w:color="auto"/>
      </w:divBdr>
    </w:div>
    <w:div w:id="818615572">
      <w:bodyDiv w:val="1"/>
      <w:marLeft w:val="0"/>
      <w:marRight w:val="0"/>
      <w:marTop w:val="0"/>
      <w:marBottom w:val="0"/>
      <w:divBdr>
        <w:top w:val="none" w:sz="0" w:space="0" w:color="auto"/>
        <w:left w:val="none" w:sz="0" w:space="0" w:color="auto"/>
        <w:bottom w:val="none" w:sz="0" w:space="0" w:color="auto"/>
        <w:right w:val="none" w:sz="0" w:space="0" w:color="auto"/>
      </w:divBdr>
    </w:div>
    <w:div w:id="890115612">
      <w:bodyDiv w:val="1"/>
      <w:marLeft w:val="0"/>
      <w:marRight w:val="0"/>
      <w:marTop w:val="0"/>
      <w:marBottom w:val="0"/>
      <w:divBdr>
        <w:top w:val="none" w:sz="0" w:space="0" w:color="auto"/>
        <w:left w:val="none" w:sz="0" w:space="0" w:color="auto"/>
        <w:bottom w:val="none" w:sz="0" w:space="0" w:color="auto"/>
        <w:right w:val="none" w:sz="0" w:space="0" w:color="auto"/>
      </w:divBdr>
    </w:div>
    <w:div w:id="1161655626">
      <w:bodyDiv w:val="1"/>
      <w:marLeft w:val="0"/>
      <w:marRight w:val="0"/>
      <w:marTop w:val="0"/>
      <w:marBottom w:val="0"/>
      <w:divBdr>
        <w:top w:val="none" w:sz="0" w:space="0" w:color="auto"/>
        <w:left w:val="none" w:sz="0" w:space="0" w:color="auto"/>
        <w:bottom w:val="none" w:sz="0" w:space="0" w:color="auto"/>
        <w:right w:val="none" w:sz="0" w:space="0" w:color="auto"/>
      </w:divBdr>
    </w:div>
    <w:div w:id="1537808927">
      <w:bodyDiv w:val="1"/>
      <w:marLeft w:val="0"/>
      <w:marRight w:val="0"/>
      <w:marTop w:val="0"/>
      <w:marBottom w:val="0"/>
      <w:divBdr>
        <w:top w:val="none" w:sz="0" w:space="0" w:color="auto"/>
        <w:left w:val="none" w:sz="0" w:space="0" w:color="auto"/>
        <w:bottom w:val="none" w:sz="0" w:space="0" w:color="auto"/>
        <w:right w:val="none" w:sz="0" w:space="0" w:color="auto"/>
      </w:divBdr>
    </w:div>
    <w:div w:id="1573077252">
      <w:bodyDiv w:val="1"/>
      <w:marLeft w:val="0"/>
      <w:marRight w:val="0"/>
      <w:marTop w:val="0"/>
      <w:marBottom w:val="0"/>
      <w:divBdr>
        <w:top w:val="none" w:sz="0" w:space="0" w:color="auto"/>
        <w:left w:val="none" w:sz="0" w:space="0" w:color="auto"/>
        <w:bottom w:val="none" w:sz="0" w:space="0" w:color="auto"/>
        <w:right w:val="none" w:sz="0" w:space="0" w:color="auto"/>
      </w:divBdr>
    </w:div>
    <w:div w:id="1784768655">
      <w:bodyDiv w:val="1"/>
      <w:marLeft w:val="0"/>
      <w:marRight w:val="0"/>
      <w:marTop w:val="0"/>
      <w:marBottom w:val="0"/>
      <w:divBdr>
        <w:top w:val="none" w:sz="0" w:space="0" w:color="auto"/>
        <w:left w:val="none" w:sz="0" w:space="0" w:color="auto"/>
        <w:bottom w:val="none" w:sz="0" w:space="0" w:color="auto"/>
        <w:right w:val="none" w:sz="0" w:space="0" w:color="auto"/>
      </w:divBdr>
    </w:div>
    <w:div w:id="20231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riwelfare.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daattc vzm</dc:creator>
  <cp:lastModifiedBy>User</cp:lastModifiedBy>
  <cp:revision>2</cp:revision>
  <cp:lastPrinted>2025-11-03T09:14:00Z</cp:lastPrinted>
  <dcterms:created xsi:type="dcterms:W3CDTF">2025-11-09T07:26:00Z</dcterms:created>
  <dcterms:modified xsi:type="dcterms:W3CDTF">2025-11-09T07:26:00Z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EB89DCFF37EF4950A017F594FA0647A3_12</vt:lpwstr>
  </property>
</Properties>
</file>