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7635" w14:textId="7FD1DAD1" w:rsidR="004C083B" w:rsidRPr="00AC68DF" w:rsidRDefault="007334A4" w:rsidP="00AC68DF">
      <w:pPr>
        <w:jc w:val="right"/>
        <w:rPr>
          <w:rFonts w:ascii="Times New Roman" w:hAnsi="Times New Roman" w:cs="Times New Roman"/>
          <w:b/>
          <w:bCs/>
          <w:i/>
          <w:iCs/>
          <w:sz w:val="28"/>
          <w:szCs w:val="28"/>
        </w:rPr>
      </w:pPr>
      <w:r>
        <w:rPr>
          <w:rFonts w:ascii="Times New Roman" w:hAnsi="Times New Roman" w:cs="Times New Roman"/>
          <w:b/>
          <w:bCs/>
          <w:sz w:val="28"/>
          <w:szCs w:val="28"/>
        </w:rPr>
        <w:t xml:space="preserve">Impact </w:t>
      </w:r>
      <w:r w:rsidR="004625E6" w:rsidRPr="00AC68DF">
        <w:rPr>
          <w:rFonts w:ascii="Times New Roman" w:hAnsi="Times New Roman" w:cs="Times New Roman"/>
          <w:b/>
          <w:bCs/>
          <w:sz w:val="28"/>
          <w:szCs w:val="28"/>
        </w:rPr>
        <w:t xml:space="preserve">of dietary administration of phytoestrogen genistein on </w:t>
      </w:r>
      <w:r>
        <w:rPr>
          <w:rFonts w:ascii="Times New Roman" w:hAnsi="Times New Roman" w:cs="Times New Roman"/>
          <w:b/>
          <w:bCs/>
          <w:sz w:val="28"/>
          <w:szCs w:val="28"/>
        </w:rPr>
        <w:t xml:space="preserve">somatic </w:t>
      </w:r>
      <w:r w:rsidR="004625E6" w:rsidRPr="00AC68DF">
        <w:rPr>
          <w:rFonts w:ascii="Times New Roman" w:hAnsi="Times New Roman" w:cs="Times New Roman"/>
          <w:b/>
          <w:bCs/>
          <w:sz w:val="28"/>
          <w:szCs w:val="28"/>
        </w:rPr>
        <w:t xml:space="preserve">growth of </w:t>
      </w:r>
      <w:r w:rsidR="004625E6" w:rsidRPr="00AC68DF">
        <w:rPr>
          <w:rFonts w:ascii="Times New Roman" w:hAnsi="Times New Roman" w:cs="Times New Roman"/>
          <w:b/>
          <w:bCs/>
          <w:i/>
          <w:iCs/>
          <w:sz w:val="28"/>
          <w:szCs w:val="28"/>
        </w:rPr>
        <w:t>Cyprinus carpio</w:t>
      </w:r>
      <w:r w:rsidR="004625E6" w:rsidRPr="00AC68DF">
        <w:rPr>
          <w:rFonts w:ascii="Times New Roman" w:hAnsi="Times New Roman" w:cs="Times New Roman"/>
          <w:b/>
          <w:bCs/>
          <w:sz w:val="28"/>
          <w:szCs w:val="28"/>
        </w:rPr>
        <w:t xml:space="preserve"> var. </w:t>
      </w:r>
      <w:r w:rsidR="004625E6" w:rsidRPr="00AC68DF">
        <w:rPr>
          <w:rFonts w:ascii="Times New Roman" w:hAnsi="Times New Roman" w:cs="Times New Roman"/>
          <w:b/>
          <w:bCs/>
          <w:i/>
          <w:iCs/>
          <w:sz w:val="28"/>
          <w:szCs w:val="28"/>
        </w:rPr>
        <w:t>communis</w:t>
      </w:r>
    </w:p>
    <w:p w14:paraId="621A2CFC" w14:textId="4EA24A84" w:rsidR="00AC68DF" w:rsidRDefault="00AC68DF" w:rsidP="00AC68DF">
      <w:pPr>
        <w:rPr>
          <w:i/>
          <w:iCs/>
        </w:rPr>
      </w:pPr>
    </w:p>
    <w:p w14:paraId="4311813F" w14:textId="77777777" w:rsidR="00F319DF" w:rsidRDefault="00F319DF" w:rsidP="00AC68DF">
      <w:pPr>
        <w:rPr>
          <w:i/>
          <w:iCs/>
        </w:rPr>
      </w:pPr>
    </w:p>
    <w:p w14:paraId="0DDD358B" w14:textId="6F5E8FF5" w:rsidR="00AC68DF" w:rsidRPr="003B0597" w:rsidRDefault="00AC68DF" w:rsidP="00AC68DF">
      <w:pPr>
        <w:rPr>
          <w:rFonts w:ascii="Times New Roman" w:hAnsi="Times New Roman" w:cs="Times New Roman"/>
          <w:b/>
          <w:bCs/>
          <w:sz w:val="28"/>
          <w:szCs w:val="28"/>
        </w:rPr>
      </w:pPr>
      <w:commentRangeStart w:id="0"/>
      <w:commentRangeStart w:id="1"/>
      <w:r w:rsidRPr="003B0597">
        <w:rPr>
          <w:rFonts w:ascii="Times New Roman" w:hAnsi="Times New Roman" w:cs="Times New Roman"/>
          <w:b/>
          <w:bCs/>
          <w:sz w:val="28"/>
          <w:szCs w:val="28"/>
        </w:rPr>
        <w:t>ABSTRACT</w:t>
      </w:r>
      <w:commentRangeEnd w:id="0"/>
      <w:r w:rsidR="006D2EAC">
        <w:rPr>
          <w:rStyle w:val="CommentReference"/>
        </w:rPr>
        <w:commentReference w:id="0"/>
      </w:r>
      <w:commentRangeEnd w:id="1"/>
      <w:r w:rsidR="001630C5">
        <w:rPr>
          <w:rStyle w:val="CommentReference"/>
        </w:rPr>
        <w:commentReference w:id="1"/>
      </w:r>
    </w:p>
    <w:p w14:paraId="4F9B1F84" w14:textId="34FF4C7B" w:rsidR="00AC68DF" w:rsidRDefault="00AC68DF" w:rsidP="00DA691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color w:val="000000"/>
        </w:rPr>
      </w:pPr>
      <w:r w:rsidRPr="000F14B3">
        <w:rPr>
          <w:rFonts w:ascii="Times New Roman" w:hAnsi="Times New Roman" w:cs="Times New Roman"/>
        </w:rPr>
        <w:t xml:space="preserve">A </w:t>
      </w:r>
      <w:r w:rsidR="00AE03A6" w:rsidRPr="000F14B3">
        <w:rPr>
          <w:rFonts w:ascii="Times New Roman" w:hAnsi="Times New Roman" w:cs="Times New Roman"/>
        </w:rPr>
        <w:t>90-day</w:t>
      </w:r>
      <w:r w:rsidRPr="000F14B3">
        <w:rPr>
          <w:rFonts w:ascii="Times New Roman" w:hAnsi="Times New Roman" w:cs="Times New Roman"/>
        </w:rPr>
        <w:t xml:space="preserve"> </w:t>
      </w:r>
      <w:r w:rsidR="007334A4">
        <w:rPr>
          <w:rFonts w:ascii="Times New Roman" w:hAnsi="Times New Roman" w:cs="Times New Roman"/>
        </w:rPr>
        <w:t xml:space="preserve">feeding trail was carried out to evaluate </w:t>
      </w:r>
      <w:r w:rsidRPr="000F14B3">
        <w:rPr>
          <w:rFonts w:ascii="Times New Roman" w:hAnsi="Times New Roman" w:cs="Times New Roman"/>
        </w:rPr>
        <w:t xml:space="preserve">the effect of dietary phytoestrogen genistein on growth performance of </w:t>
      </w:r>
      <w:r w:rsidRPr="000F14B3">
        <w:rPr>
          <w:rFonts w:ascii="Times New Roman" w:hAnsi="Times New Roman" w:cs="Times New Roman"/>
          <w:i/>
          <w:iCs/>
          <w:color w:val="000000"/>
        </w:rPr>
        <w:t>Cyprinus carpio</w:t>
      </w:r>
      <w:r w:rsidRPr="000F14B3">
        <w:rPr>
          <w:rFonts w:ascii="Times New Roman" w:hAnsi="Times New Roman" w:cs="Times New Roman"/>
          <w:color w:val="000000"/>
        </w:rPr>
        <w:t xml:space="preserve"> var. </w:t>
      </w:r>
      <w:r w:rsidRPr="000F14B3">
        <w:rPr>
          <w:rFonts w:ascii="Times New Roman" w:hAnsi="Times New Roman" w:cs="Times New Roman"/>
          <w:i/>
          <w:iCs/>
          <w:color w:val="000000"/>
        </w:rPr>
        <w:t xml:space="preserve">communis. </w:t>
      </w:r>
      <w:r w:rsidR="007334A4" w:rsidRPr="007334A4">
        <w:rPr>
          <w:rFonts w:ascii="Times New Roman" w:hAnsi="Times New Roman" w:cs="Times New Roman"/>
          <w:color w:val="000000"/>
        </w:rPr>
        <w:t>The trail consisted of</w:t>
      </w:r>
      <w:r w:rsidR="007334A4">
        <w:rPr>
          <w:rFonts w:ascii="Times New Roman" w:hAnsi="Times New Roman" w:cs="Times New Roman"/>
          <w:i/>
          <w:iCs/>
          <w:color w:val="000000"/>
        </w:rPr>
        <w:t xml:space="preserve"> </w:t>
      </w:r>
      <w:r w:rsidR="007334A4">
        <w:rPr>
          <w:rFonts w:ascii="Times New Roman" w:hAnsi="Times New Roman" w:cs="Times New Roman"/>
          <w:color w:val="000000" w:themeColor="text1"/>
        </w:rPr>
        <w:t>t</w:t>
      </w:r>
      <w:r w:rsidRPr="000F14B3">
        <w:rPr>
          <w:rFonts w:ascii="Times New Roman" w:hAnsi="Times New Roman" w:cs="Times New Roman"/>
          <w:color w:val="000000" w:themeColor="text1"/>
        </w:rPr>
        <w:t>hree treatment groups</w:t>
      </w:r>
      <w:r w:rsidR="007334A4">
        <w:rPr>
          <w:rFonts w:ascii="Times New Roman" w:hAnsi="Times New Roman" w:cs="Times New Roman"/>
          <w:color w:val="000000" w:themeColor="text1"/>
        </w:rPr>
        <w:t xml:space="preserve"> (T1, T2, T3)</w:t>
      </w:r>
      <w:r w:rsidRPr="000F14B3">
        <w:rPr>
          <w:rFonts w:ascii="Times New Roman" w:hAnsi="Times New Roman" w:cs="Times New Roman"/>
          <w:color w:val="000000" w:themeColor="text1"/>
        </w:rPr>
        <w:t xml:space="preserve"> and control</w:t>
      </w:r>
      <w:r w:rsidR="007334A4">
        <w:rPr>
          <w:rFonts w:ascii="Times New Roman" w:hAnsi="Times New Roman" w:cs="Times New Roman"/>
          <w:color w:val="000000" w:themeColor="text1"/>
        </w:rPr>
        <w:t xml:space="preserve"> (C)</w:t>
      </w:r>
      <w:r w:rsidRPr="000F14B3">
        <w:rPr>
          <w:rFonts w:ascii="Times New Roman" w:hAnsi="Times New Roman" w:cs="Times New Roman"/>
          <w:color w:val="000000" w:themeColor="text1"/>
        </w:rPr>
        <w:t>, each group maintained in four replicates. Four experimental diets with 30% crude protein were formulated containing genistein @</w:t>
      </w:r>
      <w:r>
        <w:rPr>
          <w:rFonts w:ascii="Times New Roman" w:hAnsi="Times New Roman" w:cs="Times New Roman"/>
          <w:color w:val="000000" w:themeColor="text1"/>
        </w:rPr>
        <w:t xml:space="preserve"> 0</w:t>
      </w:r>
      <w:r w:rsidR="00BD48D2">
        <w:rPr>
          <w:rFonts w:ascii="Times New Roman" w:hAnsi="Times New Roman" w:cs="Times New Roman"/>
          <w:color w:val="000000" w:themeColor="text1"/>
        </w:rPr>
        <w:t>.0</w:t>
      </w:r>
      <w:r>
        <w:rPr>
          <w:rFonts w:ascii="Times New Roman" w:hAnsi="Times New Roman" w:cs="Times New Roman"/>
          <w:color w:val="000000" w:themeColor="text1"/>
        </w:rPr>
        <w:t>,</w:t>
      </w:r>
      <w:r w:rsidRPr="000F14B3">
        <w:rPr>
          <w:rFonts w:ascii="Times New Roman" w:hAnsi="Times New Roman" w:cs="Times New Roman"/>
          <w:color w:val="000000" w:themeColor="text1"/>
        </w:rPr>
        <w:t xml:space="preserve"> 0.4, 0.8 and 1.6 g/kg respectively in addition to the basal feed ing</w:t>
      </w:r>
      <w:r>
        <w:rPr>
          <w:rFonts w:ascii="Times New Roman" w:hAnsi="Times New Roman" w:cs="Times New Roman"/>
          <w:color w:val="000000" w:themeColor="text1"/>
        </w:rPr>
        <w:t>r</w:t>
      </w:r>
      <w:r w:rsidRPr="000F14B3">
        <w:rPr>
          <w:rFonts w:ascii="Times New Roman" w:hAnsi="Times New Roman" w:cs="Times New Roman"/>
          <w:color w:val="000000" w:themeColor="text1"/>
        </w:rPr>
        <w:t xml:space="preserve">edients. </w:t>
      </w:r>
      <w:r>
        <w:rPr>
          <w:rFonts w:ascii="Times New Roman" w:hAnsi="Times New Roman" w:cs="Times New Roman"/>
          <w:color w:val="000000" w:themeColor="text1"/>
        </w:rPr>
        <w:t xml:space="preserve">The study evaluated </w:t>
      </w:r>
      <w:r w:rsidR="00BD48D2">
        <w:rPr>
          <w:rFonts w:ascii="Times New Roman" w:hAnsi="Times New Roman" w:cs="Times New Roman"/>
          <w:color w:val="000000" w:themeColor="text1"/>
        </w:rPr>
        <w:t xml:space="preserve">different growth parameters specifically </w:t>
      </w:r>
      <w:r>
        <w:rPr>
          <w:rFonts w:ascii="Times New Roman" w:hAnsi="Times New Roman" w:cs="Times New Roman"/>
          <w:color w:val="000000" w:themeColor="text1"/>
        </w:rPr>
        <w:t>focusing on percentage weight gain, specific growth rate (SGR), feed conversion ratio (FCR), and protein efficiency ratio (PER). T</w:t>
      </w:r>
      <w:r w:rsidRPr="000F14B3">
        <w:rPr>
          <w:rFonts w:ascii="Times New Roman" w:hAnsi="Times New Roman" w:cs="Times New Roman"/>
          <w:color w:val="000000" w:themeColor="text1"/>
        </w:rPr>
        <w:t>he highest weight gain</w:t>
      </w:r>
      <w:r>
        <w:rPr>
          <w:rFonts w:ascii="Times New Roman" w:hAnsi="Times New Roman" w:cs="Times New Roman"/>
          <w:color w:val="000000" w:themeColor="text1"/>
        </w:rPr>
        <w:t xml:space="preserve"> (75.48 ± 0.22 %) and SGR (0.63 ± </w:t>
      </w:r>
      <w:commentRangeStart w:id="2"/>
      <w:r>
        <w:rPr>
          <w:rFonts w:ascii="Times New Roman" w:hAnsi="Times New Roman" w:cs="Times New Roman"/>
          <w:color w:val="000000" w:themeColor="text1"/>
        </w:rPr>
        <w:t>0.01</w:t>
      </w:r>
      <w:commentRangeEnd w:id="2"/>
      <w:r w:rsidR="006D2EAC">
        <w:rPr>
          <w:rStyle w:val="CommentReference"/>
        </w:rPr>
        <w:commentReference w:id="2"/>
      </w:r>
      <w:r>
        <w:rPr>
          <w:rFonts w:ascii="Times New Roman" w:hAnsi="Times New Roman" w:cs="Times New Roman"/>
          <w:color w:val="000000" w:themeColor="text1"/>
        </w:rPr>
        <w:t xml:space="preserve">) were observed in </w:t>
      </w:r>
      <w:r w:rsidR="00BD48D2">
        <w:rPr>
          <w:rFonts w:ascii="Times New Roman" w:hAnsi="Times New Roman" w:cs="Times New Roman"/>
          <w:color w:val="000000" w:themeColor="text1"/>
        </w:rPr>
        <w:t xml:space="preserve">treatment group </w:t>
      </w:r>
      <w:r>
        <w:rPr>
          <w:rFonts w:ascii="Times New Roman" w:hAnsi="Times New Roman" w:cs="Times New Roman"/>
          <w:color w:val="000000" w:themeColor="text1"/>
        </w:rPr>
        <w:t xml:space="preserve">T3 while the lowest weight gain (71.86 ± 2.30 %) and SGR (0.60 ± </w:t>
      </w:r>
      <w:commentRangeStart w:id="3"/>
      <w:r>
        <w:rPr>
          <w:rFonts w:ascii="Times New Roman" w:hAnsi="Times New Roman" w:cs="Times New Roman"/>
          <w:color w:val="000000" w:themeColor="text1"/>
        </w:rPr>
        <w:t>0.01</w:t>
      </w:r>
      <w:commentRangeEnd w:id="3"/>
      <w:r w:rsidR="006D2EAC">
        <w:rPr>
          <w:rStyle w:val="CommentReference"/>
        </w:rPr>
        <w:commentReference w:id="3"/>
      </w:r>
      <w:r>
        <w:rPr>
          <w:rFonts w:ascii="Times New Roman" w:hAnsi="Times New Roman" w:cs="Times New Roman"/>
          <w:color w:val="000000" w:themeColor="text1"/>
        </w:rPr>
        <w:t>) were recorded in</w:t>
      </w:r>
      <w:r w:rsidR="00BD48D2">
        <w:rPr>
          <w:rFonts w:ascii="Times New Roman" w:hAnsi="Times New Roman" w:cs="Times New Roman"/>
          <w:color w:val="000000" w:themeColor="text1"/>
        </w:rPr>
        <w:t xml:space="preserve"> treatment group</w:t>
      </w:r>
      <w:r>
        <w:rPr>
          <w:rFonts w:ascii="Times New Roman" w:hAnsi="Times New Roman" w:cs="Times New Roman"/>
          <w:color w:val="000000" w:themeColor="text1"/>
        </w:rPr>
        <w:t xml:space="preserve"> T1. </w:t>
      </w:r>
      <w:r w:rsidRPr="000F14B3">
        <w:rPr>
          <w:rFonts w:ascii="Times New Roman" w:hAnsi="Times New Roman" w:cs="Times New Roman"/>
          <w:color w:val="000000" w:themeColor="text1"/>
        </w:rPr>
        <w:t xml:space="preserve">Feed conversion ratio </w:t>
      </w:r>
      <w:r>
        <w:rPr>
          <w:rFonts w:ascii="Times New Roman" w:hAnsi="Times New Roman" w:cs="Times New Roman"/>
          <w:color w:val="000000" w:themeColor="text1"/>
        </w:rPr>
        <w:t>was</w:t>
      </w:r>
      <w:r w:rsidR="00BD48D2">
        <w:rPr>
          <w:rFonts w:ascii="Times New Roman" w:hAnsi="Times New Roman" w:cs="Times New Roman"/>
          <w:color w:val="000000" w:themeColor="text1"/>
        </w:rPr>
        <w:t xml:space="preserve"> observed to be</w:t>
      </w:r>
      <w:r>
        <w:rPr>
          <w:rFonts w:ascii="Times New Roman" w:hAnsi="Times New Roman" w:cs="Times New Roman"/>
          <w:color w:val="000000" w:themeColor="text1"/>
        </w:rPr>
        <w:t xml:space="preserve"> highest in control group (4.82 ± 0.12) and lowest in </w:t>
      </w:r>
      <w:r w:rsidR="00BD48D2">
        <w:rPr>
          <w:rFonts w:ascii="Times New Roman" w:hAnsi="Times New Roman" w:cs="Times New Roman"/>
          <w:color w:val="000000" w:themeColor="text1"/>
        </w:rPr>
        <w:t xml:space="preserve">treatment group </w:t>
      </w:r>
      <w:r>
        <w:rPr>
          <w:rFonts w:ascii="Times New Roman" w:hAnsi="Times New Roman" w:cs="Times New Roman"/>
          <w:color w:val="000000" w:themeColor="text1"/>
        </w:rPr>
        <w:t>T3</w:t>
      </w:r>
      <w:r w:rsidR="00BD48D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(4.50 ± </w:t>
      </w:r>
      <w:commentRangeStart w:id="4"/>
      <w:r>
        <w:rPr>
          <w:rFonts w:ascii="Times New Roman" w:hAnsi="Times New Roman" w:cs="Times New Roman"/>
          <w:color w:val="000000" w:themeColor="text1"/>
        </w:rPr>
        <w:t>0.09</w:t>
      </w:r>
      <w:commentRangeEnd w:id="4"/>
      <w:r w:rsidR="006D2EAC">
        <w:rPr>
          <w:rStyle w:val="CommentReference"/>
        </w:rPr>
        <w:commentReference w:id="4"/>
      </w:r>
      <w:r>
        <w:rPr>
          <w:rFonts w:ascii="Times New Roman" w:hAnsi="Times New Roman" w:cs="Times New Roman"/>
          <w:color w:val="000000" w:themeColor="text1"/>
        </w:rPr>
        <w:t xml:space="preserve">).  Protein efficiency ratio was slightly higher in T1 and T3 (0.07 ± </w:t>
      </w:r>
      <w:commentRangeStart w:id="5"/>
      <w:r>
        <w:rPr>
          <w:rFonts w:ascii="Times New Roman" w:hAnsi="Times New Roman" w:cs="Times New Roman"/>
          <w:color w:val="000000" w:themeColor="text1"/>
        </w:rPr>
        <w:t>0.002</w:t>
      </w:r>
      <w:commentRangeEnd w:id="5"/>
      <w:r w:rsidR="006D2EAC">
        <w:rPr>
          <w:rStyle w:val="CommentReference"/>
        </w:rPr>
        <w:commentReference w:id="5"/>
      </w:r>
      <w:r>
        <w:rPr>
          <w:rFonts w:ascii="Times New Roman" w:hAnsi="Times New Roman" w:cs="Times New Roman"/>
          <w:color w:val="000000" w:themeColor="text1"/>
        </w:rPr>
        <w:t xml:space="preserve">) compared to control and </w:t>
      </w:r>
      <w:r w:rsidR="00BD48D2">
        <w:rPr>
          <w:rFonts w:ascii="Times New Roman" w:hAnsi="Times New Roman" w:cs="Times New Roman"/>
          <w:color w:val="000000" w:themeColor="text1"/>
        </w:rPr>
        <w:t xml:space="preserve">treatment group </w:t>
      </w:r>
      <w:r>
        <w:rPr>
          <w:rFonts w:ascii="Times New Roman" w:hAnsi="Times New Roman" w:cs="Times New Roman"/>
          <w:color w:val="000000" w:themeColor="text1"/>
        </w:rPr>
        <w:t>T2 (0.06 ± 0.002). Across all parameters, no statistically significant differences</w:t>
      </w:r>
      <w:r w:rsidRPr="000F14B3">
        <w:rPr>
          <w:rFonts w:ascii="Times New Roman" w:hAnsi="Times New Roman" w:cs="Times New Roman"/>
          <w:color w:val="000000" w:themeColor="text1"/>
        </w:rPr>
        <w:t xml:space="preserve"> </w:t>
      </w:r>
      <w:r w:rsidRPr="00106DCA">
        <w:rPr>
          <w:rFonts w:ascii="Times New Roman" w:hAnsi="Times New Roman" w:cs="Times New Roman"/>
          <w:color w:val="000000"/>
        </w:rPr>
        <w:t>(p &gt; 0.05)</w:t>
      </w:r>
      <w:r>
        <w:rPr>
          <w:rFonts w:ascii="Times New Roman" w:hAnsi="Times New Roman" w:cs="Times New Roman"/>
          <w:color w:val="000000"/>
        </w:rPr>
        <w:t xml:space="preserve"> were observed among the treatment groups</w:t>
      </w:r>
      <w:r w:rsidR="00BD48D2">
        <w:rPr>
          <w:rFonts w:ascii="Times New Roman" w:hAnsi="Times New Roman" w:cs="Times New Roman"/>
          <w:color w:val="000000"/>
        </w:rPr>
        <w:t>. The study suggests that genistein’s influence may be more prominent in relation to reproductive endpoints rather than somatic growth.</w:t>
      </w:r>
    </w:p>
    <w:p w14:paraId="52680F7E" w14:textId="53BD46A5" w:rsidR="00AC68DF" w:rsidRPr="00DA691C" w:rsidRDefault="00AC68DF" w:rsidP="00AC68DF">
      <w:pPr>
        <w:rPr>
          <w:rFonts w:ascii="Times New Roman" w:hAnsi="Times New Roman" w:cs="Times New Roman"/>
          <w:i/>
          <w:iCs/>
          <w:color w:val="000000"/>
        </w:rPr>
      </w:pPr>
      <w:r w:rsidRPr="00DA691C">
        <w:rPr>
          <w:rFonts w:ascii="Times New Roman" w:hAnsi="Times New Roman" w:cs="Times New Roman"/>
          <w:i/>
          <w:iCs/>
          <w:color w:val="000000"/>
        </w:rPr>
        <w:t xml:space="preserve">Key words: </w:t>
      </w:r>
      <w:r w:rsidR="00AE03A6" w:rsidRPr="00DA691C">
        <w:rPr>
          <w:rFonts w:ascii="Times New Roman" w:hAnsi="Times New Roman" w:cs="Times New Roman"/>
          <w:i/>
          <w:iCs/>
          <w:color w:val="000000"/>
        </w:rPr>
        <w:t xml:space="preserve">Phytoestrogen, </w:t>
      </w:r>
      <w:r w:rsidRPr="00DA691C">
        <w:rPr>
          <w:rFonts w:ascii="Times New Roman" w:hAnsi="Times New Roman" w:cs="Times New Roman"/>
          <w:i/>
          <w:iCs/>
          <w:color w:val="000000"/>
        </w:rPr>
        <w:t>Genistein, Cyprinus carpio communis, growth parameters</w:t>
      </w:r>
    </w:p>
    <w:p w14:paraId="2DC9C6BB" w14:textId="77777777" w:rsidR="00AE03A6" w:rsidRDefault="00AE03A6" w:rsidP="00AC68DF">
      <w:pPr>
        <w:rPr>
          <w:rFonts w:ascii="Times New Roman" w:hAnsi="Times New Roman" w:cs="Times New Roman"/>
          <w:color w:val="000000"/>
        </w:rPr>
      </w:pPr>
    </w:p>
    <w:p w14:paraId="0B45D4CD" w14:textId="77777777" w:rsidR="00380CD6" w:rsidRDefault="00380CD6" w:rsidP="00AE03A6">
      <w:pPr>
        <w:pStyle w:val="ListParagraph"/>
        <w:numPr>
          <w:ilvl w:val="0"/>
          <w:numId w:val="1"/>
        </w:numPr>
        <w:ind w:left="284"/>
        <w:rPr>
          <w:rFonts w:ascii="Times New Roman" w:hAnsi="Times New Roman" w:cs="Times New Roman"/>
          <w:b/>
          <w:bCs/>
          <w:color w:val="000000"/>
          <w:sz w:val="28"/>
          <w:szCs w:val="28"/>
        </w:rPr>
        <w:sectPr w:rsidR="00380CD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45234257" w14:textId="684C43DE" w:rsidR="00AE03A6" w:rsidRPr="00AE03A6" w:rsidRDefault="00AE03A6" w:rsidP="00AE03A6">
      <w:pPr>
        <w:pStyle w:val="ListParagraph"/>
        <w:numPr>
          <w:ilvl w:val="0"/>
          <w:numId w:val="1"/>
        </w:numPr>
        <w:ind w:left="284"/>
        <w:rPr>
          <w:b/>
          <w:bCs/>
          <w:sz w:val="32"/>
          <w:szCs w:val="32"/>
        </w:rPr>
      </w:pPr>
      <w:r w:rsidRPr="00AE03A6">
        <w:rPr>
          <w:rFonts w:ascii="Times New Roman" w:hAnsi="Times New Roman" w:cs="Times New Roman"/>
          <w:b/>
          <w:bCs/>
          <w:color w:val="000000"/>
          <w:sz w:val="28"/>
          <w:szCs w:val="28"/>
        </w:rPr>
        <w:t>INTRODUCTION</w:t>
      </w:r>
    </w:p>
    <w:p w14:paraId="3FC00C17" w14:textId="77777777" w:rsidR="00AA2118" w:rsidRDefault="00AA2118" w:rsidP="00DF30D6">
      <w:pPr>
        <w:jc w:val="both"/>
        <w:rPr>
          <w:rFonts w:ascii="Times New Roman" w:hAnsi="Times New Roman" w:cs="Times New Roman"/>
        </w:rPr>
        <w:sectPr w:rsidR="00AA2118" w:rsidSect="00DD7884">
          <w:type w:val="continuous"/>
          <w:pgSz w:w="11906" w:h="16838"/>
          <w:pgMar w:top="1440" w:right="1440" w:bottom="1440" w:left="1440" w:header="708" w:footer="708" w:gutter="0"/>
          <w:cols w:num="2" w:space="708"/>
          <w:docGrid w:linePitch="360"/>
        </w:sectPr>
      </w:pPr>
    </w:p>
    <w:p w14:paraId="6B8056F7" w14:textId="77777777" w:rsidR="00BD127E" w:rsidRPr="00BD127E" w:rsidRDefault="00BD127E" w:rsidP="00BD127E">
      <w:pPr>
        <w:jc w:val="both"/>
        <w:rPr>
          <w:rFonts w:ascii="Times New Roman" w:hAnsi="Times New Roman" w:cs="Times New Roman"/>
        </w:rPr>
      </w:pPr>
      <w:r w:rsidRPr="00BD127E">
        <w:rPr>
          <w:rFonts w:ascii="Times New Roman" w:hAnsi="Times New Roman" w:cs="Times New Roman"/>
        </w:rPr>
        <w:t xml:space="preserve">Aquaculture has become the fastest-growing method to produce food in the world, and is growing by about 11 % each year since 2011 (FAO, 2018). Because of this, demand for fish meal is increasing, resulting in a supply deficit. Feed companies and scientists are looking for other sources of protein for fish feed. Plant-based ingredients are being used as alternatives to fishmeal (Tacon and Metian, 2008). But plant proteins usually lack some important amino acids, and have presence of antinutritional factors. Some of the important plant protein ingredients that being used as good replacements for </w:t>
      </w:r>
      <w:r w:rsidRPr="00BD127E">
        <w:rPr>
          <w:rFonts w:ascii="Times New Roman" w:hAnsi="Times New Roman" w:cs="Times New Roman"/>
        </w:rPr>
        <w:t xml:space="preserve">fishmeal include oilseeds like soybean, jatropha, cottonseed and canola, legumes like lupin and pea, cereal grains like corn and wheat, and protein concentrates from soy, canola and lupin (Kumar </w:t>
      </w:r>
      <w:r w:rsidRPr="00BD127E">
        <w:rPr>
          <w:rFonts w:ascii="Times New Roman" w:hAnsi="Times New Roman" w:cs="Times New Roman"/>
          <w:i/>
          <w:iCs/>
        </w:rPr>
        <w:t>et al.,</w:t>
      </w:r>
      <w:r w:rsidRPr="00BD127E">
        <w:rPr>
          <w:rFonts w:ascii="Times New Roman" w:hAnsi="Times New Roman" w:cs="Times New Roman"/>
        </w:rPr>
        <w:t xml:space="preserve"> 2012).</w:t>
      </w:r>
    </w:p>
    <w:p w14:paraId="7B2215A5" w14:textId="77777777" w:rsidR="00AD4716" w:rsidRPr="00AD4716" w:rsidRDefault="00AD4716" w:rsidP="00AD4716">
      <w:pPr>
        <w:spacing w:line="276" w:lineRule="auto"/>
        <w:jc w:val="both"/>
        <w:rPr>
          <w:rFonts w:ascii="Times New Roman" w:hAnsi="Times New Roman" w:cs="Times New Roman"/>
        </w:rPr>
      </w:pPr>
      <w:r w:rsidRPr="00AD4716">
        <w:rPr>
          <w:rFonts w:ascii="Times New Roman" w:hAnsi="Times New Roman" w:cs="Times New Roman"/>
        </w:rPr>
        <w:t xml:space="preserve">Over the last few years, interest in soybeans and soy-based products has increased owing to their nutritional and health benefits (Achouri </w:t>
      </w:r>
      <w:r w:rsidRPr="00AD4716">
        <w:rPr>
          <w:rFonts w:ascii="Times New Roman" w:hAnsi="Times New Roman" w:cs="Times New Roman"/>
          <w:i/>
          <w:iCs/>
        </w:rPr>
        <w:t xml:space="preserve">et al., </w:t>
      </w:r>
      <w:r w:rsidRPr="00AD4716">
        <w:rPr>
          <w:rFonts w:ascii="Times New Roman" w:hAnsi="Times New Roman" w:cs="Times New Roman"/>
        </w:rPr>
        <w:t xml:space="preserve">2005). Soybean meal has been a successful replacer of fishmeal in aqua feed industries because of its high protein content, balanced amino acid profile, and low cost (Zhang </w:t>
      </w:r>
      <w:r w:rsidRPr="00AD4716">
        <w:rPr>
          <w:rFonts w:ascii="Times New Roman" w:hAnsi="Times New Roman" w:cs="Times New Roman"/>
          <w:i/>
          <w:iCs/>
        </w:rPr>
        <w:t>et al.,</w:t>
      </w:r>
      <w:r w:rsidRPr="00AD4716">
        <w:rPr>
          <w:rFonts w:ascii="Times New Roman" w:hAnsi="Times New Roman" w:cs="Times New Roman"/>
        </w:rPr>
        <w:t xml:space="preserve"> 2016). But this protein quality of soyabean is compromised by the presence of several </w:t>
      </w:r>
      <w:r w:rsidRPr="00AD4716">
        <w:rPr>
          <w:rFonts w:ascii="Times New Roman" w:hAnsi="Times New Roman" w:cs="Times New Roman"/>
        </w:rPr>
        <w:lastRenderedPageBreak/>
        <w:t xml:space="preserve">anti-nutritional factors (ANF). One such anti-nutritional factor found in soyabean is the isoflavonoid class, which includes isoflavones and isoflavans, and is the largest group of phytoestrogens (Korach </w:t>
      </w:r>
      <w:r w:rsidRPr="00AD4716">
        <w:rPr>
          <w:rFonts w:ascii="Times New Roman" w:hAnsi="Times New Roman" w:cs="Times New Roman"/>
          <w:i/>
          <w:iCs/>
        </w:rPr>
        <w:t>et al.,</w:t>
      </w:r>
      <w:r w:rsidRPr="00AD4716">
        <w:rPr>
          <w:rFonts w:ascii="Times New Roman" w:hAnsi="Times New Roman" w:cs="Times New Roman"/>
        </w:rPr>
        <w:t xml:space="preserve"> 1997). The simplest isoflavonoid, Genistein, serves as a key intermediate in the synthesis of more complex isoflavonoids (Dixon and Ferreira, 2002). Genistein has a structure similar to that of 17-β estradiol which enables it to bind to estrogen receptors in animals and thus exerts estrogen like biological effects (Messina </w:t>
      </w:r>
      <w:r w:rsidRPr="00AD4716">
        <w:rPr>
          <w:rFonts w:ascii="Times New Roman" w:hAnsi="Times New Roman" w:cs="Times New Roman"/>
          <w:i/>
        </w:rPr>
        <w:t>et al.,</w:t>
      </w:r>
      <w:r w:rsidRPr="00AD4716">
        <w:rPr>
          <w:rFonts w:ascii="Times New Roman" w:hAnsi="Times New Roman" w:cs="Times New Roman"/>
        </w:rPr>
        <w:t xml:space="preserve"> 1994; Makarevich </w:t>
      </w:r>
      <w:r w:rsidRPr="00AD4716">
        <w:rPr>
          <w:rFonts w:ascii="Times New Roman" w:hAnsi="Times New Roman" w:cs="Times New Roman"/>
          <w:i/>
        </w:rPr>
        <w:t>et al.,</w:t>
      </w:r>
      <w:r w:rsidRPr="00AD4716">
        <w:rPr>
          <w:rFonts w:ascii="Times New Roman" w:hAnsi="Times New Roman" w:cs="Times New Roman"/>
        </w:rPr>
        <w:t xml:space="preserve"> 1997; Hopert </w:t>
      </w:r>
      <w:r w:rsidRPr="00AD4716">
        <w:rPr>
          <w:rFonts w:ascii="Times New Roman" w:hAnsi="Times New Roman" w:cs="Times New Roman"/>
          <w:i/>
        </w:rPr>
        <w:t>et al.,</w:t>
      </w:r>
      <w:r w:rsidRPr="00AD4716">
        <w:rPr>
          <w:rFonts w:ascii="Times New Roman" w:hAnsi="Times New Roman" w:cs="Times New Roman"/>
        </w:rPr>
        <w:t xml:space="preserve"> 1998). This binding influences the affinity of the estrogen receptor complex for various estrogen response elements (EREs) (Nikov </w:t>
      </w:r>
      <w:r w:rsidRPr="00AD4716">
        <w:rPr>
          <w:rFonts w:ascii="Times New Roman" w:hAnsi="Times New Roman" w:cs="Times New Roman"/>
          <w:i/>
        </w:rPr>
        <w:t>et al.,</w:t>
      </w:r>
      <w:r w:rsidRPr="00AD4716">
        <w:rPr>
          <w:rFonts w:ascii="Times New Roman" w:hAnsi="Times New Roman" w:cs="Times New Roman"/>
        </w:rPr>
        <w:t xml:space="preserve"> 2000).</w:t>
      </w:r>
    </w:p>
    <w:p w14:paraId="6DD1B419" w14:textId="77777777" w:rsidR="00010CF7" w:rsidRPr="00010CF7" w:rsidRDefault="00010CF7" w:rsidP="00010CF7">
      <w:pPr>
        <w:spacing w:after="360" w:line="276" w:lineRule="auto"/>
        <w:jc w:val="both"/>
        <w:rPr>
          <w:rFonts w:ascii="Times New Roman" w:hAnsi="Times New Roman" w:cs="Times New Roman"/>
        </w:rPr>
      </w:pPr>
      <w:commentRangeStart w:id="6"/>
      <w:r w:rsidRPr="00010CF7">
        <w:rPr>
          <w:rFonts w:ascii="Times New Roman" w:hAnsi="Times New Roman" w:cs="Times New Roman"/>
        </w:rPr>
        <w:t xml:space="preserve">Research studies on the effects of phytoestrogen genistein on fish growth have shown inconsistent findings. While </w:t>
      </w:r>
      <w:commentRangeEnd w:id="6"/>
      <w:r w:rsidR="001630C5">
        <w:rPr>
          <w:rStyle w:val="CommentReference"/>
        </w:rPr>
        <w:commentReference w:id="6"/>
      </w:r>
      <w:r w:rsidRPr="00010CF7">
        <w:rPr>
          <w:rFonts w:ascii="Times New Roman" w:hAnsi="Times New Roman" w:cs="Times New Roman"/>
        </w:rPr>
        <w:t xml:space="preserve">many studies have reported neutral effects on fish growth, others have observed dose-dependent suppression in growth at high dietary genistein levels in some species such as, southern flounder at 1000 mg/kg (DiMaggio </w:t>
      </w:r>
      <w:r w:rsidRPr="00010CF7">
        <w:rPr>
          <w:rFonts w:ascii="Times New Roman" w:hAnsi="Times New Roman" w:cs="Times New Roman"/>
          <w:i/>
          <w:iCs/>
        </w:rPr>
        <w:t>et al.,</w:t>
      </w:r>
      <w:r w:rsidRPr="00010CF7">
        <w:rPr>
          <w:rFonts w:ascii="Times New Roman" w:hAnsi="Times New Roman" w:cs="Times New Roman"/>
        </w:rPr>
        <w:t xml:space="preserve"> 2016), yellow perch at 7.5 g/kg (And </w:t>
      </w:r>
      <w:r w:rsidRPr="00010CF7">
        <w:rPr>
          <w:rFonts w:ascii="Times New Roman" w:hAnsi="Times New Roman" w:cs="Times New Roman"/>
          <w:i/>
          <w:iCs/>
        </w:rPr>
        <w:t>et al.,</w:t>
      </w:r>
      <w:r w:rsidRPr="00010CF7">
        <w:rPr>
          <w:rFonts w:ascii="Times New Roman" w:hAnsi="Times New Roman" w:cs="Times New Roman"/>
        </w:rPr>
        <w:t xml:space="preserve"> 1999) and Nile tilapia at 3000 µg/g (Chen </w:t>
      </w:r>
      <w:r w:rsidRPr="00010CF7">
        <w:rPr>
          <w:rFonts w:ascii="Times New Roman" w:hAnsi="Times New Roman" w:cs="Times New Roman"/>
          <w:i/>
          <w:iCs/>
        </w:rPr>
        <w:t>et al.,</w:t>
      </w:r>
      <w:r w:rsidRPr="00010CF7">
        <w:rPr>
          <w:rFonts w:ascii="Times New Roman" w:hAnsi="Times New Roman" w:cs="Times New Roman"/>
        </w:rPr>
        <w:t xml:space="preserve"> 2015). These results imply that exceeding the toxicological threshold may impair growth performance, likely through reduced feed consumption or inhibited enzyme function. Contrary to this, studies have also reported improvements in weight gain and SGR at genistein concentrations of 100–500 mg/kg in common carp (Yang </w:t>
      </w:r>
      <w:r w:rsidRPr="00010CF7">
        <w:rPr>
          <w:rFonts w:ascii="Times New Roman" w:hAnsi="Times New Roman" w:cs="Times New Roman"/>
          <w:i/>
          <w:iCs/>
        </w:rPr>
        <w:t>et al.,</w:t>
      </w:r>
      <w:r w:rsidRPr="00010CF7">
        <w:rPr>
          <w:rFonts w:ascii="Times New Roman" w:hAnsi="Times New Roman" w:cs="Times New Roman"/>
        </w:rPr>
        <w:t xml:space="preserve"> 2002). Overall, the impact of genistein on fish growth is highly dependent on species, developmental stage, dosage, and rearing conditions, highlighting the necessity of considering these factors when assessing its effects. </w:t>
      </w:r>
    </w:p>
    <w:p w14:paraId="5F86F02D" w14:textId="77777777" w:rsidR="00010CF7" w:rsidRDefault="00010CF7" w:rsidP="00BD48D2">
      <w:pPr>
        <w:ind w:left="-76"/>
        <w:rPr>
          <w:rFonts w:ascii="Times New Roman" w:hAnsi="Times New Roman" w:cs="Times New Roman"/>
          <w:b/>
          <w:bCs/>
          <w:sz w:val="28"/>
          <w:szCs w:val="28"/>
        </w:rPr>
        <w:sectPr w:rsidR="00010CF7" w:rsidSect="00DD7884">
          <w:type w:val="continuous"/>
          <w:pgSz w:w="11906" w:h="16838"/>
          <w:pgMar w:top="1440" w:right="1440" w:bottom="1440" w:left="1440" w:header="708" w:footer="708" w:gutter="0"/>
          <w:cols w:num="2" w:space="708"/>
          <w:docGrid w:linePitch="360"/>
        </w:sectPr>
      </w:pPr>
    </w:p>
    <w:p w14:paraId="29C105B9" w14:textId="28A02DD8" w:rsidR="00AC68DF" w:rsidRPr="00010CF7" w:rsidRDefault="00AE03A6" w:rsidP="00010CF7">
      <w:pPr>
        <w:pStyle w:val="ListParagraph"/>
        <w:numPr>
          <w:ilvl w:val="0"/>
          <w:numId w:val="1"/>
        </w:numPr>
        <w:ind w:left="284" w:hanging="426"/>
        <w:rPr>
          <w:rFonts w:ascii="Times New Roman" w:hAnsi="Times New Roman" w:cs="Times New Roman"/>
          <w:b/>
          <w:bCs/>
          <w:sz w:val="28"/>
          <w:szCs w:val="28"/>
        </w:rPr>
      </w:pPr>
      <w:r w:rsidRPr="00010CF7">
        <w:rPr>
          <w:rFonts w:ascii="Times New Roman" w:hAnsi="Times New Roman" w:cs="Times New Roman"/>
          <w:b/>
          <w:bCs/>
          <w:sz w:val="28"/>
          <w:szCs w:val="28"/>
        </w:rPr>
        <w:t>METHODOLOGY</w:t>
      </w:r>
    </w:p>
    <w:p w14:paraId="5548E153" w14:textId="77777777" w:rsidR="00AA2118" w:rsidRDefault="00AA2118" w:rsidP="000F6CCB">
      <w:pPr>
        <w:ind w:left="-76"/>
        <w:jc w:val="both"/>
        <w:rPr>
          <w:rFonts w:ascii="Times New Roman" w:hAnsi="Times New Roman" w:cs="Times New Roman"/>
        </w:rPr>
        <w:sectPr w:rsidR="00AA2118" w:rsidSect="00DD7884">
          <w:type w:val="continuous"/>
          <w:pgSz w:w="11906" w:h="16838"/>
          <w:pgMar w:top="1440" w:right="1440" w:bottom="1440" w:left="1440" w:header="708" w:footer="708" w:gutter="0"/>
          <w:cols w:num="2" w:space="708"/>
          <w:docGrid w:linePitch="360"/>
        </w:sectPr>
      </w:pPr>
    </w:p>
    <w:p w14:paraId="1B452591" w14:textId="6CFEA49A" w:rsidR="000F6CCB" w:rsidRPr="00380CD6" w:rsidRDefault="00DA691C" w:rsidP="000F6CCB">
      <w:pPr>
        <w:ind w:left="-76"/>
        <w:jc w:val="both"/>
        <w:rPr>
          <w:rFonts w:ascii="Times New Roman" w:hAnsi="Times New Roman" w:cs="Times New Roman"/>
          <w:b/>
          <w:bCs/>
        </w:rPr>
      </w:pPr>
      <w:r w:rsidRPr="00380CD6">
        <w:rPr>
          <w:rFonts w:ascii="Times New Roman" w:hAnsi="Times New Roman" w:cs="Times New Roman"/>
          <w:b/>
          <w:bCs/>
        </w:rPr>
        <w:t xml:space="preserve">2.1 </w:t>
      </w:r>
      <w:r w:rsidR="000F6CCB" w:rsidRPr="00380CD6">
        <w:rPr>
          <w:rFonts w:ascii="Times New Roman" w:hAnsi="Times New Roman" w:cs="Times New Roman"/>
          <w:b/>
          <w:bCs/>
        </w:rPr>
        <w:t>Experimental design and rearing conditions</w:t>
      </w:r>
    </w:p>
    <w:p w14:paraId="2324D11C" w14:textId="5A104B12" w:rsidR="000F6CCB" w:rsidRDefault="00CD56FD" w:rsidP="000F6CCB">
      <w:pPr>
        <w:ind w:left="-76"/>
        <w:jc w:val="both"/>
        <w:rPr>
          <w:rFonts w:ascii="Times New Roman" w:hAnsi="Times New Roman" w:cs="Times New Roman"/>
        </w:rPr>
      </w:pPr>
      <w:r>
        <w:rPr>
          <w:rFonts w:ascii="Times New Roman" w:hAnsi="Times New Roman" w:cs="Times New Roman"/>
        </w:rPr>
        <w:t xml:space="preserve">A total of 192 common carp fishes </w:t>
      </w:r>
      <w:r w:rsidR="000F6CCB" w:rsidRPr="000F6CCB">
        <w:rPr>
          <w:rFonts w:ascii="Times New Roman" w:hAnsi="Times New Roman" w:cs="Times New Roman"/>
        </w:rPr>
        <w:t>(</w:t>
      </w:r>
      <w:r w:rsidR="000F6CCB" w:rsidRPr="000F6CCB">
        <w:rPr>
          <w:rFonts w:ascii="Times New Roman" w:hAnsi="Times New Roman" w:cs="Times New Roman"/>
          <w:i/>
          <w:iCs/>
        </w:rPr>
        <w:t xml:space="preserve">Cyprinus carpio </w:t>
      </w:r>
      <w:r w:rsidR="000F6CCB" w:rsidRPr="00CD56FD">
        <w:rPr>
          <w:rFonts w:ascii="Times New Roman" w:hAnsi="Times New Roman" w:cs="Times New Roman"/>
        </w:rPr>
        <w:t>var.</w:t>
      </w:r>
      <w:r w:rsidR="000F6CCB" w:rsidRPr="000F6CCB">
        <w:rPr>
          <w:rFonts w:ascii="Times New Roman" w:hAnsi="Times New Roman" w:cs="Times New Roman"/>
          <w:i/>
          <w:iCs/>
        </w:rPr>
        <w:t xml:space="preserve"> communis</w:t>
      </w:r>
      <w:r>
        <w:rPr>
          <w:rFonts w:ascii="Times New Roman" w:hAnsi="Times New Roman" w:cs="Times New Roman"/>
        </w:rPr>
        <w:t>)</w:t>
      </w:r>
      <w:r w:rsidR="000F6CCB" w:rsidRPr="000F6CCB">
        <w:rPr>
          <w:rFonts w:ascii="Times New Roman" w:hAnsi="Times New Roman" w:cs="Times New Roman"/>
        </w:rPr>
        <w:t xml:space="preserve"> </w:t>
      </w:r>
      <w:r>
        <w:rPr>
          <w:rFonts w:ascii="Times New Roman" w:hAnsi="Times New Roman" w:cs="Times New Roman"/>
        </w:rPr>
        <w:t xml:space="preserve">with an initial mean body weight of </w:t>
      </w:r>
      <w:r w:rsidR="000F6CCB" w:rsidRPr="000F6CCB">
        <w:rPr>
          <w:rFonts w:ascii="Times New Roman" w:hAnsi="Times New Roman" w:cs="Times New Roman"/>
        </w:rPr>
        <w:t>55 ± 3 g</w:t>
      </w:r>
      <w:r>
        <w:rPr>
          <w:rFonts w:ascii="Times New Roman" w:hAnsi="Times New Roman" w:cs="Times New Roman"/>
        </w:rPr>
        <w:t xml:space="preserve"> </w:t>
      </w:r>
      <w:r w:rsidR="000F6CCB" w:rsidRPr="000F6CCB">
        <w:rPr>
          <w:rFonts w:ascii="Times New Roman" w:hAnsi="Times New Roman" w:cs="Times New Roman"/>
        </w:rPr>
        <w:t>were procured from the National Fish Seed Farm, Manasbal, Ganderdal</w:t>
      </w:r>
      <w:r w:rsidR="00380CD6">
        <w:rPr>
          <w:rFonts w:ascii="Times New Roman" w:hAnsi="Times New Roman" w:cs="Times New Roman"/>
        </w:rPr>
        <w:t xml:space="preserve">. </w:t>
      </w:r>
      <w:r>
        <w:rPr>
          <w:rFonts w:ascii="Times New Roman" w:hAnsi="Times New Roman" w:cs="Times New Roman"/>
        </w:rPr>
        <w:t xml:space="preserve">Upon arrival at the </w:t>
      </w:r>
      <w:r w:rsidR="000F6CCB" w:rsidRPr="000F6CCB">
        <w:rPr>
          <w:rFonts w:ascii="Times New Roman" w:hAnsi="Times New Roman" w:cs="Times New Roman"/>
        </w:rPr>
        <w:t xml:space="preserve">Fisheries Instructional Farm, Shuhama Alusteng, </w:t>
      </w:r>
      <w:r>
        <w:rPr>
          <w:rFonts w:ascii="Times New Roman" w:hAnsi="Times New Roman" w:cs="Times New Roman"/>
        </w:rPr>
        <w:t>the fishes were subjected to prophylactic disinfection treatment with sequential dip treatment in</w:t>
      </w:r>
      <w:r w:rsidR="00290EF4">
        <w:rPr>
          <w:rFonts w:ascii="Times New Roman" w:hAnsi="Times New Roman" w:cs="Times New Roman"/>
        </w:rPr>
        <w:t xml:space="preserve"> </w:t>
      </w:r>
      <w:r w:rsidR="000F6CCB" w:rsidRPr="000F6CCB">
        <w:rPr>
          <w:rFonts w:ascii="Times New Roman" w:hAnsi="Times New Roman" w:cs="Times New Roman"/>
        </w:rPr>
        <w:t>2 ppm KMnO₄</w:t>
      </w:r>
      <w:r>
        <w:rPr>
          <w:rFonts w:ascii="Times New Roman" w:hAnsi="Times New Roman" w:cs="Times New Roman"/>
        </w:rPr>
        <w:t xml:space="preserve"> </w:t>
      </w:r>
      <w:r w:rsidR="00380CD6">
        <w:rPr>
          <w:rFonts w:ascii="Times New Roman" w:hAnsi="Times New Roman" w:cs="Times New Roman"/>
        </w:rPr>
        <w:t xml:space="preserve">solution </w:t>
      </w:r>
      <w:r w:rsidR="00380CD6" w:rsidRPr="000F6CCB">
        <w:rPr>
          <w:rFonts w:ascii="Times New Roman" w:hAnsi="Times New Roman" w:cs="Times New Roman"/>
        </w:rPr>
        <w:t>followed</w:t>
      </w:r>
      <w:r w:rsidR="000F6CCB" w:rsidRPr="000F6CCB">
        <w:rPr>
          <w:rFonts w:ascii="Times New Roman" w:hAnsi="Times New Roman" w:cs="Times New Roman"/>
        </w:rPr>
        <w:t xml:space="preserve"> by a mild sa</w:t>
      </w:r>
      <w:r>
        <w:rPr>
          <w:rFonts w:ascii="Times New Roman" w:hAnsi="Times New Roman" w:cs="Times New Roman"/>
        </w:rPr>
        <w:t>line solution</w:t>
      </w:r>
      <w:r w:rsidR="000F6CCB" w:rsidRPr="000F6CCB">
        <w:rPr>
          <w:rFonts w:ascii="Times New Roman" w:hAnsi="Times New Roman" w:cs="Times New Roman"/>
        </w:rPr>
        <w:t>.</w:t>
      </w:r>
      <w:r w:rsidR="00290EF4">
        <w:rPr>
          <w:rFonts w:ascii="Times New Roman" w:hAnsi="Times New Roman" w:cs="Times New Roman"/>
        </w:rPr>
        <w:t xml:space="preserve"> The 90-day feeding trial was conducted following a completely randomised design </w:t>
      </w:r>
      <w:r w:rsidR="00290EF4" w:rsidRPr="000F6CCB">
        <w:rPr>
          <w:rFonts w:ascii="Times New Roman" w:hAnsi="Times New Roman" w:cs="Times New Roman"/>
        </w:rPr>
        <w:t xml:space="preserve">with one control and three treatment groups, </w:t>
      </w:r>
      <w:r w:rsidR="00290EF4">
        <w:rPr>
          <w:rFonts w:ascii="Times New Roman" w:hAnsi="Times New Roman" w:cs="Times New Roman"/>
        </w:rPr>
        <w:t xml:space="preserve">maintained </w:t>
      </w:r>
      <w:r w:rsidR="00290EF4" w:rsidRPr="000F6CCB">
        <w:rPr>
          <w:rFonts w:ascii="Times New Roman" w:hAnsi="Times New Roman" w:cs="Times New Roman"/>
        </w:rPr>
        <w:t>in four replicates</w:t>
      </w:r>
      <w:r w:rsidR="00380CD6">
        <w:rPr>
          <w:rFonts w:ascii="Times New Roman" w:hAnsi="Times New Roman" w:cs="Times New Roman"/>
        </w:rPr>
        <w:t xml:space="preserve">. </w:t>
      </w:r>
      <w:r w:rsidR="00290EF4">
        <w:rPr>
          <w:rFonts w:ascii="Times New Roman" w:hAnsi="Times New Roman" w:cs="Times New Roman"/>
        </w:rPr>
        <w:t xml:space="preserve">The fishes were </w:t>
      </w:r>
      <w:r w:rsidR="000F6CCB" w:rsidRPr="000F6CCB">
        <w:rPr>
          <w:rFonts w:ascii="Times New Roman" w:hAnsi="Times New Roman" w:cs="Times New Roman"/>
        </w:rPr>
        <w:t xml:space="preserve">randomly distributed into 16 circular tubs (80 L capacity) with 12 fish per tub and </w:t>
      </w:r>
      <w:r w:rsidR="000F6CCB" w:rsidRPr="000F6CCB">
        <w:rPr>
          <w:rFonts w:ascii="Times New Roman" w:hAnsi="Times New Roman" w:cs="Times New Roman"/>
        </w:rPr>
        <w:t xml:space="preserve">acclimatized for 15 days on a basal diet containing 30% crude protein. </w:t>
      </w:r>
      <w:r w:rsidR="00290EF4">
        <w:rPr>
          <w:rFonts w:ascii="Times New Roman" w:hAnsi="Times New Roman" w:cs="Times New Roman"/>
        </w:rPr>
        <w:t xml:space="preserve">To prevent the fishes from escaping, each tub was covered with protective net. Continuous </w:t>
      </w:r>
      <w:r w:rsidR="000F6CCB" w:rsidRPr="000F6CCB">
        <w:rPr>
          <w:rFonts w:ascii="Times New Roman" w:hAnsi="Times New Roman" w:cs="Times New Roman"/>
        </w:rPr>
        <w:t xml:space="preserve">aeration was maintained, </w:t>
      </w:r>
      <w:r w:rsidR="00290EF4">
        <w:rPr>
          <w:rFonts w:ascii="Times New Roman" w:hAnsi="Times New Roman" w:cs="Times New Roman"/>
        </w:rPr>
        <w:t xml:space="preserve">cleaning and siphoning of </w:t>
      </w:r>
      <w:r w:rsidR="000F6CCB" w:rsidRPr="000F6CCB">
        <w:rPr>
          <w:rFonts w:ascii="Times New Roman" w:hAnsi="Times New Roman" w:cs="Times New Roman"/>
        </w:rPr>
        <w:t>t</w:t>
      </w:r>
      <w:r w:rsidR="00290EF4">
        <w:rPr>
          <w:rFonts w:ascii="Times New Roman" w:hAnsi="Times New Roman" w:cs="Times New Roman"/>
        </w:rPr>
        <w:t>ubs</w:t>
      </w:r>
      <w:r w:rsidR="000F6CCB" w:rsidRPr="000F6CCB">
        <w:rPr>
          <w:rFonts w:ascii="Times New Roman" w:hAnsi="Times New Roman" w:cs="Times New Roman"/>
        </w:rPr>
        <w:t xml:space="preserve"> </w:t>
      </w:r>
      <w:r w:rsidR="00290EF4">
        <w:rPr>
          <w:rFonts w:ascii="Times New Roman" w:hAnsi="Times New Roman" w:cs="Times New Roman"/>
        </w:rPr>
        <w:t xml:space="preserve">was </w:t>
      </w:r>
      <w:r w:rsidR="00380CD6">
        <w:rPr>
          <w:rFonts w:ascii="Times New Roman" w:hAnsi="Times New Roman" w:cs="Times New Roman"/>
        </w:rPr>
        <w:t>done regularly</w:t>
      </w:r>
      <w:r w:rsidR="00290EF4">
        <w:rPr>
          <w:rFonts w:ascii="Times New Roman" w:hAnsi="Times New Roman" w:cs="Times New Roman"/>
        </w:rPr>
        <w:t xml:space="preserve">. </w:t>
      </w:r>
      <w:r w:rsidR="00380CD6">
        <w:rPr>
          <w:rFonts w:ascii="Times New Roman" w:hAnsi="Times New Roman" w:cs="Times New Roman"/>
        </w:rPr>
        <w:t xml:space="preserve">To maintain optimal water quality, approximately 50% of the water in each tub was exchanged </w:t>
      </w:r>
      <w:r w:rsidR="000F6CCB" w:rsidRPr="000F6CCB">
        <w:rPr>
          <w:rFonts w:ascii="Times New Roman" w:hAnsi="Times New Roman" w:cs="Times New Roman"/>
        </w:rPr>
        <w:t xml:space="preserve">every two days. </w:t>
      </w:r>
    </w:p>
    <w:p w14:paraId="483794ED" w14:textId="24DB69EF" w:rsidR="000F6CCB" w:rsidRPr="00C16A17" w:rsidRDefault="000F6CCB" w:rsidP="00C16A17">
      <w:pPr>
        <w:pStyle w:val="ListParagraph"/>
        <w:numPr>
          <w:ilvl w:val="1"/>
          <w:numId w:val="6"/>
        </w:numPr>
        <w:jc w:val="both"/>
        <w:rPr>
          <w:rFonts w:ascii="Times New Roman" w:hAnsi="Times New Roman" w:cs="Times New Roman"/>
          <w:b/>
          <w:bCs/>
        </w:rPr>
      </w:pPr>
      <w:r w:rsidRPr="00C16A17">
        <w:rPr>
          <w:rFonts w:ascii="Times New Roman" w:hAnsi="Times New Roman" w:cs="Times New Roman"/>
          <w:b/>
          <w:bCs/>
        </w:rPr>
        <w:t>Formulation of diets</w:t>
      </w:r>
    </w:p>
    <w:p w14:paraId="6594D5DF" w14:textId="00811EC0" w:rsidR="00AD4B0D" w:rsidRDefault="00380CD6" w:rsidP="00ED7650">
      <w:pPr>
        <w:jc w:val="both"/>
        <w:rPr>
          <w:rFonts w:ascii="Times New Roman" w:hAnsi="Times New Roman" w:cs="Times New Roman"/>
          <w:color w:val="000000" w:themeColor="text1"/>
        </w:rPr>
      </w:pPr>
      <w:r>
        <w:rPr>
          <w:rFonts w:ascii="Times New Roman" w:hAnsi="Times New Roman" w:cs="Times New Roman"/>
        </w:rPr>
        <w:t xml:space="preserve">Formulation of diet was carried out at </w:t>
      </w:r>
      <w:r w:rsidRPr="000F6CCB">
        <w:rPr>
          <w:rFonts w:ascii="Times New Roman" w:hAnsi="Times New Roman" w:cs="Times New Roman"/>
        </w:rPr>
        <w:t>the Fish Nutrition and Biochemistry Laboratory, Faculty of Fisheries,</w:t>
      </w:r>
      <w:r w:rsidR="000F6CCB" w:rsidRPr="000F6CCB">
        <w:rPr>
          <w:rFonts w:ascii="Times New Roman" w:hAnsi="Times New Roman" w:cs="Times New Roman"/>
        </w:rPr>
        <w:t xml:space="preserve"> using Pearson’s Square Method. The basal ingredients </w:t>
      </w:r>
      <w:r>
        <w:rPr>
          <w:rFonts w:ascii="Times New Roman" w:hAnsi="Times New Roman" w:cs="Times New Roman"/>
        </w:rPr>
        <w:t xml:space="preserve">including </w:t>
      </w:r>
      <w:r w:rsidR="000F6CCB" w:rsidRPr="000F6CCB">
        <w:rPr>
          <w:rFonts w:ascii="Times New Roman" w:hAnsi="Times New Roman" w:cs="Times New Roman"/>
        </w:rPr>
        <w:t>fish meal, mustard oil cake, rice bran, wheat bran, vegetable oil, and vitamin-mineral mix</w:t>
      </w:r>
      <w:r>
        <w:rPr>
          <w:rFonts w:ascii="Times New Roman" w:hAnsi="Times New Roman" w:cs="Times New Roman"/>
        </w:rPr>
        <w:t xml:space="preserve"> </w:t>
      </w:r>
      <w:r w:rsidR="000F6CCB" w:rsidRPr="000F6CCB">
        <w:rPr>
          <w:rFonts w:ascii="Times New Roman" w:hAnsi="Times New Roman" w:cs="Times New Roman"/>
        </w:rPr>
        <w:t>were s</w:t>
      </w:r>
      <w:r>
        <w:rPr>
          <w:rFonts w:ascii="Times New Roman" w:hAnsi="Times New Roman" w:cs="Times New Roman"/>
        </w:rPr>
        <w:t xml:space="preserve">procured from the local market, </w:t>
      </w:r>
      <w:r w:rsidR="000F6CCB" w:rsidRPr="000F6CCB">
        <w:rPr>
          <w:rFonts w:ascii="Times New Roman" w:hAnsi="Times New Roman" w:cs="Times New Roman"/>
        </w:rPr>
        <w:t xml:space="preserve">while genistein was </w:t>
      </w:r>
      <w:r w:rsidR="000F6CCB" w:rsidRPr="000F6CCB">
        <w:rPr>
          <w:rFonts w:ascii="Times New Roman" w:hAnsi="Times New Roman" w:cs="Times New Roman"/>
        </w:rPr>
        <w:lastRenderedPageBreak/>
        <w:t>obtained from Aritech Chemazone Pvt. Ltd., Haryana. All diets were isonitrogenous (30% protein) and isocaloric; the control diet (C) contained no genistein</w:t>
      </w:r>
      <w:r w:rsidR="00C16A17">
        <w:rPr>
          <w:rFonts w:ascii="Times New Roman" w:hAnsi="Times New Roman" w:cs="Times New Roman"/>
        </w:rPr>
        <w:t xml:space="preserve"> (0.0 g/kg genistein)</w:t>
      </w:r>
      <w:r w:rsidR="000F6CCB" w:rsidRPr="000F6CCB">
        <w:rPr>
          <w:rFonts w:ascii="Times New Roman" w:hAnsi="Times New Roman" w:cs="Times New Roman"/>
        </w:rPr>
        <w:t xml:space="preserve">, whereas treatment diets T1, T2, and T3 contained 0.4, 0.8, and 1.6 g/kg genistein, respectively. </w:t>
      </w:r>
      <w:r w:rsidR="00C16A17">
        <w:rPr>
          <w:rFonts w:ascii="Times New Roman" w:hAnsi="Times New Roman" w:cs="Times New Roman"/>
        </w:rPr>
        <w:t xml:space="preserve"> Dry i</w:t>
      </w:r>
      <w:r w:rsidR="00C16A17" w:rsidRPr="00C16A17">
        <w:rPr>
          <w:rFonts w:ascii="Times New Roman" w:hAnsi="Times New Roman" w:cs="Times New Roman"/>
        </w:rPr>
        <w:t xml:space="preserve">ngredients were finely ground and sieved through standard mesh of 200 mm sieve. </w:t>
      </w:r>
      <w:r w:rsidR="00C16A17">
        <w:rPr>
          <w:rFonts w:ascii="Times New Roman" w:hAnsi="Times New Roman" w:cs="Times New Roman"/>
        </w:rPr>
        <w:t xml:space="preserve"> </w:t>
      </w:r>
      <w:r w:rsidR="00C16A17" w:rsidRPr="00C16A17">
        <w:rPr>
          <w:rFonts w:ascii="Times New Roman" w:hAnsi="Times New Roman" w:cs="Times New Roman"/>
        </w:rPr>
        <w:t>Accurately weighed ingredients were</w:t>
      </w:r>
      <w:r w:rsidR="00C16A17">
        <w:rPr>
          <w:rFonts w:ascii="Times New Roman" w:hAnsi="Times New Roman" w:cs="Times New Roman"/>
        </w:rPr>
        <w:t xml:space="preserve"> then</w:t>
      </w:r>
      <w:r w:rsidR="00C16A17" w:rsidRPr="00C16A17">
        <w:rPr>
          <w:rFonts w:ascii="Times New Roman" w:hAnsi="Times New Roman" w:cs="Times New Roman"/>
        </w:rPr>
        <w:t xml:space="preserve"> mixed to form a homogenous blend by adding a necessary quantity of water. The dough</w:t>
      </w:r>
      <w:r w:rsidR="00C16A17">
        <w:rPr>
          <w:rFonts w:ascii="Times New Roman" w:hAnsi="Times New Roman" w:cs="Times New Roman"/>
        </w:rPr>
        <w:t xml:space="preserve"> formed</w:t>
      </w:r>
      <w:r w:rsidR="00C16A17" w:rsidRPr="00C16A17">
        <w:rPr>
          <w:rFonts w:ascii="Times New Roman" w:hAnsi="Times New Roman" w:cs="Times New Roman"/>
        </w:rPr>
        <w:t xml:space="preserve"> was then steam</w:t>
      </w:r>
      <w:r w:rsidR="00C16A17">
        <w:rPr>
          <w:rFonts w:ascii="Times New Roman" w:hAnsi="Times New Roman" w:cs="Times New Roman"/>
        </w:rPr>
        <w:t>-</w:t>
      </w:r>
      <w:r w:rsidR="00C16A17" w:rsidRPr="00C16A17">
        <w:rPr>
          <w:rFonts w:ascii="Times New Roman" w:hAnsi="Times New Roman" w:cs="Times New Roman"/>
        </w:rPr>
        <w:t xml:space="preserve">cooked and cooled down to </w:t>
      </w:r>
      <w:r w:rsidR="00C16A17" w:rsidRPr="00C16A17">
        <w:rPr>
          <w:rFonts w:ascii="Times New Roman" w:hAnsi="Times New Roman" w:cs="Times New Roman"/>
        </w:rPr>
        <w:t>room temperature before adding vegetable oil and vitamin-mineral premix. Required amount of Genistein was dissolved in dimethyl sulphoxide (DMSO) or ethanol and sprayed on the homogenous blend</w:t>
      </w:r>
      <w:r w:rsidR="00C16A17">
        <w:rPr>
          <w:rFonts w:ascii="Times New Roman" w:hAnsi="Times New Roman" w:cs="Times New Roman"/>
        </w:rPr>
        <w:t xml:space="preserve">. </w:t>
      </w:r>
      <w:r w:rsidR="00C16A17" w:rsidRPr="00C16A17">
        <w:rPr>
          <w:rFonts w:ascii="Times New Roman" w:hAnsi="Times New Roman" w:cs="Times New Roman"/>
        </w:rPr>
        <w:t>Pelleting of feed was carried out using a hand pelletiser</w:t>
      </w:r>
      <w:r w:rsidR="00C16A17">
        <w:rPr>
          <w:rFonts w:ascii="Times New Roman" w:hAnsi="Times New Roman" w:cs="Times New Roman"/>
        </w:rPr>
        <w:t xml:space="preserve"> with die size of </w:t>
      </w:r>
      <w:r w:rsidR="00C16A17" w:rsidRPr="00C16A17">
        <w:rPr>
          <w:rFonts w:ascii="Times New Roman" w:hAnsi="Times New Roman" w:cs="Times New Roman"/>
        </w:rPr>
        <w:t>1mm. All pelleted diets were dried and stored separately in air tight containers for further use.</w:t>
      </w:r>
      <w:r w:rsidR="00C16A17">
        <w:rPr>
          <w:rFonts w:ascii="Times New Roman" w:hAnsi="Times New Roman" w:cs="Times New Roman"/>
        </w:rPr>
        <w:t xml:space="preserve"> </w:t>
      </w:r>
      <w:r w:rsidRPr="00C16A17">
        <w:rPr>
          <w:rFonts w:ascii="Times New Roman" w:hAnsi="Times New Roman" w:cs="Times New Roman"/>
        </w:rPr>
        <w:t xml:space="preserve">Fish were fed daily at 3% of their body weight in two equal portions, morning and evening. </w:t>
      </w:r>
      <w:r w:rsidR="00884AB9" w:rsidRPr="00C16A17">
        <w:rPr>
          <w:rFonts w:ascii="Times New Roman" w:hAnsi="Times New Roman" w:cs="Times New Roman"/>
          <w:color w:val="000000" w:themeColor="text1"/>
        </w:rPr>
        <w:t xml:space="preserve">The feed composition for the experiment is given in </w:t>
      </w:r>
      <w:r w:rsidR="00884AB9" w:rsidRPr="00C16A17">
        <w:rPr>
          <w:rFonts w:ascii="Times New Roman" w:hAnsi="Times New Roman" w:cs="Times New Roman"/>
          <w:bCs/>
          <w:color w:val="000000" w:themeColor="text1"/>
        </w:rPr>
        <w:t>Table 1</w:t>
      </w:r>
      <w:r w:rsidR="00884AB9" w:rsidRPr="00C16A17">
        <w:rPr>
          <w:rFonts w:ascii="Times New Roman" w:hAnsi="Times New Roman" w:cs="Times New Roman"/>
          <w:color w:val="000000" w:themeColor="text1"/>
        </w:rPr>
        <w:t>.</w:t>
      </w:r>
    </w:p>
    <w:p w14:paraId="4DF88156" w14:textId="77777777" w:rsidR="00DD7884" w:rsidRDefault="00DD7884" w:rsidP="00ED7650">
      <w:pPr>
        <w:jc w:val="center"/>
        <w:rPr>
          <w:rFonts w:ascii="Times New Roman" w:hAnsi="Times New Roman" w:cs="Times New Roman"/>
          <w:b/>
          <w:bCs/>
          <w:color w:val="000000" w:themeColor="text1"/>
        </w:rPr>
        <w:sectPr w:rsidR="00DD7884" w:rsidSect="00DD7884">
          <w:type w:val="continuous"/>
          <w:pgSz w:w="11906" w:h="16838"/>
          <w:pgMar w:top="1440" w:right="1440" w:bottom="1440" w:left="1440" w:header="708" w:footer="708" w:gutter="0"/>
          <w:cols w:num="2" w:space="708"/>
          <w:docGrid w:linePitch="360"/>
        </w:sectPr>
      </w:pPr>
    </w:p>
    <w:p w14:paraId="67F92110" w14:textId="198301B5" w:rsidR="00AA2118" w:rsidRPr="00FD1A34" w:rsidRDefault="00C16A17" w:rsidP="00ED7650">
      <w:pPr>
        <w:jc w:val="center"/>
        <w:rPr>
          <w:rFonts w:ascii="Times New Roman" w:hAnsi="Times New Roman" w:cs="Times New Roman"/>
          <w:b/>
          <w:bCs/>
        </w:rPr>
        <w:sectPr w:rsidR="00AA2118" w:rsidRPr="00FD1A34" w:rsidSect="00380CD6">
          <w:type w:val="continuous"/>
          <w:pgSz w:w="11906" w:h="16838"/>
          <w:pgMar w:top="1440" w:right="1440" w:bottom="1440" w:left="1440" w:header="708" w:footer="708" w:gutter="0"/>
          <w:cols w:space="708"/>
          <w:docGrid w:linePitch="360"/>
        </w:sectPr>
      </w:pPr>
      <w:r w:rsidRPr="00FD1A34">
        <w:rPr>
          <w:rFonts w:ascii="Times New Roman" w:hAnsi="Times New Roman" w:cs="Times New Roman"/>
          <w:b/>
          <w:bCs/>
          <w:color w:val="000000" w:themeColor="text1"/>
        </w:rPr>
        <w:t>Table 1. Ingredient composition of experimental diets</w:t>
      </w:r>
    </w:p>
    <w:tbl>
      <w:tblPr>
        <w:tblStyle w:val="PlainTable2"/>
        <w:tblW w:w="4839" w:type="pct"/>
        <w:tblLook w:val="0420" w:firstRow="1" w:lastRow="0" w:firstColumn="0" w:lastColumn="0" w:noHBand="0" w:noVBand="1"/>
      </w:tblPr>
      <w:tblGrid>
        <w:gridCol w:w="2695"/>
        <w:gridCol w:w="1557"/>
        <w:gridCol w:w="1702"/>
        <w:gridCol w:w="1703"/>
        <w:gridCol w:w="1078"/>
      </w:tblGrid>
      <w:tr w:rsidR="00884AB9" w:rsidRPr="00FD1A34" w14:paraId="6A864E93" w14:textId="77777777" w:rsidTr="00FD1A34">
        <w:trPr>
          <w:cnfStyle w:val="100000000000" w:firstRow="1" w:lastRow="0" w:firstColumn="0" w:lastColumn="0" w:oddVBand="0" w:evenVBand="0" w:oddHBand="0" w:evenHBand="0" w:firstRowFirstColumn="0" w:firstRowLastColumn="0" w:lastRowFirstColumn="0" w:lastRowLastColumn="0"/>
          <w:trHeight w:val="354"/>
        </w:trPr>
        <w:tc>
          <w:tcPr>
            <w:tcW w:w="1543" w:type="pct"/>
            <w:hideMark/>
          </w:tcPr>
          <w:p w14:paraId="0484C01A"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Ingredients (%)</w:t>
            </w:r>
          </w:p>
        </w:tc>
        <w:tc>
          <w:tcPr>
            <w:tcW w:w="891" w:type="pct"/>
            <w:hideMark/>
          </w:tcPr>
          <w:p w14:paraId="73CA6834"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Control (C)</w:t>
            </w:r>
          </w:p>
        </w:tc>
        <w:tc>
          <w:tcPr>
            <w:tcW w:w="974" w:type="pct"/>
            <w:hideMark/>
          </w:tcPr>
          <w:p w14:paraId="370C8D06"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T1</w:t>
            </w:r>
          </w:p>
        </w:tc>
        <w:tc>
          <w:tcPr>
            <w:tcW w:w="975" w:type="pct"/>
            <w:hideMark/>
          </w:tcPr>
          <w:p w14:paraId="778AFC03"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T2</w:t>
            </w:r>
          </w:p>
        </w:tc>
        <w:tc>
          <w:tcPr>
            <w:tcW w:w="617" w:type="pct"/>
            <w:hideMark/>
          </w:tcPr>
          <w:p w14:paraId="29F30151"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T3</w:t>
            </w:r>
          </w:p>
        </w:tc>
      </w:tr>
      <w:tr w:rsidR="00884AB9" w:rsidRPr="00FD1A34" w14:paraId="50FAE0A9" w14:textId="77777777" w:rsidTr="00FD1A34">
        <w:trPr>
          <w:cnfStyle w:val="000000100000" w:firstRow="0" w:lastRow="0" w:firstColumn="0" w:lastColumn="0" w:oddVBand="0" w:evenVBand="0" w:oddHBand="1" w:evenHBand="0" w:firstRowFirstColumn="0" w:firstRowLastColumn="0" w:lastRowFirstColumn="0" w:lastRowLastColumn="0"/>
          <w:trHeight w:val="375"/>
        </w:trPr>
        <w:tc>
          <w:tcPr>
            <w:tcW w:w="1543" w:type="pct"/>
            <w:hideMark/>
          </w:tcPr>
          <w:p w14:paraId="3D81488D"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Fish meal</w:t>
            </w:r>
          </w:p>
        </w:tc>
        <w:tc>
          <w:tcPr>
            <w:tcW w:w="891" w:type="pct"/>
            <w:hideMark/>
          </w:tcPr>
          <w:p w14:paraId="23C91953"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25.63</w:t>
            </w:r>
          </w:p>
        </w:tc>
        <w:tc>
          <w:tcPr>
            <w:tcW w:w="974" w:type="pct"/>
            <w:hideMark/>
          </w:tcPr>
          <w:p w14:paraId="74DD3F4B"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25.63</w:t>
            </w:r>
          </w:p>
        </w:tc>
        <w:tc>
          <w:tcPr>
            <w:tcW w:w="975" w:type="pct"/>
            <w:hideMark/>
          </w:tcPr>
          <w:p w14:paraId="66D21EA6"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25.63</w:t>
            </w:r>
          </w:p>
        </w:tc>
        <w:tc>
          <w:tcPr>
            <w:tcW w:w="617" w:type="pct"/>
            <w:hideMark/>
          </w:tcPr>
          <w:p w14:paraId="25EEB0A1"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25.63</w:t>
            </w:r>
          </w:p>
        </w:tc>
      </w:tr>
      <w:tr w:rsidR="00884AB9" w:rsidRPr="00FD1A34" w14:paraId="1AE75687" w14:textId="77777777" w:rsidTr="00FD1A34">
        <w:trPr>
          <w:trHeight w:val="292"/>
        </w:trPr>
        <w:tc>
          <w:tcPr>
            <w:tcW w:w="1543" w:type="pct"/>
            <w:hideMark/>
          </w:tcPr>
          <w:p w14:paraId="43899ADF"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Mustard oil cake</w:t>
            </w:r>
          </w:p>
        </w:tc>
        <w:tc>
          <w:tcPr>
            <w:tcW w:w="891" w:type="pct"/>
            <w:hideMark/>
          </w:tcPr>
          <w:p w14:paraId="110730EF"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25.63</w:t>
            </w:r>
          </w:p>
        </w:tc>
        <w:tc>
          <w:tcPr>
            <w:tcW w:w="974" w:type="pct"/>
            <w:hideMark/>
          </w:tcPr>
          <w:p w14:paraId="5BED0515"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25.63</w:t>
            </w:r>
          </w:p>
        </w:tc>
        <w:tc>
          <w:tcPr>
            <w:tcW w:w="975" w:type="pct"/>
            <w:hideMark/>
          </w:tcPr>
          <w:p w14:paraId="2EE8E2AD"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25.63</w:t>
            </w:r>
          </w:p>
        </w:tc>
        <w:tc>
          <w:tcPr>
            <w:tcW w:w="617" w:type="pct"/>
            <w:hideMark/>
          </w:tcPr>
          <w:p w14:paraId="374CDDD7"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25.63</w:t>
            </w:r>
          </w:p>
        </w:tc>
      </w:tr>
      <w:tr w:rsidR="00884AB9" w:rsidRPr="00FD1A34" w14:paraId="6E87AAA7" w14:textId="77777777" w:rsidTr="00FD1A34">
        <w:trPr>
          <w:cnfStyle w:val="000000100000" w:firstRow="0" w:lastRow="0" w:firstColumn="0" w:lastColumn="0" w:oddVBand="0" w:evenVBand="0" w:oddHBand="1" w:evenHBand="0" w:firstRowFirstColumn="0" w:firstRowLastColumn="0" w:lastRowFirstColumn="0" w:lastRowLastColumn="0"/>
          <w:trHeight w:val="325"/>
        </w:trPr>
        <w:tc>
          <w:tcPr>
            <w:tcW w:w="1543" w:type="pct"/>
            <w:hideMark/>
          </w:tcPr>
          <w:p w14:paraId="37EF2F38"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Rice bran</w:t>
            </w:r>
          </w:p>
        </w:tc>
        <w:tc>
          <w:tcPr>
            <w:tcW w:w="891" w:type="pct"/>
            <w:hideMark/>
          </w:tcPr>
          <w:p w14:paraId="6DF33754"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20.87</w:t>
            </w:r>
          </w:p>
        </w:tc>
        <w:tc>
          <w:tcPr>
            <w:tcW w:w="974" w:type="pct"/>
            <w:hideMark/>
          </w:tcPr>
          <w:p w14:paraId="269E965E"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20.85</w:t>
            </w:r>
          </w:p>
        </w:tc>
        <w:tc>
          <w:tcPr>
            <w:tcW w:w="975" w:type="pct"/>
            <w:hideMark/>
          </w:tcPr>
          <w:p w14:paraId="2CFB4993"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20.83</w:t>
            </w:r>
          </w:p>
        </w:tc>
        <w:tc>
          <w:tcPr>
            <w:tcW w:w="617" w:type="pct"/>
            <w:hideMark/>
          </w:tcPr>
          <w:p w14:paraId="3F42536F"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20.79</w:t>
            </w:r>
          </w:p>
        </w:tc>
      </w:tr>
      <w:tr w:rsidR="00884AB9" w:rsidRPr="00FD1A34" w14:paraId="09D2D589" w14:textId="77777777" w:rsidTr="00FD1A34">
        <w:trPr>
          <w:trHeight w:val="513"/>
        </w:trPr>
        <w:tc>
          <w:tcPr>
            <w:tcW w:w="1543" w:type="pct"/>
            <w:hideMark/>
          </w:tcPr>
          <w:p w14:paraId="65AAC6FF"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Wheat bran</w:t>
            </w:r>
          </w:p>
        </w:tc>
        <w:tc>
          <w:tcPr>
            <w:tcW w:w="891" w:type="pct"/>
            <w:hideMark/>
          </w:tcPr>
          <w:p w14:paraId="63A10811"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20.87</w:t>
            </w:r>
          </w:p>
        </w:tc>
        <w:tc>
          <w:tcPr>
            <w:tcW w:w="974" w:type="pct"/>
            <w:hideMark/>
          </w:tcPr>
          <w:p w14:paraId="33BF4F71"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20.85</w:t>
            </w:r>
          </w:p>
        </w:tc>
        <w:tc>
          <w:tcPr>
            <w:tcW w:w="975" w:type="pct"/>
            <w:hideMark/>
          </w:tcPr>
          <w:p w14:paraId="4D575EAB"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20.83</w:t>
            </w:r>
          </w:p>
        </w:tc>
        <w:tc>
          <w:tcPr>
            <w:tcW w:w="617" w:type="pct"/>
            <w:hideMark/>
          </w:tcPr>
          <w:p w14:paraId="2BD79DF0"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20.79</w:t>
            </w:r>
          </w:p>
        </w:tc>
      </w:tr>
      <w:tr w:rsidR="00884AB9" w:rsidRPr="00FD1A34" w14:paraId="76A249DD" w14:textId="77777777" w:rsidTr="00FD1A34">
        <w:trPr>
          <w:cnfStyle w:val="000000100000" w:firstRow="0" w:lastRow="0" w:firstColumn="0" w:lastColumn="0" w:oddVBand="0" w:evenVBand="0" w:oddHBand="1" w:evenHBand="0" w:firstRowFirstColumn="0" w:firstRowLastColumn="0" w:lastRowFirstColumn="0" w:lastRowLastColumn="0"/>
          <w:trHeight w:val="513"/>
        </w:trPr>
        <w:tc>
          <w:tcPr>
            <w:tcW w:w="1543" w:type="pct"/>
            <w:hideMark/>
          </w:tcPr>
          <w:p w14:paraId="785697F9"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Vegetable oil</w:t>
            </w:r>
          </w:p>
        </w:tc>
        <w:tc>
          <w:tcPr>
            <w:tcW w:w="891" w:type="pct"/>
            <w:hideMark/>
          </w:tcPr>
          <w:p w14:paraId="2D1115EE"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5</w:t>
            </w:r>
          </w:p>
        </w:tc>
        <w:tc>
          <w:tcPr>
            <w:tcW w:w="974" w:type="pct"/>
            <w:hideMark/>
          </w:tcPr>
          <w:p w14:paraId="038329A6"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5</w:t>
            </w:r>
          </w:p>
        </w:tc>
        <w:tc>
          <w:tcPr>
            <w:tcW w:w="975" w:type="pct"/>
            <w:hideMark/>
          </w:tcPr>
          <w:p w14:paraId="59E18524"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5</w:t>
            </w:r>
          </w:p>
        </w:tc>
        <w:tc>
          <w:tcPr>
            <w:tcW w:w="617" w:type="pct"/>
            <w:hideMark/>
          </w:tcPr>
          <w:p w14:paraId="3BBDACFD"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5</w:t>
            </w:r>
          </w:p>
        </w:tc>
      </w:tr>
      <w:tr w:rsidR="00884AB9" w:rsidRPr="00FD1A34" w14:paraId="22C96E38" w14:textId="77777777" w:rsidTr="00FD1A34">
        <w:trPr>
          <w:trHeight w:val="633"/>
        </w:trPr>
        <w:tc>
          <w:tcPr>
            <w:tcW w:w="1543" w:type="pct"/>
            <w:hideMark/>
          </w:tcPr>
          <w:p w14:paraId="4AF888F6" w14:textId="22E78EF2"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Vitamin minera</w:t>
            </w:r>
            <w:r w:rsidR="00DD7884" w:rsidRPr="00FD1A34">
              <w:rPr>
                <w:rFonts w:ascii="Times New Roman" w:hAnsi="Times New Roman" w:cs="Times New Roman"/>
                <w:color w:val="000000" w:themeColor="text1"/>
                <w:sz w:val="22"/>
                <w:lang w:val="en-US"/>
              </w:rPr>
              <w:t xml:space="preserve">l </w:t>
            </w:r>
            <w:r w:rsidRPr="00FD1A34">
              <w:rPr>
                <w:rFonts w:ascii="Times New Roman" w:hAnsi="Times New Roman" w:cs="Times New Roman"/>
                <w:color w:val="000000" w:themeColor="text1"/>
                <w:sz w:val="22"/>
                <w:lang w:val="en-US"/>
              </w:rPr>
              <w:t>Mixture</w:t>
            </w:r>
          </w:p>
        </w:tc>
        <w:tc>
          <w:tcPr>
            <w:tcW w:w="891" w:type="pct"/>
            <w:hideMark/>
          </w:tcPr>
          <w:p w14:paraId="3BAB31F0"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w:t>
            </w:r>
          </w:p>
        </w:tc>
        <w:tc>
          <w:tcPr>
            <w:tcW w:w="974" w:type="pct"/>
            <w:hideMark/>
          </w:tcPr>
          <w:p w14:paraId="31A7A598"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2</w:t>
            </w:r>
          </w:p>
        </w:tc>
        <w:tc>
          <w:tcPr>
            <w:tcW w:w="975" w:type="pct"/>
            <w:hideMark/>
          </w:tcPr>
          <w:p w14:paraId="07889728"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2</w:t>
            </w:r>
          </w:p>
        </w:tc>
        <w:tc>
          <w:tcPr>
            <w:tcW w:w="617" w:type="pct"/>
            <w:hideMark/>
          </w:tcPr>
          <w:p w14:paraId="1E1B9254"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2</w:t>
            </w:r>
          </w:p>
        </w:tc>
      </w:tr>
      <w:tr w:rsidR="00884AB9" w:rsidRPr="00FD1A34" w14:paraId="771231FA" w14:textId="77777777" w:rsidTr="00FD1A34">
        <w:trPr>
          <w:cnfStyle w:val="000000100000" w:firstRow="0" w:lastRow="0" w:firstColumn="0" w:lastColumn="0" w:oddVBand="0" w:evenVBand="0" w:oddHBand="1" w:evenHBand="0" w:firstRowFirstColumn="0" w:firstRowLastColumn="0" w:lastRowFirstColumn="0" w:lastRowLastColumn="0"/>
          <w:trHeight w:val="513"/>
        </w:trPr>
        <w:tc>
          <w:tcPr>
            <w:tcW w:w="1543" w:type="pct"/>
            <w:hideMark/>
          </w:tcPr>
          <w:p w14:paraId="24961BAF"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Genistein</w:t>
            </w:r>
          </w:p>
        </w:tc>
        <w:tc>
          <w:tcPr>
            <w:tcW w:w="891" w:type="pct"/>
            <w:hideMark/>
          </w:tcPr>
          <w:p w14:paraId="2DB0CB09"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0</w:t>
            </w:r>
          </w:p>
        </w:tc>
        <w:tc>
          <w:tcPr>
            <w:tcW w:w="974" w:type="pct"/>
            <w:hideMark/>
          </w:tcPr>
          <w:p w14:paraId="7269F687"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0.04</w:t>
            </w:r>
          </w:p>
        </w:tc>
        <w:tc>
          <w:tcPr>
            <w:tcW w:w="975" w:type="pct"/>
            <w:hideMark/>
          </w:tcPr>
          <w:p w14:paraId="66238636"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0.08</w:t>
            </w:r>
          </w:p>
        </w:tc>
        <w:tc>
          <w:tcPr>
            <w:tcW w:w="617" w:type="pct"/>
            <w:hideMark/>
          </w:tcPr>
          <w:p w14:paraId="7BE0B87B"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0.16</w:t>
            </w:r>
          </w:p>
        </w:tc>
      </w:tr>
      <w:tr w:rsidR="00884AB9" w:rsidRPr="00FD1A34" w14:paraId="1DB3A49F" w14:textId="77777777" w:rsidTr="00FD1A34">
        <w:trPr>
          <w:trHeight w:val="513"/>
        </w:trPr>
        <w:tc>
          <w:tcPr>
            <w:tcW w:w="1543" w:type="pct"/>
            <w:hideMark/>
          </w:tcPr>
          <w:p w14:paraId="10144839"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Total</w:t>
            </w:r>
          </w:p>
        </w:tc>
        <w:tc>
          <w:tcPr>
            <w:tcW w:w="891" w:type="pct"/>
            <w:hideMark/>
          </w:tcPr>
          <w:p w14:paraId="752364AE"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100</w:t>
            </w:r>
          </w:p>
        </w:tc>
        <w:tc>
          <w:tcPr>
            <w:tcW w:w="974" w:type="pct"/>
            <w:hideMark/>
          </w:tcPr>
          <w:p w14:paraId="69DA6D55"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100</w:t>
            </w:r>
          </w:p>
        </w:tc>
        <w:tc>
          <w:tcPr>
            <w:tcW w:w="975" w:type="pct"/>
            <w:hideMark/>
          </w:tcPr>
          <w:p w14:paraId="7BA1351C"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100</w:t>
            </w:r>
          </w:p>
        </w:tc>
        <w:tc>
          <w:tcPr>
            <w:tcW w:w="617" w:type="pct"/>
            <w:hideMark/>
          </w:tcPr>
          <w:p w14:paraId="727F6E34"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100</w:t>
            </w:r>
          </w:p>
        </w:tc>
      </w:tr>
    </w:tbl>
    <w:p w14:paraId="78CF9EED" w14:textId="77777777" w:rsidR="00AA2118" w:rsidRDefault="00AA2118" w:rsidP="00FD1A34">
      <w:pPr>
        <w:jc w:val="both"/>
        <w:rPr>
          <w:rFonts w:ascii="Times New Roman" w:hAnsi="Times New Roman" w:cs="Times New Roman"/>
        </w:rPr>
        <w:sectPr w:rsidR="00AA2118" w:rsidSect="00380CD6">
          <w:type w:val="continuous"/>
          <w:pgSz w:w="11906" w:h="16838"/>
          <w:pgMar w:top="1440" w:right="1440" w:bottom="1440" w:left="1440" w:header="708" w:footer="708" w:gutter="0"/>
          <w:cols w:space="708"/>
          <w:docGrid w:linePitch="360"/>
        </w:sectPr>
      </w:pPr>
    </w:p>
    <w:p w14:paraId="53C50B59" w14:textId="5E61F478" w:rsidR="000F6CCB" w:rsidRPr="00380CD6" w:rsidRDefault="00380CD6" w:rsidP="00FD1A34">
      <w:pPr>
        <w:jc w:val="both"/>
        <w:rPr>
          <w:rFonts w:ascii="Times New Roman" w:hAnsi="Times New Roman" w:cs="Times New Roman"/>
          <w:b/>
          <w:bCs/>
        </w:rPr>
      </w:pPr>
      <w:r w:rsidRPr="00380CD6">
        <w:rPr>
          <w:rFonts w:ascii="Times New Roman" w:hAnsi="Times New Roman" w:cs="Times New Roman"/>
          <w:b/>
          <w:bCs/>
        </w:rPr>
        <w:t xml:space="preserve">2.3 </w:t>
      </w:r>
      <w:r w:rsidR="000F6CCB" w:rsidRPr="00380CD6">
        <w:rPr>
          <w:rFonts w:ascii="Times New Roman" w:hAnsi="Times New Roman" w:cs="Times New Roman"/>
          <w:b/>
          <w:bCs/>
        </w:rPr>
        <w:t>Measurement of growth parameters</w:t>
      </w:r>
    </w:p>
    <w:p w14:paraId="15E9417C" w14:textId="5B7662F0" w:rsidR="00884AB9" w:rsidRPr="00AA2118" w:rsidRDefault="00884AB9" w:rsidP="003B0597">
      <w:pPr>
        <w:pStyle w:val="NoSpacing"/>
        <w:spacing w:line="276" w:lineRule="auto"/>
        <w:ind w:firstLine="0"/>
        <w:rPr>
          <w:rFonts w:ascii="Times New Roman" w:hAnsi="Times New Roman" w:cs="Times New Roman"/>
          <w:color w:val="000000" w:themeColor="text1"/>
          <w:szCs w:val="24"/>
        </w:rPr>
      </w:pPr>
      <w:r w:rsidRPr="00D6743F">
        <w:rPr>
          <w:rFonts w:ascii="Times New Roman" w:hAnsi="Times New Roman" w:cs="Times New Roman"/>
          <w:color w:val="000000" w:themeColor="text1"/>
          <w:szCs w:val="24"/>
        </w:rPr>
        <w:t xml:space="preserve">The initial </w:t>
      </w:r>
      <w:r>
        <w:rPr>
          <w:rFonts w:ascii="Times New Roman" w:hAnsi="Times New Roman" w:cs="Times New Roman"/>
          <w:color w:val="000000" w:themeColor="text1"/>
          <w:szCs w:val="24"/>
        </w:rPr>
        <w:t>weight of the fish was recorded and sampling was carried out at 15-day intervals</w:t>
      </w:r>
      <w:r w:rsidRPr="00D6743F">
        <w:rPr>
          <w:rFonts w:ascii="Times New Roman" w:hAnsi="Times New Roman" w:cs="Times New Roman"/>
          <w:color w:val="000000" w:themeColor="text1"/>
          <w:szCs w:val="24"/>
        </w:rPr>
        <w:t xml:space="preserve"> to analyse the growth parameters. </w:t>
      </w:r>
      <w:r>
        <w:rPr>
          <w:rFonts w:ascii="Times New Roman" w:hAnsi="Times New Roman" w:cs="Times New Roman"/>
          <w:color w:val="000000" w:themeColor="text1"/>
          <w:szCs w:val="24"/>
        </w:rPr>
        <w:t>Prior to weighing, the f</w:t>
      </w:r>
      <w:r w:rsidRPr="00D6743F">
        <w:rPr>
          <w:rFonts w:ascii="Times New Roman" w:hAnsi="Times New Roman" w:cs="Times New Roman"/>
          <w:color w:val="000000" w:themeColor="text1"/>
          <w:szCs w:val="24"/>
        </w:rPr>
        <w:t xml:space="preserve">ishes were starved overnight. An electronic weighing balance was used </w:t>
      </w:r>
      <w:r>
        <w:rPr>
          <w:rFonts w:ascii="Times New Roman" w:hAnsi="Times New Roman" w:cs="Times New Roman"/>
          <w:color w:val="000000" w:themeColor="text1"/>
          <w:szCs w:val="24"/>
        </w:rPr>
        <w:t xml:space="preserve">for recording </w:t>
      </w:r>
      <w:r w:rsidRPr="00D6743F">
        <w:rPr>
          <w:rFonts w:ascii="Times New Roman" w:hAnsi="Times New Roman" w:cs="Times New Roman"/>
          <w:color w:val="000000" w:themeColor="text1"/>
          <w:szCs w:val="24"/>
        </w:rPr>
        <w:t xml:space="preserve">the weight of the </w:t>
      </w:r>
      <w:r w:rsidRPr="00D6743F">
        <w:rPr>
          <w:rFonts w:ascii="Times New Roman" w:hAnsi="Times New Roman" w:cs="Times New Roman"/>
          <w:color w:val="000000" w:themeColor="text1"/>
          <w:szCs w:val="24"/>
        </w:rPr>
        <w:t>fish. The following growth parameters were</w:t>
      </w:r>
      <w:r>
        <w:rPr>
          <w:rFonts w:ascii="Times New Roman" w:hAnsi="Times New Roman" w:cs="Times New Roman"/>
          <w:color w:val="000000" w:themeColor="text1"/>
          <w:szCs w:val="24"/>
        </w:rPr>
        <w:t xml:space="preserve"> subsequently</w:t>
      </w:r>
      <w:r w:rsidRPr="00D6743F">
        <w:rPr>
          <w:rFonts w:ascii="Times New Roman" w:hAnsi="Times New Roman" w:cs="Times New Roman"/>
          <w:color w:val="000000" w:themeColor="text1"/>
          <w:szCs w:val="24"/>
        </w:rPr>
        <w:t xml:space="preserve"> recorded.</w:t>
      </w:r>
    </w:p>
    <w:p w14:paraId="3081E081" w14:textId="2EAC5E38" w:rsidR="00884AB9" w:rsidRPr="00380CD6" w:rsidRDefault="00884AB9" w:rsidP="00380CD6">
      <w:pPr>
        <w:pStyle w:val="ListParagraph"/>
        <w:numPr>
          <w:ilvl w:val="2"/>
          <w:numId w:val="4"/>
        </w:numPr>
        <w:spacing w:line="259" w:lineRule="auto"/>
        <w:rPr>
          <w:rFonts w:ascii="Times New Roman" w:hAnsi="Times New Roman"/>
          <w:b/>
          <w:color w:val="000000" w:themeColor="text1"/>
        </w:rPr>
      </w:pPr>
      <w:r w:rsidRPr="00380CD6">
        <w:rPr>
          <w:rFonts w:ascii="Times New Roman" w:hAnsi="Times New Roman"/>
          <w:b/>
          <w:color w:val="000000" w:themeColor="text1"/>
        </w:rPr>
        <w:t>Percentage weight gain (%)</w:t>
      </w:r>
    </w:p>
    <w:p w14:paraId="018E8005" w14:textId="77777777" w:rsidR="00884AB9" w:rsidRPr="00FF15C7" w:rsidRDefault="00884AB9" w:rsidP="003B0597">
      <w:pPr>
        <w:spacing w:line="276" w:lineRule="auto"/>
        <w:jc w:val="both"/>
        <w:rPr>
          <w:rFonts w:ascii="Times New Roman" w:hAnsi="Times New Roman"/>
          <w:b/>
          <w:color w:val="000000" w:themeColor="text1"/>
        </w:rPr>
      </w:pPr>
      <w:r w:rsidRPr="00FF15C7">
        <w:rPr>
          <w:rFonts w:ascii="Times New Roman" w:hAnsi="Times New Roman"/>
          <w:color w:val="000000" w:themeColor="text1"/>
        </w:rPr>
        <w:t>The percentage weight gain is defined as the amount of weight gained over a given period of time in relation to total weight. The percentage weight gain was calculated using the following formula:</w:t>
      </w:r>
    </w:p>
    <w:p w14:paraId="52D1FA69" w14:textId="77777777" w:rsidR="00884AB9" w:rsidRPr="00D6743F" w:rsidRDefault="00884AB9" w:rsidP="00884AB9">
      <w:pPr>
        <w:rPr>
          <w:rFonts w:ascii="Times New Roman" w:eastAsia="Times New Roman" w:hAnsi="Times New Roman"/>
          <w:color w:val="000000" w:themeColor="text1"/>
        </w:rPr>
      </w:pPr>
      <m:oMathPara>
        <m:oMath>
          <m:r>
            <m:rPr>
              <m:sty m:val="p"/>
            </m:rPr>
            <w:rPr>
              <w:rFonts w:ascii="Cambria Math" w:hAnsi="Cambria Math"/>
              <w:color w:val="000000" w:themeColor="text1"/>
            </w:rPr>
            <w:lastRenderedPageBreak/>
            <m:t xml:space="preserve">Weight gain </m:t>
          </m:r>
          <m:d>
            <m:dPr>
              <m:ctrlPr>
                <w:rPr>
                  <w:rFonts w:ascii="Cambria Math" w:hAnsi="Cambria Math"/>
                  <w:color w:val="000000" w:themeColor="text1"/>
                </w:rPr>
              </m:ctrlPr>
            </m:dPr>
            <m:e>
              <m:r>
                <m:rPr>
                  <m:sty m:val="p"/>
                </m:rPr>
                <w:rPr>
                  <w:rFonts w:ascii="Cambria Math" w:hAnsi="Cambria Math"/>
                  <w:color w:val="000000" w:themeColor="text1"/>
                </w:rPr>
                <m:t>%</m:t>
              </m:r>
            </m:e>
          </m:d>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 xml:space="preserve">Final weight-Initial weight </m:t>
              </m:r>
            </m:num>
            <m:den>
              <m:r>
                <m:rPr>
                  <m:sty m:val="p"/>
                </m:rPr>
                <w:rPr>
                  <w:rFonts w:ascii="Cambria Math" w:hAnsi="Cambria Math"/>
                  <w:color w:val="000000" w:themeColor="text1"/>
                </w:rPr>
                <m:t>Initial weight</m:t>
              </m:r>
            </m:den>
          </m:f>
          <m:r>
            <m:rPr>
              <m:sty m:val="p"/>
            </m:rPr>
            <w:rPr>
              <w:rFonts w:ascii="Cambria Math" w:hAnsi="Cambria Math"/>
              <w:color w:val="000000" w:themeColor="text1"/>
            </w:rPr>
            <m:t xml:space="preserve"> x 100</m:t>
          </m:r>
        </m:oMath>
      </m:oMathPara>
    </w:p>
    <w:p w14:paraId="5C8069A2" w14:textId="00280B98" w:rsidR="00884AB9" w:rsidRPr="00D6743F" w:rsidRDefault="00380CD6" w:rsidP="00884AB9">
      <w:pPr>
        <w:rPr>
          <w:rFonts w:ascii="Times New Roman" w:hAnsi="Times New Roman"/>
          <w:b/>
          <w:color w:val="000000" w:themeColor="text1"/>
        </w:rPr>
      </w:pPr>
      <w:r>
        <w:rPr>
          <w:rFonts w:ascii="Times New Roman" w:eastAsia="Times New Roman" w:hAnsi="Times New Roman"/>
          <w:b/>
          <w:color w:val="000000" w:themeColor="text1"/>
        </w:rPr>
        <w:t>2.3</w:t>
      </w:r>
      <w:r w:rsidR="00884AB9" w:rsidRPr="00D6743F">
        <w:rPr>
          <w:rFonts w:ascii="Times New Roman" w:eastAsia="Times New Roman" w:hAnsi="Times New Roman"/>
          <w:b/>
          <w:color w:val="000000" w:themeColor="text1"/>
        </w:rPr>
        <w:t xml:space="preserve">.2   </w:t>
      </w:r>
      <w:r w:rsidR="00884AB9" w:rsidRPr="00D6743F">
        <w:rPr>
          <w:rFonts w:ascii="Times New Roman" w:hAnsi="Times New Roman"/>
          <w:b/>
          <w:color w:val="000000" w:themeColor="text1"/>
        </w:rPr>
        <w:t>Specific growth rate (%)</w:t>
      </w:r>
    </w:p>
    <w:p w14:paraId="456148D6" w14:textId="77777777" w:rsidR="00884AB9" w:rsidRPr="00D6743F" w:rsidRDefault="00884AB9" w:rsidP="003B0597">
      <w:pPr>
        <w:spacing w:after="240" w:line="276" w:lineRule="auto"/>
        <w:jc w:val="both"/>
        <w:rPr>
          <w:rFonts w:ascii="Times New Roman" w:hAnsi="Times New Roman"/>
          <w:color w:val="000000" w:themeColor="text1"/>
        </w:rPr>
      </w:pPr>
      <w:r w:rsidRPr="00D6743F">
        <w:rPr>
          <w:rFonts w:ascii="Times New Roman" w:hAnsi="Times New Roman"/>
          <w:color w:val="000000" w:themeColor="text1"/>
        </w:rPr>
        <w:t>Specific growth rate (SGR) is used to estimate the production of fish after a certain period of time. The Specific Growth rate was calculated by the following formula:</w:t>
      </w:r>
    </w:p>
    <w:p w14:paraId="4034238B" w14:textId="77777777" w:rsidR="00884AB9" w:rsidRPr="00D6743F" w:rsidRDefault="00884AB9" w:rsidP="00884AB9">
      <w:pPr>
        <w:rPr>
          <w:rFonts w:ascii="Times New Roman" w:hAnsi="Times New Roman"/>
          <w:color w:val="000000" w:themeColor="text1"/>
        </w:rPr>
      </w:pPr>
      <m:oMathPara>
        <m:oMath>
          <m:r>
            <m:rPr>
              <m:sty m:val="p"/>
            </m:rPr>
            <w:rPr>
              <w:rFonts w:ascii="Cambria Math" w:hAnsi="Cambria Math"/>
              <w:color w:val="000000" w:themeColor="text1"/>
            </w:rPr>
            <m:t xml:space="preserve">SGR </m:t>
          </m:r>
          <m:d>
            <m:dPr>
              <m:ctrlPr>
                <w:rPr>
                  <w:rFonts w:ascii="Cambria Math" w:hAnsi="Cambria Math"/>
                  <w:color w:val="000000" w:themeColor="text1"/>
                </w:rPr>
              </m:ctrlPr>
            </m:dPr>
            <m:e>
              <m:r>
                <m:rPr>
                  <m:sty m:val="p"/>
                </m:rPr>
                <w:rPr>
                  <w:rFonts w:ascii="Cambria Math" w:hAnsi="Cambria Math"/>
                  <w:color w:val="000000" w:themeColor="text1"/>
                </w:rPr>
                <m:t>%</m:t>
              </m:r>
            </m:e>
          </m:d>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Log e final weight-Log e initial weight</m:t>
              </m:r>
            </m:num>
            <m:den>
              <m:r>
                <m:rPr>
                  <m:sty m:val="p"/>
                </m:rPr>
                <w:rPr>
                  <w:rFonts w:ascii="Cambria Math" w:hAnsi="Cambria Math"/>
                  <w:color w:val="000000" w:themeColor="text1"/>
                </w:rPr>
                <m:t>Number of days</m:t>
              </m:r>
            </m:den>
          </m:f>
          <m:r>
            <m:rPr>
              <m:sty m:val="p"/>
            </m:rPr>
            <w:rPr>
              <w:rFonts w:ascii="Cambria Math" w:hAnsi="Cambria Math"/>
              <w:color w:val="000000" w:themeColor="text1"/>
            </w:rPr>
            <m:t xml:space="preserve"> x 100</m:t>
          </m:r>
        </m:oMath>
      </m:oMathPara>
    </w:p>
    <w:p w14:paraId="2B445142" w14:textId="50B78C96" w:rsidR="00884AB9" w:rsidRPr="00D6743F" w:rsidRDefault="00380CD6" w:rsidP="00884AB9">
      <w:pPr>
        <w:rPr>
          <w:rFonts w:ascii="Times New Roman" w:hAnsi="Times New Roman"/>
          <w:b/>
          <w:color w:val="000000" w:themeColor="text1"/>
        </w:rPr>
      </w:pPr>
      <w:r>
        <w:rPr>
          <w:rFonts w:ascii="Times New Roman" w:hAnsi="Times New Roman"/>
          <w:b/>
          <w:color w:val="000000" w:themeColor="text1"/>
        </w:rPr>
        <w:t>2.3.3</w:t>
      </w:r>
      <w:r w:rsidR="00884AB9" w:rsidRPr="00D6743F">
        <w:rPr>
          <w:rFonts w:ascii="Times New Roman" w:hAnsi="Times New Roman"/>
          <w:b/>
          <w:color w:val="000000" w:themeColor="text1"/>
        </w:rPr>
        <w:t xml:space="preserve">   Feed Conversion Ration</w:t>
      </w:r>
    </w:p>
    <w:p w14:paraId="76EE0892" w14:textId="77777777" w:rsidR="00884AB9" w:rsidRPr="00D6743F" w:rsidRDefault="00884AB9" w:rsidP="003B0597">
      <w:pPr>
        <w:spacing w:after="240" w:line="276" w:lineRule="auto"/>
        <w:jc w:val="both"/>
        <w:rPr>
          <w:rFonts w:ascii="Times New Roman" w:hAnsi="Times New Roman"/>
          <w:color w:val="000000" w:themeColor="text1"/>
        </w:rPr>
      </w:pPr>
      <w:r w:rsidRPr="00D6743F">
        <w:rPr>
          <w:rFonts w:ascii="Times New Roman" w:hAnsi="Times New Roman"/>
          <w:color w:val="000000" w:themeColor="text1"/>
        </w:rPr>
        <w:t xml:space="preserve">Feed Conversion Ratio (FCR) is defined as the relation between the input of the feed and the weight gain of population. The Feed </w:t>
      </w:r>
      <w:r w:rsidRPr="00D6743F">
        <w:rPr>
          <w:rFonts w:ascii="Times New Roman" w:hAnsi="Times New Roman"/>
          <w:color w:val="000000" w:themeColor="text1"/>
        </w:rPr>
        <w:t>Conversion Ratio was calculated by the following formula:</w:t>
      </w:r>
    </w:p>
    <w:p w14:paraId="37AC7004" w14:textId="1753433D" w:rsidR="00884AB9" w:rsidRPr="003B0597" w:rsidRDefault="00884AB9" w:rsidP="00884AB9">
      <w:pPr>
        <w:rPr>
          <w:rFonts w:ascii="Times New Roman" w:eastAsiaTheme="minorEastAsia" w:hAnsi="Times New Roman"/>
          <w:color w:val="000000" w:themeColor="text1"/>
        </w:rPr>
      </w:pPr>
      <m:oMathPara>
        <m:oMath>
          <m:r>
            <m:rPr>
              <m:sty m:val="p"/>
            </m:rPr>
            <w:rPr>
              <w:rFonts w:ascii="Cambria Math" w:hAnsi="Cambria Math"/>
              <w:color w:val="000000" w:themeColor="text1"/>
            </w:rPr>
            <m:t>FCR=</m:t>
          </m:r>
          <m:f>
            <m:fPr>
              <m:ctrlPr>
                <w:rPr>
                  <w:rFonts w:ascii="Cambria Math" w:hAnsi="Cambria Math"/>
                  <w:color w:val="000000" w:themeColor="text1"/>
                </w:rPr>
              </m:ctrlPr>
            </m:fPr>
            <m:num>
              <m:r>
                <m:rPr>
                  <m:sty m:val="p"/>
                </m:rPr>
                <w:rPr>
                  <w:rFonts w:ascii="Cambria Math" w:hAnsi="Cambria Math"/>
                  <w:color w:val="000000" w:themeColor="text1"/>
                </w:rPr>
                <m:t>Feed intake (g)</m:t>
              </m:r>
            </m:num>
            <m:den>
              <m:r>
                <m:rPr>
                  <m:sty m:val="p"/>
                </m:rPr>
                <w:rPr>
                  <w:rFonts w:ascii="Cambria Math" w:hAnsi="Cambria Math"/>
                  <w:color w:val="000000" w:themeColor="text1"/>
                </w:rPr>
                <m:t>Weight gain (g)</m:t>
              </m:r>
            </m:den>
          </m:f>
        </m:oMath>
      </m:oMathPara>
    </w:p>
    <w:p w14:paraId="6D520CE3" w14:textId="40D1F336" w:rsidR="00884AB9" w:rsidRPr="00D6743F" w:rsidRDefault="00380CD6" w:rsidP="00884AB9">
      <w:pPr>
        <w:rPr>
          <w:rFonts w:ascii="Times New Roman" w:hAnsi="Times New Roman"/>
          <w:b/>
          <w:color w:val="000000" w:themeColor="text1"/>
        </w:rPr>
      </w:pPr>
      <w:r>
        <w:rPr>
          <w:rFonts w:ascii="Times New Roman" w:hAnsi="Times New Roman"/>
          <w:b/>
          <w:color w:val="000000" w:themeColor="text1"/>
        </w:rPr>
        <w:t>2.3.4</w:t>
      </w:r>
      <w:r w:rsidR="00884AB9">
        <w:rPr>
          <w:rFonts w:ascii="Times New Roman" w:hAnsi="Times New Roman"/>
          <w:b/>
          <w:color w:val="000000" w:themeColor="text1"/>
        </w:rPr>
        <w:t xml:space="preserve">   Protein efficiency ratio</w:t>
      </w:r>
    </w:p>
    <w:p w14:paraId="7FC54C95" w14:textId="77777777" w:rsidR="00884AB9" w:rsidRPr="00D6743F" w:rsidRDefault="00884AB9" w:rsidP="003B0597">
      <w:pPr>
        <w:spacing w:after="240" w:line="276" w:lineRule="auto"/>
        <w:jc w:val="both"/>
        <w:rPr>
          <w:rFonts w:ascii="Times New Roman" w:hAnsi="Times New Roman"/>
          <w:color w:val="000000" w:themeColor="text1"/>
        </w:rPr>
      </w:pPr>
      <w:r w:rsidRPr="00D6743F">
        <w:rPr>
          <w:rFonts w:ascii="Times New Roman" w:hAnsi="Times New Roman"/>
          <w:color w:val="000000" w:themeColor="text1"/>
        </w:rPr>
        <w:t>Protein efficiency ratio was estimated by the following formula:</w:t>
      </w:r>
    </w:p>
    <w:p w14:paraId="1BC4504A" w14:textId="0B116C6A" w:rsidR="00AA2118" w:rsidRDefault="00884AB9" w:rsidP="00AA2118">
      <w:pPr>
        <w:jc w:val="both"/>
        <w:rPr>
          <w:rFonts w:ascii="Times New Roman" w:eastAsiaTheme="minorEastAsia" w:hAnsi="Times New Roman"/>
          <w:color w:val="000000" w:themeColor="text1"/>
        </w:rPr>
      </w:pPr>
      <m:oMathPara>
        <m:oMath>
          <m:r>
            <m:rPr>
              <m:sty m:val="p"/>
            </m:rPr>
            <w:rPr>
              <w:rFonts w:ascii="Cambria Math" w:hAnsi="Cambria Math"/>
              <w:color w:val="000000" w:themeColor="text1"/>
            </w:rPr>
            <m:t>PER=</m:t>
          </m:r>
          <m:f>
            <m:fPr>
              <m:ctrlPr>
                <w:rPr>
                  <w:rFonts w:ascii="Cambria Math" w:hAnsi="Cambria Math"/>
                  <w:color w:val="000000" w:themeColor="text1"/>
                </w:rPr>
              </m:ctrlPr>
            </m:fPr>
            <m:num>
              <m:r>
                <m:rPr>
                  <m:sty m:val="p"/>
                </m:rPr>
                <w:rPr>
                  <w:rFonts w:ascii="Cambria Math" w:hAnsi="Cambria Math"/>
                  <w:color w:val="000000" w:themeColor="text1"/>
                </w:rPr>
                <m:t>Weight gain (g)</m:t>
              </m:r>
            </m:num>
            <m:den>
              <m:r>
                <m:rPr>
                  <m:sty m:val="p"/>
                </m:rPr>
                <w:rPr>
                  <w:rFonts w:ascii="Cambria Math" w:hAnsi="Cambria Math"/>
                  <w:color w:val="000000" w:themeColor="text1"/>
                </w:rPr>
                <m:t>Protein intake (g)</m:t>
              </m:r>
            </m:den>
          </m:f>
        </m:oMath>
      </m:oMathPara>
    </w:p>
    <w:p w14:paraId="4E1FE184" w14:textId="421FCE03" w:rsidR="00AE03A6" w:rsidRPr="00AA2118" w:rsidRDefault="00AE03A6" w:rsidP="00AA2118">
      <w:pPr>
        <w:jc w:val="both"/>
        <w:rPr>
          <w:rFonts w:ascii="Times New Roman" w:eastAsiaTheme="minorEastAsia" w:hAnsi="Times New Roman"/>
          <w:color w:val="000000" w:themeColor="text1"/>
        </w:rPr>
      </w:pPr>
      <w:r w:rsidRPr="00AE03A6">
        <w:rPr>
          <w:rFonts w:ascii="Times New Roman" w:hAnsi="Times New Roman" w:cs="Times New Roman"/>
          <w:b/>
          <w:bCs/>
          <w:sz w:val="28"/>
          <w:szCs w:val="28"/>
        </w:rPr>
        <w:t xml:space="preserve"> </w:t>
      </w:r>
      <w:r w:rsidR="00380CD6">
        <w:rPr>
          <w:rFonts w:ascii="Times New Roman" w:hAnsi="Times New Roman" w:cs="Times New Roman"/>
          <w:b/>
          <w:bCs/>
          <w:sz w:val="28"/>
          <w:szCs w:val="28"/>
        </w:rPr>
        <w:t xml:space="preserve">2.4   </w:t>
      </w:r>
      <w:r w:rsidRPr="00D6743F">
        <w:rPr>
          <w:rFonts w:ascii="Times New Roman" w:hAnsi="Times New Roman" w:cs="Times New Roman"/>
          <w:b/>
          <w:color w:val="000000" w:themeColor="text1"/>
        </w:rPr>
        <w:t xml:space="preserve">Statistical Analysis of Data </w:t>
      </w:r>
    </w:p>
    <w:p w14:paraId="5010D159" w14:textId="7A20E11F" w:rsidR="00AA2118" w:rsidRPr="003B0597" w:rsidRDefault="00AE03A6" w:rsidP="003B0597">
      <w:pPr>
        <w:shd w:val="clear" w:color="auto" w:fill="FFFFFF"/>
        <w:spacing w:before="240" w:line="276" w:lineRule="auto"/>
        <w:jc w:val="both"/>
        <w:rPr>
          <w:rFonts w:ascii="Times New Roman" w:hAnsi="Times New Roman" w:cs="Times New Roman"/>
          <w:color w:val="000000" w:themeColor="text1"/>
        </w:rPr>
        <w:sectPr w:rsidR="00AA2118" w:rsidRPr="003B0597" w:rsidSect="00FD1A34">
          <w:type w:val="continuous"/>
          <w:pgSz w:w="11906" w:h="16838"/>
          <w:pgMar w:top="1440" w:right="1440" w:bottom="1440" w:left="1440" w:header="708" w:footer="708" w:gutter="0"/>
          <w:cols w:num="2" w:space="708"/>
          <w:docGrid w:linePitch="360"/>
        </w:sectPr>
      </w:pPr>
      <w:r w:rsidRPr="00D6743F">
        <w:rPr>
          <w:rFonts w:ascii="Times New Roman" w:hAnsi="Times New Roman" w:cs="Times New Roman"/>
          <w:color w:val="000000" w:themeColor="text1"/>
        </w:rPr>
        <w:t>The data obtained in the present research work was tabulated and analysed using standard statis</w:t>
      </w:r>
      <w:r>
        <w:rPr>
          <w:rFonts w:ascii="Times New Roman" w:hAnsi="Times New Roman" w:cs="Times New Roman"/>
          <w:color w:val="000000" w:themeColor="text1"/>
        </w:rPr>
        <w:t xml:space="preserve">tical software-Microsoft Excel </w:t>
      </w:r>
      <w:r w:rsidRPr="00D6743F">
        <w:rPr>
          <w:rFonts w:ascii="Times New Roman" w:hAnsi="Times New Roman" w:cs="Times New Roman"/>
          <w:color w:val="000000" w:themeColor="text1"/>
        </w:rPr>
        <w:t>and SPSS for windows (version 20).</w:t>
      </w:r>
    </w:p>
    <w:p w14:paraId="37FFEABD" w14:textId="7B60B8BE" w:rsidR="00AE03A6" w:rsidRPr="003B0597" w:rsidRDefault="00AE03A6" w:rsidP="003B0597">
      <w:pPr>
        <w:pStyle w:val="ListParagraph"/>
        <w:numPr>
          <w:ilvl w:val="0"/>
          <w:numId w:val="1"/>
        </w:numPr>
        <w:ind w:left="426" w:hanging="426"/>
        <w:jc w:val="both"/>
        <w:rPr>
          <w:rFonts w:ascii="Times New Roman" w:eastAsiaTheme="minorEastAsia" w:hAnsi="Times New Roman"/>
          <w:b/>
          <w:bCs/>
          <w:color w:val="000000" w:themeColor="text1"/>
          <w:sz w:val="28"/>
          <w:szCs w:val="28"/>
        </w:rPr>
      </w:pPr>
      <w:commentRangeStart w:id="7"/>
      <w:r w:rsidRPr="003B0597">
        <w:rPr>
          <w:rFonts w:ascii="Times New Roman" w:eastAsiaTheme="minorEastAsia" w:hAnsi="Times New Roman"/>
          <w:b/>
          <w:bCs/>
          <w:color w:val="000000" w:themeColor="text1"/>
          <w:sz w:val="28"/>
          <w:szCs w:val="28"/>
        </w:rPr>
        <w:t>RESULTS AND DISCUSSION</w:t>
      </w:r>
      <w:commentRangeEnd w:id="7"/>
      <w:r w:rsidR="00252AAD">
        <w:rPr>
          <w:rStyle w:val="CommentReference"/>
        </w:rPr>
        <w:commentReference w:id="7"/>
      </w:r>
    </w:p>
    <w:p w14:paraId="349F4D53" w14:textId="77777777" w:rsidR="00AA2118" w:rsidRDefault="00AA2118" w:rsidP="00884AB9">
      <w:pPr>
        <w:spacing w:after="240" w:line="360" w:lineRule="auto"/>
        <w:ind w:firstLine="360"/>
        <w:jc w:val="both"/>
        <w:rPr>
          <w:color w:val="000000" w:themeColor="text1"/>
        </w:rPr>
        <w:sectPr w:rsidR="00AA2118" w:rsidSect="00FD1A34">
          <w:type w:val="continuous"/>
          <w:pgSz w:w="11906" w:h="16838"/>
          <w:pgMar w:top="1440" w:right="1440" w:bottom="1440" w:left="1440" w:header="708" w:footer="708" w:gutter="0"/>
          <w:cols w:num="2" w:space="708"/>
          <w:docGrid w:linePitch="360"/>
        </w:sectPr>
      </w:pPr>
    </w:p>
    <w:p w14:paraId="2B571D02" w14:textId="286ACFBB" w:rsidR="003B0597" w:rsidRDefault="005E61AF" w:rsidP="00157C00">
      <w:pPr>
        <w:spacing w:line="276" w:lineRule="auto"/>
        <w:jc w:val="both"/>
        <w:rPr>
          <w:rFonts w:ascii="Times New Roman" w:hAnsi="Times New Roman" w:cs="Times New Roman"/>
        </w:rPr>
      </w:pPr>
      <w:r w:rsidRPr="003B0597">
        <w:rPr>
          <w:rFonts w:ascii="Times New Roman" w:hAnsi="Times New Roman" w:cs="Times New Roman"/>
        </w:rPr>
        <w:t>The dietary administration of</w:t>
      </w:r>
      <w:r w:rsidR="00667669">
        <w:rPr>
          <w:rFonts w:ascii="Times New Roman" w:hAnsi="Times New Roman" w:cs="Times New Roman"/>
        </w:rPr>
        <w:t xml:space="preserve"> phytoestrogen</w:t>
      </w:r>
      <w:r w:rsidRPr="003B0597">
        <w:rPr>
          <w:rFonts w:ascii="Times New Roman" w:hAnsi="Times New Roman" w:cs="Times New Roman"/>
        </w:rPr>
        <w:t xml:space="preserve"> genistein at </w:t>
      </w:r>
      <w:r w:rsidR="002110FA">
        <w:rPr>
          <w:rFonts w:ascii="Times New Roman" w:hAnsi="Times New Roman" w:cs="Times New Roman"/>
        </w:rPr>
        <w:t xml:space="preserve">concentration </w:t>
      </w:r>
      <w:r w:rsidRPr="003B0597">
        <w:rPr>
          <w:rFonts w:ascii="Times New Roman" w:hAnsi="Times New Roman" w:cs="Times New Roman"/>
        </w:rPr>
        <w:t xml:space="preserve">of 0.4, 0.8, and 1.6 g/kg did not elicit any statistically significant effects on the growth performance of common carp, </w:t>
      </w:r>
      <w:r w:rsidRPr="003B0597">
        <w:rPr>
          <w:rFonts w:ascii="Times New Roman" w:hAnsi="Times New Roman" w:cs="Times New Roman"/>
          <w:i/>
          <w:iCs/>
        </w:rPr>
        <w:t>Cyprinus carpio</w:t>
      </w:r>
      <w:r w:rsidR="003B0597">
        <w:rPr>
          <w:rFonts w:ascii="Times New Roman" w:hAnsi="Times New Roman" w:cs="Times New Roman"/>
          <w:i/>
          <w:iCs/>
        </w:rPr>
        <w:t xml:space="preserve"> </w:t>
      </w:r>
      <w:r w:rsidR="003B0597" w:rsidRPr="003B0597">
        <w:rPr>
          <w:rFonts w:ascii="Times New Roman" w:hAnsi="Times New Roman" w:cs="Times New Roman"/>
        </w:rPr>
        <w:t>var</w:t>
      </w:r>
      <w:r w:rsidR="003B0597">
        <w:rPr>
          <w:rFonts w:ascii="Times New Roman" w:hAnsi="Times New Roman" w:cs="Times New Roman"/>
          <w:i/>
          <w:iCs/>
        </w:rPr>
        <w:t>. communis</w:t>
      </w:r>
      <w:r w:rsidR="00667669">
        <w:rPr>
          <w:rFonts w:ascii="Times New Roman" w:hAnsi="Times New Roman" w:cs="Times New Roman"/>
        </w:rPr>
        <w:t xml:space="preserve">. </w:t>
      </w:r>
      <w:r w:rsidRPr="003B0597">
        <w:rPr>
          <w:rFonts w:ascii="Times New Roman" w:hAnsi="Times New Roman" w:cs="Times New Roman"/>
        </w:rPr>
        <w:t xml:space="preserve">The one-way ANOVA </w:t>
      </w:r>
      <w:r w:rsidR="002110FA">
        <w:rPr>
          <w:rFonts w:ascii="Times New Roman" w:hAnsi="Times New Roman" w:cs="Times New Roman"/>
        </w:rPr>
        <w:t xml:space="preserve">results indicated </w:t>
      </w:r>
      <w:r w:rsidRPr="003B0597">
        <w:rPr>
          <w:rFonts w:ascii="Times New Roman" w:hAnsi="Times New Roman" w:cs="Times New Roman"/>
        </w:rPr>
        <w:t xml:space="preserve">no significant differences among the four dietary groups </w:t>
      </w:r>
      <w:r w:rsidR="002110FA">
        <w:rPr>
          <w:rFonts w:ascii="Times New Roman" w:hAnsi="Times New Roman" w:cs="Times New Roman"/>
        </w:rPr>
        <w:t>in terms of</w:t>
      </w:r>
      <w:r w:rsidRPr="003B0597">
        <w:rPr>
          <w:rFonts w:ascii="Times New Roman" w:hAnsi="Times New Roman" w:cs="Times New Roman"/>
        </w:rPr>
        <w:t xml:space="preserve"> percentage weight gain (PWG), specific growth rate (SGR), feed conversion ratio (FCR), or protein efficiency ratio (PER) (</w:t>
      </w:r>
      <w:commentRangeStart w:id="8"/>
      <w:r w:rsidRPr="003B0597">
        <w:rPr>
          <w:rFonts w:ascii="Times New Roman" w:hAnsi="Times New Roman" w:cs="Times New Roman"/>
        </w:rPr>
        <w:t>P</w:t>
      </w:r>
      <w:r w:rsidR="002110FA">
        <w:rPr>
          <w:rFonts w:ascii="Times New Roman" w:hAnsi="Times New Roman" w:cs="Times New Roman"/>
        </w:rPr>
        <w:t xml:space="preserve"> </w:t>
      </w:r>
      <w:r w:rsidRPr="003B0597">
        <w:rPr>
          <w:rFonts w:ascii="Times New Roman" w:hAnsi="Times New Roman" w:cs="Times New Roman"/>
        </w:rPr>
        <w:t>&gt;</w:t>
      </w:r>
      <w:r w:rsidR="002110FA">
        <w:rPr>
          <w:rFonts w:ascii="Times New Roman" w:hAnsi="Times New Roman" w:cs="Times New Roman"/>
        </w:rPr>
        <w:t xml:space="preserve"> </w:t>
      </w:r>
      <w:r w:rsidRPr="003B0597">
        <w:rPr>
          <w:rFonts w:ascii="Times New Roman" w:hAnsi="Times New Roman" w:cs="Times New Roman"/>
        </w:rPr>
        <w:t>0.05 for all parameters</w:t>
      </w:r>
      <w:commentRangeEnd w:id="8"/>
      <w:r w:rsidR="00252AAD">
        <w:rPr>
          <w:rStyle w:val="CommentReference"/>
        </w:rPr>
        <w:commentReference w:id="8"/>
      </w:r>
      <w:r w:rsidRPr="003B0597">
        <w:rPr>
          <w:rFonts w:ascii="Times New Roman" w:hAnsi="Times New Roman" w:cs="Times New Roman"/>
        </w:rPr>
        <w:t>).</w:t>
      </w:r>
      <w:r w:rsidR="00157C00">
        <w:rPr>
          <w:rFonts w:ascii="Times New Roman" w:hAnsi="Times New Roman" w:cs="Times New Roman"/>
        </w:rPr>
        <w:t xml:space="preserve"> </w:t>
      </w:r>
      <w:r w:rsidR="002110FA">
        <w:rPr>
          <w:rFonts w:ascii="Times New Roman" w:hAnsi="Times New Roman" w:cs="Times New Roman"/>
        </w:rPr>
        <w:t xml:space="preserve">Although the results were not </w:t>
      </w:r>
      <w:r w:rsidRPr="003B0597">
        <w:rPr>
          <w:rFonts w:ascii="Times New Roman" w:hAnsi="Times New Roman" w:cs="Times New Roman"/>
        </w:rPr>
        <w:t>statistical</w:t>
      </w:r>
      <w:r w:rsidR="00AD4B0D">
        <w:rPr>
          <w:rFonts w:ascii="Times New Roman" w:hAnsi="Times New Roman" w:cs="Times New Roman"/>
        </w:rPr>
        <w:t>ly</w:t>
      </w:r>
      <w:r w:rsidRPr="003B0597">
        <w:rPr>
          <w:rFonts w:ascii="Times New Roman" w:hAnsi="Times New Roman" w:cs="Times New Roman"/>
        </w:rPr>
        <w:t xml:space="preserve"> significan</w:t>
      </w:r>
      <w:r w:rsidR="002110FA">
        <w:rPr>
          <w:rFonts w:ascii="Times New Roman" w:hAnsi="Times New Roman" w:cs="Times New Roman"/>
        </w:rPr>
        <w:t>t</w:t>
      </w:r>
      <w:r w:rsidRPr="003B0597">
        <w:rPr>
          <w:rFonts w:ascii="Times New Roman" w:hAnsi="Times New Roman" w:cs="Times New Roman"/>
        </w:rPr>
        <w:t>, certain numerical trends were observed</w:t>
      </w:r>
      <w:r w:rsidR="002110FA">
        <w:rPr>
          <w:rFonts w:ascii="Times New Roman" w:hAnsi="Times New Roman" w:cs="Times New Roman"/>
        </w:rPr>
        <w:t xml:space="preserve"> among the treatments</w:t>
      </w:r>
      <w:r w:rsidRPr="003B0597">
        <w:rPr>
          <w:rFonts w:ascii="Times New Roman" w:hAnsi="Times New Roman" w:cs="Times New Roman"/>
        </w:rPr>
        <w:t xml:space="preserve">. The group </w:t>
      </w:r>
      <w:r w:rsidR="002110FA">
        <w:rPr>
          <w:rFonts w:ascii="Times New Roman" w:hAnsi="Times New Roman" w:cs="Times New Roman"/>
        </w:rPr>
        <w:t>fed with</w:t>
      </w:r>
      <w:r w:rsidRPr="003B0597">
        <w:rPr>
          <w:rFonts w:ascii="Times New Roman" w:hAnsi="Times New Roman" w:cs="Times New Roman"/>
        </w:rPr>
        <w:t xml:space="preserve"> the highest </w:t>
      </w:r>
      <w:r w:rsidR="002110FA">
        <w:rPr>
          <w:rFonts w:ascii="Times New Roman" w:hAnsi="Times New Roman" w:cs="Times New Roman"/>
        </w:rPr>
        <w:t>concentration</w:t>
      </w:r>
      <w:r w:rsidRPr="003B0597">
        <w:rPr>
          <w:rFonts w:ascii="Times New Roman" w:hAnsi="Times New Roman" w:cs="Times New Roman"/>
        </w:rPr>
        <w:t xml:space="preserve"> of genistein (T3; 1.6 g/kg) </w:t>
      </w:r>
      <w:r w:rsidR="002110FA">
        <w:rPr>
          <w:rFonts w:ascii="Times New Roman" w:hAnsi="Times New Roman" w:cs="Times New Roman"/>
        </w:rPr>
        <w:t xml:space="preserve">showed </w:t>
      </w:r>
      <w:r w:rsidRPr="003B0597">
        <w:rPr>
          <w:rFonts w:ascii="Times New Roman" w:hAnsi="Times New Roman" w:cs="Times New Roman"/>
        </w:rPr>
        <w:t>the highest mean</w:t>
      </w:r>
      <w:r w:rsidR="002110FA">
        <w:rPr>
          <w:rFonts w:ascii="Times New Roman" w:hAnsi="Times New Roman" w:cs="Times New Roman"/>
        </w:rPr>
        <w:t xml:space="preserve"> percentage weight gain</w:t>
      </w:r>
      <w:r w:rsidRPr="003B0597">
        <w:rPr>
          <w:rFonts w:ascii="Times New Roman" w:hAnsi="Times New Roman" w:cs="Times New Roman"/>
        </w:rPr>
        <w:t xml:space="preserve"> (75.48 ± 0.98%) and </w:t>
      </w:r>
      <w:r w:rsidR="002110FA">
        <w:rPr>
          <w:rFonts w:ascii="Times New Roman" w:hAnsi="Times New Roman" w:cs="Times New Roman"/>
        </w:rPr>
        <w:t xml:space="preserve">specific growth rate </w:t>
      </w:r>
      <w:r w:rsidRPr="003B0597">
        <w:rPr>
          <w:rFonts w:ascii="Times New Roman" w:hAnsi="Times New Roman" w:cs="Times New Roman"/>
        </w:rPr>
        <w:t xml:space="preserve">(0.63 ± 0.01 %/day). In contrast, the lowest </w:t>
      </w:r>
      <w:r w:rsidR="002110FA">
        <w:rPr>
          <w:rFonts w:ascii="Times New Roman" w:hAnsi="Times New Roman" w:cs="Times New Roman"/>
        </w:rPr>
        <w:t>percentage weight gain</w:t>
      </w:r>
      <w:r w:rsidR="002110FA" w:rsidRPr="003B0597">
        <w:rPr>
          <w:rFonts w:ascii="Times New Roman" w:hAnsi="Times New Roman" w:cs="Times New Roman"/>
        </w:rPr>
        <w:t xml:space="preserve"> </w:t>
      </w:r>
      <w:r w:rsidRPr="003B0597">
        <w:rPr>
          <w:rFonts w:ascii="Times New Roman" w:hAnsi="Times New Roman" w:cs="Times New Roman"/>
        </w:rPr>
        <w:t>(71.86 ± 2.30%) and</w:t>
      </w:r>
      <w:r w:rsidR="00AD4B0D">
        <w:rPr>
          <w:rFonts w:ascii="Times New Roman" w:hAnsi="Times New Roman" w:cs="Times New Roman"/>
        </w:rPr>
        <w:t xml:space="preserve"> specific growth rate</w:t>
      </w:r>
      <w:r w:rsidRPr="003B0597">
        <w:rPr>
          <w:rFonts w:ascii="Times New Roman" w:hAnsi="Times New Roman" w:cs="Times New Roman"/>
        </w:rPr>
        <w:t xml:space="preserve"> (0.60 ± 0.01 %/day) were recorded in the</w:t>
      </w:r>
      <w:r w:rsidR="002110FA">
        <w:rPr>
          <w:rFonts w:ascii="Times New Roman" w:hAnsi="Times New Roman" w:cs="Times New Roman"/>
        </w:rPr>
        <w:t xml:space="preserve"> group </w:t>
      </w:r>
      <w:r w:rsidR="002110FA">
        <w:rPr>
          <w:rFonts w:ascii="Times New Roman" w:hAnsi="Times New Roman" w:cs="Times New Roman"/>
        </w:rPr>
        <w:t>receiving</w:t>
      </w:r>
      <w:r w:rsidRPr="003B0597">
        <w:rPr>
          <w:rFonts w:ascii="Times New Roman" w:hAnsi="Times New Roman" w:cs="Times New Roman"/>
        </w:rPr>
        <w:t xml:space="preserve"> </w:t>
      </w:r>
      <w:r w:rsidR="002110FA" w:rsidRPr="003B0597">
        <w:rPr>
          <w:rFonts w:ascii="Times New Roman" w:hAnsi="Times New Roman" w:cs="Times New Roman"/>
        </w:rPr>
        <w:t xml:space="preserve">0.4 g/kg </w:t>
      </w:r>
      <w:r w:rsidR="00AD4B0D">
        <w:rPr>
          <w:rFonts w:ascii="Times New Roman" w:hAnsi="Times New Roman" w:cs="Times New Roman"/>
        </w:rPr>
        <w:t xml:space="preserve">of </w:t>
      </w:r>
      <w:r w:rsidR="002110FA" w:rsidRPr="003B0597">
        <w:rPr>
          <w:rFonts w:ascii="Times New Roman" w:hAnsi="Times New Roman" w:cs="Times New Roman"/>
        </w:rPr>
        <w:t xml:space="preserve">genistein </w:t>
      </w:r>
      <w:r w:rsidR="002110FA">
        <w:rPr>
          <w:rFonts w:ascii="Times New Roman" w:hAnsi="Times New Roman" w:cs="Times New Roman"/>
        </w:rPr>
        <w:t>(</w:t>
      </w:r>
      <w:r w:rsidRPr="003B0597">
        <w:rPr>
          <w:rFonts w:ascii="Times New Roman" w:hAnsi="Times New Roman" w:cs="Times New Roman"/>
        </w:rPr>
        <w:t>T1</w:t>
      </w:r>
      <w:r w:rsidR="002110FA">
        <w:rPr>
          <w:rFonts w:ascii="Times New Roman" w:hAnsi="Times New Roman" w:cs="Times New Roman"/>
        </w:rPr>
        <w:t xml:space="preserve">). </w:t>
      </w:r>
      <w:r w:rsidRPr="003B0597">
        <w:rPr>
          <w:rFonts w:ascii="Times New Roman" w:hAnsi="Times New Roman" w:cs="Times New Roman"/>
        </w:rPr>
        <w:t xml:space="preserve">The T3 group also </w:t>
      </w:r>
      <w:r w:rsidR="002110FA">
        <w:rPr>
          <w:rFonts w:ascii="Times New Roman" w:hAnsi="Times New Roman" w:cs="Times New Roman"/>
        </w:rPr>
        <w:t xml:space="preserve">demonstrated </w:t>
      </w:r>
      <w:r w:rsidRPr="003B0597">
        <w:rPr>
          <w:rFonts w:ascii="Times New Roman" w:hAnsi="Times New Roman" w:cs="Times New Roman"/>
        </w:rPr>
        <w:t xml:space="preserve">the most </w:t>
      </w:r>
      <w:r w:rsidR="00AD4B0D" w:rsidRPr="003B0597">
        <w:rPr>
          <w:rFonts w:ascii="Times New Roman" w:hAnsi="Times New Roman" w:cs="Times New Roman"/>
        </w:rPr>
        <w:t>favourable</w:t>
      </w:r>
      <w:r w:rsidRPr="003B0597">
        <w:rPr>
          <w:rFonts w:ascii="Times New Roman" w:hAnsi="Times New Roman" w:cs="Times New Roman"/>
        </w:rPr>
        <w:t xml:space="preserve"> </w:t>
      </w:r>
      <w:r w:rsidR="002110FA">
        <w:rPr>
          <w:rFonts w:ascii="Times New Roman" w:hAnsi="Times New Roman" w:cs="Times New Roman"/>
        </w:rPr>
        <w:t xml:space="preserve">feed conversion ratio </w:t>
      </w:r>
      <w:r w:rsidRPr="003B0597">
        <w:rPr>
          <w:rFonts w:ascii="Times New Roman" w:hAnsi="Times New Roman" w:cs="Times New Roman"/>
        </w:rPr>
        <w:t>(4.57 ± 0.10), representing a 5.2</w:t>
      </w:r>
      <w:r w:rsidR="00AD4B0D">
        <w:rPr>
          <w:rFonts w:ascii="Times New Roman" w:hAnsi="Times New Roman" w:cs="Times New Roman"/>
        </w:rPr>
        <w:t xml:space="preserve"> </w:t>
      </w:r>
      <w:r w:rsidRPr="003B0597">
        <w:rPr>
          <w:rFonts w:ascii="Times New Roman" w:hAnsi="Times New Roman" w:cs="Times New Roman"/>
        </w:rPr>
        <w:t xml:space="preserve">% improvement over the control group, which </w:t>
      </w:r>
      <w:r w:rsidR="00AD4B0D">
        <w:rPr>
          <w:rFonts w:ascii="Times New Roman" w:hAnsi="Times New Roman" w:cs="Times New Roman"/>
        </w:rPr>
        <w:t xml:space="preserve">showed </w:t>
      </w:r>
      <w:r w:rsidRPr="003B0597">
        <w:rPr>
          <w:rFonts w:ascii="Times New Roman" w:hAnsi="Times New Roman" w:cs="Times New Roman"/>
        </w:rPr>
        <w:t xml:space="preserve">the least </w:t>
      </w:r>
      <w:r w:rsidR="00AD4B0D" w:rsidRPr="003B0597">
        <w:rPr>
          <w:rFonts w:ascii="Times New Roman" w:hAnsi="Times New Roman" w:cs="Times New Roman"/>
        </w:rPr>
        <w:t>favourable</w:t>
      </w:r>
      <w:r w:rsidRPr="003B0597">
        <w:rPr>
          <w:rFonts w:ascii="Times New Roman" w:hAnsi="Times New Roman" w:cs="Times New Roman"/>
        </w:rPr>
        <w:t xml:space="preserve"> FCR (4.82 ± 0.14). The </w:t>
      </w:r>
      <w:r w:rsidR="00AD4B0D">
        <w:rPr>
          <w:rFonts w:ascii="Times New Roman" w:hAnsi="Times New Roman" w:cs="Times New Roman"/>
        </w:rPr>
        <w:t>protein efficiency ratio</w:t>
      </w:r>
      <w:r w:rsidRPr="003B0597">
        <w:rPr>
          <w:rFonts w:ascii="Times New Roman" w:hAnsi="Times New Roman" w:cs="Times New Roman"/>
        </w:rPr>
        <w:t xml:space="preserve"> was </w:t>
      </w:r>
      <w:r w:rsidR="00AD4B0D">
        <w:rPr>
          <w:rFonts w:ascii="Times New Roman" w:hAnsi="Times New Roman" w:cs="Times New Roman"/>
        </w:rPr>
        <w:t xml:space="preserve">slightly </w:t>
      </w:r>
      <w:r w:rsidRPr="003B0597">
        <w:rPr>
          <w:rFonts w:ascii="Times New Roman" w:hAnsi="Times New Roman" w:cs="Times New Roman"/>
        </w:rPr>
        <w:t xml:space="preserve">higher in the T1 and T3 groups (0.07 ± 0.002) </w:t>
      </w:r>
      <w:r w:rsidR="00AD4B0D">
        <w:rPr>
          <w:rFonts w:ascii="Times New Roman" w:hAnsi="Times New Roman" w:cs="Times New Roman"/>
        </w:rPr>
        <w:t xml:space="preserve">than in </w:t>
      </w:r>
      <w:r w:rsidRPr="003B0597">
        <w:rPr>
          <w:rFonts w:ascii="Times New Roman" w:hAnsi="Times New Roman" w:cs="Times New Roman"/>
        </w:rPr>
        <w:t>the control and T2 groups (0.06 ± 0.002)</w:t>
      </w:r>
      <w:r w:rsidR="00AD4B0D">
        <w:rPr>
          <w:rFonts w:ascii="Times New Roman" w:hAnsi="Times New Roman" w:cs="Times New Roman"/>
        </w:rPr>
        <w:t xml:space="preserve"> (Table 2). Figure 1 illustrates the comparative growth performance of </w:t>
      </w:r>
      <w:r w:rsidR="00AD4B0D" w:rsidRPr="003B0597">
        <w:rPr>
          <w:rFonts w:ascii="Times New Roman" w:hAnsi="Times New Roman" w:cs="Times New Roman"/>
          <w:i/>
          <w:iCs/>
        </w:rPr>
        <w:t>Cyprinus carpio</w:t>
      </w:r>
      <w:r w:rsidR="00AD4B0D">
        <w:rPr>
          <w:rFonts w:ascii="Times New Roman" w:hAnsi="Times New Roman" w:cs="Times New Roman"/>
          <w:i/>
          <w:iCs/>
        </w:rPr>
        <w:t xml:space="preserve"> </w:t>
      </w:r>
      <w:r w:rsidR="00AD4B0D" w:rsidRPr="003B0597">
        <w:rPr>
          <w:rFonts w:ascii="Times New Roman" w:hAnsi="Times New Roman" w:cs="Times New Roman"/>
        </w:rPr>
        <w:t>var</w:t>
      </w:r>
      <w:r w:rsidR="00AD4B0D">
        <w:rPr>
          <w:rFonts w:ascii="Times New Roman" w:hAnsi="Times New Roman" w:cs="Times New Roman"/>
          <w:i/>
          <w:iCs/>
        </w:rPr>
        <w:t>. communis</w:t>
      </w:r>
      <w:r w:rsidR="00AD4B0D">
        <w:rPr>
          <w:rFonts w:ascii="Times New Roman" w:hAnsi="Times New Roman" w:cs="Times New Roman"/>
        </w:rPr>
        <w:t xml:space="preserve">. </w:t>
      </w:r>
      <w:r w:rsidR="00157C00">
        <w:rPr>
          <w:rFonts w:ascii="Times New Roman" w:hAnsi="Times New Roman" w:cs="Times New Roman"/>
        </w:rPr>
        <w:t xml:space="preserve">The stacked bar graph shows the combined trends of different growth parameters for each treatment group.  </w:t>
      </w:r>
    </w:p>
    <w:p w14:paraId="065E2CD2" w14:textId="4AC6883B" w:rsidR="00191A87" w:rsidRDefault="00191A87" w:rsidP="00191A87">
      <w:pPr>
        <w:spacing w:after="240" w:line="276" w:lineRule="auto"/>
        <w:ind w:firstLine="720"/>
        <w:jc w:val="both"/>
        <w:rPr>
          <w:rFonts w:ascii="Times New Roman" w:hAnsi="Times New Roman" w:cs="Times New Roman"/>
        </w:rPr>
      </w:pPr>
      <w:r w:rsidRPr="00191A87">
        <w:rPr>
          <w:rFonts w:ascii="Times New Roman" w:hAnsi="Times New Roman" w:cs="Times New Roman"/>
        </w:rPr>
        <w:t xml:space="preserve">The findings in the present </w:t>
      </w:r>
      <w:r>
        <w:rPr>
          <w:rFonts w:ascii="Times New Roman" w:hAnsi="Times New Roman" w:cs="Times New Roman"/>
        </w:rPr>
        <w:t xml:space="preserve">study </w:t>
      </w:r>
      <w:r w:rsidRPr="00191A87">
        <w:rPr>
          <w:rFonts w:ascii="Times New Roman" w:hAnsi="Times New Roman" w:cs="Times New Roman"/>
        </w:rPr>
        <w:t xml:space="preserve">align with those of Jourdehi </w:t>
      </w:r>
      <w:r w:rsidRPr="00191A87">
        <w:rPr>
          <w:rFonts w:ascii="Times New Roman" w:hAnsi="Times New Roman" w:cs="Times New Roman"/>
          <w:i/>
        </w:rPr>
        <w:t>et al.</w:t>
      </w:r>
      <w:r w:rsidRPr="00191A87">
        <w:rPr>
          <w:rFonts w:ascii="Times New Roman" w:hAnsi="Times New Roman" w:cs="Times New Roman"/>
        </w:rPr>
        <w:t xml:space="preserve"> (2014), who examined the effect of dietary soy phytoestrogen Genistein on growth parameters in farmed female beluga sturgeon, </w:t>
      </w:r>
      <w:r w:rsidRPr="00191A87">
        <w:rPr>
          <w:rFonts w:ascii="Times New Roman" w:hAnsi="Times New Roman" w:cs="Times New Roman"/>
          <w:i/>
        </w:rPr>
        <w:t xml:space="preserve">Huso huso. </w:t>
      </w:r>
      <w:r w:rsidRPr="00191A87">
        <w:rPr>
          <w:rFonts w:ascii="Times New Roman" w:hAnsi="Times New Roman" w:cs="Times New Roman"/>
        </w:rPr>
        <w:t xml:space="preserve">Their study found that different concentrations of purified Genistein (0.0, 0.2, 0.4, 0.8 and 1.6 g/kg) </w:t>
      </w:r>
      <w:r w:rsidRPr="00191A87">
        <w:rPr>
          <w:rFonts w:ascii="Times New Roman" w:hAnsi="Times New Roman" w:cs="Times New Roman"/>
        </w:rPr>
        <w:lastRenderedPageBreak/>
        <w:t>did not produce significant differences in growth rate (GR), food conversion ratio (FCR), specific growth ratio (SGR) and protein conversion ratio (PER) compared to that of control group.</w:t>
      </w:r>
      <w:r w:rsidRPr="00191A87">
        <w:rPr>
          <w:rFonts w:ascii="Times New Roman" w:hAnsi="Times New Roman" w:cs="Times New Roman"/>
          <w:color w:val="000000" w:themeColor="text1"/>
        </w:rPr>
        <w:t xml:space="preserve"> Similarly, </w:t>
      </w:r>
      <w:r w:rsidRPr="00191A87">
        <w:rPr>
          <w:rFonts w:ascii="Times New Roman" w:hAnsi="Times New Roman" w:cs="Times New Roman"/>
        </w:rPr>
        <w:t xml:space="preserve">Inudo </w:t>
      </w:r>
      <w:r w:rsidRPr="00191A87">
        <w:rPr>
          <w:rFonts w:ascii="Times New Roman" w:hAnsi="Times New Roman" w:cs="Times New Roman"/>
          <w:i/>
        </w:rPr>
        <w:t xml:space="preserve">et al. </w:t>
      </w:r>
      <w:r w:rsidRPr="00191A87">
        <w:rPr>
          <w:rFonts w:ascii="Times New Roman" w:hAnsi="Times New Roman" w:cs="Times New Roman"/>
        </w:rPr>
        <w:t>(2004) also reported no significant differences in total length and body weight of adult mature male/female pairs of medaka (</w:t>
      </w:r>
      <w:r w:rsidRPr="00191A87">
        <w:rPr>
          <w:rFonts w:ascii="Times New Roman" w:hAnsi="Times New Roman" w:cs="Times New Roman"/>
          <w:i/>
        </w:rPr>
        <w:t>Oryzias latipes</w:t>
      </w:r>
      <w:r w:rsidRPr="00191A87">
        <w:rPr>
          <w:rFonts w:ascii="Times New Roman" w:hAnsi="Times New Roman" w:cs="Times New Roman"/>
        </w:rPr>
        <w:t xml:space="preserve">) at different concentrations of Genistein. Pollack </w:t>
      </w:r>
      <w:r w:rsidRPr="00191A87">
        <w:rPr>
          <w:rFonts w:ascii="Times New Roman" w:hAnsi="Times New Roman" w:cs="Times New Roman"/>
          <w:i/>
        </w:rPr>
        <w:t>et al.</w:t>
      </w:r>
      <w:r w:rsidRPr="00191A87">
        <w:rPr>
          <w:rFonts w:ascii="Times New Roman" w:hAnsi="Times New Roman" w:cs="Times New Roman"/>
        </w:rPr>
        <w:t xml:space="preserve"> (2003) also reported no notable variation in body weight gain between control and any of the treatment groups when Genistein was included in the diet of striped bass </w:t>
      </w:r>
      <w:r w:rsidRPr="00191A87">
        <w:rPr>
          <w:rFonts w:ascii="Times New Roman" w:hAnsi="Times New Roman" w:cs="Times New Roman"/>
          <w:i/>
        </w:rPr>
        <w:t>Morone saxatilis</w:t>
      </w:r>
      <w:r w:rsidRPr="00191A87">
        <w:rPr>
          <w:rFonts w:ascii="Times New Roman" w:hAnsi="Times New Roman" w:cs="Times New Roman"/>
        </w:rPr>
        <w:t xml:space="preserve"> at concentrations (2mg/g and 8mg/g).</w:t>
      </w:r>
      <w:r>
        <w:t xml:space="preserve"> </w:t>
      </w:r>
      <w:r w:rsidRPr="00191A87">
        <w:rPr>
          <w:rFonts w:ascii="Times New Roman" w:hAnsi="Times New Roman" w:cs="Times New Roman"/>
        </w:rPr>
        <w:t xml:space="preserve">Consistent findings have also been reported by Turker and Bozcaarmutlu (2009) and Torno </w:t>
      </w:r>
      <w:r w:rsidRPr="00191A87">
        <w:rPr>
          <w:rFonts w:ascii="Times New Roman" w:hAnsi="Times New Roman" w:cs="Times New Roman"/>
          <w:i/>
        </w:rPr>
        <w:t>et al.</w:t>
      </w:r>
      <w:r w:rsidRPr="00191A87">
        <w:rPr>
          <w:rFonts w:ascii="Times New Roman" w:hAnsi="Times New Roman" w:cs="Times New Roman"/>
        </w:rPr>
        <w:t xml:space="preserve"> (2018), who reported no significant effect of Genistein on growth related parameters in common carp and rainbow trout respectively.</w:t>
      </w:r>
      <w:r>
        <w:rPr>
          <w:rFonts w:ascii="Times New Roman" w:hAnsi="Times New Roman" w:cs="Times New Roman"/>
        </w:rPr>
        <w:t xml:space="preserve"> </w:t>
      </w:r>
      <w:r w:rsidRPr="00191A87">
        <w:rPr>
          <w:rFonts w:ascii="Times New Roman" w:hAnsi="Times New Roman" w:cs="Times New Roman"/>
        </w:rPr>
        <w:t xml:space="preserve">Fickler </w:t>
      </w:r>
      <w:r w:rsidRPr="00191A87">
        <w:rPr>
          <w:rFonts w:ascii="Times New Roman" w:hAnsi="Times New Roman" w:cs="Times New Roman"/>
          <w:i/>
        </w:rPr>
        <w:t>et al.</w:t>
      </w:r>
      <w:r w:rsidRPr="00191A87">
        <w:rPr>
          <w:rFonts w:ascii="Times New Roman" w:hAnsi="Times New Roman" w:cs="Times New Roman"/>
        </w:rPr>
        <w:t xml:space="preserve"> (2019) while studying the dietary effect of Genistein on DHA biosynthesis in rainbow trout (</w:t>
      </w:r>
      <w:r w:rsidRPr="00191A87">
        <w:rPr>
          <w:rFonts w:ascii="Times New Roman" w:hAnsi="Times New Roman" w:cs="Times New Roman"/>
          <w:i/>
        </w:rPr>
        <w:t>Oncorhynchus mykiss</w:t>
      </w:r>
      <w:r w:rsidRPr="00191A87">
        <w:rPr>
          <w:rFonts w:ascii="Times New Roman" w:hAnsi="Times New Roman" w:cs="Times New Roman"/>
        </w:rPr>
        <w:t xml:space="preserve">) reported that the dose of 1.5 g/kg DM dietary Genistein seemed to have no effect on the growth performance of rainbow trout. Also, the feed conversion ratios were not affected in response to dietary Genistein treatment. Genistein did not affect feed conversion negatively but induced a significant reduction in feed intake. Authors assumed that the bitterness of phytochemicals partly contributed to the decrease in feed intake. </w:t>
      </w:r>
    </w:p>
    <w:p w14:paraId="0C0055CD" w14:textId="7ACD204B" w:rsidR="00FD1A34" w:rsidRDefault="00191A87" w:rsidP="00191A87">
      <w:pPr>
        <w:spacing w:after="240" w:line="276" w:lineRule="auto"/>
        <w:ind w:firstLine="720"/>
        <w:jc w:val="both"/>
        <w:rPr>
          <w:rFonts w:ascii="Times New Roman" w:hAnsi="Times New Roman" w:cs="Times New Roman"/>
        </w:rPr>
        <w:sectPr w:rsidR="00FD1A34" w:rsidSect="00FD1A34">
          <w:type w:val="continuous"/>
          <w:pgSz w:w="11906" w:h="16838"/>
          <w:pgMar w:top="1440" w:right="1440" w:bottom="1440" w:left="1440" w:header="708" w:footer="708" w:gutter="0"/>
          <w:cols w:num="2" w:space="708"/>
          <w:docGrid w:linePitch="360"/>
        </w:sectPr>
      </w:pPr>
      <w:r>
        <w:rPr>
          <w:rFonts w:ascii="Times New Roman" w:hAnsi="Times New Roman" w:cs="Times New Roman"/>
        </w:rPr>
        <w:t>In contrast</w:t>
      </w:r>
      <w:r w:rsidRPr="00191A87">
        <w:rPr>
          <w:rFonts w:ascii="Times New Roman" w:hAnsi="Times New Roman" w:cs="Times New Roman"/>
        </w:rPr>
        <w:t xml:space="preserve">, DiMaggio </w:t>
      </w:r>
      <w:r w:rsidRPr="00191A87">
        <w:rPr>
          <w:rFonts w:ascii="Times New Roman" w:hAnsi="Times New Roman" w:cs="Times New Roman"/>
          <w:i/>
        </w:rPr>
        <w:t>et al.</w:t>
      </w:r>
      <w:r w:rsidRPr="00191A87">
        <w:rPr>
          <w:rFonts w:ascii="Times New Roman" w:hAnsi="Times New Roman" w:cs="Times New Roman"/>
        </w:rPr>
        <w:t xml:space="preserve"> (2016) and And</w:t>
      </w:r>
      <w:r w:rsidRPr="00191A87">
        <w:rPr>
          <w:rFonts w:ascii="Times New Roman" w:hAnsi="Times New Roman" w:cs="Times New Roman"/>
          <w:i/>
          <w:iCs/>
        </w:rPr>
        <w:t xml:space="preserve"> et al.</w:t>
      </w:r>
      <w:r w:rsidRPr="00191A87">
        <w:rPr>
          <w:rFonts w:ascii="Times New Roman" w:hAnsi="Times New Roman" w:cs="Times New Roman"/>
        </w:rPr>
        <w:t xml:space="preserve"> (1999) have reported negative effects of Genistein on fish growth, with the former noting reduced growth in southern flounder at high doses (1000 mg/kg feed), and the latter observing decreased lengths and weights in female yellow perch (</w:t>
      </w:r>
      <w:r w:rsidRPr="00191A87">
        <w:rPr>
          <w:rFonts w:ascii="Times New Roman" w:hAnsi="Times New Roman" w:cs="Times New Roman"/>
          <w:i/>
        </w:rPr>
        <w:t>Perca flavescens</w:t>
      </w:r>
      <w:r w:rsidRPr="00191A87">
        <w:rPr>
          <w:rFonts w:ascii="Times New Roman" w:hAnsi="Times New Roman" w:cs="Times New Roman"/>
        </w:rPr>
        <w:t xml:space="preserve">) at </w:t>
      </w:r>
      <w:r w:rsidRPr="00191A87">
        <w:rPr>
          <w:rFonts w:ascii="Times New Roman" w:hAnsi="Times New Roman" w:cs="Times New Roman"/>
        </w:rPr>
        <w:t xml:space="preserve">Genistein concentration of 7.5 g/kg feed. Another study conducted by Chen </w:t>
      </w:r>
      <w:r w:rsidRPr="00191A87">
        <w:rPr>
          <w:rFonts w:ascii="Times New Roman" w:hAnsi="Times New Roman" w:cs="Times New Roman"/>
          <w:i/>
        </w:rPr>
        <w:t>et al.</w:t>
      </w:r>
      <w:r w:rsidRPr="00191A87">
        <w:rPr>
          <w:rFonts w:ascii="Times New Roman" w:hAnsi="Times New Roman" w:cs="Times New Roman"/>
        </w:rPr>
        <w:t xml:space="preserve"> (2015) have also reported negative growth performance in Nile tilapia while feeding a diet containing 3000 µg/g Genistein</w:t>
      </w:r>
      <w:r>
        <w:rPr>
          <w:rFonts w:ascii="Times New Roman" w:hAnsi="Times New Roman" w:cs="Times New Roman"/>
        </w:rPr>
        <w:t>. However,</w:t>
      </w:r>
      <w:r w:rsidRPr="00191A87">
        <w:rPr>
          <w:rFonts w:ascii="Times New Roman" w:hAnsi="Times New Roman" w:cs="Times New Roman"/>
        </w:rPr>
        <w:t xml:space="preserve"> a positive influence of Genistein on fish growth performance has been demonstrated by Bagheri </w:t>
      </w:r>
      <w:r w:rsidRPr="00191A87">
        <w:rPr>
          <w:rFonts w:ascii="Times New Roman" w:hAnsi="Times New Roman" w:cs="Times New Roman"/>
          <w:i/>
        </w:rPr>
        <w:t>et al.</w:t>
      </w:r>
      <w:r w:rsidRPr="00191A87">
        <w:rPr>
          <w:rFonts w:ascii="Times New Roman" w:hAnsi="Times New Roman" w:cs="Times New Roman"/>
        </w:rPr>
        <w:t xml:space="preserve"> (2014) who reported an increase in growth of goldfish (</w:t>
      </w:r>
      <w:r w:rsidRPr="00191A87">
        <w:rPr>
          <w:rFonts w:ascii="Times New Roman" w:hAnsi="Times New Roman" w:cs="Times New Roman"/>
          <w:i/>
        </w:rPr>
        <w:t>Carassius auratus</w:t>
      </w:r>
      <w:r w:rsidRPr="00191A87">
        <w:rPr>
          <w:rFonts w:ascii="Times New Roman" w:hAnsi="Times New Roman" w:cs="Times New Roman"/>
        </w:rPr>
        <w:t xml:space="preserve">) when fed with a diet containing a mixture of Daidzein and Genistein (67.82 and 75.83 mg/kg feed respectively) in comparison with diets containing lower levels of the isoflavone mixture. Likewise, Yang </w:t>
      </w:r>
      <w:r w:rsidRPr="00191A87">
        <w:rPr>
          <w:rFonts w:ascii="Times New Roman" w:hAnsi="Times New Roman" w:cs="Times New Roman"/>
          <w:i/>
        </w:rPr>
        <w:t>et al.</w:t>
      </w:r>
      <w:r w:rsidRPr="00191A87">
        <w:rPr>
          <w:rFonts w:ascii="Times New Roman" w:hAnsi="Times New Roman" w:cs="Times New Roman"/>
        </w:rPr>
        <w:t xml:space="preserve"> (2022) have also reported a significant improvement in growth performance with higher FBW, WGR and SGR in common carp fed with diet containing 100 and 500 mg/kg of Genistein. </w:t>
      </w:r>
      <w:r>
        <w:rPr>
          <w:rFonts w:ascii="Times New Roman" w:hAnsi="Times New Roman" w:cs="Times New Roman"/>
        </w:rPr>
        <w:t xml:space="preserve"> </w:t>
      </w:r>
      <w:r w:rsidRPr="00191A87">
        <w:rPr>
          <w:rFonts w:ascii="Times New Roman" w:hAnsi="Times New Roman" w:cs="Times New Roman"/>
        </w:rPr>
        <w:t xml:space="preserve">The absence of significant growth effects in the present study may be attributed to factors other than dietary concentration, as the levels of Genistein used (0.4-1.6 g/kg feed) have been reported in previous studies to produce varied outcomes. For instance, positive growth effects in </w:t>
      </w:r>
      <w:r w:rsidRPr="00191A87">
        <w:rPr>
          <w:rFonts w:ascii="Times New Roman" w:hAnsi="Times New Roman" w:cs="Times New Roman"/>
          <w:i/>
        </w:rPr>
        <w:t>Cyprinus carpio</w:t>
      </w:r>
      <w:r w:rsidRPr="00191A87">
        <w:rPr>
          <w:rFonts w:ascii="Times New Roman" w:hAnsi="Times New Roman" w:cs="Times New Roman"/>
        </w:rPr>
        <w:t xml:space="preserve"> var. </w:t>
      </w:r>
      <w:r w:rsidRPr="00191A87">
        <w:rPr>
          <w:rFonts w:ascii="Times New Roman" w:hAnsi="Times New Roman" w:cs="Times New Roman"/>
          <w:i/>
        </w:rPr>
        <w:t>communis</w:t>
      </w:r>
      <w:r w:rsidRPr="00191A87">
        <w:rPr>
          <w:rFonts w:ascii="Times New Roman" w:hAnsi="Times New Roman" w:cs="Times New Roman"/>
        </w:rPr>
        <w:t xml:space="preserve"> have been observed at lower concentrations (0.1-0.5 g/kg; Yang </w:t>
      </w:r>
      <w:r w:rsidRPr="00191A87">
        <w:rPr>
          <w:rFonts w:ascii="Times New Roman" w:hAnsi="Times New Roman" w:cs="Times New Roman"/>
          <w:i/>
          <w:iCs/>
        </w:rPr>
        <w:t>et al.,</w:t>
      </w:r>
      <w:r w:rsidRPr="00191A87">
        <w:rPr>
          <w:rFonts w:ascii="Times New Roman" w:hAnsi="Times New Roman" w:cs="Times New Roman"/>
        </w:rPr>
        <w:t xml:space="preserve"> 2021) while negative growth responses have been documented at similar doses (1 g/kg; DiMaggio </w:t>
      </w:r>
      <w:r w:rsidRPr="00191A87">
        <w:rPr>
          <w:rFonts w:ascii="Times New Roman" w:hAnsi="Times New Roman" w:cs="Times New Roman"/>
          <w:i/>
          <w:iCs/>
        </w:rPr>
        <w:t>et al.,</w:t>
      </w:r>
      <w:r w:rsidRPr="00191A87">
        <w:rPr>
          <w:rFonts w:ascii="Times New Roman" w:hAnsi="Times New Roman" w:cs="Times New Roman"/>
        </w:rPr>
        <w:t xml:space="preserve"> 2016) and higher doses (3 g/kg; Chakraborty </w:t>
      </w:r>
      <w:r w:rsidRPr="00191A87">
        <w:rPr>
          <w:rFonts w:ascii="Times New Roman" w:hAnsi="Times New Roman" w:cs="Times New Roman"/>
          <w:i/>
          <w:iCs/>
        </w:rPr>
        <w:t>et al.,</w:t>
      </w:r>
      <w:r w:rsidRPr="00191A87">
        <w:rPr>
          <w:rFonts w:ascii="Times New Roman" w:hAnsi="Times New Roman" w:cs="Times New Roman"/>
        </w:rPr>
        <w:t xml:space="preserve"> 2015) in other fish species. </w:t>
      </w:r>
      <w:bookmarkStart w:id="9" w:name="_Hlk210833825"/>
      <w:r w:rsidRPr="00191A87">
        <w:rPr>
          <w:rFonts w:ascii="Times New Roman" w:hAnsi="Times New Roman" w:cs="Times New Roman"/>
        </w:rPr>
        <w:t>Such inconsistencies may be related to differences in species-specific Genistein metabolism and bioavailability.</w:t>
      </w:r>
      <w:bookmarkEnd w:id="9"/>
      <w:r w:rsidRPr="00191A87">
        <w:rPr>
          <w:rFonts w:ascii="Times New Roman" w:hAnsi="Times New Roman" w:cs="Times New Roman"/>
        </w:rPr>
        <w:t xml:space="preserve"> Similar to the present findings, some studies have shown limited or no impact on growth in other fish species such as rainbow trout and gold fish (Fickler </w:t>
      </w:r>
      <w:r w:rsidRPr="00191A87">
        <w:rPr>
          <w:rFonts w:ascii="Times New Roman" w:hAnsi="Times New Roman" w:cs="Times New Roman"/>
          <w:i/>
        </w:rPr>
        <w:t>et al.,</w:t>
      </w:r>
      <w:r w:rsidRPr="00191A87">
        <w:rPr>
          <w:rFonts w:ascii="Times New Roman" w:hAnsi="Times New Roman" w:cs="Times New Roman"/>
        </w:rPr>
        <w:t xml:space="preserve"> 2019; Bagheri </w:t>
      </w:r>
      <w:r w:rsidRPr="00191A87">
        <w:rPr>
          <w:rFonts w:ascii="Times New Roman" w:hAnsi="Times New Roman" w:cs="Times New Roman"/>
          <w:i/>
        </w:rPr>
        <w:t>et al.,</w:t>
      </w:r>
      <w:r w:rsidRPr="00191A87">
        <w:rPr>
          <w:rFonts w:ascii="Times New Roman" w:hAnsi="Times New Roman" w:cs="Times New Roman"/>
        </w:rPr>
        <w:t xml:space="preserve"> 2014). </w:t>
      </w:r>
      <w:bookmarkStart w:id="10" w:name="_Hlk210833837"/>
      <w:r w:rsidRPr="00191A87">
        <w:rPr>
          <w:rFonts w:ascii="Times New Roman" w:hAnsi="Times New Roman" w:cs="Times New Roman"/>
        </w:rPr>
        <w:t>These findings suggest that Genisteins influence may be more prominent in relation to reproductive end points rather than somatic growth.</w:t>
      </w:r>
      <w:bookmarkEnd w:id="10"/>
    </w:p>
    <w:p w14:paraId="463A8A4C" w14:textId="1E38C7CB" w:rsidR="00191A87" w:rsidRPr="00157C00" w:rsidRDefault="00191A87" w:rsidP="00FD1A34">
      <w:pPr>
        <w:spacing w:after="240" w:line="276" w:lineRule="auto"/>
        <w:jc w:val="both"/>
        <w:rPr>
          <w:rFonts w:ascii="Times New Roman" w:hAnsi="Times New Roman" w:cs="Times New Roman"/>
        </w:rPr>
      </w:pPr>
    </w:p>
    <w:p w14:paraId="4FB8AB66" w14:textId="44CCAB1C" w:rsidR="00884AB9" w:rsidRPr="00ED7650" w:rsidRDefault="00884AB9" w:rsidP="00ED7650">
      <w:pPr>
        <w:spacing w:after="240" w:line="240" w:lineRule="auto"/>
        <w:jc w:val="center"/>
        <w:rPr>
          <w:rFonts w:ascii="Times New Roman" w:hAnsi="Times New Roman" w:cs="Times New Roman"/>
          <w:b/>
          <w:bCs/>
        </w:rPr>
      </w:pPr>
      <w:r w:rsidRPr="00ED7650">
        <w:rPr>
          <w:rFonts w:ascii="Times New Roman" w:hAnsi="Times New Roman" w:cs="Times New Roman"/>
          <w:b/>
          <w:bCs/>
        </w:rPr>
        <w:t>Tabl</w:t>
      </w:r>
      <w:r w:rsidR="00FD1A34">
        <w:rPr>
          <w:rFonts w:ascii="Times New Roman" w:hAnsi="Times New Roman" w:cs="Times New Roman"/>
          <w:b/>
          <w:bCs/>
        </w:rPr>
        <w:t>e</w:t>
      </w:r>
      <w:r w:rsidRPr="00ED7650">
        <w:rPr>
          <w:rFonts w:ascii="Times New Roman" w:hAnsi="Times New Roman" w:cs="Times New Roman"/>
          <w:b/>
          <w:bCs/>
        </w:rPr>
        <w:t xml:space="preserve"> 2. Growth performance of </w:t>
      </w:r>
      <w:r w:rsidRPr="00ED7650">
        <w:rPr>
          <w:rFonts w:ascii="Times New Roman" w:hAnsi="Times New Roman" w:cs="Times New Roman"/>
          <w:b/>
          <w:bCs/>
          <w:i/>
          <w:iCs/>
        </w:rPr>
        <w:t>Cyprinus carpio</w:t>
      </w:r>
      <w:r w:rsidR="00EB372F" w:rsidRPr="00ED7650">
        <w:rPr>
          <w:rFonts w:ascii="Times New Roman" w:hAnsi="Times New Roman" w:cs="Times New Roman"/>
          <w:b/>
          <w:bCs/>
          <w:i/>
          <w:iCs/>
        </w:rPr>
        <w:t xml:space="preserve"> </w:t>
      </w:r>
      <w:r w:rsidR="00EB372F" w:rsidRPr="00ED7650">
        <w:rPr>
          <w:rFonts w:ascii="Times New Roman" w:hAnsi="Times New Roman" w:cs="Times New Roman"/>
          <w:b/>
          <w:bCs/>
        </w:rPr>
        <w:t>var.</w:t>
      </w:r>
      <w:r w:rsidR="00EB372F" w:rsidRPr="00ED7650">
        <w:rPr>
          <w:rFonts w:ascii="Times New Roman" w:hAnsi="Times New Roman" w:cs="Times New Roman"/>
          <w:b/>
          <w:bCs/>
          <w:i/>
          <w:iCs/>
        </w:rPr>
        <w:t xml:space="preserve"> communis</w:t>
      </w:r>
      <w:r w:rsidRPr="00ED7650">
        <w:rPr>
          <w:rFonts w:ascii="Times New Roman" w:hAnsi="Times New Roman" w:cs="Times New Roman"/>
          <w:b/>
          <w:bCs/>
        </w:rPr>
        <w:t xml:space="preserve"> fed diets with graded levels of genistein</w:t>
      </w:r>
    </w:p>
    <w:tbl>
      <w:tblPr>
        <w:tblStyle w:val="PlainTable2"/>
        <w:tblW w:w="5000" w:type="pct"/>
        <w:tblLook w:val="04A0" w:firstRow="1" w:lastRow="0" w:firstColumn="1" w:lastColumn="0" w:noHBand="0" w:noVBand="1"/>
      </w:tblPr>
      <w:tblGrid>
        <w:gridCol w:w="2229"/>
        <w:gridCol w:w="1407"/>
        <w:gridCol w:w="1417"/>
        <w:gridCol w:w="1406"/>
        <w:gridCol w:w="1498"/>
        <w:gridCol w:w="1069"/>
      </w:tblGrid>
      <w:tr w:rsidR="00884AB9" w:rsidRPr="00157C00" w14:paraId="5A7A4AFE" w14:textId="77777777" w:rsidTr="00157C00">
        <w:trPr>
          <w:cnfStyle w:val="100000000000" w:firstRow="1" w:lastRow="0" w:firstColumn="0" w:lastColumn="0" w:oddVBand="0" w:evenVBand="0" w:oddHBand="0"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1234" w:type="pct"/>
            <w:hideMark/>
          </w:tcPr>
          <w:p w14:paraId="60D30B16" w14:textId="77777777" w:rsidR="00884AB9" w:rsidRPr="00157C00" w:rsidRDefault="00884AB9" w:rsidP="00157C00">
            <w:pPr>
              <w:jc w:val="center"/>
              <w:rPr>
                <w:rFonts w:ascii="Times New Roman" w:hAnsi="Times New Roman" w:cs="Times New Roman"/>
              </w:rPr>
            </w:pPr>
            <w:r w:rsidRPr="00157C00">
              <w:rPr>
                <w:rFonts w:ascii="Times New Roman" w:hAnsi="Times New Roman" w:cs="Times New Roman"/>
              </w:rPr>
              <w:t>Parameter</w:t>
            </w:r>
          </w:p>
        </w:tc>
        <w:tc>
          <w:tcPr>
            <w:tcW w:w="779" w:type="pct"/>
            <w:hideMark/>
          </w:tcPr>
          <w:p w14:paraId="1B5D376A" w14:textId="77777777" w:rsidR="00884AB9" w:rsidRPr="00157C00" w:rsidRDefault="00884AB9" w:rsidP="00157C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Control (C)</w:t>
            </w:r>
          </w:p>
        </w:tc>
        <w:tc>
          <w:tcPr>
            <w:tcW w:w="785" w:type="pct"/>
            <w:hideMark/>
          </w:tcPr>
          <w:p w14:paraId="6223B0FA" w14:textId="77777777" w:rsidR="00884AB9" w:rsidRPr="00157C00" w:rsidRDefault="00884AB9" w:rsidP="00157C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T1 (0.4 g/kg)</w:t>
            </w:r>
          </w:p>
        </w:tc>
        <w:tc>
          <w:tcPr>
            <w:tcW w:w="779" w:type="pct"/>
            <w:hideMark/>
          </w:tcPr>
          <w:p w14:paraId="0E494E00" w14:textId="77777777" w:rsidR="00884AB9" w:rsidRPr="00157C00" w:rsidRDefault="00884AB9" w:rsidP="00157C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T2 (0.8 g/kg)</w:t>
            </w:r>
          </w:p>
        </w:tc>
        <w:tc>
          <w:tcPr>
            <w:tcW w:w="830" w:type="pct"/>
            <w:hideMark/>
          </w:tcPr>
          <w:p w14:paraId="2D420E0C" w14:textId="77777777" w:rsidR="00884AB9" w:rsidRPr="00157C00" w:rsidRDefault="00884AB9" w:rsidP="00157C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T3 (1.6 g/kg)</w:t>
            </w:r>
          </w:p>
        </w:tc>
        <w:tc>
          <w:tcPr>
            <w:tcW w:w="592" w:type="pct"/>
            <w:hideMark/>
          </w:tcPr>
          <w:p w14:paraId="5A21B71A" w14:textId="77777777" w:rsidR="00884AB9" w:rsidRPr="00157C00" w:rsidRDefault="00884AB9" w:rsidP="00157C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P-value</w:t>
            </w:r>
          </w:p>
        </w:tc>
      </w:tr>
      <w:tr w:rsidR="00884AB9" w:rsidRPr="00157C00" w14:paraId="12A7F208" w14:textId="77777777" w:rsidTr="00157C00">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1234" w:type="pct"/>
            <w:hideMark/>
          </w:tcPr>
          <w:p w14:paraId="209BD75B" w14:textId="77777777" w:rsidR="00884AB9" w:rsidRPr="00ED7650" w:rsidRDefault="00884AB9" w:rsidP="00157C00">
            <w:pPr>
              <w:jc w:val="center"/>
              <w:rPr>
                <w:rFonts w:ascii="Times New Roman" w:hAnsi="Times New Roman" w:cs="Times New Roman"/>
                <w:b w:val="0"/>
                <w:bCs w:val="0"/>
              </w:rPr>
            </w:pPr>
            <w:r w:rsidRPr="00ED7650">
              <w:rPr>
                <w:rFonts w:ascii="Times New Roman" w:hAnsi="Times New Roman" w:cs="Times New Roman"/>
                <w:b w:val="0"/>
                <w:bCs w:val="0"/>
              </w:rPr>
              <w:t>Initial Weight (g)</w:t>
            </w:r>
          </w:p>
        </w:tc>
        <w:tc>
          <w:tcPr>
            <w:tcW w:w="779" w:type="pct"/>
            <w:hideMark/>
          </w:tcPr>
          <w:p w14:paraId="15A172D0"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55.12 ± 0.21</w:t>
            </w:r>
          </w:p>
        </w:tc>
        <w:tc>
          <w:tcPr>
            <w:tcW w:w="785" w:type="pct"/>
            <w:hideMark/>
          </w:tcPr>
          <w:p w14:paraId="6DBE443E"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55.08 ± 0.19</w:t>
            </w:r>
          </w:p>
        </w:tc>
        <w:tc>
          <w:tcPr>
            <w:tcW w:w="779" w:type="pct"/>
            <w:hideMark/>
          </w:tcPr>
          <w:p w14:paraId="374CDE95"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55.15 ± 0.24</w:t>
            </w:r>
          </w:p>
        </w:tc>
        <w:tc>
          <w:tcPr>
            <w:tcW w:w="830" w:type="pct"/>
            <w:hideMark/>
          </w:tcPr>
          <w:p w14:paraId="1B03CEE0"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55.05 ± 0.17</w:t>
            </w:r>
          </w:p>
        </w:tc>
        <w:tc>
          <w:tcPr>
            <w:tcW w:w="592" w:type="pct"/>
            <w:hideMark/>
          </w:tcPr>
          <w:p w14:paraId="7C242B8E"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&gt; 0.05</w:t>
            </w:r>
          </w:p>
        </w:tc>
      </w:tr>
      <w:tr w:rsidR="00884AB9" w:rsidRPr="00157C00" w14:paraId="43C23840" w14:textId="77777777" w:rsidTr="00157C00">
        <w:trPr>
          <w:trHeight w:val="1109"/>
        </w:trPr>
        <w:tc>
          <w:tcPr>
            <w:cnfStyle w:val="001000000000" w:firstRow="0" w:lastRow="0" w:firstColumn="1" w:lastColumn="0" w:oddVBand="0" w:evenVBand="0" w:oddHBand="0" w:evenHBand="0" w:firstRowFirstColumn="0" w:firstRowLastColumn="0" w:lastRowFirstColumn="0" w:lastRowLastColumn="0"/>
            <w:tcW w:w="1234" w:type="pct"/>
            <w:hideMark/>
          </w:tcPr>
          <w:p w14:paraId="4FFCD1BB" w14:textId="77777777" w:rsidR="00884AB9" w:rsidRPr="00ED7650" w:rsidRDefault="00884AB9" w:rsidP="00157C00">
            <w:pPr>
              <w:jc w:val="center"/>
              <w:rPr>
                <w:rFonts w:ascii="Times New Roman" w:hAnsi="Times New Roman" w:cs="Times New Roman"/>
                <w:b w:val="0"/>
                <w:bCs w:val="0"/>
              </w:rPr>
            </w:pPr>
            <w:r w:rsidRPr="00ED7650">
              <w:rPr>
                <w:rFonts w:ascii="Times New Roman" w:hAnsi="Times New Roman" w:cs="Times New Roman"/>
                <w:b w:val="0"/>
                <w:bCs w:val="0"/>
              </w:rPr>
              <w:t>Final Weight (g)</w:t>
            </w:r>
          </w:p>
        </w:tc>
        <w:tc>
          <w:tcPr>
            <w:tcW w:w="779" w:type="pct"/>
            <w:hideMark/>
          </w:tcPr>
          <w:p w14:paraId="3106CEF2"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94.91 ± 3.02</w:t>
            </w:r>
          </w:p>
        </w:tc>
        <w:tc>
          <w:tcPr>
            <w:tcW w:w="785" w:type="pct"/>
            <w:hideMark/>
          </w:tcPr>
          <w:p w14:paraId="6D3DF5D9"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94.62 ± 3.81</w:t>
            </w:r>
          </w:p>
        </w:tc>
        <w:tc>
          <w:tcPr>
            <w:tcW w:w="779" w:type="pct"/>
            <w:hideMark/>
          </w:tcPr>
          <w:p w14:paraId="7D0D8129"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95.89 ± 2.11</w:t>
            </w:r>
          </w:p>
        </w:tc>
        <w:tc>
          <w:tcPr>
            <w:tcW w:w="830" w:type="pct"/>
            <w:hideMark/>
          </w:tcPr>
          <w:p w14:paraId="0A210180"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96.59 ± 1.65</w:t>
            </w:r>
          </w:p>
        </w:tc>
        <w:tc>
          <w:tcPr>
            <w:tcW w:w="592" w:type="pct"/>
            <w:hideMark/>
          </w:tcPr>
          <w:p w14:paraId="2F434BDD"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&gt; 0.05</w:t>
            </w:r>
          </w:p>
        </w:tc>
      </w:tr>
      <w:tr w:rsidR="00884AB9" w:rsidRPr="00157C00" w14:paraId="6DCF94BF" w14:textId="77777777" w:rsidTr="00157C00">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1234" w:type="pct"/>
            <w:hideMark/>
          </w:tcPr>
          <w:p w14:paraId="0CF4B65C" w14:textId="030ED04A" w:rsidR="00884AB9" w:rsidRPr="00ED7650" w:rsidRDefault="00884AB9" w:rsidP="00157C00">
            <w:pPr>
              <w:jc w:val="center"/>
              <w:rPr>
                <w:rFonts w:ascii="Times New Roman" w:hAnsi="Times New Roman" w:cs="Times New Roman"/>
                <w:b w:val="0"/>
                <w:bCs w:val="0"/>
              </w:rPr>
            </w:pPr>
            <w:r w:rsidRPr="00ED7650">
              <w:rPr>
                <w:rFonts w:ascii="Times New Roman" w:hAnsi="Times New Roman" w:cs="Times New Roman"/>
                <w:b w:val="0"/>
                <w:bCs w:val="0"/>
              </w:rPr>
              <w:t>Percentage</w:t>
            </w:r>
            <w:r w:rsidR="00157C00" w:rsidRPr="00ED7650">
              <w:rPr>
                <w:rFonts w:ascii="Times New Roman" w:hAnsi="Times New Roman" w:cs="Times New Roman"/>
                <w:b w:val="0"/>
                <w:bCs w:val="0"/>
              </w:rPr>
              <w:t xml:space="preserve"> </w:t>
            </w:r>
            <w:r w:rsidRPr="00ED7650">
              <w:rPr>
                <w:rFonts w:ascii="Times New Roman" w:hAnsi="Times New Roman" w:cs="Times New Roman"/>
                <w:b w:val="0"/>
                <w:bCs w:val="0"/>
              </w:rPr>
              <w:t>weight gain (%)</w:t>
            </w:r>
          </w:p>
        </w:tc>
        <w:tc>
          <w:tcPr>
            <w:tcW w:w="779" w:type="pct"/>
            <w:hideMark/>
          </w:tcPr>
          <w:p w14:paraId="2304A95C"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72.19 ± 1.83</w:t>
            </w:r>
          </w:p>
        </w:tc>
        <w:tc>
          <w:tcPr>
            <w:tcW w:w="785" w:type="pct"/>
            <w:hideMark/>
          </w:tcPr>
          <w:p w14:paraId="04E20245"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71.86 ± 2.30</w:t>
            </w:r>
          </w:p>
        </w:tc>
        <w:tc>
          <w:tcPr>
            <w:tcW w:w="779" w:type="pct"/>
            <w:hideMark/>
          </w:tcPr>
          <w:p w14:paraId="6D7DCE5B"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73.82 ± 1.05</w:t>
            </w:r>
          </w:p>
        </w:tc>
        <w:tc>
          <w:tcPr>
            <w:tcW w:w="830" w:type="pct"/>
            <w:hideMark/>
          </w:tcPr>
          <w:p w14:paraId="0E62693B"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75.48 ± 0.98</w:t>
            </w:r>
          </w:p>
        </w:tc>
        <w:tc>
          <w:tcPr>
            <w:tcW w:w="592" w:type="pct"/>
            <w:hideMark/>
          </w:tcPr>
          <w:p w14:paraId="706BACC2"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&gt; 0.05</w:t>
            </w:r>
          </w:p>
        </w:tc>
      </w:tr>
      <w:tr w:rsidR="00884AB9" w:rsidRPr="00157C00" w14:paraId="14A0F740" w14:textId="77777777" w:rsidTr="00157C00">
        <w:trPr>
          <w:trHeight w:val="1109"/>
        </w:trPr>
        <w:tc>
          <w:tcPr>
            <w:cnfStyle w:val="001000000000" w:firstRow="0" w:lastRow="0" w:firstColumn="1" w:lastColumn="0" w:oddVBand="0" w:evenVBand="0" w:oddHBand="0" w:evenHBand="0" w:firstRowFirstColumn="0" w:firstRowLastColumn="0" w:lastRowFirstColumn="0" w:lastRowLastColumn="0"/>
            <w:tcW w:w="1234" w:type="pct"/>
            <w:hideMark/>
          </w:tcPr>
          <w:p w14:paraId="4F8A5068" w14:textId="77777777" w:rsidR="00884AB9" w:rsidRPr="00ED7650" w:rsidRDefault="00884AB9" w:rsidP="00157C00">
            <w:pPr>
              <w:jc w:val="center"/>
              <w:rPr>
                <w:rFonts w:ascii="Times New Roman" w:hAnsi="Times New Roman" w:cs="Times New Roman"/>
                <w:b w:val="0"/>
                <w:bCs w:val="0"/>
              </w:rPr>
            </w:pPr>
            <w:r w:rsidRPr="00ED7650">
              <w:rPr>
                <w:rFonts w:ascii="Times New Roman" w:hAnsi="Times New Roman" w:cs="Times New Roman"/>
                <w:b w:val="0"/>
                <w:bCs w:val="0"/>
              </w:rPr>
              <w:t>Specific growth rate (%/day)</w:t>
            </w:r>
          </w:p>
        </w:tc>
        <w:tc>
          <w:tcPr>
            <w:tcW w:w="779" w:type="pct"/>
            <w:hideMark/>
          </w:tcPr>
          <w:p w14:paraId="083B8AB7"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0.61 ± 0.01</w:t>
            </w:r>
          </w:p>
        </w:tc>
        <w:tc>
          <w:tcPr>
            <w:tcW w:w="785" w:type="pct"/>
            <w:hideMark/>
          </w:tcPr>
          <w:p w14:paraId="6F45354A"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0.60 ± 0.01</w:t>
            </w:r>
          </w:p>
        </w:tc>
        <w:tc>
          <w:tcPr>
            <w:tcW w:w="779" w:type="pct"/>
            <w:hideMark/>
          </w:tcPr>
          <w:p w14:paraId="4D1A5B88"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0.62 ± 0.01</w:t>
            </w:r>
          </w:p>
        </w:tc>
        <w:tc>
          <w:tcPr>
            <w:tcW w:w="830" w:type="pct"/>
            <w:hideMark/>
          </w:tcPr>
          <w:p w14:paraId="07364FCB"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0.63 ± 0.01</w:t>
            </w:r>
          </w:p>
        </w:tc>
        <w:tc>
          <w:tcPr>
            <w:tcW w:w="592" w:type="pct"/>
            <w:hideMark/>
          </w:tcPr>
          <w:p w14:paraId="499FDAFD"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&gt; 0.05</w:t>
            </w:r>
          </w:p>
        </w:tc>
      </w:tr>
      <w:tr w:rsidR="00884AB9" w:rsidRPr="00157C00" w14:paraId="3AD4EFFD" w14:textId="77777777" w:rsidTr="00157C00">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1234" w:type="pct"/>
            <w:hideMark/>
          </w:tcPr>
          <w:p w14:paraId="7E3A15D5" w14:textId="77777777" w:rsidR="00884AB9" w:rsidRPr="00ED7650" w:rsidRDefault="00884AB9" w:rsidP="00157C00">
            <w:pPr>
              <w:jc w:val="center"/>
              <w:rPr>
                <w:rFonts w:ascii="Times New Roman" w:hAnsi="Times New Roman" w:cs="Times New Roman"/>
                <w:b w:val="0"/>
                <w:bCs w:val="0"/>
              </w:rPr>
            </w:pPr>
            <w:r w:rsidRPr="00ED7650">
              <w:rPr>
                <w:rFonts w:ascii="Times New Roman" w:hAnsi="Times New Roman" w:cs="Times New Roman"/>
                <w:b w:val="0"/>
                <w:bCs w:val="0"/>
              </w:rPr>
              <w:t>Feed conversion ratio</w:t>
            </w:r>
          </w:p>
        </w:tc>
        <w:tc>
          <w:tcPr>
            <w:tcW w:w="779" w:type="pct"/>
            <w:hideMark/>
          </w:tcPr>
          <w:p w14:paraId="15648671"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4.82 ± 0.14</w:t>
            </w:r>
          </w:p>
        </w:tc>
        <w:tc>
          <w:tcPr>
            <w:tcW w:w="785" w:type="pct"/>
            <w:hideMark/>
          </w:tcPr>
          <w:p w14:paraId="4C864C7B"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4.73 ± 0.14</w:t>
            </w:r>
          </w:p>
        </w:tc>
        <w:tc>
          <w:tcPr>
            <w:tcW w:w="779" w:type="pct"/>
            <w:hideMark/>
          </w:tcPr>
          <w:p w14:paraId="5730E3B3"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4.67 ± 0.40</w:t>
            </w:r>
          </w:p>
        </w:tc>
        <w:tc>
          <w:tcPr>
            <w:tcW w:w="830" w:type="pct"/>
            <w:hideMark/>
          </w:tcPr>
          <w:p w14:paraId="099C1BC7"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4.57 ± 0.10</w:t>
            </w:r>
          </w:p>
        </w:tc>
        <w:tc>
          <w:tcPr>
            <w:tcW w:w="592" w:type="pct"/>
            <w:hideMark/>
          </w:tcPr>
          <w:p w14:paraId="44E25B4A"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&gt; 0.05</w:t>
            </w:r>
          </w:p>
        </w:tc>
      </w:tr>
      <w:tr w:rsidR="00884AB9" w:rsidRPr="00157C00" w14:paraId="52F764BB" w14:textId="77777777" w:rsidTr="00157C00">
        <w:trPr>
          <w:trHeight w:val="1109"/>
        </w:trPr>
        <w:tc>
          <w:tcPr>
            <w:cnfStyle w:val="001000000000" w:firstRow="0" w:lastRow="0" w:firstColumn="1" w:lastColumn="0" w:oddVBand="0" w:evenVBand="0" w:oddHBand="0" w:evenHBand="0" w:firstRowFirstColumn="0" w:firstRowLastColumn="0" w:lastRowFirstColumn="0" w:lastRowLastColumn="0"/>
            <w:tcW w:w="1234" w:type="pct"/>
            <w:hideMark/>
          </w:tcPr>
          <w:p w14:paraId="1607890A" w14:textId="77777777" w:rsidR="00884AB9" w:rsidRPr="00ED7650" w:rsidRDefault="00884AB9" w:rsidP="00157C00">
            <w:pPr>
              <w:jc w:val="center"/>
              <w:rPr>
                <w:rFonts w:ascii="Times New Roman" w:hAnsi="Times New Roman" w:cs="Times New Roman"/>
                <w:b w:val="0"/>
                <w:bCs w:val="0"/>
              </w:rPr>
            </w:pPr>
            <w:r w:rsidRPr="00ED7650">
              <w:rPr>
                <w:rFonts w:ascii="Times New Roman" w:hAnsi="Times New Roman" w:cs="Times New Roman"/>
                <w:b w:val="0"/>
                <w:bCs w:val="0"/>
              </w:rPr>
              <w:t>Protein efficiency ratio</w:t>
            </w:r>
          </w:p>
        </w:tc>
        <w:tc>
          <w:tcPr>
            <w:tcW w:w="779" w:type="pct"/>
            <w:hideMark/>
          </w:tcPr>
          <w:p w14:paraId="3A210D17" w14:textId="4245CC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0.06 ± 0.00</w:t>
            </w:r>
          </w:p>
        </w:tc>
        <w:tc>
          <w:tcPr>
            <w:tcW w:w="785" w:type="pct"/>
            <w:hideMark/>
          </w:tcPr>
          <w:p w14:paraId="20FFF7A2" w14:textId="0AC1C4C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0.07 ± 0.00</w:t>
            </w:r>
          </w:p>
        </w:tc>
        <w:tc>
          <w:tcPr>
            <w:tcW w:w="779" w:type="pct"/>
            <w:hideMark/>
          </w:tcPr>
          <w:p w14:paraId="16CBD83F" w14:textId="46A6CE13"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0.06 ± 0.00</w:t>
            </w:r>
          </w:p>
        </w:tc>
        <w:tc>
          <w:tcPr>
            <w:tcW w:w="830" w:type="pct"/>
            <w:hideMark/>
          </w:tcPr>
          <w:p w14:paraId="2533ACEC" w14:textId="083C8932"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0.07 ± 0.00</w:t>
            </w:r>
          </w:p>
        </w:tc>
        <w:tc>
          <w:tcPr>
            <w:tcW w:w="592" w:type="pct"/>
            <w:hideMark/>
          </w:tcPr>
          <w:p w14:paraId="4A7DB0E0"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&gt; 0.05</w:t>
            </w:r>
          </w:p>
        </w:tc>
      </w:tr>
    </w:tbl>
    <w:p w14:paraId="5599BFF9" w14:textId="0526EC7F" w:rsidR="00EB372F" w:rsidRPr="00157C00" w:rsidRDefault="00EB372F" w:rsidP="00157C00">
      <w:pPr>
        <w:jc w:val="center"/>
        <w:rPr>
          <w:rFonts w:ascii="Times New Roman" w:eastAsiaTheme="minorEastAsia" w:hAnsi="Times New Roman"/>
          <w:color w:val="000000" w:themeColor="text1"/>
        </w:rPr>
      </w:pPr>
      <w:r>
        <w:rPr>
          <w:noProof/>
        </w:rPr>
        <w:drawing>
          <wp:inline distT="0" distB="0" distL="0" distR="0" wp14:anchorId="414B6495" wp14:editId="3AD38AAF">
            <wp:extent cx="4572000" cy="2743200"/>
            <wp:effectExtent l="0" t="0" r="0" b="0"/>
            <wp:docPr id="1630896441" name="Chart 1">
              <a:extLst xmlns:a="http://schemas.openxmlformats.org/drawingml/2006/main">
                <a:ext uri="{FF2B5EF4-FFF2-40B4-BE49-F238E27FC236}">
                  <a16:creationId xmlns:a16="http://schemas.microsoft.com/office/drawing/2014/main" id="{9DDF0AF4-B007-6DE7-0A5B-F3C96AFBFD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8FF849A" w14:textId="74856E35" w:rsidR="00157C00" w:rsidRPr="00ED7650" w:rsidRDefault="00EB372F" w:rsidP="00ED7650">
      <w:pPr>
        <w:spacing w:after="240" w:line="360" w:lineRule="auto"/>
        <w:jc w:val="center"/>
        <w:rPr>
          <w:rFonts w:ascii="Times New Roman" w:hAnsi="Times New Roman" w:cs="Times New Roman"/>
          <w:b/>
          <w:bCs/>
        </w:rPr>
      </w:pPr>
      <w:r w:rsidRPr="00ED7650">
        <w:rPr>
          <w:rFonts w:ascii="Times New Roman" w:hAnsi="Times New Roman" w:cs="Times New Roman"/>
          <w:b/>
          <w:bCs/>
        </w:rPr>
        <w:lastRenderedPageBreak/>
        <w:t>Fig. 1</w:t>
      </w:r>
      <w:r w:rsidR="00ED7650" w:rsidRPr="00ED7650">
        <w:rPr>
          <w:rFonts w:ascii="Times New Roman" w:hAnsi="Times New Roman" w:cs="Times New Roman"/>
          <w:b/>
          <w:bCs/>
        </w:rPr>
        <w:t>.</w:t>
      </w:r>
      <w:r w:rsidRPr="00ED7650">
        <w:rPr>
          <w:rFonts w:ascii="Times New Roman" w:hAnsi="Times New Roman" w:cs="Times New Roman"/>
          <w:b/>
          <w:bCs/>
        </w:rPr>
        <w:t xml:space="preserve"> </w:t>
      </w:r>
      <w:r w:rsidR="00ED7650" w:rsidRPr="00ED7650">
        <w:rPr>
          <w:rFonts w:ascii="Times New Roman" w:hAnsi="Times New Roman" w:cs="Times New Roman"/>
          <w:b/>
          <w:bCs/>
        </w:rPr>
        <w:t xml:space="preserve">Stacked bar graph illustrating the growth performance of </w:t>
      </w:r>
      <w:r w:rsidRPr="00ED7650">
        <w:rPr>
          <w:rFonts w:ascii="Times New Roman" w:hAnsi="Times New Roman" w:cs="Times New Roman"/>
          <w:b/>
          <w:bCs/>
          <w:i/>
          <w:iCs/>
        </w:rPr>
        <w:t xml:space="preserve">Cyprinus carpio </w:t>
      </w:r>
      <w:r w:rsidRPr="00ED7650">
        <w:rPr>
          <w:rFonts w:ascii="Times New Roman" w:hAnsi="Times New Roman" w:cs="Times New Roman"/>
          <w:b/>
          <w:bCs/>
        </w:rPr>
        <w:t>var.</w:t>
      </w:r>
      <w:r w:rsidRPr="00ED7650">
        <w:rPr>
          <w:rFonts w:ascii="Times New Roman" w:hAnsi="Times New Roman" w:cs="Times New Roman"/>
          <w:b/>
          <w:bCs/>
          <w:i/>
          <w:iCs/>
        </w:rPr>
        <w:t xml:space="preserve"> communis</w:t>
      </w:r>
      <w:r w:rsidRPr="00ED7650">
        <w:rPr>
          <w:rFonts w:ascii="Times New Roman" w:hAnsi="Times New Roman" w:cs="Times New Roman"/>
          <w:b/>
          <w:bCs/>
        </w:rPr>
        <w:t xml:space="preserve"> fed with diets </w:t>
      </w:r>
      <w:r w:rsidR="00ED7650" w:rsidRPr="00ED7650">
        <w:rPr>
          <w:rFonts w:ascii="Times New Roman" w:hAnsi="Times New Roman" w:cs="Times New Roman"/>
          <w:b/>
          <w:bCs/>
        </w:rPr>
        <w:t>containing</w:t>
      </w:r>
      <w:r w:rsidRPr="00ED7650">
        <w:rPr>
          <w:rFonts w:ascii="Times New Roman" w:hAnsi="Times New Roman" w:cs="Times New Roman"/>
          <w:b/>
          <w:bCs/>
        </w:rPr>
        <w:t xml:space="preserve"> graded levels of genistei</w:t>
      </w:r>
      <w:r w:rsidR="00DA691C" w:rsidRPr="00ED7650">
        <w:rPr>
          <w:rFonts w:ascii="Times New Roman" w:hAnsi="Times New Roman" w:cs="Times New Roman"/>
          <w:b/>
          <w:bCs/>
        </w:rPr>
        <w:t>n</w:t>
      </w:r>
      <w:r w:rsidR="00157C00" w:rsidRPr="00ED7650">
        <w:rPr>
          <w:rFonts w:ascii="Times New Roman" w:hAnsi="Times New Roman" w:cs="Times New Roman"/>
          <w:b/>
          <w:bCs/>
        </w:rPr>
        <w:t>.</w:t>
      </w:r>
    </w:p>
    <w:p w14:paraId="2A5CD642" w14:textId="77777777" w:rsidR="00FD1A34" w:rsidRDefault="00FD1A34" w:rsidP="00157C00">
      <w:pPr>
        <w:pStyle w:val="ListParagraph"/>
        <w:numPr>
          <w:ilvl w:val="0"/>
          <w:numId w:val="1"/>
        </w:numPr>
        <w:spacing w:after="240" w:line="360" w:lineRule="auto"/>
        <w:ind w:left="426"/>
        <w:jc w:val="both"/>
        <w:rPr>
          <w:rFonts w:ascii="Times New Roman" w:hAnsi="Times New Roman" w:cs="Times New Roman"/>
          <w:b/>
          <w:bCs/>
          <w:sz w:val="28"/>
          <w:szCs w:val="28"/>
        </w:rPr>
        <w:sectPr w:rsidR="00FD1A34" w:rsidSect="00380CD6">
          <w:type w:val="continuous"/>
          <w:pgSz w:w="11906" w:h="16838"/>
          <w:pgMar w:top="1440" w:right="1440" w:bottom="1440" w:left="1440" w:header="708" w:footer="708" w:gutter="0"/>
          <w:cols w:space="708"/>
          <w:docGrid w:linePitch="360"/>
        </w:sectPr>
      </w:pPr>
    </w:p>
    <w:p w14:paraId="116C5BA9" w14:textId="65C76C9E" w:rsidR="00DA691C" w:rsidRPr="00ED7650" w:rsidRDefault="00DA691C" w:rsidP="00157C00">
      <w:pPr>
        <w:pStyle w:val="ListParagraph"/>
        <w:numPr>
          <w:ilvl w:val="0"/>
          <w:numId w:val="1"/>
        </w:numPr>
        <w:spacing w:after="240" w:line="360" w:lineRule="auto"/>
        <w:ind w:left="426"/>
        <w:jc w:val="both"/>
        <w:rPr>
          <w:rFonts w:ascii="Times New Roman" w:hAnsi="Times New Roman" w:cs="Times New Roman"/>
          <w:b/>
          <w:bCs/>
          <w:sz w:val="28"/>
          <w:szCs w:val="28"/>
        </w:rPr>
      </w:pPr>
      <w:r w:rsidRPr="00ED7650">
        <w:rPr>
          <w:rFonts w:ascii="Times New Roman" w:hAnsi="Times New Roman" w:cs="Times New Roman"/>
          <w:b/>
          <w:bCs/>
          <w:sz w:val="28"/>
          <w:szCs w:val="28"/>
        </w:rPr>
        <w:t>CONCLUSION</w:t>
      </w:r>
    </w:p>
    <w:p w14:paraId="4BD9F24E" w14:textId="48E76BA7" w:rsidR="00DA691C" w:rsidRPr="00FD1A34" w:rsidRDefault="00DA691C" w:rsidP="00FD1A34">
      <w:pPr>
        <w:pStyle w:val="ListParagraph"/>
        <w:spacing w:after="240" w:line="360" w:lineRule="auto"/>
        <w:ind w:left="0"/>
        <w:jc w:val="both"/>
        <w:rPr>
          <w:rFonts w:ascii="Times New Roman" w:eastAsiaTheme="minorEastAsia" w:hAnsi="Times New Roman" w:cs="Times New Roman"/>
          <w:color w:val="000000" w:themeColor="text1"/>
        </w:rPr>
      </w:pPr>
      <w:r w:rsidRPr="00ED7650">
        <w:rPr>
          <w:rFonts w:ascii="Times New Roman" w:eastAsiaTheme="minorEastAsia" w:hAnsi="Times New Roman" w:cs="Times New Roman"/>
          <w:color w:val="000000" w:themeColor="text1"/>
        </w:rPr>
        <w:t xml:space="preserve">This study shows that the dietary administration of genistein in fish feed at graded levels did not cause any significant change in weight gain, growth rate, feed conversion ratio, or protein efficiency in </w:t>
      </w:r>
      <w:r w:rsidRPr="00ED7650">
        <w:rPr>
          <w:rFonts w:ascii="Times New Roman" w:eastAsiaTheme="minorEastAsia" w:hAnsi="Times New Roman" w:cs="Times New Roman"/>
          <w:i/>
          <w:iCs/>
          <w:color w:val="000000" w:themeColor="text1"/>
        </w:rPr>
        <w:t xml:space="preserve">Cyprinus carpio </w:t>
      </w:r>
      <w:r w:rsidRPr="00ED7650">
        <w:rPr>
          <w:rFonts w:ascii="Times New Roman" w:eastAsiaTheme="minorEastAsia" w:hAnsi="Times New Roman" w:cs="Times New Roman"/>
          <w:color w:val="000000" w:themeColor="text1"/>
        </w:rPr>
        <w:t>var.</w:t>
      </w:r>
      <w:r w:rsidRPr="00ED7650">
        <w:rPr>
          <w:rFonts w:ascii="Times New Roman" w:eastAsiaTheme="minorEastAsia" w:hAnsi="Times New Roman" w:cs="Times New Roman"/>
          <w:i/>
          <w:iCs/>
          <w:color w:val="000000" w:themeColor="text1"/>
        </w:rPr>
        <w:t xml:space="preserve"> communis</w:t>
      </w:r>
      <w:r w:rsidRPr="00ED7650">
        <w:rPr>
          <w:rFonts w:ascii="Times New Roman" w:eastAsiaTheme="minorEastAsia" w:hAnsi="Times New Roman" w:cs="Times New Roman"/>
          <w:color w:val="000000" w:themeColor="text1"/>
        </w:rPr>
        <w:t xml:space="preserve"> during the experimental period of 90-days. These results are possibly attributed to differences in dosage used, developmental stage, species specific genistein metabolism and bioavailability. Genistein- a phytoestrogen is reported to influence the reproductive development in fish. So, this study highlights that evaluating only growth parameters is not enough to understand the impact of such bioactive feed ingredient. Future research should incorporate assessment of molecular mechanisms to better conceptualize how genistein and other phytoestrogens affect fish physiology and reproduction.</w:t>
      </w:r>
    </w:p>
    <w:p w14:paraId="1DBDF771" w14:textId="2F9C1BC6" w:rsidR="00DA691C" w:rsidRPr="00191A87" w:rsidRDefault="00DA691C" w:rsidP="00FD1A34">
      <w:pPr>
        <w:pStyle w:val="ListParagraph"/>
        <w:spacing w:after="240" w:line="360" w:lineRule="auto"/>
        <w:ind w:left="0"/>
        <w:rPr>
          <w:rFonts w:ascii="Times New Roman" w:eastAsiaTheme="minorEastAsia" w:hAnsi="Times New Roman"/>
          <w:b/>
          <w:bCs/>
          <w:color w:val="000000" w:themeColor="text1"/>
        </w:rPr>
      </w:pPr>
      <w:r w:rsidRPr="00191A87">
        <w:rPr>
          <w:rFonts w:ascii="Times New Roman" w:eastAsiaTheme="minorEastAsia" w:hAnsi="Times New Roman"/>
          <w:b/>
          <w:bCs/>
          <w:color w:val="000000" w:themeColor="text1"/>
        </w:rPr>
        <w:t xml:space="preserve">DISCLAIM </w:t>
      </w:r>
      <w:r w:rsidR="00FD1A34">
        <w:rPr>
          <w:rFonts w:ascii="Times New Roman" w:eastAsiaTheme="minorEastAsia" w:hAnsi="Times New Roman"/>
          <w:b/>
          <w:bCs/>
          <w:color w:val="000000" w:themeColor="text1"/>
        </w:rPr>
        <w:t>(</w:t>
      </w:r>
      <w:r w:rsidRPr="00191A87">
        <w:rPr>
          <w:rFonts w:ascii="Times New Roman" w:eastAsiaTheme="minorEastAsia" w:hAnsi="Times New Roman"/>
          <w:b/>
          <w:bCs/>
          <w:color w:val="000000" w:themeColor="text1"/>
        </w:rPr>
        <w:t>ARTIFICIAL</w:t>
      </w:r>
      <w:r w:rsidR="00FD1A34">
        <w:rPr>
          <w:rFonts w:ascii="Times New Roman" w:eastAsiaTheme="minorEastAsia" w:hAnsi="Times New Roman"/>
          <w:b/>
          <w:bCs/>
          <w:color w:val="000000" w:themeColor="text1"/>
        </w:rPr>
        <w:t xml:space="preserve"> </w:t>
      </w:r>
      <w:r w:rsidRPr="00191A87">
        <w:rPr>
          <w:rFonts w:ascii="Times New Roman" w:eastAsiaTheme="minorEastAsia" w:hAnsi="Times New Roman"/>
          <w:b/>
          <w:bCs/>
          <w:color w:val="000000" w:themeColor="text1"/>
        </w:rPr>
        <w:t>INTELLIGENCE</w:t>
      </w:r>
      <w:r w:rsidR="00FD1A34">
        <w:rPr>
          <w:rFonts w:ascii="Times New Roman" w:eastAsiaTheme="minorEastAsia" w:hAnsi="Times New Roman"/>
          <w:b/>
          <w:bCs/>
          <w:color w:val="000000" w:themeColor="text1"/>
        </w:rPr>
        <w:t xml:space="preserve">) </w:t>
      </w:r>
    </w:p>
    <w:p w14:paraId="733BE353" w14:textId="12E2596B" w:rsidR="00DD7884" w:rsidRPr="00DD7884" w:rsidRDefault="00DA691C" w:rsidP="00DD7884">
      <w:pPr>
        <w:pStyle w:val="ListParagraph"/>
        <w:spacing w:after="240" w:line="360" w:lineRule="auto"/>
        <w:ind w:left="0"/>
        <w:jc w:val="both"/>
        <w:rPr>
          <w:rFonts w:ascii="Times New Roman" w:eastAsiaTheme="minorEastAsia" w:hAnsi="Times New Roman"/>
          <w:color w:val="000000" w:themeColor="text1"/>
        </w:rPr>
      </w:pPr>
      <w:r w:rsidRPr="00DA691C">
        <w:rPr>
          <w:rFonts w:ascii="Times New Roman" w:eastAsiaTheme="minorEastAsia" w:hAnsi="Times New Roman"/>
          <w:color w:val="000000" w:themeColor="text1"/>
        </w:rPr>
        <w:t>Author(s) hereby declare that NO generative Al technologies such as Large Language Models</w:t>
      </w:r>
      <w:r>
        <w:rPr>
          <w:rFonts w:ascii="Times New Roman" w:eastAsiaTheme="minorEastAsia" w:hAnsi="Times New Roman"/>
          <w:color w:val="000000" w:themeColor="text1"/>
        </w:rPr>
        <w:t xml:space="preserve"> </w:t>
      </w:r>
      <w:r w:rsidRPr="00DA691C">
        <w:rPr>
          <w:rFonts w:ascii="Times New Roman" w:eastAsiaTheme="minorEastAsia" w:hAnsi="Times New Roman"/>
          <w:color w:val="000000" w:themeColor="text1"/>
        </w:rPr>
        <w:t>(ChatGPT,</w:t>
      </w:r>
      <w:r>
        <w:rPr>
          <w:rFonts w:ascii="Times New Roman" w:eastAsiaTheme="minorEastAsia" w:hAnsi="Times New Roman"/>
          <w:color w:val="000000" w:themeColor="text1"/>
        </w:rPr>
        <w:t xml:space="preserve"> </w:t>
      </w:r>
      <w:r w:rsidRPr="00DA691C">
        <w:rPr>
          <w:rFonts w:ascii="Times New Roman" w:eastAsiaTheme="minorEastAsia" w:hAnsi="Times New Roman"/>
          <w:color w:val="000000" w:themeColor="text1"/>
        </w:rPr>
        <w:t>COPILOT, etc.) and text-to-image</w:t>
      </w:r>
      <w:r>
        <w:rPr>
          <w:rFonts w:ascii="Times New Roman" w:eastAsiaTheme="minorEastAsia" w:hAnsi="Times New Roman"/>
          <w:color w:val="000000" w:themeColor="text1"/>
        </w:rPr>
        <w:t xml:space="preserve"> </w:t>
      </w:r>
      <w:r w:rsidRPr="00DA691C">
        <w:rPr>
          <w:rFonts w:ascii="Times New Roman" w:eastAsiaTheme="minorEastAsia" w:hAnsi="Times New Roman"/>
          <w:color w:val="000000" w:themeColor="text1"/>
        </w:rPr>
        <w:t>generators have been used during</w:t>
      </w:r>
      <w:r>
        <w:rPr>
          <w:rFonts w:ascii="Times New Roman" w:eastAsiaTheme="minorEastAsia" w:hAnsi="Times New Roman"/>
          <w:color w:val="000000" w:themeColor="text1"/>
        </w:rPr>
        <w:t xml:space="preserve"> </w:t>
      </w:r>
      <w:r w:rsidRPr="00DA691C">
        <w:rPr>
          <w:rFonts w:ascii="Times New Roman" w:eastAsiaTheme="minorEastAsia" w:hAnsi="Times New Roman"/>
          <w:color w:val="000000" w:themeColor="text1"/>
        </w:rPr>
        <w:t>the writing or</w:t>
      </w:r>
      <w:r>
        <w:rPr>
          <w:rFonts w:ascii="Times New Roman" w:eastAsiaTheme="minorEastAsia" w:hAnsi="Times New Roman"/>
          <w:color w:val="000000" w:themeColor="text1"/>
        </w:rPr>
        <w:t xml:space="preserve"> </w:t>
      </w:r>
      <w:r w:rsidRPr="00DA691C">
        <w:rPr>
          <w:rFonts w:ascii="Times New Roman" w:eastAsiaTheme="minorEastAsia" w:hAnsi="Times New Roman"/>
          <w:color w:val="000000" w:themeColor="text1"/>
        </w:rPr>
        <w:t>editing of this manuscript.</w:t>
      </w:r>
    </w:p>
    <w:p w14:paraId="2C1883BD" w14:textId="77777777" w:rsidR="00DA691C" w:rsidRPr="00191A87" w:rsidRDefault="00FD23D0" w:rsidP="00191A87">
      <w:pPr>
        <w:pStyle w:val="ListParagraph"/>
        <w:spacing w:after="240" w:line="360" w:lineRule="auto"/>
        <w:ind w:left="0"/>
        <w:jc w:val="both"/>
        <w:rPr>
          <w:rFonts w:ascii="Times New Roman" w:eastAsiaTheme="minorEastAsia" w:hAnsi="Times New Roman"/>
          <w:b/>
          <w:bCs/>
          <w:color w:val="000000" w:themeColor="text1"/>
        </w:rPr>
      </w:pPr>
      <w:r w:rsidRPr="00191A87">
        <w:rPr>
          <w:rFonts w:ascii="Times New Roman" w:eastAsiaTheme="minorEastAsia" w:hAnsi="Times New Roman"/>
          <w:b/>
          <w:bCs/>
          <w:color w:val="000000" w:themeColor="text1"/>
        </w:rPr>
        <w:t>COMPETING INTERESTS</w:t>
      </w:r>
    </w:p>
    <w:p w14:paraId="1F22E916" w14:textId="108D1339" w:rsidR="00ED7650" w:rsidRPr="00FD1A34" w:rsidRDefault="00FD23D0" w:rsidP="00191A87">
      <w:pPr>
        <w:pStyle w:val="ListParagraph"/>
        <w:spacing w:after="240" w:line="360" w:lineRule="auto"/>
        <w:ind w:left="0"/>
        <w:jc w:val="both"/>
        <w:rPr>
          <w:rFonts w:ascii="Times New Roman" w:eastAsiaTheme="minorEastAsia" w:hAnsi="Times New Roman"/>
          <w:color w:val="000000" w:themeColor="text1"/>
        </w:rPr>
      </w:pPr>
      <w:r>
        <w:rPr>
          <w:rFonts w:ascii="Times New Roman" w:eastAsiaTheme="minorEastAsia" w:hAnsi="Times New Roman"/>
          <w:color w:val="000000" w:themeColor="text1"/>
        </w:rPr>
        <w:t>Authors have declared that no competing interests exist.</w:t>
      </w:r>
    </w:p>
    <w:p w14:paraId="4463EF01" w14:textId="5132C5D0" w:rsidR="00EB372F" w:rsidRPr="00ED7650" w:rsidRDefault="00501E0A" w:rsidP="00191A87">
      <w:pPr>
        <w:jc w:val="both"/>
        <w:rPr>
          <w:rFonts w:ascii="Times New Roman" w:eastAsiaTheme="minorEastAsia" w:hAnsi="Times New Roman"/>
          <w:b/>
          <w:bCs/>
          <w:color w:val="000000" w:themeColor="text1"/>
          <w:sz w:val="28"/>
          <w:szCs w:val="28"/>
        </w:rPr>
      </w:pPr>
      <w:commentRangeStart w:id="11"/>
      <w:r w:rsidRPr="00ED7650">
        <w:rPr>
          <w:rFonts w:ascii="Times New Roman" w:eastAsiaTheme="minorEastAsia" w:hAnsi="Times New Roman"/>
          <w:b/>
          <w:bCs/>
          <w:color w:val="000000" w:themeColor="text1"/>
          <w:sz w:val="28"/>
          <w:szCs w:val="28"/>
        </w:rPr>
        <w:t>REFERENCES</w:t>
      </w:r>
      <w:commentRangeEnd w:id="11"/>
      <w:r w:rsidR="00252AAD">
        <w:rPr>
          <w:rStyle w:val="CommentReference"/>
        </w:rPr>
        <w:commentReference w:id="11"/>
      </w:r>
    </w:p>
    <w:p w14:paraId="2E6C04AC" w14:textId="2773D04B"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Achouri, A., Boye, J.I. </w:t>
      </w:r>
      <w:r w:rsidR="00506D8B">
        <w:rPr>
          <w:rFonts w:ascii="Times New Roman" w:hAnsi="Times New Roman" w:cs="Times New Roman"/>
        </w:rPr>
        <w:t>&amp;</w:t>
      </w:r>
      <w:r w:rsidRPr="00A71929">
        <w:rPr>
          <w:rFonts w:ascii="Times New Roman" w:hAnsi="Times New Roman" w:cs="Times New Roman"/>
        </w:rPr>
        <w:t xml:space="preserve"> Belanger, D. </w:t>
      </w:r>
      <w:r>
        <w:rPr>
          <w:rFonts w:ascii="Times New Roman" w:hAnsi="Times New Roman" w:cs="Times New Roman"/>
        </w:rPr>
        <w:t>(</w:t>
      </w:r>
      <w:r w:rsidRPr="00A71929">
        <w:rPr>
          <w:rFonts w:ascii="Times New Roman" w:hAnsi="Times New Roman" w:cs="Times New Roman"/>
        </w:rPr>
        <w:t>2005</w:t>
      </w:r>
      <w:r>
        <w:rPr>
          <w:rFonts w:ascii="Times New Roman" w:hAnsi="Times New Roman" w:cs="Times New Roman"/>
        </w:rPr>
        <w:t>)</w:t>
      </w:r>
      <w:r w:rsidRPr="00A71929">
        <w:rPr>
          <w:rFonts w:ascii="Times New Roman" w:hAnsi="Times New Roman" w:cs="Times New Roman"/>
        </w:rPr>
        <w:t xml:space="preserve">. Soybean isoflavones: efficacy of extraction conditions and effect of food type on extractability. </w:t>
      </w:r>
      <w:r w:rsidRPr="00A71929">
        <w:rPr>
          <w:rFonts w:ascii="Times New Roman" w:hAnsi="Times New Roman" w:cs="Times New Roman"/>
          <w:i/>
        </w:rPr>
        <w:t>Food Res. Int.,</w:t>
      </w:r>
      <w:r w:rsidRPr="00A71929">
        <w:rPr>
          <w:rFonts w:ascii="Times New Roman" w:hAnsi="Times New Roman" w:cs="Times New Roman"/>
        </w:rPr>
        <w:t xml:space="preserve"> </w:t>
      </w:r>
      <w:r w:rsidRPr="00A71929">
        <w:rPr>
          <w:rFonts w:ascii="Times New Roman" w:hAnsi="Times New Roman" w:cs="Times New Roman"/>
          <w:bCs/>
          <w:i/>
          <w:iCs/>
        </w:rPr>
        <w:t>38</w:t>
      </w:r>
      <w:r w:rsidRPr="00A71929">
        <w:rPr>
          <w:rFonts w:ascii="Times New Roman" w:hAnsi="Times New Roman" w:cs="Times New Roman"/>
          <w:i/>
          <w:iCs/>
        </w:rPr>
        <w:t>(10):</w:t>
      </w:r>
      <w:r w:rsidRPr="00A71929">
        <w:rPr>
          <w:rFonts w:ascii="Times New Roman" w:hAnsi="Times New Roman" w:cs="Times New Roman"/>
        </w:rPr>
        <w:t xml:space="preserve"> 1199–1204. </w:t>
      </w:r>
    </w:p>
    <w:p w14:paraId="00FBFC6D" w14:textId="55F304D1"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And, K., Kinarm, Malison, J.A. </w:t>
      </w:r>
      <w:r w:rsidR="00506D8B">
        <w:rPr>
          <w:rFonts w:ascii="Times New Roman" w:hAnsi="Times New Roman" w:cs="Times New Roman"/>
        </w:rPr>
        <w:t>&amp;</w:t>
      </w:r>
      <w:r w:rsidRPr="00A71929">
        <w:rPr>
          <w:rFonts w:ascii="Times New Roman" w:hAnsi="Times New Roman" w:cs="Times New Roman"/>
        </w:rPr>
        <w:t xml:space="preserve"> Reed, J.D. </w:t>
      </w:r>
      <w:r>
        <w:rPr>
          <w:rFonts w:ascii="Times New Roman" w:hAnsi="Times New Roman" w:cs="Times New Roman"/>
        </w:rPr>
        <w:t>(</w:t>
      </w:r>
      <w:r w:rsidRPr="00A71929">
        <w:rPr>
          <w:rFonts w:ascii="Times New Roman" w:hAnsi="Times New Roman" w:cs="Times New Roman"/>
        </w:rPr>
        <w:t>1999</w:t>
      </w:r>
      <w:r>
        <w:rPr>
          <w:rFonts w:ascii="Times New Roman" w:hAnsi="Times New Roman" w:cs="Times New Roman"/>
        </w:rPr>
        <w:t>)</w:t>
      </w:r>
      <w:r w:rsidRPr="00A71929">
        <w:rPr>
          <w:rFonts w:ascii="Times New Roman" w:hAnsi="Times New Roman" w:cs="Times New Roman"/>
        </w:rPr>
        <w:t>. Effect of genistein on the growth and reproductive function of male and female yellow perch,</w:t>
      </w:r>
      <w:r w:rsidRPr="00A71929">
        <w:rPr>
          <w:rFonts w:ascii="Times New Roman" w:hAnsi="Times New Roman" w:cs="Times New Roman"/>
          <w:i/>
        </w:rPr>
        <w:t xml:space="preserve"> Perca flavescens</w:t>
      </w:r>
      <w:r w:rsidRPr="00A71929">
        <w:rPr>
          <w:rFonts w:ascii="Times New Roman" w:hAnsi="Times New Roman" w:cs="Times New Roman"/>
        </w:rPr>
        <w:t xml:space="preserve">. </w:t>
      </w:r>
      <w:r w:rsidRPr="00A71929">
        <w:rPr>
          <w:rFonts w:ascii="Times New Roman" w:hAnsi="Times New Roman" w:cs="Times New Roman"/>
          <w:i/>
        </w:rPr>
        <w:t>J. World Aquacult. Soc.</w:t>
      </w:r>
      <w:r w:rsidRPr="00A71929">
        <w:rPr>
          <w:rFonts w:ascii="Times New Roman" w:hAnsi="Times New Roman" w:cs="Times New Roman"/>
        </w:rPr>
        <w:t xml:space="preserve">, </w:t>
      </w:r>
      <w:r w:rsidRPr="00A71929">
        <w:rPr>
          <w:rFonts w:ascii="Times New Roman" w:hAnsi="Times New Roman" w:cs="Times New Roman"/>
          <w:bCs/>
          <w:i/>
          <w:iCs/>
        </w:rPr>
        <w:t>30(1):</w:t>
      </w:r>
      <w:r w:rsidRPr="00A71929">
        <w:rPr>
          <w:rFonts w:ascii="Times New Roman" w:hAnsi="Times New Roman" w:cs="Times New Roman"/>
        </w:rPr>
        <w:t xml:space="preserve"> 73–79.</w:t>
      </w:r>
    </w:p>
    <w:p w14:paraId="5E0F8F14" w14:textId="19F6726F" w:rsidR="00DD7884" w:rsidRPr="00A71929" w:rsidRDefault="006355AA" w:rsidP="00DD7884">
      <w:pPr>
        <w:spacing w:line="276" w:lineRule="auto"/>
        <w:ind w:left="720" w:hanging="720"/>
        <w:jc w:val="both"/>
        <w:rPr>
          <w:rFonts w:ascii="Times New Roman" w:hAnsi="Times New Roman" w:cs="Times New Roman"/>
        </w:rPr>
      </w:pPr>
      <w:r w:rsidRPr="00AA4A8C">
        <w:rPr>
          <w:rFonts w:ascii="Times New Roman" w:hAnsi="Times New Roman" w:cs="Times New Roman"/>
        </w:rPr>
        <w:t xml:space="preserve">Bagheri, T., Imanpoor, M.R. </w:t>
      </w:r>
      <w:r w:rsidR="00506D8B">
        <w:rPr>
          <w:rFonts w:ascii="Times New Roman" w:hAnsi="Times New Roman" w:cs="Times New Roman"/>
        </w:rPr>
        <w:t>&amp;</w:t>
      </w:r>
      <w:r w:rsidRPr="00AA4A8C">
        <w:rPr>
          <w:rFonts w:ascii="Times New Roman" w:hAnsi="Times New Roman" w:cs="Times New Roman"/>
        </w:rPr>
        <w:t xml:space="preserve"> Jafari, V. </w:t>
      </w:r>
      <w:r w:rsidR="00DD7884">
        <w:rPr>
          <w:rFonts w:ascii="Times New Roman" w:hAnsi="Times New Roman" w:cs="Times New Roman"/>
        </w:rPr>
        <w:t>(</w:t>
      </w:r>
      <w:r w:rsidRPr="00AA4A8C">
        <w:rPr>
          <w:rFonts w:ascii="Times New Roman" w:hAnsi="Times New Roman" w:cs="Times New Roman"/>
        </w:rPr>
        <w:t>2014</w:t>
      </w:r>
      <w:r w:rsidR="00DD7884">
        <w:rPr>
          <w:rFonts w:ascii="Times New Roman" w:hAnsi="Times New Roman" w:cs="Times New Roman"/>
        </w:rPr>
        <w:t>)</w:t>
      </w:r>
      <w:r w:rsidRPr="00AA4A8C">
        <w:rPr>
          <w:rFonts w:ascii="Times New Roman" w:hAnsi="Times New Roman" w:cs="Times New Roman"/>
        </w:rPr>
        <w:t>. Effects of diets containing genistein and diadzein in a long-term study on sex steroid dynamics of goldfish (</w:t>
      </w:r>
      <w:r w:rsidRPr="00AA4A8C">
        <w:rPr>
          <w:rFonts w:ascii="Times New Roman" w:hAnsi="Times New Roman" w:cs="Times New Roman"/>
          <w:i/>
          <w:iCs/>
        </w:rPr>
        <w:t>Carassius auratus</w:t>
      </w:r>
      <w:r w:rsidRPr="00AA4A8C">
        <w:rPr>
          <w:rFonts w:ascii="Times New Roman" w:hAnsi="Times New Roman" w:cs="Times New Roman"/>
        </w:rPr>
        <w:t xml:space="preserve">). </w:t>
      </w:r>
      <w:r w:rsidRPr="00AA4A8C">
        <w:rPr>
          <w:rFonts w:ascii="Times New Roman" w:hAnsi="Times New Roman" w:cs="Times New Roman"/>
          <w:i/>
          <w:iCs/>
        </w:rPr>
        <w:t>Toxicology and Industrial Health,</w:t>
      </w:r>
      <w:r w:rsidRPr="00AA4A8C">
        <w:rPr>
          <w:rFonts w:ascii="Times New Roman" w:hAnsi="Times New Roman" w:cs="Times New Roman"/>
        </w:rPr>
        <w:t xml:space="preserve"> </w:t>
      </w:r>
      <w:r w:rsidRPr="00AA4A8C">
        <w:rPr>
          <w:rFonts w:ascii="Times New Roman" w:hAnsi="Times New Roman" w:cs="Times New Roman"/>
          <w:i/>
          <w:iCs/>
        </w:rPr>
        <w:t>30</w:t>
      </w:r>
      <w:r w:rsidRPr="00AA4A8C">
        <w:rPr>
          <w:rFonts w:ascii="Times New Roman" w:hAnsi="Times New Roman" w:cs="Times New Roman"/>
        </w:rPr>
        <w:t>: 132–140.</w:t>
      </w:r>
    </w:p>
    <w:p w14:paraId="15F0D5ED" w14:textId="1C6DA0FC" w:rsidR="00DD7884" w:rsidRPr="00A71929" w:rsidRDefault="006355AA" w:rsidP="00DD7884">
      <w:pPr>
        <w:spacing w:line="276" w:lineRule="auto"/>
        <w:ind w:left="720" w:hanging="720"/>
        <w:jc w:val="both"/>
        <w:rPr>
          <w:rFonts w:ascii="Times New Roman" w:hAnsi="Times New Roman" w:cs="Times New Roman"/>
        </w:rPr>
      </w:pPr>
      <w:r w:rsidRPr="00AA4A8C">
        <w:rPr>
          <w:rFonts w:ascii="Times New Roman" w:hAnsi="Times New Roman" w:cs="Times New Roman"/>
        </w:rPr>
        <w:t xml:space="preserve">Chakraborty, S.B., Molnar, T., Ardo, L., Jeney, G. </w:t>
      </w:r>
      <w:r w:rsidR="00506D8B">
        <w:rPr>
          <w:rFonts w:ascii="Times New Roman" w:hAnsi="Times New Roman" w:cs="Times New Roman"/>
        </w:rPr>
        <w:t>&amp;</w:t>
      </w:r>
      <w:r w:rsidRPr="00AA4A8C">
        <w:rPr>
          <w:rFonts w:ascii="Times New Roman" w:hAnsi="Times New Roman" w:cs="Times New Roman"/>
        </w:rPr>
        <w:t xml:space="preserve"> Hancz, C. </w:t>
      </w:r>
      <w:r w:rsidR="00DD7884">
        <w:rPr>
          <w:rFonts w:ascii="Times New Roman" w:hAnsi="Times New Roman" w:cs="Times New Roman"/>
        </w:rPr>
        <w:t>(</w:t>
      </w:r>
      <w:r w:rsidRPr="00AA4A8C">
        <w:rPr>
          <w:rFonts w:ascii="Times New Roman" w:hAnsi="Times New Roman" w:cs="Times New Roman"/>
        </w:rPr>
        <w:t>2015</w:t>
      </w:r>
      <w:r w:rsidR="00DD7884">
        <w:rPr>
          <w:rFonts w:ascii="Times New Roman" w:hAnsi="Times New Roman" w:cs="Times New Roman"/>
        </w:rPr>
        <w:t>)</w:t>
      </w:r>
      <w:r w:rsidRPr="00AA4A8C">
        <w:rPr>
          <w:rFonts w:ascii="Times New Roman" w:hAnsi="Times New Roman" w:cs="Times New Roman"/>
        </w:rPr>
        <w:t xml:space="preserve">. Oral administration of Basella alba leaf methanol extract and genistein enhances the growth and non-specific immune responses of </w:t>
      </w:r>
      <w:r w:rsidRPr="00AA4A8C">
        <w:rPr>
          <w:rFonts w:ascii="Times New Roman" w:hAnsi="Times New Roman" w:cs="Times New Roman"/>
          <w:i/>
          <w:iCs/>
        </w:rPr>
        <w:t>Oreochromis niloticus</w:t>
      </w:r>
      <w:r w:rsidRPr="00AA4A8C">
        <w:rPr>
          <w:rFonts w:ascii="Times New Roman" w:hAnsi="Times New Roman" w:cs="Times New Roman"/>
        </w:rPr>
        <w:t>. </w:t>
      </w:r>
      <w:r w:rsidRPr="00AA4A8C">
        <w:rPr>
          <w:rFonts w:ascii="Times New Roman" w:hAnsi="Times New Roman" w:cs="Times New Roman"/>
          <w:i/>
          <w:iCs/>
        </w:rPr>
        <w:t>Turkish Journal of Fisheries and Aquatic Sciences, 15(1):</w:t>
      </w:r>
      <w:r w:rsidRPr="00AA4A8C">
        <w:rPr>
          <w:rFonts w:ascii="Times New Roman" w:hAnsi="Times New Roman" w:cs="Times New Roman"/>
        </w:rPr>
        <w:t xml:space="preserve"> 167-173.</w:t>
      </w:r>
    </w:p>
    <w:p w14:paraId="534B9400" w14:textId="2A5E4FF9"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Chen, D., Wang, W. </w:t>
      </w:r>
      <w:r w:rsidR="00506D8B">
        <w:rPr>
          <w:rFonts w:ascii="Times New Roman" w:hAnsi="Times New Roman" w:cs="Times New Roman"/>
        </w:rPr>
        <w:t>&amp;</w:t>
      </w:r>
      <w:r w:rsidRPr="00A71929">
        <w:rPr>
          <w:rFonts w:ascii="Times New Roman" w:hAnsi="Times New Roman" w:cs="Times New Roman"/>
        </w:rPr>
        <w:t xml:space="preserve"> Ru, S.</w:t>
      </w:r>
      <w:r>
        <w:rPr>
          <w:rFonts w:ascii="Times New Roman" w:hAnsi="Times New Roman" w:cs="Times New Roman"/>
        </w:rPr>
        <w:t xml:space="preserve"> (2015).</w:t>
      </w:r>
      <w:r w:rsidRPr="00A71929">
        <w:rPr>
          <w:rFonts w:ascii="Times New Roman" w:hAnsi="Times New Roman" w:cs="Times New Roman"/>
        </w:rPr>
        <w:t xml:space="preserve"> Effect of dietary genistein on growth performance, digestive enzyme activity, and body composition of Nile tilapia </w:t>
      </w:r>
      <w:r w:rsidRPr="00A71929">
        <w:rPr>
          <w:rFonts w:ascii="Times New Roman" w:hAnsi="Times New Roman" w:cs="Times New Roman"/>
          <w:i/>
          <w:iCs/>
        </w:rPr>
        <w:t xml:space="preserve">Oreochromis </w:t>
      </w:r>
      <w:r w:rsidRPr="00A71929">
        <w:rPr>
          <w:rFonts w:ascii="Times New Roman" w:hAnsi="Times New Roman" w:cs="Times New Roman"/>
          <w:i/>
          <w:iCs/>
        </w:rPr>
        <w:lastRenderedPageBreak/>
        <w:t>niloticus</w:t>
      </w:r>
      <w:r w:rsidRPr="00A71929">
        <w:rPr>
          <w:rFonts w:ascii="Times New Roman" w:hAnsi="Times New Roman" w:cs="Times New Roman"/>
        </w:rPr>
        <w:t> . </w:t>
      </w:r>
      <w:r w:rsidRPr="00A71929">
        <w:rPr>
          <w:rFonts w:ascii="Times New Roman" w:hAnsi="Times New Roman" w:cs="Times New Roman"/>
          <w:i/>
          <w:iCs/>
        </w:rPr>
        <w:t>Chin. J. Ocean. Limnol. 33,</w:t>
      </w:r>
      <w:r w:rsidRPr="00A71929">
        <w:rPr>
          <w:rFonts w:ascii="Times New Roman" w:hAnsi="Times New Roman" w:cs="Times New Roman"/>
        </w:rPr>
        <w:t xml:space="preserve"> 77–83</w:t>
      </w:r>
      <w:r>
        <w:rPr>
          <w:rFonts w:ascii="Times New Roman" w:hAnsi="Times New Roman" w:cs="Times New Roman"/>
        </w:rPr>
        <w:t>.</w:t>
      </w:r>
    </w:p>
    <w:p w14:paraId="1579B8F7" w14:textId="750A9130" w:rsidR="00C75062" w:rsidRPr="00C16431" w:rsidRDefault="006355AA" w:rsidP="00DD7884">
      <w:pPr>
        <w:spacing w:line="276" w:lineRule="auto"/>
        <w:ind w:left="720" w:hanging="720"/>
        <w:jc w:val="both"/>
        <w:rPr>
          <w:rFonts w:ascii="Times New Roman" w:hAnsi="Times New Roman" w:cs="Times New Roman"/>
        </w:rPr>
      </w:pPr>
      <w:r w:rsidRPr="00C16431">
        <w:rPr>
          <w:rFonts w:ascii="Times New Roman" w:hAnsi="Times New Roman" w:cs="Times New Roman"/>
        </w:rPr>
        <w:t xml:space="preserve">DiMaggio, M.A., Kenter, L.W., Breton, T.S. </w:t>
      </w:r>
      <w:r w:rsidR="00506D8B">
        <w:rPr>
          <w:rFonts w:ascii="Times New Roman" w:hAnsi="Times New Roman" w:cs="Times New Roman"/>
        </w:rPr>
        <w:t xml:space="preserve">&amp; </w:t>
      </w:r>
      <w:r w:rsidRPr="00C16431">
        <w:rPr>
          <w:rFonts w:ascii="Times New Roman" w:hAnsi="Times New Roman" w:cs="Times New Roman"/>
        </w:rPr>
        <w:t xml:space="preserve">Berlinsky, D.L. </w:t>
      </w:r>
      <w:r w:rsidR="00DD7884">
        <w:rPr>
          <w:rFonts w:ascii="Times New Roman" w:hAnsi="Times New Roman" w:cs="Times New Roman"/>
        </w:rPr>
        <w:t>(</w:t>
      </w:r>
      <w:r w:rsidRPr="00C16431">
        <w:rPr>
          <w:rFonts w:ascii="Times New Roman" w:hAnsi="Times New Roman" w:cs="Times New Roman"/>
        </w:rPr>
        <w:t>2016</w:t>
      </w:r>
      <w:r w:rsidR="00DD7884">
        <w:rPr>
          <w:rFonts w:ascii="Times New Roman" w:hAnsi="Times New Roman" w:cs="Times New Roman"/>
        </w:rPr>
        <w:t>)</w:t>
      </w:r>
      <w:r w:rsidRPr="00C16431">
        <w:rPr>
          <w:rFonts w:ascii="Times New Roman" w:hAnsi="Times New Roman" w:cs="Times New Roman"/>
        </w:rPr>
        <w:t xml:space="preserve">. Effects of dietary genistein administration on growth, survival and sex determination in southern flounder, </w:t>
      </w:r>
      <w:r w:rsidRPr="00C16431">
        <w:rPr>
          <w:rFonts w:ascii="Times New Roman" w:hAnsi="Times New Roman" w:cs="Times New Roman"/>
          <w:i/>
          <w:iCs/>
        </w:rPr>
        <w:t>Paralichthys lethostigma</w:t>
      </w:r>
      <w:r w:rsidRPr="00C16431">
        <w:rPr>
          <w:rFonts w:ascii="Times New Roman" w:hAnsi="Times New Roman" w:cs="Times New Roman"/>
        </w:rPr>
        <w:t>. </w:t>
      </w:r>
      <w:r w:rsidRPr="00C16431">
        <w:rPr>
          <w:rFonts w:ascii="Times New Roman" w:hAnsi="Times New Roman" w:cs="Times New Roman"/>
          <w:i/>
          <w:iCs/>
        </w:rPr>
        <w:t>Aquaculture Research, 47(1):</w:t>
      </w:r>
      <w:r w:rsidRPr="00C16431">
        <w:rPr>
          <w:rFonts w:ascii="Times New Roman" w:hAnsi="Times New Roman" w:cs="Times New Roman"/>
        </w:rPr>
        <w:t xml:space="preserve"> 82-90.</w:t>
      </w:r>
    </w:p>
    <w:p w14:paraId="79B9A3F5" w14:textId="09B7309C"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Dixon, R.A., </w:t>
      </w:r>
      <w:r w:rsidR="00506D8B">
        <w:rPr>
          <w:rFonts w:ascii="Times New Roman" w:hAnsi="Times New Roman" w:cs="Times New Roman"/>
        </w:rPr>
        <w:t xml:space="preserve">&amp; </w:t>
      </w:r>
      <w:r w:rsidRPr="00A71929">
        <w:rPr>
          <w:rFonts w:ascii="Times New Roman" w:hAnsi="Times New Roman" w:cs="Times New Roman"/>
        </w:rPr>
        <w:t xml:space="preserve">D. Ferreira. </w:t>
      </w:r>
      <w:r>
        <w:rPr>
          <w:rFonts w:ascii="Times New Roman" w:hAnsi="Times New Roman" w:cs="Times New Roman"/>
        </w:rPr>
        <w:t>(</w:t>
      </w:r>
      <w:r w:rsidRPr="00A71929">
        <w:rPr>
          <w:rFonts w:ascii="Times New Roman" w:hAnsi="Times New Roman" w:cs="Times New Roman"/>
        </w:rPr>
        <w:t>2002</w:t>
      </w:r>
      <w:r>
        <w:rPr>
          <w:rFonts w:ascii="Times New Roman" w:hAnsi="Times New Roman" w:cs="Times New Roman"/>
        </w:rPr>
        <w:t>)</w:t>
      </w:r>
      <w:r w:rsidRPr="00A71929">
        <w:rPr>
          <w:rFonts w:ascii="Times New Roman" w:hAnsi="Times New Roman" w:cs="Times New Roman"/>
        </w:rPr>
        <w:t xml:space="preserve">. Genistein. </w:t>
      </w:r>
      <w:r w:rsidRPr="00A71929">
        <w:rPr>
          <w:rFonts w:ascii="Times New Roman" w:hAnsi="Times New Roman" w:cs="Times New Roman"/>
          <w:i/>
        </w:rPr>
        <w:t xml:space="preserve">Phytochemistry. </w:t>
      </w:r>
      <w:r w:rsidRPr="00A71929">
        <w:rPr>
          <w:rFonts w:ascii="Times New Roman" w:hAnsi="Times New Roman" w:cs="Times New Roman"/>
          <w:bCs/>
          <w:i/>
          <w:iCs/>
        </w:rPr>
        <w:t>60:</w:t>
      </w:r>
      <w:r w:rsidRPr="00A71929">
        <w:rPr>
          <w:rFonts w:ascii="Times New Roman" w:hAnsi="Times New Roman" w:cs="Times New Roman"/>
        </w:rPr>
        <w:t xml:space="preserve"> 205-211.</w:t>
      </w:r>
    </w:p>
    <w:p w14:paraId="61D3F21A" w14:textId="77777777"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FAO. </w:t>
      </w:r>
      <w:r>
        <w:rPr>
          <w:rFonts w:ascii="Times New Roman" w:hAnsi="Times New Roman" w:cs="Times New Roman"/>
        </w:rPr>
        <w:t>(</w:t>
      </w:r>
      <w:r w:rsidRPr="00A71929">
        <w:rPr>
          <w:rFonts w:ascii="Times New Roman" w:hAnsi="Times New Roman" w:cs="Times New Roman"/>
        </w:rPr>
        <w:t>2018</w:t>
      </w:r>
      <w:r>
        <w:rPr>
          <w:rFonts w:ascii="Times New Roman" w:hAnsi="Times New Roman" w:cs="Times New Roman"/>
        </w:rPr>
        <w:t>)</w:t>
      </w:r>
      <w:r w:rsidRPr="00A71929">
        <w:rPr>
          <w:rFonts w:ascii="Times New Roman" w:hAnsi="Times New Roman" w:cs="Times New Roman"/>
        </w:rPr>
        <w:t>. The State of Food Security and Nutrition in the World. Building climate resilience for food security and nutrition. Rome, Italy.</w:t>
      </w:r>
    </w:p>
    <w:p w14:paraId="1AFBB247" w14:textId="698FA59D" w:rsidR="00C75062" w:rsidRPr="00AA4A8C" w:rsidRDefault="006355AA" w:rsidP="00DD7884">
      <w:pPr>
        <w:spacing w:line="276" w:lineRule="auto"/>
        <w:ind w:left="720" w:hanging="720"/>
        <w:jc w:val="both"/>
        <w:rPr>
          <w:rFonts w:ascii="Times New Roman" w:hAnsi="Times New Roman" w:cs="Times New Roman"/>
        </w:rPr>
      </w:pPr>
      <w:r w:rsidRPr="00AA4A8C">
        <w:rPr>
          <w:rFonts w:ascii="Times New Roman" w:hAnsi="Times New Roman" w:cs="Times New Roman"/>
        </w:rPr>
        <w:t xml:space="preserve">Fickler, A., Staats, S., Rimbach, G. </w:t>
      </w:r>
      <w:r w:rsidR="00506D8B">
        <w:rPr>
          <w:rFonts w:ascii="Times New Roman" w:hAnsi="Times New Roman" w:cs="Times New Roman"/>
        </w:rPr>
        <w:t xml:space="preserve"> &amp; </w:t>
      </w:r>
      <w:r w:rsidRPr="00AA4A8C">
        <w:rPr>
          <w:rFonts w:ascii="Times New Roman" w:hAnsi="Times New Roman" w:cs="Times New Roman"/>
        </w:rPr>
        <w:t xml:space="preserve">Schulz, C. </w:t>
      </w:r>
      <w:r w:rsidR="00DD7884">
        <w:rPr>
          <w:rFonts w:ascii="Times New Roman" w:hAnsi="Times New Roman" w:cs="Times New Roman"/>
        </w:rPr>
        <w:t>(</w:t>
      </w:r>
      <w:r w:rsidRPr="00AA4A8C">
        <w:rPr>
          <w:rFonts w:ascii="Times New Roman" w:hAnsi="Times New Roman" w:cs="Times New Roman"/>
        </w:rPr>
        <w:t>2019</w:t>
      </w:r>
      <w:r w:rsidR="00DD7884">
        <w:rPr>
          <w:rFonts w:ascii="Times New Roman" w:hAnsi="Times New Roman" w:cs="Times New Roman"/>
        </w:rPr>
        <w:t>)</w:t>
      </w:r>
      <w:r w:rsidRPr="00AA4A8C">
        <w:rPr>
          <w:rFonts w:ascii="Times New Roman" w:hAnsi="Times New Roman" w:cs="Times New Roman"/>
        </w:rPr>
        <w:t xml:space="preserve">. Screening dietary biochanin A, daidzein, equol and </w:t>
      </w:r>
      <w:r w:rsidR="00DD7884">
        <w:rPr>
          <w:rFonts w:ascii="Times New Roman" w:hAnsi="Times New Roman" w:cs="Times New Roman"/>
        </w:rPr>
        <w:t>g</w:t>
      </w:r>
      <w:r w:rsidRPr="00AA4A8C">
        <w:rPr>
          <w:rFonts w:ascii="Times New Roman" w:hAnsi="Times New Roman" w:cs="Times New Roman"/>
        </w:rPr>
        <w:t>enistein for their potential to increase DHA biosynthesis in rainbow trout (</w:t>
      </w:r>
      <w:r w:rsidRPr="00AA4A8C">
        <w:rPr>
          <w:rFonts w:ascii="Times New Roman" w:hAnsi="Times New Roman" w:cs="Times New Roman"/>
          <w:i/>
          <w:iCs/>
        </w:rPr>
        <w:t>Oncorhynchus mykiss</w:t>
      </w:r>
      <w:r w:rsidRPr="00AA4A8C">
        <w:rPr>
          <w:rFonts w:ascii="Times New Roman" w:hAnsi="Times New Roman" w:cs="Times New Roman"/>
        </w:rPr>
        <w:t>). </w:t>
      </w:r>
      <w:r w:rsidRPr="00AA4A8C">
        <w:rPr>
          <w:rFonts w:ascii="Times New Roman" w:hAnsi="Times New Roman" w:cs="Times New Roman"/>
          <w:i/>
          <w:iCs/>
        </w:rPr>
        <w:t>Plos one</w:t>
      </w:r>
      <w:r w:rsidRPr="00AA4A8C">
        <w:rPr>
          <w:rFonts w:ascii="Times New Roman" w:hAnsi="Times New Roman" w:cs="Times New Roman"/>
        </w:rPr>
        <w:t>, </w:t>
      </w:r>
      <w:r w:rsidRPr="00AA4A8C">
        <w:rPr>
          <w:rFonts w:ascii="Times New Roman" w:hAnsi="Times New Roman" w:cs="Times New Roman"/>
          <w:i/>
          <w:iCs/>
        </w:rPr>
        <w:t>14(1):</w:t>
      </w:r>
      <w:r w:rsidRPr="00AA4A8C">
        <w:rPr>
          <w:rFonts w:ascii="Times New Roman" w:hAnsi="Times New Roman" w:cs="Times New Roman"/>
        </w:rPr>
        <w:t xml:space="preserve"> 1-18.</w:t>
      </w:r>
    </w:p>
    <w:p w14:paraId="44F317AC" w14:textId="0B3B4D2B"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Hopert, A.C., Beyer, A., Frank, K., Strunck, E., Wunsche, W.</w:t>
      </w:r>
      <w:r w:rsidR="00506D8B">
        <w:rPr>
          <w:rFonts w:ascii="Times New Roman" w:hAnsi="Times New Roman" w:cs="Times New Roman"/>
        </w:rPr>
        <w:t xml:space="preserve"> &amp; </w:t>
      </w:r>
      <w:r w:rsidRPr="00A71929">
        <w:rPr>
          <w:rFonts w:ascii="Times New Roman" w:hAnsi="Times New Roman" w:cs="Times New Roman"/>
        </w:rPr>
        <w:t xml:space="preserve">Vollmer, G. </w:t>
      </w:r>
      <w:r>
        <w:rPr>
          <w:rFonts w:ascii="Times New Roman" w:hAnsi="Times New Roman" w:cs="Times New Roman"/>
        </w:rPr>
        <w:t>(</w:t>
      </w:r>
      <w:r w:rsidRPr="00A71929">
        <w:rPr>
          <w:rFonts w:ascii="Times New Roman" w:hAnsi="Times New Roman" w:cs="Times New Roman"/>
        </w:rPr>
        <w:t>1998</w:t>
      </w:r>
      <w:r>
        <w:rPr>
          <w:rFonts w:ascii="Times New Roman" w:hAnsi="Times New Roman" w:cs="Times New Roman"/>
        </w:rPr>
        <w:t>)</w:t>
      </w:r>
      <w:r w:rsidRPr="00A71929">
        <w:rPr>
          <w:rFonts w:ascii="Times New Roman" w:hAnsi="Times New Roman" w:cs="Times New Roman"/>
        </w:rPr>
        <w:t xml:space="preserve">. Characterization of estrogenicity of phytoestrogens in an endometrial-derived experimental model. </w:t>
      </w:r>
      <w:r w:rsidRPr="00A71929">
        <w:rPr>
          <w:rFonts w:ascii="Times New Roman" w:hAnsi="Times New Roman" w:cs="Times New Roman"/>
          <w:i/>
        </w:rPr>
        <w:t xml:space="preserve">Environ. Health Perspect., </w:t>
      </w:r>
      <w:r w:rsidRPr="00A71929">
        <w:rPr>
          <w:rFonts w:ascii="Times New Roman" w:hAnsi="Times New Roman" w:cs="Times New Roman"/>
          <w:bCs/>
          <w:i/>
          <w:iCs/>
        </w:rPr>
        <w:t>106:</w:t>
      </w:r>
      <w:r w:rsidRPr="00A71929">
        <w:rPr>
          <w:rFonts w:ascii="Times New Roman" w:hAnsi="Times New Roman" w:cs="Times New Roman"/>
        </w:rPr>
        <w:t xml:space="preserve"> 581-586.</w:t>
      </w:r>
    </w:p>
    <w:p w14:paraId="3CDFFF12" w14:textId="2B2B5603" w:rsidR="00C75062" w:rsidRPr="00D135F2" w:rsidRDefault="006355AA" w:rsidP="00DD7884">
      <w:pPr>
        <w:spacing w:line="276" w:lineRule="auto"/>
        <w:ind w:left="720" w:hanging="720"/>
        <w:jc w:val="both"/>
        <w:rPr>
          <w:rFonts w:ascii="Times New Roman" w:hAnsi="Times New Roman" w:cs="Times New Roman"/>
        </w:rPr>
      </w:pPr>
      <w:r w:rsidRPr="00D135F2">
        <w:rPr>
          <w:rFonts w:ascii="Times New Roman" w:hAnsi="Times New Roman" w:cs="Times New Roman"/>
        </w:rPr>
        <w:t xml:space="preserve">Inudo, M., Ishibashi, H., Matsumura, N., Matsuoka, M., Mori, T., Taniyama, S., Kadokami, K., Koga, M., Shinohara, R., Hutchinson, T.H. </w:t>
      </w:r>
      <w:r w:rsidR="00506D8B">
        <w:rPr>
          <w:rFonts w:ascii="Times New Roman" w:hAnsi="Times New Roman" w:cs="Times New Roman"/>
        </w:rPr>
        <w:t xml:space="preserve"> &amp; </w:t>
      </w:r>
      <w:r w:rsidRPr="00D135F2">
        <w:rPr>
          <w:rFonts w:ascii="Times New Roman" w:hAnsi="Times New Roman" w:cs="Times New Roman"/>
        </w:rPr>
        <w:t xml:space="preserve"> Iguchi, T. </w:t>
      </w:r>
      <w:r w:rsidR="00DD7884">
        <w:rPr>
          <w:rFonts w:ascii="Times New Roman" w:hAnsi="Times New Roman" w:cs="Times New Roman"/>
        </w:rPr>
        <w:t>(</w:t>
      </w:r>
      <w:r w:rsidRPr="00D135F2">
        <w:rPr>
          <w:rFonts w:ascii="Times New Roman" w:hAnsi="Times New Roman" w:cs="Times New Roman"/>
        </w:rPr>
        <w:t>2004</w:t>
      </w:r>
      <w:r w:rsidR="00DD7884">
        <w:rPr>
          <w:rFonts w:ascii="Times New Roman" w:hAnsi="Times New Roman" w:cs="Times New Roman"/>
        </w:rPr>
        <w:t>)</w:t>
      </w:r>
      <w:r w:rsidRPr="00D135F2">
        <w:rPr>
          <w:rFonts w:ascii="Times New Roman" w:hAnsi="Times New Roman" w:cs="Times New Roman"/>
        </w:rPr>
        <w:t xml:space="preserve">. Effect of estrogenic activity, and phytoestrogen and organochlorine pesticide contents in an experimental fish diet on reproduction and hepatic </w:t>
      </w:r>
      <w:r w:rsidRPr="00D135F2">
        <w:rPr>
          <w:rFonts w:ascii="Times New Roman" w:hAnsi="Times New Roman" w:cs="Times New Roman"/>
        </w:rPr>
        <w:t>vitellogenin production in medaka (</w:t>
      </w:r>
      <w:r w:rsidRPr="00D135F2">
        <w:rPr>
          <w:rFonts w:ascii="Times New Roman" w:hAnsi="Times New Roman" w:cs="Times New Roman"/>
          <w:i/>
          <w:iCs/>
        </w:rPr>
        <w:t>Oryzias latipes</w:t>
      </w:r>
      <w:r w:rsidRPr="00D135F2">
        <w:rPr>
          <w:rFonts w:ascii="Times New Roman" w:hAnsi="Times New Roman" w:cs="Times New Roman"/>
        </w:rPr>
        <w:t>). </w:t>
      </w:r>
      <w:r w:rsidRPr="00D135F2">
        <w:rPr>
          <w:rFonts w:ascii="Times New Roman" w:hAnsi="Times New Roman" w:cs="Times New Roman"/>
          <w:i/>
          <w:iCs/>
        </w:rPr>
        <w:t>Comparative medicine, 54(6):</w:t>
      </w:r>
      <w:r w:rsidRPr="00D135F2">
        <w:rPr>
          <w:rFonts w:ascii="Times New Roman" w:hAnsi="Times New Roman" w:cs="Times New Roman"/>
        </w:rPr>
        <w:t xml:space="preserve"> 673-680.</w:t>
      </w:r>
    </w:p>
    <w:p w14:paraId="78492A5B" w14:textId="2F8EDECB" w:rsidR="00C75062" w:rsidRPr="00D135F2" w:rsidRDefault="006355AA" w:rsidP="00DD7884">
      <w:pPr>
        <w:spacing w:line="276" w:lineRule="auto"/>
        <w:ind w:left="720" w:hanging="720"/>
        <w:jc w:val="both"/>
        <w:rPr>
          <w:rFonts w:ascii="Times New Roman" w:hAnsi="Times New Roman" w:cs="Times New Roman"/>
        </w:rPr>
      </w:pPr>
      <w:r w:rsidRPr="00D135F2">
        <w:rPr>
          <w:rFonts w:ascii="Times New Roman" w:hAnsi="Times New Roman" w:cs="Times New Roman"/>
        </w:rPr>
        <w:t xml:space="preserve">Jourdehi, A.Y., Sudagar, M., Bahmani, M., Hosseini, S., Dehghani, A. </w:t>
      </w:r>
      <w:r w:rsidR="00506D8B">
        <w:rPr>
          <w:rFonts w:ascii="Times New Roman" w:hAnsi="Times New Roman" w:cs="Times New Roman"/>
        </w:rPr>
        <w:t xml:space="preserve">&amp; </w:t>
      </w:r>
      <w:r w:rsidRPr="00D135F2">
        <w:rPr>
          <w:rFonts w:ascii="Times New Roman" w:hAnsi="Times New Roman" w:cs="Times New Roman"/>
        </w:rPr>
        <w:t xml:space="preserve">Yazdani, M. </w:t>
      </w:r>
      <w:r w:rsidR="00DD7884">
        <w:rPr>
          <w:rFonts w:ascii="Times New Roman" w:hAnsi="Times New Roman" w:cs="Times New Roman"/>
        </w:rPr>
        <w:t>(</w:t>
      </w:r>
      <w:r w:rsidRPr="00D135F2">
        <w:rPr>
          <w:rFonts w:ascii="Times New Roman" w:hAnsi="Times New Roman" w:cs="Times New Roman"/>
        </w:rPr>
        <w:t>2014</w:t>
      </w:r>
      <w:r w:rsidR="00DD7884">
        <w:rPr>
          <w:rFonts w:ascii="Times New Roman" w:hAnsi="Times New Roman" w:cs="Times New Roman"/>
        </w:rPr>
        <w:t>)</w:t>
      </w:r>
      <w:r w:rsidRPr="00D135F2">
        <w:rPr>
          <w:rFonts w:ascii="Times New Roman" w:hAnsi="Times New Roman" w:cs="Times New Roman"/>
        </w:rPr>
        <w:t xml:space="preserve">. Comparative study of dietary soy phytoestrogens Genistein and equol effects on growth parameters and ovarian development in farmed female beluga sturgeon, </w:t>
      </w:r>
      <w:r w:rsidRPr="00D135F2">
        <w:rPr>
          <w:rFonts w:ascii="Times New Roman" w:hAnsi="Times New Roman" w:cs="Times New Roman"/>
          <w:i/>
          <w:iCs/>
        </w:rPr>
        <w:t>Huso huso. Fish Physiol. Biochem., 40</w:t>
      </w:r>
      <w:r w:rsidRPr="00D135F2">
        <w:rPr>
          <w:rFonts w:ascii="Times New Roman" w:hAnsi="Times New Roman" w:cs="Times New Roman"/>
          <w:b/>
          <w:bCs/>
          <w:i/>
          <w:iCs/>
        </w:rPr>
        <w:t xml:space="preserve"> </w:t>
      </w:r>
      <w:r w:rsidRPr="00D135F2">
        <w:rPr>
          <w:rFonts w:ascii="Times New Roman" w:hAnsi="Times New Roman" w:cs="Times New Roman"/>
          <w:i/>
          <w:iCs/>
        </w:rPr>
        <w:t xml:space="preserve">(1): </w:t>
      </w:r>
      <w:r w:rsidRPr="00D135F2">
        <w:rPr>
          <w:rFonts w:ascii="Times New Roman" w:hAnsi="Times New Roman" w:cs="Times New Roman"/>
        </w:rPr>
        <w:t>117–128.</w:t>
      </w:r>
    </w:p>
    <w:p w14:paraId="29EAD694" w14:textId="1CDE8BCE"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Korach, K.S., Davis, V.L., Curtis, S.W. </w:t>
      </w:r>
      <w:r w:rsidR="00506D8B">
        <w:rPr>
          <w:rFonts w:ascii="Times New Roman" w:hAnsi="Times New Roman" w:cs="Times New Roman"/>
        </w:rPr>
        <w:t xml:space="preserve">&amp; </w:t>
      </w:r>
      <w:r w:rsidRPr="00A71929">
        <w:rPr>
          <w:rFonts w:ascii="Times New Roman" w:hAnsi="Times New Roman" w:cs="Times New Roman"/>
        </w:rPr>
        <w:t xml:space="preserve">Bocchinfuso, W.P. </w:t>
      </w:r>
      <w:r>
        <w:rPr>
          <w:rFonts w:ascii="Times New Roman" w:hAnsi="Times New Roman" w:cs="Times New Roman"/>
        </w:rPr>
        <w:t>(</w:t>
      </w:r>
      <w:r w:rsidRPr="00A71929">
        <w:rPr>
          <w:rFonts w:ascii="Times New Roman" w:hAnsi="Times New Roman" w:cs="Times New Roman"/>
        </w:rPr>
        <w:t>1997</w:t>
      </w:r>
      <w:r>
        <w:rPr>
          <w:rFonts w:ascii="Times New Roman" w:hAnsi="Times New Roman" w:cs="Times New Roman"/>
        </w:rPr>
        <w:t>)</w:t>
      </w:r>
      <w:r w:rsidRPr="00A71929">
        <w:rPr>
          <w:rFonts w:ascii="Times New Roman" w:hAnsi="Times New Roman" w:cs="Times New Roman"/>
        </w:rPr>
        <w:t xml:space="preserve">. </w:t>
      </w:r>
      <w:r w:rsidRPr="00A71929">
        <w:rPr>
          <w:rFonts w:ascii="Times New Roman" w:hAnsi="Times New Roman" w:cs="Times New Roman"/>
          <w:i/>
        </w:rPr>
        <w:t>Xenoestrogens and estrogen receptor action. Endocrine Toxicology,</w:t>
      </w:r>
      <w:r w:rsidRPr="00A71929">
        <w:rPr>
          <w:rFonts w:ascii="Times New Roman" w:hAnsi="Times New Roman" w:cs="Times New Roman"/>
        </w:rPr>
        <w:t xml:space="preserve"> (2nd ed. Colby Eds. J.A. Thomas and H.D.) Taylor and Francis. Washington, D.C.</w:t>
      </w:r>
    </w:p>
    <w:p w14:paraId="3136A670" w14:textId="7D9F486C" w:rsidR="00DD7884" w:rsidRPr="00A71929" w:rsidRDefault="00DD7884" w:rsidP="00DD7884">
      <w:pPr>
        <w:spacing w:line="276" w:lineRule="auto"/>
        <w:ind w:left="720" w:hanging="720"/>
        <w:rPr>
          <w:rFonts w:ascii="Times New Roman" w:hAnsi="Times New Roman" w:cs="Times New Roman"/>
        </w:rPr>
      </w:pPr>
      <w:r w:rsidRPr="00A71929">
        <w:rPr>
          <w:rFonts w:ascii="Times New Roman" w:hAnsi="Times New Roman" w:cs="Times New Roman"/>
        </w:rPr>
        <w:t xml:space="preserve">Kumar, D., Kumar, A. </w:t>
      </w:r>
      <w:r w:rsidR="00506D8B">
        <w:rPr>
          <w:rFonts w:ascii="Times New Roman" w:hAnsi="Times New Roman" w:cs="Times New Roman"/>
        </w:rPr>
        <w:t xml:space="preserve">&amp; </w:t>
      </w:r>
      <w:r w:rsidRPr="00A71929">
        <w:rPr>
          <w:rFonts w:ascii="Times New Roman" w:hAnsi="Times New Roman" w:cs="Times New Roman"/>
        </w:rPr>
        <w:t xml:space="preserve">Prakesh, O. (2012) Potential antifertility agents from plants: A comprehensive review. </w:t>
      </w:r>
      <w:r w:rsidRPr="00A71929">
        <w:rPr>
          <w:rFonts w:ascii="Times New Roman" w:hAnsi="Times New Roman" w:cs="Times New Roman"/>
          <w:i/>
          <w:iCs/>
        </w:rPr>
        <w:t>Journal of Ethnopharmacology, 140:</w:t>
      </w:r>
      <w:r w:rsidRPr="00A71929">
        <w:rPr>
          <w:rFonts w:ascii="Times New Roman" w:hAnsi="Times New Roman" w:cs="Times New Roman"/>
        </w:rPr>
        <w:t xml:space="preserve"> 1– 32.</w:t>
      </w:r>
    </w:p>
    <w:p w14:paraId="189BD2C8" w14:textId="5AE94150"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Makarevich, A., Sirokin, A., Taradajnik, T. </w:t>
      </w:r>
      <w:r w:rsidR="00506D8B">
        <w:rPr>
          <w:rFonts w:ascii="Times New Roman" w:hAnsi="Times New Roman" w:cs="Times New Roman"/>
        </w:rPr>
        <w:t xml:space="preserve">&amp; </w:t>
      </w:r>
      <w:r w:rsidRPr="00A71929">
        <w:rPr>
          <w:rFonts w:ascii="Times New Roman" w:hAnsi="Times New Roman" w:cs="Times New Roman"/>
        </w:rPr>
        <w:t xml:space="preserve">Chrenek, P. </w:t>
      </w:r>
      <w:r>
        <w:rPr>
          <w:rFonts w:ascii="Times New Roman" w:hAnsi="Times New Roman" w:cs="Times New Roman"/>
        </w:rPr>
        <w:t>(</w:t>
      </w:r>
      <w:r w:rsidRPr="00A71929">
        <w:rPr>
          <w:rFonts w:ascii="Times New Roman" w:hAnsi="Times New Roman" w:cs="Times New Roman"/>
        </w:rPr>
        <w:t>1997</w:t>
      </w:r>
      <w:r>
        <w:rPr>
          <w:rFonts w:ascii="Times New Roman" w:hAnsi="Times New Roman" w:cs="Times New Roman"/>
        </w:rPr>
        <w:t>)</w:t>
      </w:r>
      <w:r w:rsidRPr="00A71929">
        <w:rPr>
          <w:rFonts w:ascii="Times New Roman" w:hAnsi="Times New Roman" w:cs="Times New Roman"/>
        </w:rPr>
        <w:t xml:space="preserve">. Effects of genistein and lavendustin on reproductive processes in domestic animals in vitro. </w:t>
      </w:r>
      <w:r w:rsidRPr="00A71929">
        <w:rPr>
          <w:rFonts w:ascii="Times New Roman" w:hAnsi="Times New Roman" w:cs="Times New Roman"/>
          <w:i/>
        </w:rPr>
        <w:t>J. Steroid Biochem. Mol. Biol.,</w:t>
      </w:r>
      <w:r w:rsidRPr="00A71929">
        <w:rPr>
          <w:rFonts w:ascii="Times New Roman" w:hAnsi="Times New Roman" w:cs="Times New Roman"/>
        </w:rPr>
        <w:t xml:space="preserve"> </w:t>
      </w:r>
      <w:r w:rsidRPr="00A71929">
        <w:rPr>
          <w:rFonts w:ascii="Times New Roman" w:hAnsi="Times New Roman" w:cs="Times New Roman"/>
          <w:bCs/>
          <w:i/>
          <w:iCs/>
        </w:rPr>
        <w:t>63:</w:t>
      </w:r>
      <w:r w:rsidRPr="00A71929">
        <w:rPr>
          <w:rFonts w:ascii="Times New Roman" w:hAnsi="Times New Roman" w:cs="Times New Roman"/>
        </w:rPr>
        <w:t xml:space="preserve"> 329-337.</w:t>
      </w:r>
    </w:p>
    <w:p w14:paraId="2CF2100F" w14:textId="3521E758"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Messina, M., Persky, V., Setchell, K. </w:t>
      </w:r>
      <w:r w:rsidR="00506D8B">
        <w:rPr>
          <w:rFonts w:ascii="Times New Roman" w:hAnsi="Times New Roman" w:cs="Times New Roman"/>
        </w:rPr>
        <w:t xml:space="preserve">&amp; </w:t>
      </w:r>
      <w:r w:rsidRPr="00A71929">
        <w:rPr>
          <w:rFonts w:ascii="Times New Roman" w:hAnsi="Times New Roman" w:cs="Times New Roman"/>
        </w:rPr>
        <w:t xml:space="preserve">Barnes, S. </w:t>
      </w:r>
      <w:r>
        <w:rPr>
          <w:rFonts w:ascii="Times New Roman" w:hAnsi="Times New Roman" w:cs="Times New Roman"/>
        </w:rPr>
        <w:t>(</w:t>
      </w:r>
      <w:r w:rsidRPr="00A71929">
        <w:rPr>
          <w:rFonts w:ascii="Times New Roman" w:hAnsi="Times New Roman" w:cs="Times New Roman"/>
        </w:rPr>
        <w:t>1994</w:t>
      </w:r>
      <w:r>
        <w:rPr>
          <w:rFonts w:ascii="Times New Roman" w:hAnsi="Times New Roman" w:cs="Times New Roman"/>
        </w:rPr>
        <w:t>)</w:t>
      </w:r>
      <w:r w:rsidRPr="00A71929">
        <w:rPr>
          <w:rFonts w:ascii="Times New Roman" w:hAnsi="Times New Roman" w:cs="Times New Roman"/>
        </w:rPr>
        <w:t xml:space="preserve">. Soy intake and cancer risk: a review of the in vitro and in vivo data. </w:t>
      </w:r>
      <w:r w:rsidRPr="00A71929">
        <w:rPr>
          <w:rFonts w:ascii="Times New Roman" w:hAnsi="Times New Roman" w:cs="Times New Roman"/>
          <w:i/>
        </w:rPr>
        <w:t>Nutr. Cancer,</w:t>
      </w:r>
      <w:r w:rsidRPr="00A71929">
        <w:rPr>
          <w:rFonts w:ascii="Times New Roman" w:hAnsi="Times New Roman" w:cs="Times New Roman"/>
        </w:rPr>
        <w:t xml:space="preserve"> </w:t>
      </w:r>
      <w:r w:rsidRPr="00A71929">
        <w:rPr>
          <w:rFonts w:ascii="Times New Roman" w:hAnsi="Times New Roman" w:cs="Times New Roman"/>
          <w:bCs/>
          <w:i/>
          <w:iCs/>
        </w:rPr>
        <w:t>21</w:t>
      </w:r>
      <w:r w:rsidRPr="00A71929">
        <w:rPr>
          <w:rFonts w:ascii="Times New Roman" w:hAnsi="Times New Roman" w:cs="Times New Roman"/>
        </w:rPr>
        <w:t>: 113-131.</w:t>
      </w:r>
    </w:p>
    <w:p w14:paraId="5D5EDB46" w14:textId="72E8BCE4"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Nikov, G.N., Hopkins, N.E., Boue, S. </w:t>
      </w:r>
      <w:r w:rsidR="00506D8B">
        <w:rPr>
          <w:rFonts w:ascii="Times New Roman" w:hAnsi="Times New Roman" w:cs="Times New Roman"/>
        </w:rPr>
        <w:t xml:space="preserve">&amp; </w:t>
      </w:r>
      <w:r w:rsidRPr="00A71929">
        <w:rPr>
          <w:rFonts w:ascii="Times New Roman" w:hAnsi="Times New Roman" w:cs="Times New Roman"/>
        </w:rPr>
        <w:t xml:space="preserve">Alworth, W.L. </w:t>
      </w:r>
      <w:r>
        <w:rPr>
          <w:rFonts w:ascii="Times New Roman" w:hAnsi="Times New Roman" w:cs="Times New Roman"/>
        </w:rPr>
        <w:t>(</w:t>
      </w:r>
      <w:r w:rsidRPr="00A71929">
        <w:rPr>
          <w:rFonts w:ascii="Times New Roman" w:hAnsi="Times New Roman" w:cs="Times New Roman"/>
        </w:rPr>
        <w:t>2000</w:t>
      </w:r>
      <w:r>
        <w:rPr>
          <w:rFonts w:ascii="Times New Roman" w:hAnsi="Times New Roman" w:cs="Times New Roman"/>
        </w:rPr>
        <w:t>)</w:t>
      </w:r>
      <w:r w:rsidRPr="00A71929">
        <w:rPr>
          <w:rFonts w:ascii="Times New Roman" w:hAnsi="Times New Roman" w:cs="Times New Roman"/>
        </w:rPr>
        <w:t xml:space="preserve">. Interactions of dietary estrogens with human estrogen receptors and the effect on estrogen receptor-estrogen response element complex formation. </w:t>
      </w:r>
      <w:r w:rsidRPr="00A71929">
        <w:rPr>
          <w:rFonts w:ascii="Times New Roman" w:hAnsi="Times New Roman" w:cs="Times New Roman"/>
          <w:i/>
        </w:rPr>
        <w:lastRenderedPageBreak/>
        <w:t>Environ.Health Perspect.,</w:t>
      </w:r>
      <w:r w:rsidRPr="00A71929">
        <w:rPr>
          <w:rFonts w:ascii="Times New Roman" w:hAnsi="Times New Roman" w:cs="Times New Roman"/>
        </w:rPr>
        <w:t xml:space="preserve"> </w:t>
      </w:r>
      <w:r w:rsidRPr="00A71929">
        <w:rPr>
          <w:rFonts w:ascii="Times New Roman" w:hAnsi="Times New Roman" w:cs="Times New Roman"/>
          <w:bCs/>
          <w:i/>
          <w:iCs/>
        </w:rPr>
        <w:t>108:</w:t>
      </w:r>
      <w:r w:rsidRPr="00A71929">
        <w:rPr>
          <w:rFonts w:ascii="Times New Roman" w:hAnsi="Times New Roman" w:cs="Times New Roman"/>
        </w:rPr>
        <w:t xml:space="preserve"> 867-872.</w:t>
      </w:r>
    </w:p>
    <w:p w14:paraId="1B0F05BE" w14:textId="48E6CD0C" w:rsidR="00C75062" w:rsidRPr="00D135F2" w:rsidRDefault="006355AA" w:rsidP="00DD7884">
      <w:pPr>
        <w:spacing w:line="276" w:lineRule="auto"/>
        <w:ind w:left="720" w:hanging="720"/>
        <w:jc w:val="both"/>
        <w:rPr>
          <w:rFonts w:ascii="Times New Roman" w:hAnsi="Times New Roman" w:cs="Times New Roman"/>
        </w:rPr>
      </w:pPr>
      <w:r w:rsidRPr="00D135F2">
        <w:rPr>
          <w:rFonts w:ascii="Times New Roman" w:hAnsi="Times New Roman" w:cs="Times New Roman"/>
        </w:rPr>
        <w:t xml:space="preserve">Pollack, S.J., Ottinger, M.A., Sullivan, C.V. </w:t>
      </w:r>
      <w:r w:rsidR="00506D8B">
        <w:rPr>
          <w:rFonts w:ascii="Times New Roman" w:hAnsi="Times New Roman" w:cs="Times New Roman"/>
        </w:rPr>
        <w:t xml:space="preserve">&amp; </w:t>
      </w:r>
      <w:r w:rsidRPr="00D135F2">
        <w:rPr>
          <w:rFonts w:ascii="Times New Roman" w:hAnsi="Times New Roman" w:cs="Times New Roman"/>
        </w:rPr>
        <w:t xml:space="preserve">Woods III, L.C. </w:t>
      </w:r>
      <w:r w:rsidR="00DD7884">
        <w:rPr>
          <w:rFonts w:ascii="Times New Roman" w:hAnsi="Times New Roman" w:cs="Times New Roman"/>
        </w:rPr>
        <w:t>(</w:t>
      </w:r>
      <w:r w:rsidRPr="00D135F2">
        <w:rPr>
          <w:rFonts w:ascii="Times New Roman" w:hAnsi="Times New Roman" w:cs="Times New Roman"/>
        </w:rPr>
        <w:t>2003</w:t>
      </w:r>
      <w:r w:rsidR="00DD7884">
        <w:rPr>
          <w:rFonts w:ascii="Times New Roman" w:hAnsi="Times New Roman" w:cs="Times New Roman"/>
        </w:rPr>
        <w:t>)</w:t>
      </w:r>
      <w:r w:rsidRPr="00D135F2">
        <w:rPr>
          <w:rFonts w:ascii="Times New Roman" w:hAnsi="Times New Roman" w:cs="Times New Roman"/>
        </w:rPr>
        <w:t xml:space="preserve">. The effects of the soy isoflavone genistein on the reproductive development of striped bass. N. Am. J. </w:t>
      </w:r>
      <w:r w:rsidRPr="00D135F2">
        <w:rPr>
          <w:rFonts w:ascii="Times New Roman" w:hAnsi="Times New Roman" w:cs="Times New Roman"/>
          <w:i/>
          <w:iCs/>
        </w:rPr>
        <w:t>Aquac., 65(3)</w:t>
      </w:r>
      <w:r w:rsidRPr="00D135F2">
        <w:rPr>
          <w:rFonts w:ascii="Times New Roman" w:hAnsi="Times New Roman" w:cs="Times New Roman"/>
        </w:rPr>
        <w:t>: 226–234.</w:t>
      </w:r>
    </w:p>
    <w:p w14:paraId="2A5C006C" w14:textId="52820454"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Tacon, A. G. J. </w:t>
      </w:r>
      <w:r w:rsidR="00506D8B">
        <w:rPr>
          <w:rFonts w:ascii="Times New Roman" w:hAnsi="Times New Roman" w:cs="Times New Roman"/>
        </w:rPr>
        <w:t xml:space="preserve">&amp; </w:t>
      </w:r>
      <w:r w:rsidRPr="00A71929">
        <w:rPr>
          <w:rFonts w:ascii="Times New Roman" w:hAnsi="Times New Roman" w:cs="Times New Roman"/>
        </w:rPr>
        <w:t xml:space="preserve">Metian, M. </w:t>
      </w:r>
      <w:r>
        <w:rPr>
          <w:rFonts w:ascii="Times New Roman" w:hAnsi="Times New Roman" w:cs="Times New Roman"/>
        </w:rPr>
        <w:t>(</w:t>
      </w:r>
      <w:r w:rsidRPr="00A71929">
        <w:rPr>
          <w:rFonts w:ascii="Times New Roman" w:hAnsi="Times New Roman" w:cs="Times New Roman"/>
        </w:rPr>
        <w:t>2008</w:t>
      </w:r>
      <w:r>
        <w:rPr>
          <w:rFonts w:ascii="Times New Roman" w:hAnsi="Times New Roman" w:cs="Times New Roman"/>
        </w:rPr>
        <w:t>)</w:t>
      </w:r>
      <w:r w:rsidRPr="00A71929">
        <w:rPr>
          <w:rFonts w:ascii="Times New Roman" w:hAnsi="Times New Roman" w:cs="Times New Roman"/>
        </w:rPr>
        <w:t xml:space="preserve">. Global overview on the use of fishmeal and fish oil in industrially compounded aqua feeds: Trends and future prospects. </w:t>
      </w:r>
      <w:r w:rsidRPr="00A71929">
        <w:rPr>
          <w:rFonts w:ascii="Times New Roman" w:hAnsi="Times New Roman" w:cs="Times New Roman"/>
          <w:i/>
        </w:rPr>
        <w:t>Aquaculture,</w:t>
      </w:r>
      <w:r w:rsidRPr="00A71929">
        <w:rPr>
          <w:rFonts w:ascii="Times New Roman" w:hAnsi="Times New Roman" w:cs="Times New Roman"/>
        </w:rPr>
        <w:t xml:space="preserve"> </w:t>
      </w:r>
      <w:r w:rsidRPr="00A71929">
        <w:rPr>
          <w:rFonts w:ascii="Times New Roman" w:hAnsi="Times New Roman" w:cs="Times New Roman"/>
          <w:bCs/>
          <w:i/>
          <w:iCs/>
        </w:rPr>
        <w:t>285:</w:t>
      </w:r>
      <w:r w:rsidRPr="00A71929">
        <w:rPr>
          <w:rFonts w:ascii="Times New Roman" w:hAnsi="Times New Roman" w:cs="Times New Roman"/>
        </w:rPr>
        <w:t xml:space="preserve"> 146–158. </w:t>
      </w:r>
    </w:p>
    <w:p w14:paraId="26890421" w14:textId="0E0FD63A" w:rsidR="00C75062" w:rsidRPr="00AA4A8C" w:rsidRDefault="00DD7884" w:rsidP="00DD7884">
      <w:pPr>
        <w:tabs>
          <w:tab w:val="num" w:pos="0"/>
        </w:tabs>
        <w:spacing w:line="276" w:lineRule="auto"/>
        <w:ind w:left="720" w:hanging="720"/>
        <w:jc w:val="both"/>
        <w:rPr>
          <w:rFonts w:ascii="Times New Roman" w:hAnsi="Times New Roman" w:cs="Times New Roman"/>
        </w:rPr>
      </w:pPr>
      <w:r w:rsidRPr="00A71929">
        <w:rPr>
          <w:rFonts w:ascii="Times New Roman" w:hAnsi="Times New Roman" w:cs="Times New Roman"/>
        </w:rPr>
        <w:t xml:space="preserve">Torno, C., Staats, S., de Pascual-Teresa, S., Rimbach, G. </w:t>
      </w:r>
      <w:r w:rsidR="00506D8B">
        <w:rPr>
          <w:rFonts w:ascii="Times New Roman" w:hAnsi="Times New Roman" w:cs="Times New Roman"/>
        </w:rPr>
        <w:t>&amp;</w:t>
      </w:r>
      <w:r w:rsidRPr="00A71929">
        <w:rPr>
          <w:rFonts w:ascii="Times New Roman" w:hAnsi="Times New Roman" w:cs="Times New Roman"/>
        </w:rPr>
        <w:t xml:space="preserve"> Schulz, C. </w:t>
      </w:r>
      <w:r>
        <w:rPr>
          <w:rFonts w:ascii="Times New Roman" w:hAnsi="Times New Roman" w:cs="Times New Roman"/>
        </w:rPr>
        <w:t>(</w:t>
      </w:r>
      <w:r w:rsidRPr="00A71929">
        <w:rPr>
          <w:rFonts w:ascii="Times New Roman" w:hAnsi="Times New Roman" w:cs="Times New Roman"/>
        </w:rPr>
        <w:t>2019</w:t>
      </w:r>
      <w:r>
        <w:rPr>
          <w:rFonts w:ascii="Times New Roman" w:hAnsi="Times New Roman" w:cs="Times New Roman"/>
        </w:rPr>
        <w:t>)</w:t>
      </w:r>
      <w:r w:rsidRPr="00A71929">
        <w:rPr>
          <w:rFonts w:ascii="Times New Roman" w:hAnsi="Times New Roman" w:cs="Times New Roman"/>
        </w:rPr>
        <w:t>. Effects of resveratrol and Genistein on growth, nutrient utilization and fatty acid composition of rainbow trout. </w:t>
      </w:r>
      <w:r w:rsidRPr="00A71929">
        <w:rPr>
          <w:rFonts w:ascii="Times New Roman" w:hAnsi="Times New Roman" w:cs="Times New Roman"/>
          <w:i/>
          <w:iCs/>
        </w:rPr>
        <w:t>Animal</w:t>
      </w:r>
      <w:r w:rsidRPr="00A71929">
        <w:rPr>
          <w:rFonts w:ascii="Times New Roman" w:hAnsi="Times New Roman" w:cs="Times New Roman"/>
        </w:rPr>
        <w:t>, </w:t>
      </w:r>
      <w:r w:rsidRPr="00931D67">
        <w:rPr>
          <w:rFonts w:ascii="Times New Roman" w:hAnsi="Times New Roman" w:cs="Times New Roman"/>
          <w:i/>
          <w:iCs/>
        </w:rPr>
        <w:t>13(5):</w:t>
      </w:r>
      <w:r w:rsidRPr="00A71929">
        <w:rPr>
          <w:rFonts w:ascii="Times New Roman" w:hAnsi="Times New Roman" w:cs="Times New Roman"/>
        </w:rPr>
        <w:t xml:space="preserve"> 933-940.</w:t>
      </w:r>
    </w:p>
    <w:p w14:paraId="7170381B" w14:textId="3DB38131" w:rsidR="00C75062" w:rsidRPr="00AA4A8C" w:rsidRDefault="006355AA" w:rsidP="00DD7884">
      <w:pPr>
        <w:spacing w:line="276" w:lineRule="auto"/>
        <w:ind w:left="720" w:hanging="720"/>
        <w:jc w:val="both"/>
        <w:rPr>
          <w:rFonts w:ascii="Times New Roman" w:hAnsi="Times New Roman" w:cs="Times New Roman"/>
        </w:rPr>
      </w:pPr>
      <w:r w:rsidRPr="00D135F2">
        <w:rPr>
          <w:rFonts w:ascii="Times New Roman" w:hAnsi="Times New Roman" w:cs="Times New Roman"/>
        </w:rPr>
        <w:t xml:space="preserve">Turker, H. </w:t>
      </w:r>
      <w:r w:rsidR="00506D8B">
        <w:rPr>
          <w:rFonts w:ascii="Times New Roman" w:hAnsi="Times New Roman" w:cs="Times New Roman"/>
        </w:rPr>
        <w:t>&amp;</w:t>
      </w:r>
      <w:r w:rsidRPr="00D135F2">
        <w:rPr>
          <w:rFonts w:ascii="Times New Roman" w:hAnsi="Times New Roman" w:cs="Times New Roman"/>
        </w:rPr>
        <w:t xml:space="preserve"> Bozcaarmutlu, A. </w:t>
      </w:r>
      <w:r w:rsidR="00DD7884">
        <w:rPr>
          <w:rFonts w:ascii="Times New Roman" w:hAnsi="Times New Roman" w:cs="Times New Roman"/>
        </w:rPr>
        <w:t>(</w:t>
      </w:r>
      <w:r w:rsidRPr="00D135F2">
        <w:rPr>
          <w:rFonts w:ascii="Times New Roman" w:hAnsi="Times New Roman" w:cs="Times New Roman"/>
        </w:rPr>
        <w:t>2009</w:t>
      </w:r>
      <w:r w:rsidR="00DD7884">
        <w:rPr>
          <w:rFonts w:ascii="Times New Roman" w:hAnsi="Times New Roman" w:cs="Times New Roman"/>
        </w:rPr>
        <w:t>)</w:t>
      </w:r>
      <w:r w:rsidRPr="00D135F2">
        <w:rPr>
          <w:rFonts w:ascii="Times New Roman" w:hAnsi="Times New Roman" w:cs="Times New Roman"/>
        </w:rPr>
        <w:t>. Effect of total isoflavones found in soybean on vitellogenin production in common carp. </w:t>
      </w:r>
      <w:r w:rsidRPr="00D135F2">
        <w:rPr>
          <w:rFonts w:ascii="Times New Roman" w:hAnsi="Times New Roman" w:cs="Times New Roman"/>
          <w:i/>
          <w:iCs/>
        </w:rPr>
        <w:t>Kafkas Universitesi Veteriner Fakültesi Dergisi, 15(4):</w:t>
      </w:r>
      <w:r w:rsidRPr="00D135F2">
        <w:rPr>
          <w:rFonts w:ascii="Times New Roman" w:hAnsi="Times New Roman" w:cs="Times New Roman"/>
        </w:rPr>
        <w:t xml:space="preserve"> 561-568.</w:t>
      </w:r>
    </w:p>
    <w:p w14:paraId="79256701" w14:textId="340DC690" w:rsidR="00DD7884" w:rsidRPr="00A71929" w:rsidRDefault="006355AA" w:rsidP="00DD7884">
      <w:pPr>
        <w:spacing w:line="276" w:lineRule="auto"/>
        <w:ind w:left="720" w:hanging="720"/>
        <w:jc w:val="both"/>
        <w:rPr>
          <w:rFonts w:ascii="Times New Roman" w:hAnsi="Times New Roman" w:cs="Times New Roman"/>
        </w:rPr>
      </w:pPr>
      <w:r w:rsidRPr="00C16431">
        <w:rPr>
          <w:rFonts w:ascii="Times New Roman" w:hAnsi="Times New Roman" w:cs="Times New Roman"/>
        </w:rPr>
        <w:t xml:space="preserve">Yang, L., Zhang, W., Zhi, S., Zhao, M., Liu, M., Qin, C., Feng, J., Yan, X. </w:t>
      </w:r>
      <w:r w:rsidR="00506D8B">
        <w:rPr>
          <w:rFonts w:ascii="Times New Roman" w:hAnsi="Times New Roman" w:cs="Times New Roman"/>
        </w:rPr>
        <w:t>&amp;</w:t>
      </w:r>
      <w:r w:rsidRPr="00C16431">
        <w:rPr>
          <w:rFonts w:ascii="Times New Roman" w:hAnsi="Times New Roman" w:cs="Times New Roman"/>
        </w:rPr>
        <w:t xml:space="preserve"> Nie, G. </w:t>
      </w:r>
      <w:r w:rsidR="00DD7884">
        <w:rPr>
          <w:rFonts w:ascii="Times New Roman" w:hAnsi="Times New Roman" w:cs="Times New Roman"/>
        </w:rPr>
        <w:t>(</w:t>
      </w:r>
      <w:r w:rsidRPr="00C16431">
        <w:rPr>
          <w:rFonts w:ascii="Times New Roman" w:hAnsi="Times New Roman" w:cs="Times New Roman"/>
        </w:rPr>
        <w:t>2022</w:t>
      </w:r>
      <w:r w:rsidR="00DD7884">
        <w:rPr>
          <w:rFonts w:ascii="Times New Roman" w:hAnsi="Times New Roman" w:cs="Times New Roman"/>
        </w:rPr>
        <w:t>)</w:t>
      </w:r>
      <w:r w:rsidRPr="00C16431">
        <w:rPr>
          <w:rFonts w:ascii="Times New Roman" w:hAnsi="Times New Roman" w:cs="Times New Roman"/>
        </w:rPr>
        <w:t>. Evaluation of dietary Genistein on the antioxidant capacity, non-specific immune status, and fatty acid composition of common carp (</w:t>
      </w:r>
      <w:r w:rsidRPr="00C16431">
        <w:rPr>
          <w:rFonts w:ascii="Times New Roman" w:hAnsi="Times New Roman" w:cs="Times New Roman"/>
          <w:i/>
          <w:iCs/>
        </w:rPr>
        <w:t>Cyprinus carpio.</w:t>
      </w:r>
      <w:r w:rsidRPr="00C16431">
        <w:rPr>
          <w:rFonts w:ascii="Times New Roman" w:hAnsi="Times New Roman" w:cs="Times New Roman"/>
        </w:rPr>
        <w:t xml:space="preserve"> L). </w:t>
      </w:r>
      <w:r w:rsidRPr="00C16431">
        <w:rPr>
          <w:rFonts w:ascii="Times New Roman" w:hAnsi="Times New Roman" w:cs="Times New Roman"/>
          <w:i/>
          <w:iCs/>
        </w:rPr>
        <w:t>Aquaculture, 550:</w:t>
      </w:r>
      <w:r w:rsidRPr="00C16431">
        <w:rPr>
          <w:rFonts w:ascii="Times New Roman" w:hAnsi="Times New Roman" w:cs="Times New Roman"/>
        </w:rPr>
        <w:t xml:space="preserve"> 737-822.</w:t>
      </w:r>
    </w:p>
    <w:p w14:paraId="2AED93AA" w14:textId="22520522"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Zhang, Y., Ji, W., Wu, Y., Han, H., Qin, J. </w:t>
      </w:r>
      <w:r w:rsidR="00506D8B">
        <w:rPr>
          <w:rFonts w:ascii="Times New Roman" w:hAnsi="Times New Roman" w:cs="Times New Roman"/>
        </w:rPr>
        <w:t>&amp;</w:t>
      </w:r>
      <w:r w:rsidRPr="00A71929">
        <w:rPr>
          <w:rFonts w:ascii="Times New Roman" w:hAnsi="Times New Roman" w:cs="Times New Roman"/>
        </w:rPr>
        <w:t xml:space="preserve"> Wang, Y. 2016. Replacement of dietary fish meal by soybean meal supplemented with crystalline methionine for Japanese seabass (</w:t>
      </w:r>
      <w:r w:rsidRPr="00A71929">
        <w:rPr>
          <w:rFonts w:ascii="Times New Roman" w:hAnsi="Times New Roman" w:cs="Times New Roman"/>
          <w:i/>
        </w:rPr>
        <w:t>Lateolabrax japonicus</w:t>
      </w:r>
      <w:r w:rsidRPr="00A71929">
        <w:rPr>
          <w:rFonts w:ascii="Times New Roman" w:hAnsi="Times New Roman" w:cs="Times New Roman"/>
        </w:rPr>
        <w:t xml:space="preserve">). </w:t>
      </w:r>
      <w:r w:rsidRPr="00A71929">
        <w:rPr>
          <w:rFonts w:ascii="Times New Roman" w:hAnsi="Times New Roman" w:cs="Times New Roman"/>
          <w:i/>
        </w:rPr>
        <w:t>Aquac. Res.,</w:t>
      </w:r>
      <w:r w:rsidRPr="00A71929">
        <w:rPr>
          <w:rFonts w:ascii="Times New Roman" w:hAnsi="Times New Roman" w:cs="Times New Roman"/>
        </w:rPr>
        <w:t xml:space="preserve"> </w:t>
      </w:r>
      <w:r w:rsidRPr="00931D67">
        <w:rPr>
          <w:rFonts w:ascii="Times New Roman" w:hAnsi="Times New Roman" w:cs="Times New Roman"/>
          <w:bCs/>
          <w:i/>
          <w:iCs/>
        </w:rPr>
        <w:t>47(1):</w:t>
      </w:r>
      <w:r w:rsidRPr="00A71929">
        <w:rPr>
          <w:rFonts w:ascii="Times New Roman" w:hAnsi="Times New Roman" w:cs="Times New Roman"/>
        </w:rPr>
        <w:t xml:space="preserve"> 243–252. </w:t>
      </w:r>
    </w:p>
    <w:p w14:paraId="3B7BDB2A" w14:textId="77777777" w:rsidR="00501E0A" w:rsidRDefault="00501E0A" w:rsidP="00FD23D0">
      <w:pPr>
        <w:jc w:val="both"/>
        <w:rPr>
          <w:rFonts w:ascii="Times New Roman" w:eastAsiaTheme="minorEastAsia" w:hAnsi="Times New Roman"/>
          <w:color w:val="000000" w:themeColor="text1"/>
        </w:rPr>
      </w:pPr>
    </w:p>
    <w:p w14:paraId="43CD22EC" w14:textId="77777777" w:rsidR="00EB372F" w:rsidRDefault="00EB372F" w:rsidP="00FD23D0">
      <w:pPr>
        <w:jc w:val="both"/>
        <w:rPr>
          <w:rFonts w:ascii="Times New Roman" w:eastAsiaTheme="minorEastAsia" w:hAnsi="Times New Roman"/>
          <w:color w:val="000000" w:themeColor="text1"/>
        </w:rPr>
      </w:pPr>
    </w:p>
    <w:p w14:paraId="33B5060D" w14:textId="77777777" w:rsidR="00FD23D0" w:rsidRPr="00FD23D0" w:rsidRDefault="00FD23D0" w:rsidP="00FD23D0">
      <w:pPr>
        <w:jc w:val="both"/>
        <w:rPr>
          <w:rFonts w:ascii="Times New Roman" w:eastAsiaTheme="minorEastAsia" w:hAnsi="Times New Roman"/>
          <w:color w:val="000000" w:themeColor="text1"/>
        </w:rPr>
      </w:pPr>
    </w:p>
    <w:sectPr w:rsidR="00FD23D0" w:rsidRPr="00FD23D0" w:rsidSect="00FD1A34">
      <w:type w:val="continuous"/>
      <w:pgSz w:w="11906" w:h="16838"/>
      <w:pgMar w:top="1440" w:right="1440" w:bottom="1440" w:left="1440" w:header="708" w:footer="708" w:gutter="0"/>
      <w:cols w:num="2"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5-10-31T19:36:00Z" w:initials="U">
    <w:p w14:paraId="56E766D9" w14:textId="221BBD4F" w:rsidR="006D2EAC" w:rsidRDefault="006D2EAC">
      <w:pPr>
        <w:pStyle w:val="CommentText"/>
      </w:pPr>
      <w:r>
        <w:rPr>
          <w:rStyle w:val="CommentReference"/>
        </w:rPr>
        <w:annotationRef/>
      </w:r>
      <w:r w:rsidRPr="006D2EAC">
        <w:t>At the beginning of the paragraph, include a brief statement of the research problem. Continue with the research objectives, research methods, results, and a brief conclusion at the end of the paragraph.</w:t>
      </w:r>
    </w:p>
  </w:comment>
  <w:comment w:id="1" w:author="User" w:date="2025-10-31T19:45:00Z" w:initials="U">
    <w:p w14:paraId="5F5EFB92" w14:textId="3824BAE0" w:rsidR="001630C5" w:rsidRDefault="001630C5">
      <w:pPr>
        <w:pStyle w:val="CommentText"/>
      </w:pPr>
      <w:r>
        <w:rPr>
          <w:rStyle w:val="CommentReference"/>
        </w:rPr>
        <w:annotationRef/>
      </w:r>
      <w:r w:rsidRPr="001630C5">
        <w:t>increase the number of samples used in the research</w:t>
      </w:r>
    </w:p>
  </w:comment>
  <w:comment w:id="2" w:author="User" w:date="2025-10-31T19:36:00Z" w:initials="U">
    <w:p w14:paraId="1D3A3B58" w14:textId="1985A8FD" w:rsidR="006D2EAC" w:rsidRDefault="006D2EAC">
      <w:pPr>
        <w:pStyle w:val="CommentText"/>
      </w:pPr>
      <w:r>
        <w:rPr>
          <w:rStyle w:val="CommentReference"/>
        </w:rPr>
        <w:annotationRef/>
      </w:r>
      <w:r w:rsidRPr="006D2EAC">
        <w:t>complete the units</w:t>
      </w:r>
    </w:p>
  </w:comment>
  <w:comment w:id="3" w:author="User" w:date="2025-10-31T19:36:00Z" w:initials="U">
    <w:p w14:paraId="43DD0A4A" w14:textId="70FB24CE" w:rsidR="006D2EAC" w:rsidRDefault="006D2EAC">
      <w:pPr>
        <w:pStyle w:val="CommentText"/>
      </w:pPr>
      <w:r>
        <w:rPr>
          <w:rStyle w:val="CommentReference"/>
        </w:rPr>
        <w:annotationRef/>
      </w:r>
      <w:r w:rsidRPr="006D2EAC">
        <w:t>complete the units</w:t>
      </w:r>
    </w:p>
  </w:comment>
  <w:comment w:id="4" w:author="User" w:date="2025-10-31T19:37:00Z" w:initials="U">
    <w:p w14:paraId="6E0AE4A7" w14:textId="3C8C77FC" w:rsidR="006D2EAC" w:rsidRDefault="006D2EAC">
      <w:pPr>
        <w:pStyle w:val="CommentText"/>
      </w:pPr>
      <w:r>
        <w:rPr>
          <w:rStyle w:val="CommentReference"/>
        </w:rPr>
        <w:annotationRef/>
      </w:r>
      <w:r w:rsidRPr="006D2EAC">
        <w:t>complete the units</w:t>
      </w:r>
    </w:p>
  </w:comment>
  <w:comment w:id="5" w:author="User" w:date="2025-10-31T19:37:00Z" w:initials="U">
    <w:p w14:paraId="2A4D688D" w14:textId="50ACE7A5" w:rsidR="006D2EAC" w:rsidRDefault="006D2EAC">
      <w:pPr>
        <w:pStyle w:val="CommentText"/>
      </w:pPr>
      <w:r>
        <w:rPr>
          <w:rStyle w:val="CommentReference"/>
        </w:rPr>
        <w:annotationRef/>
      </w:r>
      <w:r w:rsidRPr="006D2EAC">
        <w:t>complete the units</w:t>
      </w:r>
    </w:p>
  </w:comment>
  <w:comment w:id="6" w:author="User" w:date="2025-10-31T19:44:00Z" w:initials="U">
    <w:p w14:paraId="253FDECC" w14:textId="6863FFF3" w:rsidR="001630C5" w:rsidRDefault="001630C5">
      <w:pPr>
        <w:pStyle w:val="CommentText"/>
      </w:pPr>
      <w:r>
        <w:rPr>
          <w:rStyle w:val="CommentReference"/>
        </w:rPr>
        <w:annotationRef/>
      </w:r>
      <w:r w:rsidRPr="001630C5">
        <w:t>There are missing sentences that need to be completed. It would be better to add the results of previous research</w:t>
      </w:r>
    </w:p>
  </w:comment>
  <w:comment w:id="7" w:author="User" w:date="2025-10-31T20:11:00Z" w:initials="U">
    <w:p w14:paraId="5F8AC048" w14:textId="7B9924C4" w:rsidR="00252AAD" w:rsidRDefault="00252AAD">
      <w:pPr>
        <w:pStyle w:val="CommentText"/>
      </w:pPr>
      <w:r>
        <w:rPr>
          <w:rStyle w:val="CommentReference"/>
        </w:rPr>
        <w:annotationRef/>
      </w:r>
      <w:r w:rsidRPr="00252AAD">
        <w:t>The results and discussion should be arranged based on objectives such as SGR, FCR, PER..... to make it easier for readers to understand.</w:t>
      </w:r>
    </w:p>
  </w:comment>
  <w:comment w:id="8" w:author="User" w:date="2025-10-31T20:07:00Z" w:initials="U">
    <w:p w14:paraId="63247969" w14:textId="44A439A7" w:rsidR="00252AAD" w:rsidRDefault="00252AAD">
      <w:pPr>
        <w:pStyle w:val="CommentText"/>
      </w:pPr>
      <w:r>
        <w:rPr>
          <w:rStyle w:val="CommentReference"/>
        </w:rPr>
        <w:annotationRef/>
      </w:r>
      <w:r w:rsidRPr="00252AAD">
        <w:t>provide an explanation of why it does not affect some of the parameters studied</w:t>
      </w:r>
    </w:p>
  </w:comment>
  <w:comment w:id="11" w:author="User" w:date="2025-10-31T20:14:00Z" w:initials="U">
    <w:p w14:paraId="3C5A9849" w14:textId="6D602159" w:rsidR="00252AAD" w:rsidRDefault="00252AAD">
      <w:pPr>
        <w:pStyle w:val="CommentText"/>
      </w:pPr>
      <w:r>
        <w:rPr>
          <w:rStyle w:val="CommentReference"/>
        </w:rPr>
        <w:annotationRef/>
      </w:r>
      <w:r w:rsidRPr="00252AAD">
        <w:t>All references should be accompanied by links/remarks for easy tracing</w:t>
      </w:r>
      <w:r w:rsidR="00887ED1">
        <w:t xml:space="preserve">. </w:t>
      </w:r>
      <w:r w:rsidR="00887ED1" w:rsidRPr="00887ED1">
        <w:t>need to add latest references (2020-2025)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E766D9" w15:done="0"/>
  <w15:commentEx w15:paraId="5F5EFB92" w15:done="0"/>
  <w15:commentEx w15:paraId="1D3A3B58" w15:done="0"/>
  <w15:commentEx w15:paraId="43DD0A4A" w15:done="0"/>
  <w15:commentEx w15:paraId="6E0AE4A7" w15:done="0"/>
  <w15:commentEx w15:paraId="2A4D688D" w15:done="0"/>
  <w15:commentEx w15:paraId="253FDECC" w15:done="0"/>
  <w15:commentEx w15:paraId="5F8AC048" w15:done="0"/>
  <w15:commentEx w15:paraId="63247969" w15:done="0"/>
  <w15:commentEx w15:paraId="3C5A98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09D786" w16cex:dateUtc="2025-10-31T11:36:00Z"/>
  <w16cex:commentExtensible w16cex:durableId="231365CF" w16cex:dateUtc="2025-10-31T11:45:00Z"/>
  <w16cex:commentExtensible w16cex:durableId="715C8D50" w16cex:dateUtc="2025-10-31T11:36:00Z"/>
  <w16cex:commentExtensible w16cex:durableId="3F603274" w16cex:dateUtc="2025-10-31T11:36:00Z"/>
  <w16cex:commentExtensible w16cex:durableId="31F7375A" w16cex:dateUtc="2025-10-31T11:37:00Z"/>
  <w16cex:commentExtensible w16cex:durableId="57254ACB" w16cex:dateUtc="2025-10-31T11:37:00Z"/>
  <w16cex:commentExtensible w16cex:durableId="4F6D0565" w16cex:dateUtc="2025-10-31T11:44:00Z"/>
  <w16cex:commentExtensible w16cex:durableId="3EB13722" w16cex:dateUtc="2025-10-31T12:11:00Z"/>
  <w16cex:commentExtensible w16cex:durableId="2015D5F7" w16cex:dateUtc="2025-10-31T12:07:00Z"/>
  <w16cex:commentExtensible w16cex:durableId="590E9FC1" w16cex:dateUtc="2025-10-31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E766D9" w16cid:durableId="6D09D786"/>
  <w16cid:commentId w16cid:paraId="5F5EFB92" w16cid:durableId="231365CF"/>
  <w16cid:commentId w16cid:paraId="1D3A3B58" w16cid:durableId="715C8D50"/>
  <w16cid:commentId w16cid:paraId="43DD0A4A" w16cid:durableId="3F603274"/>
  <w16cid:commentId w16cid:paraId="6E0AE4A7" w16cid:durableId="31F7375A"/>
  <w16cid:commentId w16cid:paraId="2A4D688D" w16cid:durableId="57254ACB"/>
  <w16cid:commentId w16cid:paraId="253FDECC" w16cid:durableId="4F6D0565"/>
  <w16cid:commentId w16cid:paraId="5F8AC048" w16cid:durableId="3EB13722"/>
  <w16cid:commentId w16cid:paraId="63247969" w16cid:durableId="2015D5F7"/>
  <w16cid:commentId w16cid:paraId="3C5A9849" w16cid:durableId="590E9F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4FE3F" w14:textId="77777777" w:rsidR="006550B3" w:rsidRDefault="006550B3" w:rsidP="00F319DF">
      <w:pPr>
        <w:spacing w:after="0" w:line="240" w:lineRule="auto"/>
      </w:pPr>
      <w:r>
        <w:separator/>
      </w:r>
    </w:p>
  </w:endnote>
  <w:endnote w:type="continuationSeparator" w:id="0">
    <w:p w14:paraId="6E8D3B3C" w14:textId="77777777" w:rsidR="006550B3" w:rsidRDefault="006550B3" w:rsidP="00F31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F114" w14:textId="77777777" w:rsidR="00F319DF" w:rsidRDefault="00F31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B68C" w14:textId="77777777" w:rsidR="00F319DF" w:rsidRDefault="00F31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4829" w14:textId="77777777" w:rsidR="00F319DF" w:rsidRDefault="00F31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AAA61" w14:textId="77777777" w:rsidR="006550B3" w:rsidRDefault="006550B3" w:rsidP="00F319DF">
      <w:pPr>
        <w:spacing w:after="0" w:line="240" w:lineRule="auto"/>
      </w:pPr>
      <w:r>
        <w:separator/>
      </w:r>
    </w:p>
  </w:footnote>
  <w:footnote w:type="continuationSeparator" w:id="0">
    <w:p w14:paraId="7121CDB8" w14:textId="77777777" w:rsidR="006550B3" w:rsidRDefault="006550B3" w:rsidP="00F31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D018" w14:textId="0BB30370" w:rsidR="00F319DF" w:rsidRDefault="00000000">
    <w:pPr>
      <w:pStyle w:val="Header"/>
    </w:pPr>
    <w:r>
      <w:rPr>
        <w:noProof/>
      </w:rPr>
      <w:pict w14:anchorId="6BC55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59721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F05E" w14:textId="3EA997F5" w:rsidR="00F319DF" w:rsidRDefault="00000000">
    <w:pPr>
      <w:pStyle w:val="Header"/>
    </w:pPr>
    <w:r>
      <w:rPr>
        <w:noProof/>
      </w:rPr>
      <w:pict w14:anchorId="3FD08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59722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FE9B" w14:textId="6BAD0E11" w:rsidR="00F319DF" w:rsidRDefault="00000000">
    <w:pPr>
      <w:pStyle w:val="Header"/>
    </w:pPr>
    <w:r>
      <w:rPr>
        <w:noProof/>
      </w:rPr>
      <w:pict w14:anchorId="2DD1F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59721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824DD"/>
    <w:multiLevelType w:val="multilevel"/>
    <w:tmpl w:val="F4EC832E"/>
    <w:lvl w:ilvl="0">
      <w:start w:val="2"/>
      <w:numFmt w:val="decimal"/>
      <w:lvlText w:val="%1"/>
      <w:lvlJc w:val="left"/>
      <w:pPr>
        <w:ind w:left="360" w:hanging="360"/>
      </w:pPr>
      <w:rPr>
        <w:rFonts w:hint="default"/>
      </w:rPr>
    </w:lvl>
    <w:lvl w:ilvl="1">
      <w:start w:val="2"/>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1" w15:restartNumberingAfterBreak="0">
    <w:nsid w:val="2F656124"/>
    <w:multiLevelType w:val="multilevel"/>
    <w:tmpl w:val="92460E3A"/>
    <w:lvl w:ilvl="0">
      <w:start w:val="1"/>
      <w:numFmt w:val="decimal"/>
      <w:lvlText w:val="%1."/>
      <w:lvlJc w:val="left"/>
      <w:pPr>
        <w:ind w:left="720" w:hanging="360"/>
      </w:pPr>
      <w:rPr>
        <w:rFonts w:ascii="Times New Roman" w:hAnsi="Times New Roman" w:cs="Times New Roman" w:hint="default"/>
        <w:b/>
        <w:bCs w:val="0"/>
        <w:color w:val="000000"/>
        <w:sz w:val="28"/>
        <w:szCs w:val="32"/>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3341134"/>
    <w:multiLevelType w:val="multilevel"/>
    <w:tmpl w:val="76B0D45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1450F8E"/>
    <w:multiLevelType w:val="hybridMultilevel"/>
    <w:tmpl w:val="0D609560"/>
    <w:lvl w:ilvl="0" w:tplc="FBBAC304">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53D01957"/>
    <w:multiLevelType w:val="multilevel"/>
    <w:tmpl w:val="4A700B7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3.5.%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2600DB8"/>
    <w:multiLevelType w:val="hybridMultilevel"/>
    <w:tmpl w:val="E5129CD2"/>
    <w:lvl w:ilvl="0" w:tplc="8FC4EFE4">
      <w:start w:val="1"/>
      <w:numFmt w:val="bullet"/>
      <w:lvlText w:val="•"/>
      <w:lvlJc w:val="left"/>
      <w:pPr>
        <w:tabs>
          <w:tab w:val="num" w:pos="720"/>
        </w:tabs>
        <w:ind w:left="720" w:hanging="360"/>
      </w:pPr>
      <w:rPr>
        <w:rFonts w:ascii="Times New Roman" w:hAnsi="Times New Roman" w:hint="default"/>
      </w:rPr>
    </w:lvl>
    <w:lvl w:ilvl="1" w:tplc="96524EA4" w:tentative="1">
      <w:start w:val="1"/>
      <w:numFmt w:val="bullet"/>
      <w:lvlText w:val="•"/>
      <w:lvlJc w:val="left"/>
      <w:pPr>
        <w:tabs>
          <w:tab w:val="num" w:pos="1440"/>
        </w:tabs>
        <w:ind w:left="1440" w:hanging="360"/>
      </w:pPr>
      <w:rPr>
        <w:rFonts w:ascii="Times New Roman" w:hAnsi="Times New Roman" w:hint="default"/>
      </w:rPr>
    </w:lvl>
    <w:lvl w:ilvl="2" w:tplc="3B6CEF44" w:tentative="1">
      <w:start w:val="1"/>
      <w:numFmt w:val="bullet"/>
      <w:lvlText w:val="•"/>
      <w:lvlJc w:val="left"/>
      <w:pPr>
        <w:tabs>
          <w:tab w:val="num" w:pos="2160"/>
        </w:tabs>
        <w:ind w:left="2160" w:hanging="360"/>
      </w:pPr>
      <w:rPr>
        <w:rFonts w:ascii="Times New Roman" w:hAnsi="Times New Roman" w:hint="default"/>
      </w:rPr>
    </w:lvl>
    <w:lvl w:ilvl="3" w:tplc="C9762D1E" w:tentative="1">
      <w:start w:val="1"/>
      <w:numFmt w:val="bullet"/>
      <w:lvlText w:val="•"/>
      <w:lvlJc w:val="left"/>
      <w:pPr>
        <w:tabs>
          <w:tab w:val="num" w:pos="2880"/>
        </w:tabs>
        <w:ind w:left="2880" w:hanging="360"/>
      </w:pPr>
      <w:rPr>
        <w:rFonts w:ascii="Times New Roman" w:hAnsi="Times New Roman" w:hint="default"/>
      </w:rPr>
    </w:lvl>
    <w:lvl w:ilvl="4" w:tplc="64604C1A" w:tentative="1">
      <w:start w:val="1"/>
      <w:numFmt w:val="bullet"/>
      <w:lvlText w:val="•"/>
      <w:lvlJc w:val="left"/>
      <w:pPr>
        <w:tabs>
          <w:tab w:val="num" w:pos="3600"/>
        </w:tabs>
        <w:ind w:left="3600" w:hanging="360"/>
      </w:pPr>
      <w:rPr>
        <w:rFonts w:ascii="Times New Roman" w:hAnsi="Times New Roman" w:hint="default"/>
      </w:rPr>
    </w:lvl>
    <w:lvl w:ilvl="5" w:tplc="03C866AA" w:tentative="1">
      <w:start w:val="1"/>
      <w:numFmt w:val="bullet"/>
      <w:lvlText w:val="•"/>
      <w:lvlJc w:val="left"/>
      <w:pPr>
        <w:tabs>
          <w:tab w:val="num" w:pos="4320"/>
        </w:tabs>
        <w:ind w:left="4320" w:hanging="360"/>
      </w:pPr>
      <w:rPr>
        <w:rFonts w:ascii="Times New Roman" w:hAnsi="Times New Roman" w:hint="default"/>
      </w:rPr>
    </w:lvl>
    <w:lvl w:ilvl="6" w:tplc="E3143CD8" w:tentative="1">
      <w:start w:val="1"/>
      <w:numFmt w:val="bullet"/>
      <w:lvlText w:val="•"/>
      <w:lvlJc w:val="left"/>
      <w:pPr>
        <w:tabs>
          <w:tab w:val="num" w:pos="5040"/>
        </w:tabs>
        <w:ind w:left="5040" w:hanging="360"/>
      </w:pPr>
      <w:rPr>
        <w:rFonts w:ascii="Times New Roman" w:hAnsi="Times New Roman" w:hint="default"/>
      </w:rPr>
    </w:lvl>
    <w:lvl w:ilvl="7" w:tplc="8202288E" w:tentative="1">
      <w:start w:val="1"/>
      <w:numFmt w:val="bullet"/>
      <w:lvlText w:val="•"/>
      <w:lvlJc w:val="left"/>
      <w:pPr>
        <w:tabs>
          <w:tab w:val="num" w:pos="5760"/>
        </w:tabs>
        <w:ind w:left="5760" w:hanging="360"/>
      </w:pPr>
      <w:rPr>
        <w:rFonts w:ascii="Times New Roman" w:hAnsi="Times New Roman" w:hint="default"/>
      </w:rPr>
    </w:lvl>
    <w:lvl w:ilvl="8" w:tplc="26A4AAA2" w:tentative="1">
      <w:start w:val="1"/>
      <w:numFmt w:val="bullet"/>
      <w:lvlText w:val="•"/>
      <w:lvlJc w:val="left"/>
      <w:pPr>
        <w:tabs>
          <w:tab w:val="num" w:pos="6480"/>
        </w:tabs>
        <w:ind w:left="6480" w:hanging="360"/>
      </w:pPr>
      <w:rPr>
        <w:rFonts w:ascii="Times New Roman" w:hAnsi="Times New Roman" w:hint="default"/>
      </w:rPr>
    </w:lvl>
  </w:abstractNum>
  <w:num w:numId="1" w16cid:durableId="1566574620">
    <w:abstractNumId w:val="1"/>
  </w:num>
  <w:num w:numId="2" w16cid:durableId="1836072858">
    <w:abstractNumId w:val="4"/>
  </w:num>
  <w:num w:numId="3" w16cid:durableId="1858494446">
    <w:abstractNumId w:val="3"/>
  </w:num>
  <w:num w:numId="4" w16cid:durableId="948779172">
    <w:abstractNumId w:val="2"/>
  </w:num>
  <w:num w:numId="5" w16cid:durableId="1912962411">
    <w:abstractNumId w:val="5"/>
  </w:num>
  <w:num w:numId="6" w16cid:durableId="14452680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7"/>
    <w:rsid w:val="00010CF7"/>
    <w:rsid w:val="000F6CCB"/>
    <w:rsid w:val="00157C00"/>
    <w:rsid w:val="001630C5"/>
    <w:rsid w:val="00191A87"/>
    <w:rsid w:val="001F0267"/>
    <w:rsid w:val="002110FA"/>
    <w:rsid w:val="00226086"/>
    <w:rsid w:val="00252AAD"/>
    <w:rsid w:val="00290EF4"/>
    <w:rsid w:val="00312D9E"/>
    <w:rsid w:val="00373041"/>
    <w:rsid w:val="00380CD6"/>
    <w:rsid w:val="0039440D"/>
    <w:rsid w:val="003B0597"/>
    <w:rsid w:val="004625E6"/>
    <w:rsid w:val="00475B49"/>
    <w:rsid w:val="0048292C"/>
    <w:rsid w:val="004C083B"/>
    <w:rsid w:val="00501E0A"/>
    <w:rsid w:val="00506D8B"/>
    <w:rsid w:val="0058431C"/>
    <w:rsid w:val="005E61AF"/>
    <w:rsid w:val="006355AA"/>
    <w:rsid w:val="006550B3"/>
    <w:rsid w:val="00667669"/>
    <w:rsid w:val="006D2EAC"/>
    <w:rsid w:val="007334A4"/>
    <w:rsid w:val="007E4E5B"/>
    <w:rsid w:val="0081177B"/>
    <w:rsid w:val="00884AB9"/>
    <w:rsid w:val="00887ED1"/>
    <w:rsid w:val="00A1400B"/>
    <w:rsid w:val="00AA2118"/>
    <w:rsid w:val="00AC68DF"/>
    <w:rsid w:val="00AD4716"/>
    <w:rsid w:val="00AD4B0D"/>
    <w:rsid w:val="00AE03A6"/>
    <w:rsid w:val="00AF4BCC"/>
    <w:rsid w:val="00BD127E"/>
    <w:rsid w:val="00BD48D2"/>
    <w:rsid w:val="00C16A17"/>
    <w:rsid w:val="00C75062"/>
    <w:rsid w:val="00C93D08"/>
    <w:rsid w:val="00CD56FD"/>
    <w:rsid w:val="00DA4C48"/>
    <w:rsid w:val="00DA691C"/>
    <w:rsid w:val="00DD7884"/>
    <w:rsid w:val="00DF221B"/>
    <w:rsid w:val="00DF30D6"/>
    <w:rsid w:val="00EB372F"/>
    <w:rsid w:val="00ED7650"/>
    <w:rsid w:val="00F319DF"/>
    <w:rsid w:val="00F46E73"/>
    <w:rsid w:val="00FD1A34"/>
    <w:rsid w:val="00FD23D0"/>
    <w:rsid w:val="00FD62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1E9B1"/>
  <w15:chartTrackingRefBased/>
  <w15:docId w15:val="{4B1E6D69-CF0F-461B-9887-0A38C205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2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02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02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4. T Sub 2,Sub 2"/>
    <w:basedOn w:val="Normal"/>
    <w:next w:val="Normal"/>
    <w:link w:val="Heading4Char"/>
    <w:uiPriority w:val="9"/>
    <w:unhideWhenUsed/>
    <w:qFormat/>
    <w:rsid w:val="001F02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02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0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02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0267"/>
    <w:rPr>
      <w:rFonts w:eastAsiaTheme="majorEastAsia" w:cstheme="majorBidi"/>
      <w:color w:val="2F5496" w:themeColor="accent1" w:themeShade="BF"/>
      <w:sz w:val="28"/>
      <w:szCs w:val="28"/>
    </w:rPr>
  </w:style>
  <w:style w:type="character" w:customStyle="1" w:styleId="Heading4Char">
    <w:name w:val="Heading 4 Char"/>
    <w:aliases w:val="4. T Sub 2 Char,Sub 2 Char"/>
    <w:basedOn w:val="DefaultParagraphFont"/>
    <w:link w:val="Heading4"/>
    <w:uiPriority w:val="9"/>
    <w:rsid w:val="001F02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02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0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7"/>
    <w:rPr>
      <w:rFonts w:eastAsiaTheme="majorEastAsia" w:cstheme="majorBidi"/>
      <w:color w:val="272727" w:themeColor="text1" w:themeTint="D8"/>
    </w:rPr>
  </w:style>
  <w:style w:type="paragraph" w:styleId="Title">
    <w:name w:val="Title"/>
    <w:basedOn w:val="Normal"/>
    <w:next w:val="Normal"/>
    <w:link w:val="TitleChar"/>
    <w:uiPriority w:val="10"/>
    <w:qFormat/>
    <w:rsid w:val="001F0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7"/>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7"/>
    <w:rPr>
      <w:i/>
      <w:iCs/>
      <w:color w:val="404040" w:themeColor="text1" w:themeTint="BF"/>
    </w:rPr>
  </w:style>
  <w:style w:type="paragraph" w:styleId="ListParagraph">
    <w:name w:val="List Paragraph"/>
    <w:basedOn w:val="Normal"/>
    <w:uiPriority w:val="34"/>
    <w:qFormat/>
    <w:rsid w:val="001F0267"/>
    <w:pPr>
      <w:ind w:left="720"/>
      <w:contextualSpacing/>
    </w:pPr>
  </w:style>
  <w:style w:type="character" w:styleId="IntenseEmphasis">
    <w:name w:val="Intense Emphasis"/>
    <w:basedOn w:val="DefaultParagraphFont"/>
    <w:uiPriority w:val="21"/>
    <w:qFormat/>
    <w:rsid w:val="001F0267"/>
    <w:rPr>
      <w:i/>
      <w:iCs/>
      <w:color w:val="2F5496" w:themeColor="accent1" w:themeShade="BF"/>
    </w:rPr>
  </w:style>
  <w:style w:type="paragraph" w:styleId="IntenseQuote">
    <w:name w:val="Intense Quote"/>
    <w:basedOn w:val="Normal"/>
    <w:next w:val="Normal"/>
    <w:link w:val="IntenseQuoteChar"/>
    <w:uiPriority w:val="30"/>
    <w:qFormat/>
    <w:rsid w:val="001F02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0267"/>
    <w:rPr>
      <w:i/>
      <w:iCs/>
      <w:color w:val="2F5496" w:themeColor="accent1" w:themeShade="BF"/>
    </w:rPr>
  </w:style>
  <w:style w:type="character" w:styleId="IntenseReference">
    <w:name w:val="Intense Reference"/>
    <w:basedOn w:val="DefaultParagraphFont"/>
    <w:uiPriority w:val="32"/>
    <w:qFormat/>
    <w:rsid w:val="001F0267"/>
    <w:rPr>
      <w:b/>
      <w:bCs/>
      <w:smallCaps/>
      <w:color w:val="2F5496" w:themeColor="accent1" w:themeShade="BF"/>
      <w:spacing w:val="5"/>
    </w:rPr>
  </w:style>
  <w:style w:type="character" w:styleId="Hyperlink">
    <w:name w:val="Hyperlink"/>
    <w:basedOn w:val="DefaultParagraphFont"/>
    <w:uiPriority w:val="99"/>
    <w:unhideWhenUsed/>
    <w:rsid w:val="00AC68DF"/>
    <w:rPr>
      <w:color w:val="0563C1" w:themeColor="hyperlink"/>
      <w:u w:val="single"/>
    </w:rPr>
  </w:style>
  <w:style w:type="character" w:styleId="UnresolvedMention">
    <w:name w:val="Unresolved Mention"/>
    <w:basedOn w:val="DefaultParagraphFont"/>
    <w:uiPriority w:val="99"/>
    <w:semiHidden/>
    <w:unhideWhenUsed/>
    <w:rsid w:val="00AC68DF"/>
    <w:rPr>
      <w:color w:val="605E5C"/>
      <w:shd w:val="clear" w:color="auto" w:fill="E1DFDD"/>
    </w:rPr>
  </w:style>
  <w:style w:type="paragraph" w:styleId="NoSpacing">
    <w:name w:val="No Spacing"/>
    <w:aliases w:val="2. T Body,Body"/>
    <w:link w:val="NoSpacingChar"/>
    <w:uiPriority w:val="1"/>
    <w:qFormat/>
    <w:rsid w:val="00AE03A6"/>
    <w:pPr>
      <w:spacing w:before="120" w:after="120" w:line="360" w:lineRule="auto"/>
      <w:ind w:firstLine="1418"/>
      <w:jc w:val="both"/>
    </w:pPr>
    <w:rPr>
      <w:rFonts w:ascii="Arial" w:hAnsi="Arial" w:cs="Arial"/>
      <w:kern w:val="0"/>
      <w:szCs w:val="22"/>
      <w14:ligatures w14:val="none"/>
    </w:rPr>
  </w:style>
  <w:style w:type="character" w:customStyle="1" w:styleId="NoSpacingChar">
    <w:name w:val="No Spacing Char"/>
    <w:aliases w:val="2. T Body Char,Body Char"/>
    <w:basedOn w:val="DefaultParagraphFont"/>
    <w:link w:val="NoSpacing"/>
    <w:uiPriority w:val="1"/>
    <w:rsid w:val="00AE03A6"/>
    <w:rPr>
      <w:rFonts w:ascii="Arial" w:hAnsi="Arial" w:cs="Arial"/>
      <w:kern w:val="0"/>
      <w:szCs w:val="22"/>
      <w14:ligatures w14:val="none"/>
    </w:rPr>
  </w:style>
  <w:style w:type="table" w:styleId="TableGrid">
    <w:name w:val="Table Grid"/>
    <w:basedOn w:val="TableNormal"/>
    <w:uiPriority w:val="39"/>
    <w:rsid w:val="00AE03A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16A1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F31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9DF"/>
  </w:style>
  <w:style w:type="paragraph" w:styleId="Footer">
    <w:name w:val="footer"/>
    <w:basedOn w:val="Normal"/>
    <w:link w:val="FooterChar"/>
    <w:uiPriority w:val="99"/>
    <w:unhideWhenUsed/>
    <w:rsid w:val="00F31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9DF"/>
  </w:style>
  <w:style w:type="character" w:styleId="CommentReference">
    <w:name w:val="annotation reference"/>
    <w:basedOn w:val="DefaultParagraphFont"/>
    <w:uiPriority w:val="99"/>
    <w:semiHidden/>
    <w:unhideWhenUsed/>
    <w:rsid w:val="006D2EAC"/>
    <w:rPr>
      <w:sz w:val="16"/>
      <w:szCs w:val="16"/>
    </w:rPr>
  </w:style>
  <w:style w:type="paragraph" w:styleId="CommentText">
    <w:name w:val="annotation text"/>
    <w:basedOn w:val="Normal"/>
    <w:link w:val="CommentTextChar"/>
    <w:uiPriority w:val="99"/>
    <w:semiHidden/>
    <w:unhideWhenUsed/>
    <w:rsid w:val="006D2EAC"/>
    <w:pPr>
      <w:spacing w:line="240" w:lineRule="auto"/>
    </w:pPr>
    <w:rPr>
      <w:sz w:val="20"/>
      <w:szCs w:val="20"/>
    </w:rPr>
  </w:style>
  <w:style w:type="character" w:customStyle="1" w:styleId="CommentTextChar">
    <w:name w:val="Comment Text Char"/>
    <w:basedOn w:val="DefaultParagraphFont"/>
    <w:link w:val="CommentText"/>
    <w:uiPriority w:val="99"/>
    <w:semiHidden/>
    <w:rsid w:val="006D2EAC"/>
    <w:rPr>
      <w:sz w:val="20"/>
      <w:szCs w:val="20"/>
    </w:rPr>
  </w:style>
  <w:style w:type="paragraph" w:styleId="CommentSubject">
    <w:name w:val="annotation subject"/>
    <w:basedOn w:val="CommentText"/>
    <w:next w:val="CommentText"/>
    <w:link w:val="CommentSubjectChar"/>
    <w:uiPriority w:val="99"/>
    <w:semiHidden/>
    <w:unhideWhenUsed/>
    <w:rsid w:val="006D2EAC"/>
    <w:rPr>
      <w:b/>
      <w:bCs/>
    </w:rPr>
  </w:style>
  <w:style w:type="character" w:customStyle="1" w:styleId="CommentSubjectChar">
    <w:name w:val="Comment Subject Char"/>
    <w:basedOn w:val="CommentTextChar"/>
    <w:link w:val="CommentSubject"/>
    <w:uiPriority w:val="99"/>
    <w:semiHidden/>
    <w:rsid w:val="006D2E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F:\desktop\Data%20for%20phd\FInal%20growth%20data%20NEW.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Sheet4!$I$2</c:f>
              <c:strCache>
                <c:ptCount val="1"/>
                <c:pt idx="0">
                  <c:v>BWG %</c:v>
                </c:pt>
              </c:strCache>
            </c:strRef>
          </c:tx>
          <c:spPr>
            <a:solidFill>
              <a:schemeClr val="accent1"/>
            </a:solidFill>
            <a:ln>
              <a:noFill/>
            </a:ln>
            <a:effectLst/>
          </c:spPr>
          <c:invertIfNegative val="0"/>
          <c:cat>
            <c:strRef>
              <c:f>Sheet4!$J$1:$M$1</c:f>
              <c:strCache>
                <c:ptCount val="4"/>
                <c:pt idx="0">
                  <c:v>C</c:v>
                </c:pt>
                <c:pt idx="1">
                  <c:v>T1</c:v>
                </c:pt>
                <c:pt idx="2">
                  <c:v>T2</c:v>
                </c:pt>
                <c:pt idx="3">
                  <c:v>T3</c:v>
                </c:pt>
              </c:strCache>
            </c:strRef>
          </c:cat>
          <c:val>
            <c:numRef>
              <c:f>Sheet4!$J$2:$M$2</c:f>
              <c:numCache>
                <c:formatCode>General</c:formatCode>
                <c:ptCount val="4"/>
                <c:pt idx="0">
                  <c:v>72.19</c:v>
                </c:pt>
                <c:pt idx="1">
                  <c:v>71.86</c:v>
                </c:pt>
                <c:pt idx="2">
                  <c:v>73.819999999999993</c:v>
                </c:pt>
                <c:pt idx="3">
                  <c:v>75.48</c:v>
                </c:pt>
              </c:numCache>
            </c:numRef>
          </c:val>
          <c:extLst>
            <c:ext xmlns:c16="http://schemas.microsoft.com/office/drawing/2014/chart" uri="{C3380CC4-5D6E-409C-BE32-E72D297353CC}">
              <c16:uniqueId val="{00000000-D9FE-446B-B965-742301849BE1}"/>
            </c:ext>
          </c:extLst>
        </c:ser>
        <c:ser>
          <c:idx val="1"/>
          <c:order val="1"/>
          <c:tx>
            <c:strRef>
              <c:f>Sheet4!$I$3</c:f>
              <c:strCache>
                <c:ptCount val="1"/>
                <c:pt idx="0">
                  <c:v>SGR %/day</c:v>
                </c:pt>
              </c:strCache>
            </c:strRef>
          </c:tx>
          <c:spPr>
            <a:solidFill>
              <a:schemeClr val="accent2"/>
            </a:solidFill>
            <a:ln>
              <a:noFill/>
            </a:ln>
            <a:effectLst/>
          </c:spPr>
          <c:invertIfNegative val="0"/>
          <c:cat>
            <c:strRef>
              <c:f>Sheet4!$J$1:$M$1</c:f>
              <c:strCache>
                <c:ptCount val="4"/>
                <c:pt idx="0">
                  <c:v>C</c:v>
                </c:pt>
                <c:pt idx="1">
                  <c:v>T1</c:v>
                </c:pt>
                <c:pt idx="2">
                  <c:v>T2</c:v>
                </c:pt>
                <c:pt idx="3">
                  <c:v>T3</c:v>
                </c:pt>
              </c:strCache>
            </c:strRef>
          </c:cat>
          <c:val>
            <c:numRef>
              <c:f>Sheet4!$J$3:$M$3</c:f>
              <c:numCache>
                <c:formatCode>General</c:formatCode>
                <c:ptCount val="4"/>
                <c:pt idx="0">
                  <c:v>0.61</c:v>
                </c:pt>
                <c:pt idx="1">
                  <c:v>0.6</c:v>
                </c:pt>
                <c:pt idx="2">
                  <c:v>0.62</c:v>
                </c:pt>
                <c:pt idx="3">
                  <c:v>0.63</c:v>
                </c:pt>
              </c:numCache>
            </c:numRef>
          </c:val>
          <c:extLst>
            <c:ext xmlns:c16="http://schemas.microsoft.com/office/drawing/2014/chart" uri="{C3380CC4-5D6E-409C-BE32-E72D297353CC}">
              <c16:uniqueId val="{00000001-D9FE-446B-B965-742301849BE1}"/>
            </c:ext>
          </c:extLst>
        </c:ser>
        <c:ser>
          <c:idx val="2"/>
          <c:order val="2"/>
          <c:tx>
            <c:strRef>
              <c:f>Sheet4!$I$4</c:f>
              <c:strCache>
                <c:ptCount val="1"/>
                <c:pt idx="0">
                  <c:v>FCR</c:v>
                </c:pt>
              </c:strCache>
            </c:strRef>
          </c:tx>
          <c:spPr>
            <a:solidFill>
              <a:schemeClr val="accent3"/>
            </a:solidFill>
            <a:ln>
              <a:noFill/>
            </a:ln>
            <a:effectLst/>
          </c:spPr>
          <c:invertIfNegative val="0"/>
          <c:cat>
            <c:strRef>
              <c:f>Sheet4!$J$1:$M$1</c:f>
              <c:strCache>
                <c:ptCount val="4"/>
                <c:pt idx="0">
                  <c:v>C</c:v>
                </c:pt>
                <c:pt idx="1">
                  <c:v>T1</c:v>
                </c:pt>
                <c:pt idx="2">
                  <c:v>T2</c:v>
                </c:pt>
                <c:pt idx="3">
                  <c:v>T3</c:v>
                </c:pt>
              </c:strCache>
            </c:strRef>
          </c:cat>
          <c:val>
            <c:numRef>
              <c:f>Sheet4!$J$4:$M$4</c:f>
              <c:numCache>
                <c:formatCode>General</c:formatCode>
                <c:ptCount val="4"/>
                <c:pt idx="0">
                  <c:v>4.82</c:v>
                </c:pt>
                <c:pt idx="1">
                  <c:v>4.7300000000000004</c:v>
                </c:pt>
                <c:pt idx="2">
                  <c:v>4.67</c:v>
                </c:pt>
                <c:pt idx="3">
                  <c:v>4.57</c:v>
                </c:pt>
              </c:numCache>
            </c:numRef>
          </c:val>
          <c:extLst>
            <c:ext xmlns:c16="http://schemas.microsoft.com/office/drawing/2014/chart" uri="{C3380CC4-5D6E-409C-BE32-E72D297353CC}">
              <c16:uniqueId val="{00000002-D9FE-446B-B965-742301849BE1}"/>
            </c:ext>
          </c:extLst>
        </c:ser>
        <c:ser>
          <c:idx val="3"/>
          <c:order val="3"/>
          <c:tx>
            <c:strRef>
              <c:f>Sheet4!$I$5</c:f>
              <c:strCache>
                <c:ptCount val="1"/>
                <c:pt idx="0">
                  <c:v>PER</c:v>
                </c:pt>
              </c:strCache>
            </c:strRef>
          </c:tx>
          <c:spPr>
            <a:solidFill>
              <a:schemeClr val="accent4"/>
            </a:solidFill>
            <a:ln>
              <a:noFill/>
            </a:ln>
            <a:effectLst/>
          </c:spPr>
          <c:invertIfNegative val="0"/>
          <c:cat>
            <c:strRef>
              <c:f>Sheet4!$J$1:$M$1</c:f>
              <c:strCache>
                <c:ptCount val="4"/>
                <c:pt idx="0">
                  <c:v>C</c:v>
                </c:pt>
                <c:pt idx="1">
                  <c:v>T1</c:v>
                </c:pt>
                <c:pt idx="2">
                  <c:v>T2</c:v>
                </c:pt>
                <c:pt idx="3">
                  <c:v>T3</c:v>
                </c:pt>
              </c:strCache>
            </c:strRef>
          </c:cat>
          <c:val>
            <c:numRef>
              <c:f>Sheet4!$J$5:$M$5</c:f>
              <c:numCache>
                <c:formatCode>General</c:formatCode>
                <c:ptCount val="4"/>
                <c:pt idx="0">
                  <c:v>0.06</c:v>
                </c:pt>
                <c:pt idx="1">
                  <c:v>7.0000000000000007E-2</c:v>
                </c:pt>
                <c:pt idx="2">
                  <c:v>0.06</c:v>
                </c:pt>
                <c:pt idx="3">
                  <c:v>7.0000000000000007E-2</c:v>
                </c:pt>
              </c:numCache>
            </c:numRef>
          </c:val>
          <c:extLst>
            <c:ext xmlns:c16="http://schemas.microsoft.com/office/drawing/2014/chart" uri="{C3380CC4-5D6E-409C-BE32-E72D297353CC}">
              <c16:uniqueId val="{00000003-D9FE-446B-B965-742301849BE1}"/>
            </c:ext>
          </c:extLst>
        </c:ser>
        <c:dLbls>
          <c:showLegendKey val="0"/>
          <c:showVal val="0"/>
          <c:showCatName val="0"/>
          <c:showSerName val="0"/>
          <c:showPercent val="0"/>
          <c:showBubbleSize val="0"/>
        </c:dLbls>
        <c:gapWidth val="150"/>
        <c:overlap val="100"/>
        <c:axId val="592394640"/>
        <c:axId val="592393200"/>
      </c:barChart>
      <c:catAx>
        <c:axId val="59239464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a:solidFill>
                      <a:schemeClr val="tx1"/>
                    </a:solidFill>
                    <a:latin typeface="Times New Roman" panose="02020603050405020304" pitchFamily="18" charset="0"/>
                    <a:cs typeface="Times New Roman" panose="02020603050405020304" pitchFamily="18" charset="0"/>
                  </a:rPr>
                  <a:t>Treatment</a:t>
                </a:r>
                <a:r>
                  <a:rPr lang="en-IN" sz="1200" baseline="0">
                    <a:solidFill>
                      <a:schemeClr val="tx1"/>
                    </a:solidFill>
                    <a:latin typeface="Times New Roman" panose="02020603050405020304" pitchFamily="18" charset="0"/>
                    <a:cs typeface="Times New Roman" panose="02020603050405020304" pitchFamily="18" charset="0"/>
                  </a:rPr>
                  <a:t>s</a:t>
                </a:r>
                <a:endParaRPr lang="en-IN"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3546347331583554"/>
              <c:y val="0.8851851851851851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92393200"/>
        <c:crosses val="autoZero"/>
        <c:auto val="1"/>
        <c:lblAlgn val="ctr"/>
        <c:lblOffset val="100"/>
        <c:noMultiLvlLbl val="0"/>
      </c:catAx>
      <c:valAx>
        <c:axId val="5923932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a:solidFill>
                      <a:schemeClr val="tx1"/>
                    </a:solidFill>
                    <a:latin typeface="Times New Roman" panose="02020603050405020304" pitchFamily="18" charset="0"/>
                    <a:cs typeface="Times New Roman" panose="02020603050405020304" pitchFamily="18" charset="0"/>
                  </a:rPr>
                  <a:t>Growth</a:t>
                </a:r>
                <a:r>
                  <a:rPr lang="en-IN" sz="1200" baseline="0">
                    <a:solidFill>
                      <a:schemeClr val="tx1"/>
                    </a:solidFill>
                    <a:latin typeface="Times New Roman" panose="02020603050405020304" pitchFamily="18" charset="0"/>
                    <a:cs typeface="Times New Roman" panose="02020603050405020304" pitchFamily="18" charset="0"/>
                  </a:rPr>
                  <a:t> Parameters</a:t>
                </a:r>
                <a:endParaRPr lang="en-IN"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1.1111111111111112E-2"/>
              <c:y val="0.1845406824146981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92394640"/>
        <c:crosses val="autoZero"/>
        <c:crossBetween val="between"/>
      </c:valAx>
      <c:spPr>
        <a:noFill/>
        <a:ln>
          <a:noFill/>
        </a:ln>
        <a:effectLst/>
      </c:spPr>
    </c:plotArea>
    <c:legend>
      <c:legendPos val="r"/>
      <c:layout>
        <c:manualLayout>
          <c:xMode val="edge"/>
          <c:yMode val="edge"/>
          <c:x val="0.82875896762904633"/>
          <c:y val="0.34374890638670164"/>
          <c:w val="0.15457436570428695"/>
          <c:h val="0.349539224263633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D560-2850-468D-98DD-83AA80578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9</Pages>
  <Words>3157</Words>
  <Characters>17999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9</cp:revision>
  <dcterms:created xsi:type="dcterms:W3CDTF">2025-08-15T13:51:00Z</dcterms:created>
  <dcterms:modified xsi:type="dcterms:W3CDTF">2025-10-31T12:20:00Z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3c06c9be-7d21-4e01-9d24-83c08f63bf3c</vt:lpwstr>
  </property>
</Properties>
</file>