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75FFE" w14:textId="77777777" w:rsidR="001C4B72" w:rsidRDefault="001C4B72">
      <w:pPr>
        <w:spacing w:line="360" w:lineRule="auto"/>
        <w:jc w:val="both"/>
        <w:rPr>
          <w:rFonts w:ascii="Times New Roman" w:eastAsia="Times New Roman" w:hAnsi="Times New Roman" w:cs="Times New Roman"/>
          <w:b/>
          <w:sz w:val="24"/>
          <w:szCs w:val="24"/>
        </w:rPr>
      </w:pPr>
      <w:bookmarkStart w:id="0" w:name="_GoBack"/>
      <w:bookmarkEnd w:id="0"/>
    </w:p>
    <w:p w14:paraId="00000001" w14:textId="01363F4F"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Review on Integrated Disease Management Strategies in Vegetable Crops</w:t>
      </w:r>
    </w:p>
    <w:p w14:paraId="1033A5C2" w14:textId="77777777" w:rsidR="00456073" w:rsidRDefault="00456073">
      <w:pPr>
        <w:spacing w:line="360" w:lineRule="auto"/>
        <w:jc w:val="both"/>
        <w:rPr>
          <w:rFonts w:ascii="Times New Roman" w:eastAsia="Times New Roman" w:hAnsi="Times New Roman" w:cs="Times New Roman"/>
          <w:b/>
          <w:sz w:val="24"/>
          <w:szCs w:val="24"/>
        </w:rPr>
      </w:pPr>
    </w:p>
    <w:p w14:paraId="00000002" w14:textId="5A2673C1"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0000003"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Vegetable crops are highly vulnerable to a wide range of diseases caused by fungi, bacteria, viruses, and nematodes, leading to substantial yield losses and reduced quality. Traditional reliance on chemical pesticides has raised concerns about resistance development, environmental degradation, and human health risks. Integrated Disease Management (IDM) provides a holistic framework that combines cultural, biological, chemical, host resistance, and innovative technologies for sustainable disease control. This review synthesizes current knowledge on IDM practices in vegetable crops, emphasizing ecological approaches, novel tools such as biocontrol agents and nanotechnology, and the integration of resistant cultivars with precision farming. Challenges and opportunities in adopting IDM are also highlighted, with a focus on climate change impacts and future research directions.</w:t>
      </w:r>
    </w:p>
    <w:p w14:paraId="0000000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Integrated Disease Management, vegetable crops, biological control, host resistance, cultural practices, </w:t>
      </w:r>
      <w:r w:rsidRPr="000404D7">
        <w:rPr>
          <w:rFonts w:ascii="Times New Roman" w:eastAsia="Times New Roman" w:hAnsi="Times New Roman" w:cs="Times New Roman"/>
          <w:color w:val="FF0000"/>
          <w:sz w:val="24"/>
          <w:szCs w:val="24"/>
        </w:rPr>
        <w:t xml:space="preserve">sustainable </w:t>
      </w:r>
      <w:commentRangeStart w:id="1"/>
      <w:r w:rsidRPr="000404D7">
        <w:rPr>
          <w:rFonts w:ascii="Times New Roman" w:eastAsia="Times New Roman" w:hAnsi="Times New Roman" w:cs="Times New Roman"/>
          <w:color w:val="FF0000"/>
          <w:sz w:val="24"/>
          <w:szCs w:val="24"/>
        </w:rPr>
        <w:t>agriculture</w:t>
      </w:r>
      <w:commentRangeEnd w:id="1"/>
      <w:r w:rsidR="000404D7">
        <w:rPr>
          <w:rStyle w:val="CommentReference"/>
        </w:rPr>
        <w:commentReference w:id="1"/>
      </w:r>
    </w:p>
    <w:p w14:paraId="00000005" w14:textId="77777777" w:rsidR="00CC42A1" w:rsidRDefault="00391FE0">
      <w:pPr>
        <w:spacing w:line="360" w:lineRule="auto"/>
        <w:jc w:val="both"/>
        <w:rPr>
          <w:rFonts w:ascii="Times New Roman" w:eastAsia="Times New Roman" w:hAnsi="Times New Roman" w:cs="Times New Roman"/>
          <w:b/>
          <w:sz w:val="24"/>
          <w:szCs w:val="24"/>
        </w:rPr>
      </w:pPr>
      <w:commentRangeStart w:id="2"/>
      <w:r w:rsidRPr="00BF0ECF">
        <w:rPr>
          <w:rFonts w:ascii="Times New Roman" w:eastAsia="Times New Roman" w:hAnsi="Times New Roman" w:cs="Times New Roman"/>
          <w:b/>
          <w:color w:val="FF0000"/>
          <w:sz w:val="24"/>
          <w:szCs w:val="24"/>
        </w:rPr>
        <w:t>1</w:t>
      </w:r>
      <w:commentRangeEnd w:id="2"/>
      <w:r w:rsidR="00BF0ECF">
        <w:rPr>
          <w:rStyle w:val="CommentReference"/>
        </w:rPr>
        <w:commentReference w:id="2"/>
      </w:r>
      <w:r w:rsidRPr="00BF0ECF">
        <w:rPr>
          <w:rFonts w:ascii="Times New Roman" w:eastAsia="Times New Roman" w:hAnsi="Times New Roman" w:cs="Times New Roman"/>
          <w:b/>
          <w:color w:val="FF0000"/>
          <w:sz w:val="24"/>
          <w:szCs w:val="24"/>
        </w:rPr>
        <w:t>.</w:t>
      </w:r>
      <w:r>
        <w:rPr>
          <w:rFonts w:ascii="Times New Roman" w:eastAsia="Times New Roman" w:hAnsi="Times New Roman" w:cs="Times New Roman"/>
          <w:b/>
          <w:sz w:val="24"/>
          <w:szCs w:val="24"/>
        </w:rPr>
        <w:t xml:space="preserve"> Introduction</w:t>
      </w:r>
    </w:p>
    <w:p w14:paraId="00000006"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Vegetable crops play a crucial role in ensuring food and nutritional security worldwide. They are rich sources of essential vitamins </w:t>
      </w:r>
      <w:r w:rsidRPr="000404D7">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such as vitamin A in carrots and spinach, vitamin C in peppers and tomatoes</w:t>
      </w:r>
      <w:r w:rsidRPr="000404D7">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minerals </w:t>
      </w:r>
      <w:r w:rsidRPr="000404D7">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like iron in leafy greens, potassium in </w:t>
      </w:r>
      <w:commentRangeStart w:id="3"/>
      <w:r>
        <w:rPr>
          <w:rFonts w:ascii="Times New Roman" w:eastAsia="Times New Roman" w:hAnsi="Times New Roman" w:cs="Times New Roman"/>
          <w:sz w:val="24"/>
          <w:szCs w:val="24"/>
        </w:rPr>
        <w:t>cucurbits</w:t>
      </w:r>
      <w:commentRangeEnd w:id="3"/>
      <w:r w:rsidR="000404D7">
        <w:rPr>
          <w:rStyle w:val="CommentReference"/>
        </w:rPr>
        <w:commentReference w:id="3"/>
      </w:r>
      <w:r w:rsidRPr="000404D7">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antioxidants, and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which are vital for human health and well-being (Singh et al., 2021). Globally, vegetable cultivation also supports millions of smallholder farmers, generates rural employment, and contributes significantly to agricultural trade and national economies (FAO, 2020). For example, tomato, potato, onion, and chili are not only staple vegetables in diets but also major export commodities in many countries.</w:t>
      </w:r>
    </w:p>
    <w:p w14:paraId="00000007"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their importance, vegetable crops are highly susceptible to a wide spectrum of diseases caused by fungi, bacteria, viruses, phytoplasmas, and nematodes. Yield losses can range between 20–80% depending on the pathogen, environmental conditions, and crop susceptibility (Sharma et al., 2020). For instance, </w:t>
      </w:r>
      <w:r>
        <w:rPr>
          <w:rFonts w:ascii="Times New Roman" w:eastAsia="Times New Roman" w:hAnsi="Times New Roman" w:cs="Times New Roman"/>
          <w:i/>
          <w:sz w:val="24"/>
          <w:szCs w:val="24"/>
        </w:rPr>
        <w:t>Phytophthora infestans</w:t>
      </w:r>
      <w:r>
        <w:rPr>
          <w:rFonts w:ascii="Times New Roman" w:eastAsia="Times New Roman" w:hAnsi="Times New Roman" w:cs="Times New Roman"/>
          <w:sz w:val="24"/>
          <w:szCs w:val="24"/>
        </w:rPr>
        <w:t xml:space="preserve">—the causal agent of late blight in potato and tomato—remains one of the most devastating pathogens, leading to recurring </w:t>
      </w:r>
      <w:r>
        <w:rPr>
          <w:rFonts w:ascii="Times New Roman" w:eastAsia="Times New Roman" w:hAnsi="Times New Roman" w:cs="Times New Roman"/>
          <w:sz w:val="24"/>
          <w:szCs w:val="24"/>
        </w:rPr>
        <w:lastRenderedPageBreak/>
        <w:t xml:space="preserve">epidemics and causing billions of dollars in annual losses globally (Fry et al., 2015). Similarly, </w:t>
      </w:r>
      <w:proofErr w:type="spellStart"/>
      <w:r>
        <w:rPr>
          <w:rFonts w:ascii="Times New Roman" w:eastAsia="Times New Roman" w:hAnsi="Times New Roman" w:cs="Times New Roman"/>
          <w:i/>
          <w:sz w:val="24"/>
          <w:szCs w:val="24"/>
        </w:rPr>
        <w:t>Fusarium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f. sp. </w:t>
      </w:r>
      <w:proofErr w:type="spellStart"/>
      <w:r>
        <w:rPr>
          <w:rFonts w:ascii="Times New Roman" w:eastAsia="Times New Roman" w:hAnsi="Times New Roman" w:cs="Times New Roman"/>
          <w:i/>
          <w:sz w:val="24"/>
          <w:szCs w:val="24"/>
        </w:rPr>
        <w:t>lycopersici</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F.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f. sp. </w:t>
      </w:r>
      <w:proofErr w:type="spellStart"/>
      <w:r>
        <w:rPr>
          <w:rFonts w:ascii="Times New Roman" w:eastAsia="Times New Roman" w:hAnsi="Times New Roman" w:cs="Times New Roman"/>
          <w:i/>
          <w:sz w:val="24"/>
          <w:szCs w:val="24"/>
        </w:rPr>
        <w:t>melonis</w:t>
      </w:r>
      <w:proofErr w:type="spellEnd"/>
      <w:r>
        <w:rPr>
          <w:rFonts w:ascii="Times New Roman" w:eastAsia="Times New Roman" w:hAnsi="Times New Roman" w:cs="Times New Roman"/>
          <w:sz w:val="24"/>
          <w:szCs w:val="24"/>
        </w:rPr>
        <w:t xml:space="preserve"> cause vascular wilt diseases in solanaceous and cucurbitaceous vegetables, drastically reducing yield and quality (</w:t>
      </w:r>
      <w:proofErr w:type="spellStart"/>
      <w:r>
        <w:rPr>
          <w:rFonts w:ascii="Times New Roman" w:eastAsia="Times New Roman" w:hAnsi="Times New Roman" w:cs="Times New Roman"/>
          <w:sz w:val="24"/>
          <w:szCs w:val="24"/>
        </w:rPr>
        <w:t>Michielse</w:t>
      </w:r>
      <w:proofErr w:type="spellEnd"/>
      <w:r>
        <w:rPr>
          <w:rFonts w:ascii="Times New Roman" w:eastAsia="Times New Roman" w:hAnsi="Times New Roman" w:cs="Times New Roman"/>
          <w:sz w:val="24"/>
          <w:szCs w:val="24"/>
        </w:rPr>
        <w:t xml:space="preserve"> &amp; Rep, 2009). Viral pathogens such as Tomato Yellow Leaf Curl Virus (TYLCV), transmitted by whiteflies (</w:t>
      </w:r>
      <w:proofErr w:type="spellStart"/>
      <w:r>
        <w:rPr>
          <w:rFonts w:ascii="Times New Roman" w:eastAsia="Times New Roman" w:hAnsi="Times New Roman" w:cs="Times New Roman"/>
          <w:i/>
          <w:sz w:val="24"/>
          <w:szCs w:val="24"/>
        </w:rPr>
        <w:t>Bemisia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tabaci</w:t>
      </w:r>
      <w:proofErr w:type="spellEnd"/>
      <w:r>
        <w:rPr>
          <w:rFonts w:ascii="Times New Roman" w:eastAsia="Times New Roman" w:hAnsi="Times New Roman" w:cs="Times New Roman"/>
          <w:sz w:val="24"/>
          <w:szCs w:val="24"/>
        </w:rPr>
        <w:t>), continue to threaten tomato production across Asia, Africa, and the Mediterranean (Singh &amp; Gupta, 2022).</w:t>
      </w:r>
    </w:p>
    <w:p w14:paraId="00000008"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Traditionally, disease management in vegetable production has relied heavily on the use of chemical fungicides, bactericides, and nematicides. While these inputs can provide quick and effective disease suppression, their overuse has resulted in several challenges. Pathogens frequently develop resistance against commonly used fungicides, such as resistance in </w:t>
      </w:r>
      <w:proofErr w:type="spellStart"/>
      <w:r>
        <w:rPr>
          <w:rFonts w:ascii="Times New Roman" w:eastAsia="Times New Roman" w:hAnsi="Times New Roman" w:cs="Times New Roman"/>
          <w:i/>
          <w:sz w:val="24"/>
          <w:szCs w:val="24"/>
        </w:rPr>
        <w:t>Alternaria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solani</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strobilurins</w:t>
      </w:r>
      <w:proofErr w:type="spellEnd"/>
      <w:r>
        <w:rPr>
          <w:rFonts w:ascii="Times New Roman" w:eastAsia="Times New Roman" w:hAnsi="Times New Roman" w:cs="Times New Roman"/>
          <w:sz w:val="24"/>
          <w:szCs w:val="24"/>
        </w:rPr>
        <w:t xml:space="preserve"> and in </w:t>
      </w:r>
      <w:proofErr w:type="spellStart"/>
      <w:r>
        <w:rPr>
          <w:rFonts w:ascii="Times New Roman" w:eastAsia="Times New Roman" w:hAnsi="Times New Roman" w:cs="Times New Roman"/>
          <w:i/>
          <w:sz w:val="24"/>
          <w:szCs w:val="24"/>
        </w:rPr>
        <w:t>Phytophthora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infestans</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phenylamide</w:t>
      </w:r>
      <w:proofErr w:type="spellEnd"/>
      <w:r>
        <w:rPr>
          <w:rFonts w:ascii="Times New Roman" w:eastAsia="Times New Roman" w:hAnsi="Times New Roman" w:cs="Times New Roman"/>
          <w:sz w:val="24"/>
          <w:szCs w:val="24"/>
        </w:rPr>
        <w:t xml:space="preserve"> fungicides (Hahn, 2014). In addition, excessive chemical application leaves toxic residues on produce, contaminates soil and water bodies, and negatively affects non-target organisms, including beneficial soil microbes and pollinators (Popp </w:t>
      </w:r>
      <w:r w:rsidRPr="00BF0ECF">
        <w:rPr>
          <w:rFonts w:ascii="Times New Roman" w:eastAsia="Times New Roman" w:hAnsi="Times New Roman" w:cs="Times New Roman"/>
          <w:sz w:val="24"/>
          <w:szCs w:val="24"/>
          <w:highlight w:val="yellow"/>
        </w:rPr>
        <w:t xml:space="preserve">et </w:t>
      </w:r>
      <w:commentRangeStart w:id="4"/>
      <w:r w:rsidRPr="00BF0ECF">
        <w:rPr>
          <w:rFonts w:ascii="Times New Roman" w:eastAsia="Times New Roman" w:hAnsi="Times New Roman" w:cs="Times New Roman"/>
          <w:sz w:val="24"/>
          <w:szCs w:val="24"/>
          <w:highlight w:val="yellow"/>
        </w:rPr>
        <w:t>al</w:t>
      </w:r>
      <w:commentRangeEnd w:id="4"/>
      <w:r w:rsidR="00BF0ECF">
        <w:rPr>
          <w:rStyle w:val="CommentReference"/>
        </w:rPr>
        <w:commentReference w:id="4"/>
      </w:r>
      <w:r>
        <w:rPr>
          <w:rFonts w:ascii="Times New Roman" w:eastAsia="Times New Roman" w:hAnsi="Times New Roman" w:cs="Times New Roman"/>
          <w:sz w:val="24"/>
          <w:szCs w:val="24"/>
        </w:rPr>
        <w:t>., 2013). These issues raise concerns about long-term sustainability, environmental safety, and consumer health.</w:t>
      </w:r>
    </w:p>
    <w:p w14:paraId="00000009"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response, the paradigm of plant disease management is shifting toward Integrated Disease Management (IDM), which emphasizes the use of multiple, complementary tactics to achieve sustainable crop protection. IDM involves a holistic framework combining cultural practices, host plant resistance, biological control, and judicious use of chemicals, while increasingly integrating modern technologies such as molecular breeding, remote sensing, and nanotechnology (Chakraborty &amp; Newton, 2011; Keswani et al., 2019). The goal is not only to reduce disease incidence but also to enhance the resilience of cropping systems, improve soil and ecosystem health, and ensure stable yields under changing climatic conditions. By harmonizing ecological and technological approaches, IDM represents the future of disease management in vegetable crops.</w:t>
      </w:r>
    </w:p>
    <w:p w14:paraId="0000000A"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Principles of Integrated Disease Management</w:t>
      </w:r>
    </w:p>
    <w:p w14:paraId="0000000B"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Disease Management (IDM) is based on the philosophy that no single method is sufficient to sustainably manage plant diseases in the long run. Instead, it emphasizes a combination of compatible strategies to achieve effective, economical, and environmentally sound control. Unlike conventional chemical-based approaches, IDM integrates multiple tools that work synergistically to reduce disease incidence and severity while maintaining ecological balance. Its core principles include:</w:t>
      </w:r>
    </w:p>
    <w:p w14:paraId="0000000C"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 Prevention over cure</w:t>
      </w:r>
    </w:p>
    <w:p w14:paraId="0000000D"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foundation of IDM lies in reducing the primary inoculum and preventing disease outbreaks before they occur, as prevention is more cost-effective and sustainable than curative treatments. Practices such as sanitation (removing infected residues, sterilizing tools, and using disease-free seed/planting material), crop rotation with non-host crops, and adoption of resistant varieties play crucial roles in lowering pathogen pressure (Cook, 2000). For instance, rotating cucurbits with cereals effectively reduces soil populations of </w:t>
      </w:r>
      <w:proofErr w:type="spellStart"/>
      <w:r>
        <w:rPr>
          <w:rFonts w:ascii="Times New Roman" w:eastAsia="Times New Roman" w:hAnsi="Times New Roman" w:cs="Times New Roman"/>
          <w:i/>
          <w:sz w:val="24"/>
          <w:szCs w:val="24"/>
        </w:rPr>
        <w:t>Fusarium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Pythium spp.</w:t>
      </w:r>
      <w:r>
        <w:rPr>
          <w:rFonts w:ascii="Times New Roman" w:eastAsia="Times New Roman" w:hAnsi="Times New Roman" w:cs="Times New Roman"/>
          <w:sz w:val="24"/>
          <w:szCs w:val="24"/>
        </w:rPr>
        <w:t xml:space="preserve"> Similarly, using virus-free seedlings in tomato and chilli nurseries prevents the early establishment of devastating viral epidemics (Sharma et al., 2020).</w:t>
      </w:r>
    </w:p>
    <w:p w14:paraId="0000000E"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Integration of tactics</w:t>
      </w:r>
    </w:p>
    <w:p w14:paraId="0000000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defining feature of IDM is the strategic combination of diverse management tactics to avoid over-reliance on a single method and to achieve synergistic control. For example, cultural practices such as soil solarization can be combined with biological control agents like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spp., while selective fungicides can be used in rotation to manage epidemics. This approach not only improves control efficacy but also delays the development of pathogen resistance (Popp et al., 2013). An integrated strategy against tomato wilt might involve resistant cultivars, soil amendments, and biological antagonists, supplemented with fungicides only when disease pressure crosses threshold levels.</w:t>
      </w:r>
    </w:p>
    <w:p w14:paraId="00000010"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Sustainability and safety</w:t>
      </w:r>
    </w:p>
    <w:p w14:paraId="00000011"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IDM aims to safeguard the environment, human health, and soil biodiversity while managing crop diseases. Overuse of chemicals can disrupt soil microbial communities, contaminate water sources, and pose health risks to consumers through pesticide residues. By integrating biological and ecological approaches, IDM minimizes these risks while ensuring long-term soil fertility and ecosystem balance (Sharma et al., 2016). For example, the application of </w:t>
      </w:r>
      <w:r>
        <w:rPr>
          <w:rFonts w:ascii="Times New Roman" w:eastAsia="Times New Roman" w:hAnsi="Times New Roman" w:cs="Times New Roman"/>
          <w:i/>
          <w:sz w:val="24"/>
          <w:szCs w:val="24"/>
        </w:rPr>
        <w:t>Pseudomonas fluorescens</w:t>
      </w:r>
      <w:r>
        <w:rPr>
          <w:rFonts w:ascii="Times New Roman" w:eastAsia="Times New Roman" w:hAnsi="Times New Roman" w:cs="Times New Roman"/>
          <w:sz w:val="24"/>
          <w:szCs w:val="24"/>
        </w:rPr>
        <w:t xml:space="preserve"> not only suppresses root pathogens but also improves plant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xml:space="preserve"> without harmful residues. This principle aligns IDM with the broader goals of sustainable agriculture and the One Health framework.</w:t>
      </w:r>
    </w:p>
    <w:p w14:paraId="00000012"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2.4 </w:t>
      </w:r>
      <w:commentRangeStart w:id="5"/>
      <w:r w:rsidRPr="00BF0ECF">
        <w:rPr>
          <w:rFonts w:ascii="Times New Roman" w:eastAsia="Times New Roman" w:hAnsi="Times New Roman" w:cs="Times New Roman"/>
          <w:b/>
          <w:color w:val="FF0000"/>
          <w:sz w:val="24"/>
          <w:szCs w:val="24"/>
        </w:rPr>
        <w:t>Adaptability</w:t>
      </w:r>
      <w:commentRangeEnd w:id="5"/>
      <w:r w:rsidR="00BF0ECF">
        <w:rPr>
          <w:rStyle w:val="CommentReference"/>
        </w:rPr>
        <w:commentReference w:id="5"/>
      </w:r>
    </w:p>
    <w:p w14:paraId="00000013"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strength of IDM is its flexibility and context-specific nature. Disease management strategies must be tailored to crop species, local agro-ecological conditions, pathogen diversity, and socio-economic considerations. For example, late blight management in potato requires </w:t>
      </w:r>
      <w:r>
        <w:rPr>
          <w:rFonts w:ascii="Times New Roman" w:eastAsia="Times New Roman" w:hAnsi="Times New Roman" w:cs="Times New Roman"/>
          <w:sz w:val="24"/>
          <w:szCs w:val="24"/>
        </w:rPr>
        <w:lastRenderedPageBreak/>
        <w:t>forecasting models and fungicide scheduling in temperate regions, while in tropical regions emphasis may shift toward resistant cultivars and cultural practices such as wider spacing and mulching (</w:t>
      </w:r>
      <w:proofErr w:type="spellStart"/>
      <w:r>
        <w:rPr>
          <w:rFonts w:ascii="Times New Roman" w:eastAsia="Times New Roman" w:hAnsi="Times New Roman" w:cs="Times New Roman"/>
          <w:sz w:val="24"/>
          <w:szCs w:val="24"/>
        </w:rPr>
        <w:t>Haverkort</w:t>
      </w:r>
      <w:proofErr w:type="spellEnd"/>
      <w:r>
        <w:rPr>
          <w:rFonts w:ascii="Times New Roman" w:eastAsia="Times New Roman" w:hAnsi="Times New Roman" w:cs="Times New Roman"/>
          <w:sz w:val="24"/>
          <w:szCs w:val="24"/>
        </w:rPr>
        <w:t xml:space="preserve"> et al., 2016). Similarly, IDM modules for smallholder farmers in developing countries prioritize low-cost measures such as crop rotation and bio-agents, whereas high-tech farms may integrate drones, sensors, and precision pesticide application. Adaptability ensures that IDM remains relevant across diverse production systems and evolving challenges such as climate change.</w:t>
      </w:r>
    </w:p>
    <w:p w14:paraId="00000014"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Cultural Practices in IDM</w:t>
      </w:r>
    </w:p>
    <w:p w14:paraId="00000015"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management represents the first line of </w:t>
      </w:r>
      <w:commentRangeStart w:id="6"/>
      <w:proofErr w:type="spellStart"/>
      <w:r>
        <w:rPr>
          <w:rFonts w:ascii="Times New Roman" w:eastAsia="Times New Roman" w:hAnsi="Times New Roman" w:cs="Times New Roman"/>
          <w:sz w:val="24"/>
          <w:szCs w:val="24"/>
        </w:rPr>
        <w:t>defense</w:t>
      </w:r>
      <w:commentRangeEnd w:id="6"/>
      <w:proofErr w:type="spellEnd"/>
      <w:r w:rsidR="00BF0ECF">
        <w:rPr>
          <w:rStyle w:val="CommentReference"/>
        </w:rPr>
        <w:commentReference w:id="6"/>
      </w:r>
      <w:r>
        <w:rPr>
          <w:rFonts w:ascii="Times New Roman" w:eastAsia="Times New Roman" w:hAnsi="Times New Roman" w:cs="Times New Roman"/>
          <w:sz w:val="24"/>
          <w:szCs w:val="24"/>
        </w:rPr>
        <w:t xml:space="preserve"> in Integrated Disease Management (IDM). It involves manipulating the cropping environment and practices to reduce the survival, multiplication, and spread of pathogens. These strategies are cost-effective, environmentally friendly, and widely adaptable across different vegetable production systems. When properly integrated, they not only reduce disease pressure but also improve soil health and overall crop resilience. Key cultural practices include:</w:t>
      </w:r>
    </w:p>
    <w:p w14:paraId="00000016"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Crop Rotation</w:t>
      </w:r>
    </w:p>
    <w:p w14:paraId="00000017"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Crop rotation is a time-tested practice where susceptible vegetable crops are alternated with non-host crops to break the life cycle of pathogens. For instance, rotating solanaceous vegetables (tomato, brinjal, chili) with cereals or legumes significantly reduces the incidence of </w:t>
      </w:r>
      <w:proofErr w:type="spellStart"/>
      <w:r>
        <w:rPr>
          <w:rFonts w:ascii="Times New Roman" w:eastAsia="Times New Roman" w:hAnsi="Times New Roman" w:cs="Times New Roman"/>
          <w:i/>
          <w:sz w:val="24"/>
          <w:szCs w:val="24"/>
        </w:rPr>
        <w:t>Fusarium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f. sp. </w:t>
      </w:r>
      <w:proofErr w:type="spellStart"/>
      <w:r>
        <w:rPr>
          <w:rFonts w:ascii="Times New Roman" w:eastAsia="Times New Roman" w:hAnsi="Times New Roman" w:cs="Times New Roman"/>
          <w:i/>
          <w:sz w:val="24"/>
          <w:szCs w:val="24"/>
        </w:rPr>
        <w:t>lycopersici</w:t>
      </w:r>
      <w:proofErr w:type="spellEnd"/>
      <w:r>
        <w:rPr>
          <w:rFonts w:ascii="Times New Roman" w:eastAsia="Times New Roman" w:hAnsi="Times New Roman" w:cs="Times New Roman"/>
          <w:sz w:val="24"/>
          <w:szCs w:val="24"/>
        </w:rPr>
        <w:t xml:space="preserve"> (causing tomato wilt) and </w:t>
      </w:r>
      <w:proofErr w:type="spellStart"/>
      <w:r>
        <w:rPr>
          <w:rFonts w:ascii="Times New Roman" w:eastAsia="Times New Roman" w:hAnsi="Times New Roman" w:cs="Times New Roman"/>
          <w:i/>
          <w:sz w:val="24"/>
          <w:szCs w:val="24"/>
        </w:rPr>
        <w:t>Ralstonia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solanacearum</w:t>
      </w:r>
      <w:proofErr w:type="spellEnd"/>
      <w:r>
        <w:rPr>
          <w:rFonts w:ascii="Times New Roman" w:eastAsia="Times New Roman" w:hAnsi="Times New Roman" w:cs="Times New Roman"/>
          <w:sz w:val="24"/>
          <w:szCs w:val="24"/>
        </w:rPr>
        <w:t xml:space="preserve"> (bacterial wilt) (Maharshi et al., 2021). Similarly, alternating cucurbits with crucifers can reduce soil inoculum of </w:t>
      </w:r>
      <w:r>
        <w:rPr>
          <w:rFonts w:ascii="Times New Roman" w:eastAsia="Times New Roman" w:hAnsi="Times New Roman" w:cs="Times New Roman"/>
          <w:i/>
          <w:sz w:val="24"/>
          <w:szCs w:val="24"/>
        </w:rPr>
        <w:t>Pythium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Rhizoctonia</w:t>
      </w:r>
      <w:r>
        <w:rPr>
          <w:rFonts w:ascii="Times New Roman" w:eastAsia="Times New Roman" w:hAnsi="Times New Roman" w:cs="Times New Roman"/>
          <w:sz w:val="24"/>
          <w:szCs w:val="24"/>
        </w:rPr>
        <w:t xml:space="preserve"> spp. (</w:t>
      </w:r>
      <w:proofErr w:type="spellStart"/>
      <w:r w:rsidRPr="00173E80">
        <w:rPr>
          <w:rFonts w:ascii="Times New Roman" w:eastAsia="Times New Roman" w:hAnsi="Times New Roman" w:cs="Times New Roman"/>
          <w:sz w:val="24"/>
          <w:szCs w:val="24"/>
          <w:highlight w:val="yellow"/>
        </w:rPr>
        <w:t>Bubici</w:t>
      </w:r>
      <w:proofErr w:type="spellEnd"/>
      <w:r w:rsidRPr="00173E80">
        <w:rPr>
          <w:rFonts w:ascii="Times New Roman" w:eastAsia="Times New Roman" w:hAnsi="Times New Roman" w:cs="Times New Roman"/>
          <w:sz w:val="24"/>
          <w:szCs w:val="24"/>
          <w:highlight w:val="yellow"/>
        </w:rPr>
        <w:t xml:space="preserve"> et al., </w:t>
      </w:r>
      <w:commentRangeStart w:id="7"/>
      <w:r w:rsidRPr="00173E80">
        <w:rPr>
          <w:rFonts w:ascii="Times New Roman" w:eastAsia="Times New Roman" w:hAnsi="Times New Roman" w:cs="Times New Roman"/>
          <w:sz w:val="24"/>
          <w:szCs w:val="24"/>
          <w:highlight w:val="yellow"/>
        </w:rPr>
        <w:t>2019</w:t>
      </w:r>
      <w:commentRangeEnd w:id="7"/>
      <w:r w:rsidR="00173E80">
        <w:rPr>
          <w:rStyle w:val="CommentReference"/>
        </w:rPr>
        <w:commentReference w:id="7"/>
      </w:r>
      <w:r>
        <w:rPr>
          <w:rFonts w:ascii="Times New Roman" w:eastAsia="Times New Roman" w:hAnsi="Times New Roman" w:cs="Times New Roman"/>
          <w:sz w:val="24"/>
          <w:szCs w:val="24"/>
        </w:rPr>
        <w:t>). Long-term rotational planning is particularly effective for managing soil-borne diseases, as many pathogens have narrow host ranges.</w:t>
      </w:r>
    </w:p>
    <w:p w14:paraId="00000018"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Sanitation</w:t>
      </w:r>
    </w:p>
    <w:p w14:paraId="00000019"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Sanitation refers to the removal and destruction of infected crop residues, volunteer plants, and weeds that may serve as alternate hosts or pathogen reservoirs. Proper disposal of diseased plant debris reduces the primary inoculum of pathogens like </w:t>
      </w:r>
      <w:proofErr w:type="spellStart"/>
      <w:r>
        <w:rPr>
          <w:rFonts w:ascii="Times New Roman" w:eastAsia="Times New Roman" w:hAnsi="Times New Roman" w:cs="Times New Roman"/>
          <w:i/>
          <w:sz w:val="24"/>
          <w:szCs w:val="24"/>
        </w:rPr>
        <w:t>Alternaria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solani</w:t>
      </w:r>
      <w:proofErr w:type="spellEnd"/>
      <w:r>
        <w:rPr>
          <w:rFonts w:ascii="Times New Roman" w:eastAsia="Times New Roman" w:hAnsi="Times New Roman" w:cs="Times New Roman"/>
          <w:sz w:val="24"/>
          <w:szCs w:val="24"/>
        </w:rPr>
        <w:t xml:space="preserve"> (early blight of tomato) and </w:t>
      </w:r>
      <w:proofErr w:type="spellStart"/>
      <w:r>
        <w:rPr>
          <w:rFonts w:ascii="Times New Roman" w:eastAsia="Times New Roman" w:hAnsi="Times New Roman" w:cs="Times New Roman"/>
          <w:i/>
          <w:sz w:val="24"/>
          <w:szCs w:val="24"/>
        </w:rPr>
        <w:t>Sclerotinia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sclerotiorum</w:t>
      </w:r>
      <w:proofErr w:type="spellEnd"/>
      <w:r>
        <w:rPr>
          <w:rFonts w:ascii="Times New Roman" w:eastAsia="Times New Roman" w:hAnsi="Times New Roman" w:cs="Times New Roman"/>
          <w:sz w:val="24"/>
          <w:szCs w:val="24"/>
        </w:rPr>
        <w:t xml:space="preserve"> (white </w:t>
      </w:r>
      <w:proofErr w:type="spellStart"/>
      <w:r>
        <w:rPr>
          <w:rFonts w:ascii="Times New Roman" w:eastAsia="Times New Roman" w:hAnsi="Times New Roman" w:cs="Times New Roman"/>
          <w:sz w:val="24"/>
          <w:szCs w:val="24"/>
        </w:rPr>
        <w:t>mold</w:t>
      </w:r>
      <w:proofErr w:type="spellEnd"/>
      <w:r>
        <w:rPr>
          <w:rFonts w:ascii="Times New Roman" w:eastAsia="Times New Roman" w:hAnsi="Times New Roman" w:cs="Times New Roman"/>
          <w:sz w:val="24"/>
          <w:szCs w:val="24"/>
        </w:rPr>
        <w:t xml:space="preserve"> of beans and cucurbits) (Sharma et al., 2016). Disinfecting tools, stakes, and greenhouse equipment also helps prevent pathogen spread. For example, cleaning irrigation pipes and nursery trays minimizes the spread of bacterial spot and damping-off pathogens in vegetable nurseries (Ignatov et al., 2020).</w:t>
      </w:r>
    </w:p>
    <w:p w14:paraId="0000001A"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3.3 Soil Solarization</w:t>
      </w:r>
    </w:p>
    <w:p w14:paraId="0000001B"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Soil solarization is an eco-friendly technique where moist soil is covered with transparent polyethylene sheets during peak summer months. The trapped solar radiation increases soil temperature (up to 45–55°C at 5–15 cm depth), which inactivates soil-borne pathogens, weed seeds, and nematodes (Katan, 2017). This practice has been effective in reducing </w:t>
      </w:r>
      <w:proofErr w:type="spellStart"/>
      <w:r>
        <w:rPr>
          <w:rFonts w:ascii="Times New Roman" w:eastAsia="Times New Roman" w:hAnsi="Times New Roman" w:cs="Times New Roman"/>
          <w:i/>
          <w:sz w:val="24"/>
          <w:szCs w:val="24"/>
        </w:rPr>
        <w:t>Rhizoctonia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solani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Fusarium</w:t>
      </w:r>
      <w:proofErr w:type="spellEnd"/>
      <w:r>
        <w:rPr>
          <w:rFonts w:ascii="Times New Roman" w:eastAsia="Times New Roman" w:hAnsi="Times New Roman" w:cs="Times New Roman"/>
          <w:sz w:val="24"/>
          <w:szCs w:val="24"/>
        </w:rPr>
        <w:t xml:space="preserve"> spp., and </w:t>
      </w:r>
      <w:proofErr w:type="spellStart"/>
      <w:r>
        <w:rPr>
          <w:rFonts w:ascii="Times New Roman" w:eastAsia="Times New Roman" w:hAnsi="Times New Roman" w:cs="Times New Roman"/>
          <w:i/>
          <w:sz w:val="24"/>
          <w:szCs w:val="24"/>
        </w:rPr>
        <w:t>Verticillium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dahliae</w:t>
      </w:r>
      <w:proofErr w:type="spellEnd"/>
      <w:r>
        <w:rPr>
          <w:rFonts w:ascii="Times New Roman" w:eastAsia="Times New Roman" w:hAnsi="Times New Roman" w:cs="Times New Roman"/>
          <w:sz w:val="24"/>
          <w:szCs w:val="24"/>
        </w:rPr>
        <w:t xml:space="preserve"> populations in tomato and eggplant fields. Additionally, solarization enhances soil microbial activity by </w:t>
      </w:r>
      <w:proofErr w:type="spellStart"/>
      <w:r>
        <w:rPr>
          <w:rFonts w:ascii="Times New Roman" w:eastAsia="Times New Roman" w:hAnsi="Times New Roman" w:cs="Times New Roman"/>
          <w:sz w:val="24"/>
          <w:szCs w:val="24"/>
        </w:rPr>
        <w:t>favoring</w:t>
      </w:r>
      <w:proofErr w:type="spellEnd"/>
      <w:r>
        <w:rPr>
          <w:rFonts w:ascii="Times New Roman" w:eastAsia="Times New Roman" w:hAnsi="Times New Roman" w:cs="Times New Roman"/>
          <w:sz w:val="24"/>
          <w:szCs w:val="24"/>
        </w:rPr>
        <w:t xml:space="preserve"> beneficial </w:t>
      </w:r>
      <w:proofErr w:type="spellStart"/>
      <w:r>
        <w:rPr>
          <w:rFonts w:ascii="Times New Roman" w:eastAsia="Times New Roman" w:hAnsi="Times New Roman" w:cs="Times New Roman"/>
          <w:sz w:val="24"/>
          <w:szCs w:val="24"/>
        </w:rPr>
        <w:t>thermotolerant</w:t>
      </w:r>
      <w:proofErr w:type="spellEnd"/>
      <w:r>
        <w:rPr>
          <w:rFonts w:ascii="Times New Roman" w:eastAsia="Times New Roman" w:hAnsi="Times New Roman" w:cs="Times New Roman"/>
          <w:sz w:val="24"/>
          <w:szCs w:val="24"/>
        </w:rPr>
        <w:t xml:space="preserve"> microorganisms, contributing to long-term soil health.</w:t>
      </w:r>
    </w:p>
    <w:p w14:paraId="0000001C"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Irrigation Management</w:t>
      </w:r>
    </w:p>
    <w:p w14:paraId="0000001D"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management strongly influences disease epidemiology in vegetable crops. Overhead irrigation often creates leaf wetness periods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for foliar pathogens such as </w:t>
      </w:r>
      <w:r>
        <w:rPr>
          <w:rFonts w:ascii="Times New Roman" w:eastAsia="Times New Roman" w:hAnsi="Times New Roman" w:cs="Times New Roman"/>
          <w:i/>
          <w:sz w:val="24"/>
          <w:szCs w:val="24"/>
        </w:rPr>
        <w:t>Phytophthora infestans</w:t>
      </w:r>
      <w:r>
        <w:rPr>
          <w:rFonts w:ascii="Times New Roman" w:eastAsia="Times New Roman" w:hAnsi="Times New Roman" w:cs="Times New Roman"/>
          <w:sz w:val="24"/>
          <w:szCs w:val="24"/>
        </w:rPr>
        <w:t xml:space="preserve"> (late blight) and </w:t>
      </w:r>
      <w:r>
        <w:rPr>
          <w:rFonts w:ascii="Times New Roman" w:eastAsia="Times New Roman" w:hAnsi="Times New Roman" w:cs="Times New Roman"/>
          <w:i/>
          <w:sz w:val="24"/>
          <w:szCs w:val="24"/>
        </w:rPr>
        <w:t>Downy mildews</w:t>
      </w:r>
      <w:r>
        <w:rPr>
          <w:rFonts w:ascii="Times New Roman" w:eastAsia="Times New Roman" w:hAnsi="Times New Roman" w:cs="Times New Roman"/>
          <w:sz w:val="24"/>
          <w:szCs w:val="24"/>
        </w:rPr>
        <w:t xml:space="preserve">. In contrast, drip irrigation reduces leaf wetness, minimizes splash dispersal of spores, and improves water-use efficiency (Sharma et al., 2020). Furthermore, avoiding excessive irrigation prevents conditions conducive to root rot and bacterial wilt. In greenhouse systems, maintaining optimal humidity (below 85%) can significantly reduce outbreaks of </w:t>
      </w:r>
      <w:r>
        <w:rPr>
          <w:rFonts w:ascii="Times New Roman" w:eastAsia="Times New Roman" w:hAnsi="Times New Roman" w:cs="Times New Roman"/>
          <w:i/>
          <w:sz w:val="24"/>
          <w:szCs w:val="24"/>
        </w:rPr>
        <w:t xml:space="preserve">Botrytis </w:t>
      </w:r>
      <w:proofErr w:type="spellStart"/>
      <w:r>
        <w:rPr>
          <w:rFonts w:ascii="Times New Roman" w:eastAsia="Times New Roman" w:hAnsi="Times New Roman" w:cs="Times New Roman"/>
          <w:i/>
          <w:sz w:val="24"/>
          <w:szCs w:val="24"/>
        </w:rPr>
        <w:t>cinerea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mold</w:t>
      </w:r>
      <w:proofErr w:type="spellEnd"/>
      <w:r>
        <w:rPr>
          <w:rFonts w:ascii="Times New Roman" w:eastAsia="Times New Roman" w:hAnsi="Times New Roman" w:cs="Times New Roman"/>
          <w:sz w:val="24"/>
          <w:szCs w:val="24"/>
        </w:rPr>
        <w:t>).</w:t>
      </w:r>
    </w:p>
    <w:p w14:paraId="0000001E"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Nutrient Management</w:t>
      </w:r>
    </w:p>
    <w:p w14:paraId="0000001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Balanced fertilization enhances plant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xml:space="preserve"> and immunity, making crops less susceptible to diseases. For example, adequate potassium improves resistance to foliar blights in tomato and potato, while calcium supplementation strengthens cell walls against pathogen ingress (</w:t>
      </w:r>
      <w:r w:rsidRPr="00173E80">
        <w:rPr>
          <w:rFonts w:ascii="Times New Roman" w:eastAsia="Times New Roman" w:hAnsi="Times New Roman" w:cs="Times New Roman"/>
          <w:color w:val="FF0000"/>
          <w:sz w:val="24"/>
          <w:szCs w:val="24"/>
        </w:rPr>
        <w:t xml:space="preserve">Amtmann et al., </w:t>
      </w:r>
      <w:commentRangeStart w:id="8"/>
      <w:r w:rsidRPr="00173E80">
        <w:rPr>
          <w:rFonts w:ascii="Times New Roman" w:eastAsia="Times New Roman" w:hAnsi="Times New Roman" w:cs="Times New Roman"/>
          <w:color w:val="FF0000"/>
          <w:sz w:val="24"/>
          <w:szCs w:val="24"/>
        </w:rPr>
        <w:t>2008</w:t>
      </w:r>
      <w:commentRangeEnd w:id="8"/>
      <w:r w:rsidR="00173E80">
        <w:rPr>
          <w:rStyle w:val="CommentReference"/>
        </w:rPr>
        <w:commentReference w:id="8"/>
      </w:r>
      <w:r>
        <w:rPr>
          <w:rFonts w:ascii="Times New Roman" w:eastAsia="Times New Roman" w:hAnsi="Times New Roman" w:cs="Times New Roman"/>
          <w:sz w:val="24"/>
          <w:szCs w:val="24"/>
        </w:rPr>
        <w:t>). Conversely, excessive nitrogen application increases canopy density and succulence, predisposing crops to foliar diseases such as downy mildew and early blight (</w:t>
      </w:r>
      <w:proofErr w:type="spellStart"/>
      <w:r w:rsidRPr="00173E80">
        <w:rPr>
          <w:rFonts w:ascii="Times New Roman" w:eastAsia="Times New Roman" w:hAnsi="Times New Roman" w:cs="Times New Roman"/>
          <w:sz w:val="24"/>
          <w:szCs w:val="24"/>
          <w:highlight w:val="yellow"/>
        </w:rPr>
        <w:t>Datnoff</w:t>
      </w:r>
      <w:proofErr w:type="spellEnd"/>
      <w:r w:rsidRPr="00173E80">
        <w:rPr>
          <w:rFonts w:ascii="Times New Roman" w:eastAsia="Times New Roman" w:hAnsi="Times New Roman" w:cs="Times New Roman"/>
          <w:sz w:val="24"/>
          <w:szCs w:val="24"/>
          <w:highlight w:val="yellow"/>
        </w:rPr>
        <w:t xml:space="preserve"> et al., </w:t>
      </w:r>
      <w:commentRangeStart w:id="9"/>
      <w:r w:rsidRPr="00173E80">
        <w:rPr>
          <w:rFonts w:ascii="Times New Roman" w:eastAsia="Times New Roman" w:hAnsi="Times New Roman" w:cs="Times New Roman"/>
          <w:sz w:val="24"/>
          <w:szCs w:val="24"/>
          <w:highlight w:val="yellow"/>
        </w:rPr>
        <w:t>2007</w:t>
      </w:r>
      <w:commentRangeEnd w:id="9"/>
      <w:r w:rsidR="00173E80">
        <w:rPr>
          <w:rStyle w:val="CommentReference"/>
        </w:rPr>
        <w:commentReference w:id="9"/>
      </w:r>
      <w:r>
        <w:rPr>
          <w:rFonts w:ascii="Times New Roman" w:eastAsia="Times New Roman" w:hAnsi="Times New Roman" w:cs="Times New Roman"/>
          <w:sz w:val="24"/>
          <w:szCs w:val="24"/>
        </w:rPr>
        <w:t>). Integrating organic amendments such as farmyard manure, compost, and biofertilizers not only improves nutrient status but also supports beneficial microbes that suppress pathogens.</w:t>
      </w:r>
    </w:p>
    <w:p w14:paraId="00000020"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Host Resistance</w:t>
      </w:r>
    </w:p>
    <w:p w14:paraId="00000021"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Breeding resistant cultivars remains the most economical, environmentally friendly, and farmer-preferred approach for managing diseases in vegetable crops. Unlike chemical control, which requires repeated applications and carries risks of resistance and environmental hazards, host resistance provides season-long protection with minimal input costs (Sharma et al., 2016). </w:t>
      </w:r>
      <w:r>
        <w:rPr>
          <w:rFonts w:ascii="Times New Roman" w:eastAsia="Times New Roman" w:hAnsi="Times New Roman" w:cs="Times New Roman"/>
          <w:sz w:val="24"/>
          <w:szCs w:val="24"/>
        </w:rPr>
        <w:lastRenderedPageBreak/>
        <w:t>Development and deployment of resistant cultivars have significantly reduced the impact of several major vegetable diseases worldwide.</w:t>
      </w:r>
    </w:p>
    <w:p w14:paraId="00000022"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Examples of Resistance Breeding in Vegetable Crops</w:t>
      </w:r>
    </w:p>
    <w:p w14:paraId="00000023" w14:textId="77777777" w:rsidR="00CC42A1" w:rsidRDefault="00391FE0">
      <w:pPr>
        <w:numPr>
          <w:ilvl w:val="0"/>
          <w:numId w:val="1"/>
        </w:numPr>
        <w:spacing w:line="360" w:lineRule="auto"/>
        <w:jc w:val="both"/>
        <w:rPr>
          <w:rFonts w:ascii="Times New Roman" w:eastAsia="Times New Roman" w:hAnsi="Times New Roman" w:cs="Times New Roman"/>
          <w:sz w:val="24"/>
          <w:szCs w:val="24"/>
        </w:rPr>
      </w:pPr>
      <w:commentRangeStart w:id="10"/>
      <w:r>
        <w:rPr>
          <w:rFonts w:ascii="Times New Roman" w:eastAsia="Times New Roman" w:hAnsi="Times New Roman" w:cs="Times New Roman"/>
          <w:b/>
          <w:sz w:val="24"/>
          <w:szCs w:val="24"/>
        </w:rPr>
        <w:t>Tomato</w:t>
      </w:r>
      <w:commentRangeEnd w:id="10"/>
      <w:r w:rsidR="001E383D">
        <w:rPr>
          <w:rStyle w:val="CommentReference"/>
        </w:rPr>
        <w:commentReference w:id="10"/>
      </w:r>
      <w:r>
        <w:rPr>
          <w:rFonts w:ascii="Times New Roman" w:eastAsia="Times New Roman" w:hAnsi="Times New Roman" w:cs="Times New Roman"/>
          <w:b/>
          <w:sz w:val="24"/>
          <w:szCs w:val="24"/>
        </w:rPr>
        <w:t xml:space="preserve"> resistance to Tomato Yellow Leaf Curl Virus (TYLCV):</w:t>
      </w:r>
      <w:r>
        <w:rPr>
          <w:rFonts w:ascii="Times New Roman" w:eastAsia="Times New Roman" w:hAnsi="Times New Roman" w:cs="Times New Roman"/>
          <w:sz w:val="24"/>
          <w:szCs w:val="24"/>
        </w:rPr>
        <w:t xml:space="preserve"> TYLCV is one of the most destructive viral diseases of tomato, transmitted by the whitefly (</w:t>
      </w:r>
      <w:proofErr w:type="spellStart"/>
      <w:r>
        <w:rPr>
          <w:rFonts w:ascii="Times New Roman" w:eastAsia="Times New Roman" w:hAnsi="Times New Roman" w:cs="Times New Roman"/>
          <w:i/>
          <w:sz w:val="24"/>
          <w:szCs w:val="24"/>
        </w:rPr>
        <w:t>Bemisia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tabaci</w:t>
      </w:r>
      <w:proofErr w:type="spellEnd"/>
      <w:r>
        <w:rPr>
          <w:rFonts w:ascii="Times New Roman" w:eastAsia="Times New Roman" w:hAnsi="Times New Roman" w:cs="Times New Roman"/>
          <w:sz w:val="24"/>
          <w:szCs w:val="24"/>
        </w:rPr>
        <w:t>). Conventional breeding for resistance was challenging due to limited resistance sources in cultivated tomato. However, marker-assisted selection (MAS) enabled the introgression of resistance genes (</w:t>
      </w:r>
      <w:r>
        <w:rPr>
          <w:rFonts w:ascii="Times New Roman" w:eastAsia="Times New Roman" w:hAnsi="Times New Roman" w:cs="Times New Roman"/>
          <w:i/>
          <w:sz w:val="24"/>
          <w:szCs w:val="24"/>
        </w:rPr>
        <w:t>Ty-1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Ty-2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Ty-3</w:t>
      </w:r>
      <w:r>
        <w:rPr>
          <w:rFonts w:ascii="Times New Roman" w:eastAsia="Times New Roman" w:hAnsi="Times New Roman" w:cs="Times New Roman"/>
          <w:sz w:val="24"/>
          <w:szCs w:val="24"/>
        </w:rPr>
        <w:t xml:space="preserve">) from wild relatives such as </w:t>
      </w:r>
      <w:proofErr w:type="spellStart"/>
      <w:r>
        <w:rPr>
          <w:rFonts w:ascii="Times New Roman" w:eastAsia="Times New Roman" w:hAnsi="Times New Roman" w:cs="Times New Roman"/>
          <w:i/>
          <w:sz w:val="24"/>
          <w:szCs w:val="24"/>
        </w:rPr>
        <w:t>Solanum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chilense</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habrochaites</w:t>
      </w:r>
      <w:proofErr w:type="spellEnd"/>
      <w:r>
        <w:rPr>
          <w:rFonts w:ascii="Times New Roman" w:eastAsia="Times New Roman" w:hAnsi="Times New Roman" w:cs="Times New Roman"/>
          <w:sz w:val="24"/>
          <w:szCs w:val="24"/>
        </w:rPr>
        <w:t xml:space="preserve"> into commercial tomato lines (</w:t>
      </w:r>
      <w:proofErr w:type="spellStart"/>
      <w:r>
        <w:rPr>
          <w:rFonts w:ascii="Times New Roman" w:eastAsia="Times New Roman" w:hAnsi="Times New Roman" w:cs="Times New Roman"/>
          <w:sz w:val="24"/>
          <w:szCs w:val="24"/>
        </w:rPr>
        <w:t>Vidavski</w:t>
      </w:r>
      <w:proofErr w:type="spellEnd"/>
      <w:r>
        <w:rPr>
          <w:rFonts w:ascii="Times New Roman" w:eastAsia="Times New Roman" w:hAnsi="Times New Roman" w:cs="Times New Roman"/>
          <w:sz w:val="24"/>
          <w:szCs w:val="24"/>
        </w:rPr>
        <w:t xml:space="preserve"> et al., 2008). These resistant varieties have significantly reduced yield losses in endemic regions.</w:t>
      </w:r>
    </w:p>
    <w:p w14:paraId="00000024" w14:textId="77777777" w:rsidR="00CC42A1" w:rsidRDefault="00391FE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Potato resistance to late blight (</w:t>
      </w:r>
      <w:r>
        <w:rPr>
          <w:rFonts w:ascii="Times New Roman" w:eastAsia="Times New Roman" w:hAnsi="Times New Roman" w:cs="Times New Roman"/>
          <w:b/>
          <w:i/>
          <w:sz w:val="24"/>
          <w:szCs w:val="24"/>
        </w:rPr>
        <w:t>Phytophthora infestans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Late blight is historically notorious for causing famines and remains the most devastating disease in potatoes. </w:t>
      </w:r>
      <w:proofErr w:type="spellStart"/>
      <w:r>
        <w:rPr>
          <w:rFonts w:ascii="Times New Roman" w:eastAsia="Times New Roman" w:hAnsi="Times New Roman" w:cs="Times New Roman"/>
          <w:sz w:val="24"/>
          <w:szCs w:val="24"/>
        </w:rPr>
        <w:t>Introgression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i/>
          <w:sz w:val="24"/>
          <w:szCs w:val="24"/>
        </w:rPr>
        <w:t>Rpi</w:t>
      </w:r>
      <w:proofErr w:type="spellEnd"/>
      <w:r>
        <w:rPr>
          <w:rFonts w:ascii="Times New Roman" w:eastAsia="Times New Roman" w:hAnsi="Times New Roman" w:cs="Times New Roman"/>
          <w:sz w:val="24"/>
          <w:szCs w:val="24"/>
        </w:rPr>
        <w:t xml:space="preserve"> (resistance to </w:t>
      </w:r>
      <w:r>
        <w:rPr>
          <w:rFonts w:ascii="Times New Roman" w:eastAsia="Times New Roman" w:hAnsi="Times New Roman" w:cs="Times New Roman"/>
          <w:i/>
          <w:sz w:val="24"/>
          <w:szCs w:val="24"/>
        </w:rPr>
        <w:t>P. infestans</w:t>
      </w:r>
      <w:r>
        <w:rPr>
          <w:rFonts w:ascii="Times New Roman" w:eastAsia="Times New Roman" w:hAnsi="Times New Roman" w:cs="Times New Roman"/>
          <w:sz w:val="24"/>
          <w:szCs w:val="24"/>
        </w:rPr>
        <w:t xml:space="preserve">) genes from wild </w:t>
      </w:r>
      <w:r>
        <w:rPr>
          <w:rFonts w:ascii="Times New Roman" w:eastAsia="Times New Roman" w:hAnsi="Times New Roman" w:cs="Times New Roman"/>
          <w:i/>
          <w:sz w:val="24"/>
          <w:szCs w:val="24"/>
        </w:rPr>
        <w:t>Solanum</w:t>
      </w:r>
      <w:r>
        <w:rPr>
          <w:rFonts w:ascii="Times New Roman" w:eastAsia="Times New Roman" w:hAnsi="Times New Roman" w:cs="Times New Roman"/>
          <w:sz w:val="24"/>
          <w:szCs w:val="24"/>
        </w:rPr>
        <w:t xml:space="preserve"> species into cultivated potato has provided durable resistance (</w:t>
      </w:r>
      <w:proofErr w:type="spellStart"/>
      <w:r>
        <w:rPr>
          <w:rFonts w:ascii="Times New Roman" w:eastAsia="Times New Roman" w:hAnsi="Times New Roman" w:cs="Times New Roman"/>
          <w:sz w:val="24"/>
          <w:szCs w:val="24"/>
        </w:rPr>
        <w:t>Haverkort</w:t>
      </w:r>
      <w:proofErr w:type="spellEnd"/>
      <w:r>
        <w:rPr>
          <w:rFonts w:ascii="Times New Roman" w:eastAsia="Times New Roman" w:hAnsi="Times New Roman" w:cs="Times New Roman"/>
          <w:sz w:val="24"/>
          <w:szCs w:val="24"/>
        </w:rPr>
        <w:t xml:space="preserve"> et al., 2016). For example, </w:t>
      </w:r>
      <w:r>
        <w:rPr>
          <w:rFonts w:ascii="Times New Roman" w:eastAsia="Times New Roman" w:hAnsi="Times New Roman" w:cs="Times New Roman"/>
          <w:i/>
          <w:sz w:val="24"/>
          <w:szCs w:val="24"/>
        </w:rPr>
        <w:t>Rpi-blb1</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Rpi-blb2</w:t>
      </w:r>
      <w:r>
        <w:rPr>
          <w:rFonts w:ascii="Times New Roman" w:eastAsia="Times New Roman" w:hAnsi="Times New Roman" w:cs="Times New Roman"/>
          <w:sz w:val="24"/>
          <w:szCs w:val="24"/>
        </w:rPr>
        <w:t xml:space="preserve"> genes from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bulbocastanum</w:t>
      </w:r>
      <w:proofErr w:type="spellEnd"/>
      <w:r>
        <w:rPr>
          <w:rFonts w:ascii="Times New Roman" w:eastAsia="Times New Roman" w:hAnsi="Times New Roman" w:cs="Times New Roman"/>
          <w:sz w:val="24"/>
          <w:szCs w:val="24"/>
        </w:rPr>
        <w:t xml:space="preserve"> confer broad-spectrum resistance. </w:t>
      </w:r>
      <w:proofErr w:type="spellStart"/>
      <w:r>
        <w:rPr>
          <w:rFonts w:ascii="Times New Roman" w:eastAsia="Times New Roman" w:hAnsi="Times New Roman" w:cs="Times New Roman"/>
          <w:sz w:val="24"/>
          <w:szCs w:val="24"/>
        </w:rPr>
        <w:t>Cisgenic</w:t>
      </w:r>
      <w:proofErr w:type="spellEnd"/>
      <w:r>
        <w:rPr>
          <w:rFonts w:ascii="Times New Roman" w:eastAsia="Times New Roman" w:hAnsi="Times New Roman" w:cs="Times New Roman"/>
          <w:sz w:val="24"/>
          <w:szCs w:val="24"/>
        </w:rPr>
        <w:t xml:space="preserve"> approaches and dynamic breeding programs have further accelerated the availability of blight-resistant potato cultivars.</w:t>
      </w:r>
    </w:p>
    <w:p w14:paraId="00000025" w14:textId="77777777" w:rsidR="00CC42A1" w:rsidRDefault="00391FE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Cucurbit resistance to powdery mildew:</w:t>
      </w:r>
      <w:r>
        <w:rPr>
          <w:rFonts w:ascii="Times New Roman" w:eastAsia="Times New Roman" w:hAnsi="Times New Roman" w:cs="Times New Roman"/>
          <w:sz w:val="24"/>
          <w:szCs w:val="24"/>
        </w:rPr>
        <w:t xml:space="preserve"> Powdery mildew, caused by </w:t>
      </w:r>
      <w:proofErr w:type="spellStart"/>
      <w:r>
        <w:rPr>
          <w:rFonts w:ascii="Times New Roman" w:eastAsia="Times New Roman" w:hAnsi="Times New Roman" w:cs="Times New Roman"/>
          <w:i/>
          <w:sz w:val="24"/>
          <w:szCs w:val="24"/>
        </w:rPr>
        <w:t>Podosphaera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xanthii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Golovinomyces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cichoracearum</w:t>
      </w:r>
      <w:proofErr w:type="spellEnd"/>
      <w:r>
        <w:rPr>
          <w:rFonts w:ascii="Times New Roman" w:eastAsia="Times New Roman" w:hAnsi="Times New Roman" w:cs="Times New Roman"/>
          <w:sz w:val="24"/>
          <w:szCs w:val="24"/>
        </w:rPr>
        <w:t xml:space="preserve">, is a major constraint in cucurbits like cucumber, melon, and squash. Quantitative trait loci (QTLs) linked to resistance have been mapped and </w:t>
      </w:r>
      <w:proofErr w:type="spellStart"/>
      <w:r>
        <w:rPr>
          <w:rFonts w:ascii="Times New Roman" w:eastAsia="Times New Roman" w:hAnsi="Times New Roman" w:cs="Times New Roman"/>
          <w:sz w:val="24"/>
          <w:szCs w:val="24"/>
        </w:rPr>
        <w:t>introgressed</w:t>
      </w:r>
      <w:proofErr w:type="spellEnd"/>
      <w:r>
        <w:rPr>
          <w:rFonts w:ascii="Times New Roman" w:eastAsia="Times New Roman" w:hAnsi="Times New Roman" w:cs="Times New Roman"/>
          <w:sz w:val="24"/>
          <w:szCs w:val="24"/>
        </w:rPr>
        <w:t xml:space="preserve"> into commercial lines, enabling the release of high-yielding resistant varieties (</w:t>
      </w:r>
      <w:r w:rsidRPr="00173E80">
        <w:rPr>
          <w:rFonts w:ascii="Times New Roman" w:eastAsia="Times New Roman" w:hAnsi="Times New Roman" w:cs="Times New Roman"/>
          <w:color w:val="FF0000"/>
          <w:sz w:val="24"/>
          <w:szCs w:val="24"/>
        </w:rPr>
        <w:t xml:space="preserve">Block &amp; </w:t>
      </w:r>
      <w:proofErr w:type="spellStart"/>
      <w:r w:rsidRPr="00173E80">
        <w:rPr>
          <w:rFonts w:ascii="Times New Roman" w:eastAsia="Times New Roman" w:hAnsi="Times New Roman" w:cs="Times New Roman"/>
          <w:color w:val="FF0000"/>
          <w:sz w:val="24"/>
          <w:szCs w:val="24"/>
        </w:rPr>
        <w:t>Reitsma</w:t>
      </w:r>
      <w:proofErr w:type="spellEnd"/>
      <w:r w:rsidRPr="00173E80">
        <w:rPr>
          <w:rFonts w:ascii="Times New Roman" w:eastAsia="Times New Roman" w:hAnsi="Times New Roman" w:cs="Times New Roman"/>
          <w:color w:val="FF0000"/>
          <w:sz w:val="24"/>
          <w:szCs w:val="24"/>
        </w:rPr>
        <w:t xml:space="preserve">, </w:t>
      </w:r>
      <w:commentRangeStart w:id="11"/>
      <w:r w:rsidRPr="00173E80">
        <w:rPr>
          <w:rFonts w:ascii="Times New Roman" w:eastAsia="Times New Roman" w:hAnsi="Times New Roman" w:cs="Times New Roman"/>
          <w:color w:val="FF0000"/>
          <w:sz w:val="24"/>
          <w:szCs w:val="24"/>
        </w:rPr>
        <w:t>2020</w:t>
      </w:r>
      <w:commentRangeEnd w:id="11"/>
      <w:r w:rsidR="00173E80">
        <w:rPr>
          <w:rStyle w:val="CommentReference"/>
        </w:rPr>
        <w:commentReference w:id="11"/>
      </w:r>
      <w:r>
        <w:rPr>
          <w:rFonts w:ascii="Times New Roman" w:eastAsia="Times New Roman" w:hAnsi="Times New Roman" w:cs="Times New Roman"/>
          <w:sz w:val="24"/>
          <w:szCs w:val="24"/>
        </w:rPr>
        <w:t>). QTL-based resistance is considered more durable than single-gene resistance because it relies on multiple loci contributing partial resistance.</w:t>
      </w:r>
    </w:p>
    <w:p w14:paraId="00000026"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Challenges in Resistance Breeding</w:t>
      </w:r>
    </w:p>
    <w:p w14:paraId="00000027"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advances, resistance breeding faces several challenges:</w:t>
      </w:r>
    </w:p>
    <w:p w14:paraId="00000028" w14:textId="77777777" w:rsidR="00CC42A1" w:rsidRDefault="00391FE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Pathogen variability and evolution:</w:t>
      </w:r>
      <w:r>
        <w:rPr>
          <w:rFonts w:ascii="Times New Roman" w:eastAsia="Times New Roman" w:hAnsi="Times New Roman" w:cs="Times New Roman"/>
          <w:sz w:val="24"/>
          <w:szCs w:val="24"/>
        </w:rPr>
        <w:t xml:space="preserve"> Many pathogens, especially fungi and viruses, display high genetic variability. This allows them to rapidly overcome single resistance genes through mutation and selection (</w:t>
      </w:r>
      <w:proofErr w:type="spellStart"/>
      <w:r w:rsidRPr="00173E80">
        <w:rPr>
          <w:rFonts w:ascii="Times New Roman" w:eastAsia="Times New Roman" w:hAnsi="Times New Roman" w:cs="Times New Roman"/>
          <w:sz w:val="24"/>
          <w:szCs w:val="24"/>
          <w:highlight w:val="yellow"/>
        </w:rPr>
        <w:t>Parlevliet</w:t>
      </w:r>
      <w:proofErr w:type="spellEnd"/>
      <w:r w:rsidRPr="00173E80">
        <w:rPr>
          <w:rFonts w:ascii="Times New Roman" w:eastAsia="Times New Roman" w:hAnsi="Times New Roman" w:cs="Times New Roman"/>
          <w:sz w:val="24"/>
          <w:szCs w:val="24"/>
          <w:highlight w:val="yellow"/>
        </w:rPr>
        <w:t xml:space="preserve">, </w:t>
      </w:r>
      <w:commentRangeStart w:id="12"/>
      <w:r w:rsidRPr="00173E80">
        <w:rPr>
          <w:rFonts w:ascii="Times New Roman" w:eastAsia="Times New Roman" w:hAnsi="Times New Roman" w:cs="Times New Roman"/>
          <w:sz w:val="24"/>
          <w:szCs w:val="24"/>
          <w:highlight w:val="yellow"/>
        </w:rPr>
        <w:t>2002</w:t>
      </w:r>
      <w:commentRangeEnd w:id="12"/>
      <w:r w:rsidR="00173E80">
        <w:rPr>
          <w:rStyle w:val="CommentReference"/>
        </w:rPr>
        <w:commentReference w:id="12"/>
      </w:r>
      <w:r>
        <w:rPr>
          <w:rFonts w:ascii="Times New Roman" w:eastAsia="Times New Roman" w:hAnsi="Times New Roman" w:cs="Times New Roman"/>
          <w:sz w:val="24"/>
          <w:szCs w:val="24"/>
        </w:rPr>
        <w:t xml:space="preserve">). For example, breakdown of </w:t>
      </w:r>
      <w:r>
        <w:rPr>
          <w:rFonts w:ascii="Times New Roman" w:eastAsia="Times New Roman" w:hAnsi="Times New Roman" w:cs="Times New Roman"/>
          <w:sz w:val="24"/>
          <w:szCs w:val="24"/>
        </w:rPr>
        <w:lastRenderedPageBreak/>
        <w:t>resistance to late blight in potato has been reported within a few years of deployment in some regions.</w:t>
      </w:r>
    </w:p>
    <w:p w14:paraId="00000029" w14:textId="77777777" w:rsidR="00CC42A1" w:rsidRDefault="00391FE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Climate change effects:</w:t>
      </w:r>
      <w:r>
        <w:rPr>
          <w:rFonts w:ascii="Times New Roman" w:eastAsia="Times New Roman" w:hAnsi="Times New Roman" w:cs="Times New Roman"/>
          <w:sz w:val="24"/>
          <w:szCs w:val="24"/>
        </w:rPr>
        <w:t xml:space="preserve"> Altered temperature, humidity, and rainfall patterns influence both pathogen virulence and host susceptibility. For instance, warming trends may expand the range of </w:t>
      </w:r>
      <w:r>
        <w:rPr>
          <w:rFonts w:ascii="Times New Roman" w:eastAsia="Times New Roman" w:hAnsi="Times New Roman" w:cs="Times New Roman"/>
          <w:i/>
          <w:sz w:val="24"/>
          <w:szCs w:val="24"/>
        </w:rPr>
        <w:t>Phytophthora infestans</w:t>
      </w:r>
      <w:r>
        <w:rPr>
          <w:rFonts w:ascii="Times New Roman" w:eastAsia="Times New Roman" w:hAnsi="Times New Roman" w:cs="Times New Roman"/>
          <w:sz w:val="24"/>
          <w:szCs w:val="24"/>
        </w:rPr>
        <w:t xml:space="preserve"> and increase virus transmission rates by vectors like whiteflies (Chakraborty &amp; Newton, 2011).</w:t>
      </w:r>
    </w:p>
    <w:p w14:paraId="0000002A" w14:textId="77777777" w:rsidR="00CC42A1" w:rsidRDefault="00391FE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Trade-offs in breeding:</w:t>
      </w:r>
      <w:r>
        <w:rPr>
          <w:rFonts w:ascii="Times New Roman" w:eastAsia="Times New Roman" w:hAnsi="Times New Roman" w:cs="Times New Roman"/>
          <w:sz w:val="24"/>
          <w:szCs w:val="24"/>
        </w:rPr>
        <w:t xml:space="preserve"> Resistance breeding may sometimes compromise yield, quality, or market traits, making farmer adoption difficult.</w:t>
      </w:r>
    </w:p>
    <w:p w14:paraId="0000002B"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Emerging Strategies for Durable Resistance</w:t>
      </w:r>
    </w:p>
    <w:p w14:paraId="0000002C"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overcome these limitations, modern plant breeding is increasingly adopting advanced approaches:</w:t>
      </w:r>
    </w:p>
    <w:p w14:paraId="0000002D"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Gene pyramiding:</w:t>
      </w:r>
      <w:r>
        <w:rPr>
          <w:rFonts w:ascii="Times New Roman" w:eastAsia="Times New Roman" w:hAnsi="Times New Roman" w:cs="Times New Roman"/>
          <w:sz w:val="24"/>
          <w:szCs w:val="24"/>
        </w:rPr>
        <w:t xml:space="preserve"> Stacking multiple resistance genes in a single cultivar enhances durability by making it more difficult for pathogens to simultaneously overcome all resistance mechanisms (</w:t>
      </w:r>
      <w:proofErr w:type="spellStart"/>
      <w:r>
        <w:rPr>
          <w:rFonts w:ascii="Times New Roman" w:eastAsia="Times New Roman" w:hAnsi="Times New Roman" w:cs="Times New Roman"/>
          <w:sz w:val="24"/>
          <w:szCs w:val="24"/>
        </w:rPr>
        <w:t>Miedaner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Korzun</w:t>
      </w:r>
      <w:proofErr w:type="spellEnd"/>
      <w:r>
        <w:rPr>
          <w:rFonts w:ascii="Times New Roman" w:eastAsia="Times New Roman" w:hAnsi="Times New Roman" w:cs="Times New Roman"/>
          <w:sz w:val="24"/>
          <w:szCs w:val="24"/>
        </w:rPr>
        <w:t>, 2012).</w:t>
      </w:r>
    </w:p>
    <w:p w14:paraId="0000002E"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Genomic-assisted breeding:</w:t>
      </w:r>
      <w:r>
        <w:rPr>
          <w:rFonts w:ascii="Times New Roman" w:eastAsia="Times New Roman" w:hAnsi="Times New Roman" w:cs="Times New Roman"/>
          <w:sz w:val="24"/>
          <w:szCs w:val="24"/>
        </w:rPr>
        <w:t xml:space="preserve"> High-throughput sequencing and genome-wide association studies (GWAS) allow rapid identification of resistance loci and marker-assisted introgression into elite lines.</w:t>
      </w:r>
    </w:p>
    <w:p w14:paraId="0000002F"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CRISPR-Cas gene editing:</w:t>
      </w:r>
      <w:r>
        <w:rPr>
          <w:rFonts w:ascii="Times New Roman" w:eastAsia="Times New Roman" w:hAnsi="Times New Roman" w:cs="Times New Roman"/>
          <w:sz w:val="24"/>
          <w:szCs w:val="24"/>
        </w:rPr>
        <w:t xml:space="preserve"> Editing susceptibility genes (S-genes) to create loss-of-function mutations can provide broad-spectrum resistance without introducing foreign DNA (Zaidi et al., 2018).</w:t>
      </w:r>
    </w:p>
    <w:p w14:paraId="00000030"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Speed breeding and doubled haploids:</w:t>
      </w:r>
      <w:r>
        <w:rPr>
          <w:rFonts w:ascii="Times New Roman" w:eastAsia="Times New Roman" w:hAnsi="Times New Roman" w:cs="Times New Roman"/>
          <w:sz w:val="24"/>
          <w:szCs w:val="24"/>
        </w:rPr>
        <w:t xml:space="preserve"> These techniques reduce the breeding cycle time, enabling faster release of resistant cultivars.</w:t>
      </w:r>
    </w:p>
    <w:p w14:paraId="00000031"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Participatory breeding:</w:t>
      </w:r>
      <w:r>
        <w:rPr>
          <w:rFonts w:ascii="Times New Roman" w:eastAsia="Times New Roman" w:hAnsi="Times New Roman" w:cs="Times New Roman"/>
          <w:sz w:val="24"/>
          <w:szCs w:val="24"/>
        </w:rPr>
        <w:t xml:space="preserve"> Involving farmers in varietal selection ensures that resistant cultivars also meet local preferences for taste, marketability, and adaptability.</w:t>
      </w:r>
    </w:p>
    <w:p w14:paraId="00000032"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Host resistance represents the foundation of Integrated Disease Management in vegetable crops. While pathogen variability and climate pressures threaten durability, innovations in molecular breeding, gene pyramiding, and genome editing provide a promising pathway for sustainable resistance deployment.</w:t>
      </w:r>
    </w:p>
    <w:p w14:paraId="00000033"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Biological Control Agents</w:t>
      </w:r>
    </w:p>
    <w:p w14:paraId="0000003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Biological control has gained prominence in Integrated Disease Management (IDM) due to its eco-friendly and sustainable nature. Unlike chemical pesticides, biocontrol agents (BCAs) act through diverse mechanisms such as antibiosis, parasitism, competition, and induction of plant systemic resistance, making them effective against a broad spectrum of pathogens while enhancing plant growth and soil health. Their role is particularly important in vegetable crops, where diseases caused by soil-borne and foliar pathogens can devastate productivity.</w:t>
      </w:r>
    </w:p>
    <w:p w14:paraId="00000035"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Fungal Antagonists</w:t>
      </w:r>
    </w:p>
    <w:p w14:paraId="00000036"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Fungal BCAs are among the most extensively studied and commercialized. </w:t>
      </w:r>
      <w:r>
        <w:rPr>
          <w:rFonts w:ascii="Times New Roman" w:eastAsia="Times New Roman" w:hAnsi="Times New Roman" w:cs="Times New Roman"/>
          <w:i/>
          <w:sz w:val="24"/>
          <w:szCs w:val="24"/>
        </w:rPr>
        <w:t>Trichoderma spp.</w:t>
      </w:r>
      <w:r>
        <w:rPr>
          <w:rFonts w:ascii="Times New Roman" w:eastAsia="Times New Roman" w:hAnsi="Times New Roman" w:cs="Times New Roman"/>
          <w:sz w:val="24"/>
          <w:szCs w:val="24"/>
        </w:rPr>
        <w:t xml:space="preserve"> (e.g., </w:t>
      </w:r>
      <w:r>
        <w:rPr>
          <w:rFonts w:ascii="Times New Roman" w:eastAsia="Times New Roman" w:hAnsi="Times New Roman" w:cs="Times New Roman"/>
          <w:i/>
          <w:sz w:val="24"/>
          <w:szCs w:val="24"/>
        </w:rPr>
        <w:t xml:space="preserve">T. </w:t>
      </w:r>
      <w:proofErr w:type="spellStart"/>
      <w:r>
        <w:rPr>
          <w:rFonts w:ascii="Times New Roman" w:eastAsia="Times New Roman" w:hAnsi="Times New Roman" w:cs="Times New Roman"/>
          <w:i/>
          <w:sz w:val="24"/>
          <w:szCs w:val="24"/>
        </w:rPr>
        <w:t>harzianum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 viride</w:t>
      </w:r>
      <w:r>
        <w:rPr>
          <w:rFonts w:ascii="Times New Roman" w:eastAsia="Times New Roman" w:hAnsi="Times New Roman" w:cs="Times New Roman"/>
          <w:sz w:val="24"/>
          <w:szCs w:val="24"/>
        </w:rPr>
        <w:t xml:space="preserve">) are well-known for their ability to suppress soil-borne pathogens like </w:t>
      </w:r>
      <w:proofErr w:type="spellStart"/>
      <w:r>
        <w:rPr>
          <w:rFonts w:ascii="Times New Roman" w:eastAsia="Times New Roman" w:hAnsi="Times New Roman" w:cs="Times New Roman"/>
          <w:i/>
          <w:sz w:val="24"/>
          <w:szCs w:val="24"/>
        </w:rPr>
        <w:t>Fusarium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Rhizoctonia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solani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Sclerotium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rolfsii</w:t>
      </w:r>
      <w:proofErr w:type="spellEnd"/>
      <w:r>
        <w:rPr>
          <w:rFonts w:ascii="Times New Roman" w:eastAsia="Times New Roman" w:hAnsi="Times New Roman" w:cs="Times New Roman"/>
          <w:sz w:val="24"/>
          <w:szCs w:val="24"/>
        </w:rPr>
        <w:t>. They function through:</w:t>
      </w:r>
    </w:p>
    <w:p w14:paraId="00000037" w14:textId="77777777" w:rsidR="00CC42A1" w:rsidRDefault="00391FE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Mycoparasitism:</w:t>
      </w:r>
      <w:r>
        <w:rPr>
          <w:rFonts w:ascii="Times New Roman" w:eastAsia="Times New Roman" w:hAnsi="Times New Roman" w:cs="Times New Roman"/>
          <w:sz w:val="24"/>
          <w:szCs w:val="24"/>
        </w:rPr>
        <w:t xml:space="preserve"> Direct attack on pathogenic fungal hyphae, degrading their cell walls using enzymes such as </w:t>
      </w:r>
      <w:proofErr w:type="spellStart"/>
      <w:r>
        <w:rPr>
          <w:rFonts w:ascii="Times New Roman" w:eastAsia="Times New Roman" w:hAnsi="Times New Roman" w:cs="Times New Roman"/>
          <w:sz w:val="24"/>
          <w:szCs w:val="24"/>
        </w:rPr>
        <w:t>chitinases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glucanases</w:t>
      </w:r>
      <w:proofErr w:type="spellEnd"/>
      <w:r>
        <w:rPr>
          <w:rFonts w:ascii="Times New Roman" w:eastAsia="Times New Roman" w:hAnsi="Times New Roman" w:cs="Times New Roman"/>
          <w:sz w:val="24"/>
          <w:szCs w:val="24"/>
        </w:rPr>
        <w:t xml:space="preserve"> (Harman et al., 2004).</w:t>
      </w:r>
    </w:p>
    <w:p w14:paraId="00000038" w14:textId="77777777" w:rsidR="00CC42A1" w:rsidRDefault="00391FE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Induced Systemic Resistance (ISR):</w:t>
      </w:r>
      <w:r>
        <w:rPr>
          <w:rFonts w:ascii="Times New Roman" w:eastAsia="Times New Roman" w:hAnsi="Times New Roman" w:cs="Times New Roman"/>
          <w:sz w:val="24"/>
          <w:szCs w:val="24"/>
        </w:rPr>
        <w:t xml:space="preserve"> Activating host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pathways, making plants less susceptible to infections.</w:t>
      </w:r>
    </w:p>
    <w:p w14:paraId="00000039" w14:textId="77777777" w:rsidR="00CC42A1" w:rsidRDefault="00391FE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Competition:</w:t>
      </w:r>
      <w:r>
        <w:rPr>
          <w:rFonts w:ascii="Times New Roman" w:eastAsia="Times New Roman" w:hAnsi="Times New Roman" w:cs="Times New Roman"/>
          <w:sz w:val="24"/>
          <w:szCs w:val="24"/>
        </w:rPr>
        <w:t xml:space="preserve"> Rapid colonization of the rhizosphere prevents pathogen establishment.</w:t>
      </w:r>
    </w:p>
    <w:p w14:paraId="0000003A"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-based bioformulations have been successfully tested in crops like tomato, chili, and brinjal, reducing wilt and damping-off incidence by up to 60% (Singh et al., 2021).</w:t>
      </w:r>
    </w:p>
    <w:p w14:paraId="0000003B"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Bacterial Antagonists</w:t>
      </w:r>
    </w:p>
    <w:p w14:paraId="0000003C"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Beneficial bacteria such as </w:t>
      </w:r>
      <w:r>
        <w:rPr>
          <w:rFonts w:ascii="Times New Roman" w:eastAsia="Times New Roman" w:hAnsi="Times New Roman" w:cs="Times New Roman"/>
          <w:i/>
          <w:sz w:val="24"/>
          <w:szCs w:val="24"/>
        </w:rPr>
        <w:t>Bacillus subtilis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amyloliquefaciens</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Pseudomonas </w:t>
      </w:r>
      <w:proofErr w:type="spellStart"/>
      <w:r>
        <w:rPr>
          <w:rFonts w:ascii="Times New Roman" w:eastAsia="Times New Roman" w:hAnsi="Times New Roman" w:cs="Times New Roman"/>
          <w:i/>
          <w:sz w:val="24"/>
          <w:szCs w:val="24"/>
        </w:rPr>
        <w:t>fluorescens</w:t>
      </w:r>
      <w:proofErr w:type="spellEnd"/>
      <w:r>
        <w:rPr>
          <w:rFonts w:ascii="Times New Roman" w:eastAsia="Times New Roman" w:hAnsi="Times New Roman" w:cs="Times New Roman"/>
          <w:sz w:val="24"/>
          <w:szCs w:val="24"/>
        </w:rPr>
        <w:t xml:space="preserve"> suppress pathogens by producing antimicrobial compounds (e.g., </w:t>
      </w:r>
      <w:proofErr w:type="spellStart"/>
      <w:r>
        <w:rPr>
          <w:rFonts w:ascii="Times New Roman" w:eastAsia="Times New Roman" w:hAnsi="Times New Roman" w:cs="Times New Roman"/>
          <w:sz w:val="24"/>
          <w:szCs w:val="24"/>
        </w:rPr>
        <w:t>iturins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surfactins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phenazines</w:t>
      </w:r>
      <w:proofErr w:type="spellEnd"/>
      <w:r>
        <w:rPr>
          <w:rFonts w:ascii="Times New Roman" w:eastAsia="Times New Roman" w:hAnsi="Times New Roman" w:cs="Times New Roman"/>
          <w:sz w:val="24"/>
          <w:szCs w:val="24"/>
        </w:rPr>
        <w:t>), siderophores that sequester iron, and lytic enzymes (Kloepper et al., 2004). They also function as plant growth-promoting rhizobacteria (PGPR), enhancing nutrient uptake and root development.</w:t>
      </w:r>
    </w:p>
    <w:p w14:paraId="0000003D"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vegetable crops, </w:t>
      </w:r>
      <w:r>
        <w:rPr>
          <w:rFonts w:ascii="Times New Roman" w:eastAsia="Times New Roman" w:hAnsi="Times New Roman" w:cs="Times New Roman"/>
          <w:i/>
          <w:sz w:val="24"/>
          <w:szCs w:val="24"/>
        </w:rPr>
        <w:t>P. fluorescens</w:t>
      </w:r>
      <w:r>
        <w:rPr>
          <w:rFonts w:ascii="Times New Roman" w:eastAsia="Times New Roman" w:hAnsi="Times New Roman" w:cs="Times New Roman"/>
          <w:sz w:val="24"/>
          <w:szCs w:val="24"/>
        </w:rPr>
        <w:t xml:space="preserve"> has been reported to reduce bacterial wilt in tomato and soft rot in cabbage, while </w:t>
      </w:r>
      <w:r>
        <w:rPr>
          <w:rFonts w:ascii="Times New Roman" w:eastAsia="Times New Roman" w:hAnsi="Times New Roman" w:cs="Times New Roman"/>
          <w:i/>
          <w:sz w:val="24"/>
          <w:szCs w:val="24"/>
        </w:rPr>
        <w:t>B. subtilis</w:t>
      </w:r>
      <w:r>
        <w:rPr>
          <w:rFonts w:ascii="Times New Roman" w:eastAsia="Times New Roman" w:hAnsi="Times New Roman" w:cs="Times New Roman"/>
          <w:sz w:val="24"/>
          <w:szCs w:val="24"/>
        </w:rPr>
        <w:t xml:space="preserve"> is effective against leaf spot diseases in cucurbits. Field studies indicate that integration of bacterial antagonists with reduced fungicide sprays enhances disease suppression while lowering chemical load (Borah et al., 2020).</w:t>
      </w:r>
    </w:p>
    <w:p w14:paraId="0000003E"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Mycorrhizal Fungi</w:t>
      </w:r>
    </w:p>
    <w:p w14:paraId="0000003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Arbuscular mycorrhizal fungi (AMF), such as </w:t>
      </w:r>
      <w:r>
        <w:rPr>
          <w:rFonts w:ascii="Times New Roman" w:eastAsia="Times New Roman" w:hAnsi="Times New Roman" w:cs="Times New Roman"/>
          <w:i/>
          <w:sz w:val="24"/>
          <w:szCs w:val="24"/>
        </w:rPr>
        <w:t>Glomus</w:t>
      </w:r>
      <w:r>
        <w:rPr>
          <w:rFonts w:ascii="Times New Roman" w:eastAsia="Times New Roman" w:hAnsi="Times New Roman" w:cs="Times New Roman"/>
          <w:sz w:val="24"/>
          <w:szCs w:val="24"/>
        </w:rPr>
        <w:t xml:space="preserve"> spp., form symbiotic associations with plant roots, improving nutrient uptake—particularly phosphorus—and enhancing tolerance to soil-borne pathogens (Jung et al., 2012). By improving root architecture and triggering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-related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AMF reduce the severity of root-knot nematodes (</w:t>
      </w:r>
      <w:r>
        <w:rPr>
          <w:rFonts w:ascii="Times New Roman" w:eastAsia="Times New Roman" w:hAnsi="Times New Roman" w:cs="Times New Roman"/>
          <w:i/>
          <w:sz w:val="24"/>
          <w:szCs w:val="24"/>
        </w:rPr>
        <w:t>Meloidogyne incognita</w:t>
      </w:r>
      <w:r>
        <w:rPr>
          <w:rFonts w:ascii="Times New Roman" w:eastAsia="Times New Roman" w:hAnsi="Times New Roman" w:cs="Times New Roman"/>
          <w:sz w:val="24"/>
          <w:szCs w:val="24"/>
        </w:rPr>
        <w:t>) and wilt pathogens in solanaceous and cucurbitaceous crops.</w:t>
      </w:r>
    </w:p>
    <w:p w14:paraId="00000040"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inoculation of tomato with </w:t>
      </w:r>
      <w:r>
        <w:rPr>
          <w:rFonts w:ascii="Times New Roman" w:eastAsia="Times New Roman" w:hAnsi="Times New Roman" w:cs="Times New Roman"/>
          <w:i/>
          <w:sz w:val="24"/>
          <w:szCs w:val="24"/>
        </w:rPr>
        <w:t xml:space="preserve">Glomus </w:t>
      </w:r>
      <w:proofErr w:type="spellStart"/>
      <w:r>
        <w:rPr>
          <w:rFonts w:ascii="Times New Roman" w:eastAsia="Times New Roman" w:hAnsi="Times New Roman" w:cs="Times New Roman"/>
          <w:i/>
          <w:sz w:val="24"/>
          <w:szCs w:val="24"/>
        </w:rPr>
        <w:t>mosseae</w:t>
      </w:r>
      <w:proofErr w:type="spellEnd"/>
      <w:r>
        <w:rPr>
          <w:rFonts w:ascii="Times New Roman" w:eastAsia="Times New Roman" w:hAnsi="Times New Roman" w:cs="Times New Roman"/>
          <w:sz w:val="24"/>
          <w:szCs w:val="24"/>
        </w:rPr>
        <w:t xml:space="preserve"> significantly reduced root-knot nematode infestation while improving fruit yield and quality (Shao et al., 2019).</w:t>
      </w:r>
    </w:p>
    <w:p w14:paraId="00000041"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5.4 Viral Biocontrol Agents</w:t>
      </w:r>
    </w:p>
    <w:p w14:paraId="00000042"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viral biocontrol agents is a relatively novel but promising approach. Cross-protection, where a mild strain of a virus is used to protect plants from infection by a more severe strain, has been applied in managing mosaic and leaf curl diseases in cucurbits and tomato (Hull, 2014). Advances in molecular virology are enabling more precise use of such strategies, although regulatory and biosafety concerns remain a challenge.</w:t>
      </w:r>
    </w:p>
    <w:p w14:paraId="00000043"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5.5 Advances in Biocontrol Formulations</w:t>
      </w:r>
    </w:p>
    <w:p w14:paraId="0000004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limitation of BCAs has been their inconsistent performance under field conditions due to environmental variability. To address this, advances in formulation technology are being employed:</w:t>
      </w:r>
    </w:p>
    <w:p w14:paraId="00000045" w14:textId="77777777" w:rsidR="00CC42A1" w:rsidRDefault="00391FE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Granular formulations</w:t>
      </w:r>
      <w:r>
        <w:rPr>
          <w:rFonts w:ascii="Times New Roman" w:eastAsia="Times New Roman" w:hAnsi="Times New Roman" w:cs="Times New Roman"/>
          <w:sz w:val="24"/>
          <w:szCs w:val="24"/>
        </w:rPr>
        <w:t xml:space="preserve"> improve soil persistence and root colonization.</w:t>
      </w:r>
    </w:p>
    <w:p w14:paraId="00000046" w14:textId="77777777" w:rsidR="00CC42A1" w:rsidRDefault="00391FE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Biofilm-based formulations</w:t>
      </w:r>
      <w:r>
        <w:rPr>
          <w:rFonts w:ascii="Times New Roman" w:eastAsia="Times New Roman" w:hAnsi="Times New Roman" w:cs="Times New Roman"/>
          <w:sz w:val="24"/>
          <w:szCs w:val="24"/>
        </w:rPr>
        <w:t xml:space="preserve"> enhance microbial survival and stress tolerance.</w:t>
      </w:r>
    </w:p>
    <w:p w14:paraId="00000047" w14:textId="77777777" w:rsidR="00CC42A1" w:rsidRDefault="00391FE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Nano-encapsulation</w:t>
      </w:r>
      <w:r>
        <w:rPr>
          <w:rFonts w:ascii="Times New Roman" w:eastAsia="Times New Roman" w:hAnsi="Times New Roman" w:cs="Times New Roman"/>
          <w:sz w:val="24"/>
          <w:szCs w:val="24"/>
        </w:rPr>
        <w:t xml:space="preserve"> ensures controlled release and improved stability of biocontrol agents and metabolites (Keswani et al., 2019).</w:t>
      </w:r>
    </w:p>
    <w:p w14:paraId="00000048"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innovations are increasing the reliability and commercial adoption of biocontrol products in vegetable crop disease management.</w:t>
      </w:r>
    </w:p>
    <w:p w14:paraId="00000049"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Chemical Control within IDM Framework</w:t>
      </w:r>
    </w:p>
    <w:p w14:paraId="0000004A"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IDM reduces chemical dependence, judicious use of fungicides is necessary in epidemic situations. IDM recommends:</w:t>
      </w:r>
    </w:p>
    <w:p w14:paraId="0000004B" w14:textId="77777777" w:rsidR="00CC42A1" w:rsidRDefault="00391FE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Seed treatment:</w:t>
      </w:r>
      <w:r>
        <w:rPr>
          <w:rFonts w:ascii="Times New Roman" w:eastAsia="Times New Roman" w:hAnsi="Times New Roman" w:cs="Times New Roman"/>
          <w:sz w:val="24"/>
          <w:szCs w:val="24"/>
        </w:rPr>
        <w:t xml:space="preserve"> Protecting seedlings against damping-off.</w:t>
      </w:r>
    </w:p>
    <w:p w14:paraId="0000004C" w14:textId="77777777" w:rsidR="00CC42A1" w:rsidRDefault="00391FE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Fungicide rotation and mixtures:</w:t>
      </w:r>
      <w:r>
        <w:rPr>
          <w:rFonts w:ascii="Times New Roman" w:eastAsia="Times New Roman" w:hAnsi="Times New Roman" w:cs="Times New Roman"/>
          <w:sz w:val="24"/>
          <w:szCs w:val="24"/>
        </w:rPr>
        <w:t xml:space="preserve"> Preventing resistance development, e.g., alternation of systemic and contact fungicides.</w:t>
      </w:r>
    </w:p>
    <w:p w14:paraId="0000004D" w14:textId="77777777" w:rsidR="00CC42A1" w:rsidRDefault="00391FE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Precision application:</w:t>
      </w:r>
      <w:r>
        <w:rPr>
          <w:rFonts w:ascii="Times New Roman" w:eastAsia="Times New Roman" w:hAnsi="Times New Roman" w:cs="Times New Roman"/>
          <w:sz w:val="24"/>
          <w:szCs w:val="24"/>
        </w:rPr>
        <w:t xml:space="preserve"> Use of drones and smart sprayers for targeted delivery.</w:t>
      </w:r>
    </w:p>
    <w:p w14:paraId="0000004E"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trends emphasize reduced-risk fungicides and integration with </w:t>
      </w:r>
      <w:proofErr w:type="spellStart"/>
      <w:r>
        <w:rPr>
          <w:rFonts w:ascii="Times New Roman" w:eastAsia="Times New Roman" w:hAnsi="Times New Roman" w:cs="Times New Roman"/>
          <w:sz w:val="24"/>
          <w:szCs w:val="24"/>
        </w:rPr>
        <w:t>biocontrols</w:t>
      </w:r>
      <w:proofErr w:type="spellEnd"/>
      <w:r>
        <w:rPr>
          <w:rFonts w:ascii="Times New Roman" w:eastAsia="Times New Roman" w:hAnsi="Times New Roman" w:cs="Times New Roman"/>
          <w:sz w:val="24"/>
          <w:szCs w:val="24"/>
        </w:rPr>
        <w:t xml:space="preserve"> (FRAC, 2021).</w:t>
      </w:r>
    </w:p>
    <w:p w14:paraId="0000004F"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Innovative Technologies in IDM</w:t>
      </w:r>
    </w:p>
    <w:p w14:paraId="00000050"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Emerging technologies are revolutionizing disease management in vegetable crops:</w:t>
      </w:r>
    </w:p>
    <w:p w14:paraId="00000051" w14:textId="77777777" w:rsidR="00CC42A1" w:rsidRDefault="00391FE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Nanotechnology:</w:t>
      </w:r>
      <w:r>
        <w:rPr>
          <w:rFonts w:ascii="Times New Roman" w:eastAsia="Times New Roman" w:hAnsi="Times New Roman" w:cs="Times New Roman"/>
          <w:sz w:val="24"/>
          <w:szCs w:val="24"/>
        </w:rPr>
        <w:t xml:space="preserve"> Nano-silver and nano-copper formulations show promise against bacterial and fungal pathogens (Chaudhry et al., 2020).</w:t>
      </w:r>
    </w:p>
    <w:p w14:paraId="00000052" w14:textId="77777777" w:rsidR="00CC42A1" w:rsidRDefault="00391FE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Remote sensing and AI:</w:t>
      </w:r>
      <w:r>
        <w:rPr>
          <w:rFonts w:ascii="Times New Roman" w:eastAsia="Times New Roman" w:hAnsi="Times New Roman" w:cs="Times New Roman"/>
          <w:sz w:val="24"/>
          <w:szCs w:val="24"/>
        </w:rPr>
        <w:t xml:space="preserve"> Early detection of disease hotspots through drones and machine learning (</w:t>
      </w:r>
      <w:proofErr w:type="spellStart"/>
      <w:r>
        <w:rPr>
          <w:rFonts w:ascii="Times New Roman" w:eastAsia="Times New Roman" w:hAnsi="Times New Roman" w:cs="Times New Roman"/>
          <w:sz w:val="24"/>
          <w:szCs w:val="24"/>
        </w:rPr>
        <w:t>Mahlein</w:t>
      </w:r>
      <w:proofErr w:type="spellEnd"/>
      <w:r>
        <w:rPr>
          <w:rFonts w:ascii="Times New Roman" w:eastAsia="Times New Roman" w:hAnsi="Times New Roman" w:cs="Times New Roman"/>
          <w:sz w:val="24"/>
          <w:szCs w:val="24"/>
        </w:rPr>
        <w:t>, 2016).</w:t>
      </w:r>
    </w:p>
    <w:p w14:paraId="00000053" w14:textId="77777777" w:rsidR="00CC42A1" w:rsidRDefault="00391FE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CRISPR-Cas gene editing:</w:t>
      </w:r>
      <w:r>
        <w:rPr>
          <w:rFonts w:ascii="Times New Roman" w:eastAsia="Times New Roman" w:hAnsi="Times New Roman" w:cs="Times New Roman"/>
          <w:sz w:val="24"/>
          <w:szCs w:val="24"/>
        </w:rPr>
        <w:t xml:space="preserve"> Engineering durable resistance in tomato, cucumber, and potato (Zaidi et al., 2018).</w:t>
      </w:r>
    </w:p>
    <w:p w14:paraId="00000054" w14:textId="77777777" w:rsidR="00CC42A1" w:rsidRDefault="00391FE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Induced resistance elicitors:</w:t>
      </w:r>
      <w:r>
        <w:rPr>
          <w:rFonts w:ascii="Times New Roman" w:eastAsia="Times New Roman" w:hAnsi="Times New Roman" w:cs="Times New Roman"/>
          <w:sz w:val="24"/>
          <w:szCs w:val="24"/>
        </w:rPr>
        <w:t xml:space="preserve"> Compounds like salicylic acid and chitosan prime plant immunity.</w:t>
      </w:r>
    </w:p>
    <w:p w14:paraId="00000055"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Case Studies in IDM of Vegetable Crops</w:t>
      </w:r>
    </w:p>
    <w:p w14:paraId="00000056" w14:textId="77777777" w:rsidR="00CC42A1" w:rsidRDefault="00391FE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Tomato wilt complex:</w:t>
      </w:r>
      <w:r>
        <w:rPr>
          <w:rFonts w:ascii="Times New Roman" w:eastAsia="Times New Roman" w:hAnsi="Times New Roman" w:cs="Times New Roman"/>
          <w:sz w:val="24"/>
          <w:szCs w:val="24"/>
        </w:rPr>
        <w:t xml:space="preserve"> Combining resistant cultivars, soil solarization, and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significantly reduces </w:t>
      </w:r>
      <w:r>
        <w:rPr>
          <w:rFonts w:ascii="Times New Roman" w:eastAsia="Times New Roman" w:hAnsi="Times New Roman" w:cs="Times New Roman"/>
          <w:i/>
          <w:sz w:val="24"/>
          <w:szCs w:val="24"/>
        </w:rPr>
        <w:t>Fusarium</w:t>
      </w:r>
      <w:r>
        <w:rPr>
          <w:rFonts w:ascii="Times New Roman" w:eastAsia="Times New Roman" w:hAnsi="Times New Roman" w:cs="Times New Roman"/>
          <w:sz w:val="24"/>
          <w:szCs w:val="24"/>
        </w:rPr>
        <w:t xml:space="preserve"> wilt incidence (Gupta et al., 2019).</w:t>
      </w:r>
    </w:p>
    <w:p w14:paraId="00000057" w14:textId="77777777" w:rsidR="00CC42A1" w:rsidRDefault="00391FE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Potato late blight:</w:t>
      </w:r>
      <w:r>
        <w:rPr>
          <w:rFonts w:ascii="Times New Roman" w:eastAsia="Times New Roman" w:hAnsi="Times New Roman" w:cs="Times New Roman"/>
          <w:sz w:val="24"/>
          <w:szCs w:val="24"/>
        </w:rPr>
        <w:t xml:space="preserve"> Integration of resistant cultivars, forecasting models, and fungicide rotation reduces yield losses by 50–70% (</w:t>
      </w:r>
      <w:proofErr w:type="spellStart"/>
      <w:r>
        <w:rPr>
          <w:rFonts w:ascii="Times New Roman" w:eastAsia="Times New Roman" w:hAnsi="Times New Roman" w:cs="Times New Roman"/>
          <w:sz w:val="24"/>
          <w:szCs w:val="24"/>
        </w:rPr>
        <w:t>Haverkort</w:t>
      </w:r>
      <w:proofErr w:type="spellEnd"/>
      <w:r>
        <w:rPr>
          <w:rFonts w:ascii="Times New Roman" w:eastAsia="Times New Roman" w:hAnsi="Times New Roman" w:cs="Times New Roman"/>
          <w:sz w:val="24"/>
          <w:szCs w:val="24"/>
        </w:rPr>
        <w:t xml:space="preserve"> et al., 2016).</w:t>
      </w:r>
    </w:p>
    <w:p w14:paraId="00000058" w14:textId="77777777" w:rsidR="00CC42A1" w:rsidRDefault="00391FE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Cabbage black rot:</w:t>
      </w:r>
      <w:r>
        <w:rPr>
          <w:rFonts w:ascii="Times New Roman" w:eastAsia="Times New Roman" w:hAnsi="Times New Roman" w:cs="Times New Roman"/>
          <w:sz w:val="24"/>
          <w:szCs w:val="24"/>
        </w:rPr>
        <w:t xml:space="preserve"> Use of pathogen-free seed, hot water treatment, and copper sprays effectively control </w:t>
      </w:r>
      <w:r>
        <w:rPr>
          <w:rFonts w:ascii="Times New Roman" w:eastAsia="Times New Roman" w:hAnsi="Times New Roman" w:cs="Times New Roman"/>
          <w:i/>
          <w:sz w:val="24"/>
          <w:szCs w:val="24"/>
        </w:rPr>
        <w:t>Xanthomonas campestris</w:t>
      </w:r>
      <w:r>
        <w:rPr>
          <w:rFonts w:ascii="Times New Roman" w:eastAsia="Times New Roman" w:hAnsi="Times New Roman" w:cs="Times New Roman"/>
          <w:sz w:val="24"/>
          <w:szCs w:val="24"/>
        </w:rPr>
        <w:t xml:space="preserve"> (Ignatov et al., 2020).</w:t>
      </w:r>
    </w:p>
    <w:p w14:paraId="00000059"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Challenges and Future Prospects</w:t>
      </w:r>
    </w:p>
    <w:p w14:paraId="0000005A"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its potential, IDM adoption faces challenges:</w:t>
      </w:r>
    </w:p>
    <w:p w14:paraId="0000005B" w14:textId="77777777" w:rsidR="00CC42A1" w:rsidRDefault="00391FE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availability of resistant varieties in some crops.</w:t>
      </w:r>
    </w:p>
    <w:p w14:paraId="0000005C" w14:textId="77777777" w:rsidR="00CC42A1" w:rsidRDefault="00391FE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Variability in performance of </w:t>
      </w:r>
      <w:proofErr w:type="spellStart"/>
      <w:r>
        <w:rPr>
          <w:rFonts w:ascii="Times New Roman" w:eastAsia="Times New Roman" w:hAnsi="Times New Roman" w:cs="Times New Roman"/>
          <w:sz w:val="24"/>
          <w:szCs w:val="24"/>
        </w:rPr>
        <w:t>biocontrols</w:t>
      </w:r>
      <w:proofErr w:type="spellEnd"/>
      <w:r>
        <w:rPr>
          <w:rFonts w:ascii="Times New Roman" w:eastAsia="Times New Roman" w:hAnsi="Times New Roman" w:cs="Times New Roman"/>
          <w:sz w:val="24"/>
          <w:szCs w:val="24"/>
        </w:rPr>
        <w:t xml:space="preserve"> under field conditions.</w:t>
      </w:r>
    </w:p>
    <w:p w14:paraId="0000005D" w14:textId="77777777" w:rsidR="00CC42A1" w:rsidRDefault="00391FE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Inadequate farmer awareness and extension support.</w:t>
      </w:r>
    </w:p>
    <w:p w14:paraId="0000005E" w14:textId="77777777" w:rsidR="00CC42A1" w:rsidRDefault="00391FE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initial cost of precision technologies.</w:t>
      </w:r>
    </w:p>
    <w:p w14:paraId="0000005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prospects include:</w:t>
      </w:r>
    </w:p>
    <w:p w14:paraId="00000060" w14:textId="77777777" w:rsidR="00CC42A1" w:rsidRDefault="00391FE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Systems-based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of disease epidemics.</w:t>
      </w:r>
    </w:p>
    <w:p w14:paraId="00000061" w14:textId="77777777" w:rsidR="00CC42A1" w:rsidRDefault="00391FE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omics tools for resistance breeding.</w:t>
      </w:r>
    </w:p>
    <w:p w14:paraId="00000062" w14:textId="77777777" w:rsidR="00CC42A1" w:rsidRDefault="00391FE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Farmer-participatory research for region-specific IDM.</w:t>
      </w:r>
    </w:p>
    <w:p w14:paraId="00000063" w14:textId="77777777" w:rsidR="00CC42A1" w:rsidRDefault="00391FE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Policy support for biopesticides and ecological practices.</w:t>
      </w:r>
    </w:p>
    <w:p w14:paraId="00000064"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Conclusion</w:t>
      </w:r>
    </w:p>
    <w:p w14:paraId="00000065"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Integrated Disease Management offers a sustainable path to protect vegetable crops while minimizing environmental and health risks. By combining cultural, biological, host resistance, and selective chemical methods with modern technologies, IDM addresses both immediate and long-term challenges. Scaling up IDM requires interdisciplinary collaboration, farmer education, and supportive policies. Future research should emphasize climate-resilient resistant varieties, smart delivery systems for </w:t>
      </w:r>
      <w:proofErr w:type="spellStart"/>
      <w:r>
        <w:rPr>
          <w:rFonts w:ascii="Times New Roman" w:eastAsia="Times New Roman" w:hAnsi="Times New Roman" w:cs="Times New Roman"/>
          <w:sz w:val="24"/>
          <w:szCs w:val="24"/>
        </w:rPr>
        <w:t>biocontrols</w:t>
      </w:r>
      <w:proofErr w:type="spellEnd"/>
      <w:r>
        <w:rPr>
          <w:rFonts w:ascii="Times New Roman" w:eastAsia="Times New Roman" w:hAnsi="Times New Roman" w:cs="Times New Roman"/>
          <w:sz w:val="24"/>
          <w:szCs w:val="24"/>
        </w:rPr>
        <w:t>, and digital tools for disease forecasting to ensure global food and nutritional security.</w:t>
      </w:r>
    </w:p>
    <w:p w14:paraId="00000066"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0000067"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Borah, S., Bora, L. C., &amp; Sharma, P. (2020). Biocontrol potential of </w:t>
      </w:r>
      <w:r>
        <w:rPr>
          <w:rFonts w:ascii="Times New Roman" w:eastAsia="Times New Roman" w:hAnsi="Times New Roman" w:cs="Times New Roman"/>
          <w:i/>
          <w:sz w:val="24"/>
          <w:szCs w:val="24"/>
        </w:rPr>
        <w:t>Pseudomonas fluorescens</w:t>
      </w:r>
      <w:r>
        <w:rPr>
          <w:rFonts w:ascii="Times New Roman" w:eastAsia="Times New Roman" w:hAnsi="Times New Roman" w:cs="Times New Roman"/>
          <w:sz w:val="24"/>
          <w:szCs w:val="24"/>
        </w:rPr>
        <w:t xml:space="preserve"> against bacterial wilt of tomato under field conditions. </w:t>
      </w:r>
      <w:r>
        <w:rPr>
          <w:rFonts w:ascii="Times New Roman" w:eastAsia="Times New Roman" w:hAnsi="Times New Roman" w:cs="Times New Roman"/>
          <w:i/>
          <w:sz w:val="24"/>
          <w:szCs w:val="24"/>
        </w:rPr>
        <w:t>Indian Phytopathology</w:t>
      </w:r>
      <w:r>
        <w:rPr>
          <w:rFonts w:ascii="Times New Roman" w:eastAsia="Times New Roman" w:hAnsi="Times New Roman" w:cs="Times New Roman"/>
          <w:sz w:val="24"/>
          <w:szCs w:val="24"/>
        </w:rPr>
        <w:t>, 73, 627–635.</w:t>
      </w:r>
    </w:p>
    <w:p w14:paraId="00000068"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Chakraborty, S., &amp; Newton, A. C. (2011). Climate change, plant diseases and food security: an overview. </w:t>
      </w:r>
      <w:r>
        <w:rPr>
          <w:rFonts w:ascii="Times New Roman" w:eastAsia="Times New Roman" w:hAnsi="Times New Roman" w:cs="Times New Roman"/>
          <w:i/>
          <w:sz w:val="24"/>
          <w:szCs w:val="24"/>
        </w:rPr>
        <w:t>Plant Pathology</w:t>
      </w:r>
      <w:r>
        <w:rPr>
          <w:rFonts w:ascii="Times New Roman" w:eastAsia="Times New Roman" w:hAnsi="Times New Roman" w:cs="Times New Roman"/>
          <w:sz w:val="24"/>
          <w:szCs w:val="24"/>
        </w:rPr>
        <w:t>, 60(1), 2–14.</w:t>
      </w:r>
    </w:p>
    <w:p w14:paraId="00000069"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Chaudhry, A., Singh, R., &amp; Javed, T. (2020). Nanotechnology for plant disease management: present status and future perspectives. </w:t>
      </w:r>
      <w:r>
        <w:rPr>
          <w:rFonts w:ascii="Times New Roman" w:eastAsia="Times New Roman" w:hAnsi="Times New Roman" w:cs="Times New Roman"/>
          <w:i/>
          <w:sz w:val="24"/>
          <w:szCs w:val="24"/>
        </w:rPr>
        <w:t>Journal of Plant Diseases and Protection</w:t>
      </w:r>
      <w:r>
        <w:rPr>
          <w:rFonts w:ascii="Times New Roman" w:eastAsia="Times New Roman" w:hAnsi="Times New Roman" w:cs="Times New Roman"/>
          <w:sz w:val="24"/>
          <w:szCs w:val="24"/>
        </w:rPr>
        <w:t>, 127(2), 121–135.</w:t>
      </w:r>
    </w:p>
    <w:p w14:paraId="0000006A"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Cook, R. J. (2000). Advances in plant health management in the twentieth century. </w:t>
      </w:r>
      <w:r>
        <w:rPr>
          <w:rFonts w:ascii="Times New Roman" w:eastAsia="Times New Roman" w:hAnsi="Times New Roman" w:cs="Times New Roman"/>
          <w:i/>
          <w:sz w:val="24"/>
          <w:szCs w:val="24"/>
        </w:rPr>
        <w:t>Annual Review of Phytopathology</w:t>
      </w:r>
      <w:r>
        <w:rPr>
          <w:rFonts w:ascii="Times New Roman" w:eastAsia="Times New Roman" w:hAnsi="Times New Roman" w:cs="Times New Roman"/>
          <w:sz w:val="24"/>
          <w:szCs w:val="24"/>
        </w:rPr>
        <w:t>, 38, 95–116.</w:t>
      </w:r>
    </w:p>
    <w:p w14:paraId="0000006B"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FAO. (2020). </w:t>
      </w:r>
      <w:r>
        <w:rPr>
          <w:rFonts w:ascii="Times New Roman" w:eastAsia="Times New Roman" w:hAnsi="Times New Roman" w:cs="Times New Roman"/>
          <w:i/>
          <w:sz w:val="24"/>
          <w:szCs w:val="24"/>
        </w:rPr>
        <w:t>The State of the World’s Vegetables and Pulses</w:t>
      </w:r>
      <w:r>
        <w:rPr>
          <w:rFonts w:ascii="Times New Roman" w:eastAsia="Times New Roman" w:hAnsi="Times New Roman" w:cs="Times New Roman"/>
          <w:sz w:val="24"/>
          <w:szCs w:val="24"/>
        </w:rPr>
        <w:t>. Food and Agriculture Organization of the United Nations, Rome.</w:t>
      </w:r>
    </w:p>
    <w:p w14:paraId="0000006C"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 (Fungicide Resistance Action Committee). (2021). </w:t>
      </w:r>
      <w:r>
        <w:rPr>
          <w:rFonts w:ascii="Times New Roman" w:eastAsia="Times New Roman" w:hAnsi="Times New Roman" w:cs="Times New Roman"/>
          <w:i/>
          <w:sz w:val="24"/>
          <w:szCs w:val="24"/>
        </w:rPr>
        <w:t>Fungicide resistance management guidelines</w:t>
      </w:r>
      <w:r>
        <w:rPr>
          <w:rFonts w:ascii="Times New Roman" w:eastAsia="Times New Roman" w:hAnsi="Times New Roman" w:cs="Times New Roman"/>
          <w:sz w:val="24"/>
          <w:szCs w:val="24"/>
        </w:rPr>
        <w:t>. Retrieved from https://www.frac.info/</w:t>
      </w:r>
    </w:p>
    <w:p w14:paraId="0000006D"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Fry, W. E., Birch, P. R. J., Judelson, H. S., Grünwald, N. J., Danies, G., Everts, K. L., ... &amp; Smart, C. D. (2015). Five reasons to consider </w:t>
      </w:r>
      <w:r>
        <w:rPr>
          <w:rFonts w:ascii="Times New Roman" w:eastAsia="Times New Roman" w:hAnsi="Times New Roman" w:cs="Times New Roman"/>
          <w:i/>
          <w:sz w:val="24"/>
          <w:szCs w:val="24"/>
        </w:rPr>
        <w:t>Phytophthora infestans</w:t>
      </w:r>
      <w:r>
        <w:rPr>
          <w:rFonts w:ascii="Times New Roman" w:eastAsia="Times New Roman" w:hAnsi="Times New Roman" w:cs="Times New Roman"/>
          <w:sz w:val="24"/>
          <w:szCs w:val="24"/>
        </w:rPr>
        <w:t xml:space="preserve"> a reemerging pathogen. </w:t>
      </w:r>
      <w:r>
        <w:rPr>
          <w:rFonts w:ascii="Times New Roman" w:eastAsia="Times New Roman" w:hAnsi="Times New Roman" w:cs="Times New Roman"/>
          <w:i/>
          <w:sz w:val="24"/>
          <w:szCs w:val="24"/>
        </w:rPr>
        <w:t>Phytopathology</w:t>
      </w:r>
      <w:r>
        <w:rPr>
          <w:rFonts w:ascii="Times New Roman" w:eastAsia="Times New Roman" w:hAnsi="Times New Roman" w:cs="Times New Roman"/>
          <w:sz w:val="24"/>
          <w:szCs w:val="24"/>
        </w:rPr>
        <w:t>, 105(7), 966–981.</w:t>
      </w:r>
    </w:p>
    <w:p w14:paraId="0000006E"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Gupta, A., Sharma, R., &amp; Singh, D. (2019). Integrated management of wilt complex in tomato using resistant varieties and biocontrol agents. </w:t>
      </w:r>
      <w:r>
        <w:rPr>
          <w:rFonts w:ascii="Times New Roman" w:eastAsia="Times New Roman" w:hAnsi="Times New Roman" w:cs="Times New Roman"/>
          <w:i/>
          <w:sz w:val="24"/>
          <w:szCs w:val="24"/>
        </w:rPr>
        <w:t>Vegetable Science</w:t>
      </w:r>
      <w:r>
        <w:rPr>
          <w:rFonts w:ascii="Times New Roman" w:eastAsia="Times New Roman" w:hAnsi="Times New Roman" w:cs="Times New Roman"/>
          <w:sz w:val="24"/>
          <w:szCs w:val="24"/>
        </w:rPr>
        <w:t>, 46(2), 152–160.</w:t>
      </w:r>
    </w:p>
    <w:p w14:paraId="0000006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Hahn, M. (2014). The rising threat of fungicide resistance in plant pathogenic fungi: Botrytis as a case study. </w:t>
      </w:r>
      <w:r>
        <w:rPr>
          <w:rFonts w:ascii="Times New Roman" w:eastAsia="Times New Roman" w:hAnsi="Times New Roman" w:cs="Times New Roman"/>
          <w:i/>
          <w:sz w:val="24"/>
          <w:szCs w:val="24"/>
        </w:rPr>
        <w:t>Journal of Chemical Biology</w:t>
      </w:r>
      <w:r>
        <w:rPr>
          <w:rFonts w:ascii="Times New Roman" w:eastAsia="Times New Roman" w:hAnsi="Times New Roman" w:cs="Times New Roman"/>
          <w:sz w:val="24"/>
          <w:szCs w:val="24"/>
        </w:rPr>
        <w:t>, 7(4), 133–141.</w:t>
      </w:r>
    </w:p>
    <w:p w14:paraId="00000070"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Harman, G. E., Howell, C. R., Viterbo, A., Chet, I., &amp; Lorito, M. (2004). Trichoderma species—opportunistic, avirulent plant symbionts. </w:t>
      </w:r>
      <w:r>
        <w:rPr>
          <w:rFonts w:ascii="Times New Roman" w:eastAsia="Times New Roman" w:hAnsi="Times New Roman" w:cs="Times New Roman"/>
          <w:i/>
          <w:sz w:val="24"/>
          <w:szCs w:val="24"/>
        </w:rPr>
        <w:t>Nature Reviews Microbiology</w:t>
      </w:r>
      <w:r>
        <w:rPr>
          <w:rFonts w:ascii="Times New Roman" w:eastAsia="Times New Roman" w:hAnsi="Times New Roman" w:cs="Times New Roman"/>
          <w:sz w:val="24"/>
          <w:szCs w:val="24"/>
        </w:rPr>
        <w:t>, 2(1), 43–56.</w:t>
      </w:r>
    </w:p>
    <w:p w14:paraId="00000071" w14:textId="77777777" w:rsidR="00CC42A1" w:rsidRDefault="00391FE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Haverkort</w:t>
      </w:r>
      <w:proofErr w:type="spellEnd"/>
      <w:r>
        <w:rPr>
          <w:rFonts w:ascii="Times New Roman" w:eastAsia="Times New Roman" w:hAnsi="Times New Roman" w:cs="Times New Roman"/>
          <w:sz w:val="24"/>
          <w:szCs w:val="24"/>
        </w:rPr>
        <w:t xml:space="preserve">, A. J., </w:t>
      </w:r>
      <w:proofErr w:type="spellStart"/>
      <w:r>
        <w:rPr>
          <w:rFonts w:ascii="Times New Roman" w:eastAsia="Times New Roman" w:hAnsi="Times New Roman" w:cs="Times New Roman"/>
          <w:sz w:val="24"/>
          <w:szCs w:val="24"/>
        </w:rPr>
        <w:t>Boonekamp</w:t>
      </w:r>
      <w:proofErr w:type="spellEnd"/>
      <w:r>
        <w:rPr>
          <w:rFonts w:ascii="Times New Roman" w:eastAsia="Times New Roman" w:hAnsi="Times New Roman" w:cs="Times New Roman"/>
          <w:sz w:val="24"/>
          <w:szCs w:val="24"/>
        </w:rPr>
        <w:t xml:space="preserve">, P. M., Hutten, R., Jacobsen, E., Lotz, L. A. P., Kessel, G. J. T., ... &amp; Visser, R. G. F. (2016). Durable late blight resistance in potato through dynamic varieties obtained by </w:t>
      </w:r>
      <w:proofErr w:type="spellStart"/>
      <w:r>
        <w:rPr>
          <w:rFonts w:ascii="Times New Roman" w:eastAsia="Times New Roman" w:hAnsi="Times New Roman" w:cs="Times New Roman"/>
          <w:sz w:val="24"/>
          <w:szCs w:val="24"/>
        </w:rPr>
        <w:t>cisgenesis</w:t>
      </w:r>
      <w:proofErr w:type="spellEnd"/>
      <w:r>
        <w:rPr>
          <w:rFonts w:ascii="Times New Roman" w:eastAsia="Times New Roman" w:hAnsi="Times New Roman" w:cs="Times New Roman"/>
          <w:sz w:val="24"/>
          <w:szCs w:val="24"/>
        </w:rPr>
        <w:t xml:space="preserve">: Scientific and societal advances in the </w:t>
      </w:r>
      <w:proofErr w:type="spellStart"/>
      <w:r>
        <w:rPr>
          <w:rFonts w:ascii="Times New Roman" w:eastAsia="Times New Roman" w:hAnsi="Times New Roman" w:cs="Times New Roman"/>
          <w:sz w:val="24"/>
          <w:szCs w:val="24"/>
        </w:rPr>
        <w:t>DuRPh</w:t>
      </w:r>
      <w:proofErr w:type="spellEnd"/>
      <w:r>
        <w:rPr>
          <w:rFonts w:ascii="Times New Roman" w:eastAsia="Times New Roman" w:hAnsi="Times New Roman" w:cs="Times New Roman"/>
          <w:sz w:val="24"/>
          <w:szCs w:val="24"/>
        </w:rPr>
        <w:t xml:space="preserve"> project. </w:t>
      </w:r>
      <w:r>
        <w:rPr>
          <w:rFonts w:ascii="Times New Roman" w:eastAsia="Times New Roman" w:hAnsi="Times New Roman" w:cs="Times New Roman"/>
          <w:i/>
          <w:sz w:val="24"/>
          <w:szCs w:val="24"/>
        </w:rPr>
        <w:t>Potato Research</w:t>
      </w:r>
      <w:r>
        <w:rPr>
          <w:rFonts w:ascii="Times New Roman" w:eastAsia="Times New Roman" w:hAnsi="Times New Roman" w:cs="Times New Roman"/>
          <w:sz w:val="24"/>
          <w:szCs w:val="24"/>
        </w:rPr>
        <w:t>, 59(1), 35–66.</w:t>
      </w:r>
    </w:p>
    <w:p w14:paraId="00000072"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Hull, R. (2014). Plant Virology (5th ed.). Academic Press.</w:t>
      </w:r>
    </w:p>
    <w:p w14:paraId="00000073"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Ignatov, A., Mikhailova, L., &amp; Schaad, N. (2020). Black rot of crucifers: history, biology, and control. </w:t>
      </w:r>
      <w:r>
        <w:rPr>
          <w:rFonts w:ascii="Times New Roman" w:eastAsia="Times New Roman" w:hAnsi="Times New Roman" w:cs="Times New Roman"/>
          <w:i/>
          <w:sz w:val="24"/>
          <w:szCs w:val="24"/>
        </w:rPr>
        <w:t>Plant Pathology Journal</w:t>
      </w:r>
      <w:r>
        <w:rPr>
          <w:rFonts w:ascii="Times New Roman" w:eastAsia="Times New Roman" w:hAnsi="Times New Roman" w:cs="Times New Roman"/>
          <w:sz w:val="24"/>
          <w:szCs w:val="24"/>
        </w:rPr>
        <w:t>, 36(2), 81–93.</w:t>
      </w:r>
    </w:p>
    <w:p w14:paraId="0000007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Jung, S. C., Martinez-Medina, A., Lopez-Raez, J. A., &amp; Pozo, M. J. (2012). Mycorrhiza-induced resistance and priming of plant </w:t>
      </w:r>
      <w:proofErr w:type="spellStart"/>
      <w:r>
        <w:rPr>
          <w:rFonts w:ascii="Times New Roman" w:eastAsia="Times New Roman" w:hAnsi="Times New Roman" w:cs="Times New Roman"/>
          <w:sz w:val="24"/>
          <w:szCs w:val="24"/>
        </w:rPr>
        <w:t>defenses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Chemical Ecology</w:t>
      </w:r>
      <w:r>
        <w:rPr>
          <w:rFonts w:ascii="Times New Roman" w:eastAsia="Times New Roman" w:hAnsi="Times New Roman" w:cs="Times New Roman"/>
          <w:sz w:val="24"/>
          <w:szCs w:val="24"/>
        </w:rPr>
        <w:t>, 38(6), 651–664.</w:t>
      </w:r>
    </w:p>
    <w:p w14:paraId="00000075"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Katan, J. (2017). Soil solarization: principles, applications and future directions. </w:t>
      </w:r>
      <w:r>
        <w:rPr>
          <w:rFonts w:ascii="Times New Roman" w:eastAsia="Times New Roman" w:hAnsi="Times New Roman" w:cs="Times New Roman"/>
          <w:i/>
          <w:sz w:val="24"/>
          <w:szCs w:val="24"/>
        </w:rPr>
        <w:t>Phytoparasitica</w:t>
      </w:r>
      <w:r>
        <w:rPr>
          <w:rFonts w:ascii="Times New Roman" w:eastAsia="Times New Roman" w:hAnsi="Times New Roman" w:cs="Times New Roman"/>
          <w:sz w:val="24"/>
          <w:szCs w:val="24"/>
        </w:rPr>
        <w:t>, 45(4), 467–479.</w:t>
      </w:r>
    </w:p>
    <w:p w14:paraId="00000076"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Keswani, C., Singh, H. B., Garcia-Estrada, C., </w:t>
      </w:r>
      <w:proofErr w:type="spellStart"/>
      <w:r>
        <w:rPr>
          <w:rFonts w:ascii="Times New Roman" w:eastAsia="Times New Roman" w:hAnsi="Times New Roman" w:cs="Times New Roman"/>
          <w:sz w:val="24"/>
          <w:szCs w:val="24"/>
        </w:rPr>
        <w:t>Caradus</w:t>
      </w:r>
      <w:proofErr w:type="spellEnd"/>
      <w:r>
        <w:rPr>
          <w:rFonts w:ascii="Times New Roman" w:eastAsia="Times New Roman" w:hAnsi="Times New Roman" w:cs="Times New Roman"/>
          <w:sz w:val="24"/>
          <w:szCs w:val="24"/>
        </w:rPr>
        <w:t xml:space="preserve">, J., He, Y. W., </w:t>
      </w:r>
      <w:proofErr w:type="spellStart"/>
      <w:r>
        <w:rPr>
          <w:rFonts w:ascii="Times New Roman" w:eastAsia="Times New Roman" w:hAnsi="Times New Roman" w:cs="Times New Roman"/>
          <w:sz w:val="24"/>
          <w:szCs w:val="24"/>
        </w:rPr>
        <w:t>Mezaache-Aichour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Sansinenea</w:t>
      </w:r>
      <w:proofErr w:type="spellEnd"/>
      <w:r>
        <w:rPr>
          <w:rFonts w:ascii="Times New Roman" w:eastAsia="Times New Roman" w:hAnsi="Times New Roman" w:cs="Times New Roman"/>
          <w:sz w:val="24"/>
          <w:szCs w:val="24"/>
        </w:rPr>
        <w:t xml:space="preserve">, E. (2019). Antimicrobial secondary metabolites from agriculturally important fungi as next-generation pesticides. </w:t>
      </w:r>
      <w:r>
        <w:rPr>
          <w:rFonts w:ascii="Times New Roman" w:eastAsia="Times New Roman" w:hAnsi="Times New Roman" w:cs="Times New Roman"/>
          <w:i/>
          <w:sz w:val="24"/>
          <w:szCs w:val="24"/>
        </w:rPr>
        <w:t>Applied Microbiology and Biotechnology</w:t>
      </w:r>
      <w:r>
        <w:rPr>
          <w:rFonts w:ascii="Times New Roman" w:eastAsia="Times New Roman" w:hAnsi="Times New Roman" w:cs="Times New Roman"/>
          <w:sz w:val="24"/>
          <w:szCs w:val="24"/>
        </w:rPr>
        <w:t>, 103(3), 9287–9303.</w:t>
      </w:r>
    </w:p>
    <w:p w14:paraId="00000077"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Keswani, C., Singh, H. B., Garcia-Estrada, C., </w:t>
      </w:r>
      <w:proofErr w:type="spellStart"/>
      <w:r>
        <w:rPr>
          <w:rFonts w:ascii="Times New Roman" w:eastAsia="Times New Roman" w:hAnsi="Times New Roman" w:cs="Times New Roman"/>
          <w:sz w:val="24"/>
          <w:szCs w:val="24"/>
        </w:rPr>
        <w:t>Caradus</w:t>
      </w:r>
      <w:proofErr w:type="spellEnd"/>
      <w:r>
        <w:rPr>
          <w:rFonts w:ascii="Times New Roman" w:eastAsia="Times New Roman" w:hAnsi="Times New Roman" w:cs="Times New Roman"/>
          <w:sz w:val="24"/>
          <w:szCs w:val="24"/>
        </w:rPr>
        <w:t xml:space="preserve">, J., He, Y. W., </w:t>
      </w:r>
      <w:proofErr w:type="spellStart"/>
      <w:r>
        <w:rPr>
          <w:rFonts w:ascii="Times New Roman" w:eastAsia="Times New Roman" w:hAnsi="Times New Roman" w:cs="Times New Roman"/>
          <w:sz w:val="24"/>
          <w:szCs w:val="24"/>
        </w:rPr>
        <w:t>Mezaache-Aichour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Sansinenea</w:t>
      </w:r>
      <w:proofErr w:type="spellEnd"/>
      <w:r>
        <w:rPr>
          <w:rFonts w:ascii="Times New Roman" w:eastAsia="Times New Roman" w:hAnsi="Times New Roman" w:cs="Times New Roman"/>
          <w:sz w:val="24"/>
          <w:szCs w:val="24"/>
        </w:rPr>
        <w:t xml:space="preserve">, E. (2019). Antimicrobial secondary metabolites from agriculturally important fungi as next-generation pesticides. </w:t>
      </w:r>
      <w:r>
        <w:rPr>
          <w:rFonts w:ascii="Times New Roman" w:eastAsia="Times New Roman" w:hAnsi="Times New Roman" w:cs="Times New Roman"/>
          <w:i/>
          <w:sz w:val="24"/>
          <w:szCs w:val="24"/>
        </w:rPr>
        <w:t>Applied Microbiology and Biotechnology</w:t>
      </w:r>
      <w:r>
        <w:rPr>
          <w:rFonts w:ascii="Times New Roman" w:eastAsia="Times New Roman" w:hAnsi="Times New Roman" w:cs="Times New Roman"/>
          <w:sz w:val="24"/>
          <w:szCs w:val="24"/>
        </w:rPr>
        <w:t>, 103, 9287–9303</w:t>
      </w:r>
    </w:p>
    <w:p w14:paraId="00000078"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Kloepper, J. W., Ryu, C. M., &amp; Zhang, S. (2004). Induced systemic resistance and promotion of plant growth by </w:t>
      </w:r>
      <w:r>
        <w:rPr>
          <w:rFonts w:ascii="Times New Roman" w:eastAsia="Times New Roman" w:hAnsi="Times New Roman" w:cs="Times New Roman"/>
          <w:i/>
          <w:sz w:val="24"/>
          <w:szCs w:val="24"/>
        </w:rPr>
        <w:t xml:space="preserve">Bacillus </w:t>
      </w:r>
      <w:proofErr w:type="gramStart"/>
      <w:r>
        <w:rPr>
          <w:rFonts w:ascii="Times New Roman" w:eastAsia="Times New Roman" w:hAnsi="Times New Roman" w:cs="Times New Roman"/>
          <w:i/>
          <w:sz w:val="24"/>
          <w:szCs w:val="24"/>
        </w:rPr>
        <w:t>spp.</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Phytopathology</w:t>
      </w:r>
      <w:r>
        <w:rPr>
          <w:rFonts w:ascii="Times New Roman" w:eastAsia="Times New Roman" w:hAnsi="Times New Roman" w:cs="Times New Roman"/>
          <w:sz w:val="24"/>
          <w:szCs w:val="24"/>
        </w:rPr>
        <w:t>, 94(11), 1259–1266.</w:t>
      </w:r>
    </w:p>
    <w:p w14:paraId="00000079"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Maharshi, A., Singh, A., &amp; Patel, D. (2021). Role of crop rotation in integrated disease management of vegetables. </w:t>
      </w:r>
      <w:r>
        <w:rPr>
          <w:rFonts w:ascii="Times New Roman" w:eastAsia="Times New Roman" w:hAnsi="Times New Roman" w:cs="Times New Roman"/>
          <w:i/>
          <w:sz w:val="24"/>
          <w:szCs w:val="24"/>
        </w:rPr>
        <w:t>Indian Journal of Agricultural Sciences</w:t>
      </w:r>
      <w:r>
        <w:rPr>
          <w:rFonts w:ascii="Times New Roman" w:eastAsia="Times New Roman" w:hAnsi="Times New Roman" w:cs="Times New Roman"/>
          <w:sz w:val="24"/>
          <w:szCs w:val="24"/>
        </w:rPr>
        <w:t>, 91(7), 975–982.</w:t>
      </w:r>
    </w:p>
    <w:p w14:paraId="0000007A" w14:textId="77777777" w:rsidR="00CC42A1" w:rsidRDefault="00391FE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Mahlein</w:t>
      </w:r>
      <w:proofErr w:type="spellEnd"/>
      <w:r>
        <w:rPr>
          <w:rFonts w:ascii="Times New Roman" w:eastAsia="Times New Roman" w:hAnsi="Times New Roman" w:cs="Times New Roman"/>
          <w:sz w:val="24"/>
          <w:szCs w:val="24"/>
        </w:rPr>
        <w:t xml:space="preserve">, A. K. (2016). Plant disease detection by imaging sensors–parallels and specific demands for precision agriculture. </w:t>
      </w:r>
      <w:r>
        <w:rPr>
          <w:rFonts w:ascii="Times New Roman" w:eastAsia="Times New Roman" w:hAnsi="Times New Roman" w:cs="Times New Roman"/>
          <w:i/>
          <w:sz w:val="24"/>
          <w:szCs w:val="24"/>
        </w:rPr>
        <w:t>Plant Disease</w:t>
      </w:r>
      <w:r>
        <w:rPr>
          <w:rFonts w:ascii="Times New Roman" w:eastAsia="Times New Roman" w:hAnsi="Times New Roman" w:cs="Times New Roman"/>
          <w:sz w:val="24"/>
          <w:szCs w:val="24"/>
        </w:rPr>
        <w:t>, 100(2), 241–251.</w:t>
      </w:r>
    </w:p>
    <w:p w14:paraId="0000007B" w14:textId="77777777" w:rsidR="00CC42A1" w:rsidRDefault="00391FE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Michielse</w:t>
      </w:r>
      <w:proofErr w:type="spellEnd"/>
      <w:r>
        <w:rPr>
          <w:rFonts w:ascii="Times New Roman" w:eastAsia="Times New Roman" w:hAnsi="Times New Roman" w:cs="Times New Roman"/>
          <w:sz w:val="24"/>
          <w:szCs w:val="24"/>
        </w:rPr>
        <w:t xml:space="preserve">, C. B., &amp; Rep, M. (2009). Pathogen profile update: </w:t>
      </w:r>
      <w:proofErr w:type="spellStart"/>
      <w:r>
        <w:rPr>
          <w:rFonts w:ascii="Times New Roman" w:eastAsia="Times New Roman" w:hAnsi="Times New Roman" w:cs="Times New Roman"/>
          <w:i/>
          <w:sz w:val="24"/>
          <w:szCs w:val="24"/>
        </w:rPr>
        <w:t>Fusarium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Molecular Plant Pathology</w:t>
      </w:r>
      <w:r>
        <w:rPr>
          <w:rFonts w:ascii="Times New Roman" w:eastAsia="Times New Roman" w:hAnsi="Times New Roman" w:cs="Times New Roman"/>
          <w:sz w:val="24"/>
          <w:szCs w:val="24"/>
        </w:rPr>
        <w:t>, 10(3), 311–324.</w:t>
      </w:r>
    </w:p>
    <w:p w14:paraId="0000007C"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Miedaner, T., &amp; Korzun, V. (2012). Marker-assisted selection for disease resistance in wheat and barley breeding. </w:t>
      </w:r>
      <w:r>
        <w:rPr>
          <w:rFonts w:ascii="Times New Roman" w:eastAsia="Times New Roman" w:hAnsi="Times New Roman" w:cs="Times New Roman"/>
          <w:i/>
          <w:sz w:val="24"/>
          <w:szCs w:val="24"/>
        </w:rPr>
        <w:t>Phytopathology</w:t>
      </w:r>
      <w:r>
        <w:rPr>
          <w:rFonts w:ascii="Times New Roman" w:eastAsia="Times New Roman" w:hAnsi="Times New Roman" w:cs="Times New Roman"/>
          <w:sz w:val="24"/>
          <w:szCs w:val="24"/>
        </w:rPr>
        <w:t>, 102(6), 560–566.</w:t>
      </w:r>
    </w:p>
    <w:p w14:paraId="0000007D"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Popp, J., Pető, K., &amp; Nagy, J. (2013). Pesticide productivity and food security: a review. </w:t>
      </w:r>
      <w:r>
        <w:rPr>
          <w:rFonts w:ascii="Times New Roman" w:eastAsia="Times New Roman" w:hAnsi="Times New Roman" w:cs="Times New Roman"/>
          <w:i/>
          <w:sz w:val="24"/>
          <w:szCs w:val="24"/>
        </w:rPr>
        <w:t>Agronomy for Sustainable Development</w:t>
      </w:r>
      <w:r>
        <w:rPr>
          <w:rFonts w:ascii="Times New Roman" w:eastAsia="Times New Roman" w:hAnsi="Times New Roman" w:cs="Times New Roman"/>
          <w:sz w:val="24"/>
          <w:szCs w:val="24"/>
        </w:rPr>
        <w:t>, 33, 243–255.</w:t>
      </w:r>
    </w:p>
    <w:p w14:paraId="0000007E"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Shao, Y. D., Zhang, D., &amp; Wang, W. (2019). Arbuscular mycorrhizal fungi mitigate nematode and fungal disease incidence in tomato roots. </w:t>
      </w:r>
      <w:r>
        <w:rPr>
          <w:rFonts w:ascii="Times New Roman" w:eastAsia="Times New Roman" w:hAnsi="Times New Roman" w:cs="Times New Roman"/>
          <w:i/>
          <w:sz w:val="24"/>
          <w:szCs w:val="24"/>
        </w:rPr>
        <w:t>Applied Soil Ecology</w:t>
      </w:r>
      <w:r>
        <w:rPr>
          <w:rFonts w:ascii="Times New Roman" w:eastAsia="Times New Roman" w:hAnsi="Times New Roman" w:cs="Times New Roman"/>
          <w:sz w:val="24"/>
          <w:szCs w:val="24"/>
        </w:rPr>
        <w:t>, 143, 1–8.</w:t>
      </w:r>
    </w:p>
    <w:p w14:paraId="0000007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P., Kumar, V., &amp; Thakur, M. (2020). Vegetable crop diseases: epidemiology and management strategies. </w:t>
      </w:r>
      <w:r>
        <w:rPr>
          <w:rFonts w:ascii="Times New Roman" w:eastAsia="Times New Roman" w:hAnsi="Times New Roman" w:cs="Times New Roman"/>
          <w:i/>
          <w:sz w:val="24"/>
          <w:szCs w:val="24"/>
        </w:rPr>
        <w:t>Vegetable Science</w:t>
      </w:r>
      <w:r>
        <w:rPr>
          <w:rFonts w:ascii="Times New Roman" w:eastAsia="Times New Roman" w:hAnsi="Times New Roman" w:cs="Times New Roman"/>
          <w:sz w:val="24"/>
          <w:szCs w:val="24"/>
        </w:rPr>
        <w:t>, 47(1), 1–10.</w:t>
      </w:r>
    </w:p>
    <w:p w14:paraId="00000080"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R., Chauhan, R., &amp; Singh, D. (2016). Integrated disease management: principles and practices. </w:t>
      </w:r>
      <w:r>
        <w:rPr>
          <w:rFonts w:ascii="Times New Roman" w:eastAsia="Times New Roman" w:hAnsi="Times New Roman" w:cs="Times New Roman"/>
          <w:i/>
          <w:sz w:val="24"/>
          <w:szCs w:val="24"/>
        </w:rPr>
        <w:t>Indian Phytopathology</w:t>
      </w:r>
      <w:r>
        <w:rPr>
          <w:rFonts w:ascii="Times New Roman" w:eastAsia="Times New Roman" w:hAnsi="Times New Roman" w:cs="Times New Roman"/>
          <w:sz w:val="24"/>
          <w:szCs w:val="24"/>
        </w:rPr>
        <w:t>, 69(3), 223–233.</w:t>
      </w:r>
    </w:p>
    <w:p w14:paraId="00000081"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A., &amp; Gupta, R. (2022). Emerging diseases of vegetable crops and integrated management strategies. </w:t>
      </w:r>
      <w:r>
        <w:rPr>
          <w:rFonts w:ascii="Times New Roman" w:eastAsia="Times New Roman" w:hAnsi="Times New Roman" w:cs="Times New Roman"/>
          <w:i/>
          <w:sz w:val="24"/>
          <w:szCs w:val="24"/>
        </w:rPr>
        <w:t>Journal of Horticultural Sciences</w:t>
      </w:r>
      <w:r>
        <w:rPr>
          <w:rFonts w:ascii="Times New Roman" w:eastAsia="Times New Roman" w:hAnsi="Times New Roman" w:cs="Times New Roman"/>
          <w:sz w:val="24"/>
          <w:szCs w:val="24"/>
        </w:rPr>
        <w:t>, 17(2), 150–159.</w:t>
      </w:r>
    </w:p>
    <w:p w14:paraId="00000082"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M., Kumar, P., &amp; Gupta, A. (2021). Nutritional and economic importance of vegetable crops: a global perspective. </w:t>
      </w:r>
      <w:r>
        <w:rPr>
          <w:rFonts w:ascii="Times New Roman" w:eastAsia="Times New Roman" w:hAnsi="Times New Roman" w:cs="Times New Roman"/>
          <w:i/>
          <w:sz w:val="24"/>
          <w:szCs w:val="24"/>
        </w:rPr>
        <w:t>Journal of Horticultural Research</w:t>
      </w:r>
      <w:r>
        <w:rPr>
          <w:rFonts w:ascii="Times New Roman" w:eastAsia="Times New Roman" w:hAnsi="Times New Roman" w:cs="Times New Roman"/>
          <w:sz w:val="24"/>
          <w:szCs w:val="24"/>
        </w:rPr>
        <w:t>, 29(2), 45–58.</w:t>
      </w:r>
    </w:p>
    <w:p w14:paraId="00000083"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R., Kumar, A., &amp; Sharma, V. (2021). Field evaluation of </w:t>
      </w:r>
      <w:proofErr w:type="spellStart"/>
      <w:r>
        <w:rPr>
          <w:rFonts w:ascii="Times New Roman" w:eastAsia="Times New Roman" w:hAnsi="Times New Roman" w:cs="Times New Roman"/>
          <w:i/>
          <w:sz w:val="24"/>
          <w:szCs w:val="24"/>
        </w:rPr>
        <w:t>Trichoderma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harzianum</w:t>
      </w:r>
      <w:proofErr w:type="spellEnd"/>
      <w:r>
        <w:rPr>
          <w:rFonts w:ascii="Times New Roman" w:eastAsia="Times New Roman" w:hAnsi="Times New Roman" w:cs="Times New Roman"/>
          <w:sz w:val="24"/>
          <w:szCs w:val="24"/>
        </w:rPr>
        <w:t xml:space="preserve"> against wilt and damping-off diseases in solanaceous vegetables. </w:t>
      </w:r>
      <w:r>
        <w:rPr>
          <w:rFonts w:ascii="Times New Roman" w:eastAsia="Times New Roman" w:hAnsi="Times New Roman" w:cs="Times New Roman"/>
          <w:i/>
          <w:sz w:val="24"/>
          <w:szCs w:val="24"/>
        </w:rPr>
        <w:t>Journal of Crop Protection</w:t>
      </w:r>
      <w:r>
        <w:rPr>
          <w:rFonts w:ascii="Times New Roman" w:eastAsia="Times New Roman" w:hAnsi="Times New Roman" w:cs="Times New Roman"/>
          <w:sz w:val="24"/>
          <w:szCs w:val="24"/>
        </w:rPr>
        <w:t>, 45(2), 98–106.</w:t>
      </w:r>
    </w:p>
    <w:p w14:paraId="0000008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Vidavski, F., </w:t>
      </w:r>
      <w:proofErr w:type="spellStart"/>
      <w:r>
        <w:rPr>
          <w:rFonts w:ascii="Times New Roman" w:eastAsia="Times New Roman" w:hAnsi="Times New Roman" w:cs="Times New Roman"/>
          <w:sz w:val="24"/>
          <w:szCs w:val="24"/>
        </w:rPr>
        <w:t>Czosnek</w:t>
      </w:r>
      <w:proofErr w:type="spellEnd"/>
      <w:r>
        <w:rPr>
          <w:rFonts w:ascii="Times New Roman" w:eastAsia="Times New Roman" w:hAnsi="Times New Roman" w:cs="Times New Roman"/>
          <w:sz w:val="24"/>
          <w:szCs w:val="24"/>
        </w:rPr>
        <w:t xml:space="preserve">, H., &amp; Lapidot, M. (2008). Tomato breeding for resistance to Tomato Yellow Leaf Curl Virus (TYLCV) in the era of genomics. </w:t>
      </w:r>
      <w:proofErr w:type="spellStart"/>
      <w:r>
        <w:rPr>
          <w:rFonts w:ascii="Times New Roman" w:eastAsia="Times New Roman" w:hAnsi="Times New Roman" w:cs="Times New Roman"/>
          <w:i/>
          <w:sz w:val="24"/>
          <w:szCs w:val="24"/>
        </w:rPr>
        <w:t>Euphytica</w:t>
      </w:r>
      <w:proofErr w:type="spellEnd"/>
      <w:r>
        <w:rPr>
          <w:rFonts w:ascii="Times New Roman" w:eastAsia="Times New Roman" w:hAnsi="Times New Roman" w:cs="Times New Roman"/>
          <w:sz w:val="24"/>
          <w:szCs w:val="24"/>
        </w:rPr>
        <w:t>, 164, 437–445.</w:t>
      </w:r>
    </w:p>
    <w:p w14:paraId="00000085"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Zaidi, S. S. A., Mukhtar, M. S., &amp; Mansoor, S. (2018). Genome editing: Targeting susceptibility genes for plant disease resistance. </w:t>
      </w:r>
      <w:r>
        <w:rPr>
          <w:rFonts w:ascii="Times New Roman" w:eastAsia="Times New Roman" w:hAnsi="Times New Roman" w:cs="Times New Roman"/>
          <w:i/>
          <w:sz w:val="24"/>
          <w:szCs w:val="24"/>
        </w:rPr>
        <w:t>Trends in Biotechnology</w:t>
      </w:r>
      <w:r>
        <w:rPr>
          <w:rFonts w:ascii="Times New Roman" w:eastAsia="Times New Roman" w:hAnsi="Times New Roman" w:cs="Times New Roman"/>
          <w:sz w:val="24"/>
          <w:szCs w:val="24"/>
        </w:rPr>
        <w:t>, 36(9), 898–906.</w:t>
      </w:r>
    </w:p>
    <w:p w14:paraId="00000086" w14:textId="77777777" w:rsidR="00CC42A1" w:rsidRDefault="00CC42A1">
      <w:pPr>
        <w:spacing w:line="360" w:lineRule="auto"/>
        <w:jc w:val="both"/>
        <w:rPr>
          <w:rFonts w:ascii="Times New Roman" w:eastAsia="Times New Roman" w:hAnsi="Times New Roman" w:cs="Times New Roman"/>
          <w:sz w:val="24"/>
          <w:szCs w:val="24"/>
        </w:rPr>
      </w:pPr>
    </w:p>
    <w:p w14:paraId="00000087" w14:textId="77777777" w:rsidR="00CC42A1" w:rsidRDefault="00CC42A1">
      <w:pPr>
        <w:spacing w:line="360" w:lineRule="auto"/>
        <w:jc w:val="both"/>
        <w:rPr>
          <w:rFonts w:ascii="Times New Roman" w:eastAsia="Times New Roman" w:hAnsi="Times New Roman" w:cs="Times New Roman"/>
          <w:sz w:val="24"/>
          <w:szCs w:val="24"/>
        </w:rPr>
      </w:pPr>
    </w:p>
    <w:p w14:paraId="00000088" w14:textId="77777777" w:rsidR="00CC42A1" w:rsidRDefault="00CC42A1">
      <w:pPr>
        <w:spacing w:line="360" w:lineRule="auto"/>
        <w:jc w:val="both"/>
        <w:rPr>
          <w:rFonts w:ascii="Times New Roman" w:eastAsia="Times New Roman" w:hAnsi="Times New Roman" w:cs="Times New Roman"/>
          <w:sz w:val="24"/>
          <w:szCs w:val="24"/>
        </w:rPr>
      </w:pPr>
    </w:p>
    <w:sectPr w:rsidR="00CC42A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BUKAR AJI BUKAR" w:date="2025-10-15T21:45:00Z" w:initials="BAB">
    <w:p w14:paraId="3D986BB5" w14:textId="31508514" w:rsidR="000404D7" w:rsidRDefault="000404D7">
      <w:pPr>
        <w:pStyle w:val="CommentText"/>
      </w:pPr>
      <w:r>
        <w:rPr>
          <w:rStyle w:val="CommentReference"/>
        </w:rPr>
        <w:annotationRef/>
      </w:r>
      <w:r>
        <w:rPr>
          <w:rStyle w:val="CommentReference"/>
        </w:rPr>
        <w:t>Not captured in abstract and the topic</w:t>
      </w:r>
    </w:p>
  </w:comment>
  <w:comment w:id="2" w:author="BUKAR AJI BUKAR" w:date="2025-10-15T21:55:00Z" w:initials="BAB">
    <w:p w14:paraId="6926EBDF" w14:textId="10CF8ABA" w:rsidR="00BF0ECF" w:rsidRDefault="00BF0ECF">
      <w:pPr>
        <w:pStyle w:val="CommentText"/>
      </w:pPr>
      <w:r>
        <w:rPr>
          <w:rStyle w:val="CommentReference"/>
        </w:rPr>
        <w:annotationRef/>
      </w:r>
      <w:r>
        <w:t>Remove the numbering</w:t>
      </w:r>
    </w:p>
  </w:comment>
  <w:comment w:id="3" w:author="BUKAR AJI BUKAR" w:date="2025-10-15T21:49:00Z" w:initials="BAB">
    <w:p w14:paraId="790E3125" w14:textId="5EC722BF" w:rsidR="000404D7" w:rsidRDefault="000404D7">
      <w:pPr>
        <w:pStyle w:val="CommentText"/>
      </w:pPr>
      <w:r>
        <w:rPr>
          <w:rStyle w:val="CommentReference"/>
        </w:rPr>
        <w:annotationRef/>
      </w:r>
      <w:r>
        <w:t>Not for the bracket</w:t>
      </w:r>
    </w:p>
  </w:comment>
  <w:comment w:id="4" w:author="BUKAR AJI BUKAR" w:date="2025-10-15T21:53:00Z" w:initials="BAB">
    <w:p w14:paraId="5D790058" w14:textId="32726203" w:rsidR="00BF0ECF" w:rsidRDefault="00BF0ECF">
      <w:pPr>
        <w:pStyle w:val="CommentText"/>
      </w:pPr>
      <w:r>
        <w:rPr>
          <w:rStyle w:val="CommentReference"/>
        </w:rPr>
        <w:annotationRef/>
      </w:r>
      <w:r>
        <w:t>Should be in italics</w:t>
      </w:r>
    </w:p>
  </w:comment>
  <w:comment w:id="5" w:author="BUKAR AJI BUKAR" w:date="2025-10-15T22:00:00Z" w:initials="BAB">
    <w:p w14:paraId="0509C3A9" w14:textId="2D72CEE5" w:rsidR="00BF0ECF" w:rsidRDefault="00BF0ECF">
      <w:pPr>
        <w:pStyle w:val="CommentText"/>
      </w:pPr>
      <w:r>
        <w:rPr>
          <w:rStyle w:val="CommentReference"/>
        </w:rPr>
        <w:annotationRef/>
      </w:r>
      <w:r>
        <w:t>Adaptability to what? One word heading is highly discourage</w:t>
      </w:r>
    </w:p>
  </w:comment>
  <w:comment w:id="6" w:author="BUKAR AJI BUKAR" w:date="2025-10-15T22:03:00Z" w:initials="BAB">
    <w:p w14:paraId="2877FFC2" w14:textId="7D97D4AB" w:rsidR="00BF0ECF" w:rsidRDefault="00BF0ECF">
      <w:pPr>
        <w:pStyle w:val="CommentText"/>
      </w:pPr>
      <w:r>
        <w:rPr>
          <w:rStyle w:val="CommentReference"/>
        </w:rPr>
        <w:annotationRef/>
      </w:r>
      <w:proofErr w:type="gramStart"/>
      <w:r w:rsidR="001E383D">
        <w:t>defence</w:t>
      </w:r>
      <w:proofErr w:type="gramEnd"/>
    </w:p>
  </w:comment>
  <w:comment w:id="7" w:author="BUKAR AJI BUKAR" w:date="2025-10-15T22:27:00Z" w:initials="BAB">
    <w:p w14:paraId="6DB0BAB9" w14:textId="083E4C5B" w:rsidR="00173E80" w:rsidRDefault="00173E80">
      <w:pPr>
        <w:pStyle w:val="CommentText"/>
      </w:pPr>
      <w:r>
        <w:rPr>
          <w:rStyle w:val="CommentReference"/>
        </w:rPr>
        <w:annotationRef/>
      </w:r>
      <w:proofErr w:type="gramStart"/>
      <w:r>
        <w:t>not</w:t>
      </w:r>
      <w:proofErr w:type="gramEnd"/>
      <w:r>
        <w:t xml:space="preserve"> found in the reference</w:t>
      </w:r>
    </w:p>
  </w:comment>
  <w:comment w:id="8" w:author="BUKAR AJI BUKAR" w:date="2025-10-15T22:28:00Z" w:initials="BAB">
    <w:p w14:paraId="5903F05C" w14:textId="206609C7" w:rsidR="00173E80" w:rsidRDefault="00173E80">
      <w:pPr>
        <w:pStyle w:val="CommentText"/>
      </w:pPr>
      <w:r>
        <w:rPr>
          <w:rStyle w:val="CommentReference"/>
        </w:rPr>
        <w:annotationRef/>
      </w:r>
      <w:proofErr w:type="gramStart"/>
      <w:r>
        <w:t>not</w:t>
      </w:r>
      <w:proofErr w:type="gramEnd"/>
      <w:r>
        <w:t xml:space="preserve"> found in the reference</w:t>
      </w:r>
    </w:p>
  </w:comment>
  <w:comment w:id="9" w:author="BUKAR AJI BUKAR" w:date="2025-10-15T22:29:00Z" w:initials="BAB">
    <w:p w14:paraId="0591D2A4" w14:textId="27E6DB24" w:rsidR="00173E80" w:rsidRDefault="00173E80">
      <w:pPr>
        <w:pStyle w:val="CommentText"/>
      </w:pPr>
      <w:r>
        <w:rPr>
          <w:rStyle w:val="CommentReference"/>
        </w:rPr>
        <w:annotationRef/>
      </w:r>
      <w:proofErr w:type="gramStart"/>
      <w:r>
        <w:t>not</w:t>
      </w:r>
      <w:proofErr w:type="gramEnd"/>
      <w:r>
        <w:t xml:space="preserve"> found in the </w:t>
      </w:r>
      <w:proofErr w:type="spellStart"/>
      <w:r>
        <w:t>the</w:t>
      </w:r>
      <w:proofErr w:type="spellEnd"/>
      <w:r>
        <w:t xml:space="preserve"> reference</w:t>
      </w:r>
    </w:p>
  </w:comment>
  <w:comment w:id="10" w:author="BUKAR AJI BUKAR" w:date="2025-10-15T22:08:00Z" w:initials="BAB">
    <w:p w14:paraId="5BDCB808" w14:textId="604EFA0A" w:rsidR="001E383D" w:rsidRDefault="001E383D">
      <w:pPr>
        <w:pStyle w:val="CommentText"/>
      </w:pPr>
      <w:r>
        <w:rPr>
          <w:rStyle w:val="CommentReference"/>
        </w:rPr>
        <w:annotationRef/>
      </w:r>
      <w:proofErr w:type="gramStart"/>
      <w:r>
        <w:t>remove</w:t>
      </w:r>
      <w:proofErr w:type="gramEnd"/>
      <w:r>
        <w:t xml:space="preserve"> the bullets</w:t>
      </w:r>
    </w:p>
  </w:comment>
  <w:comment w:id="11" w:author="BUKAR AJI BUKAR" w:date="2025-10-15T22:32:00Z" w:initials="BAB">
    <w:p w14:paraId="30528C7C" w14:textId="3321B051" w:rsidR="00173E80" w:rsidRDefault="00173E80">
      <w:pPr>
        <w:pStyle w:val="CommentText"/>
      </w:pPr>
      <w:r>
        <w:rPr>
          <w:rStyle w:val="CommentReference"/>
        </w:rPr>
        <w:annotationRef/>
      </w:r>
      <w:proofErr w:type="gramStart"/>
      <w:r>
        <w:t>not</w:t>
      </w:r>
      <w:proofErr w:type="gramEnd"/>
      <w:r>
        <w:t xml:space="preserve"> found in the reference section</w:t>
      </w:r>
    </w:p>
  </w:comment>
  <w:comment w:id="12" w:author="BUKAR AJI BUKAR" w:date="2025-10-15T22:30:00Z" w:initials="BAB">
    <w:p w14:paraId="5E71B48D" w14:textId="1426D1FD" w:rsidR="00173E80" w:rsidRDefault="00173E80">
      <w:pPr>
        <w:pStyle w:val="CommentText"/>
      </w:pPr>
      <w:r>
        <w:rPr>
          <w:rStyle w:val="CommentReference"/>
        </w:rPr>
        <w:annotationRef/>
      </w:r>
      <w:proofErr w:type="gramStart"/>
      <w:r>
        <w:t>not</w:t>
      </w:r>
      <w:proofErr w:type="gramEnd"/>
      <w:r>
        <w:t xml:space="preserve"> found in the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986BB5" w15:done="0"/>
  <w15:commentEx w15:paraId="6926EBDF" w15:done="0"/>
  <w15:commentEx w15:paraId="790E3125" w15:done="0"/>
  <w15:commentEx w15:paraId="5D790058" w15:done="0"/>
  <w15:commentEx w15:paraId="0509C3A9" w15:done="0"/>
  <w15:commentEx w15:paraId="2877FFC2" w15:done="0"/>
  <w15:commentEx w15:paraId="6DB0BAB9" w15:done="0"/>
  <w15:commentEx w15:paraId="5903F05C" w15:done="0"/>
  <w15:commentEx w15:paraId="0591D2A4" w15:done="0"/>
  <w15:commentEx w15:paraId="5BDCB808" w15:done="0"/>
  <w15:commentEx w15:paraId="30528C7C" w15:done="0"/>
  <w15:commentEx w15:paraId="5E71B48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B864D" w14:textId="77777777" w:rsidR="00935528" w:rsidRDefault="00935528" w:rsidP="00456073">
      <w:pPr>
        <w:spacing w:after="0" w:line="240" w:lineRule="auto"/>
      </w:pPr>
      <w:r>
        <w:separator/>
      </w:r>
    </w:p>
  </w:endnote>
  <w:endnote w:type="continuationSeparator" w:id="0">
    <w:p w14:paraId="4299E3D3" w14:textId="77777777" w:rsidR="00935528" w:rsidRDefault="00935528" w:rsidP="00456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1C599393-6584-4837-9D5D-CF8B9385A6D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62616EF-EA71-4B6B-8ABC-BBF54487ACA8}"/>
    <w:embedBold r:id="rId3" w:fontKey="{6C983B29-F24E-46A5-BD16-83B0EE5917FF}"/>
    <w:embedItalic r:id="rId4" w:fontKey="{CDF3004C-474B-4BF4-A785-43CC4880576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3E936705-9442-4A57-B9FE-FF542A7A5731}"/>
  </w:font>
  <w:font w:name="Segoe UI">
    <w:panose1 w:val="020B0502040204020203"/>
    <w:charset w:val="00"/>
    <w:family w:val="swiss"/>
    <w:pitch w:val="variable"/>
    <w:sig w:usb0="E4002EFF" w:usb1="C000E47F" w:usb2="00000009" w:usb3="00000000" w:csb0="000001FF" w:csb1="00000000"/>
    <w:embedRegular r:id="rId6" w:fontKey="{B0312C2E-B5AF-49C8-B7ED-2F6427C0D1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6462A" w14:textId="77777777" w:rsidR="00456073" w:rsidRDefault="00456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09D76" w14:textId="77777777" w:rsidR="00456073" w:rsidRDefault="004560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FAC15" w14:textId="77777777" w:rsidR="00456073" w:rsidRDefault="00456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B7DEA" w14:textId="77777777" w:rsidR="00935528" w:rsidRDefault="00935528" w:rsidP="00456073">
      <w:pPr>
        <w:spacing w:after="0" w:line="240" w:lineRule="auto"/>
      </w:pPr>
      <w:r>
        <w:separator/>
      </w:r>
    </w:p>
  </w:footnote>
  <w:footnote w:type="continuationSeparator" w:id="0">
    <w:p w14:paraId="15542548" w14:textId="77777777" w:rsidR="00935528" w:rsidRDefault="00935528" w:rsidP="00456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AD7C5" w14:textId="5FEA9E9D" w:rsidR="00456073" w:rsidRDefault="00935528">
    <w:pPr>
      <w:pStyle w:val="Header"/>
    </w:pPr>
    <w:r>
      <w:rPr>
        <w:noProof/>
      </w:rPr>
      <w:pict w14:anchorId="10D89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86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09A9F" w14:textId="185A6D33" w:rsidR="00456073" w:rsidRDefault="00935528">
    <w:pPr>
      <w:pStyle w:val="Header"/>
    </w:pPr>
    <w:r>
      <w:rPr>
        <w:noProof/>
      </w:rPr>
      <w:pict w14:anchorId="03456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86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FC5CD" w14:textId="60CE46DA" w:rsidR="00456073" w:rsidRDefault="00935528">
    <w:pPr>
      <w:pStyle w:val="Header"/>
    </w:pPr>
    <w:r>
      <w:rPr>
        <w:noProof/>
      </w:rPr>
      <w:pict w14:anchorId="19049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86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593585"/>
    <w:multiLevelType w:val="multilevel"/>
    <w:tmpl w:val="D92AD7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5702056"/>
    <w:multiLevelType w:val="multilevel"/>
    <w:tmpl w:val="97AAFC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E3633A9"/>
    <w:multiLevelType w:val="multilevel"/>
    <w:tmpl w:val="4E683FDE"/>
    <w:lvl w:ilvl="0">
      <w:start w:val="1"/>
      <w:numFmt w:val="bullet"/>
      <w:lvlText w:val="●"/>
      <w:lvlJc w:val="left"/>
      <w:pPr>
        <w:ind w:left="630" w:hanging="360"/>
      </w:pPr>
      <w:rPr>
        <w:rFonts w:ascii="Noto Sans Symbols" w:eastAsia="Noto Sans Symbols" w:hAnsi="Noto Sans Symbols" w:cs="Noto Sans Symbols"/>
        <w:color w:val="FF0000"/>
        <w:sz w:val="20"/>
        <w:szCs w:val="20"/>
      </w:rPr>
    </w:lvl>
    <w:lvl w:ilvl="1">
      <w:start w:val="1"/>
      <w:numFmt w:val="bullet"/>
      <w:lvlText w:val="o"/>
      <w:lvlJc w:val="left"/>
      <w:pPr>
        <w:ind w:left="1350" w:hanging="360"/>
      </w:pPr>
      <w:rPr>
        <w:rFonts w:ascii="Courier New" w:eastAsia="Courier New" w:hAnsi="Courier New" w:cs="Courier New"/>
        <w:sz w:val="20"/>
        <w:szCs w:val="20"/>
      </w:rPr>
    </w:lvl>
    <w:lvl w:ilvl="2">
      <w:start w:val="1"/>
      <w:numFmt w:val="bullet"/>
      <w:lvlText w:val="▪"/>
      <w:lvlJc w:val="left"/>
      <w:pPr>
        <w:ind w:left="2070" w:hanging="360"/>
      </w:pPr>
      <w:rPr>
        <w:rFonts w:ascii="Noto Sans Symbols" w:eastAsia="Noto Sans Symbols" w:hAnsi="Noto Sans Symbols" w:cs="Noto Sans Symbols"/>
        <w:sz w:val="20"/>
        <w:szCs w:val="20"/>
      </w:rPr>
    </w:lvl>
    <w:lvl w:ilvl="3">
      <w:start w:val="1"/>
      <w:numFmt w:val="bullet"/>
      <w:lvlText w:val="▪"/>
      <w:lvlJc w:val="left"/>
      <w:pPr>
        <w:ind w:left="2790" w:hanging="360"/>
      </w:pPr>
      <w:rPr>
        <w:rFonts w:ascii="Noto Sans Symbols" w:eastAsia="Noto Sans Symbols" w:hAnsi="Noto Sans Symbols" w:cs="Noto Sans Symbols"/>
        <w:sz w:val="20"/>
        <w:szCs w:val="20"/>
      </w:rPr>
    </w:lvl>
    <w:lvl w:ilvl="4">
      <w:start w:val="1"/>
      <w:numFmt w:val="bullet"/>
      <w:lvlText w:val="▪"/>
      <w:lvlJc w:val="left"/>
      <w:pPr>
        <w:ind w:left="3510" w:hanging="360"/>
      </w:pPr>
      <w:rPr>
        <w:rFonts w:ascii="Noto Sans Symbols" w:eastAsia="Noto Sans Symbols" w:hAnsi="Noto Sans Symbols" w:cs="Noto Sans Symbols"/>
        <w:sz w:val="20"/>
        <w:szCs w:val="20"/>
      </w:rPr>
    </w:lvl>
    <w:lvl w:ilvl="5">
      <w:start w:val="1"/>
      <w:numFmt w:val="bullet"/>
      <w:lvlText w:val="▪"/>
      <w:lvlJc w:val="left"/>
      <w:pPr>
        <w:ind w:left="4230" w:hanging="360"/>
      </w:pPr>
      <w:rPr>
        <w:rFonts w:ascii="Noto Sans Symbols" w:eastAsia="Noto Sans Symbols" w:hAnsi="Noto Sans Symbols" w:cs="Noto Sans Symbols"/>
        <w:sz w:val="20"/>
        <w:szCs w:val="20"/>
      </w:rPr>
    </w:lvl>
    <w:lvl w:ilvl="6">
      <w:start w:val="1"/>
      <w:numFmt w:val="bullet"/>
      <w:lvlText w:val="▪"/>
      <w:lvlJc w:val="left"/>
      <w:pPr>
        <w:ind w:left="4950" w:hanging="360"/>
      </w:pPr>
      <w:rPr>
        <w:rFonts w:ascii="Noto Sans Symbols" w:eastAsia="Noto Sans Symbols" w:hAnsi="Noto Sans Symbols" w:cs="Noto Sans Symbols"/>
        <w:sz w:val="20"/>
        <w:szCs w:val="20"/>
      </w:rPr>
    </w:lvl>
    <w:lvl w:ilvl="7">
      <w:start w:val="1"/>
      <w:numFmt w:val="bullet"/>
      <w:lvlText w:val="▪"/>
      <w:lvlJc w:val="left"/>
      <w:pPr>
        <w:ind w:left="5670" w:hanging="360"/>
      </w:pPr>
      <w:rPr>
        <w:rFonts w:ascii="Noto Sans Symbols" w:eastAsia="Noto Sans Symbols" w:hAnsi="Noto Sans Symbols" w:cs="Noto Sans Symbols"/>
        <w:sz w:val="20"/>
        <w:szCs w:val="20"/>
      </w:rPr>
    </w:lvl>
    <w:lvl w:ilvl="8">
      <w:start w:val="1"/>
      <w:numFmt w:val="bullet"/>
      <w:lvlText w:val="▪"/>
      <w:lvlJc w:val="left"/>
      <w:pPr>
        <w:ind w:left="6390" w:hanging="360"/>
      </w:pPr>
      <w:rPr>
        <w:rFonts w:ascii="Noto Sans Symbols" w:eastAsia="Noto Sans Symbols" w:hAnsi="Noto Sans Symbols" w:cs="Noto Sans Symbols"/>
        <w:sz w:val="20"/>
        <w:szCs w:val="20"/>
      </w:rPr>
    </w:lvl>
  </w:abstractNum>
  <w:abstractNum w:abstractNumId="3" w15:restartNumberingAfterBreak="0">
    <w:nsid w:val="596C3AA2"/>
    <w:multiLevelType w:val="multilevel"/>
    <w:tmpl w:val="45BA6E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780696D"/>
    <w:multiLevelType w:val="multilevel"/>
    <w:tmpl w:val="94A4F1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7F317F9"/>
    <w:multiLevelType w:val="multilevel"/>
    <w:tmpl w:val="C3481B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03A203A"/>
    <w:multiLevelType w:val="multilevel"/>
    <w:tmpl w:val="2DAEC4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2131721"/>
    <w:multiLevelType w:val="multilevel"/>
    <w:tmpl w:val="281C45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52B480B"/>
    <w:multiLevelType w:val="multilevel"/>
    <w:tmpl w:val="159C6B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7B81599"/>
    <w:multiLevelType w:val="multilevel"/>
    <w:tmpl w:val="65AE4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9"/>
  </w:num>
  <w:num w:numId="3">
    <w:abstractNumId w:val="5"/>
  </w:num>
  <w:num w:numId="4">
    <w:abstractNumId w:val="7"/>
  </w:num>
  <w:num w:numId="5">
    <w:abstractNumId w:val="6"/>
  </w:num>
  <w:num w:numId="6">
    <w:abstractNumId w:val="8"/>
  </w:num>
  <w:num w:numId="7">
    <w:abstractNumId w:val="4"/>
  </w:num>
  <w:num w:numId="8">
    <w:abstractNumId w:val="0"/>
  </w:num>
  <w:num w:numId="9">
    <w:abstractNumId w:val="1"/>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KAR AJI BUKAR">
    <w15:presenceInfo w15:providerId="None" w15:userId="BUKAR AJI BUK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2A1"/>
    <w:rsid w:val="000404D7"/>
    <w:rsid w:val="00173E80"/>
    <w:rsid w:val="001C4B72"/>
    <w:rsid w:val="001E383D"/>
    <w:rsid w:val="00365A6D"/>
    <w:rsid w:val="00391FE0"/>
    <w:rsid w:val="00456073"/>
    <w:rsid w:val="00550E35"/>
    <w:rsid w:val="00935528"/>
    <w:rsid w:val="00A6432D"/>
    <w:rsid w:val="00BF0ECF"/>
    <w:rsid w:val="00C416D5"/>
    <w:rsid w:val="00CC42A1"/>
    <w:rsid w:val="00E13EC2"/>
    <w:rsid w:val="00EA40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E5BC35"/>
  <w15:docId w15:val="{413AC2CC-104E-4057-A83E-83C76EC3E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A5C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C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C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A5C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A5C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A5C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A5C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A5C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A5C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C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C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CDF"/>
    <w:rPr>
      <w:rFonts w:eastAsiaTheme="majorEastAsia" w:cstheme="majorBidi"/>
      <w:color w:val="272727" w:themeColor="text1" w:themeTint="D8"/>
    </w:rPr>
  </w:style>
  <w:style w:type="character" w:customStyle="1" w:styleId="TitleChar">
    <w:name w:val="Title Char"/>
    <w:basedOn w:val="DefaultParagraphFont"/>
    <w:link w:val="Title"/>
    <w:uiPriority w:val="10"/>
    <w:rsid w:val="00DA5CD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A5C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CDF"/>
    <w:pPr>
      <w:spacing w:before="160"/>
      <w:jc w:val="center"/>
    </w:pPr>
    <w:rPr>
      <w:i/>
      <w:iCs/>
      <w:color w:val="404040" w:themeColor="text1" w:themeTint="BF"/>
    </w:rPr>
  </w:style>
  <w:style w:type="character" w:customStyle="1" w:styleId="QuoteChar">
    <w:name w:val="Quote Char"/>
    <w:basedOn w:val="DefaultParagraphFont"/>
    <w:link w:val="Quote"/>
    <w:uiPriority w:val="29"/>
    <w:rsid w:val="00DA5CDF"/>
    <w:rPr>
      <w:i/>
      <w:iCs/>
      <w:color w:val="404040" w:themeColor="text1" w:themeTint="BF"/>
    </w:rPr>
  </w:style>
  <w:style w:type="paragraph" w:styleId="ListParagraph">
    <w:name w:val="List Paragraph"/>
    <w:basedOn w:val="Normal"/>
    <w:uiPriority w:val="34"/>
    <w:qFormat/>
    <w:rsid w:val="00DA5CDF"/>
    <w:pPr>
      <w:ind w:left="720"/>
      <w:contextualSpacing/>
    </w:pPr>
  </w:style>
  <w:style w:type="character" w:styleId="IntenseEmphasis">
    <w:name w:val="Intense Emphasis"/>
    <w:basedOn w:val="DefaultParagraphFont"/>
    <w:uiPriority w:val="21"/>
    <w:qFormat/>
    <w:rsid w:val="00DA5CDF"/>
    <w:rPr>
      <w:i/>
      <w:iCs/>
      <w:color w:val="2F5496" w:themeColor="accent1" w:themeShade="BF"/>
    </w:rPr>
  </w:style>
  <w:style w:type="paragraph" w:styleId="IntenseQuote">
    <w:name w:val="Intense Quote"/>
    <w:basedOn w:val="Normal"/>
    <w:next w:val="Normal"/>
    <w:link w:val="IntenseQuoteChar"/>
    <w:uiPriority w:val="30"/>
    <w:qFormat/>
    <w:rsid w:val="00DA5C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A5CDF"/>
    <w:rPr>
      <w:i/>
      <w:iCs/>
      <w:color w:val="2F5496" w:themeColor="accent1" w:themeShade="BF"/>
    </w:rPr>
  </w:style>
  <w:style w:type="character" w:styleId="IntenseReference">
    <w:name w:val="Intense Reference"/>
    <w:basedOn w:val="DefaultParagraphFont"/>
    <w:uiPriority w:val="32"/>
    <w:qFormat/>
    <w:rsid w:val="00DA5CDF"/>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styleId="TableGrid">
    <w:name w:val="Table Grid"/>
    <w:basedOn w:val="TableNormal"/>
    <w:uiPriority w:val="39"/>
    <w:rsid w:val="001C4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40BE"/>
    <w:rPr>
      <w:color w:val="0563C1" w:themeColor="hyperlink"/>
      <w:u w:val="single"/>
    </w:rPr>
  </w:style>
  <w:style w:type="character" w:customStyle="1" w:styleId="UnresolvedMention">
    <w:name w:val="Unresolved Mention"/>
    <w:basedOn w:val="DefaultParagraphFont"/>
    <w:uiPriority w:val="99"/>
    <w:semiHidden/>
    <w:unhideWhenUsed/>
    <w:rsid w:val="00EA40BE"/>
    <w:rPr>
      <w:color w:val="605E5C"/>
      <w:shd w:val="clear" w:color="auto" w:fill="E1DFDD"/>
    </w:rPr>
  </w:style>
  <w:style w:type="paragraph" w:styleId="Header">
    <w:name w:val="header"/>
    <w:basedOn w:val="Normal"/>
    <w:link w:val="HeaderChar"/>
    <w:uiPriority w:val="99"/>
    <w:unhideWhenUsed/>
    <w:rsid w:val="00456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073"/>
  </w:style>
  <w:style w:type="paragraph" w:styleId="Footer">
    <w:name w:val="footer"/>
    <w:basedOn w:val="Normal"/>
    <w:link w:val="FooterChar"/>
    <w:uiPriority w:val="99"/>
    <w:unhideWhenUsed/>
    <w:rsid w:val="00456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073"/>
  </w:style>
  <w:style w:type="character" w:styleId="CommentReference">
    <w:name w:val="annotation reference"/>
    <w:basedOn w:val="DefaultParagraphFont"/>
    <w:uiPriority w:val="99"/>
    <w:semiHidden/>
    <w:unhideWhenUsed/>
    <w:rsid w:val="000404D7"/>
    <w:rPr>
      <w:sz w:val="16"/>
      <w:szCs w:val="16"/>
    </w:rPr>
  </w:style>
  <w:style w:type="paragraph" w:styleId="CommentText">
    <w:name w:val="annotation text"/>
    <w:basedOn w:val="Normal"/>
    <w:link w:val="CommentTextChar"/>
    <w:uiPriority w:val="99"/>
    <w:semiHidden/>
    <w:unhideWhenUsed/>
    <w:rsid w:val="000404D7"/>
    <w:pPr>
      <w:spacing w:line="240" w:lineRule="auto"/>
    </w:pPr>
    <w:rPr>
      <w:sz w:val="20"/>
      <w:szCs w:val="20"/>
    </w:rPr>
  </w:style>
  <w:style w:type="character" w:customStyle="1" w:styleId="CommentTextChar">
    <w:name w:val="Comment Text Char"/>
    <w:basedOn w:val="DefaultParagraphFont"/>
    <w:link w:val="CommentText"/>
    <w:uiPriority w:val="99"/>
    <w:semiHidden/>
    <w:rsid w:val="000404D7"/>
    <w:rPr>
      <w:sz w:val="20"/>
      <w:szCs w:val="20"/>
    </w:rPr>
  </w:style>
  <w:style w:type="paragraph" w:styleId="CommentSubject">
    <w:name w:val="annotation subject"/>
    <w:basedOn w:val="CommentText"/>
    <w:next w:val="CommentText"/>
    <w:link w:val="CommentSubjectChar"/>
    <w:uiPriority w:val="99"/>
    <w:semiHidden/>
    <w:unhideWhenUsed/>
    <w:rsid w:val="000404D7"/>
    <w:rPr>
      <w:b/>
      <w:bCs/>
    </w:rPr>
  </w:style>
  <w:style w:type="character" w:customStyle="1" w:styleId="CommentSubjectChar">
    <w:name w:val="Comment Subject Char"/>
    <w:basedOn w:val="CommentTextChar"/>
    <w:link w:val="CommentSubject"/>
    <w:uiPriority w:val="99"/>
    <w:semiHidden/>
    <w:rsid w:val="000404D7"/>
    <w:rPr>
      <w:b/>
      <w:bCs/>
      <w:sz w:val="20"/>
      <w:szCs w:val="20"/>
    </w:rPr>
  </w:style>
  <w:style w:type="paragraph" w:styleId="BalloonText">
    <w:name w:val="Balloon Text"/>
    <w:basedOn w:val="Normal"/>
    <w:link w:val="BalloonTextChar"/>
    <w:uiPriority w:val="99"/>
    <w:semiHidden/>
    <w:unhideWhenUsed/>
    <w:rsid w:val="000404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4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GzWTHmlXGPLDZLZw0pCOzgLIw==">CgMxLjA4AHIhMWFrd3FDeU9yVS1QRDMtUm9OQjhUWnFMelVvbU1fNnJK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14</Pages>
  <Words>4222</Words>
  <Characters>24068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BUKAR AJI BUKAR</cp:lastModifiedBy>
  <cp:revision>7</cp:revision>
  <dcterms:created xsi:type="dcterms:W3CDTF">2025-09-28T15:29:00Z</dcterms:created>
  <dcterms:modified xsi:type="dcterms:W3CDTF">2025-10-15T21:46:00Z</dcterms:modified>
</cp:coreProperties>
</file>