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30FE7" w14:textId="20E43A11" w:rsidR="00DD4911" w:rsidRDefault="00DD4911" w:rsidP="00BB204B">
      <w:pPr>
        <w:jc w:val="right"/>
        <w:rPr>
          <w:rFonts w:ascii="Arial" w:hAnsi="Arial" w:cs="Arial"/>
          <w:b/>
          <w:bCs/>
          <w:sz w:val="36"/>
          <w:szCs w:val="36"/>
        </w:rPr>
      </w:pPr>
      <w:r w:rsidRPr="00DD4911">
        <w:rPr>
          <w:rFonts w:ascii="Arial" w:hAnsi="Arial" w:cs="Arial"/>
          <w:b/>
          <w:bCs/>
          <w:sz w:val="36"/>
          <w:szCs w:val="36"/>
        </w:rPr>
        <w:t>Original Research Article</w:t>
      </w:r>
    </w:p>
    <w:p w14:paraId="2EB8F8C8" w14:textId="1AFDEA52" w:rsidR="002A420D" w:rsidRPr="004869B8" w:rsidRDefault="002A420D" w:rsidP="00BB204B">
      <w:pPr>
        <w:jc w:val="right"/>
        <w:rPr>
          <w:rFonts w:ascii="Arial" w:hAnsi="Arial" w:cs="Arial"/>
          <w:b/>
          <w:bCs/>
          <w:sz w:val="36"/>
          <w:szCs w:val="36"/>
        </w:rPr>
      </w:pPr>
      <w:r w:rsidRPr="004869B8">
        <w:rPr>
          <w:rFonts w:ascii="Arial" w:hAnsi="Arial" w:cs="Arial"/>
          <w:b/>
          <w:bCs/>
          <w:sz w:val="36"/>
          <w:szCs w:val="36"/>
        </w:rPr>
        <w:t xml:space="preserve">Genetic Variability Studies in </w:t>
      </w:r>
      <w:r w:rsidR="008E0ECC" w:rsidRPr="004869B8">
        <w:rPr>
          <w:rFonts w:ascii="Arial" w:hAnsi="Arial" w:cs="Arial"/>
          <w:b/>
          <w:bCs/>
          <w:sz w:val="36"/>
          <w:szCs w:val="36"/>
        </w:rPr>
        <w:t xml:space="preserve">a Biparental </w:t>
      </w:r>
      <w:r w:rsidRPr="004869B8">
        <w:rPr>
          <w:rFonts w:ascii="Arial" w:hAnsi="Arial" w:cs="Arial"/>
          <w:b/>
          <w:bCs/>
          <w:sz w:val="36"/>
          <w:szCs w:val="36"/>
        </w:rPr>
        <w:t>RIL</w:t>
      </w:r>
      <w:r w:rsidR="008E0ECC" w:rsidRPr="004869B8">
        <w:rPr>
          <w:rFonts w:ascii="Arial" w:hAnsi="Arial" w:cs="Arial"/>
          <w:b/>
          <w:bCs/>
          <w:sz w:val="36"/>
          <w:szCs w:val="36"/>
        </w:rPr>
        <w:t xml:space="preserve"> Population</w:t>
      </w:r>
      <w:r w:rsidRPr="004869B8">
        <w:rPr>
          <w:rFonts w:ascii="Arial" w:hAnsi="Arial" w:cs="Arial"/>
          <w:b/>
          <w:bCs/>
          <w:sz w:val="36"/>
          <w:szCs w:val="36"/>
        </w:rPr>
        <w:t xml:space="preserve"> </w:t>
      </w:r>
      <w:r w:rsidR="00281542" w:rsidRPr="004869B8">
        <w:rPr>
          <w:rFonts w:ascii="Arial" w:hAnsi="Arial" w:cs="Arial"/>
          <w:b/>
          <w:bCs/>
          <w:sz w:val="36"/>
          <w:szCs w:val="36"/>
        </w:rPr>
        <w:t xml:space="preserve">for Blast </w:t>
      </w:r>
      <w:r w:rsidR="000B0847" w:rsidRPr="004869B8">
        <w:rPr>
          <w:rFonts w:ascii="Arial" w:hAnsi="Arial" w:cs="Arial"/>
          <w:b/>
          <w:bCs/>
          <w:sz w:val="36"/>
          <w:szCs w:val="36"/>
        </w:rPr>
        <w:t>D</w:t>
      </w:r>
      <w:r w:rsidR="00281542" w:rsidRPr="004869B8">
        <w:rPr>
          <w:rFonts w:ascii="Arial" w:hAnsi="Arial" w:cs="Arial"/>
          <w:b/>
          <w:bCs/>
          <w:sz w:val="36"/>
          <w:szCs w:val="36"/>
        </w:rPr>
        <w:t xml:space="preserve">isease in </w:t>
      </w:r>
      <w:r w:rsidRPr="004869B8">
        <w:rPr>
          <w:rFonts w:ascii="Arial" w:hAnsi="Arial" w:cs="Arial"/>
          <w:b/>
          <w:bCs/>
          <w:sz w:val="36"/>
          <w:szCs w:val="36"/>
        </w:rPr>
        <w:t>Pearl Millet</w:t>
      </w:r>
    </w:p>
    <w:p w14:paraId="7401410E" w14:textId="77777777" w:rsidR="00F623BA" w:rsidRDefault="00F623BA" w:rsidP="00361AE6">
      <w:pPr>
        <w:rPr>
          <w:rFonts w:ascii="Arial" w:hAnsi="Arial" w:cs="Arial"/>
          <w:b/>
          <w:bCs/>
        </w:rPr>
      </w:pPr>
    </w:p>
    <w:p w14:paraId="481860EF" w14:textId="1A2AB8D3" w:rsidR="00361AE6" w:rsidRDefault="00361AE6" w:rsidP="00361AE6">
      <w:pPr>
        <w:rPr>
          <w:rFonts w:ascii="Arial" w:hAnsi="Arial" w:cs="Arial"/>
          <w:b/>
          <w:bCs/>
        </w:rPr>
      </w:pPr>
      <w:r w:rsidRPr="00190D8C">
        <w:rPr>
          <w:rFonts w:ascii="Arial" w:hAnsi="Arial" w:cs="Arial"/>
          <w:b/>
          <w:bCs/>
        </w:rPr>
        <w:t>ABSTRACT</w:t>
      </w:r>
    </w:p>
    <w:p w14:paraId="3952ABA9" w14:textId="4AC3C225" w:rsidR="009A5ABB" w:rsidRPr="00BA680D" w:rsidRDefault="009A5ABB" w:rsidP="002868CA">
      <w:pPr>
        <w:jc w:val="both"/>
        <w:rPr>
          <w:rFonts w:ascii="Arial" w:hAnsi="Arial" w:cs="Arial"/>
          <w:b/>
          <w:bCs/>
          <w:sz w:val="20"/>
          <w:szCs w:val="20"/>
        </w:rPr>
      </w:pPr>
      <w:r w:rsidRPr="00BA680D">
        <w:rPr>
          <w:rFonts w:ascii="Arial" w:hAnsi="Arial" w:cs="Arial"/>
          <w:b/>
          <w:bCs/>
          <w:sz w:val="20"/>
          <w:szCs w:val="20"/>
        </w:rPr>
        <w:t xml:space="preserve">Aim: </w:t>
      </w:r>
      <w:r w:rsidRPr="00BA680D">
        <w:rPr>
          <w:rFonts w:ascii="Arial" w:hAnsi="Arial" w:cs="Arial"/>
          <w:sz w:val="20"/>
          <w:szCs w:val="20"/>
        </w:rPr>
        <w:t>This study aimed to estimate genetic parameters within a pearl millet population comprising 288 recombinant inbred lines (RILs) of the F</w:t>
      </w:r>
      <w:r w:rsidRPr="00BA680D">
        <w:rPr>
          <w:rFonts w:ascii="Arial" w:hAnsi="Arial" w:cs="Arial"/>
          <w:sz w:val="20"/>
          <w:szCs w:val="20"/>
          <w:vertAlign w:val="subscript"/>
        </w:rPr>
        <w:t>7</w:t>
      </w:r>
      <w:r w:rsidRPr="00BA680D">
        <w:rPr>
          <w:rFonts w:ascii="Arial" w:hAnsi="Arial" w:cs="Arial"/>
          <w:sz w:val="20"/>
          <w:szCs w:val="20"/>
        </w:rPr>
        <w:t xml:space="preserve"> generation along with two parental lines. The investigation focused on exploring the relationships among 13 quantitative traits and Blast disease score across two environments (ENV-I, ENV-II) as well as in pooled environments</w:t>
      </w:r>
      <w:r w:rsidR="00254759">
        <w:rPr>
          <w:rFonts w:ascii="Arial" w:hAnsi="Arial" w:cs="Arial"/>
          <w:sz w:val="20"/>
          <w:szCs w:val="20"/>
        </w:rPr>
        <w:t>.</w:t>
      </w:r>
    </w:p>
    <w:p w14:paraId="1B913448" w14:textId="70F4E99A" w:rsidR="009A5ABB" w:rsidRDefault="009A5ABB" w:rsidP="002868CA">
      <w:pPr>
        <w:jc w:val="both"/>
        <w:rPr>
          <w:rFonts w:ascii="Arial" w:hAnsi="Arial" w:cs="Arial"/>
          <w:sz w:val="20"/>
          <w:szCs w:val="20"/>
        </w:rPr>
      </w:pPr>
      <w:r w:rsidRPr="009A5ABB">
        <w:rPr>
          <w:rFonts w:ascii="Arial" w:hAnsi="Arial" w:cs="Arial"/>
          <w:b/>
          <w:bCs/>
          <w:sz w:val="20"/>
          <w:szCs w:val="20"/>
        </w:rPr>
        <w:t>Study Design:</w:t>
      </w:r>
      <w:r>
        <w:rPr>
          <w:rFonts w:ascii="Arial" w:hAnsi="Arial" w:cs="Arial"/>
          <w:sz w:val="20"/>
          <w:szCs w:val="20"/>
        </w:rPr>
        <w:t xml:space="preserve"> Alpha Lattice Design</w:t>
      </w:r>
    </w:p>
    <w:p w14:paraId="67741B7D" w14:textId="57E8D449" w:rsidR="00BA680D" w:rsidRDefault="007E0879" w:rsidP="002868CA">
      <w:pPr>
        <w:jc w:val="both"/>
        <w:rPr>
          <w:rFonts w:ascii="Arial" w:eastAsia="Calibri" w:hAnsi="Arial" w:cs="Arial"/>
          <w:bCs/>
          <w:sz w:val="20"/>
          <w:szCs w:val="20"/>
        </w:rPr>
      </w:pPr>
      <w:r w:rsidRPr="00BA680D">
        <w:rPr>
          <w:rFonts w:ascii="Arial" w:eastAsia="Calibri" w:hAnsi="Arial" w:cs="Arial"/>
          <w:b/>
          <w:sz w:val="20"/>
          <w:szCs w:val="20"/>
        </w:rPr>
        <w:t xml:space="preserve">Place and Duration of Study: </w:t>
      </w:r>
      <w:proofErr w:type="spellStart"/>
      <w:r w:rsidRPr="00BA680D">
        <w:rPr>
          <w:rFonts w:ascii="Arial" w:eastAsia="Calibri" w:hAnsi="Arial" w:cs="Arial"/>
          <w:bCs/>
          <w:sz w:val="20"/>
          <w:szCs w:val="20"/>
        </w:rPr>
        <w:t>Patancheru</w:t>
      </w:r>
      <w:proofErr w:type="spellEnd"/>
      <w:r w:rsidR="00413300">
        <w:rPr>
          <w:rFonts w:ascii="Arial" w:eastAsia="Calibri" w:hAnsi="Arial" w:cs="Arial"/>
          <w:bCs/>
          <w:sz w:val="20"/>
          <w:szCs w:val="20"/>
        </w:rPr>
        <w:t xml:space="preserve">, </w:t>
      </w:r>
      <w:proofErr w:type="spellStart"/>
      <w:r w:rsidR="00413300">
        <w:rPr>
          <w:rFonts w:ascii="Arial" w:eastAsia="Calibri" w:hAnsi="Arial" w:cs="Arial"/>
          <w:bCs/>
          <w:sz w:val="20"/>
          <w:szCs w:val="20"/>
        </w:rPr>
        <w:t>Telangana</w:t>
      </w:r>
      <w:proofErr w:type="spellEnd"/>
      <w:r w:rsidR="00413300">
        <w:rPr>
          <w:rFonts w:ascii="Arial" w:eastAsia="Calibri" w:hAnsi="Arial" w:cs="Arial"/>
          <w:bCs/>
          <w:sz w:val="20"/>
          <w:szCs w:val="20"/>
        </w:rPr>
        <w:t xml:space="preserve"> </w:t>
      </w:r>
      <w:r w:rsidRPr="00BA680D">
        <w:rPr>
          <w:rFonts w:ascii="Arial" w:eastAsia="Calibri" w:hAnsi="Arial" w:cs="Arial"/>
          <w:bCs/>
          <w:sz w:val="20"/>
          <w:szCs w:val="20"/>
        </w:rPr>
        <w:t xml:space="preserve">and </w:t>
      </w:r>
      <w:proofErr w:type="spellStart"/>
      <w:r w:rsidRPr="00BA680D">
        <w:rPr>
          <w:rFonts w:ascii="Arial" w:eastAsia="Calibri" w:hAnsi="Arial" w:cs="Arial"/>
          <w:bCs/>
          <w:sz w:val="20"/>
          <w:szCs w:val="20"/>
        </w:rPr>
        <w:t>Vizianagaram</w:t>
      </w:r>
      <w:proofErr w:type="spellEnd"/>
      <w:r w:rsidRPr="00BA680D">
        <w:rPr>
          <w:rFonts w:ascii="Arial" w:eastAsia="Calibri" w:hAnsi="Arial" w:cs="Arial"/>
          <w:bCs/>
          <w:sz w:val="20"/>
          <w:szCs w:val="20"/>
        </w:rPr>
        <w:t xml:space="preserve">, </w:t>
      </w:r>
      <w:r w:rsidR="00413300">
        <w:rPr>
          <w:rFonts w:ascii="Arial" w:eastAsia="Calibri" w:hAnsi="Arial" w:cs="Arial"/>
          <w:bCs/>
          <w:sz w:val="20"/>
          <w:szCs w:val="20"/>
        </w:rPr>
        <w:t xml:space="preserve">Andhra Pradesh </w:t>
      </w:r>
      <w:r w:rsidRPr="00BA680D">
        <w:rPr>
          <w:rFonts w:ascii="Arial" w:eastAsia="Calibri" w:hAnsi="Arial" w:cs="Arial"/>
          <w:bCs/>
          <w:sz w:val="20"/>
          <w:szCs w:val="20"/>
        </w:rPr>
        <w:t>during Kharif, 2023.</w:t>
      </w:r>
    </w:p>
    <w:p w14:paraId="0E773737" w14:textId="1FA1EFDC" w:rsidR="007E0879" w:rsidRPr="008750EE" w:rsidRDefault="00254759" w:rsidP="008750EE">
      <w:pPr>
        <w:jc w:val="both"/>
        <w:rPr>
          <w:rFonts w:ascii="Arial" w:hAnsi="Arial" w:cs="Arial"/>
          <w:sz w:val="20"/>
          <w:szCs w:val="20"/>
        </w:rPr>
      </w:pPr>
      <w:r w:rsidRPr="00254759">
        <w:rPr>
          <w:rFonts w:ascii="Arial" w:hAnsi="Arial" w:cs="Arial"/>
          <w:b/>
          <w:bCs/>
          <w:sz w:val="20"/>
          <w:szCs w:val="20"/>
        </w:rPr>
        <w:t xml:space="preserve">Methodology: </w:t>
      </w:r>
      <w:r w:rsidR="007E0879" w:rsidRPr="00254759">
        <w:rPr>
          <w:rFonts w:ascii="Arial" w:hAnsi="Arial" w:cs="Arial"/>
          <w:b/>
          <w:bCs/>
          <w:sz w:val="20"/>
          <w:szCs w:val="20"/>
        </w:rPr>
        <w:t xml:space="preserve"> </w:t>
      </w:r>
      <w:r w:rsidR="008750EE" w:rsidRPr="004869B8">
        <w:rPr>
          <w:rFonts w:ascii="Arial" w:hAnsi="Arial" w:cs="Arial"/>
          <w:sz w:val="20"/>
          <w:szCs w:val="20"/>
        </w:rPr>
        <w:t>The</w:t>
      </w:r>
      <w:r w:rsidR="00574878">
        <w:rPr>
          <w:rFonts w:ascii="Arial" w:hAnsi="Arial" w:cs="Arial"/>
          <w:sz w:val="20"/>
          <w:szCs w:val="20"/>
        </w:rPr>
        <w:t xml:space="preserve"> </w:t>
      </w:r>
      <w:r w:rsidR="008750EE" w:rsidRPr="004869B8">
        <w:rPr>
          <w:rFonts w:ascii="Arial" w:hAnsi="Arial" w:cs="Arial"/>
          <w:sz w:val="20"/>
          <w:szCs w:val="20"/>
        </w:rPr>
        <w:t>RIL</w:t>
      </w:r>
      <w:r w:rsidR="00574878">
        <w:rPr>
          <w:rFonts w:ascii="Arial" w:hAnsi="Arial" w:cs="Arial"/>
          <w:sz w:val="20"/>
          <w:szCs w:val="20"/>
        </w:rPr>
        <w:t>s</w:t>
      </w:r>
      <w:r w:rsidR="008750EE" w:rsidRPr="004869B8">
        <w:rPr>
          <w:rFonts w:ascii="Arial" w:hAnsi="Arial" w:cs="Arial"/>
          <w:sz w:val="20"/>
          <w:szCs w:val="20"/>
        </w:rPr>
        <w:t xml:space="preserve"> used for this current study </w:t>
      </w:r>
      <w:r w:rsidR="008750EE">
        <w:rPr>
          <w:rFonts w:ascii="Arial" w:hAnsi="Arial" w:cs="Arial"/>
          <w:sz w:val="20"/>
          <w:szCs w:val="20"/>
        </w:rPr>
        <w:t xml:space="preserve">developed </w:t>
      </w:r>
      <w:r w:rsidR="008750EE" w:rsidRPr="004869B8">
        <w:rPr>
          <w:rFonts w:ascii="Arial" w:hAnsi="Arial" w:cs="Arial"/>
          <w:sz w:val="20"/>
          <w:szCs w:val="20"/>
        </w:rPr>
        <w:t xml:space="preserve">through the single seed descent method at ICRISAT, </w:t>
      </w:r>
      <w:proofErr w:type="spellStart"/>
      <w:r w:rsidR="008750EE" w:rsidRPr="004869B8">
        <w:rPr>
          <w:rFonts w:ascii="Arial" w:hAnsi="Arial" w:cs="Arial"/>
          <w:sz w:val="20"/>
          <w:szCs w:val="20"/>
        </w:rPr>
        <w:t>Patancheru</w:t>
      </w:r>
      <w:proofErr w:type="spellEnd"/>
      <w:r w:rsidR="008750EE" w:rsidRPr="004869B8">
        <w:rPr>
          <w:rFonts w:ascii="Arial" w:hAnsi="Arial" w:cs="Arial"/>
          <w:sz w:val="20"/>
          <w:szCs w:val="20"/>
        </w:rPr>
        <w:t xml:space="preserve">. The genotypes were assessed at ICRISAT, </w:t>
      </w:r>
      <w:proofErr w:type="spellStart"/>
      <w:r w:rsidR="008750EE" w:rsidRPr="004869B8">
        <w:rPr>
          <w:rFonts w:ascii="Arial" w:hAnsi="Arial" w:cs="Arial"/>
          <w:sz w:val="20"/>
          <w:szCs w:val="20"/>
        </w:rPr>
        <w:t>Patancheru</w:t>
      </w:r>
      <w:proofErr w:type="spellEnd"/>
      <w:r w:rsidR="008750EE" w:rsidRPr="004869B8">
        <w:rPr>
          <w:rFonts w:ascii="Arial" w:hAnsi="Arial" w:cs="Arial"/>
          <w:sz w:val="20"/>
          <w:szCs w:val="20"/>
        </w:rPr>
        <w:t>, Hyderabad (ENV-I), and Agricultural Research Station, Vizianagaram, Andhra Pradesh (ENV-II)</w:t>
      </w:r>
      <w:r w:rsidR="008750EE">
        <w:rPr>
          <w:rFonts w:ascii="Arial" w:hAnsi="Arial" w:cs="Arial"/>
          <w:sz w:val="20"/>
          <w:szCs w:val="20"/>
        </w:rPr>
        <w:t>.</w:t>
      </w:r>
      <w:r w:rsidR="00574878">
        <w:rPr>
          <w:rFonts w:ascii="Arial" w:hAnsi="Arial" w:cs="Arial"/>
          <w:sz w:val="20"/>
          <w:szCs w:val="20"/>
        </w:rPr>
        <w:t xml:space="preserve"> Combined Analysis of Variance, Heritability, Phenotypic Coefficient of Variation</w:t>
      </w:r>
      <w:r w:rsidR="00F3017A">
        <w:rPr>
          <w:rFonts w:ascii="Arial" w:hAnsi="Arial" w:cs="Arial"/>
          <w:sz w:val="20"/>
          <w:szCs w:val="20"/>
        </w:rPr>
        <w:t xml:space="preserve"> (PCV)</w:t>
      </w:r>
      <w:r w:rsidR="00574878">
        <w:rPr>
          <w:rFonts w:ascii="Arial" w:hAnsi="Arial" w:cs="Arial"/>
          <w:sz w:val="20"/>
          <w:szCs w:val="20"/>
        </w:rPr>
        <w:t>, Genotypic Coefficient of Variation</w:t>
      </w:r>
      <w:r w:rsidR="00F3017A">
        <w:rPr>
          <w:rFonts w:ascii="Arial" w:hAnsi="Arial" w:cs="Arial"/>
          <w:sz w:val="20"/>
          <w:szCs w:val="20"/>
        </w:rPr>
        <w:t xml:space="preserve"> (GCV)</w:t>
      </w:r>
      <w:r w:rsidR="00574878">
        <w:rPr>
          <w:rFonts w:ascii="Arial" w:hAnsi="Arial" w:cs="Arial"/>
          <w:sz w:val="20"/>
          <w:szCs w:val="20"/>
        </w:rPr>
        <w:t>, Genetic Advance as percent of Mean</w:t>
      </w:r>
      <w:r w:rsidR="00F3017A">
        <w:rPr>
          <w:rFonts w:ascii="Arial" w:hAnsi="Arial" w:cs="Arial"/>
          <w:sz w:val="20"/>
          <w:szCs w:val="20"/>
        </w:rPr>
        <w:t xml:space="preserve"> (GAM)</w:t>
      </w:r>
      <w:r w:rsidR="00574878">
        <w:rPr>
          <w:rFonts w:ascii="Arial" w:hAnsi="Arial" w:cs="Arial"/>
          <w:sz w:val="20"/>
          <w:szCs w:val="20"/>
        </w:rPr>
        <w:t xml:space="preserve">, and Correlation studies were performed </w:t>
      </w:r>
      <w:r w:rsidR="001365F1">
        <w:rPr>
          <w:rFonts w:ascii="Arial" w:hAnsi="Arial" w:cs="Arial"/>
          <w:sz w:val="20"/>
          <w:szCs w:val="20"/>
        </w:rPr>
        <w:t>in</w:t>
      </w:r>
      <w:r w:rsidR="00574878">
        <w:rPr>
          <w:rFonts w:ascii="Arial" w:hAnsi="Arial" w:cs="Arial"/>
          <w:sz w:val="20"/>
          <w:szCs w:val="20"/>
        </w:rPr>
        <w:t xml:space="preserve"> R 4.4.0.</w:t>
      </w:r>
    </w:p>
    <w:p w14:paraId="3ED6C983" w14:textId="77777777" w:rsidR="008D5CBB" w:rsidRDefault="00254759" w:rsidP="00363264">
      <w:pPr>
        <w:spacing w:line="276" w:lineRule="auto"/>
        <w:jc w:val="both"/>
        <w:rPr>
          <w:rFonts w:ascii="Arial" w:hAnsi="Arial" w:cs="Arial"/>
          <w:sz w:val="20"/>
          <w:szCs w:val="20"/>
        </w:rPr>
      </w:pPr>
      <w:r w:rsidRPr="00254759">
        <w:rPr>
          <w:rFonts w:ascii="Arial" w:hAnsi="Arial" w:cs="Arial"/>
          <w:b/>
          <w:bCs/>
          <w:sz w:val="20"/>
          <w:szCs w:val="20"/>
        </w:rPr>
        <w:t>Results:</w:t>
      </w:r>
      <w:r>
        <w:rPr>
          <w:rFonts w:ascii="Arial" w:hAnsi="Arial" w:cs="Arial"/>
          <w:sz w:val="20"/>
          <w:szCs w:val="20"/>
        </w:rPr>
        <w:t xml:space="preserve"> </w:t>
      </w:r>
      <w:r w:rsidR="00361AE6" w:rsidRPr="004869B8">
        <w:rPr>
          <w:rFonts w:ascii="Arial" w:hAnsi="Arial" w:cs="Arial"/>
          <w:sz w:val="20"/>
          <w:szCs w:val="20"/>
        </w:rPr>
        <w:t xml:space="preserve">The analysis identified significant variation in both the quantitative traits and Blast disease scores among the RILs, highlighting the potential for genetic improvement and selection. </w:t>
      </w:r>
      <w:r w:rsidR="00490E80" w:rsidRPr="004869B8">
        <w:rPr>
          <w:rFonts w:ascii="Arial" w:hAnsi="Arial" w:cs="Arial"/>
          <w:sz w:val="20"/>
          <w:szCs w:val="20"/>
        </w:rPr>
        <w:t>High heritability coupled with substantial</w:t>
      </w:r>
      <w:r w:rsidR="0013643D" w:rsidRPr="004869B8">
        <w:rPr>
          <w:rFonts w:ascii="Arial" w:hAnsi="Arial" w:cs="Arial"/>
          <w:sz w:val="20"/>
          <w:szCs w:val="20"/>
        </w:rPr>
        <w:t xml:space="preserve"> </w:t>
      </w:r>
      <w:r w:rsidR="00490E80" w:rsidRPr="004869B8">
        <w:rPr>
          <w:rFonts w:ascii="Arial" w:hAnsi="Arial" w:cs="Arial"/>
          <w:sz w:val="20"/>
          <w:szCs w:val="20"/>
        </w:rPr>
        <w:t>genetic advance was observed for traits such as Plant Height, Number of Tillers, Panicle Length,</w:t>
      </w:r>
      <w:r w:rsidR="0013643D" w:rsidRPr="004869B8">
        <w:rPr>
          <w:rFonts w:ascii="Arial" w:hAnsi="Arial" w:cs="Arial"/>
          <w:sz w:val="20"/>
          <w:szCs w:val="20"/>
        </w:rPr>
        <w:t xml:space="preserve"> </w:t>
      </w:r>
      <w:r w:rsidR="00490E80" w:rsidRPr="004869B8">
        <w:rPr>
          <w:rFonts w:ascii="Arial" w:hAnsi="Arial" w:cs="Arial"/>
          <w:sz w:val="20"/>
          <w:szCs w:val="20"/>
        </w:rPr>
        <w:t>Thousand Seed Weight, Seed Yield, Harvest Index, and Blast Score across ENV-I, ENV-II and Pooled</w:t>
      </w:r>
      <w:r w:rsidR="0013643D" w:rsidRPr="004869B8">
        <w:rPr>
          <w:rFonts w:ascii="Arial" w:hAnsi="Arial" w:cs="Arial"/>
          <w:sz w:val="20"/>
          <w:szCs w:val="20"/>
        </w:rPr>
        <w:t xml:space="preserve"> </w:t>
      </w:r>
      <w:r w:rsidR="00490E80" w:rsidRPr="004869B8">
        <w:rPr>
          <w:rFonts w:ascii="Arial" w:hAnsi="Arial" w:cs="Arial"/>
          <w:sz w:val="20"/>
          <w:szCs w:val="20"/>
        </w:rPr>
        <w:t>environments. PCV and GCV were notably high</w:t>
      </w:r>
      <w:r w:rsidR="0013643D" w:rsidRPr="004869B8">
        <w:rPr>
          <w:rFonts w:ascii="Arial" w:hAnsi="Arial" w:cs="Arial"/>
          <w:sz w:val="20"/>
          <w:szCs w:val="20"/>
        </w:rPr>
        <w:t xml:space="preserve"> </w:t>
      </w:r>
      <w:r w:rsidR="00490E80" w:rsidRPr="004869B8">
        <w:rPr>
          <w:rFonts w:ascii="Arial" w:hAnsi="Arial" w:cs="Arial"/>
          <w:sz w:val="20"/>
          <w:szCs w:val="20"/>
        </w:rPr>
        <w:t xml:space="preserve">for </w:t>
      </w:r>
      <w:r w:rsidR="0058735F" w:rsidRPr="004869B8">
        <w:rPr>
          <w:rFonts w:ascii="Arial" w:hAnsi="Arial" w:cs="Arial"/>
          <w:sz w:val="20"/>
          <w:szCs w:val="20"/>
        </w:rPr>
        <w:t xml:space="preserve">the </w:t>
      </w:r>
      <w:r w:rsidR="00490E80" w:rsidRPr="004869B8">
        <w:rPr>
          <w:rFonts w:ascii="Arial" w:hAnsi="Arial" w:cs="Arial"/>
          <w:sz w:val="20"/>
          <w:szCs w:val="20"/>
        </w:rPr>
        <w:t>Number of Tillers, Number of Productive Tillers, Thousand Seed Weight, Seed Yield, and Blast Score</w:t>
      </w:r>
      <w:r w:rsidR="0013643D" w:rsidRPr="004869B8">
        <w:rPr>
          <w:rFonts w:ascii="Arial" w:hAnsi="Arial" w:cs="Arial"/>
          <w:sz w:val="20"/>
          <w:szCs w:val="20"/>
        </w:rPr>
        <w:t xml:space="preserve"> </w:t>
      </w:r>
      <w:r w:rsidR="00490E80" w:rsidRPr="004869B8">
        <w:rPr>
          <w:rFonts w:ascii="Arial" w:hAnsi="Arial" w:cs="Arial"/>
          <w:sz w:val="20"/>
          <w:szCs w:val="20"/>
        </w:rPr>
        <w:t>across ENV-I, ENV-II, and Pooled Environments. Seed Yield showed positive and significant correlations</w:t>
      </w:r>
      <w:r w:rsidR="0013643D" w:rsidRPr="004869B8">
        <w:rPr>
          <w:rFonts w:ascii="Arial" w:hAnsi="Arial" w:cs="Arial"/>
          <w:sz w:val="20"/>
          <w:szCs w:val="20"/>
        </w:rPr>
        <w:t xml:space="preserve"> </w:t>
      </w:r>
      <w:r w:rsidR="00490E80" w:rsidRPr="004869B8">
        <w:rPr>
          <w:rFonts w:ascii="Arial" w:hAnsi="Arial" w:cs="Arial"/>
          <w:sz w:val="20"/>
          <w:szCs w:val="20"/>
        </w:rPr>
        <w:t xml:space="preserve">with </w:t>
      </w:r>
      <w:r w:rsidR="009A5ABB">
        <w:rPr>
          <w:rFonts w:ascii="Arial" w:hAnsi="Arial" w:cs="Arial"/>
          <w:sz w:val="20"/>
          <w:szCs w:val="20"/>
        </w:rPr>
        <w:t xml:space="preserve">the </w:t>
      </w:r>
      <w:r w:rsidR="00490E80" w:rsidRPr="004869B8">
        <w:rPr>
          <w:rFonts w:ascii="Arial" w:hAnsi="Arial" w:cs="Arial"/>
          <w:sz w:val="20"/>
          <w:szCs w:val="20"/>
        </w:rPr>
        <w:t>Number of Productive Tillers, Harvest Index, Plant Height, and Number of Tillers in all</w:t>
      </w:r>
      <w:r w:rsidR="0013643D" w:rsidRPr="004869B8">
        <w:rPr>
          <w:rFonts w:ascii="Arial" w:hAnsi="Arial" w:cs="Arial"/>
          <w:sz w:val="20"/>
          <w:szCs w:val="20"/>
        </w:rPr>
        <w:t xml:space="preserve"> </w:t>
      </w:r>
      <w:r w:rsidR="00490E80" w:rsidRPr="004869B8">
        <w:rPr>
          <w:rFonts w:ascii="Arial" w:hAnsi="Arial" w:cs="Arial"/>
          <w:sz w:val="20"/>
          <w:szCs w:val="20"/>
        </w:rPr>
        <w:t>environments. Conversely, Blast Score exhibited negative associations with all studied traits across the</w:t>
      </w:r>
      <w:r w:rsidR="0013643D" w:rsidRPr="004869B8">
        <w:rPr>
          <w:rFonts w:ascii="Arial" w:hAnsi="Arial" w:cs="Arial"/>
          <w:sz w:val="20"/>
          <w:szCs w:val="20"/>
        </w:rPr>
        <w:t xml:space="preserve"> </w:t>
      </w:r>
      <w:r w:rsidR="00490E80" w:rsidRPr="004869B8">
        <w:rPr>
          <w:rFonts w:ascii="Arial" w:hAnsi="Arial" w:cs="Arial"/>
          <w:sz w:val="20"/>
          <w:szCs w:val="20"/>
        </w:rPr>
        <w:t>environments.</w:t>
      </w:r>
      <w:r w:rsidR="0013643D" w:rsidRPr="004869B8">
        <w:rPr>
          <w:rFonts w:ascii="Arial" w:hAnsi="Arial" w:cs="Arial"/>
          <w:sz w:val="20"/>
          <w:szCs w:val="20"/>
        </w:rPr>
        <w:t xml:space="preserve"> </w:t>
      </w:r>
    </w:p>
    <w:p w14:paraId="09C6DA2C" w14:textId="22AC160E" w:rsidR="00361AE6" w:rsidRPr="004869B8" w:rsidRDefault="00A92608" w:rsidP="00363264">
      <w:pPr>
        <w:spacing w:line="276" w:lineRule="auto"/>
        <w:jc w:val="both"/>
        <w:rPr>
          <w:rFonts w:ascii="Arial" w:hAnsi="Arial" w:cs="Arial"/>
          <w:sz w:val="20"/>
          <w:szCs w:val="20"/>
        </w:rPr>
      </w:pPr>
      <w:r w:rsidRPr="00A92608">
        <w:rPr>
          <w:rFonts w:ascii="Arial" w:hAnsi="Arial" w:cs="Arial"/>
          <w:b/>
          <w:bCs/>
          <w:sz w:val="20"/>
          <w:szCs w:val="20"/>
        </w:rPr>
        <w:t xml:space="preserve">Conclusion: </w:t>
      </w:r>
      <w:r w:rsidR="006B5D5C" w:rsidRPr="004869B8">
        <w:rPr>
          <w:rFonts w:ascii="Arial" w:hAnsi="Arial" w:cs="Arial"/>
          <w:sz w:val="20"/>
          <w:szCs w:val="20"/>
        </w:rPr>
        <w:t>High heritability coupled with high GA</w:t>
      </w:r>
      <w:r w:rsidR="00C9473B">
        <w:rPr>
          <w:rFonts w:ascii="Arial" w:hAnsi="Arial" w:cs="Arial"/>
          <w:sz w:val="20"/>
          <w:szCs w:val="20"/>
        </w:rPr>
        <w:t>M</w:t>
      </w:r>
      <w:r w:rsidR="006B5D5C" w:rsidRPr="004869B8">
        <w:rPr>
          <w:rFonts w:ascii="Arial" w:hAnsi="Arial" w:cs="Arial"/>
          <w:sz w:val="20"/>
          <w:szCs w:val="20"/>
        </w:rPr>
        <w:t>, along with medium to high PCV and GCV for traits such as plant height, panicle length, seed yield, harvest index, and thousand seed weight, indicates that these traits are predominantly genetically controlled and can be improved significantly through selection, making them valuable for breeding.</w:t>
      </w:r>
      <w:r w:rsidR="006B5D5C">
        <w:rPr>
          <w:rFonts w:ascii="Arial" w:hAnsi="Arial" w:cs="Arial"/>
          <w:sz w:val="20"/>
          <w:szCs w:val="20"/>
        </w:rPr>
        <w:t xml:space="preserve"> </w:t>
      </w:r>
      <w:r w:rsidR="006B5D5C" w:rsidRPr="004869B8">
        <w:rPr>
          <w:rFonts w:ascii="Arial" w:hAnsi="Arial" w:cs="Arial"/>
          <w:sz w:val="20"/>
          <w:szCs w:val="20"/>
        </w:rPr>
        <w:t xml:space="preserve"> </w:t>
      </w:r>
      <w:r w:rsidR="00F967CE" w:rsidRPr="00F967CE">
        <w:rPr>
          <w:rFonts w:ascii="Arial" w:hAnsi="Arial" w:cs="Arial"/>
          <w:sz w:val="20"/>
          <w:szCs w:val="20"/>
        </w:rPr>
        <w:t>Blast disease was negatively correlated with seed yield, thousand seed weight, days to maturity, harvest index, number of leaves, number of productive tillers, plant height, and number of tillers, suggesting that increased susceptibility to blast disease negatively affects key agronomic traits. This implies that genotypes with higher blast disease scores tend to exhibit lower productivity, delayed maturity, and reduced overall plant vigor, making resistance to blast disease a critical factor for achieving optimal crop performance and yield stability.</w:t>
      </w:r>
    </w:p>
    <w:p w14:paraId="1E39FD56" w14:textId="7A371948" w:rsidR="0077780C" w:rsidRPr="00425542" w:rsidRDefault="0077780C" w:rsidP="002A2653">
      <w:pPr>
        <w:jc w:val="both"/>
        <w:rPr>
          <w:rFonts w:ascii="Arial" w:hAnsi="Arial" w:cs="Arial"/>
          <w:i/>
          <w:iCs/>
          <w:sz w:val="20"/>
          <w:szCs w:val="20"/>
        </w:rPr>
      </w:pPr>
      <w:r w:rsidRPr="00425542">
        <w:rPr>
          <w:rFonts w:ascii="Arial" w:hAnsi="Arial" w:cs="Arial"/>
          <w:b/>
          <w:bCs/>
          <w:i/>
          <w:iCs/>
          <w:sz w:val="20"/>
          <w:szCs w:val="20"/>
        </w:rPr>
        <w:t>Keywords</w:t>
      </w:r>
      <w:r w:rsidRPr="00425542">
        <w:rPr>
          <w:rFonts w:ascii="Arial" w:hAnsi="Arial" w:cs="Arial"/>
          <w:i/>
          <w:iCs/>
          <w:sz w:val="20"/>
          <w:szCs w:val="20"/>
        </w:rPr>
        <w:t>: Heritability, PCV, GCV, Correlation, Blast Disease Resistance</w:t>
      </w:r>
    </w:p>
    <w:p w14:paraId="1E43ADCC" w14:textId="0C9B39F4" w:rsidR="000F75FA" w:rsidRPr="0014573F" w:rsidRDefault="00196F49" w:rsidP="00196F49">
      <w:pPr>
        <w:jc w:val="both"/>
        <w:rPr>
          <w:rFonts w:ascii="Arial" w:hAnsi="Arial" w:cs="Arial"/>
          <w:b/>
          <w:bCs/>
        </w:rPr>
      </w:pPr>
      <w:r w:rsidRPr="0014573F">
        <w:rPr>
          <w:rFonts w:ascii="Arial" w:hAnsi="Arial" w:cs="Arial"/>
          <w:b/>
          <w:bCs/>
        </w:rPr>
        <w:t xml:space="preserve">1. </w:t>
      </w:r>
      <w:r w:rsidR="000F75FA" w:rsidRPr="0014573F">
        <w:rPr>
          <w:rFonts w:ascii="Arial" w:hAnsi="Arial" w:cs="Arial"/>
          <w:b/>
          <w:bCs/>
        </w:rPr>
        <w:t>INTRODUCTION</w:t>
      </w:r>
    </w:p>
    <w:p w14:paraId="41F2D60C" w14:textId="6C0761F3" w:rsidR="00951430" w:rsidRPr="004869B8" w:rsidRDefault="00951430" w:rsidP="00951430">
      <w:pPr>
        <w:ind w:firstLine="720"/>
        <w:jc w:val="both"/>
        <w:rPr>
          <w:rFonts w:ascii="Arial" w:hAnsi="Arial" w:cs="Arial"/>
          <w:sz w:val="20"/>
          <w:szCs w:val="20"/>
        </w:rPr>
      </w:pPr>
      <w:r w:rsidRPr="004869B8">
        <w:rPr>
          <w:rFonts w:ascii="Arial" w:hAnsi="Arial" w:cs="Arial"/>
          <w:sz w:val="20"/>
          <w:szCs w:val="20"/>
        </w:rPr>
        <w:t>Pearl millet (</w:t>
      </w:r>
      <w:r w:rsidRPr="004869B8">
        <w:rPr>
          <w:rFonts w:ascii="Arial" w:hAnsi="Arial" w:cs="Arial"/>
          <w:i/>
          <w:iCs/>
          <w:sz w:val="20"/>
          <w:szCs w:val="20"/>
        </w:rPr>
        <w:t>Pennisetum glaucum</w:t>
      </w:r>
      <w:r w:rsidR="00CB41F5" w:rsidRPr="004869B8">
        <w:rPr>
          <w:rFonts w:ascii="Arial" w:hAnsi="Arial" w:cs="Arial"/>
          <w:sz w:val="20"/>
          <w:szCs w:val="20"/>
        </w:rPr>
        <w:t xml:space="preserve"> (L.) R. Br.</w:t>
      </w:r>
      <w:r w:rsidRPr="004869B8">
        <w:rPr>
          <w:rFonts w:ascii="Arial" w:hAnsi="Arial" w:cs="Arial"/>
          <w:sz w:val="20"/>
          <w:szCs w:val="20"/>
        </w:rPr>
        <w:t xml:space="preserve">) serves as a vital source of nutrition for millions residing in the semi-arid regions of tropical and subtropical countries. </w:t>
      </w:r>
      <w:r w:rsidR="006F2DF0" w:rsidRPr="004869B8">
        <w:rPr>
          <w:rFonts w:ascii="Arial" w:hAnsi="Arial" w:cs="Arial"/>
          <w:sz w:val="20"/>
          <w:szCs w:val="20"/>
        </w:rPr>
        <w:t xml:space="preserve">It's a nutrient-dense staple food grain that's also utilized as a feed, fodder, construction material and even a biofuel source (Singh and </w:t>
      </w:r>
      <w:r w:rsidR="006F2DF0" w:rsidRPr="004869B8">
        <w:rPr>
          <w:rFonts w:ascii="Arial" w:hAnsi="Arial" w:cs="Arial"/>
          <w:sz w:val="20"/>
          <w:szCs w:val="20"/>
        </w:rPr>
        <w:lastRenderedPageBreak/>
        <w:t>Chhabra, 2018).</w:t>
      </w:r>
      <w:r w:rsidR="001B2E00" w:rsidRPr="004869B8">
        <w:rPr>
          <w:rFonts w:ascii="Arial" w:hAnsi="Arial" w:cs="Arial"/>
          <w:sz w:val="20"/>
          <w:szCs w:val="20"/>
        </w:rPr>
        <w:t xml:space="preserve"> Recognized for its hardiness, pearl millet thrives in challenging conditions like drought, salinity, low rainfall, and nutrient-deficient soils (Kumawat et al., 2019)</w:t>
      </w:r>
      <w:r w:rsidRPr="004869B8">
        <w:rPr>
          <w:rFonts w:ascii="Arial" w:hAnsi="Arial" w:cs="Arial"/>
          <w:sz w:val="20"/>
          <w:szCs w:val="20"/>
        </w:rPr>
        <w:t xml:space="preserve">. It exhibits remarkable traits, including high biomass production, rapid regeneration, prolific tillering, extensive leaf area, and substantial green fodder yield, along with tolerance to pests and diseases. </w:t>
      </w:r>
    </w:p>
    <w:p w14:paraId="6639FF22" w14:textId="66103954" w:rsidR="004F2841" w:rsidRPr="004869B8" w:rsidRDefault="00951430" w:rsidP="00951430">
      <w:pPr>
        <w:ind w:firstLine="720"/>
        <w:jc w:val="both"/>
        <w:rPr>
          <w:rFonts w:ascii="Arial" w:hAnsi="Arial" w:cs="Arial"/>
          <w:sz w:val="20"/>
          <w:szCs w:val="20"/>
        </w:rPr>
      </w:pPr>
      <w:r w:rsidRPr="004869B8">
        <w:rPr>
          <w:rFonts w:ascii="Arial" w:hAnsi="Arial" w:cs="Arial"/>
          <w:sz w:val="20"/>
          <w:szCs w:val="20"/>
        </w:rPr>
        <w:t>In the 2023-24, pearl millet was cultivated on 7.36 million hectares in India, yielding an average production of 10.67 million tons with a productivity of 1,449 kg/ha (Department of Agriculture and Farmers Welfare). Nutritionally, pearl millet is a rich source of proteins (6-15%), fats (5-6%), fiber (1-1.8%), and essential minerals like iron, calcium, and zinc, as well as vital amino acids, making it superior to other cereals in terms of nutrient content (Fleck, 1981). As a C</w:t>
      </w:r>
      <w:r w:rsidRPr="004869B8">
        <w:rPr>
          <w:rFonts w:ascii="Arial" w:hAnsi="Arial" w:cs="Arial"/>
          <w:sz w:val="20"/>
          <w:szCs w:val="20"/>
          <w:vertAlign w:val="subscript"/>
        </w:rPr>
        <w:t>4</w:t>
      </w:r>
      <w:r w:rsidRPr="004869B8">
        <w:rPr>
          <w:rFonts w:ascii="Arial" w:hAnsi="Arial" w:cs="Arial"/>
          <w:sz w:val="20"/>
          <w:szCs w:val="20"/>
        </w:rPr>
        <w:t xml:space="preserve"> plant, pearl millet is highly efficient in utilizing sunlight and water, making it a cornerstone of dryland agriculture and a crucial crop for ensuring food and nutritional security in the face of climate change.</w:t>
      </w:r>
    </w:p>
    <w:p w14:paraId="1D1AF74F" w14:textId="0876E1D0" w:rsidR="00F02959" w:rsidRPr="004869B8" w:rsidRDefault="00F02959" w:rsidP="00120762">
      <w:pPr>
        <w:ind w:firstLine="720"/>
        <w:jc w:val="both"/>
        <w:rPr>
          <w:rFonts w:ascii="Arial" w:hAnsi="Arial" w:cs="Arial"/>
          <w:sz w:val="20"/>
          <w:szCs w:val="20"/>
        </w:rPr>
      </w:pPr>
      <w:r w:rsidRPr="004869B8">
        <w:rPr>
          <w:rFonts w:ascii="Arial" w:hAnsi="Arial" w:cs="Arial"/>
          <w:sz w:val="20"/>
          <w:szCs w:val="20"/>
        </w:rPr>
        <w:t>The primary objective of plant breeding programs is to enhance productivity, typically measured as yield per unit area. A significant challenge in pearl millet production is the threat posed by blast disease, caused by the fungal pathogen</w:t>
      </w:r>
      <w:r w:rsidR="00120762" w:rsidRPr="004869B8">
        <w:rPr>
          <w:rFonts w:ascii="Arial" w:hAnsi="Arial" w:cs="Arial"/>
          <w:sz w:val="20"/>
          <w:szCs w:val="20"/>
        </w:rPr>
        <w:t xml:space="preserve">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(Cooke)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with its </w:t>
      </w:r>
      <w:proofErr w:type="spellStart"/>
      <w:r w:rsidRPr="004869B8">
        <w:rPr>
          <w:rFonts w:ascii="Arial" w:hAnsi="Arial" w:cs="Arial"/>
          <w:sz w:val="20"/>
          <w:szCs w:val="20"/>
        </w:rPr>
        <w:t>teleomorph</w:t>
      </w:r>
      <w:proofErr w:type="spellEnd"/>
      <w:r w:rsidRPr="004869B8">
        <w:rPr>
          <w:rFonts w:ascii="Arial" w:hAnsi="Arial" w:cs="Arial"/>
          <w:sz w:val="20"/>
          <w:szCs w:val="20"/>
        </w:rPr>
        <w:t xml:space="preserve">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This disease is a major constraint, leading to substantial yield losses. Developing resistance to blast disease is crucial for the sustainable cultivation of pearl millet. Understanding the genetic mechanisms behind blast resistance and identifying resistant lines are key strategies in mitigating the disease's impact.</w:t>
      </w:r>
    </w:p>
    <w:p w14:paraId="25A422A1" w14:textId="1EB1D298" w:rsidR="00F02959" w:rsidRPr="004869B8" w:rsidRDefault="00F02959" w:rsidP="00120762">
      <w:pPr>
        <w:ind w:firstLine="720"/>
        <w:jc w:val="both"/>
        <w:rPr>
          <w:rFonts w:ascii="Arial" w:hAnsi="Arial" w:cs="Arial"/>
          <w:sz w:val="20"/>
          <w:szCs w:val="20"/>
        </w:rPr>
      </w:pPr>
      <w:r w:rsidRPr="004869B8">
        <w:rPr>
          <w:rFonts w:ascii="Arial" w:hAnsi="Arial" w:cs="Arial"/>
          <w:sz w:val="20"/>
          <w:szCs w:val="20"/>
        </w:rPr>
        <w:t>Genetic variability forms the foundation of crop improvement, providing a broader scope for selection. The success of selection depends on the nature, extent, and magnitude of genetic variability within the material, as well as the heritability of this variability. A thorough assessment of variability using truly diverse germplasm offers an accurate picture of the extent of variation, which is essential for evaluating genetic variability and identifying the factors that have limited progress in pearl millet breeding. Identifying genotypes with high variability is critical for improving yield.</w:t>
      </w:r>
    </w:p>
    <w:p w14:paraId="55200EE6" w14:textId="248B8B6F" w:rsidR="00120762" w:rsidRPr="004869B8" w:rsidRDefault="00F02959" w:rsidP="00252BBB">
      <w:pPr>
        <w:ind w:firstLine="360"/>
        <w:jc w:val="both"/>
        <w:rPr>
          <w:rFonts w:ascii="Arial" w:hAnsi="Arial" w:cs="Arial"/>
          <w:sz w:val="20"/>
          <w:szCs w:val="20"/>
        </w:rPr>
      </w:pPr>
      <w:r w:rsidRPr="004869B8">
        <w:rPr>
          <w:rFonts w:ascii="Arial" w:hAnsi="Arial" w:cs="Arial"/>
          <w:sz w:val="20"/>
          <w:szCs w:val="20"/>
        </w:rPr>
        <w:t xml:space="preserve">Genetic variability among traits is crucial in selecting desirable types, with parameters such as the genotypic coefficient of variation (GCV) and phenotypic coefficient of variation (PCV) serving as valuable tools for detecting the variability present in the germplasm. Heritability, particularly when paired with high genetic advance, is a powerful indicator for predicting the outcomes of selecting the best genotypes for yield and related traits. The progress of any crop improvement program relies on accurate assessments of genetic variability, heritability, and genetic advance in the base material, as these are essential for identifying traits that are responsive to selection. Additionally, correlation studies are vital in designing effective breeding strategies for specific environments, as they help clarify the relationships between </w:t>
      </w:r>
      <w:r w:rsidR="00434AB3" w:rsidRPr="004869B8">
        <w:rPr>
          <w:rFonts w:ascii="Arial" w:hAnsi="Arial" w:cs="Arial"/>
          <w:sz w:val="20"/>
          <w:szCs w:val="20"/>
        </w:rPr>
        <w:t xml:space="preserve">various </w:t>
      </w:r>
      <w:r w:rsidRPr="004869B8">
        <w:rPr>
          <w:rFonts w:ascii="Arial" w:hAnsi="Arial" w:cs="Arial"/>
          <w:sz w:val="20"/>
          <w:szCs w:val="20"/>
        </w:rPr>
        <w:t>traits.</w:t>
      </w:r>
      <w:r w:rsidR="004B77EF" w:rsidRPr="004869B8">
        <w:rPr>
          <w:rFonts w:ascii="Arial" w:hAnsi="Arial" w:cs="Arial"/>
          <w:sz w:val="20"/>
          <w:szCs w:val="20"/>
        </w:rPr>
        <w:t xml:space="preserve"> Consequently, this investigation focused on estimating variability, heritability, expected genetic advance and correlation for various quantitative characters and blast disease scores.</w:t>
      </w:r>
    </w:p>
    <w:p w14:paraId="440011FF" w14:textId="6D40418F" w:rsidR="000F75FA" w:rsidRPr="0014573F" w:rsidRDefault="00FA313C" w:rsidP="00F02959">
      <w:pPr>
        <w:jc w:val="both"/>
        <w:rPr>
          <w:rFonts w:ascii="Arial" w:hAnsi="Arial" w:cs="Arial"/>
          <w:b/>
          <w:bCs/>
        </w:rPr>
      </w:pPr>
      <w:r w:rsidRPr="0014573F">
        <w:rPr>
          <w:rFonts w:ascii="Arial" w:hAnsi="Arial" w:cs="Arial"/>
          <w:b/>
          <w:bCs/>
        </w:rPr>
        <w:t>2. MATERIALS AND METHODS</w:t>
      </w:r>
    </w:p>
    <w:p w14:paraId="5FAF88ED" w14:textId="75A13D65" w:rsidR="00FA313C" w:rsidRPr="004869B8" w:rsidRDefault="00FA313C" w:rsidP="00FA313C">
      <w:pPr>
        <w:ind w:firstLine="720"/>
        <w:jc w:val="both"/>
        <w:rPr>
          <w:rFonts w:ascii="Arial" w:hAnsi="Arial" w:cs="Arial"/>
          <w:sz w:val="20"/>
          <w:szCs w:val="20"/>
        </w:rPr>
      </w:pPr>
      <w:r w:rsidRPr="004869B8">
        <w:rPr>
          <w:rFonts w:ascii="Arial" w:hAnsi="Arial" w:cs="Arial"/>
          <w:sz w:val="20"/>
          <w:szCs w:val="20"/>
        </w:rPr>
        <w:t>The recombinant inbred lines (RIL) used for this current study on blast resistance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(Cooke)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w:t>
      </w:r>
      <w:proofErr w:type="spellStart"/>
      <w:r w:rsidRPr="004869B8">
        <w:rPr>
          <w:rFonts w:ascii="Arial" w:hAnsi="Arial" w:cs="Arial"/>
          <w:sz w:val="20"/>
          <w:szCs w:val="20"/>
        </w:rPr>
        <w:t>teleomorph</w:t>
      </w:r>
      <w:proofErr w:type="spellEnd"/>
      <w:r w:rsidRPr="004869B8">
        <w:rPr>
          <w:rFonts w:ascii="Arial" w:hAnsi="Arial" w:cs="Arial"/>
          <w:sz w:val="20"/>
          <w:szCs w:val="20"/>
        </w:rPr>
        <w:t xml:space="preserve">: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is composed of 288 F</w:t>
      </w:r>
      <w:r w:rsidRPr="004869B8">
        <w:rPr>
          <w:rFonts w:ascii="Arial" w:hAnsi="Arial" w:cs="Arial"/>
          <w:sz w:val="20"/>
          <w:szCs w:val="20"/>
          <w:vertAlign w:val="subscript"/>
        </w:rPr>
        <w:t>7</w:t>
      </w:r>
      <w:r w:rsidRPr="004869B8">
        <w:rPr>
          <w:rFonts w:ascii="Arial" w:hAnsi="Arial" w:cs="Arial"/>
          <w:sz w:val="20"/>
          <w:szCs w:val="20"/>
        </w:rPr>
        <w:t xml:space="preserve"> lines</w:t>
      </w:r>
      <w:r w:rsidR="000E1024" w:rsidRPr="004869B8">
        <w:rPr>
          <w:rFonts w:ascii="Arial" w:hAnsi="Arial" w:cs="Arial"/>
          <w:sz w:val="20"/>
          <w:szCs w:val="20"/>
        </w:rPr>
        <w:t>.</w:t>
      </w:r>
      <w:r w:rsidRPr="004869B8">
        <w:rPr>
          <w:rFonts w:ascii="Arial" w:hAnsi="Arial" w:cs="Arial"/>
          <w:sz w:val="20"/>
          <w:szCs w:val="20"/>
        </w:rPr>
        <w:t xml:space="preserve"> This population involves two parents: ICMR 100844 as the resistant parent and ICMB 95444 as the susceptible parent. These parents, having diverse </w:t>
      </w:r>
      <w:r w:rsidR="0058735F" w:rsidRPr="004869B8">
        <w:rPr>
          <w:rFonts w:ascii="Arial" w:hAnsi="Arial" w:cs="Arial"/>
          <w:sz w:val="20"/>
          <w:szCs w:val="20"/>
        </w:rPr>
        <w:t>parentages</w:t>
      </w:r>
      <w:r w:rsidRPr="004869B8">
        <w:rPr>
          <w:rFonts w:ascii="Arial" w:hAnsi="Arial" w:cs="Arial"/>
          <w:sz w:val="20"/>
          <w:szCs w:val="20"/>
        </w:rPr>
        <w:t xml:space="preserve"> for blast resistance, were crossed to develop the F</w:t>
      </w:r>
      <w:r w:rsidRPr="004869B8">
        <w:rPr>
          <w:rFonts w:ascii="Arial" w:hAnsi="Arial" w:cs="Arial"/>
          <w:sz w:val="20"/>
          <w:szCs w:val="20"/>
          <w:vertAlign w:val="subscript"/>
        </w:rPr>
        <w:t>7</w:t>
      </w:r>
      <w:r w:rsidRPr="004869B8">
        <w:rPr>
          <w:rFonts w:ascii="Arial" w:hAnsi="Arial" w:cs="Arial"/>
          <w:sz w:val="20"/>
          <w:szCs w:val="20"/>
        </w:rPr>
        <w:t xml:space="preserve"> generation through the single seed descent method at ICRISAT, </w:t>
      </w:r>
      <w:proofErr w:type="spellStart"/>
      <w:r w:rsidRPr="004869B8">
        <w:rPr>
          <w:rFonts w:ascii="Arial" w:hAnsi="Arial" w:cs="Arial"/>
          <w:sz w:val="20"/>
          <w:szCs w:val="20"/>
        </w:rPr>
        <w:t>Patancheru</w:t>
      </w:r>
      <w:proofErr w:type="spellEnd"/>
      <w:r w:rsidRPr="004869B8">
        <w:rPr>
          <w:rFonts w:ascii="Arial" w:hAnsi="Arial" w:cs="Arial"/>
          <w:sz w:val="20"/>
          <w:szCs w:val="20"/>
        </w:rPr>
        <w:t>.</w:t>
      </w:r>
    </w:p>
    <w:p w14:paraId="6C24E614" w14:textId="77777777" w:rsidR="00FA313C" w:rsidRPr="004869B8" w:rsidRDefault="00FA313C" w:rsidP="00FA313C">
      <w:pPr>
        <w:ind w:firstLine="720"/>
        <w:jc w:val="both"/>
        <w:rPr>
          <w:rFonts w:ascii="Arial" w:hAnsi="Arial" w:cs="Arial"/>
          <w:sz w:val="20"/>
          <w:szCs w:val="20"/>
        </w:rPr>
      </w:pPr>
      <w:r w:rsidRPr="004869B8">
        <w:rPr>
          <w:rFonts w:ascii="Arial" w:hAnsi="Arial" w:cs="Arial"/>
          <w:sz w:val="20"/>
          <w:szCs w:val="20"/>
        </w:rPr>
        <w:t xml:space="preserve">For phenotypic evaluation, the study involved 288 (RILs), including the two parental lines. The genotypes were assessed at ICRISAT, </w:t>
      </w:r>
      <w:proofErr w:type="spellStart"/>
      <w:r w:rsidRPr="004869B8">
        <w:rPr>
          <w:rFonts w:ascii="Arial" w:hAnsi="Arial" w:cs="Arial"/>
          <w:sz w:val="20"/>
          <w:szCs w:val="20"/>
        </w:rPr>
        <w:t>Patancheru</w:t>
      </w:r>
      <w:proofErr w:type="spellEnd"/>
      <w:r w:rsidRPr="004869B8">
        <w:rPr>
          <w:rFonts w:ascii="Arial" w:hAnsi="Arial" w:cs="Arial"/>
          <w:sz w:val="20"/>
          <w:szCs w:val="20"/>
        </w:rPr>
        <w:t xml:space="preserve">, Hyderabad (ENV-I), and Agricultural Research Station, Vizianagaram, Andhra Pradesh (ENV-II), during the kharif season of 2023. The experimental design employed was an Alpha Lattice Design with two replications, and each RIL was planted with a spacing of 60 × 10 cm in two rows, each 2 meters in length. Standard management practices were followed to ensure healthy crop growth. Observations were recorded on five plants per plot for various traits including Days to 50% Flowering (DFF), Days to Maturity (DM), Plant Stand (PS), Plant Height (PH), </w:t>
      </w:r>
      <w:r w:rsidRPr="004869B8">
        <w:rPr>
          <w:rFonts w:ascii="Arial" w:hAnsi="Arial" w:cs="Arial"/>
          <w:sz w:val="20"/>
          <w:szCs w:val="20"/>
        </w:rPr>
        <w:lastRenderedPageBreak/>
        <w:t xml:space="preserve">Number of Tillers (NT), Number of Productive Tillers (NPT), Number of Leaves (NL), Panicle Length (PL), Panicle Diameter (PD), Stem Girth (SG), Thousand Seed Weight (TSW), Seed Yield per plant (SY), Harvest Index (HI), and Blast Score (BS). </w:t>
      </w:r>
    </w:p>
    <w:p w14:paraId="3FAA8A3B" w14:textId="6633CB6F" w:rsidR="0009381D" w:rsidRPr="004869B8" w:rsidRDefault="0009381D" w:rsidP="00252BBB">
      <w:pPr>
        <w:ind w:firstLine="720"/>
        <w:jc w:val="both"/>
        <w:rPr>
          <w:rFonts w:ascii="Arial" w:hAnsi="Arial" w:cs="Arial"/>
          <w:sz w:val="20"/>
          <w:szCs w:val="20"/>
        </w:rPr>
      </w:pPr>
      <w:r w:rsidRPr="004869B8">
        <w:rPr>
          <w:rFonts w:ascii="Arial" w:hAnsi="Arial" w:cs="Arial"/>
          <w:sz w:val="20"/>
          <w:szCs w:val="20"/>
        </w:rPr>
        <w:t xml:space="preserve">Combined Analysis of Variance (ANOVA) was performed by using </w:t>
      </w:r>
      <w:proofErr w:type="spellStart"/>
      <w:r w:rsidRPr="004869B8">
        <w:rPr>
          <w:rFonts w:ascii="Arial" w:hAnsi="Arial" w:cs="Arial"/>
          <w:sz w:val="20"/>
          <w:szCs w:val="20"/>
        </w:rPr>
        <w:t>ASReml</w:t>
      </w:r>
      <w:proofErr w:type="spellEnd"/>
      <w:r w:rsidRPr="004869B8">
        <w:rPr>
          <w:rFonts w:ascii="Arial" w:hAnsi="Arial" w:cs="Arial"/>
          <w:sz w:val="20"/>
          <w:szCs w:val="20"/>
        </w:rPr>
        <w:t>-R Package v4 (Butler et al., 2009) to test the significance of the main and interaction effects. Best Linear Unbiased Predictors (BLUPs) were estimated for all the traits from individual and pooled environments. Broad sense heritability, Phenotypic and genotypic coefficient of variation and Genetic advance as percentage mean were estimated using META- R v6.0.4.</w:t>
      </w:r>
      <w:r w:rsidR="00F0551A" w:rsidRPr="004869B8">
        <w:rPr>
          <w:rFonts w:ascii="Arial" w:hAnsi="Arial" w:cs="Arial"/>
          <w:sz w:val="20"/>
          <w:szCs w:val="20"/>
        </w:rPr>
        <w:t xml:space="preserve"> </w:t>
      </w:r>
      <w:r w:rsidR="00DD5EFA" w:rsidRPr="004869B8">
        <w:rPr>
          <w:rFonts w:ascii="Arial" w:hAnsi="Arial" w:cs="Arial"/>
          <w:sz w:val="20"/>
          <w:szCs w:val="20"/>
        </w:rPr>
        <w:t>The Pearson’s correlation coefficients was performed in R 4.4.0 with "</w:t>
      </w:r>
      <w:proofErr w:type="spellStart"/>
      <w:r w:rsidR="00DD5EFA" w:rsidRPr="004869B8">
        <w:rPr>
          <w:rFonts w:ascii="Arial" w:hAnsi="Arial" w:cs="Arial"/>
          <w:sz w:val="20"/>
          <w:szCs w:val="20"/>
        </w:rPr>
        <w:t>corr</w:t>
      </w:r>
      <w:proofErr w:type="spellEnd"/>
      <w:r w:rsidR="00DD5EFA" w:rsidRPr="004869B8">
        <w:rPr>
          <w:rFonts w:ascii="Arial" w:hAnsi="Arial" w:cs="Arial"/>
          <w:sz w:val="20"/>
          <w:szCs w:val="20"/>
        </w:rPr>
        <w:t xml:space="preserve">" function. </w:t>
      </w:r>
      <w:r w:rsidR="00F0551A" w:rsidRPr="004869B8">
        <w:rPr>
          <w:rFonts w:ascii="Arial" w:hAnsi="Arial" w:cs="Arial"/>
          <w:sz w:val="20"/>
          <w:szCs w:val="20"/>
        </w:rPr>
        <w:t xml:space="preserve">Data analysis included calculations of analysis of variance and summary statistics according to </w:t>
      </w:r>
      <w:proofErr w:type="spellStart"/>
      <w:r w:rsidR="00F0551A" w:rsidRPr="004869B8">
        <w:rPr>
          <w:rFonts w:ascii="Arial" w:hAnsi="Arial" w:cs="Arial"/>
          <w:sz w:val="20"/>
          <w:szCs w:val="20"/>
        </w:rPr>
        <w:t>Panse</w:t>
      </w:r>
      <w:proofErr w:type="spellEnd"/>
      <w:r w:rsidR="00F0551A" w:rsidRPr="004869B8">
        <w:rPr>
          <w:rFonts w:ascii="Arial" w:hAnsi="Arial" w:cs="Arial"/>
          <w:sz w:val="20"/>
          <w:szCs w:val="20"/>
        </w:rPr>
        <w:t xml:space="preserve"> and </w:t>
      </w:r>
      <w:proofErr w:type="spellStart"/>
      <w:r w:rsidR="00F0551A" w:rsidRPr="004869B8">
        <w:rPr>
          <w:rFonts w:ascii="Arial" w:hAnsi="Arial" w:cs="Arial"/>
          <w:sz w:val="20"/>
          <w:szCs w:val="20"/>
        </w:rPr>
        <w:t>Sukhatme</w:t>
      </w:r>
      <w:proofErr w:type="spellEnd"/>
      <w:r w:rsidR="00F0551A" w:rsidRPr="004869B8">
        <w:rPr>
          <w:rFonts w:ascii="Arial" w:hAnsi="Arial" w:cs="Arial"/>
          <w:sz w:val="20"/>
          <w:szCs w:val="20"/>
        </w:rPr>
        <w:t xml:space="preserve"> (1967). Phenotypic and genotypic coefficients of variation (PCV and GCV) were computed following Burton and </w:t>
      </w:r>
      <w:proofErr w:type="spellStart"/>
      <w:r w:rsidR="00F0551A" w:rsidRPr="004869B8">
        <w:rPr>
          <w:rFonts w:ascii="Arial" w:hAnsi="Arial" w:cs="Arial"/>
          <w:sz w:val="20"/>
          <w:szCs w:val="20"/>
        </w:rPr>
        <w:t>Devane</w:t>
      </w:r>
      <w:proofErr w:type="spellEnd"/>
      <w:r w:rsidR="00F0551A" w:rsidRPr="004869B8">
        <w:rPr>
          <w:rFonts w:ascii="Arial" w:hAnsi="Arial" w:cs="Arial"/>
          <w:sz w:val="20"/>
          <w:szCs w:val="20"/>
        </w:rPr>
        <w:t xml:space="preserve"> (1953). Heritability in the broad sense was estimated based on Allard (1960). Genotypic and phenotypic correlations were calculated according to Falconer (1981), and heritability and genetic advancement were categorized into low, medium, and high as per Johnson et al. (1955).</w:t>
      </w:r>
      <w:r w:rsidR="009516B8" w:rsidRPr="004869B8">
        <w:rPr>
          <w:rFonts w:ascii="Arial" w:hAnsi="Arial" w:cs="Arial"/>
          <w:sz w:val="20"/>
          <w:szCs w:val="20"/>
        </w:rPr>
        <w:t xml:space="preserve"> PCV and GCV </w:t>
      </w:r>
      <w:r w:rsidR="00A63B2B" w:rsidRPr="004869B8">
        <w:rPr>
          <w:rFonts w:ascii="Arial" w:hAnsi="Arial" w:cs="Arial"/>
          <w:sz w:val="20"/>
          <w:szCs w:val="20"/>
        </w:rPr>
        <w:t>(Robinson et al., 1949)</w:t>
      </w:r>
      <w:r w:rsidR="009516B8" w:rsidRPr="004869B8">
        <w:rPr>
          <w:rFonts w:ascii="Arial" w:hAnsi="Arial" w:cs="Arial"/>
          <w:sz w:val="20"/>
          <w:szCs w:val="20"/>
        </w:rPr>
        <w:t xml:space="preserve"> and GA and GAM </w:t>
      </w:r>
      <w:r w:rsidR="00F11865" w:rsidRPr="004869B8">
        <w:rPr>
          <w:rFonts w:ascii="Arial" w:hAnsi="Arial" w:cs="Arial"/>
          <w:sz w:val="20"/>
          <w:szCs w:val="20"/>
        </w:rPr>
        <w:t>(Johnson et al., 1955)</w:t>
      </w:r>
      <w:r w:rsidR="009516B8" w:rsidRPr="004869B8">
        <w:rPr>
          <w:rFonts w:ascii="Arial" w:hAnsi="Arial" w:cs="Arial"/>
          <w:sz w:val="20"/>
          <w:szCs w:val="20"/>
        </w:rPr>
        <w:t xml:space="preserve"> were divided into three categories: low (0-10%), moderate (10.1-20%), and high (&gt;20%). Heritability was divided into three categories: low (0-30%), moderate (30.1-60%), and high (&gt;60%) </w:t>
      </w:r>
      <w:r w:rsidR="00A74103" w:rsidRPr="004869B8">
        <w:rPr>
          <w:rFonts w:ascii="Arial" w:hAnsi="Arial" w:cs="Arial"/>
          <w:sz w:val="20"/>
          <w:szCs w:val="20"/>
        </w:rPr>
        <w:t>(Robinson et al., 1949)</w:t>
      </w:r>
      <w:r w:rsidR="009516B8" w:rsidRPr="004869B8">
        <w:rPr>
          <w:rFonts w:ascii="Arial" w:hAnsi="Arial" w:cs="Arial"/>
          <w:sz w:val="20"/>
          <w:szCs w:val="20"/>
        </w:rPr>
        <w:t>.</w:t>
      </w:r>
    </w:p>
    <w:p w14:paraId="2655201D" w14:textId="29233E53" w:rsidR="00294854" w:rsidRPr="0014573F" w:rsidRDefault="00294854" w:rsidP="00294854">
      <w:pPr>
        <w:spacing w:line="240" w:lineRule="auto"/>
        <w:rPr>
          <w:rFonts w:ascii="Arial" w:hAnsi="Arial" w:cs="Arial"/>
          <w:b/>
          <w:bCs/>
        </w:rPr>
      </w:pPr>
      <w:r w:rsidRPr="0014573F">
        <w:rPr>
          <w:rFonts w:ascii="Arial" w:hAnsi="Arial" w:cs="Arial"/>
          <w:b/>
          <w:bCs/>
        </w:rPr>
        <w:t xml:space="preserve">3. RESULTS </w:t>
      </w:r>
      <w:r w:rsidR="00F3778A" w:rsidRPr="0014573F">
        <w:rPr>
          <w:rFonts w:ascii="Arial" w:hAnsi="Arial" w:cs="Arial"/>
          <w:b/>
          <w:bCs/>
        </w:rPr>
        <w:t>AND DISC</w:t>
      </w:r>
      <w:r w:rsidR="001B02A3" w:rsidRPr="0014573F">
        <w:rPr>
          <w:rFonts w:ascii="Arial" w:hAnsi="Arial" w:cs="Arial"/>
          <w:b/>
          <w:bCs/>
        </w:rPr>
        <w:t>USSION</w:t>
      </w:r>
    </w:p>
    <w:p w14:paraId="03CBB483" w14:textId="617EC200" w:rsidR="005D613E" w:rsidRPr="0014573F" w:rsidRDefault="005D613E" w:rsidP="00294854">
      <w:pPr>
        <w:spacing w:line="240" w:lineRule="auto"/>
        <w:rPr>
          <w:rFonts w:ascii="Arial" w:hAnsi="Arial" w:cs="Arial"/>
          <w:b/>
          <w:bCs/>
        </w:rPr>
      </w:pPr>
      <w:r w:rsidRPr="0014573F">
        <w:rPr>
          <w:rFonts w:ascii="Arial" w:hAnsi="Arial" w:cs="Arial"/>
          <w:b/>
          <w:bCs/>
        </w:rPr>
        <w:t>3.1</w:t>
      </w:r>
      <w:r w:rsidR="00FF7DC9" w:rsidRPr="0014573F">
        <w:rPr>
          <w:rFonts w:ascii="Arial" w:hAnsi="Arial" w:cs="Arial"/>
          <w:b/>
          <w:bCs/>
        </w:rPr>
        <w:t>.</w:t>
      </w:r>
      <w:r w:rsidRPr="0014573F">
        <w:rPr>
          <w:rFonts w:ascii="Arial" w:hAnsi="Arial" w:cs="Arial"/>
          <w:b/>
          <w:bCs/>
        </w:rPr>
        <w:t xml:space="preserve"> ANOVA</w:t>
      </w:r>
    </w:p>
    <w:p w14:paraId="651929F3" w14:textId="143B5500" w:rsidR="00730897" w:rsidRPr="0014573F" w:rsidRDefault="00294854" w:rsidP="0014573F">
      <w:pPr>
        <w:spacing w:line="240" w:lineRule="auto"/>
        <w:ind w:firstLine="720"/>
        <w:jc w:val="both"/>
        <w:rPr>
          <w:rFonts w:ascii="Arial" w:hAnsi="Arial" w:cs="Arial"/>
          <w:sz w:val="20"/>
          <w:szCs w:val="20"/>
        </w:rPr>
      </w:pPr>
      <w:r w:rsidRPr="004869B8">
        <w:rPr>
          <w:rFonts w:ascii="Arial" w:hAnsi="Arial" w:cs="Arial"/>
          <w:sz w:val="20"/>
          <w:szCs w:val="20"/>
        </w:rPr>
        <w:t>The ANOVA conducted on the RIL population including parents across two locations showed highly significant differences (</w:t>
      </w:r>
      <w:r w:rsidRPr="005345C1">
        <w:rPr>
          <w:rFonts w:ascii="Arial" w:hAnsi="Arial" w:cs="Arial"/>
          <w:i/>
          <w:iCs/>
          <w:sz w:val="20"/>
          <w:szCs w:val="20"/>
        </w:rPr>
        <w:t>P&lt;</w:t>
      </w:r>
      <w:r w:rsidR="005345C1" w:rsidRPr="005345C1">
        <w:rPr>
          <w:rFonts w:ascii="Arial" w:hAnsi="Arial" w:cs="Arial"/>
          <w:i/>
          <w:iCs/>
          <w:sz w:val="20"/>
          <w:szCs w:val="20"/>
        </w:rPr>
        <w:t xml:space="preserve"> </w:t>
      </w:r>
      <w:r w:rsidRPr="005345C1">
        <w:rPr>
          <w:rFonts w:ascii="Arial" w:hAnsi="Arial" w:cs="Arial"/>
          <w:i/>
          <w:iCs/>
          <w:sz w:val="20"/>
          <w:szCs w:val="20"/>
        </w:rPr>
        <w:t>.001</w:t>
      </w:r>
      <w:r w:rsidRPr="004869B8">
        <w:rPr>
          <w:rFonts w:ascii="Arial" w:hAnsi="Arial" w:cs="Arial"/>
          <w:sz w:val="20"/>
          <w:szCs w:val="20"/>
        </w:rPr>
        <w:t>) for most traits (Table 1). These results indicate substantial genetic variability within the RIL population</w:t>
      </w:r>
      <w:r w:rsidR="00B20462" w:rsidRPr="004869B8">
        <w:rPr>
          <w:rFonts w:ascii="Arial" w:hAnsi="Arial" w:cs="Arial"/>
          <w:sz w:val="20"/>
          <w:szCs w:val="20"/>
        </w:rPr>
        <w:t xml:space="preserve"> for </w:t>
      </w:r>
      <w:r w:rsidR="007C4423" w:rsidRPr="004869B8">
        <w:rPr>
          <w:rFonts w:ascii="Arial" w:hAnsi="Arial" w:cs="Arial"/>
          <w:sz w:val="20"/>
          <w:szCs w:val="20"/>
        </w:rPr>
        <w:t>traits under study</w:t>
      </w:r>
      <w:r w:rsidRPr="004869B8">
        <w:rPr>
          <w:rFonts w:ascii="Arial" w:hAnsi="Arial" w:cs="Arial"/>
          <w:sz w:val="20"/>
          <w:szCs w:val="20"/>
        </w:rPr>
        <w:t>, which is crucial for selection and improvement in breeding programs.</w:t>
      </w:r>
      <w:r w:rsidR="00471592" w:rsidRPr="004869B8">
        <w:rPr>
          <w:rFonts w:ascii="Arial" w:hAnsi="Arial" w:cs="Arial"/>
          <w:sz w:val="20"/>
          <w:szCs w:val="20"/>
        </w:rPr>
        <w:t xml:space="preserve"> Significant variations were also observed between two environments for </w:t>
      </w:r>
      <w:r w:rsidR="006F53D0" w:rsidRPr="004869B8">
        <w:rPr>
          <w:rFonts w:ascii="Arial" w:hAnsi="Arial" w:cs="Arial"/>
          <w:sz w:val="20"/>
          <w:szCs w:val="20"/>
        </w:rPr>
        <w:t xml:space="preserve">all the </w:t>
      </w:r>
      <w:r w:rsidR="00471592" w:rsidRPr="004869B8">
        <w:rPr>
          <w:rFonts w:ascii="Arial" w:hAnsi="Arial" w:cs="Arial"/>
          <w:sz w:val="20"/>
          <w:szCs w:val="20"/>
        </w:rPr>
        <w:t xml:space="preserve">traits </w:t>
      </w:r>
      <w:r w:rsidR="006F53D0" w:rsidRPr="004869B8">
        <w:rPr>
          <w:rFonts w:ascii="Arial" w:hAnsi="Arial" w:cs="Arial"/>
          <w:sz w:val="20"/>
          <w:szCs w:val="20"/>
        </w:rPr>
        <w:t xml:space="preserve">except NT and NPT </w:t>
      </w:r>
      <w:r w:rsidR="00471592" w:rsidRPr="004869B8">
        <w:rPr>
          <w:rFonts w:ascii="Arial" w:hAnsi="Arial" w:cs="Arial"/>
          <w:sz w:val="20"/>
          <w:szCs w:val="20"/>
        </w:rPr>
        <w:t>indicating the role of environment in the</w:t>
      </w:r>
      <w:r w:rsidR="006F53D0" w:rsidRPr="004869B8">
        <w:rPr>
          <w:rFonts w:ascii="Arial" w:hAnsi="Arial" w:cs="Arial"/>
          <w:sz w:val="20"/>
          <w:szCs w:val="20"/>
        </w:rPr>
        <w:t xml:space="preserve"> </w:t>
      </w:r>
      <w:r w:rsidR="00471592" w:rsidRPr="004869B8">
        <w:rPr>
          <w:rFonts w:ascii="Arial" w:hAnsi="Arial" w:cs="Arial"/>
          <w:sz w:val="20"/>
          <w:szCs w:val="20"/>
        </w:rPr>
        <w:t>expression of a phenotype.</w:t>
      </w:r>
    </w:p>
    <w:p w14:paraId="4C0F0325" w14:textId="4B02BEF1" w:rsidR="00294854" w:rsidRPr="004869B8" w:rsidRDefault="00294854" w:rsidP="00294854">
      <w:pPr>
        <w:spacing w:line="240" w:lineRule="auto"/>
        <w:rPr>
          <w:rFonts w:ascii="Arial" w:hAnsi="Arial" w:cs="Arial"/>
          <w:b/>
          <w:bCs/>
          <w:sz w:val="20"/>
          <w:szCs w:val="20"/>
        </w:rPr>
      </w:pPr>
      <w:r w:rsidRPr="004869B8">
        <w:rPr>
          <w:rFonts w:ascii="Arial" w:hAnsi="Arial" w:cs="Arial"/>
          <w:b/>
          <w:bCs/>
          <w:sz w:val="20"/>
          <w:szCs w:val="20"/>
        </w:rPr>
        <w:t xml:space="preserve">Table 1. </w:t>
      </w:r>
      <w:r w:rsidR="009D4831" w:rsidRPr="004869B8">
        <w:rPr>
          <w:rFonts w:ascii="Arial" w:hAnsi="Arial" w:cs="Arial"/>
          <w:b/>
          <w:bCs/>
          <w:sz w:val="20"/>
          <w:szCs w:val="20"/>
        </w:rPr>
        <w:t xml:space="preserve">Combined </w:t>
      </w:r>
      <w:r w:rsidR="00EC1B26" w:rsidRPr="004869B8">
        <w:rPr>
          <w:rFonts w:ascii="Arial" w:hAnsi="Arial" w:cs="Arial"/>
          <w:b/>
          <w:bCs/>
          <w:sz w:val="20"/>
          <w:szCs w:val="20"/>
        </w:rPr>
        <w:t xml:space="preserve">ANOVA </w:t>
      </w:r>
      <w:r w:rsidRPr="004869B8">
        <w:rPr>
          <w:rFonts w:ascii="Arial" w:hAnsi="Arial" w:cs="Arial"/>
          <w:b/>
          <w:bCs/>
          <w:sz w:val="20"/>
          <w:szCs w:val="20"/>
        </w:rPr>
        <w:t xml:space="preserve">for </w:t>
      </w:r>
      <w:r w:rsidR="004523DE" w:rsidRPr="004869B8">
        <w:rPr>
          <w:rFonts w:ascii="Arial" w:hAnsi="Arial" w:cs="Arial"/>
          <w:b/>
          <w:bCs/>
          <w:sz w:val="20"/>
          <w:szCs w:val="20"/>
        </w:rPr>
        <w:t>a</w:t>
      </w:r>
      <w:r w:rsidRPr="004869B8">
        <w:rPr>
          <w:rFonts w:ascii="Arial" w:hAnsi="Arial" w:cs="Arial"/>
          <w:b/>
          <w:bCs/>
          <w:sz w:val="20"/>
          <w:szCs w:val="20"/>
        </w:rPr>
        <w:t xml:space="preserve">gronomic </w:t>
      </w:r>
      <w:r w:rsidR="004523DE" w:rsidRPr="004869B8">
        <w:rPr>
          <w:rFonts w:ascii="Arial" w:hAnsi="Arial" w:cs="Arial"/>
          <w:b/>
          <w:bCs/>
          <w:sz w:val="20"/>
          <w:szCs w:val="20"/>
        </w:rPr>
        <w:t>t</w:t>
      </w:r>
      <w:r w:rsidRPr="004869B8">
        <w:rPr>
          <w:rFonts w:ascii="Arial" w:hAnsi="Arial" w:cs="Arial"/>
          <w:b/>
          <w:bCs/>
          <w:sz w:val="20"/>
          <w:szCs w:val="20"/>
        </w:rPr>
        <w:t xml:space="preserve">raits and </w:t>
      </w:r>
      <w:r w:rsidR="004523DE" w:rsidRPr="004869B8">
        <w:rPr>
          <w:rFonts w:ascii="Arial" w:hAnsi="Arial" w:cs="Arial"/>
          <w:b/>
          <w:bCs/>
          <w:sz w:val="20"/>
          <w:szCs w:val="20"/>
        </w:rPr>
        <w:t>b</w:t>
      </w:r>
      <w:r w:rsidRPr="004869B8">
        <w:rPr>
          <w:rFonts w:ascii="Arial" w:hAnsi="Arial" w:cs="Arial"/>
          <w:b/>
          <w:bCs/>
          <w:sz w:val="20"/>
          <w:szCs w:val="20"/>
        </w:rPr>
        <w:t xml:space="preserve">last </w:t>
      </w:r>
      <w:r w:rsidR="004523DE" w:rsidRPr="004869B8">
        <w:rPr>
          <w:rFonts w:ascii="Arial" w:hAnsi="Arial" w:cs="Arial"/>
          <w:b/>
          <w:bCs/>
          <w:sz w:val="20"/>
          <w:szCs w:val="20"/>
        </w:rPr>
        <w:t>d</w:t>
      </w:r>
      <w:r w:rsidRPr="004869B8">
        <w:rPr>
          <w:rFonts w:ascii="Arial" w:hAnsi="Arial" w:cs="Arial"/>
          <w:b/>
          <w:bCs/>
          <w:sz w:val="20"/>
          <w:szCs w:val="20"/>
        </w:rPr>
        <w:t xml:space="preserve">isease </w:t>
      </w:r>
      <w:r w:rsidR="004523DE" w:rsidRPr="004869B8">
        <w:rPr>
          <w:rFonts w:ascii="Arial" w:hAnsi="Arial" w:cs="Arial"/>
          <w:b/>
          <w:bCs/>
          <w:sz w:val="20"/>
          <w:szCs w:val="20"/>
        </w:rPr>
        <w:t>r</w:t>
      </w:r>
      <w:r w:rsidRPr="004869B8">
        <w:rPr>
          <w:rFonts w:ascii="Arial" w:hAnsi="Arial" w:cs="Arial"/>
          <w:b/>
          <w:bCs/>
          <w:sz w:val="20"/>
          <w:szCs w:val="20"/>
        </w:rPr>
        <w:t>esistance in RIL Population across</w:t>
      </w:r>
      <w:r w:rsidR="009D4831" w:rsidRPr="004869B8">
        <w:rPr>
          <w:rFonts w:ascii="Arial" w:hAnsi="Arial" w:cs="Arial"/>
          <w:b/>
          <w:bCs/>
          <w:sz w:val="20"/>
          <w:szCs w:val="20"/>
        </w:rPr>
        <w:t xml:space="preserve"> ENV-I, ENV-II</w:t>
      </w:r>
      <w:r w:rsidRPr="004869B8">
        <w:rPr>
          <w:rFonts w:ascii="Arial" w:hAnsi="Arial" w:cs="Arial"/>
          <w:b/>
          <w:bCs/>
          <w:sz w:val="20"/>
          <w:szCs w:val="20"/>
        </w:rPr>
        <w:t>.</w:t>
      </w:r>
    </w:p>
    <w:tbl>
      <w:tblPr>
        <w:tblpPr w:leftFromText="180" w:rightFromText="180" w:vertAnchor="text" w:horzAnchor="margin" w:tblpXSpec="center" w:tblpY="320"/>
        <w:tblW w:w="9797" w:type="dxa"/>
        <w:tblLook w:val="04A0" w:firstRow="1" w:lastRow="0" w:firstColumn="1" w:lastColumn="0" w:noHBand="0" w:noVBand="1"/>
      </w:tblPr>
      <w:tblGrid>
        <w:gridCol w:w="1551"/>
        <w:gridCol w:w="1762"/>
        <w:gridCol w:w="1270"/>
        <w:gridCol w:w="1635"/>
        <w:gridCol w:w="1571"/>
        <w:gridCol w:w="2008"/>
      </w:tblGrid>
      <w:tr w:rsidR="00294854" w:rsidRPr="004869B8" w14:paraId="0F41635D" w14:textId="77777777" w:rsidTr="00D0174E">
        <w:trPr>
          <w:trHeight w:val="28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F88B3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Source of </w:t>
            </w:r>
          </w:p>
          <w:p w14:paraId="3800AE18" w14:textId="51763FA8" w:rsidR="00294854" w:rsidRPr="004869B8" w:rsidRDefault="0058350C"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v</w:t>
            </w:r>
            <w:r w:rsidR="00294854" w:rsidRPr="004869B8">
              <w:rPr>
                <w:rFonts w:ascii="Arial" w:hAnsi="Arial" w:cs="Arial"/>
                <w:b/>
                <w:bCs/>
                <w:color w:val="000000"/>
                <w:kern w:val="0"/>
                <w:sz w:val="20"/>
                <w:szCs w:val="20"/>
              </w:rPr>
              <w:t>ariation</w:t>
            </w:r>
          </w:p>
        </w:tc>
        <w:tc>
          <w:tcPr>
            <w:tcW w:w="0" w:type="auto"/>
            <w:tcBorders>
              <w:top w:val="single" w:sz="4" w:space="0" w:color="auto"/>
              <w:left w:val="nil"/>
              <w:bottom w:val="single" w:sz="4" w:space="0" w:color="auto"/>
              <w:right w:val="single" w:sz="4" w:space="0" w:color="auto"/>
            </w:tcBorders>
            <w:noWrap/>
            <w:vAlign w:val="bottom"/>
            <w:hideMark/>
          </w:tcPr>
          <w:p w14:paraId="0D2399B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Replication</w:t>
            </w:r>
          </w:p>
        </w:tc>
        <w:tc>
          <w:tcPr>
            <w:tcW w:w="1270" w:type="dxa"/>
            <w:tcBorders>
              <w:top w:val="single" w:sz="4" w:space="0" w:color="auto"/>
              <w:left w:val="nil"/>
              <w:bottom w:val="single" w:sz="4" w:space="0" w:color="auto"/>
              <w:right w:val="single" w:sz="4" w:space="0" w:color="auto"/>
            </w:tcBorders>
            <w:noWrap/>
            <w:vAlign w:val="bottom"/>
            <w:hideMark/>
          </w:tcPr>
          <w:p w14:paraId="29CD213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Treatment</w:t>
            </w:r>
          </w:p>
        </w:tc>
        <w:tc>
          <w:tcPr>
            <w:tcW w:w="1635" w:type="dxa"/>
            <w:tcBorders>
              <w:top w:val="single" w:sz="4" w:space="0" w:color="auto"/>
              <w:left w:val="nil"/>
              <w:bottom w:val="single" w:sz="4" w:space="0" w:color="auto"/>
              <w:right w:val="single" w:sz="4" w:space="0" w:color="auto"/>
            </w:tcBorders>
            <w:noWrap/>
            <w:vAlign w:val="bottom"/>
            <w:hideMark/>
          </w:tcPr>
          <w:p w14:paraId="3D8091C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Environment</w:t>
            </w:r>
          </w:p>
        </w:tc>
        <w:tc>
          <w:tcPr>
            <w:tcW w:w="1571" w:type="dxa"/>
            <w:tcBorders>
              <w:top w:val="single" w:sz="4" w:space="0" w:color="auto"/>
              <w:left w:val="nil"/>
              <w:bottom w:val="single" w:sz="4" w:space="0" w:color="auto"/>
              <w:right w:val="single" w:sz="4" w:space="0" w:color="auto"/>
            </w:tcBorders>
            <w:noWrap/>
            <w:vAlign w:val="bottom"/>
            <w:hideMark/>
          </w:tcPr>
          <w:p w14:paraId="0866364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Replication:</w:t>
            </w:r>
          </w:p>
          <w:p w14:paraId="543BE16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 Block</w:t>
            </w:r>
          </w:p>
        </w:tc>
        <w:tc>
          <w:tcPr>
            <w:tcW w:w="2008" w:type="dxa"/>
            <w:tcBorders>
              <w:top w:val="single" w:sz="4" w:space="0" w:color="auto"/>
              <w:left w:val="nil"/>
              <w:bottom w:val="single" w:sz="4" w:space="0" w:color="auto"/>
              <w:right w:val="single" w:sz="4" w:space="0" w:color="auto"/>
            </w:tcBorders>
            <w:noWrap/>
            <w:vAlign w:val="bottom"/>
            <w:hideMark/>
          </w:tcPr>
          <w:p w14:paraId="184245E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Treatment:</w:t>
            </w:r>
          </w:p>
          <w:p w14:paraId="41810FA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 xml:space="preserve"> Environment</w:t>
            </w:r>
          </w:p>
        </w:tc>
      </w:tr>
      <w:tr w:rsidR="00294854" w:rsidRPr="004869B8" w14:paraId="69E63A8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A8DB263" w14:textId="77777777" w:rsidR="00294854" w:rsidRPr="004869B8" w:rsidRDefault="00294854" w:rsidP="00D0174E">
            <w:pPr>
              <w:spacing w:after="0" w:line="240" w:lineRule="auto"/>
              <w:rPr>
                <w:rFonts w:ascii="Arial" w:hAnsi="Arial" w:cs="Arial"/>
                <w:b/>
                <w:bCs/>
                <w:color w:val="000000"/>
                <w:kern w:val="0"/>
                <w:sz w:val="20"/>
                <w:szCs w:val="20"/>
              </w:rPr>
            </w:pPr>
            <w:proofErr w:type="spellStart"/>
            <w:r w:rsidRPr="004869B8">
              <w:rPr>
                <w:rFonts w:ascii="Arial" w:hAnsi="Arial" w:cs="Arial"/>
                <w:b/>
                <w:bCs/>
                <w:color w:val="000000"/>
                <w:kern w:val="0"/>
                <w:sz w:val="20"/>
                <w:szCs w:val="20"/>
              </w:rPr>
              <w:t>df</w:t>
            </w:r>
            <w:proofErr w:type="spellEnd"/>
          </w:p>
        </w:tc>
        <w:tc>
          <w:tcPr>
            <w:tcW w:w="0" w:type="auto"/>
            <w:tcBorders>
              <w:top w:val="nil"/>
              <w:left w:val="nil"/>
              <w:bottom w:val="single" w:sz="4" w:space="0" w:color="auto"/>
              <w:right w:val="single" w:sz="4" w:space="0" w:color="auto"/>
            </w:tcBorders>
            <w:noWrap/>
            <w:vAlign w:val="bottom"/>
            <w:hideMark/>
          </w:tcPr>
          <w:p w14:paraId="0901645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w:t>
            </w:r>
          </w:p>
        </w:tc>
        <w:tc>
          <w:tcPr>
            <w:tcW w:w="1270" w:type="dxa"/>
            <w:tcBorders>
              <w:top w:val="nil"/>
              <w:left w:val="nil"/>
              <w:bottom w:val="single" w:sz="4" w:space="0" w:color="auto"/>
              <w:right w:val="single" w:sz="4" w:space="0" w:color="auto"/>
            </w:tcBorders>
            <w:noWrap/>
            <w:vAlign w:val="bottom"/>
            <w:hideMark/>
          </w:tcPr>
          <w:p w14:paraId="1574534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289</w:t>
            </w:r>
          </w:p>
        </w:tc>
        <w:tc>
          <w:tcPr>
            <w:tcW w:w="1635" w:type="dxa"/>
            <w:tcBorders>
              <w:top w:val="nil"/>
              <w:left w:val="nil"/>
              <w:bottom w:val="single" w:sz="4" w:space="0" w:color="auto"/>
              <w:right w:val="single" w:sz="4" w:space="0" w:color="auto"/>
            </w:tcBorders>
            <w:noWrap/>
            <w:vAlign w:val="bottom"/>
            <w:hideMark/>
          </w:tcPr>
          <w:p w14:paraId="2AAB783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w:t>
            </w:r>
          </w:p>
        </w:tc>
        <w:tc>
          <w:tcPr>
            <w:tcW w:w="1571" w:type="dxa"/>
            <w:tcBorders>
              <w:top w:val="nil"/>
              <w:left w:val="nil"/>
              <w:bottom w:val="single" w:sz="4" w:space="0" w:color="auto"/>
              <w:right w:val="single" w:sz="4" w:space="0" w:color="auto"/>
            </w:tcBorders>
            <w:noWrap/>
            <w:vAlign w:val="bottom"/>
            <w:hideMark/>
          </w:tcPr>
          <w:p w14:paraId="0F2F193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w:t>
            </w:r>
          </w:p>
        </w:tc>
        <w:tc>
          <w:tcPr>
            <w:tcW w:w="2008" w:type="dxa"/>
            <w:tcBorders>
              <w:top w:val="nil"/>
              <w:left w:val="nil"/>
              <w:bottom w:val="single" w:sz="4" w:space="0" w:color="auto"/>
              <w:right w:val="single" w:sz="4" w:space="0" w:color="auto"/>
            </w:tcBorders>
            <w:noWrap/>
            <w:vAlign w:val="bottom"/>
            <w:hideMark/>
          </w:tcPr>
          <w:p w14:paraId="1CE720E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289</w:t>
            </w:r>
          </w:p>
        </w:tc>
      </w:tr>
      <w:tr w:rsidR="00294854" w:rsidRPr="004869B8" w14:paraId="0A8E6AA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40600324"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3E655B76"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38.709***</w:t>
            </w:r>
          </w:p>
        </w:tc>
        <w:tc>
          <w:tcPr>
            <w:tcW w:w="1270" w:type="dxa"/>
            <w:tcBorders>
              <w:top w:val="nil"/>
              <w:left w:val="nil"/>
              <w:bottom w:val="single" w:sz="4" w:space="0" w:color="auto"/>
              <w:right w:val="single" w:sz="4" w:space="0" w:color="auto"/>
            </w:tcBorders>
            <w:noWrap/>
            <w:vAlign w:val="bottom"/>
            <w:hideMark/>
          </w:tcPr>
          <w:p w14:paraId="5172A07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14.865***</w:t>
            </w:r>
          </w:p>
        </w:tc>
        <w:tc>
          <w:tcPr>
            <w:tcW w:w="1635" w:type="dxa"/>
            <w:tcBorders>
              <w:top w:val="nil"/>
              <w:left w:val="nil"/>
              <w:bottom w:val="single" w:sz="4" w:space="0" w:color="auto"/>
              <w:right w:val="single" w:sz="4" w:space="0" w:color="auto"/>
            </w:tcBorders>
            <w:noWrap/>
            <w:vAlign w:val="bottom"/>
            <w:hideMark/>
          </w:tcPr>
          <w:p w14:paraId="35831D4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326.677***</w:t>
            </w:r>
          </w:p>
        </w:tc>
        <w:tc>
          <w:tcPr>
            <w:tcW w:w="1571" w:type="dxa"/>
            <w:tcBorders>
              <w:top w:val="nil"/>
              <w:left w:val="nil"/>
              <w:bottom w:val="single" w:sz="4" w:space="0" w:color="auto"/>
              <w:right w:val="single" w:sz="4" w:space="0" w:color="auto"/>
            </w:tcBorders>
            <w:noWrap/>
            <w:vAlign w:val="bottom"/>
            <w:hideMark/>
          </w:tcPr>
          <w:p w14:paraId="0207B03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0.876</w:t>
            </w:r>
          </w:p>
        </w:tc>
        <w:tc>
          <w:tcPr>
            <w:tcW w:w="2008" w:type="dxa"/>
            <w:tcBorders>
              <w:top w:val="nil"/>
              <w:left w:val="nil"/>
              <w:bottom w:val="single" w:sz="4" w:space="0" w:color="auto"/>
              <w:right w:val="single" w:sz="4" w:space="0" w:color="auto"/>
            </w:tcBorders>
            <w:noWrap/>
            <w:vAlign w:val="bottom"/>
            <w:hideMark/>
          </w:tcPr>
          <w:p w14:paraId="7BFF41D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7.229***</w:t>
            </w:r>
          </w:p>
        </w:tc>
      </w:tr>
      <w:tr w:rsidR="00294854" w:rsidRPr="004869B8" w14:paraId="3CE6795B"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149DFEB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0C41132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29.819***</w:t>
            </w:r>
          </w:p>
        </w:tc>
        <w:tc>
          <w:tcPr>
            <w:tcW w:w="1270" w:type="dxa"/>
            <w:tcBorders>
              <w:top w:val="nil"/>
              <w:left w:val="nil"/>
              <w:bottom w:val="single" w:sz="4" w:space="0" w:color="auto"/>
              <w:right w:val="single" w:sz="4" w:space="0" w:color="auto"/>
            </w:tcBorders>
            <w:noWrap/>
            <w:vAlign w:val="bottom"/>
            <w:hideMark/>
          </w:tcPr>
          <w:p w14:paraId="3788E89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9.870***</w:t>
            </w:r>
          </w:p>
        </w:tc>
        <w:tc>
          <w:tcPr>
            <w:tcW w:w="1635" w:type="dxa"/>
            <w:tcBorders>
              <w:top w:val="nil"/>
              <w:left w:val="nil"/>
              <w:bottom w:val="single" w:sz="4" w:space="0" w:color="auto"/>
              <w:right w:val="single" w:sz="4" w:space="0" w:color="auto"/>
            </w:tcBorders>
            <w:noWrap/>
            <w:vAlign w:val="bottom"/>
            <w:hideMark/>
          </w:tcPr>
          <w:p w14:paraId="1A4F6A0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136.067***</w:t>
            </w:r>
          </w:p>
        </w:tc>
        <w:tc>
          <w:tcPr>
            <w:tcW w:w="1571" w:type="dxa"/>
            <w:tcBorders>
              <w:top w:val="nil"/>
              <w:left w:val="nil"/>
              <w:bottom w:val="single" w:sz="4" w:space="0" w:color="auto"/>
              <w:right w:val="single" w:sz="4" w:space="0" w:color="auto"/>
            </w:tcBorders>
            <w:noWrap/>
            <w:vAlign w:val="bottom"/>
            <w:hideMark/>
          </w:tcPr>
          <w:p w14:paraId="73A4715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1.691*</w:t>
            </w:r>
          </w:p>
        </w:tc>
        <w:tc>
          <w:tcPr>
            <w:tcW w:w="2008" w:type="dxa"/>
            <w:tcBorders>
              <w:top w:val="nil"/>
              <w:left w:val="nil"/>
              <w:bottom w:val="single" w:sz="4" w:space="0" w:color="auto"/>
              <w:right w:val="single" w:sz="4" w:space="0" w:color="auto"/>
            </w:tcBorders>
            <w:noWrap/>
            <w:vAlign w:val="bottom"/>
            <w:hideMark/>
          </w:tcPr>
          <w:p w14:paraId="069C7FF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6.897***</w:t>
            </w:r>
          </w:p>
        </w:tc>
      </w:tr>
      <w:tr w:rsidR="00294854" w:rsidRPr="004869B8" w14:paraId="2B50FEF2"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70CA623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1F27914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5.017*</w:t>
            </w:r>
          </w:p>
        </w:tc>
        <w:tc>
          <w:tcPr>
            <w:tcW w:w="1270" w:type="dxa"/>
            <w:tcBorders>
              <w:top w:val="nil"/>
              <w:left w:val="nil"/>
              <w:bottom w:val="single" w:sz="4" w:space="0" w:color="auto"/>
              <w:right w:val="single" w:sz="4" w:space="0" w:color="auto"/>
            </w:tcBorders>
            <w:noWrap/>
            <w:vAlign w:val="bottom"/>
            <w:hideMark/>
          </w:tcPr>
          <w:p w14:paraId="4BFC556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1.555***</w:t>
            </w:r>
          </w:p>
        </w:tc>
        <w:tc>
          <w:tcPr>
            <w:tcW w:w="1635" w:type="dxa"/>
            <w:tcBorders>
              <w:top w:val="nil"/>
              <w:left w:val="nil"/>
              <w:bottom w:val="single" w:sz="4" w:space="0" w:color="auto"/>
              <w:right w:val="single" w:sz="4" w:space="0" w:color="auto"/>
            </w:tcBorders>
            <w:noWrap/>
            <w:vAlign w:val="bottom"/>
            <w:hideMark/>
          </w:tcPr>
          <w:p w14:paraId="2A648A96"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26.346***</w:t>
            </w:r>
          </w:p>
        </w:tc>
        <w:tc>
          <w:tcPr>
            <w:tcW w:w="1571" w:type="dxa"/>
            <w:tcBorders>
              <w:top w:val="nil"/>
              <w:left w:val="nil"/>
              <w:bottom w:val="single" w:sz="4" w:space="0" w:color="auto"/>
              <w:right w:val="single" w:sz="4" w:space="0" w:color="auto"/>
            </w:tcBorders>
            <w:noWrap/>
            <w:vAlign w:val="bottom"/>
            <w:hideMark/>
          </w:tcPr>
          <w:p w14:paraId="6E256B3D"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1.057</w:t>
            </w:r>
          </w:p>
        </w:tc>
        <w:tc>
          <w:tcPr>
            <w:tcW w:w="2008" w:type="dxa"/>
            <w:tcBorders>
              <w:top w:val="nil"/>
              <w:left w:val="nil"/>
              <w:bottom w:val="single" w:sz="4" w:space="0" w:color="auto"/>
              <w:right w:val="single" w:sz="4" w:space="0" w:color="auto"/>
            </w:tcBorders>
            <w:noWrap/>
            <w:vAlign w:val="bottom"/>
            <w:hideMark/>
          </w:tcPr>
          <w:p w14:paraId="2C8FFFB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1.316**</w:t>
            </w:r>
          </w:p>
        </w:tc>
      </w:tr>
      <w:tr w:rsidR="00294854" w:rsidRPr="004869B8" w14:paraId="52257768"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D5154F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w:t>
            </w:r>
          </w:p>
        </w:tc>
        <w:tc>
          <w:tcPr>
            <w:tcW w:w="0" w:type="auto"/>
            <w:tcBorders>
              <w:top w:val="nil"/>
              <w:left w:val="nil"/>
              <w:bottom w:val="single" w:sz="4" w:space="0" w:color="auto"/>
              <w:right w:val="single" w:sz="4" w:space="0" w:color="auto"/>
            </w:tcBorders>
            <w:noWrap/>
            <w:vAlign w:val="bottom"/>
            <w:hideMark/>
          </w:tcPr>
          <w:p w14:paraId="14366E4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1.511</w:t>
            </w:r>
          </w:p>
        </w:tc>
        <w:tc>
          <w:tcPr>
            <w:tcW w:w="1270" w:type="dxa"/>
            <w:tcBorders>
              <w:top w:val="nil"/>
              <w:left w:val="nil"/>
              <w:bottom w:val="single" w:sz="4" w:space="0" w:color="auto"/>
              <w:right w:val="single" w:sz="4" w:space="0" w:color="auto"/>
            </w:tcBorders>
            <w:noWrap/>
            <w:vAlign w:val="bottom"/>
            <w:hideMark/>
          </w:tcPr>
          <w:p w14:paraId="0730DFF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13.734***</w:t>
            </w:r>
          </w:p>
        </w:tc>
        <w:tc>
          <w:tcPr>
            <w:tcW w:w="1635" w:type="dxa"/>
            <w:tcBorders>
              <w:top w:val="nil"/>
              <w:left w:val="nil"/>
              <w:bottom w:val="single" w:sz="4" w:space="0" w:color="auto"/>
              <w:right w:val="single" w:sz="4" w:space="0" w:color="auto"/>
            </w:tcBorders>
            <w:noWrap/>
            <w:vAlign w:val="bottom"/>
            <w:hideMark/>
          </w:tcPr>
          <w:p w14:paraId="790C3E6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18.888***</w:t>
            </w:r>
          </w:p>
        </w:tc>
        <w:tc>
          <w:tcPr>
            <w:tcW w:w="1571" w:type="dxa"/>
            <w:tcBorders>
              <w:top w:val="nil"/>
              <w:left w:val="nil"/>
              <w:bottom w:val="single" w:sz="4" w:space="0" w:color="auto"/>
              <w:right w:val="single" w:sz="4" w:space="0" w:color="auto"/>
            </w:tcBorders>
            <w:noWrap/>
            <w:vAlign w:val="bottom"/>
            <w:hideMark/>
          </w:tcPr>
          <w:p w14:paraId="65C3AA9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0.847</w:t>
            </w:r>
          </w:p>
        </w:tc>
        <w:tc>
          <w:tcPr>
            <w:tcW w:w="2008" w:type="dxa"/>
            <w:tcBorders>
              <w:top w:val="nil"/>
              <w:left w:val="nil"/>
              <w:bottom w:val="single" w:sz="4" w:space="0" w:color="auto"/>
              <w:right w:val="single" w:sz="4" w:space="0" w:color="auto"/>
            </w:tcBorders>
            <w:noWrap/>
            <w:vAlign w:val="bottom"/>
            <w:hideMark/>
          </w:tcPr>
          <w:p w14:paraId="1E738E4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1.057</w:t>
            </w:r>
          </w:p>
        </w:tc>
      </w:tr>
      <w:tr w:rsidR="00294854" w:rsidRPr="004869B8" w14:paraId="37F79546"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0262AD2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1E9A230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0.507</w:t>
            </w:r>
          </w:p>
        </w:tc>
        <w:tc>
          <w:tcPr>
            <w:tcW w:w="1270" w:type="dxa"/>
            <w:tcBorders>
              <w:top w:val="nil"/>
              <w:left w:val="nil"/>
              <w:bottom w:val="single" w:sz="4" w:space="0" w:color="auto"/>
              <w:right w:val="single" w:sz="4" w:space="0" w:color="auto"/>
            </w:tcBorders>
            <w:noWrap/>
            <w:vAlign w:val="bottom"/>
            <w:hideMark/>
          </w:tcPr>
          <w:p w14:paraId="1A3EF700"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8.296***</w:t>
            </w:r>
          </w:p>
        </w:tc>
        <w:tc>
          <w:tcPr>
            <w:tcW w:w="1635" w:type="dxa"/>
            <w:tcBorders>
              <w:top w:val="nil"/>
              <w:left w:val="nil"/>
              <w:bottom w:val="single" w:sz="4" w:space="0" w:color="auto"/>
              <w:right w:val="single" w:sz="4" w:space="0" w:color="auto"/>
            </w:tcBorders>
            <w:noWrap/>
            <w:vAlign w:val="bottom"/>
            <w:hideMark/>
          </w:tcPr>
          <w:p w14:paraId="7C96869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2.168</w:t>
            </w:r>
          </w:p>
        </w:tc>
        <w:tc>
          <w:tcPr>
            <w:tcW w:w="1571" w:type="dxa"/>
            <w:tcBorders>
              <w:top w:val="nil"/>
              <w:left w:val="nil"/>
              <w:bottom w:val="single" w:sz="4" w:space="0" w:color="auto"/>
              <w:right w:val="single" w:sz="4" w:space="0" w:color="auto"/>
            </w:tcBorders>
            <w:noWrap/>
            <w:vAlign w:val="bottom"/>
            <w:hideMark/>
          </w:tcPr>
          <w:p w14:paraId="35B6A65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1.694*</w:t>
            </w:r>
          </w:p>
        </w:tc>
        <w:tc>
          <w:tcPr>
            <w:tcW w:w="2008" w:type="dxa"/>
            <w:tcBorders>
              <w:top w:val="nil"/>
              <w:left w:val="nil"/>
              <w:bottom w:val="single" w:sz="4" w:space="0" w:color="auto"/>
              <w:right w:val="single" w:sz="4" w:space="0" w:color="auto"/>
            </w:tcBorders>
            <w:noWrap/>
            <w:vAlign w:val="bottom"/>
            <w:hideMark/>
          </w:tcPr>
          <w:p w14:paraId="3B188D7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2.847***</w:t>
            </w:r>
          </w:p>
        </w:tc>
      </w:tr>
      <w:tr w:rsidR="00294854" w:rsidRPr="004869B8" w14:paraId="3AC730A3"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30267B1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4F4DFBD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2.356</w:t>
            </w:r>
          </w:p>
        </w:tc>
        <w:tc>
          <w:tcPr>
            <w:tcW w:w="1270" w:type="dxa"/>
            <w:tcBorders>
              <w:top w:val="nil"/>
              <w:left w:val="nil"/>
              <w:bottom w:val="single" w:sz="4" w:space="0" w:color="auto"/>
              <w:right w:val="single" w:sz="4" w:space="0" w:color="auto"/>
            </w:tcBorders>
            <w:noWrap/>
            <w:vAlign w:val="bottom"/>
            <w:hideMark/>
          </w:tcPr>
          <w:p w14:paraId="7DC2A3E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3.264***</w:t>
            </w:r>
          </w:p>
        </w:tc>
        <w:tc>
          <w:tcPr>
            <w:tcW w:w="1635" w:type="dxa"/>
            <w:tcBorders>
              <w:top w:val="nil"/>
              <w:left w:val="nil"/>
              <w:bottom w:val="single" w:sz="4" w:space="0" w:color="auto"/>
              <w:right w:val="single" w:sz="4" w:space="0" w:color="auto"/>
            </w:tcBorders>
            <w:noWrap/>
            <w:vAlign w:val="bottom"/>
            <w:hideMark/>
          </w:tcPr>
          <w:p w14:paraId="2F1664A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3.7</w:t>
            </w:r>
          </w:p>
        </w:tc>
        <w:tc>
          <w:tcPr>
            <w:tcW w:w="1571" w:type="dxa"/>
            <w:tcBorders>
              <w:top w:val="nil"/>
              <w:left w:val="nil"/>
              <w:bottom w:val="single" w:sz="4" w:space="0" w:color="auto"/>
              <w:right w:val="single" w:sz="4" w:space="0" w:color="auto"/>
            </w:tcBorders>
            <w:noWrap/>
            <w:vAlign w:val="bottom"/>
            <w:hideMark/>
          </w:tcPr>
          <w:p w14:paraId="09203A3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1.953**</w:t>
            </w:r>
          </w:p>
        </w:tc>
        <w:tc>
          <w:tcPr>
            <w:tcW w:w="2008" w:type="dxa"/>
            <w:tcBorders>
              <w:top w:val="nil"/>
              <w:left w:val="nil"/>
              <w:bottom w:val="single" w:sz="4" w:space="0" w:color="auto"/>
              <w:right w:val="single" w:sz="4" w:space="0" w:color="auto"/>
            </w:tcBorders>
            <w:noWrap/>
            <w:vAlign w:val="bottom"/>
            <w:hideMark/>
          </w:tcPr>
          <w:p w14:paraId="3465A71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0.749</w:t>
            </w:r>
          </w:p>
        </w:tc>
      </w:tr>
      <w:tr w:rsidR="00294854" w:rsidRPr="004869B8" w14:paraId="3ACCD8B8"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06A1A18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01BF6AE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2.807</w:t>
            </w:r>
          </w:p>
        </w:tc>
        <w:tc>
          <w:tcPr>
            <w:tcW w:w="1270" w:type="dxa"/>
            <w:tcBorders>
              <w:top w:val="nil"/>
              <w:left w:val="nil"/>
              <w:bottom w:val="single" w:sz="4" w:space="0" w:color="auto"/>
              <w:right w:val="single" w:sz="4" w:space="0" w:color="auto"/>
            </w:tcBorders>
            <w:noWrap/>
            <w:vAlign w:val="bottom"/>
            <w:hideMark/>
          </w:tcPr>
          <w:p w14:paraId="2773E63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5.433***</w:t>
            </w:r>
          </w:p>
        </w:tc>
        <w:tc>
          <w:tcPr>
            <w:tcW w:w="1635" w:type="dxa"/>
            <w:tcBorders>
              <w:top w:val="nil"/>
              <w:left w:val="nil"/>
              <w:bottom w:val="single" w:sz="4" w:space="0" w:color="auto"/>
              <w:right w:val="single" w:sz="4" w:space="0" w:color="auto"/>
            </w:tcBorders>
            <w:noWrap/>
            <w:vAlign w:val="bottom"/>
            <w:hideMark/>
          </w:tcPr>
          <w:p w14:paraId="2454D4A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4.924*</w:t>
            </w:r>
          </w:p>
        </w:tc>
        <w:tc>
          <w:tcPr>
            <w:tcW w:w="1571" w:type="dxa"/>
            <w:tcBorders>
              <w:top w:val="nil"/>
              <w:left w:val="nil"/>
              <w:bottom w:val="single" w:sz="4" w:space="0" w:color="auto"/>
              <w:right w:val="single" w:sz="4" w:space="0" w:color="auto"/>
            </w:tcBorders>
            <w:noWrap/>
            <w:vAlign w:val="bottom"/>
            <w:hideMark/>
          </w:tcPr>
          <w:p w14:paraId="6570073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1.009</w:t>
            </w:r>
          </w:p>
        </w:tc>
        <w:tc>
          <w:tcPr>
            <w:tcW w:w="2008" w:type="dxa"/>
            <w:tcBorders>
              <w:top w:val="nil"/>
              <w:left w:val="nil"/>
              <w:bottom w:val="single" w:sz="4" w:space="0" w:color="auto"/>
              <w:right w:val="single" w:sz="4" w:space="0" w:color="auto"/>
            </w:tcBorders>
            <w:noWrap/>
            <w:vAlign w:val="bottom"/>
            <w:hideMark/>
          </w:tcPr>
          <w:p w14:paraId="15D22B1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3.251***</w:t>
            </w:r>
          </w:p>
        </w:tc>
      </w:tr>
      <w:tr w:rsidR="00294854" w:rsidRPr="004869B8" w14:paraId="2D5A2CBF"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FA2D4D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w:t>
            </w:r>
          </w:p>
        </w:tc>
        <w:tc>
          <w:tcPr>
            <w:tcW w:w="0" w:type="auto"/>
            <w:tcBorders>
              <w:top w:val="nil"/>
              <w:left w:val="nil"/>
              <w:bottom w:val="single" w:sz="4" w:space="0" w:color="auto"/>
              <w:right w:val="single" w:sz="4" w:space="0" w:color="auto"/>
            </w:tcBorders>
            <w:noWrap/>
            <w:vAlign w:val="bottom"/>
            <w:hideMark/>
          </w:tcPr>
          <w:p w14:paraId="04CD5A8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0.969</w:t>
            </w:r>
          </w:p>
        </w:tc>
        <w:tc>
          <w:tcPr>
            <w:tcW w:w="1270" w:type="dxa"/>
            <w:tcBorders>
              <w:top w:val="nil"/>
              <w:left w:val="nil"/>
              <w:bottom w:val="single" w:sz="4" w:space="0" w:color="auto"/>
              <w:right w:val="single" w:sz="4" w:space="0" w:color="auto"/>
            </w:tcBorders>
            <w:noWrap/>
            <w:vAlign w:val="bottom"/>
            <w:hideMark/>
          </w:tcPr>
          <w:p w14:paraId="5517065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24.595***</w:t>
            </w:r>
          </w:p>
        </w:tc>
        <w:tc>
          <w:tcPr>
            <w:tcW w:w="1635" w:type="dxa"/>
            <w:tcBorders>
              <w:top w:val="nil"/>
              <w:left w:val="nil"/>
              <w:bottom w:val="single" w:sz="4" w:space="0" w:color="auto"/>
              <w:right w:val="single" w:sz="4" w:space="0" w:color="auto"/>
            </w:tcBorders>
            <w:noWrap/>
            <w:vAlign w:val="bottom"/>
            <w:hideMark/>
          </w:tcPr>
          <w:p w14:paraId="6F5B503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28.588***</w:t>
            </w:r>
          </w:p>
        </w:tc>
        <w:tc>
          <w:tcPr>
            <w:tcW w:w="1571" w:type="dxa"/>
            <w:tcBorders>
              <w:top w:val="nil"/>
              <w:left w:val="nil"/>
              <w:bottom w:val="single" w:sz="4" w:space="0" w:color="auto"/>
              <w:right w:val="single" w:sz="4" w:space="0" w:color="auto"/>
            </w:tcBorders>
            <w:noWrap/>
            <w:vAlign w:val="bottom"/>
            <w:hideMark/>
          </w:tcPr>
          <w:p w14:paraId="1D21E7B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1.651*</w:t>
            </w:r>
          </w:p>
        </w:tc>
        <w:tc>
          <w:tcPr>
            <w:tcW w:w="2008" w:type="dxa"/>
            <w:tcBorders>
              <w:top w:val="nil"/>
              <w:left w:val="nil"/>
              <w:bottom w:val="single" w:sz="4" w:space="0" w:color="auto"/>
              <w:right w:val="single" w:sz="4" w:space="0" w:color="auto"/>
            </w:tcBorders>
            <w:noWrap/>
            <w:vAlign w:val="bottom"/>
            <w:hideMark/>
          </w:tcPr>
          <w:p w14:paraId="38C309C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3.878***</w:t>
            </w:r>
          </w:p>
        </w:tc>
      </w:tr>
      <w:tr w:rsidR="00294854" w:rsidRPr="004869B8" w14:paraId="265203BE"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777369F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w:t>
            </w:r>
          </w:p>
        </w:tc>
        <w:tc>
          <w:tcPr>
            <w:tcW w:w="0" w:type="auto"/>
            <w:tcBorders>
              <w:top w:val="nil"/>
              <w:left w:val="nil"/>
              <w:bottom w:val="single" w:sz="4" w:space="0" w:color="auto"/>
              <w:right w:val="single" w:sz="4" w:space="0" w:color="auto"/>
            </w:tcBorders>
            <w:noWrap/>
            <w:vAlign w:val="bottom"/>
            <w:hideMark/>
          </w:tcPr>
          <w:p w14:paraId="21B5D72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0.215</w:t>
            </w:r>
          </w:p>
        </w:tc>
        <w:tc>
          <w:tcPr>
            <w:tcW w:w="1270" w:type="dxa"/>
            <w:tcBorders>
              <w:top w:val="nil"/>
              <w:left w:val="nil"/>
              <w:bottom w:val="single" w:sz="4" w:space="0" w:color="auto"/>
              <w:right w:val="single" w:sz="4" w:space="0" w:color="auto"/>
            </w:tcBorders>
            <w:noWrap/>
            <w:vAlign w:val="bottom"/>
            <w:hideMark/>
          </w:tcPr>
          <w:p w14:paraId="580B5DD0"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13.927***</w:t>
            </w:r>
          </w:p>
        </w:tc>
        <w:tc>
          <w:tcPr>
            <w:tcW w:w="1635" w:type="dxa"/>
            <w:tcBorders>
              <w:top w:val="nil"/>
              <w:left w:val="nil"/>
              <w:bottom w:val="single" w:sz="4" w:space="0" w:color="auto"/>
              <w:right w:val="single" w:sz="4" w:space="0" w:color="auto"/>
            </w:tcBorders>
            <w:noWrap/>
            <w:vAlign w:val="bottom"/>
            <w:hideMark/>
          </w:tcPr>
          <w:p w14:paraId="471AD751"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28.343***</w:t>
            </w:r>
          </w:p>
        </w:tc>
        <w:tc>
          <w:tcPr>
            <w:tcW w:w="1571" w:type="dxa"/>
            <w:tcBorders>
              <w:top w:val="nil"/>
              <w:left w:val="nil"/>
              <w:bottom w:val="single" w:sz="4" w:space="0" w:color="auto"/>
              <w:right w:val="single" w:sz="4" w:space="0" w:color="auto"/>
            </w:tcBorders>
            <w:noWrap/>
            <w:vAlign w:val="bottom"/>
            <w:hideMark/>
          </w:tcPr>
          <w:p w14:paraId="6BC327B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0.873</w:t>
            </w:r>
          </w:p>
        </w:tc>
        <w:tc>
          <w:tcPr>
            <w:tcW w:w="2008" w:type="dxa"/>
            <w:tcBorders>
              <w:top w:val="nil"/>
              <w:left w:val="nil"/>
              <w:bottom w:val="single" w:sz="4" w:space="0" w:color="auto"/>
              <w:right w:val="single" w:sz="4" w:space="0" w:color="auto"/>
            </w:tcBorders>
            <w:noWrap/>
            <w:vAlign w:val="bottom"/>
            <w:hideMark/>
          </w:tcPr>
          <w:p w14:paraId="38D6DFB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4.611***</w:t>
            </w:r>
          </w:p>
        </w:tc>
      </w:tr>
      <w:tr w:rsidR="00294854" w:rsidRPr="004869B8" w14:paraId="4DDA81B4"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33665EB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w:t>
            </w:r>
          </w:p>
        </w:tc>
        <w:tc>
          <w:tcPr>
            <w:tcW w:w="0" w:type="auto"/>
            <w:tcBorders>
              <w:top w:val="nil"/>
              <w:left w:val="nil"/>
              <w:bottom w:val="single" w:sz="4" w:space="0" w:color="auto"/>
              <w:right w:val="single" w:sz="4" w:space="0" w:color="auto"/>
            </w:tcBorders>
            <w:noWrap/>
            <w:vAlign w:val="bottom"/>
            <w:hideMark/>
          </w:tcPr>
          <w:p w14:paraId="794BC83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78.865***</w:t>
            </w:r>
          </w:p>
        </w:tc>
        <w:tc>
          <w:tcPr>
            <w:tcW w:w="1270" w:type="dxa"/>
            <w:tcBorders>
              <w:top w:val="nil"/>
              <w:left w:val="nil"/>
              <w:bottom w:val="single" w:sz="4" w:space="0" w:color="auto"/>
              <w:right w:val="single" w:sz="4" w:space="0" w:color="auto"/>
            </w:tcBorders>
            <w:noWrap/>
            <w:vAlign w:val="bottom"/>
            <w:hideMark/>
          </w:tcPr>
          <w:p w14:paraId="6B4D32A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2.348***</w:t>
            </w:r>
          </w:p>
        </w:tc>
        <w:tc>
          <w:tcPr>
            <w:tcW w:w="1635" w:type="dxa"/>
            <w:tcBorders>
              <w:top w:val="nil"/>
              <w:left w:val="nil"/>
              <w:bottom w:val="single" w:sz="4" w:space="0" w:color="auto"/>
              <w:right w:val="single" w:sz="4" w:space="0" w:color="auto"/>
            </w:tcBorders>
            <w:noWrap/>
            <w:vAlign w:val="bottom"/>
            <w:hideMark/>
          </w:tcPr>
          <w:p w14:paraId="0B9E46B5"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12.974***</w:t>
            </w:r>
          </w:p>
        </w:tc>
        <w:tc>
          <w:tcPr>
            <w:tcW w:w="1571" w:type="dxa"/>
            <w:tcBorders>
              <w:top w:val="nil"/>
              <w:left w:val="nil"/>
              <w:bottom w:val="single" w:sz="4" w:space="0" w:color="auto"/>
              <w:right w:val="single" w:sz="4" w:space="0" w:color="auto"/>
            </w:tcBorders>
            <w:noWrap/>
            <w:vAlign w:val="bottom"/>
            <w:hideMark/>
          </w:tcPr>
          <w:p w14:paraId="520B4D3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1.259</w:t>
            </w:r>
          </w:p>
        </w:tc>
        <w:tc>
          <w:tcPr>
            <w:tcW w:w="2008" w:type="dxa"/>
            <w:tcBorders>
              <w:top w:val="nil"/>
              <w:left w:val="nil"/>
              <w:bottom w:val="single" w:sz="4" w:space="0" w:color="auto"/>
              <w:right w:val="single" w:sz="4" w:space="0" w:color="auto"/>
            </w:tcBorders>
            <w:noWrap/>
            <w:vAlign w:val="bottom"/>
            <w:hideMark/>
          </w:tcPr>
          <w:p w14:paraId="169E316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2.061***</w:t>
            </w:r>
          </w:p>
        </w:tc>
      </w:tr>
      <w:tr w:rsidR="00294854" w:rsidRPr="004869B8" w14:paraId="3281028D"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2AEBA3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w:t>
            </w:r>
          </w:p>
        </w:tc>
        <w:tc>
          <w:tcPr>
            <w:tcW w:w="0" w:type="auto"/>
            <w:tcBorders>
              <w:top w:val="nil"/>
              <w:left w:val="nil"/>
              <w:bottom w:val="single" w:sz="4" w:space="0" w:color="auto"/>
              <w:right w:val="single" w:sz="4" w:space="0" w:color="auto"/>
            </w:tcBorders>
            <w:noWrap/>
            <w:vAlign w:val="bottom"/>
            <w:hideMark/>
          </w:tcPr>
          <w:p w14:paraId="1429E7E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0.921</w:t>
            </w:r>
          </w:p>
        </w:tc>
        <w:tc>
          <w:tcPr>
            <w:tcW w:w="1270" w:type="dxa"/>
            <w:tcBorders>
              <w:top w:val="nil"/>
              <w:left w:val="nil"/>
              <w:bottom w:val="single" w:sz="4" w:space="0" w:color="auto"/>
              <w:right w:val="single" w:sz="4" w:space="0" w:color="auto"/>
            </w:tcBorders>
            <w:noWrap/>
            <w:vAlign w:val="bottom"/>
            <w:hideMark/>
          </w:tcPr>
          <w:p w14:paraId="26B27DA8"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40.728***</w:t>
            </w:r>
          </w:p>
        </w:tc>
        <w:tc>
          <w:tcPr>
            <w:tcW w:w="1635" w:type="dxa"/>
            <w:tcBorders>
              <w:top w:val="nil"/>
              <w:left w:val="nil"/>
              <w:bottom w:val="single" w:sz="4" w:space="0" w:color="auto"/>
              <w:right w:val="single" w:sz="4" w:space="0" w:color="auto"/>
            </w:tcBorders>
            <w:noWrap/>
            <w:vAlign w:val="bottom"/>
            <w:hideMark/>
          </w:tcPr>
          <w:p w14:paraId="288B6FB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87.764***</w:t>
            </w:r>
          </w:p>
        </w:tc>
        <w:tc>
          <w:tcPr>
            <w:tcW w:w="1571" w:type="dxa"/>
            <w:tcBorders>
              <w:top w:val="nil"/>
              <w:left w:val="nil"/>
              <w:bottom w:val="single" w:sz="4" w:space="0" w:color="auto"/>
              <w:right w:val="single" w:sz="4" w:space="0" w:color="auto"/>
            </w:tcBorders>
            <w:noWrap/>
            <w:vAlign w:val="bottom"/>
            <w:hideMark/>
          </w:tcPr>
          <w:p w14:paraId="0849CFF2"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0.675</w:t>
            </w:r>
          </w:p>
        </w:tc>
        <w:tc>
          <w:tcPr>
            <w:tcW w:w="2008" w:type="dxa"/>
            <w:tcBorders>
              <w:top w:val="nil"/>
              <w:left w:val="nil"/>
              <w:bottom w:val="single" w:sz="4" w:space="0" w:color="auto"/>
              <w:right w:val="single" w:sz="4" w:space="0" w:color="auto"/>
            </w:tcBorders>
            <w:noWrap/>
            <w:vAlign w:val="bottom"/>
            <w:hideMark/>
          </w:tcPr>
          <w:p w14:paraId="12BB322F"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9.911***</w:t>
            </w:r>
          </w:p>
        </w:tc>
      </w:tr>
      <w:tr w:rsidR="00294854" w:rsidRPr="004869B8" w14:paraId="6006284A"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1A4BAE0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w:t>
            </w:r>
          </w:p>
        </w:tc>
        <w:tc>
          <w:tcPr>
            <w:tcW w:w="0" w:type="auto"/>
            <w:tcBorders>
              <w:top w:val="nil"/>
              <w:left w:val="nil"/>
              <w:bottom w:val="single" w:sz="4" w:space="0" w:color="auto"/>
              <w:right w:val="single" w:sz="4" w:space="0" w:color="auto"/>
            </w:tcBorders>
            <w:noWrap/>
            <w:vAlign w:val="bottom"/>
            <w:hideMark/>
          </w:tcPr>
          <w:p w14:paraId="645FC4A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27.951***</w:t>
            </w:r>
          </w:p>
        </w:tc>
        <w:tc>
          <w:tcPr>
            <w:tcW w:w="1270" w:type="dxa"/>
            <w:tcBorders>
              <w:top w:val="nil"/>
              <w:left w:val="nil"/>
              <w:bottom w:val="single" w:sz="4" w:space="0" w:color="auto"/>
              <w:right w:val="single" w:sz="4" w:space="0" w:color="auto"/>
            </w:tcBorders>
            <w:noWrap/>
            <w:vAlign w:val="bottom"/>
            <w:hideMark/>
          </w:tcPr>
          <w:p w14:paraId="4907A4B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28.011***</w:t>
            </w:r>
          </w:p>
        </w:tc>
        <w:tc>
          <w:tcPr>
            <w:tcW w:w="1635" w:type="dxa"/>
            <w:tcBorders>
              <w:top w:val="nil"/>
              <w:left w:val="nil"/>
              <w:bottom w:val="single" w:sz="4" w:space="0" w:color="auto"/>
              <w:right w:val="single" w:sz="4" w:space="0" w:color="auto"/>
            </w:tcBorders>
            <w:noWrap/>
            <w:vAlign w:val="bottom"/>
            <w:hideMark/>
          </w:tcPr>
          <w:p w14:paraId="4546D1D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202.745***</w:t>
            </w:r>
          </w:p>
        </w:tc>
        <w:tc>
          <w:tcPr>
            <w:tcW w:w="1571" w:type="dxa"/>
            <w:tcBorders>
              <w:top w:val="nil"/>
              <w:left w:val="nil"/>
              <w:bottom w:val="single" w:sz="4" w:space="0" w:color="auto"/>
              <w:right w:val="single" w:sz="4" w:space="0" w:color="auto"/>
            </w:tcBorders>
            <w:noWrap/>
            <w:vAlign w:val="bottom"/>
            <w:hideMark/>
          </w:tcPr>
          <w:p w14:paraId="48ED7C1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1.418</w:t>
            </w:r>
          </w:p>
        </w:tc>
        <w:tc>
          <w:tcPr>
            <w:tcW w:w="2008" w:type="dxa"/>
            <w:tcBorders>
              <w:top w:val="nil"/>
              <w:left w:val="nil"/>
              <w:bottom w:val="single" w:sz="4" w:space="0" w:color="auto"/>
              <w:right w:val="single" w:sz="4" w:space="0" w:color="auto"/>
            </w:tcBorders>
            <w:noWrap/>
            <w:vAlign w:val="bottom"/>
            <w:hideMark/>
          </w:tcPr>
          <w:p w14:paraId="59BDC39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5.726***</w:t>
            </w:r>
          </w:p>
        </w:tc>
      </w:tr>
      <w:tr w:rsidR="00294854" w:rsidRPr="004869B8" w14:paraId="673ACCAA"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674478F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48E0C27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0.001</w:t>
            </w:r>
          </w:p>
        </w:tc>
        <w:tc>
          <w:tcPr>
            <w:tcW w:w="1270" w:type="dxa"/>
            <w:tcBorders>
              <w:top w:val="nil"/>
              <w:left w:val="nil"/>
              <w:bottom w:val="single" w:sz="4" w:space="0" w:color="auto"/>
              <w:right w:val="single" w:sz="4" w:space="0" w:color="auto"/>
            </w:tcBorders>
            <w:noWrap/>
            <w:vAlign w:val="bottom"/>
            <w:hideMark/>
          </w:tcPr>
          <w:p w14:paraId="719228CC"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14.916***</w:t>
            </w:r>
          </w:p>
        </w:tc>
        <w:tc>
          <w:tcPr>
            <w:tcW w:w="1635" w:type="dxa"/>
            <w:tcBorders>
              <w:top w:val="nil"/>
              <w:left w:val="nil"/>
              <w:bottom w:val="single" w:sz="4" w:space="0" w:color="auto"/>
              <w:right w:val="single" w:sz="4" w:space="0" w:color="auto"/>
            </w:tcBorders>
            <w:noWrap/>
            <w:vAlign w:val="bottom"/>
            <w:hideMark/>
          </w:tcPr>
          <w:p w14:paraId="0F340FD3"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503.053***</w:t>
            </w:r>
          </w:p>
        </w:tc>
        <w:tc>
          <w:tcPr>
            <w:tcW w:w="1571" w:type="dxa"/>
            <w:tcBorders>
              <w:top w:val="nil"/>
              <w:left w:val="nil"/>
              <w:bottom w:val="single" w:sz="4" w:space="0" w:color="auto"/>
              <w:right w:val="single" w:sz="4" w:space="0" w:color="auto"/>
            </w:tcBorders>
            <w:noWrap/>
            <w:vAlign w:val="bottom"/>
            <w:hideMark/>
          </w:tcPr>
          <w:p w14:paraId="5B4FD2EA"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1.377</w:t>
            </w:r>
          </w:p>
        </w:tc>
        <w:tc>
          <w:tcPr>
            <w:tcW w:w="2008" w:type="dxa"/>
            <w:tcBorders>
              <w:top w:val="nil"/>
              <w:left w:val="nil"/>
              <w:bottom w:val="single" w:sz="4" w:space="0" w:color="auto"/>
              <w:right w:val="single" w:sz="4" w:space="0" w:color="auto"/>
            </w:tcBorders>
            <w:noWrap/>
            <w:vAlign w:val="bottom"/>
            <w:hideMark/>
          </w:tcPr>
          <w:p w14:paraId="205B3CDE"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4.044***</w:t>
            </w:r>
          </w:p>
        </w:tc>
      </w:tr>
      <w:tr w:rsidR="00294854" w:rsidRPr="004869B8" w14:paraId="11432545" w14:textId="77777777" w:rsidTr="00D0174E">
        <w:trPr>
          <w:trHeight w:val="283"/>
        </w:trPr>
        <w:tc>
          <w:tcPr>
            <w:tcW w:w="0" w:type="auto"/>
            <w:tcBorders>
              <w:top w:val="nil"/>
              <w:left w:val="single" w:sz="4" w:space="0" w:color="auto"/>
              <w:bottom w:val="single" w:sz="4" w:space="0" w:color="auto"/>
              <w:right w:val="single" w:sz="4" w:space="0" w:color="auto"/>
            </w:tcBorders>
            <w:noWrap/>
            <w:vAlign w:val="bottom"/>
            <w:hideMark/>
          </w:tcPr>
          <w:p w14:paraId="55CA828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54FF5189"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3.784</w:t>
            </w:r>
          </w:p>
        </w:tc>
        <w:tc>
          <w:tcPr>
            <w:tcW w:w="1270" w:type="dxa"/>
            <w:tcBorders>
              <w:top w:val="nil"/>
              <w:left w:val="nil"/>
              <w:bottom w:val="single" w:sz="4" w:space="0" w:color="auto"/>
              <w:right w:val="single" w:sz="4" w:space="0" w:color="auto"/>
            </w:tcBorders>
            <w:noWrap/>
            <w:vAlign w:val="bottom"/>
            <w:hideMark/>
          </w:tcPr>
          <w:p w14:paraId="61E7C75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22.705***</w:t>
            </w:r>
          </w:p>
        </w:tc>
        <w:tc>
          <w:tcPr>
            <w:tcW w:w="1635" w:type="dxa"/>
            <w:tcBorders>
              <w:top w:val="nil"/>
              <w:left w:val="nil"/>
              <w:bottom w:val="single" w:sz="4" w:space="0" w:color="auto"/>
              <w:right w:val="single" w:sz="4" w:space="0" w:color="auto"/>
            </w:tcBorders>
            <w:noWrap/>
            <w:vAlign w:val="bottom"/>
            <w:hideMark/>
          </w:tcPr>
          <w:p w14:paraId="13D734E4"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38.129***</w:t>
            </w:r>
          </w:p>
        </w:tc>
        <w:tc>
          <w:tcPr>
            <w:tcW w:w="1571" w:type="dxa"/>
            <w:tcBorders>
              <w:top w:val="nil"/>
              <w:left w:val="nil"/>
              <w:bottom w:val="single" w:sz="4" w:space="0" w:color="auto"/>
              <w:right w:val="single" w:sz="4" w:space="0" w:color="auto"/>
            </w:tcBorders>
            <w:noWrap/>
            <w:vAlign w:val="bottom"/>
            <w:hideMark/>
          </w:tcPr>
          <w:p w14:paraId="4214D1F7"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1.000</w:t>
            </w:r>
          </w:p>
        </w:tc>
        <w:tc>
          <w:tcPr>
            <w:tcW w:w="2008" w:type="dxa"/>
            <w:tcBorders>
              <w:top w:val="nil"/>
              <w:left w:val="nil"/>
              <w:bottom w:val="single" w:sz="4" w:space="0" w:color="auto"/>
              <w:right w:val="single" w:sz="4" w:space="0" w:color="auto"/>
            </w:tcBorders>
            <w:noWrap/>
            <w:vAlign w:val="bottom"/>
            <w:hideMark/>
          </w:tcPr>
          <w:p w14:paraId="33C7C0FB" w14:textId="77777777" w:rsidR="00294854" w:rsidRPr="004869B8" w:rsidRDefault="00294854" w:rsidP="00D0174E">
            <w:pPr>
              <w:spacing w:after="0" w:line="240" w:lineRule="auto"/>
              <w:rPr>
                <w:rFonts w:ascii="Arial" w:hAnsi="Arial" w:cs="Arial"/>
                <w:color w:val="000000"/>
                <w:kern w:val="0"/>
                <w:sz w:val="20"/>
                <w:szCs w:val="20"/>
              </w:rPr>
            </w:pPr>
            <w:r w:rsidRPr="004869B8">
              <w:rPr>
                <w:rFonts w:ascii="Arial" w:hAnsi="Arial" w:cs="Arial"/>
                <w:color w:val="000000"/>
                <w:kern w:val="0"/>
                <w:sz w:val="20"/>
                <w:szCs w:val="20"/>
              </w:rPr>
              <w:t>3.838***</w:t>
            </w:r>
          </w:p>
        </w:tc>
      </w:tr>
    </w:tbl>
    <w:p w14:paraId="57F97180" w14:textId="77777777" w:rsidR="00294854" w:rsidRPr="004869B8" w:rsidRDefault="00294854" w:rsidP="00294854">
      <w:pPr>
        <w:spacing w:line="240" w:lineRule="auto"/>
        <w:jc w:val="both"/>
        <w:rPr>
          <w:rFonts w:ascii="Arial" w:hAnsi="Arial" w:cs="Arial"/>
          <w:sz w:val="20"/>
          <w:szCs w:val="20"/>
        </w:rPr>
      </w:pPr>
    </w:p>
    <w:p w14:paraId="17842680"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lastRenderedPageBreak/>
        <w:t xml:space="preserve">***,**, * Significance at 0.001, 0.01, 0.05 levels, respectively. </w:t>
      </w:r>
      <w:proofErr w:type="spellStart"/>
      <w:r w:rsidRPr="004869B8">
        <w:rPr>
          <w:rFonts w:ascii="Arial" w:hAnsi="Arial" w:cs="Arial"/>
          <w:sz w:val="20"/>
          <w:szCs w:val="20"/>
        </w:rPr>
        <w:t>df</w:t>
      </w:r>
      <w:proofErr w:type="spellEnd"/>
      <w:r w:rsidRPr="004869B8">
        <w:rPr>
          <w:rFonts w:ascii="Arial" w:hAnsi="Arial" w:cs="Arial"/>
          <w:sz w:val="20"/>
          <w:szCs w:val="20"/>
        </w:rPr>
        <w:t>- Degrees of Freedom, DFF – Days to 50% Flowering, DM – Days to Maturity, PS - Plant Stand, PH – Plant Height, NT – Number of Tillers, NPT – Number of Productive Tillers, NL – Number of Leaves, PL – Panicle Length, PD - Panicle Diameter, SG – Stem Girth, TSW – Thousand Seed Weight, SY – Seed Yield, HI – Harvest Index, BS - Blast Score.</w:t>
      </w:r>
    </w:p>
    <w:p w14:paraId="43C5BEA9" w14:textId="0B5F1C7F" w:rsidR="00294854" w:rsidRPr="003816DC" w:rsidRDefault="00294854" w:rsidP="00294854">
      <w:pPr>
        <w:spacing w:line="240" w:lineRule="auto"/>
        <w:rPr>
          <w:rFonts w:ascii="Arial" w:hAnsi="Arial" w:cs="Arial"/>
          <w:b/>
          <w:bCs/>
        </w:rPr>
      </w:pPr>
      <w:r w:rsidRPr="003816DC">
        <w:rPr>
          <w:rFonts w:ascii="Arial" w:hAnsi="Arial" w:cs="Arial"/>
          <w:b/>
          <w:bCs/>
        </w:rPr>
        <w:t xml:space="preserve">3.2. Estimation of </w:t>
      </w:r>
      <w:r w:rsidR="00FC6621" w:rsidRPr="003816DC">
        <w:rPr>
          <w:rFonts w:ascii="Arial" w:hAnsi="Arial" w:cs="Arial"/>
          <w:b/>
          <w:bCs/>
        </w:rPr>
        <w:t>g</w:t>
      </w:r>
      <w:r w:rsidRPr="003816DC">
        <w:rPr>
          <w:rFonts w:ascii="Arial" w:hAnsi="Arial" w:cs="Arial"/>
          <w:b/>
          <w:bCs/>
        </w:rPr>
        <w:t xml:space="preserve">enetic </w:t>
      </w:r>
      <w:r w:rsidR="00FC6621" w:rsidRPr="003816DC">
        <w:rPr>
          <w:rFonts w:ascii="Arial" w:hAnsi="Arial" w:cs="Arial"/>
          <w:b/>
          <w:bCs/>
        </w:rPr>
        <w:t>v</w:t>
      </w:r>
      <w:r w:rsidRPr="003816DC">
        <w:rPr>
          <w:rFonts w:ascii="Arial" w:hAnsi="Arial" w:cs="Arial"/>
          <w:b/>
          <w:bCs/>
        </w:rPr>
        <w:t xml:space="preserve">ariability </w:t>
      </w:r>
      <w:r w:rsidR="00FC6621" w:rsidRPr="003816DC">
        <w:rPr>
          <w:rFonts w:ascii="Arial" w:hAnsi="Arial" w:cs="Arial"/>
          <w:b/>
          <w:bCs/>
        </w:rPr>
        <w:t>p</w:t>
      </w:r>
      <w:r w:rsidRPr="003816DC">
        <w:rPr>
          <w:rFonts w:ascii="Arial" w:hAnsi="Arial" w:cs="Arial"/>
          <w:b/>
          <w:bCs/>
        </w:rPr>
        <w:t xml:space="preserve">arameters </w:t>
      </w:r>
    </w:p>
    <w:p w14:paraId="14304226" w14:textId="5BCE22E5" w:rsidR="00294854" w:rsidRPr="004869B8" w:rsidRDefault="00294854" w:rsidP="000C5FBC">
      <w:pPr>
        <w:spacing w:line="240" w:lineRule="auto"/>
        <w:ind w:firstLine="720"/>
        <w:jc w:val="both"/>
        <w:rPr>
          <w:rFonts w:ascii="Arial" w:hAnsi="Arial" w:cs="Arial"/>
          <w:sz w:val="20"/>
          <w:szCs w:val="20"/>
        </w:rPr>
      </w:pPr>
      <w:r w:rsidRPr="004869B8">
        <w:rPr>
          <w:rFonts w:ascii="Arial" w:hAnsi="Arial" w:cs="Arial"/>
          <w:sz w:val="20"/>
          <w:szCs w:val="20"/>
        </w:rPr>
        <w:t>Genotypic coefficient of variation (GCV), phenotypic coefficient of variation (PCV), broad-sense heritability (H</w:t>
      </w:r>
      <w:r w:rsidRPr="004869B8">
        <w:rPr>
          <w:rFonts w:ascii="Arial" w:hAnsi="Arial" w:cs="Arial"/>
          <w:sz w:val="20"/>
          <w:szCs w:val="20"/>
          <w:vertAlign w:val="superscript"/>
        </w:rPr>
        <w:t>2</w:t>
      </w:r>
      <w:r w:rsidRPr="004869B8">
        <w:rPr>
          <w:rFonts w:ascii="Arial" w:hAnsi="Arial" w:cs="Arial"/>
          <w:sz w:val="20"/>
          <w:szCs w:val="20"/>
        </w:rPr>
        <w:t>), genetic advance</w:t>
      </w:r>
      <w:r w:rsidR="000E446E" w:rsidRPr="004869B8">
        <w:rPr>
          <w:rFonts w:ascii="Arial" w:hAnsi="Arial" w:cs="Arial"/>
          <w:sz w:val="20"/>
          <w:szCs w:val="20"/>
        </w:rPr>
        <w:t xml:space="preserve"> (GA), genetic advance as percent of mean (GAM)</w:t>
      </w:r>
      <w:r w:rsidRPr="004869B8">
        <w:rPr>
          <w:rFonts w:ascii="Arial" w:hAnsi="Arial" w:cs="Arial"/>
          <w:sz w:val="20"/>
          <w:szCs w:val="20"/>
        </w:rPr>
        <w:t xml:space="preserve"> were estimated for all traits under study to assess their response to selection (Table 2). These metrics are crucial for predicting the effectiveness of selection and guiding breeding programs aimed at improving yield</w:t>
      </w:r>
      <w:r w:rsidR="00B77B3E" w:rsidRPr="004869B8">
        <w:rPr>
          <w:rFonts w:ascii="Arial" w:hAnsi="Arial" w:cs="Arial"/>
          <w:sz w:val="20"/>
          <w:szCs w:val="20"/>
        </w:rPr>
        <w:t>.</w:t>
      </w:r>
    </w:p>
    <w:p w14:paraId="1A665CBC" w14:textId="20A77036" w:rsidR="00294854" w:rsidRPr="004869B8" w:rsidRDefault="00294854" w:rsidP="00294854">
      <w:pPr>
        <w:spacing w:line="240" w:lineRule="auto"/>
        <w:rPr>
          <w:rFonts w:ascii="Arial" w:hAnsi="Arial" w:cs="Arial"/>
          <w:b/>
          <w:bCs/>
          <w:sz w:val="20"/>
          <w:szCs w:val="20"/>
        </w:rPr>
      </w:pPr>
      <w:r w:rsidRPr="004869B8">
        <w:rPr>
          <w:rFonts w:ascii="Arial" w:hAnsi="Arial" w:cs="Arial"/>
          <w:b/>
          <w:bCs/>
          <w:sz w:val="20"/>
          <w:szCs w:val="20"/>
        </w:rPr>
        <w:t xml:space="preserve">Table 2. Variability </w:t>
      </w:r>
      <w:r w:rsidR="008E6634" w:rsidRPr="004869B8">
        <w:rPr>
          <w:rFonts w:ascii="Arial" w:hAnsi="Arial" w:cs="Arial"/>
          <w:b/>
          <w:bCs/>
          <w:sz w:val="20"/>
          <w:szCs w:val="20"/>
        </w:rPr>
        <w:t>p</w:t>
      </w:r>
      <w:r w:rsidRPr="004869B8">
        <w:rPr>
          <w:rFonts w:ascii="Arial" w:hAnsi="Arial" w:cs="Arial"/>
          <w:b/>
          <w:bCs/>
          <w:sz w:val="20"/>
          <w:szCs w:val="20"/>
        </w:rPr>
        <w:t xml:space="preserve">arameters for </w:t>
      </w:r>
      <w:r w:rsidR="008E6634" w:rsidRPr="004869B8">
        <w:rPr>
          <w:rFonts w:ascii="Arial" w:hAnsi="Arial" w:cs="Arial"/>
          <w:b/>
          <w:bCs/>
          <w:sz w:val="20"/>
          <w:szCs w:val="20"/>
        </w:rPr>
        <w:t>a</w:t>
      </w:r>
      <w:r w:rsidRPr="004869B8">
        <w:rPr>
          <w:rFonts w:ascii="Arial" w:hAnsi="Arial" w:cs="Arial"/>
          <w:b/>
          <w:bCs/>
          <w:sz w:val="20"/>
          <w:szCs w:val="20"/>
        </w:rPr>
        <w:t xml:space="preserve">gronomic </w:t>
      </w:r>
      <w:r w:rsidR="008E6634" w:rsidRPr="004869B8">
        <w:rPr>
          <w:rFonts w:ascii="Arial" w:hAnsi="Arial" w:cs="Arial"/>
          <w:b/>
          <w:bCs/>
          <w:sz w:val="20"/>
          <w:szCs w:val="20"/>
        </w:rPr>
        <w:t>t</w:t>
      </w:r>
      <w:r w:rsidRPr="004869B8">
        <w:rPr>
          <w:rFonts w:ascii="Arial" w:hAnsi="Arial" w:cs="Arial"/>
          <w:b/>
          <w:bCs/>
          <w:sz w:val="20"/>
          <w:szCs w:val="20"/>
        </w:rPr>
        <w:t xml:space="preserve">raits and </w:t>
      </w:r>
      <w:r w:rsidR="008E6634" w:rsidRPr="004869B8">
        <w:rPr>
          <w:rFonts w:ascii="Arial" w:hAnsi="Arial" w:cs="Arial"/>
          <w:b/>
          <w:bCs/>
          <w:sz w:val="20"/>
          <w:szCs w:val="20"/>
        </w:rPr>
        <w:t>b</w:t>
      </w:r>
      <w:r w:rsidRPr="004869B8">
        <w:rPr>
          <w:rFonts w:ascii="Arial" w:hAnsi="Arial" w:cs="Arial"/>
          <w:b/>
          <w:bCs/>
          <w:sz w:val="20"/>
          <w:szCs w:val="20"/>
        </w:rPr>
        <w:t xml:space="preserve">last </w:t>
      </w:r>
      <w:r w:rsidR="008E6634" w:rsidRPr="004869B8">
        <w:rPr>
          <w:rFonts w:ascii="Arial" w:hAnsi="Arial" w:cs="Arial"/>
          <w:b/>
          <w:bCs/>
          <w:sz w:val="20"/>
          <w:szCs w:val="20"/>
        </w:rPr>
        <w:t>d</w:t>
      </w:r>
      <w:r w:rsidRPr="004869B8">
        <w:rPr>
          <w:rFonts w:ascii="Arial" w:hAnsi="Arial" w:cs="Arial"/>
          <w:b/>
          <w:bCs/>
          <w:sz w:val="20"/>
          <w:szCs w:val="20"/>
        </w:rPr>
        <w:t xml:space="preserve">isease </w:t>
      </w:r>
      <w:r w:rsidR="008E6634" w:rsidRPr="004869B8">
        <w:rPr>
          <w:rFonts w:ascii="Arial" w:hAnsi="Arial" w:cs="Arial"/>
          <w:b/>
          <w:bCs/>
          <w:sz w:val="20"/>
          <w:szCs w:val="20"/>
        </w:rPr>
        <w:t>r</w:t>
      </w:r>
      <w:r w:rsidRPr="004869B8">
        <w:rPr>
          <w:rFonts w:ascii="Arial" w:hAnsi="Arial" w:cs="Arial"/>
          <w:b/>
          <w:bCs/>
          <w:sz w:val="20"/>
          <w:szCs w:val="20"/>
        </w:rPr>
        <w:t xml:space="preserve">esistance in ENV-I, ENV-II and </w:t>
      </w:r>
      <w:r w:rsidR="008E6634" w:rsidRPr="004869B8">
        <w:rPr>
          <w:rFonts w:ascii="Arial" w:hAnsi="Arial" w:cs="Arial"/>
          <w:b/>
          <w:bCs/>
          <w:sz w:val="20"/>
          <w:szCs w:val="20"/>
        </w:rPr>
        <w:t>p</w:t>
      </w:r>
      <w:r w:rsidRPr="004869B8">
        <w:rPr>
          <w:rFonts w:ascii="Arial" w:hAnsi="Arial" w:cs="Arial"/>
          <w:b/>
          <w:bCs/>
          <w:sz w:val="20"/>
          <w:szCs w:val="20"/>
        </w:rPr>
        <w:t xml:space="preserve">ooled </w:t>
      </w:r>
      <w:r w:rsidR="008E6634" w:rsidRPr="004869B8">
        <w:rPr>
          <w:rFonts w:ascii="Arial" w:hAnsi="Arial" w:cs="Arial"/>
          <w:b/>
          <w:bCs/>
          <w:sz w:val="20"/>
          <w:szCs w:val="20"/>
        </w:rPr>
        <w:t>e</w:t>
      </w:r>
      <w:r w:rsidRPr="004869B8">
        <w:rPr>
          <w:rFonts w:ascii="Arial" w:hAnsi="Arial" w:cs="Arial"/>
          <w:b/>
          <w:bCs/>
          <w:sz w:val="20"/>
          <w:szCs w:val="20"/>
        </w:rPr>
        <w:t>nvironment</w:t>
      </w:r>
    </w:p>
    <w:tbl>
      <w:tblPr>
        <w:tblW w:w="0" w:type="auto"/>
        <w:jc w:val="center"/>
        <w:tblLook w:val="04A0" w:firstRow="1" w:lastRow="0" w:firstColumn="1" w:lastColumn="0" w:noHBand="0" w:noVBand="1"/>
      </w:tblPr>
      <w:tblGrid>
        <w:gridCol w:w="1050"/>
        <w:gridCol w:w="717"/>
        <w:gridCol w:w="828"/>
        <w:gridCol w:w="828"/>
        <w:gridCol w:w="780"/>
        <w:gridCol w:w="861"/>
        <w:gridCol w:w="994"/>
        <w:gridCol w:w="1016"/>
        <w:gridCol w:w="717"/>
        <w:gridCol w:w="717"/>
      </w:tblGrid>
      <w:tr w:rsidR="00294854" w:rsidRPr="004869B8" w14:paraId="29296578"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006339"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ENV-1</w:t>
            </w:r>
          </w:p>
        </w:tc>
        <w:tc>
          <w:tcPr>
            <w:tcW w:w="0" w:type="auto"/>
            <w:gridSpan w:val="2"/>
            <w:tcBorders>
              <w:top w:val="single" w:sz="4" w:space="0" w:color="auto"/>
              <w:left w:val="nil"/>
              <w:bottom w:val="single" w:sz="4" w:space="0" w:color="auto"/>
              <w:right w:val="single" w:sz="4" w:space="0" w:color="auto"/>
            </w:tcBorders>
            <w:noWrap/>
            <w:vAlign w:val="bottom"/>
            <w:hideMark/>
          </w:tcPr>
          <w:p w14:paraId="7DEB741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4CD2B11D"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9E1761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697BE79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17024CE"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640DF5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11C49A52"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3E60F87B"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677B7023"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4267DD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43B590D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27837B9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7A298C7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26FDF8E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w:t>
            </w:r>
            <w:r w:rsidRPr="004869B8">
              <w:rPr>
                <w:rFonts w:ascii="Arial" w:hAnsi="Arial" w:cs="Arial"/>
                <w:b/>
                <w:bCs/>
                <w:color w:val="000000"/>
                <w:kern w:val="0"/>
                <w:sz w:val="20"/>
                <w:szCs w:val="20"/>
                <w:vertAlign w:val="superscript"/>
              </w:rPr>
              <w:t xml:space="preserve">2 </w:t>
            </w:r>
            <w:r w:rsidRPr="004869B8">
              <w:rPr>
                <w:rFonts w:ascii="Arial" w:hAnsi="Arial" w:cs="Arial"/>
                <w:b/>
                <w:bCs/>
                <w:color w:val="000000"/>
                <w:kern w:val="0"/>
                <w:sz w:val="20"/>
                <w:szCs w:val="20"/>
              </w:rPr>
              <w:t>(%)</w:t>
            </w:r>
          </w:p>
        </w:tc>
        <w:tc>
          <w:tcPr>
            <w:tcW w:w="0" w:type="auto"/>
            <w:tcBorders>
              <w:top w:val="nil"/>
              <w:left w:val="nil"/>
              <w:bottom w:val="single" w:sz="4" w:space="0" w:color="auto"/>
              <w:right w:val="single" w:sz="4" w:space="0" w:color="auto"/>
            </w:tcBorders>
            <w:noWrap/>
            <w:vAlign w:val="bottom"/>
            <w:hideMark/>
          </w:tcPr>
          <w:p w14:paraId="7841DF8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1229075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4B0AC78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77947D39"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1694D9FD"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06211D8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589D585"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13D10A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36.00</w:t>
            </w:r>
          </w:p>
        </w:tc>
        <w:tc>
          <w:tcPr>
            <w:tcW w:w="0" w:type="auto"/>
            <w:tcBorders>
              <w:top w:val="nil"/>
              <w:left w:val="nil"/>
              <w:bottom w:val="single" w:sz="4" w:space="0" w:color="auto"/>
              <w:right w:val="single" w:sz="4" w:space="0" w:color="auto"/>
            </w:tcBorders>
            <w:noWrap/>
            <w:vAlign w:val="bottom"/>
            <w:hideMark/>
          </w:tcPr>
          <w:p w14:paraId="559B69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57.00</w:t>
            </w:r>
          </w:p>
        </w:tc>
        <w:tc>
          <w:tcPr>
            <w:tcW w:w="0" w:type="auto"/>
            <w:tcBorders>
              <w:top w:val="nil"/>
              <w:left w:val="nil"/>
              <w:bottom w:val="single" w:sz="4" w:space="0" w:color="auto"/>
              <w:right w:val="single" w:sz="4" w:space="0" w:color="auto"/>
            </w:tcBorders>
            <w:noWrap/>
            <w:vAlign w:val="bottom"/>
            <w:hideMark/>
          </w:tcPr>
          <w:p w14:paraId="4629497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42.81</w:t>
            </w:r>
          </w:p>
        </w:tc>
        <w:tc>
          <w:tcPr>
            <w:tcW w:w="0" w:type="auto"/>
            <w:tcBorders>
              <w:top w:val="nil"/>
              <w:left w:val="nil"/>
              <w:bottom w:val="single" w:sz="4" w:space="0" w:color="auto"/>
              <w:right w:val="single" w:sz="4" w:space="0" w:color="auto"/>
            </w:tcBorders>
            <w:noWrap/>
            <w:vAlign w:val="bottom"/>
            <w:hideMark/>
          </w:tcPr>
          <w:p w14:paraId="38F3B77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92.84</w:t>
            </w:r>
          </w:p>
        </w:tc>
        <w:tc>
          <w:tcPr>
            <w:tcW w:w="0" w:type="auto"/>
            <w:tcBorders>
              <w:top w:val="nil"/>
              <w:left w:val="nil"/>
              <w:bottom w:val="single" w:sz="4" w:space="0" w:color="auto"/>
              <w:right w:val="single" w:sz="4" w:space="0" w:color="auto"/>
            </w:tcBorders>
            <w:noWrap/>
            <w:vAlign w:val="bottom"/>
            <w:hideMark/>
          </w:tcPr>
          <w:p w14:paraId="78D21F4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3.26</w:t>
            </w:r>
          </w:p>
        </w:tc>
        <w:tc>
          <w:tcPr>
            <w:tcW w:w="0" w:type="auto"/>
            <w:tcBorders>
              <w:top w:val="nil"/>
              <w:left w:val="nil"/>
              <w:bottom w:val="single" w:sz="4" w:space="0" w:color="auto"/>
              <w:right w:val="single" w:sz="4" w:space="0" w:color="auto"/>
            </w:tcBorders>
            <w:noWrap/>
            <w:vAlign w:val="bottom"/>
            <w:hideMark/>
          </w:tcPr>
          <w:p w14:paraId="3006D8D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8.61</w:t>
            </w:r>
          </w:p>
        </w:tc>
        <w:tc>
          <w:tcPr>
            <w:tcW w:w="0" w:type="auto"/>
            <w:tcBorders>
              <w:top w:val="nil"/>
              <w:left w:val="nil"/>
              <w:bottom w:val="single" w:sz="4" w:space="0" w:color="auto"/>
              <w:right w:val="single" w:sz="4" w:space="0" w:color="auto"/>
            </w:tcBorders>
            <w:noWrap/>
            <w:vAlign w:val="bottom"/>
            <w:hideMark/>
          </w:tcPr>
          <w:p w14:paraId="11B94E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8.30</w:t>
            </w:r>
          </w:p>
        </w:tc>
        <w:tc>
          <w:tcPr>
            <w:tcW w:w="0" w:type="auto"/>
            <w:tcBorders>
              <w:top w:val="nil"/>
              <w:left w:val="nil"/>
              <w:bottom w:val="single" w:sz="4" w:space="0" w:color="auto"/>
              <w:right w:val="single" w:sz="4" w:space="0" w:color="auto"/>
            </w:tcBorders>
            <w:noWrap/>
            <w:vAlign w:val="bottom"/>
            <w:hideMark/>
          </w:tcPr>
          <w:p w14:paraId="0D14C08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7.06</w:t>
            </w:r>
          </w:p>
        </w:tc>
        <w:tc>
          <w:tcPr>
            <w:tcW w:w="0" w:type="auto"/>
            <w:tcBorders>
              <w:top w:val="nil"/>
              <w:left w:val="nil"/>
              <w:bottom w:val="single" w:sz="4" w:space="0" w:color="auto"/>
              <w:right w:val="single" w:sz="4" w:space="0" w:color="auto"/>
            </w:tcBorders>
            <w:noWrap/>
            <w:vAlign w:val="bottom"/>
            <w:hideMark/>
          </w:tcPr>
          <w:p w14:paraId="7029940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16.50</w:t>
            </w:r>
          </w:p>
        </w:tc>
      </w:tr>
      <w:tr w:rsidR="00294854" w:rsidRPr="004869B8" w14:paraId="569C122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F775C8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61246F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54.50</w:t>
            </w:r>
          </w:p>
        </w:tc>
        <w:tc>
          <w:tcPr>
            <w:tcW w:w="0" w:type="auto"/>
            <w:tcBorders>
              <w:top w:val="nil"/>
              <w:left w:val="nil"/>
              <w:bottom w:val="single" w:sz="4" w:space="0" w:color="auto"/>
              <w:right w:val="single" w:sz="4" w:space="0" w:color="auto"/>
            </w:tcBorders>
            <w:noWrap/>
            <w:vAlign w:val="bottom"/>
            <w:hideMark/>
          </w:tcPr>
          <w:p w14:paraId="4DE0A72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76.50</w:t>
            </w:r>
          </w:p>
        </w:tc>
        <w:tc>
          <w:tcPr>
            <w:tcW w:w="0" w:type="auto"/>
            <w:tcBorders>
              <w:top w:val="nil"/>
              <w:left w:val="nil"/>
              <w:bottom w:val="single" w:sz="4" w:space="0" w:color="auto"/>
              <w:right w:val="single" w:sz="4" w:space="0" w:color="auto"/>
            </w:tcBorders>
            <w:noWrap/>
            <w:vAlign w:val="bottom"/>
            <w:hideMark/>
          </w:tcPr>
          <w:p w14:paraId="3E79E4D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65.21</w:t>
            </w:r>
          </w:p>
        </w:tc>
        <w:tc>
          <w:tcPr>
            <w:tcW w:w="0" w:type="auto"/>
            <w:tcBorders>
              <w:top w:val="nil"/>
              <w:left w:val="nil"/>
              <w:bottom w:val="single" w:sz="4" w:space="0" w:color="auto"/>
              <w:right w:val="single" w:sz="4" w:space="0" w:color="auto"/>
            </w:tcBorders>
            <w:noWrap/>
            <w:vAlign w:val="bottom"/>
            <w:hideMark/>
          </w:tcPr>
          <w:p w14:paraId="654D5C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81.89</w:t>
            </w:r>
          </w:p>
        </w:tc>
        <w:tc>
          <w:tcPr>
            <w:tcW w:w="0" w:type="auto"/>
            <w:tcBorders>
              <w:top w:val="nil"/>
              <w:left w:val="nil"/>
              <w:bottom w:val="single" w:sz="4" w:space="0" w:color="auto"/>
              <w:right w:val="single" w:sz="4" w:space="0" w:color="auto"/>
            </w:tcBorders>
            <w:noWrap/>
            <w:vAlign w:val="bottom"/>
            <w:hideMark/>
          </w:tcPr>
          <w:p w14:paraId="63F2F93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3.34</w:t>
            </w:r>
          </w:p>
        </w:tc>
        <w:tc>
          <w:tcPr>
            <w:tcW w:w="0" w:type="auto"/>
            <w:tcBorders>
              <w:top w:val="nil"/>
              <w:left w:val="nil"/>
              <w:bottom w:val="single" w:sz="4" w:space="0" w:color="auto"/>
              <w:right w:val="single" w:sz="4" w:space="0" w:color="auto"/>
            </w:tcBorders>
            <w:noWrap/>
            <w:vAlign w:val="bottom"/>
            <w:hideMark/>
          </w:tcPr>
          <w:p w14:paraId="7B4F9C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5.56</w:t>
            </w:r>
          </w:p>
        </w:tc>
        <w:tc>
          <w:tcPr>
            <w:tcW w:w="0" w:type="auto"/>
            <w:tcBorders>
              <w:top w:val="nil"/>
              <w:left w:val="nil"/>
              <w:bottom w:val="single" w:sz="4" w:space="0" w:color="auto"/>
              <w:right w:val="single" w:sz="4" w:space="0" w:color="auto"/>
            </w:tcBorders>
            <w:noWrap/>
            <w:vAlign w:val="bottom"/>
            <w:hideMark/>
          </w:tcPr>
          <w:p w14:paraId="382A4B5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5.03</w:t>
            </w:r>
          </w:p>
        </w:tc>
        <w:tc>
          <w:tcPr>
            <w:tcW w:w="0" w:type="auto"/>
            <w:tcBorders>
              <w:top w:val="nil"/>
              <w:left w:val="nil"/>
              <w:bottom w:val="single" w:sz="4" w:space="0" w:color="auto"/>
              <w:right w:val="single" w:sz="4" w:space="0" w:color="auto"/>
            </w:tcBorders>
            <w:noWrap/>
            <w:vAlign w:val="bottom"/>
            <w:hideMark/>
          </w:tcPr>
          <w:p w14:paraId="49985D3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6.12</w:t>
            </w:r>
          </w:p>
        </w:tc>
        <w:tc>
          <w:tcPr>
            <w:tcW w:w="0" w:type="auto"/>
            <w:tcBorders>
              <w:top w:val="nil"/>
              <w:left w:val="nil"/>
              <w:bottom w:val="single" w:sz="4" w:space="0" w:color="auto"/>
              <w:right w:val="single" w:sz="4" w:space="0" w:color="auto"/>
            </w:tcBorders>
            <w:noWrap/>
            <w:vAlign w:val="bottom"/>
            <w:hideMark/>
          </w:tcPr>
          <w:p w14:paraId="753D957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9.39</w:t>
            </w:r>
          </w:p>
        </w:tc>
      </w:tr>
      <w:tr w:rsidR="00294854" w:rsidRPr="004869B8" w14:paraId="69BE9D01"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C716239"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64D1E8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5.00</w:t>
            </w:r>
          </w:p>
        </w:tc>
        <w:tc>
          <w:tcPr>
            <w:tcW w:w="0" w:type="auto"/>
            <w:tcBorders>
              <w:top w:val="nil"/>
              <w:left w:val="nil"/>
              <w:bottom w:val="single" w:sz="4" w:space="0" w:color="auto"/>
              <w:right w:val="single" w:sz="4" w:space="0" w:color="auto"/>
            </w:tcBorders>
            <w:noWrap/>
            <w:vAlign w:val="bottom"/>
            <w:hideMark/>
          </w:tcPr>
          <w:p w14:paraId="63CF18A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17.50</w:t>
            </w:r>
          </w:p>
        </w:tc>
        <w:tc>
          <w:tcPr>
            <w:tcW w:w="0" w:type="auto"/>
            <w:tcBorders>
              <w:top w:val="nil"/>
              <w:left w:val="nil"/>
              <w:bottom w:val="single" w:sz="4" w:space="0" w:color="auto"/>
              <w:right w:val="single" w:sz="4" w:space="0" w:color="auto"/>
            </w:tcBorders>
            <w:noWrap/>
            <w:vAlign w:val="bottom"/>
            <w:hideMark/>
          </w:tcPr>
          <w:p w14:paraId="1AF2BF0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10.52</w:t>
            </w:r>
          </w:p>
        </w:tc>
        <w:tc>
          <w:tcPr>
            <w:tcW w:w="0" w:type="auto"/>
            <w:tcBorders>
              <w:top w:val="nil"/>
              <w:left w:val="nil"/>
              <w:bottom w:val="single" w:sz="4" w:space="0" w:color="auto"/>
              <w:right w:val="single" w:sz="4" w:space="0" w:color="auto"/>
            </w:tcBorders>
            <w:noWrap/>
            <w:vAlign w:val="bottom"/>
            <w:hideMark/>
          </w:tcPr>
          <w:p w14:paraId="6D98288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28.88</w:t>
            </w:r>
          </w:p>
        </w:tc>
        <w:tc>
          <w:tcPr>
            <w:tcW w:w="0" w:type="auto"/>
            <w:tcBorders>
              <w:top w:val="nil"/>
              <w:left w:val="nil"/>
              <w:bottom w:val="single" w:sz="4" w:space="0" w:color="auto"/>
              <w:right w:val="single" w:sz="4" w:space="0" w:color="auto"/>
            </w:tcBorders>
            <w:noWrap/>
            <w:vAlign w:val="bottom"/>
            <w:hideMark/>
          </w:tcPr>
          <w:p w14:paraId="0157452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24.54</w:t>
            </w:r>
          </w:p>
        </w:tc>
        <w:tc>
          <w:tcPr>
            <w:tcW w:w="0" w:type="auto"/>
            <w:tcBorders>
              <w:top w:val="nil"/>
              <w:left w:val="nil"/>
              <w:bottom w:val="single" w:sz="4" w:space="0" w:color="auto"/>
              <w:right w:val="single" w:sz="4" w:space="0" w:color="auto"/>
            </w:tcBorders>
            <w:noWrap/>
            <w:vAlign w:val="bottom"/>
            <w:hideMark/>
          </w:tcPr>
          <w:p w14:paraId="0C0453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20.58</w:t>
            </w:r>
          </w:p>
        </w:tc>
        <w:tc>
          <w:tcPr>
            <w:tcW w:w="0" w:type="auto"/>
            <w:tcBorders>
              <w:top w:val="nil"/>
              <w:left w:val="nil"/>
              <w:bottom w:val="single" w:sz="4" w:space="0" w:color="auto"/>
              <w:right w:val="single" w:sz="4" w:space="0" w:color="auto"/>
            </w:tcBorders>
            <w:noWrap/>
            <w:vAlign w:val="bottom"/>
            <w:hideMark/>
          </w:tcPr>
          <w:p w14:paraId="1CF9365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11.06</w:t>
            </w:r>
          </w:p>
        </w:tc>
        <w:tc>
          <w:tcPr>
            <w:tcW w:w="0" w:type="auto"/>
            <w:tcBorders>
              <w:top w:val="nil"/>
              <w:left w:val="nil"/>
              <w:bottom w:val="single" w:sz="4" w:space="0" w:color="auto"/>
              <w:right w:val="single" w:sz="4" w:space="0" w:color="auto"/>
            </w:tcBorders>
            <w:noWrap/>
            <w:vAlign w:val="bottom"/>
            <w:hideMark/>
          </w:tcPr>
          <w:p w14:paraId="1FA70A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w:t>
            </w:r>
          </w:p>
        </w:tc>
        <w:tc>
          <w:tcPr>
            <w:tcW w:w="0" w:type="auto"/>
            <w:tcBorders>
              <w:top w:val="nil"/>
              <w:left w:val="nil"/>
              <w:bottom w:val="single" w:sz="4" w:space="0" w:color="auto"/>
              <w:right w:val="single" w:sz="4" w:space="0" w:color="auto"/>
            </w:tcBorders>
            <w:noWrap/>
            <w:vAlign w:val="bottom"/>
            <w:hideMark/>
          </w:tcPr>
          <w:p w14:paraId="663A684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12.26</w:t>
            </w:r>
          </w:p>
        </w:tc>
      </w:tr>
      <w:tr w:rsidR="00294854" w:rsidRPr="004869B8" w14:paraId="5CA6E3A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09A1C9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4348601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55.50</w:t>
            </w:r>
          </w:p>
        </w:tc>
        <w:tc>
          <w:tcPr>
            <w:tcW w:w="0" w:type="auto"/>
            <w:tcBorders>
              <w:top w:val="nil"/>
              <w:left w:val="nil"/>
              <w:bottom w:val="single" w:sz="4" w:space="0" w:color="auto"/>
              <w:right w:val="single" w:sz="4" w:space="0" w:color="auto"/>
            </w:tcBorders>
            <w:noWrap/>
            <w:vAlign w:val="bottom"/>
            <w:hideMark/>
          </w:tcPr>
          <w:p w14:paraId="4A9A4C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165.00</w:t>
            </w:r>
          </w:p>
        </w:tc>
        <w:tc>
          <w:tcPr>
            <w:tcW w:w="0" w:type="auto"/>
            <w:tcBorders>
              <w:top w:val="nil"/>
              <w:left w:val="nil"/>
              <w:bottom w:val="single" w:sz="4" w:space="0" w:color="auto"/>
              <w:right w:val="single" w:sz="4" w:space="0" w:color="auto"/>
            </w:tcBorders>
            <w:noWrap/>
            <w:vAlign w:val="bottom"/>
            <w:hideMark/>
          </w:tcPr>
          <w:p w14:paraId="1C712E2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113.14</w:t>
            </w:r>
          </w:p>
        </w:tc>
        <w:tc>
          <w:tcPr>
            <w:tcW w:w="0" w:type="auto"/>
            <w:tcBorders>
              <w:top w:val="nil"/>
              <w:left w:val="nil"/>
              <w:bottom w:val="single" w:sz="4" w:space="0" w:color="auto"/>
              <w:right w:val="single" w:sz="4" w:space="0" w:color="auto"/>
            </w:tcBorders>
            <w:noWrap/>
            <w:vAlign w:val="bottom"/>
            <w:hideMark/>
          </w:tcPr>
          <w:p w14:paraId="3D03A2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90.55</w:t>
            </w:r>
          </w:p>
        </w:tc>
        <w:tc>
          <w:tcPr>
            <w:tcW w:w="0" w:type="auto"/>
            <w:tcBorders>
              <w:top w:val="nil"/>
              <w:left w:val="nil"/>
              <w:bottom w:val="single" w:sz="4" w:space="0" w:color="auto"/>
              <w:right w:val="single" w:sz="4" w:space="0" w:color="auto"/>
            </w:tcBorders>
            <w:noWrap/>
            <w:vAlign w:val="bottom"/>
            <w:hideMark/>
          </w:tcPr>
          <w:p w14:paraId="4F865AE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7.09</w:t>
            </w:r>
          </w:p>
        </w:tc>
        <w:tc>
          <w:tcPr>
            <w:tcW w:w="0" w:type="auto"/>
            <w:tcBorders>
              <w:top w:val="nil"/>
              <w:left w:val="nil"/>
              <w:bottom w:val="single" w:sz="4" w:space="0" w:color="auto"/>
              <w:right w:val="single" w:sz="4" w:space="0" w:color="auto"/>
            </w:tcBorders>
            <w:noWrap/>
            <w:vAlign w:val="bottom"/>
            <w:hideMark/>
          </w:tcPr>
          <w:p w14:paraId="705A965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16.32</w:t>
            </w:r>
          </w:p>
        </w:tc>
        <w:tc>
          <w:tcPr>
            <w:tcW w:w="0" w:type="auto"/>
            <w:tcBorders>
              <w:top w:val="nil"/>
              <w:left w:val="nil"/>
              <w:bottom w:val="single" w:sz="4" w:space="0" w:color="auto"/>
              <w:right w:val="single" w:sz="4" w:space="0" w:color="auto"/>
            </w:tcBorders>
            <w:noWrap/>
            <w:vAlign w:val="bottom"/>
            <w:hideMark/>
          </w:tcPr>
          <w:p w14:paraId="5E45ED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15.53</w:t>
            </w:r>
          </w:p>
        </w:tc>
        <w:tc>
          <w:tcPr>
            <w:tcW w:w="0" w:type="auto"/>
            <w:tcBorders>
              <w:top w:val="nil"/>
              <w:left w:val="nil"/>
              <w:bottom w:val="single" w:sz="4" w:space="0" w:color="auto"/>
              <w:right w:val="single" w:sz="4" w:space="0" w:color="auto"/>
            </w:tcBorders>
            <w:noWrap/>
            <w:vAlign w:val="bottom"/>
            <w:hideMark/>
          </w:tcPr>
          <w:p w14:paraId="3BBEEB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34.48</w:t>
            </w:r>
          </w:p>
        </w:tc>
        <w:tc>
          <w:tcPr>
            <w:tcW w:w="0" w:type="auto"/>
            <w:tcBorders>
              <w:top w:val="nil"/>
              <w:left w:val="nil"/>
              <w:bottom w:val="single" w:sz="4" w:space="0" w:color="auto"/>
              <w:right w:val="single" w:sz="4" w:space="0" w:color="auto"/>
            </w:tcBorders>
            <w:noWrap/>
            <w:vAlign w:val="bottom"/>
            <w:hideMark/>
          </w:tcPr>
          <w:p w14:paraId="266A72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30.48</w:t>
            </w:r>
          </w:p>
        </w:tc>
      </w:tr>
      <w:tr w:rsidR="00294854" w:rsidRPr="004869B8" w14:paraId="1BF2B96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978193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5F6D33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1.60</w:t>
            </w:r>
          </w:p>
        </w:tc>
        <w:tc>
          <w:tcPr>
            <w:tcW w:w="0" w:type="auto"/>
            <w:tcBorders>
              <w:top w:val="nil"/>
              <w:left w:val="nil"/>
              <w:bottom w:val="single" w:sz="4" w:space="0" w:color="auto"/>
              <w:right w:val="single" w:sz="4" w:space="0" w:color="auto"/>
            </w:tcBorders>
            <w:noWrap/>
            <w:vAlign w:val="bottom"/>
            <w:hideMark/>
          </w:tcPr>
          <w:p w14:paraId="7B588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6.70</w:t>
            </w:r>
          </w:p>
        </w:tc>
        <w:tc>
          <w:tcPr>
            <w:tcW w:w="0" w:type="auto"/>
            <w:tcBorders>
              <w:top w:val="nil"/>
              <w:left w:val="nil"/>
              <w:bottom w:val="single" w:sz="4" w:space="0" w:color="auto"/>
              <w:right w:val="single" w:sz="4" w:space="0" w:color="auto"/>
            </w:tcBorders>
            <w:noWrap/>
            <w:vAlign w:val="bottom"/>
            <w:hideMark/>
          </w:tcPr>
          <w:p w14:paraId="0D5228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3.66</w:t>
            </w:r>
          </w:p>
        </w:tc>
        <w:tc>
          <w:tcPr>
            <w:tcW w:w="0" w:type="auto"/>
            <w:tcBorders>
              <w:top w:val="nil"/>
              <w:left w:val="nil"/>
              <w:bottom w:val="single" w:sz="4" w:space="0" w:color="auto"/>
              <w:right w:val="single" w:sz="4" w:space="0" w:color="auto"/>
            </w:tcBorders>
            <w:noWrap/>
            <w:vAlign w:val="bottom"/>
            <w:hideMark/>
          </w:tcPr>
          <w:p w14:paraId="23EDF24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81.81</w:t>
            </w:r>
          </w:p>
        </w:tc>
        <w:tc>
          <w:tcPr>
            <w:tcW w:w="0" w:type="auto"/>
            <w:tcBorders>
              <w:top w:val="nil"/>
              <w:left w:val="nil"/>
              <w:bottom w:val="single" w:sz="4" w:space="0" w:color="auto"/>
              <w:right w:val="single" w:sz="4" w:space="0" w:color="auto"/>
            </w:tcBorders>
            <w:noWrap/>
            <w:vAlign w:val="bottom"/>
            <w:hideMark/>
          </w:tcPr>
          <w:p w14:paraId="7A7420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13.86</w:t>
            </w:r>
          </w:p>
        </w:tc>
        <w:tc>
          <w:tcPr>
            <w:tcW w:w="0" w:type="auto"/>
            <w:tcBorders>
              <w:top w:val="nil"/>
              <w:left w:val="nil"/>
              <w:bottom w:val="single" w:sz="4" w:space="0" w:color="auto"/>
              <w:right w:val="single" w:sz="4" w:space="0" w:color="auto"/>
            </w:tcBorders>
            <w:noWrap/>
            <w:vAlign w:val="bottom"/>
            <w:hideMark/>
          </w:tcPr>
          <w:p w14:paraId="5421DD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22.99</w:t>
            </w:r>
          </w:p>
        </w:tc>
        <w:tc>
          <w:tcPr>
            <w:tcW w:w="0" w:type="auto"/>
            <w:tcBorders>
              <w:top w:val="nil"/>
              <w:left w:val="nil"/>
              <w:bottom w:val="single" w:sz="4" w:space="0" w:color="auto"/>
              <w:right w:val="single" w:sz="4" w:space="0" w:color="auto"/>
            </w:tcBorders>
            <w:noWrap/>
            <w:vAlign w:val="bottom"/>
            <w:hideMark/>
          </w:tcPr>
          <w:p w14:paraId="323A76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20.79</w:t>
            </w:r>
          </w:p>
        </w:tc>
        <w:tc>
          <w:tcPr>
            <w:tcW w:w="0" w:type="auto"/>
            <w:tcBorders>
              <w:top w:val="nil"/>
              <w:left w:val="nil"/>
              <w:bottom w:val="single" w:sz="4" w:space="0" w:color="auto"/>
              <w:right w:val="single" w:sz="4" w:space="0" w:color="auto"/>
            </w:tcBorders>
            <w:noWrap/>
            <w:vAlign w:val="bottom"/>
            <w:hideMark/>
          </w:tcPr>
          <w:p w14:paraId="07D7426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1.42</w:t>
            </w:r>
          </w:p>
        </w:tc>
        <w:tc>
          <w:tcPr>
            <w:tcW w:w="0" w:type="auto"/>
            <w:tcBorders>
              <w:top w:val="nil"/>
              <w:left w:val="nil"/>
              <w:bottom w:val="single" w:sz="4" w:space="0" w:color="auto"/>
              <w:right w:val="single" w:sz="4" w:space="0" w:color="auto"/>
            </w:tcBorders>
            <w:noWrap/>
            <w:vAlign w:val="bottom"/>
            <w:hideMark/>
          </w:tcPr>
          <w:p w14:paraId="681C2CE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38.79</w:t>
            </w:r>
          </w:p>
        </w:tc>
      </w:tr>
      <w:tr w:rsidR="00294854" w:rsidRPr="004869B8" w14:paraId="006DF83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9BFCCC8"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5E1FF41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w:t>
            </w:r>
          </w:p>
        </w:tc>
        <w:tc>
          <w:tcPr>
            <w:tcW w:w="0" w:type="auto"/>
            <w:tcBorders>
              <w:top w:val="nil"/>
              <w:left w:val="nil"/>
              <w:bottom w:val="single" w:sz="4" w:space="0" w:color="auto"/>
              <w:right w:val="single" w:sz="4" w:space="0" w:color="auto"/>
            </w:tcBorders>
            <w:noWrap/>
            <w:vAlign w:val="bottom"/>
            <w:hideMark/>
          </w:tcPr>
          <w:p w14:paraId="0AE4E61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6.33</w:t>
            </w:r>
          </w:p>
        </w:tc>
        <w:tc>
          <w:tcPr>
            <w:tcW w:w="0" w:type="auto"/>
            <w:tcBorders>
              <w:top w:val="nil"/>
              <w:left w:val="nil"/>
              <w:bottom w:val="single" w:sz="4" w:space="0" w:color="auto"/>
              <w:right w:val="single" w:sz="4" w:space="0" w:color="auto"/>
            </w:tcBorders>
            <w:noWrap/>
            <w:vAlign w:val="bottom"/>
            <w:hideMark/>
          </w:tcPr>
          <w:p w14:paraId="0A5C976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2.80</w:t>
            </w:r>
          </w:p>
        </w:tc>
        <w:tc>
          <w:tcPr>
            <w:tcW w:w="0" w:type="auto"/>
            <w:tcBorders>
              <w:top w:val="nil"/>
              <w:left w:val="nil"/>
              <w:bottom w:val="single" w:sz="4" w:space="0" w:color="auto"/>
              <w:right w:val="single" w:sz="4" w:space="0" w:color="auto"/>
            </w:tcBorders>
            <w:noWrap/>
            <w:vAlign w:val="bottom"/>
            <w:hideMark/>
          </w:tcPr>
          <w:p w14:paraId="1D289B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54.83</w:t>
            </w:r>
          </w:p>
        </w:tc>
        <w:tc>
          <w:tcPr>
            <w:tcW w:w="0" w:type="auto"/>
            <w:tcBorders>
              <w:top w:val="nil"/>
              <w:left w:val="nil"/>
              <w:bottom w:val="single" w:sz="4" w:space="0" w:color="auto"/>
              <w:right w:val="single" w:sz="4" w:space="0" w:color="auto"/>
            </w:tcBorders>
            <w:noWrap/>
            <w:vAlign w:val="bottom"/>
            <w:hideMark/>
          </w:tcPr>
          <w:p w14:paraId="39DA360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28.54</w:t>
            </w:r>
          </w:p>
        </w:tc>
        <w:tc>
          <w:tcPr>
            <w:tcW w:w="0" w:type="auto"/>
            <w:tcBorders>
              <w:top w:val="nil"/>
              <w:left w:val="nil"/>
              <w:bottom w:val="single" w:sz="4" w:space="0" w:color="auto"/>
              <w:right w:val="single" w:sz="4" w:space="0" w:color="auto"/>
            </w:tcBorders>
            <w:noWrap/>
            <w:vAlign w:val="bottom"/>
            <w:hideMark/>
          </w:tcPr>
          <w:p w14:paraId="03589E9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30.02</w:t>
            </w:r>
          </w:p>
        </w:tc>
        <w:tc>
          <w:tcPr>
            <w:tcW w:w="0" w:type="auto"/>
            <w:tcBorders>
              <w:top w:val="nil"/>
              <w:left w:val="nil"/>
              <w:bottom w:val="single" w:sz="4" w:space="0" w:color="auto"/>
              <w:right w:val="single" w:sz="4" w:space="0" w:color="auto"/>
            </w:tcBorders>
            <w:noWrap/>
            <w:vAlign w:val="bottom"/>
            <w:hideMark/>
          </w:tcPr>
          <w:p w14:paraId="79C7CE3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22.23</w:t>
            </w:r>
          </w:p>
        </w:tc>
        <w:tc>
          <w:tcPr>
            <w:tcW w:w="0" w:type="auto"/>
            <w:tcBorders>
              <w:top w:val="nil"/>
              <w:left w:val="nil"/>
              <w:bottom w:val="single" w:sz="4" w:space="0" w:color="auto"/>
              <w:right w:val="single" w:sz="4" w:space="0" w:color="auto"/>
            </w:tcBorders>
            <w:noWrap/>
            <w:vAlign w:val="bottom"/>
            <w:hideMark/>
          </w:tcPr>
          <w:p w14:paraId="013F981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0.95</w:t>
            </w:r>
          </w:p>
        </w:tc>
        <w:tc>
          <w:tcPr>
            <w:tcW w:w="0" w:type="auto"/>
            <w:tcBorders>
              <w:top w:val="nil"/>
              <w:left w:val="nil"/>
              <w:bottom w:val="single" w:sz="4" w:space="0" w:color="auto"/>
              <w:right w:val="single" w:sz="4" w:space="0" w:color="auto"/>
            </w:tcBorders>
            <w:noWrap/>
            <w:vAlign w:val="bottom"/>
            <w:hideMark/>
          </w:tcPr>
          <w:p w14:paraId="7FB93D3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33.96</w:t>
            </w:r>
          </w:p>
        </w:tc>
      </w:tr>
      <w:tr w:rsidR="00294854" w:rsidRPr="004869B8" w14:paraId="32B6548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5D832D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222257C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10.00</w:t>
            </w:r>
          </w:p>
        </w:tc>
        <w:tc>
          <w:tcPr>
            <w:tcW w:w="0" w:type="auto"/>
            <w:tcBorders>
              <w:top w:val="nil"/>
              <w:left w:val="nil"/>
              <w:bottom w:val="single" w:sz="4" w:space="0" w:color="auto"/>
              <w:right w:val="single" w:sz="4" w:space="0" w:color="auto"/>
            </w:tcBorders>
            <w:noWrap/>
            <w:vAlign w:val="bottom"/>
            <w:hideMark/>
          </w:tcPr>
          <w:p w14:paraId="1A8EB9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32.50</w:t>
            </w:r>
          </w:p>
        </w:tc>
        <w:tc>
          <w:tcPr>
            <w:tcW w:w="0" w:type="auto"/>
            <w:tcBorders>
              <w:top w:val="nil"/>
              <w:left w:val="nil"/>
              <w:bottom w:val="single" w:sz="4" w:space="0" w:color="auto"/>
              <w:right w:val="single" w:sz="4" w:space="0" w:color="auto"/>
            </w:tcBorders>
            <w:noWrap/>
            <w:vAlign w:val="bottom"/>
            <w:hideMark/>
          </w:tcPr>
          <w:p w14:paraId="707DFE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19.56</w:t>
            </w:r>
          </w:p>
        </w:tc>
        <w:tc>
          <w:tcPr>
            <w:tcW w:w="0" w:type="auto"/>
            <w:tcBorders>
              <w:top w:val="nil"/>
              <w:left w:val="nil"/>
              <w:bottom w:val="single" w:sz="4" w:space="0" w:color="auto"/>
              <w:right w:val="single" w:sz="4" w:space="0" w:color="auto"/>
            </w:tcBorders>
            <w:noWrap/>
            <w:vAlign w:val="bottom"/>
            <w:hideMark/>
          </w:tcPr>
          <w:p w14:paraId="2CAAFC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77.75</w:t>
            </w:r>
          </w:p>
        </w:tc>
        <w:tc>
          <w:tcPr>
            <w:tcW w:w="0" w:type="auto"/>
            <w:tcBorders>
              <w:top w:val="nil"/>
              <w:left w:val="nil"/>
              <w:bottom w:val="single" w:sz="4" w:space="0" w:color="auto"/>
              <w:right w:val="single" w:sz="4" w:space="0" w:color="auto"/>
            </w:tcBorders>
            <w:noWrap/>
            <w:vAlign w:val="bottom"/>
            <w:hideMark/>
          </w:tcPr>
          <w:p w14:paraId="3696FDE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13.53</w:t>
            </w:r>
          </w:p>
        </w:tc>
        <w:tc>
          <w:tcPr>
            <w:tcW w:w="0" w:type="auto"/>
            <w:tcBorders>
              <w:top w:val="nil"/>
              <w:left w:val="nil"/>
              <w:bottom w:val="single" w:sz="4" w:space="0" w:color="auto"/>
              <w:right w:val="single" w:sz="4" w:space="0" w:color="auto"/>
            </w:tcBorders>
            <w:noWrap/>
            <w:vAlign w:val="bottom"/>
            <w:hideMark/>
          </w:tcPr>
          <w:p w14:paraId="5997CCE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20.29</w:t>
            </w:r>
          </w:p>
        </w:tc>
        <w:tc>
          <w:tcPr>
            <w:tcW w:w="0" w:type="auto"/>
            <w:tcBorders>
              <w:top w:val="nil"/>
              <w:left w:val="nil"/>
              <w:bottom w:val="single" w:sz="4" w:space="0" w:color="auto"/>
              <w:right w:val="single" w:sz="4" w:space="0" w:color="auto"/>
            </w:tcBorders>
            <w:noWrap/>
            <w:vAlign w:val="bottom"/>
            <w:hideMark/>
          </w:tcPr>
          <w:p w14:paraId="2F9BA9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17.89</w:t>
            </w:r>
          </w:p>
        </w:tc>
        <w:tc>
          <w:tcPr>
            <w:tcW w:w="0" w:type="auto"/>
            <w:tcBorders>
              <w:top w:val="nil"/>
              <w:left w:val="nil"/>
              <w:bottom w:val="single" w:sz="4" w:space="0" w:color="auto"/>
              <w:right w:val="single" w:sz="4" w:space="0" w:color="auto"/>
            </w:tcBorders>
            <w:noWrap/>
            <w:vAlign w:val="bottom"/>
            <w:hideMark/>
          </w:tcPr>
          <w:p w14:paraId="01C39F6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6.37</w:t>
            </w:r>
          </w:p>
        </w:tc>
        <w:tc>
          <w:tcPr>
            <w:tcW w:w="0" w:type="auto"/>
            <w:tcBorders>
              <w:top w:val="nil"/>
              <w:left w:val="nil"/>
              <w:bottom w:val="single" w:sz="4" w:space="0" w:color="auto"/>
              <w:right w:val="single" w:sz="4" w:space="0" w:color="auto"/>
            </w:tcBorders>
            <w:noWrap/>
            <w:vAlign w:val="bottom"/>
            <w:hideMark/>
          </w:tcPr>
          <w:p w14:paraId="48C7C3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32.54</w:t>
            </w:r>
          </w:p>
        </w:tc>
      </w:tr>
      <w:tr w:rsidR="00294854" w:rsidRPr="004869B8" w14:paraId="2CCA4BB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7D6399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106CB2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10.00</w:t>
            </w:r>
          </w:p>
        </w:tc>
        <w:tc>
          <w:tcPr>
            <w:tcW w:w="0" w:type="auto"/>
            <w:tcBorders>
              <w:top w:val="nil"/>
              <w:left w:val="nil"/>
              <w:bottom w:val="single" w:sz="4" w:space="0" w:color="auto"/>
              <w:right w:val="single" w:sz="4" w:space="0" w:color="auto"/>
            </w:tcBorders>
            <w:noWrap/>
            <w:vAlign w:val="bottom"/>
            <w:hideMark/>
          </w:tcPr>
          <w:p w14:paraId="3503AFC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25.50</w:t>
            </w:r>
          </w:p>
        </w:tc>
        <w:tc>
          <w:tcPr>
            <w:tcW w:w="0" w:type="auto"/>
            <w:tcBorders>
              <w:top w:val="nil"/>
              <w:left w:val="nil"/>
              <w:bottom w:val="single" w:sz="4" w:space="0" w:color="auto"/>
              <w:right w:val="single" w:sz="4" w:space="0" w:color="auto"/>
            </w:tcBorders>
            <w:noWrap/>
            <w:vAlign w:val="bottom"/>
            <w:hideMark/>
          </w:tcPr>
          <w:p w14:paraId="697BCAF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16.82</w:t>
            </w:r>
          </w:p>
        </w:tc>
        <w:tc>
          <w:tcPr>
            <w:tcW w:w="0" w:type="auto"/>
            <w:tcBorders>
              <w:top w:val="nil"/>
              <w:left w:val="nil"/>
              <w:bottom w:val="single" w:sz="4" w:space="0" w:color="auto"/>
              <w:right w:val="single" w:sz="4" w:space="0" w:color="auto"/>
            </w:tcBorders>
            <w:noWrap/>
            <w:vAlign w:val="bottom"/>
            <w:hideMark/>
          </w:tcPr>
          <w:p w14:paraId="4D259BB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93.10</w:t>
            </w:r>
          </w:p>
        </w:tc>
        <w:tc>
          <w:tcPr>
            <w:tcW w:w="0" w:type="auto"/>
            <w:tcBorders>
              <w:top w:val="nil"/>
              <w:left w:val="nil"/>
              <w:bottom w:val="single" w:sz="4" w:space="0" w:color="auto"/>
              <w:right w:val="single" w:sz="4" w:space="0" w:color="auto"/>
            </w:tcBorders>
            <w:noWrap/>
            <w:vAlign w:val="bottom"/>
            <w:hideMark/>
          </w:tcPr>
          <w:p w14:paraId="36D3108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6.41</w:t>
            </w:r>
          </w:p>
        </w:tc>
        <w:tc>
          <w:tcPr>
            <w:tcW w:w="0" w:type="auto"/>
            <w:tcBorders>
              <w:top w:val="nil"/>
              <w:left w:val="nil"/>
              <w:bottom w:val="single" w:sz="4" w:space="0" w:color="auto"/>
              <w:right w:val="single" w:sz="4" w:space="0" w:color="auto"/>
            </w:tcBorders>
            <w:noWrap/>
            <w:vAlign w:val="bottom"/>
            <w:hideMark/>
          </w:tcPr>
          <w:p w14:paraId="5A2EA1A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17.24</w:t>
            </w:r>
          </w:p>
        </w:tc>
        <w:tc>
          <w:tcPr>
            <w:tcW w:w="0" w:type="auto"/>
            <w:tcBorders>
              <w:top w:val="nil"/>
              <w:left w:val="nil"/>
              <w:bottom w:val="single" w:sz="4" w:space="0" w:color="auto"/>
              <w:right w:val="single" w:sz="4" w:space="0" w:color="auto"/>
            </w:tcBorders>
            <w:noWrap/>
            <w:vAlign w:val="bottom"/>
            <w:hideMark/>
          </w:tcPr>
          <w:p w14:paraId="49FB5E0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16.63</w:t>
            </w:r>
          </w:p>
        </w:tc>
        <w:tc>
          <w:tcPr>
            <w:tcW w:w="0" w:type="auto"/>
            <w:tcBorders>
              <w:top w:val="nil"/>
              <w:left w:val="nil"/>
              <w:bottom w:val="single" w:sz="4" w:space="0" w:color="auto"/>
              <w:right w:val="single" w:sz="4" w:space="0" w:color="auto"/>
            </w:tcBorders>
            <w:noWrap/>
            <w:vAlign w:val="bottom"/>
            <w:hideMark/>
          </w:tcPr>
          <w:p w14:paraId="4B520E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5.57</w:t>
            </w:r>
          </w:p>
        </w:tc>
        <w:tc>
          <w:tcPr>
            <w:tcW w:w="0" w:type="auto"/>
            <w:tcBorders>
              <w:top w:val="nil"/>
              <w:left w:val="nil"/>
              <w:bottom w:val="single" w:sz="4" w:space="0" w:color="auto"/>
              <w:right w:val="single" w:sz="4" w:space="0" w:color="auto"/>
            </w:tcBorders>
            <w:noWrap/>
            <w:vAlign w:val="bottom"/>
            <w:hideMark/>
          </w:tcPr>
          <w:p w14:paraId="261272C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33.11</w:t>
            </w:r>
          </w:p>
        </w:tc>
      </w:tr>
      <w:tr w:rsidR="00294854" w:rsidRPr="004869B8" w14:paraId="256E29FC"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7C72B8E"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5EDEC76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15.18</w:t>
            </w:r>
          </w:p>
        </w:tc>
        <w:tc>
          <w:tcPr>
            <w:tcW w:w="0" w:type="auto"/>
            <w:tcBorders>
              <w:top w:val="nil"/>
              <w:left w:val="nil"/>
              <w:bottom w:val="single" w:sz="4" w:space="0" w:color="auto"/>
              <w:right w:val="single" w:sz="4" w:space="0" w:color="auto"/>
            </w:tcBorders>
            <w:noWrap/>
            <w:vAlign w:val="bottom"/>
            <w:hideMark/>
          </w:tcPr>
          <w:p w14:paraId="23943B3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29.37</w:t>
            </w:r>
          </w:p>
        </w:tc>
        <w:tc>
          <w:tcPr>
            <w:tcW w:w="0" w:type="auto"/>
            <w:tcBorders>
              <w:top w:val="nil"/>
              <w:left w:val="nil"/>
              <w:bottom w:val="single" w:sz="4" w:space="0" w:color="auto"/>
              <w:right w:val="single" w:sz="4" w:space="0" w:color="auto"/>
            </w:tcBorders>
            <w:noWrap/>
            <w:vAlign w:val="bottom"/>
            <w:hideMark/>
          </w:tcPr>
          <w:p w14:paraId="08B1934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21.43</w:t>
            </w:r>
          </w:p>
        </w:tc>
        <w:tc>
          <w:tcPr>
            <w:tcW w:w="0" w:type="auto"/>
            <w:tcBorders>
              <w:top w:val="nil"/>
              <w:left w:val="nil"/>
              <w:bottom w:val="single" w:sz="4" w:space="0" w:color="auto"/>
              <w:right w:val="single" w:sz="4" w:space="0" w:color="auto"/>
            </w:tcBorders>
            <w:noWrap/>
            <w:vAlign w:val="bottom"/>
            <w:hideMark/>
          </w:tcPr>
          <w:p w14:paraId="1F6C48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90.05</w:t>
            </w:r>
          </w:p>
        </w:tc>
        <w:tc>
          <w:tcPr>
            <w:tcW w:w="0" w:type="auto"/>
            <w:tcBorders>
              <w:top w:val="nil"/>
              <w:left w:val="nil"/>
              <w:bottom w:val="single" w:sz="4" w:space="0" w:color="auto"/>
              <w:right w:val="single" w:sz="4" w:space="0" w:color="auto"/>
            </w:tcBorders>
            <w:noWrap/>
            <w:vAlign w:val="bottom"/>
            <w:hideMark/>
          </w:tcPr>
          <w:p w14:paraId="1829800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4.79</w:t>
            </w:r>
          </w:p>
        </w:tc>
        <w:tc>
          <w:tcPr>
            <w:tcW w:w="0" w:type="auto"/>
            <w:tcBorders>
              <w:top w:val="nil"/>
              <w:left w:val="nil"/>
              <w:bottom w:val="single" w:sz="4" w:space="0" w:color="auto"/>
              <w:right w:val="single" w:sz="4" w:space="0" w:color="auto"/>
            </w:tcBorders>
            <w:noWrap/>
            <w:vAlign w:val="bottom"/>
            <w:hideMark/>
          </w:tcPr>
          <w:p w14:paraId="0B2074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10.73</w:t>
            </w:r>
          </w:p>
        </w:tc>
        <w:tc>
          <w:tcPr>
            <w:tcW w:w="0" w:type="auto"/>
            <w:tcBorders>
              <w:top w:val="nil"/>
              <w:left w:val="nil"/>
              <w:bottom w:val="single" w:sz="4" w:space="0" w:color="auto"/>
              <w:right w:val="single" w:sz="4" w:space="0" w:color="auto"/>
            </w:tcBorders>
            <w:noWrap/>
            <w:vAlign w:val="bottom"/>
            <w:hideMark/>
          </w:tcPr>
          <w:p w14:paraId="771731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10.18</w:t>
            </w:r>
          </w:p>
        </w:tc>
        <w:tc>
          <w:tcPr>
            <w:tcW w:w="0" w:type="auto"/>
            <w:tcBorders>
              <w:top w:val="nil"/>
              <w:left w:val="nil"/>
              <w:bottom w:val="single" w:sz="4" w:space="0" w:color="auto"/>
              <w:right w:val="single" w:sz="4" w:space="0" w:color="auto"/>
            </w:tcBorders>
            <w:noWrap/>
            <w:vAlign w:val="bottom"/>
            <w:hideMark/>
          </w:tcPr>
          <w:p w14:paraId="4FC96B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4.27</w:t>
            </w:r>
          </w:p>
        </w:tc>
        <w:tc>
          <w:tcPr>
            <w:tcW w:w="0" w:type="auto"/>
            <w:tcBorders>
              <w:top w:val="nil"/>
              <w:left w:val="nil"/>
              <w:bottom w:val="single" w:sz="4" w:space="0" w:color="auto"/>
              <w:right w:val="single" w:sz="4" w:space="0" w:color="auto"/>
            </w:tcBorders>
            <w:noWrap/>
            <w:vAlign w:val="bottom"/>
            <w:hideMark/>
          </w:tcPr>
          <w:p w14:paraId="7D223C3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19.93</w:t>
            </w:r>
          </w:p>
        </w:tc>
      </w:tr>
      <w:tr w:rsidR="00294854" w:rsidRPr="004869B8" w14:paraId="566B2CC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E4D6E0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4B8204D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13.05</w:t>
            </w:r>
          </w:p>
        </w:tc>
        <w:tc>
          <w:tcPr>
            <w:tcW w:w="0" w:type="auto"/>
            <w:tcBorders>
              <w:top w:val="nil"/>
              <w:left w:val="nil"/>
              <w:bottom w:val="single" w:sz="4" w:space="0" w:color="auto"/>
              <w:right w:val="single" w:sz="4" w:space="0" w:color="auto"/>
            </w:tcBorders>
            <w:noWrap/>
            <w:vAlign w:val="bottom"/>
            <w:hideMark/>
          </w:tcPr>
          <w:p w14:paraId="55FF815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25.25</w:t>
            </w:r>
          </w:p>
        </w:tc>
        <w:tc>
          <w:tcPr>
            <w:tcW w:w="0" w:type="auto"/>
            <w:tcBorders>
              <w:top w:val="nil"/>
              <w:left w:val="nil"/>
              <w:bottom w:val="single" w:sz="4" w:space="0" w:color="auto"/>
              <w:right w:val="single" w:sz="4" w:space="0" w:color="auto"/>
            </w:tcBorders>
            <w:noWrap/>
            <w:vAlign w:val="bottom"/>
            <w:hideMark/>
          </w:tcPr>
          <w:p w14:paraId="4611E8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17.82</w:t>
            </w:r>
          </w:p>
        </w:tc>
        <w:tc>
          <w:tcPr>
            <w:tcW w:w="0" w:type="auto"/>
            <w:tcBorders>
              <w:top w:val="nil"/>
              <w:left w:val="nil"/>
              <w:bottom w:val="single" w:sz="4" w:space="0" w:color="auto"/>
              <w:right w:val="single" w:sz="4" w:space="0" w:color="auto"/>
            </w:tcBorders>
            <w:noWrap/>
            <w:vAlign w:val="bottom"/>
            <w:hideMark/>
          </w:tcPr>
          <w:p w14:paraId="380CC22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55.27</w:t>
            </w:r>
          </w:p>
        </w:tc>
        <w:tc>
          <w:tcPr>
            <w:tcW w:w="0" w:type="auto"/>
            <w:tcBorders>
              <w:top w:val="nil"/>
              <w:left w:val="nil"/>
              <w:bottom w:val="single" w:sz="4" w:space="0" w:color="auto"/>
              <w:right w:val="single" w:sz="4" w:space="0" w:color="auto"/>
            </w:tcBorders>
            <w:noWrap/>
            <w:vAlign w:val="bottom"/>
            <w:hideMark/>
          </w:tcPr>
          <w:p w14:paraId="5C81481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8.90</w:t>
            </w:r>
          </w:p>
        </w:tc>
        <w:tc>
          <w:tcPr>
            <w:tcW w:w="0" w:type="auto"/>
            <w:tcBorders>
              <w:top w:val="nil"/>
              <w:left w:val="nil"/>
              <w:bottom w:val="single" w:sz="4" w:space="0" w:color="auto"/>
              <w:right w:val="single" w:sz="4" w:space="0" w:color="auto"/>
            </w:tcBorders>
            <w:noWrap/>
            <w:vAlign w:val="bottom"/>
            <w:hideMark/>
          </w:tcPr>
          <w:p w14:paraId="66B809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9.41</w:t>
            </w:r>
          </w:p>
        </w:tc>
        <w:tc>
          <w:tcPr>
            <w:tcW w:w="0" w:type="auto"/>
            <w:tcBorders>
              <w:top w:val="nil"/>
              <w:left w:val="nil"/>
              <w:bottom w:val="single" w:sz="4" w:space="0" w:color="auto"/>
              <w:right w:val="single" w:sz="4" w:space="0" w:color="auto"/>
            </w:tcBorders>
            <w:noWrap/>
            <w:vAlign w:val="bottom"/>
            <w:hideMark/>
          </w:tcPr>
          <w:p w14:paraId="3D60B1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7.00</w:t>
            </w:r>
          </w:p>
        </w:tc>
        <w:tc>
          <w:tcPr>
            <w:tcW w:w="0" w:type="auto"/>
            <w:tcBorders>
              <w:top w:val="nil"/>
              <w:left w:val="nil"/>
              <w:bottom w:val="single" w:sz="4" w:space="0" w:color="auto"/>
              <w:right w:val="single" w:sz="4" w:space="0" w:color="auto"/>
            </w:tcBorders>
            <w:noWrap/>
            <w:vAlign w:val="bottom"/>
            <w:hideMark/>
          </w:tcPr>
          <w:p w14:paraId="418423A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1.91</w:t>
            </w:r>
          </w:p>
        </w:tc>
        <w:tc>
          <w:tcPr>
            <w:tcW w:w="0" w:type="auto"/>
            <w:tcBorders>
              <w:top w:val="nil"/>
              <w:left w:val="nil"/>
              <w:bottom w:val="single" w:sz="4" w:space="0" w:color="auto"/>
              <w:right w:val="single" w:sz="4" w:space="0" w:color="auto"/>
            </w:tcBorders>
            <w:noWrap/>
            <w:vAlign w:val="bottom"/>
            <w:hideMark/>
          </w:tcPr>
          <w:p w14:paraId="055985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10.73</w:t>
            </w:r>
          </w:p>
        </w:tc>
      </w:tr>
      <w:tr w:rsidR="00294854" w:rsidRPr="004869B8" w14:paraId="3A5AE0F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8A16E5C"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1413B5B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2.28</w:t>
            </w:r>
          </w:p>
        </w:tc>
        <w:tc>
          <w:tcPr>
            <w:tcW w:w="0" w:type="auto"/>
            <w:tcBorders>
              <w:top w:val="nil"/>
              <w:left w:val="nil"/>
              <w:bottom w:val="single" w:sz="4" w:space="0" w:color="auto"/>
              <w:right w:val="single" w:sz="4" w:space="0" w:color="auto"/>
            </w:tcBorders>
            <w:noWrap/>
            <w:vAlign w:val="bottom"/>
            <w:hideMark/>
          </w:tcPr>
          <w:p w14:paraId="532FBFD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12.58</w:t>
            </w:r>
          </w:p>
        </w:tc>
        <w:tc>
          <w:tcPr>
            <w:tcW w:w="0" w:type="auto"/>
            <w:tcBorders>
              <w:top w:val="nil"/>
              <w:left w:val="nil"/>
              <w:bottom w:val="single" w:sz="4" w:space="0" w:color="auto"/>
              <w:right w:val="single" w:sz="4" w:space="0" w:color="auto"/>
            </w:tcBorders>
            <w:noWrap/>
            <w:vAlign w:val="bottom"/>
            <w:hideMark/>
          </w:tcPr>
          <w:p w14:paraId="69E087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7.34</w:t>
            </w:r>
          </w:p>
        </w:tc>
        <w:tc>
          <w:tcPr>
            <w:tcW w:w="0" w:type="auto"/>
            <w:tcBorders>
              <w:top w:val="nil"/>
              <w:left w:val="nil"/>
              <w:bottom w:val="single" w:sz="4" w:space="0" w:color="auto"/>
              <w:right w:val="single" w:sz="4" w:space="0" w:color="auto"/>
            </w:tcBorders>
            <w:noWrap/>
            <w:vAlign w:val="bottom"/>
            <w:hideMark/>
          </w:tcPr>
          <w:p w14:paraId="65CB9E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95.94</w:t>
            </w:r>
          </w:p>
        </w:tc>
        <w:tc>
          <w:tcPr>
            <w:tcW w:w="0" w:type="auto"/>
            <w:tcBorders>
              <w:top w:val="nil"/>
              <w:left w:val="nil"/>
              <w:bottom w:val="single" w:sz="4" w:space="0" w:color="auto"/>
              <w:right w:val="single" w:sz="4" w:space="0" w:color="auto"/>
            </w:tcBorders>
            <w:noWrap/>
            <w:vAlign w:val="bottom"/>
            <w:hideMark/>
          </w:tcPr>
          <w:p w14:paraId="4F9E139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6.49</w:t>
            </w:r>
          </w:p>
        </w:tc>
        <w:tc>
          <w:tcPr>
            <w:tcW w:w="0" w:type="auto"/>
            <w:tcBorders>
              <w:top w:val="nil"/>
              <w:left w:val="nil"/>
              <w:bottom w:val="single" w:sz="4" w:space="0" w:color="auto"/>
              <w:right w:val="single" w:sz="4" w:space="0" w:color="auto"/>
            </w:tcBorders>
            <w:noWrap/>
            <w:vAlign w:val="bottom"/>
            <w:hideMark/>
          </w:tcPr>
          <w:p w14:paraId="7E635C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22.79</w:t>
            </w:r>
          </w:p>
        </w:tc>
        <w:tc>
          <w:tcPr>
            <w:tcW w:w="0" w:type="auto"/>
            <w:tcBorders>
              <w:top w:val="nil"/>
              <w:left w:val="nil"/>
              <w:bottom w:val="single" w:sz="4" w:space="0" w:color="auto"/>
              <w:right w:val="single" w:sz="4" w:space="0" w:color="auto"/>
            </w:tcBorders>
            <w:noWrap/>
            <w:vAlign w:val="bottom"/>
            <w:hideMark/>
          </w:tcPr>
          <w:p w14:paraId="44DFAA7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22.32</w:t>
            </w:r>
          </w:p>
        </w:tc>
        <w:tc>
          <w:tcPr>
            <w:tcW w:w="0" w:type="auto"/>
            <w:tcBorders>
              <w:top w:val="nil"/>
              <w:left w:val="nil"/>
              <w:bottom w:val="single" w:sz="4" w:space="0" w:color="auto"/>
              <w:right w:val="single" w:sz="4" w:space="0" w:color="auto"/>
            </w:tcBorders>
            <w:noWrap/>
            <w:vAlign w:val="bottom"/>
            <w:hideMark/>
          </w:tcPr>
          <w:p w14:paraId="539C1B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w:t>
            </w:r>
          </w:p>
        </w:tc>
        <w:tc>
          <w:tcPr>
            <w:tcW w:w="0" w:type="auto"/>
            <w:tcBorders>
              <w:top w:val="nil"/>
              <w:left w:val="nil"/>
              <w:bottom w:val="single" w:sz="4" w:space="0" w:color="auto"/>
              <w:right w:val="single" w:sz="4" w:space="0" w:color="auto"/>
            </w:tcBorders>
            <w:noWrap/>
            <w:vAlign w:val="bottom"/>
            <w:hideMark/>
          </w:tcPr>
          <w:p w14:paraId="26E1AA9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45.11</w:t>
            </w:r>
          </w:p>
        </w:tc>
      </w:tr>
      <w:tr w:rsidR="00294854" w:rsidRPr="004869B8" w14:paraId="5D911CB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B742ED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43364EF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11.00</w:t>
            </w:r>
          </w:p>
        </w:tc>
        <w:tc>
          <w:tcPr>
            <w:tcW w:w="0" w:type="auto"/>
            <w:tcBorders>
              <w:top w:val="nil"/>
              <w:left w:val="nil"/>
              <w:bottom w:val="single" w:sz="4" w:space="0" w:color="auto"/>
              <w:right w:val="single" w:sz="4" w:space="0" w:color="auto"/>
            </w:tcBorders>
            <w:noWrap/>
            <w:vAlign w:val="bottom"/>
            <w:hideMark/>
          </w:tcPr>
          <w:p w14:paraId="1580378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204.50</w:t>
            </w:r>
          </w:p>
        </w:tc>
        <w:tc>
          <w:tcPr>
            <w:tcW w:w="0" w:type="auto"/>
            <w:tcBorders>
              <w:top w:val="nil"/>
              <w:left w:val="nil"/>
              <w:bottom w:val="single" w:sz="4" w:space="0" w:color="auto"/>
              <w:right w:val="single" w:sz="4" w:space="0" w:color="auto"/>
            </w:tcBorders>
            <w:noWrap/>
            <w:vAlign w:val="bottom"/>
            <w:hideMark/>
          </w:tcPr>
          <w:p w14:paraId="72DF92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80.46</w:t>
            </w:r>
          </w:p>
        </w:tc>
        <w:tc>
          <w:tcPr>
            <w:tcW w:w="0" w:type="auto"/>
            <w:tcBorders>
              <w:top w:val="nil"/>
              <w:left w:val="nil"/>
              <w:bottom w:val="single" w:sz="4" w:space="0" w:color="auto"/>
              <w:right w:val="single" w:sz="4" w:space="0" w:color="auto"/>
            </w:tcBorders>
            <w:noWrap/>
            <w:vAlign w:val="bottom"/>
            <w:hideMark/>
          </w:tcPr>
          <w:p w14:paraId="0611C0B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92.33</w:t>
            </w:r>
          </w:p>
        </w:tc>
        <w:tc>
          <w:tcPr>
            <w:tcW w:w="0" w:type="auto"/>
            <w:tcBorders>
              <w:top w:val="nil"/>
              <w:left w:val="nil"/>
              <w:bottom w:val="single" w:sz="4" w:space="0" w:color="auto"/>
              <w:right w:val="single" w:sz="4" w:space="0" w:color="auto"/>
            </w:tcBorders>
            <w:noWrap/>
            <w:vAlign w:val="bottom"/>
            <w:hideMark/>
          </w:tcPr>
          <w:p w14:paraId="721AE85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12.93</w:t>
            </w:r>
          </w:p>
        </w:tc>
        <w:tc>
          <w:tcPr>
            <w:tcW w:w="0" w:type="auto"/>
            <w:tcBorders>
              <w:top w:val="nil"/>
              <w:left w:val="nil"/>
              <w:bottom w:val="single" w:sz="4" w:space="0" w:color="auto"/>
              <w:right w:val="single" w:sz="4" w:space="0" w:color="auto"/>
            </w:tcBorders>
            <w:noWrap/>
            <w:vAlign w:val="bottom"/>
            <w:hideMark/>
          </w:tcPr>
          <w:p w14:paraId="0D507D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33.01</w:t>
            </w:r>
          </w:p>
        </w:tc>
        <w:tc>
          <w:tcPr>
            <w:tcW w:w="0" w:type="auto"/>
            <w:tcBorders>
              <w:top w:val="nil"/>
              <w:left w:val="nil"/>
              <w:bottom w:val="single" w:sz="4" w:space="0" w:color="auto"/>
              <w:right w:val="single" w:sz="4" w:space="0" w:color="auto"/>
            </w:tcBorders>
            <w:noWrap/>
            <w:vAlign w:val="bottom"/>
            <w:hideMark/>
          </w:tcPr>
          <w:p w14:paraId="63DF992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31.72</w:t>
            </w:r>
          </w:p>
        </w:tc>
        <w:tc>
          <w:tcPr>
            <w:tcW w:w="0" w:type="auto"/>
            <w:tcBorders>
              <w:top w:val="nil"/>
              <w:left w:val="nil"/>
              <w:bottom w:val="single" w:sz="4" w:space="0" w:color="auto"/>
              <w:right w:val="single" w:sz="4" w:space="0" w:color="auto"/>
            </w:tcBorders>
            <w:noWrap/>
            <w:vAlign w:val="bottom"/>
            <w:hideMark/>
          </w:tcPr>
          <w:p w14:paraId="1402D9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50.60</w:t>
            </w:r>
          </w:p>
        </w:tc>
        <w:tc>
          <w:tcPr>
            <w:tcW w:w="0" w:type="auto"/>
            <w:tcBorders>
              <w:top w:val="nil"/>
              <w:left w:val="nil"/>
              <w:bottom w:val="single" w:sz="4" w:space="0" w:color="auto"/>
              <w:right w:val="single" w:sz="4" w:space="0" w:color="auto"/>
            </w:tcBorders>
            <w:noWrap/>
            <w:vAlign w:val="bottom"/>
            <w:hideMark/>
          </w:tcPr>
          <w:p w14:paraId="4C6BC5D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62.88</w:t>
            </w:r>
          </w:p>
        </w:tc>
      </w:tr>
      <w:tr w:rsidR="00294854" w:rsidRPr="004869B8" w14:paraId="40988F1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308B73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206954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24.61</w:t>
            </w:r>
          </w:p>
        </w:tc>
        <w:tc>
          <w:tcPr>
            <w:tcW w:w="0" w:type="auto"/>
            <w:tcBorders>
              <w:top w:val="nil"/>
              <w:left w:val="nil"/>
              <w:bottom w:val="single" w:sz="4" w:space="0" w:color="auto"/>
              <w:right w:val="single" w:sz="4" w:space="0" w:color="auto"/>
            </w:tcBorders>
            <w:noWrap/>
            <w:vAlign w:val="bottom"/>
            <w:hideMark/>
          </w:tcPr>
          <w:p w14:paraId="03E35F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80.22</w:t>
            </w:r>
          </w:p>
        </w:tc>
        <w:tc>
          <w:tcPr>
            <w:tcW w:w="0" w:type="auto"/>
            <w:tcBorders>
              <w:top w:val="nil"/>
              <w:left w:val="nil"/>
              <w:bottom w:val="single" w:sz="4" w:space="0" w:color="auto"/>
              <w:right w:val="single" w:sz="4" w:space="0" w:color="auto"/>
            </w:tcBorders>
            <w:noWrap/>
            <w:vAlign w:val="bottom"/>
            <w:hideMark/>
          </w:tcPr>
          <w:p w14:paraId="44C6F66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59.02</w:t>
            </w:r>
          </w:p>
        </w:tc>
        <w:tc>
          <w:tcPr>
            <w:tcW w:w="0" w:type="auto"/>
            <w:tcBorders>
              <w:top w:val="nil"/>
              <w:left w:val="nil"/>
              <w:bottom w:val="single" w:sz="4" w:space="0" w:color="auto"/>
              <w:right w:val="single" w:sz="4" w:space="0" w:color="auto"/>
            </w:tcBorders>
            <w:noWrap/>
            <w:vAlign w:val="bottom"/>
            <w:hideMark/>
          </w:tcPr>
          <w:p w14:paraId="1FE7719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87.44</w:t>
            </w:r>
          </w:p>
        </w:tc>
        <w:tc>
          <w:tcPr>
            <w:tcW w:w="0" w:type="auto"/>
            <w:tcBorders>
              <w:top w:val="nil"/>
              <w:left w:val="nil"/>
              <w:bottom w:val="single" w:sz="4" w:space="0" w:color="auto"/>
              <w:right w:val="single" w:sz="4" w:space="0" w:color="auto"/>
            </w:tcBorders>
            <w:noWrap/>
            <w:vAlign w:val="bottom"/>
            <w:hideMark/>
          </w:tcPr>
          <w:p w14:paraId="0CFE3D4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8.23</w:t>
            </w:r>
          </w:p>
        </w:tc>
        <w:tc>
          <w:tcPr>
            <w:tcW w:w="0" w:type="auto"/>
            <w:tcBorders>
              <w:top w:val="nil"/>
              <w:left w:val="nil"/>
              <w:bottom w:val="single" w:sz="4" w:space="0" w:color="auto"/>
              <w:right w:val="single" w:sz="4" w:space="0" w:color="auto"/>
            </w:tcBorders>
            <w:noWrap/>
            <w:vAlign w:val="bottom"/>
            <w:hideMark/>
          </w:tcPr>
          <w:p w14:paraId="10806FF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16.43</w:t>
            </w:r>
          </w:p>
        </w:tc>
        <w:tc>
          <w:tcPr>
            <w:tcW w:w="0" w:type="auto"/>
            <w:tcBorders>
              <w:top w:val="nil"/>
              <w:left w:val="nil"/>
              <w:bottom w:val="single" w:sz="4" w:space="0" w:color="auto"/>
              <w:right w:val="single" w:sz="4" w:space="0" w:color="auto"/>
            </w:tcBorders>
            <w:noWrap/>
            <w:vAlign w:val="bottom"/>
            <w:hideMark/>
          </w:tcPr>
          <w:p w14:paraId="2A54BE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15.36</w:t>
            </w:r>
          </w:p>
        </w:tc>
        <w:tc>
          <w:tcPr>
            <w:tcW w:w="0" w:type="auto"/>
            <w:tcBorders>
              <w:top w:val="nil"/>
              <w:left w:val="nil"/>
              <w:bottom w:val="single" w:sz="4" w:space="0" w:color="auto"/>
              <w:right w:val="single" w:sz="4" w:space="0" w:color="auto"/>
            </w:tcBorders>
            <w:noWrap/>
            <w:vAlign w:val="bottom"/>
            <w:hideMark/>
          </w:tcPr>
          <w:p w14:paraId="10250D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17.49</w:t>
            </w:r>
          </w:p>
        </w:tc>
        <w:tc>
          <w:tcPr>
            <w:tcW w:w="0" w:type="auto"/>
            <w:tcBorders>
              <w:top w:val="nil"/>
              <w:left w:val="nil"/>
              <w:bottom w:val="single" w:sz="4" w:space="0" w:color="auto"/>
              <w:right w:val="single" w:sz="4" w:space="0" w:color="auto"/>
            </w:tcBorders>
            <w:noWrap/>
            <w:vAlign w:val="bottom"/>
            <w:hideMark/>
          </w:tcPr>
          <w:p w14:paraId="787F241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29.63</w:t>
            </w:r>
          </w:p>
        </w:tc>
      </w:tr>
      <w:tr w:rsidR="00294854" w:rsidRPr="004869B8" w14:paraId="7575C61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7B69EF4"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73FCCD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4466B56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7.90</w:t>
            </w:r>
          </w:p>
        </w:tc>
        <w:tc>
          <w:tcPr>
            <w:tcW w:w="0" w:type="auto"/>
            <w:tcBorders>
              <w:top w:val="nil"/>
              <w:left w:val="nil"/>
              <w:bottom w:val="single" w:sz="4" w:space="0" w:color="auto"/>
              <w:right w:val="single" w:sz="4" w:space="0" w:color="auto"/>
            </w:tcBorders>
            <w:noWrap/>
            <w:vAlign w:val="bottom"/>
            <w:hideMark/>
          </w:tcPr>
          <w:p w14:paraId="3349EAC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4.55</w:t>
            </w:r>
          </w:p>
        </w:tc>
        <w:tc>
          <w:tcPr>
            <w:tcW w:w="0" w:type="auto"/>
            <w:tcBorders>
              <w:top w:val="nil"/>
              <w:left w:val="nil"/>
              <w:bottom w:val="single" w:sz="4" w:space="0" w:color="auto"/>
              <w:right w:val="single" w:sz="4" w:space="0" w:color="auto"/>
            </w:tcBorders>
            <w:noWrap/>
            <w:vAlign w:val="bottom"/>
            <w:hideMark/>
          </w:tcPr>
          <w:p w14:paraId="35C10DF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93.59</w:t>
            </w:r>
          </w:p>
        </w:tc>
        <w:tc>
          <w:tcPr>
            <w:tcW w:w="0" w:type="auto"/>
            <w:tcBorders>
              <w:top w:val="nil"/>
              <w:left w:val="nil"/>
              <w:bottom w:val="single" w:sz="4" w:space="0" w:color="auto"/>
              <w:right w:val="single" w:sz="4" w:space="0" w:color="auto"/>
            </w:tcBorders>
            <w:noWrap/>
            <w:vAlign w:val="bottom"/>
            <w:hideMark/>
          </w:tcPr>
          <w:p w14:paraId="4A419A9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10.74</w:t>
            </w:r>
          </w:p>
        </w:tc>
        <w:tc>
          <w:tcPr>
            <w:tcW w:w="0" w:type="auto"/>
            <w:tcBorders>
              <w:top w:val="nil"/>
              <w:left w:val="nil"/>
              <w:bottom w:val="single" w:sz="4" w:space="0" w:color="auto"/>
              <w:right w:val="single" w:sz="4" w:space="0" w:color="auto"/>
            </w:tcBorders>
            <w:noWrap/>
            <w:vAlign w:val="bottom"/>
            <w:hideMark/>
          </w:tcPr>
          <w:p w14:paraId="51D569B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29.99</w:t>
            </w:r>
          </w:p>
        </w:tc>
        <w:tc>
          <w:tcPr>
            <w:tcW w:w="0" w:type="auto"/>
            <w:tcBorders>
              <w:top w:val="nil"/>
              <w:left w:val="nil"/>
              <w:bottom w:val="single" w:sz="4" w:space="0" w:color="auto"/>
              <w:right w:val="single" w:sz="4" w:space="0" w:color="auto"/>
            </w:tcBorders>
            <w:noWrap/>
            <w:vAlign w:val="bottom"/>
            <w:hideMark/>
          </w:tcPr>
          <w:p w14:paraId="0345E5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29.01</w:t>
            </w:r>
          </w:p>
        </w:tc>
        <w:tc>
          <w:tcPr>
            <w:tcW w:w="0" w:type="auto"/>
            <w:tcBorders>
              <w:top w:val="nil"/>
              <w:left w:val="nil"/>
              <w:bottom w:val="single" w:sz="4" w:space="0" w:color="auto"/>
              <w:right w:val="single" w:sz="4" w:space="0" w:color="auto"/>
            </w:tcBorders>
            <w:noWrap/>
            <w:vAlign w:val="bottom"/>
            <w:hideMark/>
          </w:tcPr>
          <w:p w14:paraId="2B8627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2.63</w:t>
            </w:r>
          </w:p>
        </w:tc>
        <w:tc>
          <w:tcPr>
            <w:tcW w:w="0" w:type="auto"/>
            <w:tcBorders>
              <w:top w:val="nil"/>
              <w:left w:val="nil"/>
              <w:bottom w:val="single" w:sz="4" w:space="0" w:color="auto"/>
              <w:right w:val="single" w:sz="4" w:space="0" w:color="auto"/>
            </w:tcBorders>
            <w:noWrap/>
            <w:vAlign w:val="bottom"/>
            <w:hideMark/>
          </w:tcPr>
          <w:p w14:paraId="54A267D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57.90</w:t>
            </w:r>
          </w:p>
        </w:tc>
      </w:tr>
    </w:tbl>
    <w:p w14:paraId="423E5D24" w14:textId="77777777" w:rsidR="00294854" w:rsidRPr="004869B8" w:rsidRDefault="00294854" w:rsidP="00294854">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1050"/>
        <w:gridCol w:w="717"/>
        <w:gridCol w:w="828"/>
        <w:gridCol w:w="828"/>
        <w:gridCol w:w="728"/>
        <w:gridCol w:w="861"/>
        <w:gridCol w:w="994"/>
        <w:gridCol w:w="1016"/>
        <w:gridCol w:w="717"/>
        <w:gridCol w:w="717"/>
      </w:tblGrid>
      <w:tr w:rsidR="00294854" w:rsidRPr="004869B8" w14:paraId="5F8F2E73"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880BD0"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ENV-II</w:t>
            </w:r>
          </w:p>
        </w:tc>
        <w:tc>
          <w:tcPr>
            <w:tcW w:w="0" w:type="auto"/>
            <w:gridSpan w:val="2"/>
            <w:tcBorders>
              <w:top w:val="single" w:sz="4" w:space="0" w:color="auto"/>
              <w:left w:val="nil"/>
              <w:bottom w:val="single" w:sz="4" w:space="0" w:color="auto"/>
              <w:right w:val="single" w:sz="4" w:space="0" w:color="auto"/>
            </w:tcBorders>
            <w:noWrap/>
            <w:vAlign w:val="bottom"/>
            <w:hideMark/>
          </w:tcPr>
          <w:p w14:paraId="173A0D5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291DC5DA"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63C057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7AAE58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7234152D"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31D54E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74F4856"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796CEFB"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7EF0F39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2F5E59F"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7E76B13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2A7899F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6FB85C0B"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0EB009BC"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 (%)</w:t>
            </w:r>
          </w:p>
        </w:tc>
        <w:tc>
          <w:tcPr>
            <w:tcW w:w="0" w:type="auto"/>
            <w:tcBorders>
              <w:top w:val="nil"/>
              <w:left w:val="nil"/>
              <w:bottom w:val="single" w:sz="4" w:space="0" w:color="auto"/>
              <w:right w:val="single" w:sz="4" w:space="0" w:color="auto"/>
            </w:tcBorders>
            <w:noWrap/>
            <w:vAlign w:val="bottom"/>
            <w:hideMark/>
          </w:tcPr>
          <w:p w14:paraId="12722EF7"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4180800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79BBDB7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36DF3F0B"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2D826888"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7FBEC628"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CBD949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0FFA294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38.50</w:t>
            </w:r>
          </w:p>
        </w:tc>
        <w:tc>
          <w:tcPr>
            <w:tcW w:w="0" w:type="auto"/>
            <w:tcBorders>
              <w:top w:val="nil"/>
              <w:left w:val="nil"/>
              <w:bottom w:val="single" w:sz="4" w:space="0" w:color="auto"/>
              <w:right w:val="single" w:sz="4" w:space="0" w:color="auto"/>
            </w:tcBorders>
            <w:noWrap/>
            <w:vAlign w:val="bottom"/>
            <w:hideMark/>
          </w:tcPr>
          <w:p w14:paraId="0B0DE9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53.00</w:t>
            </w:r>
          </w:p>
        </w:tc>
        <w:tc>
          <w:tcPr>
            <w:tcW w:w="0" w:type="auto"/>
            <w:tcBorders>
              <w:top w:val="nil"/>
              <w:left w:val="nil"/>
              <w:bottom w:val="single" w:sz="4" w:space="0" w:color="auto"/>
              <w:right w:val="single" w:sz="4" w:space="0" w:color="auto"/>
            </w:tcBorders>
            <w:noWrap/>
            <w:vAlign w:val="bottom"/>
            <w:hideMark/>
          </w:tcPr>
          <w:p w14:paraId="2FBFC3C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44.39</w:t>
            </w:r>
          </w:p>
        </w:tc>
        <w:tc>
          <w:tcPr>
            <w:tcW w:w="0" w:type="auto"/>
            <w:tcBorders>
              <w:top w:val="nil"/>
              <w:left w:val="nil"/>
              <w:bottom w:val="single" w:sz="4" w:space="0" w:color="auto"/>
              <w:right w:val="single" w:sz="4" w:space="0" w:color="auto"/>
            </w:tcBorders>
            <w:noWrap/>
            <w:vAlign w:val="bottom"/>
            <w:hideMark/>
          </w:tcPr>
          <w:p w14:paraId="6AC654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89.22</w:t>
            </w:r>
          </w:p>
        </w:tc>
        <w:tc>
          <w:tcPr>
            <w:tcW w:w="0" w:type="auto"/>
            <w:tcBorders>
              <w:top w:val="nil"/>
              <w:left w:val="nil"/>
              <w:bottom w:val="single" w:sz="4" w:space="0" w:color="auto"/>
              <w:right w:val="single" w:sz="4" w:space="0" w:color="auto"/>
            </w:tcBorders>
            <w:noWrap/>
            <w:vAlign w:val="bottom"/>
            <w:hideMark/>
          </w:tcPr>
          <w:p w14:paraId="55B6D0B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3.45</w:t>
            </w:r>
          </w:p>
        </w:tc>
        <w:tc>
          <w:tcPr>
            <w:tcW w:w="0" w:type="auto"/>
            <w:tcBorders>
              <w:top w:val="nil"/>
              <w:left w:val="nil"/>
              <w:bottom w:val="single" w:sz="4" w:space="0" w:color="auto"/>
              <w:right w:val="single" w:sz="4" w:space="0" w:color="auto"/>
            </w:tcBorders>
            <w:noWrap/>
            <w:vAlign w:val="bottom"/>
            <w:hideMark/>
          </w:tcPr>
          <w:p w14:paraId="6170D0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7.42</w:t>
            </w:r>
          </w:p>
        </w:tc>
        <w:tc>
          <w:tcPr>
            <w:tcW w:w="0" w:type="auto"/>
            <w:tcBorders>
              <w:top w:val="nil"/>
              <w:left w:val="nil"/>
              <w:bottom w:val="single" w:sz="4" w:space="0" w:color="auto"/>
              <w:right w:val="single" w:sz="4" w:space="0" w:color="auto"/>
            </w:tcBorders>
            <w:noWrap/>
            <w:vAlign w:val="bottom"/>
            <w:hideMark/>
          </w:tcPr>
          <w:p w14:paraId="3FEB1E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7.01</w:t>
            </w:r>
          </w:p>
        </w:tc>
        <w:tc>
          <w:tcPr>
            <w:tcW w:w="0" w:type="auto"/>
            <w:tcBorders>
              <w:top w:val="nil"/>
              <w:left w:val="nil"/>
              <w:bottom w:val="single" w:sz="4" w:space="0" w:color="auto"/>
              <w:right w:val="single" w:sz="4" w:space="0" w:color="auto"/>
            </w:tcBorders>
            <w:noWrap/>
            <w:vAlign w:val="bottom"/>
            <w:hideMark/>
          </w:tcPr>
          <w:p w14:paraId="39EEA3F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6.07</w:t>
            </w:r>
          </w:p>
        </w:tc>
        <w:tc>
          <w:tcPr>
            <w:tcW w:w="0" w:type="auto"/>
            <w:tcBorders>
              <w:top w:val="nil"/>
              <w:left w:val="nil"/>
              <w:bottom w:val="single" w:sz="4" w:space="0" w:color="auto"/>
              <w:right w:val="single" w:sz="4" w:space="0" w:color="auto"/>
            </w:tcBorders>
            <w:noWrap/>
            <w:vAlign w:val="bottom"/>
            <w:hideMark/>
          </w:tcPr>
          <w:p w14:paraId="1313F58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13.66</w:t>
            </w:r>
          </w:p>
        </w:tc>
      </w:tr>
      <w:tr w:rsidR="00294854" w:rsidRPr="004869B8" w14:paraId="45524264"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4C4DA6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1EFA79C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58.50</w:t>
            </w:r>
          </w:p>
        </w:tc>
        <w:tc>
          <w:tcPr>
            <w:tcW w:w="0" w:type="auto"/>
            <w:tcBorders>
              <w:top w:val="nil"/>
              <w:left w:val="nil"/>
              <w:bottom w:val="single" w:sz="4" w:space="0" w:color="auto"/>
              <w:right w:val="single" w:sz="4" w:space="0" w:color="auto"/>
            </w:tcBorders>
            <w:noWrap/>
            <w:vAlign w:val="bottom"/>
            <w:hideMark/>
          </w:tcPr>
          <w:p w14:paraId="0A1FA10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81.00</w:t>
            </w:r>
          </w:p>
        </w:tc>
        <w:tc>
          <w:tcPr>
            <w:tcW w:w="0" w:type="auto"/>
            <w:tcBorders>
              <w:top w:val="nil"/>
              <w:left w:val="nil"/>
              <w:bottom w:val="single" w:sz="4" w:space="0" w:color="auto"/>
              <w:right w:val="single" w:sz="4" w:space="0" w:color="auto"/>
            </w:tcBorders>
            <w:noWrap/>
            <w:vAlign w:val="bottom"/>
            <w:hideMark/>
          </w:tcPr>
          <w:p w14:paraId="7A70CD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66.61</w:t>
            </w:r>
          </w:p>
        </w:tc>
        <w:tc>
          <w:tcPr>
            <w:tcW w:w="0" w:type="auto"/>
            <w:tcBorders>
              <w:top w:val="nil"/>
              <w:left w:val="nil"/>
              <w:bottom w:val="single" w:sz="4" w:space="0" w:color="auto"/>
              <w:right w:val="single" w:sz="4" w:space="0" w:color="auto"/>
            </w:tcBorders>
            <w:noWrap/>
            <w:vAlign w:val="bottom"/>
            <w:hideMark/>
          </w:tcPr>
          <w:p w14:paraId="5483BB2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92.63</w:t>
            </w:r>
          </w:p>
        </w:tc>
        <w:tc>
          <w:tcPr>
            <w:tcW w:w="0" w:type="auto"/>
            <w:tcBorders>
              <w:top w:val="nil"/>
              <w:left w:val="nil"/>
              <w:bottom w:val="single" w:sz="4" w:space="0" w:color="auto"/>
              <w:right w:val="single" w:sz="4" w:space="0" w:color="auto"/>
            </w:tcBorders>
            <w:noWrap/>
            <w:vAlign w:val="bottom"/>
            <w:hideMark/>
          </w:tcPr>
          <w:p w14:paraId="5CB0D5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2.55</w:t>
            </w:r>
          </w:p>
        </w:tc>
        <w:tc>
          <w:tcPr>
            <w:tcW w:w="0" w:type="auto"/>
            <w:tcBorders>
              <w:top w:val="nil"/>
              <w:left w:val="nil"/>
              <w:bottom w:val="single" w:sz="4" w:space="0" w:color="auto"/>
              <w:right w:val="single" w:sz="4" w:space="0" w:color="auto"/>
            </w:tcBorders>
            <w:noWrap/>
            <w:vAlign w:val="bottom"/>
            <w:hideMark/>
          </w:tcPr>
          <w:p w14:paraId="0703869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6.65</w:t>
            </w:r>
          </w:p>
        </w:tc>
        <w:tc>
          <w:tcPr>
            <w:tcW w:w="0" w:type="auto"/>
            <w:tcBorders>
              <w:top w:val="nil"/>
              <w:left w:val="nil"/>
              <w:bottom w:val="single" w:sz="4" w:space="0" w:color="auto"/>
              <w:right w:val="single" w:sz="4" w:space="0" w:color="auto"/>
            </w:tcBorders>
            <w:noWrap/>
            <w:vAlign w:val="bottom"/>
            <w:hideMark/>
          </w:tcPr>
          <w:p w14:paraId="2D4E9EF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6.40</w:t>
            </w:r>
          </w:p>
        </w:tc>
        <w:tc>
          <w:tcPr>
            <w:tcW w:w="0" w:type="auto"/>
            <w:tcBorders>
              <w:top w:val="nil"/>
              <w:left w:val="nil"/>
              <w:bottom w:val="single" w:sz="4" w:space="0" w:color="auto"/>
              <w:right w:val="single" w:sz="4" w:space="0" w:color="auto"/>
            </w:tcBorders>
            <w:noWrap/>
            <w:vAlign w:val="bottom"/>
            <w:hideMark/>
          </w:tcPr>
          <w:p w14:paraId="3C35B4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8.46</w:t>
            </w:r>
          </w:p>
        </w:tc>
        <w:tc>
          <w:tcPr>
            <w:tcW w:w="0" w:type="auto"/>
            <w:tcBorders>
              <w:top w:val="nil"/>
              <w:left w:val="nil"/>
              <w:bottom w:val="single" w:sz="4" w:space="0" w:color="auto"/>
              <w:right w:val="single" w:sz="4" w:space="0" w:color="auto"/>
            </w:tcBorders>
            <w:noWrap/>
            <w:vAlign w:val="bottom"/>
            <w:hideMark/>
          </w:tcPr>
          <w:p w14:paraId="7348A7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12.70</w:t>
            </w:r>
          </w:p>
        </w:tc>
      </w:tr>
      <w:tr w:rsidR="00294854" w:rsidRPr="004869B8" w14:paraId="67087502"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FC9DDF3"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7E54BB7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5.00</w:t>
            </w:r>
          </w:p>
        </w:tc>
        <w:tc>
          <w:tcPr>
            <w:tcW w:w="0" w:type="auto"/>
            <w:tcBorders>
              <w:top w:val="nil"/>
              <w:left w:val="nil"/>
              <w:bottom w:val="single" w:sz="4" w:space="0" w:color="auto"/>
              <w:right w:val="single" w:sz="4" w:space="0" w:color="auto"/>
            </w:tcBorders>
            <w:noWrap/>
            <w:vAlign w:val="bottom"/>
            <w:hideMark/>
          </w:tcPr>
          <w:p w14:paraId="13A9D9A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19.00</w:t>
            </w:r>
          </w:p>
        </w:tc>
        <w:tc>
          <w:tcPr>
            <w:tcW w:w="0" w:type="auto"/>
            <w:tcBorders>
              <w:top w:val="nil"/>
              <w:left w:val="nil"/>
              <w:bottom w:val="single" w:sz="4" w:space="0" w:color="auto"/>
              <w:right w:val="single" w:sz="4" w:space="0" w:color="auto"/>
            </w:tcBorders>
            <w:noWrap/>
            <w:vAlign w:val="bottom"/>
            <w:hideMark/>
          </w:tcPr>
          <w:p w14:paraId="7610499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11.40</w:t>
            </w:r>
          </w:p>
        </w:tc>
        <w:tc>
          <w:tcPr>
            <w:tcW w:w="0" w:type="auto"/>
            <w:tcBorders>
              <w:top w:val="nil"/>
              <w:left w:val="nil"/>
              <w:bottom w:val="single" w:sz="4" w:space="0" w:color="auto"/>
              <w:right w:val="single" w:sz="4" w:space="0" w:color="auto"/>
            </w:tcBorders>
            <w:noWrap/>
            <w:vAlign w:val="bottom"/>
            <w:hideMark/>
          </w:tcPr>
          <w:p w14:paraId="69E30E5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30.37</w:t>
            </w:r>
          </w:p>
        </w:tc>
        <w:tc>
          <w:tcPr>
            <w:tcW w:w="0" w:type="auto"/>
            <w:tcBorders>
              <w:top w:val="nil"/>
              <w:left w:val="nil"/>
              <w:bottom w:val="single" w:sz="4" w:space="0" w:color="auto"/>
              <w:right w:val="single" w:sz="4" w:space="0" w:color="auto"/>
            </w:tcBorders>
            <w:noWrap/>
            <w:vAlign w:val="bottom"/>
            <w:hideMark/>
          </w:tcPr>
          <w:p w14:paraId="46AA620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28.33</w:t>
            </w:r>
          </w:p>
        </w:tc>
        <w:tc>
          <w:tcPr>
            <w:tcW w:w="0" w:type="auto"/>
            <w:tcBorders>
              <w:top w:val="nil"/>
              <w:left w:val="nil"/>
              <w:bottom w:val="single" w:sz="4" w:space="0" w:color="auto"/>
              <w:right w:val="single" w:sz="4" w:space="0" w:color="auto"/>
            </w:tcBorders>
            <w:noWrap/>
            <w:vAlign w:val="bottom"/>
            <w:hideMark/>
          </w:tcPr>
          <w:p w14:paraId="1180278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23.86</w:t>
            </w:r>
          </w:p>
        </w:tc>
        <w:tc>
          <w:tcPr>
            <w:tcW w:w="0" w:type="auto"/>
            <w:tcBorders>
              <w:top w:val="nil"/>
              <w:left w:val="nil"/>
              <w:bottom w:val="single" w:sz="4" w:space="0" w:color="auto"/>
              <w:right w:val="single" w:sz="4" w:space="0" w:color="auto"/>
            </w:tcBorders>
            <w:noWrap/>
            <w:vAlign w:val="bottom"/>
            <w:hideMark/>
          </w:tcPr>
          <w:p w14:paraId="7C7A00B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13.15</w:t>
            </w:r>
          </w:p>
        </w:tc>
        <w:tc>
          <w:tcPr>
            <w:tcW w:w="0" w:type="auto"/>
            <w:tcBorders>
              <w:top w:val="nil"/>
              <w:left w:val="nil"/>
              <w:bottom w:val="single" w:sz="4" w:space="0" w:color="auto"/>
              <w:right w:val="single" w:sz="4" w:space="0" w:color="auto"/>
            </w:tcBorders>
            <w:noWrap/>
            <w:vAlign w:val="bottom"/>
            <w:hideMark/>
          </w:tcPr>
          <w:p w14:paraId="6F7B85E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1.70</w:t>
            </w:r>
          </w:p>
        </w:tc>
        <w:tc>
          <w:tcPr>
            <w:tcW w:w="0" w:type="auto"/>
            <w:tcBorders>
              <w:top w:val="nil"/>
              <w:left w:val="nil"/>
              <w:bottom w:val="single" w:sz="4" w:space="0" w:color="auto"/>
              <w:right w:val="single" w:sz="4" w:space="0" w:color="auto"/>
            </w:tcBorders>
            <w:noWrap/>
            <w:vAlign w:val="bottom"/>
            <w:hideMark/>
          </w:tcPr>
          <w:p w14:paraId="70CC41E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14.95</w:t>
            </w:r>
          </w:p>
        </w:tc>
      </w:tr>
      <w:tr w:rsidR="00294854" w:rsidRPr="004869B8" w14:paraId="7BE519EC"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A7DBBF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54A014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73.00</w:t>
            </w:r>
          </w:p>
        </w:tc>
        <w:tc>
          <w:tcPr>
            <w:tcW w:w="0" w:type="auto"/>
            <w:tcBorders>
              <w:top w:val="nil"/>
              <w:left w:val="nil"/>
              <w:bottom w:val="single" w:sz="4" w:space="0" w:color="auto"/>
              <w:right w:val="single" w:sz="4" w:space="0" w:color="auto"/>
            </w:tcBorders>
            <w:noWrap/>
            <w:vAlign w:val="bottom"/>
            <w:hideMark/>
          </w:tcPr>
          <w:p w14:paraId="1C32ACF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154.00</w:t>
            </w:r>
          </w:p>
        </w:tc>
        <w:tc>
          <w:tcPr>
            <w:tcW w:w="0" w:type="auto"/>
            <w:tcBorders>
              <w:top w:val="nil"/>
              <w:left w:val="nil"/>
              <w:bottom w:val="single" w:sz="4" w:space="0" w:color="auto"/>
              <w:right w:val="single" w:sz="4" w:space="0" w:color="auto"/>
            </w:tcBorders>
            <w:noWrap/>
            <w:vAlign w:val="bottom"/>
            <w:hideMark/>
          </w:tcPr>
          <w:p w14:paraId="5F2300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115.44</w:t>
            </w:r>
          </w:p>
        </w:tc>
        <w:tc>
          <w:tcPr>
            <w:tcW w:w="0" w:type="auto"/>
            <w:tcBorders>
              <w:top w:val="nil"/>
              <w:left w:val="nil"/>
              <w:bottom w:val="single" w:sz="4" w:space="0" w:color="auto"/>
              <w:right w:val="single" w:sz="4" w:space="0" w:color="auto"/>
            </w:tcBorders>
            <w:noWrap/>
            <w:vAlign w:val="bottom"/>
            <w:hideMark/>
          </w:tcPr>
          <w:p w14:paraId="5CDA477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82.07</w:t>
            </w:r>
          </w:p>
        </w:tc>
        <w:tc>
          <w:tcPr>
            <w:tcW w:w="0" w:type="auto"/>
            <w:tcBorders>
              <w:top w:val="nil"/>
              <w:left w:val="nil"/>
              <w:bottom w:val="single" w:sz="4" w:space="0" w:color="auto"/>
              <w:right w:val="single" w:sz="4" w:space="0" w:color="auto"/>
            </w:tcBorders>
            <w:noWrap/>
            <w:vAlign w:val="bottom"/>
            <w:hideMark/>
          </w:tcPr>
          <w:p w14:paraId="3CF3A8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8.35</w:t>
            </w:r>
          </w:p>
        </w:tc>
        <w:tc>
          <w:tcPr>
            <w:tcW w:w="0" w:type="auto"/>
            <w:tcBorders>
              <w:top w:val="nil"/>
              <w:left w:val="nil"/>
              <w:bottom w:val="single" w:sz="4" w:space="0" w:color="auto"/>
              <w:right w:val="single" w:sz="4" w:space="0" w:color="auto"/>
            </w:tcBorders>
            <w:noWrap/>
            <w:vAlign w:val="bottom"/>
            <w:hideMark/>
          </w:tcPr>
          <w:p w14:paraId="6A9F5F6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13.94</w:t>
            </w:r>
          </w:p>
        </w:tc>
        <w:tc>
          <w:tcPr>
            <w:tcW w:w="0" w:type="auto"/>
            <w:tcBorders>
              <w:top w:val="nil"/>
              <w:left w:val="nil"/>
              <w:bottom w:val="single" w:sz="4" w:space="0" w:color="auto"/>
              <w:right w:val="single" w:sz="4" w:space="0" w:color="auto"/>
            </w:tcBorders>
            <w:noWrap/>
            <w:vAlign w:val="bottom"/>
            <w:hideMark/>
          </w:tcPr>
          <w:p w14:paraId="7F1C666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12.63</w:t>
            </w:r>
          </w:p>
        </w:tc>
        <w:tc>
          <w:tcPr>
            <w:tcW w:w="0" w:type="auto"/>
            <w:tcBorders>
              <w:top w:val="nil"/>
              <w:left w:val="nil"/>
              <w:bottom w:val="single" w:sz="4" w:space="0" w:color="auto"/>
              <w:right w:val="single" w:sz="4" w:space="0" w:color="auto"/>
            </w:tcBorders>
            <w:noWrap/>
            <w:vAlign w:val="bottom"/>
            <w:hideMark/>
          </w:tcPr>
          <w:p w14:paraId="7F90A79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27.25</w:t>
            </w:r>
          </w:p>
        </w:tc>
        <w:tc>
          <w:tcPr>
            <w:tcW w:w="0" w:type="auto"/>
            <w:tcBorders>
              <w:top w:val="nil"/>
              <w:left w:val="nil"/>
              <w:bottom w:val="single" w:sz="4" w:space="0" w:color="auto"/>
              <w:right w:val="single" w:sz="4" w:space="0" w:color="auto"/>
            </w:tcBorders>
            <w:noWrap/>
            <w:vAlign w:val="bottom"/>
            <w:hideMark/>
          </w:tcPr>
          <w:p w14:paraId="6B7B7F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23.60</w:t>
            </w:r>
          </w:p>
        </w:tc>
      </w:tr>
      <w:tr w:rsidR="00294854" w:rsidRPr="004869B8" w14:paraId="1EA5994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F206E71"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3A39BA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w:t>
            </w:r>
          </w:p>
        </w:tc>
        <w:tc>
          <w:tcPr>
            <w:tcW w:w="0" w:type="auto"/>
            <w:tcBorders>
              <w:top w:val="nil"/>
              <w:left w:val="nil"/>
              <w:bottom w:val="single" w:sz="4" w:space="0" w:color="auto"/>
              <w:right w:val="single" w:sz="4" w:space="0" w:color="auto"/>
            </w:tcBorders>
            <w:noWrap/>
            <w:vAlign w:val="bottom"/>
            <w:hideMark/>
          </w:tcPr>
          <w:p w14:paraId="53BC09B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6.60</w:t>
            </w:r>
          </w:p>
        </w:tc>
        <w:tc>
          <w:tcPr>
            <w:tcW w:w="0" w:type="auto"/>
            <w:tcBorders>
              <w:top w:val="nil"/>
              <w:left w:val="nil"/>
              <w:bottom w:val="single" w:sz="4" w:space="0" w:color="auto"/>
              <w:right w:val="single" w:sz="4" w:space="0" w:color="auto"/>
            </w:tcBorders>
            <w:noWrap/>
            <w:vAlign w:val="bottom"/>
            <w:hideMark/>
          </w:tcPr>
          <w:p w14:paraId="6FCE980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3.61</w:t>
            </w:r>
          </w:p>
        </w:tc>
        <w:tc>
          <w:tcPr>
            <w:tcW w:w="0" w:type="auto"/>
            <w:tcBorders>
              <w:top w:val="nil"/>
              <w:left w:val="nil"/>
              <w:bottom w:val="single" w:sz="4" w:space="0" w:color="auto"/>
              <w:right w:val="single" w:sz="4" w:space="0" w:color="auto"/>
            </w:tcBorders>
            <w:noWrap/>
            <w:vAlign w:val="bottom"/>
            <w:hideMark/>
          </w:tcPr>
          <w:p w14:paraId="63AA8A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81.51</w:t>
            </w:r>
          </w:p>
        </w:tc>
        <w:tc>
          <w:tcPr>
            <w:tcW w:w="0" w:type="auto"/>
            <w:tcBorders>
              <w:top w:val="nil"/>
              <w:left w:val="nil"/>
              <w:bottom w:val="single" w:sz="4" w:space="0" w:color="auto"/>
              <w:right w:val="single" w:sz="4" w:space="0" w:color="auto"/>
            </w:tcBorders>
            <w:noWrap/>
            <w:vAlign w:val="bottom"/>
            <w:hideMark/>
          </w:tcPr>
          <w:p w14:paraId="2097C6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13.01</w:t>
            </w:r>
          </w:p>
        </w:tc>
        <w:tc>
          <w:tcPr>
            <w:tcW w:w="0" w:type="auto"/>
            <w:tcBorders>
              <w:top w:val="nil"/>
              <w:left w:val="nil"/>
              <w:bottom w:val="single" w:sz="4" w:space="0" w:color="auto"/>
              <w:right w:val="single" w:sz="4" w:space="0" w:color="auto"/>
            </w:tcBorders>
            <w:noWrap/>
            <w:vAlign w:val="bottom"/>
            <w:hideMark/>
          </w:tcPr>
          <w:p w14:paraId="799A7B5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21.39</w:t>
            </w:r>
          </w:p>
        </w:tc>
        <w:tc>
          <w:tcPr>
            <w:tcW w:w="0" w:type="auto"/>
            <w:tcBorders>
              <w:top w:val="nil"/>
              <w:left w:val="nil"/>
              <w:bottom w:val="single" w:sz="4" w:space="0" w:color="auto"/>
              <w:right w:val="single" w:sz="4" w:space="0" w:color="auto"/>
            </w:tcBorders>
            <w:noWrap/>
            <w:vAlign w:val="bottom"/>
            <w:hideMark/>
          </w:tcPr>
          <w:p w14:paraId="3679E3D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19.31</w:t>
            </w:r>
          </w:p>
        </w:tc>
        <w:tc>
          <w:tcPr>
            <w:tcW w:w="0" w:type="auto"/>
            <w:tcBorders>
              <w:top w:val="nil"/>
              <w:left w:val="nil"/>
              <w:bottom w:val="single" w:sz="4" w:space="0" w:color="auto"/>
              <w:right w:val="single" w:sz="4" w:space="0" w:color="auto"/>
            </w:tcBorders>
            <w:noWrap/>
            <w:vAlign w:val="bottom"/>
            <w:hideMark/>
          </w:tcPr>
          <w:p w14:paraId="7D275E7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w:t>
            </w:r>
          </w:p>
        </w:tc>
        <w:tc>
          <w:tcPr>
            <w:tcW w:w="0" w:type="auto"/>
            <w:tcBorders>
              <w:top w:val="nil"/>
              <w:left w:val="nil"/>
              <w:bottom w:val="single" w:sz="4" w:space="0" w:color="auto"/>
              <w:right w:val="single" w:sz="4" w:space="0" w:color="auto"/>
            </w:tcBorders>
            <w:noWrap/>
            <w:vAlign w:val="bottom"/>
            <w:hideMark/>
          </w:tcPr>
          <w:p w14:paraId="6A60CD0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35.96</w:t>
            </w:r>
          </w:p>
        </w:tc>
      </w:tr>
      <w:tr w:rsidR="00294854" w:rsidRPr="004869B8" w14:paraId="2F346D79"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1F5DA3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5FC123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1.50</w:t>
            </w:r>
          </w:p>
        </w:tc>
        <w:tc>
          <w:tcPr>
            <w:tcW w:w="0" w:type="auto"/>
            <w:tcBorders>
              <w:top w:val="nil"/>
              <w:left w:val="nil"/>
              <w:bottom w:val="single" w:sz="4" w:space="0" w:color="auto"/>
              <w:right w:val="single" w:sz="4" w:space="0" w:color="auto"/>
            </w:tcBorders>
            <w:noWrap/>
            <w:vAlign w:val="bottom"/>
            <w:hideMark/>
          </w:tcPr>
          <w:p w14:paraId="0F8B50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5.20</w:t>
            </w:r>
          </w:p>
        </w:tc>
        <w:tc>
          <w:tcPr>
            <w:tcW w:w="0" w:type="auto"/>
            <w:tcBorders>
              <w:top w:val="nil"/>
              <w:left w:val="nil"/>
              <w:bottom w:val="single" w:sz="4" w:space="0" w:color="auto"/>
              <w:right w:val="single" w:sz="4" w:space="0" w:color="auto"/>
            </w:tcBorders>
            <w:noWrap/>
            <w:vAlign w:val="bottom"/>
            <w:hideMark/>
          </w:tcPr>
          <w:p w14:paraId="6E9840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2.88</w:t>
            </w:r>
          </w:p>
        </w:tc>
        <w:tc>
          <w:tcPr>
            <w:tcW w:w="0" w:type="auto"/>
            <w:tcBorders>
              <w:top w:val="nil"/>
              <w:left w:val="nil"/>
              <w:bottom w:val="single" w:sz="4" w:space="0" w:color="auto"/>
              <w:right w:val="single" w:sz="4" w:space="0" w:color="auto"/>
            </w:tcBorders>
            <w:noWrap/>
            <w:vAlign w:val="bottom"/>
            <w:hideMark/>
          </w:tcPr>
          <w:p w14:paraId="61DF36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34.75</w:t>
            </w:r>
          </w:p>
        </w:tc>
        <w:tc>
          <w:tcPr>
            <w:tcW w:w="0" w:type="auto"/>
            <w:tcBorders>
              <w:top w:val="nil"/>
              <w:left w:val="nil"/>
              <w:bottom w:val="single" w:sz="4" w:space="0" w:color="auto"/>
              <w:right w:val="single" w:sz="4" w:space="0" w:color="auto"/>
            </w:tcBorders>
            <w:noWrap/>
            <w:vAlign w:val="bottom"/>
            <w:hideMark/>
          </w:tcPr>
          <w:p w14:paraId="4B2B60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23.87</w:t>
            </w:r>
          </w:p>
        </w:tc>
        <w:tc>
          <w:tcPr>
            <w:tcW w:w="0" w:type="auto"/>
            <w:tcBorders>
              <w:top w:val="nil"/>
              <w:left w:val="nil"/>
              <w:bottom w:val="single" w:sz="4" w:space="0" w:color="auto"/>
              <w:right w:val="single" w:sz="4" w:space="0" w:color="auto"/>
            </w:tcBorders>
            <w:noWrap/>
            <w:vAlign w:val="bottom"/>
            <w:hideMark/>
          </w:tcPr>
          <w:p w14:paraId="5A25058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20.89</w:t>
            </w:r>
          </w:p>
        </w:tc>
        <w:tc>
          <w:tcPr>
            <w:tcW w:w="0" w:type="auto"/>
            <w:tcBorders>
              <w:top w:val="nil"/>
              <w:left w:val="nil"/>
              <w:bottom w:val="single" w:sz="4" w:space="0" w:color="auto"/>
              <w:right w:val="single" w:sz="4" w:space="0" w:color="auto"/>
            </w:tcBorders>
            <w:noWrap/>
            <w:vAlign w:val="bottom"/>
            <w:hideMark/>
          </w:tcPr>
          <w:p w14:paraId="5950E3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12.32</w:t>
            </w:r>
          </w:p>
        </w:tc>
        <w:tc>
          <w:tcPr>
            <w:tcW w:w="0" w:type="auto"/>
            <w:tcBorders>
              <w:top w:val="nil"/>
              <w:left w:val="nil"/>
              <w:bottom w:val="single" w:sz="4" w:space="0" w:color="auto"/>
              <w:right w:val="single" w:sz="4" w:space="0" w:color="auto"/>
            </w:tcBorders>
            <w:noWrap/>
            <w:vAlign w:val="bottom"/>
            <w:hideMark/>
          </w:tcPr>
          <w:p w14:paraId="0F2FDEF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0.43</w:t>
            </w:r>
          </w:p>
        </w:tc>
        <w:tc>
          <w:tcPr>
            <w:tcW w:w="0" w:type="auto"/>
            <w:tcBorders>
              <w:top w:val="nil"/>
              <w:left w:val="nil"/>
              <w:bottom w:val="single" w:sz="4" w:space="0" w:color="auto"/>
              <w:right w:val="single" w:sz="4" w:space="0" w:color="auto"/>
            </w:tcBorders>
            <w:noWrap/>
            <w:vAlign w:val="bottom"/>
            <w:hideMark/>
          </w:tcPr>
          <w:p w14:paraId="3A88DA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14.98</w:t>
            </w:r>
          </w:p>
        </w:tc>
      </w:tr>
      <w:tr w:rsidR="00294854" w:rsidRPr="004869B8" w14:paraId="7249E25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9587B2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227A140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10.50</w:t>
            </w:r>
          </w:p>
        </w:tc>
        <w:tc>
          <w:tcPr>
            <w:tcW w:w="0" w:type="auto"/>
            <w:tcBorders>
              <w:top w:val="nil"/>
              <w:left w:val="nil"/>
              <w:bottom w:val="single" w:sz="4" w:space="0" w:color="auto"/>
              <w:right w:val="single" w:sz="4" w:space="0" w:color="auto"/>
            </w:tcBorders>
            <w:noWrap/>
            <w:vAlign w:val="bottom"/>
            <w:hideMark/>
          </w:tcPr>
          <w:p w14:paraId="405E86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30.00</w:t>
            </w:r>
          </w:p>
        </w:tc>
        <w:tc>
          <w:tcPr>
            <w:tcW w:w="0" w:type="auto"/>
            <w:tcBorders>
              <w:top w:val="nil"/>
              <w:left w:val="nil"/>
              <w:bottom w:val="single" w:sz="4" w:space="0" w:color="auto"/>
              <w:right w:val="single" w:sz="4" w:space="0" w:color="auto"/>
            </w:tcBorders>
            <w:noWrap/>
            <w:vAlign w:val="bottom"/>
            <w:hideMark/>
          </w:tcPr>
          <w:p w14:paraId="05585E3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19.22</w:t>
            </w:r>
          </w:p>
        </w:tc>
        <w:tc>
          <w:tcPr>
            <w:tcW w:w="0" w:type="auto"/>
            <w:tcBorders>
              <w:top w:val="nil"/>
              <w:left w:val="nil"/>
              <w:bottom w:val="single" w:sz="4" w:space="0" w:color="auto"/>
              <w:right w:val="single" w:sz="4" w:space="0" w:color="auto"/>
            </w:tcBorders>
            <w:noWrap/>
            <w:vAlign w:val="bottom"/>
            <w:hideMark/>
          </w:tcPr>
          <w:p w14:paraId="2A24250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76.06</w:t>
            </w:r>
          </w:p>
        </w:tc>
        <w:tc>
          <w:tcPr>
            <w:tcW w:w="0" w:type="auto"/>
            <w:tcBorders>
              <w:top w:val="nil"/>
              <w:left w:val="nil"/>
              <w:bottom w:val="single" w:sz="4" w:space="0" w:color="auto"/>
              <w:right w:val="single" w:sz="4" w:space="0" w:color="auto"/>
            </w:tcBorders>
            <w:noWrap/>
            <w:vAlign w:val="bottom"/>
            <w:hideMark/>
          </w:tcPr>
          <w:p w14:paraId="47AE23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13.20</w:t>
            </w:r>
          </w:p>
        </w:tc>
        <w:tc>
          <w:tcPr>
            <w:tcW w:w="0" w:type="auto"/>
            <w:tcBorders>
              <w:top w:val="nil"/>
              <w:left w:val="nil"/>
              <w:bottom w:val="single" w:sz="4" w:space="0" w:color="auto"/>
              <w:right w:val="single" w:sz="4" w:space="0" w:color="auto"/>
            </w:tcBorders>
            <w:noWrap/>
            <w:vAlign w:val="bottom"/>
            <w:hideMark/>
          </w:tcPr>
          <w:p w14:paraId="7EA29B5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19.08</w:t>
            </w:r>
          </w:p>
        </w:tc>
        <w:tc>
          <w:tcPr>
            <w:tcW w:w="0" w:type="auto"/>
            <w:tcBorders>
              <w:top w:val="nil"/>
              <w:left w:val="nil"/>
              <w:bottom w:val="single" w:sz="4" w:space="0" w:color="auto"/>
              <w:right w:val="single" w:sz="4" w:space="0" w:color="auto"/>
            </w:tcBorders>
            <w:noWrap/>
            <w:vAlign w:val="bottom"/>
            <w:hideMark/>
          </w:tcPr>
          <w:p w14:paraId="3F2E52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16.64</w:t>
            </w:r>
          </w:p>
        </w:tc>
        <w:tc>
          <w:tcPr>
            <w:tcW w:w="0" w:type="auto"/>
            <w:tcBorders>
              <w:top w:val="nil"/>
              <w:left w:val="nil"/>
              <w:bottom w:val="single" w:sz="4" w:space="0" w:color="auto"/>
              <w:right w:val="single" w:sz="4" w:space="0" w:color="auto"/>
            </w:tcBorders>
            <w:noWrap/>
            <w:vAlign w:val="bottom"/>
            <w:hideMark/>
          </w:tcPr>
          <w:p w14:paraId="6F1D7A0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5.76</w:t>
            </w:r>
          </w:p>
        </w:tc>
        <w:tc>
          <w:tcPr>
            <w:tcW w:w="0" w:type="auto"/>
            <w:tcBorders>
              <w:top w:val="nil"/>
              <w:left w:val="nil"/>
              <w:bottom w:val="single" w:sz="4" w:space="0" w:color="auto"/>
              <w:right w:val="single" w:sz="4" w:space="0" w:color="auto"/>
            </w:tcBorders>
            <w:noWrap/>
            <w:vAlign w:val="bottom"/>
            <w:hideMark/>
          </w:tcPr>
          <w:p w14:paraId="58DEB16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29.94</w:t>
            </w:r>
          </w:p>
        </w:tc>
      </w:tr>
      <w:tr w:rsidR="00294854" w:rsidRPr="004869B8" w14:paraId="273AB7F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77CF67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30087C4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9.60</w:t>
            </w:r>
          </w:p>
        </w:tc>
        <w:tc>
          <w:tcPr>
            <w:tcW w:w="0" w:type="auto"/>
            <w:tcBorders>
              <w:top w:val="nil"/>
              <w:left w:val="nil"/>
              <w:bottom w:val="single" w:sz="4" w:space="0" w:color="auto"/>
              <w:right w:val="single" w:sz="4" w:space="0" w:color="auto"/>
            </w:tcBorders>
            <w:noWrap/>
            <w:vAlign w:val="bottom"/>
            <w:hideMark/>
          </w:tcPr>
          <w:p w14:paraId="5093FD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24.70</w:t>
            </w:r>
          </w:p>
        </w:tc>
        <w:tc>
          <w:tcPr>
            <w:tcW w:w="0" w:type="auto"/>
            <w:tcBorders>
              <w:top w:val="nil"/>
              <w:left w:val="nil"/>
              <w:bottom w:val="single" w:sz="4" w:space="0" w:color="auto"/>
              <w:right w:val="single" w:sz="4" w:space="0" w:color="auto"/>
            </w:tcBorders>
            <w:noWrap/>
            <w:vAlign w:val="bottom"/>
            <w:hideMark/>
          </w:tcPr>
          <w:p w14:paraId="5868EFC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17.16</w:t>
            </w:r>
          </w:p>
        </w:tc>
        <w:tc>
          <w:tcPr>
            <w:tcW w:w="0" w:type="auto"/>
            <w:tcBorders>
              <w:top w:val="nil"/>
              <w:left w:val="nil"/>
              <w:bottom w:val="single" w:sz="4" w:space="0" w:color="auto"/>
              <w:right w:val="single" w:sz="4" w:space="0" w:color="auto"/>
            </w:tcBorders>
            <w:noWrap/>
            <w:vAlign w:val="bottom"/>
            <w:hideMark/>
          </w:tcPr>
          <w:p w14:paraId="4CC279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93.07</w:t>
            </w:r>
          </w:p>
        </w:tc>
        <w:tc>
          <w:tcPr>
            <w:tcW w:w="0" w:type="auto"/>
            <w:tcBorders>
              <w:top w:val="nil"/>
              <w:left w:val="nil"/>
              <w:bottom w:val="single" w:sz="4" w:space="0" w:color="auto"/>
              <w:right w:val="single" w:sz="4" w:space="0" w:color="auto"/>
            </w:tcBorders>
            <w:noWrap/>
            <w:vAlign w:val="bottom"/>
            <w:hideMark/>
          </w:tcPr>
          <w:p w14:paraId="5BC9AF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6.19</w:t>
            </w:r>
          </w:p>
        </w:tc>
        <w:tc>
          <w:tcPr>
            <w:tcW w:w="0" w:type="auto"/>
            <w:tcBorders>
              <w:top w:val="nil"/>
              <w:left w:val="nil"/>
              <w:bottom w:val="single" w:sz="4" w:space="0" w:color="auto"/>
              <w:right w:val="single" w:sz="4" w:space="0" w:color="auto"/>
            </w:tcBorders>
            <w:noWrap/>
            <w:vAlign w:val="bottom"/>
            <w:hideMark/>
          </w:tcPr>
          <w:p w14:paraId="63711FD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16.62</w:t>
            </w:r>
          </w:p>
        </w:tc>
        <w:tc>
          <w:tcPr>
            <w:tcW w:w="0" w:type="auto"/>
            <w:tcBorders>
              <w:top w:val="nil"/>
              <w:left w:val="nil"/>
              <w:bottom w:val="single" w:sz="4" w:space="0" w:color="auto"/>
              <w:right w:val="single" w:sz="4" w:space="0" w:color="auto"/>
            </w:tcBorders>
            <w:noWrap/>
            <w:vAlign w:val="bottom"/>
            <w:hideMark/>
          </w:tcPr>
          <w:p w14:paraId="05DED4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16.03</w:t>
            </w:r>
          </w:p>
        </w:tc>
        <w:tc>
          <w:tcPr>
            <w:tcW w:w="0" w:type="auto"/>
            <w:tcBorders>
              <w:top w:val="nil"/>
              <w:left w:val="nil"/>
              <w:bottom w:val="single" w:sz="4" w:space="0" w:color="auto"/>
              <w:right w:val="single" w:sz="4" w:space="0" w:color="auto"/>
            </w:tcBorders>
            <w:noWrap/>
            <w:vAlign w:val="bottom"/>
            <w:hideMark/>
          </w:tcPr>
          <w:p w14:paraId="508037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5.48</w:t>
            </w:r>
          </w:p>
        </w:tc>
        <w:tc>
          <w:tcPr>
            <w:tcW w:w="0" w:type="auto"/>
            <w:tcBorders>
              <w:top w:val="nil"/>
              <w:left w:val="nil"/>
              <w:bottom w:val="single" w:sz="4" w:space="0" w:color="auto"/>
              <w:right w:val="single" w:sz="4" w:space="0" w:color="auto"/>
            </w:tcBorders>
            <w:noWrap/>
            <w:vAlign w:val="bottom"/>
            <w:hideMark/>
          </w:tcPr>
          <w:p w14:paraId="61E848B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31.91</w:t>
            </w:r>
          </w:p>
        </w:tc>
      </w:tr>
      <w:tr w:rsidR="00294854" w:rsidRPr="004869B8" w14:paraId="5204BA14"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2B0B256"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1FB64F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15.87</w:t>
            </w:r>
          </w:p>
        </w:tc>
        <w:tc>
          <w:tcPr>
            <w:tcW w:w="0" w:type="auto"/>
            <w:tcBorders>
              <w:top w:val="nil"/>
              <w:left w:val="nil"/>
              <w:bottom w:val="single" w:sz="4" w:space="0" w:color="auto"/>
              <w:right w:val="single" w:sz="4" w:space="0" w:color="auto"/>
            </w:tcBorders>
            <w:noWrap/>
            <w:vAlign w:val="bottom"/>
            <w:hideMark/>
          </w:tcPr>
          <w:p w14:paraId="301F6A8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27.72</w:t>
            </w:r>
          </w:p>
        </w:tc>
        <w:tc>
          <w:tcPr>
            <w:tcW w:w="0" w:type="auto"/>
            <w:tcBorders>
              <w:top w:val="nil"/>
              <w:left w:val="nil"/>
              <w:bottom w:val="single" w:sz="4" w:space="0" w:color="auto"/>
              <w:right w:val="single" w:sz="4" w:space="0" w:color="auto"/>
            </w:tcBorders>
            <w:noWrap/>
            <w:vAlign w:val="bottom"/>
            <w:hideMark/>
          </w:tcPr>
          <w:p w14:paraId="404659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21.11</w:t>
            </w:r>
          </w:p>
        </w:tc>
        <w:tc>
          <w:tcPr>
            <w:tcW w:w="0" w:type="auto"/>
            <w:tcBorders>
              <w:top w:val="nil"/>
              <w:left w:val="nil"/>
              <w:bottom w:val="single" w:sz="4" w:space="0" w:color="auto"/>
              <w:right w:val="single" w:sz="4" w:space="0" w:color="auto"/>
            </w:tcBorders>
            <w:noWrap/>
            <w:vAlign w:val="bottom"/>
            <w:hideMark/>
          </w:tcPr>
          <w:p w14:paraId="65DF37F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88.56</w:t>
            </w:r>
          </w:p>
        </w:tc>
        <w:tc>
          <w:tcPr>
            <w:tcW w:w="0" w:type="auto"/>
            <w:tcBorders>
              <w:top w:val="nil"/>
              <w:left w:val="nil"/>
              <w:bottom w:val="single" w:sz="4" w:space="0" w:color="auto"/>
              <w:right w:val="single" w:sz="4" w:space="0" w:color="auto"/>
            </w:tcBorders>
            <w:noWrap/>
            <w:vAlign w:val="bottom"/>
            <w:hideMark/>
          </w:tcPr>
          <w:p w14:paraId="3F72461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4.81</w:t>
            </w:r>
          </w:p>
        </w:tc>
        <w:tc>
          <w:tcPr>
            <w:tcW w:w="0" w:type="auto"/>
            <w:tcBorders>
              <w:top w:val="nil"/>
              <w:left w:val="nil"/>
              <w:bottom w:val="single" w:sz="4" w:space="0" w:color="auto"/>
              <w:right w:val="single" w:sz="4" w:space="0" w:color="auto"/>
            </w:tcBorders>
            <w:noWrap/>
            <w:vAlign w:val="bottom"/>
            <w:hideMark/>
          </w:tcPr>
          <w:p w14:paraId="1DF7878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10.07</w:t>
            </w:r>
          </w:p>
        </w:tc>
        <w:tc>
          <w:tcPr>
            <w:tcW w:w="0" w:type="auto"/>
            <w:tcBorders>
              <w:top w:val="nil"/>
              <w:left w:val="nil"/>
              <w:bottom w:val="single" w:sz="4" w:space="0" w:color="auto"/>
              <w:right w:val="single" w:sz="4" w:space="0" w:color="auto"/>
            </w:tcBorders>
            <w:noWrap/>
            <w:vAlign w:val="bottom"/>
            <w:hideMark/>
          </w:tcPr>
          <w:p w14:paraId="3C17B94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9.47</w:t>
            </w:r>
          </w:p>
        </w:tc>
        <w:tc>
          <w:tcPr>
            <w:tcW w:w="0" w:type="auto"/>
            <w:tcBorders>
              <w:top w:val="nil"/>
              <w:left w:val="nil"/>
              <w:bottom w:val="single" w:sz="4" w:space="0" w:color="auto"/>
              <w:right w:val="single" w:sz="4" w:space="0" w:color="auto"/>
            </w:tcBorders>
            <w:noWrap/>
            <w:vAlign w:val="bottom"/>
            <w:hideMark/>
          </w:tcPr>
          <w:p w14:paraId="752B0A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3.88</w:t>
            </w:r>
          </w:p>
        </w:tc>
        <w:tc>
          <w:tcPr>
            <w:tcW w:w="0" w:type="auto"/>
            <w:tcBorders>
              <w:top w:val="nil"/>
              <w:left w:val="nil"/>
              <w:bottom w:val="single" w:sz="4" w:space="0" w:color="auto"/>
              <w:right w:val="single" w:sz="4" w:space="0" w:color="auto"/>
            </w:tcBorders>
            <w:noWrap/>
            <w:vAlign w:val="bottom"/>
            <w:hideMark/>
          </w:tcPr>
          <w:p w14:paraId="0F2D258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18.39</w:t>
            </w:r>
          </w:p>
        </w:tc>
      </w:tr>
      <w:tr w:rsidR="00294854" w:rsidRPr="004869B8" w14:paraId="6275AB9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A63608B"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717B6E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14.00</w:t>
            </w:r>
          </w:p>
        </w:tc>
        <w:tc>
          <w:tcPr>
            <w:tcW w:w="0" w:type="auto"/>
            <w:tcBorders>
              <w:top w:val="nil"/>
              <w:left w:val="nil"/>
              <w:bottom w:val="single" w:sz="4" w:space="0" w:color="auto"/>
              <w:right w:val="single" w:sz="4" w:space="0" w:color="auto"/>
            </w:tcBorders>
            <w:noWrap/>
            <w:vAlign w:val="bottom"/>
            <w:hideMark/>
          </w:tcPr>
          <w:p w14:paraId="2753417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22.00</w:t>
            </w:r>
          </w:p>
        </w:tc>
        <w:tc>
          <w:tcPr>
            <w:tcW w:w="0" w:type="auto"/>
            <w:tcBorders>
              <w:top w:val="nil"/>
              <w:left w:val="nil"/>
              <w:bottom w:val="single" w:sz="4" w:space="0" w:color="auto"/>
              <w:right w:val="single" w:sz="4" w:space="0" w:color="auto"/>
            </w:tcBorders>
            <w:noWrap/>
            <w:vAlign w:val="bottom"/>
            <w:hideMark/>
          </w:tcPr>
          <w:p w14:paraId="40043E8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17.47</w:t>
            </w:r>
          </w:p>
        </w:tc>
        <w:tc>
          <w:tcPr>
            <w:tcW w:w="0" w:type="auto"/>
            <w:tcBorders>
              <w:top w:val="nil"/>
              <w:left w:val="nil"/>
              <w:bottom w:val="single" w:sz="4" w:space="0" w:color="auto"/>
              <w:right w:val="single" w:sz="4" w:space="0" w:color="auto"/>
            </w:tcBorders>
            <w:noWrap/>
            <w:vAlign w:val="bottom"/>
            <w:hideMark/>
          </w:tcPr>
          <w:p w14:paraId="7DDFFD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53.23</w:t>
            </w:r>
          </w:p>
        </w:tc>
        <w:tc>
          <w:tcPr>
            <w:tcW w:w="0" w:type="auto"/>
            <w:tcBorders>
              <w:top w:val="nil"/>
              <w:left w:val="nil"/>
              <w:bottom w:val="single" w:sz="4" w:space="0" w:color="auto"/>
              <w:right w:val="single" w:sz="4" w:space="0" w:color="auto"/>
            </w:tcBorders>
            <w:noWrap/>
            <w:vAlign w:val="bottom"/>
            <w:hideMark/>
          </w:tcPr>
          <w:p w14:paraId="1515173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9.54</w:t>
            </w:r>
          </w:p>
        </w:tc>
        <w:tc>
          <w:tcPr>
            <w:tcW w:w="0" w:type="auto"/>
            <w:tcBorders>
              <w:top w:val="nil"/>
              <w:left w:val="nil"/>
              <w:bottom w:val="single" w:sz="4" w:space="0" w:color="auto"/>
              <w:right w:val="single" w:sz="4" w:space="0" w:color="auto"/>
            </w:tcBorders>
            <w:noWrap/>
            <w:vAlign w:val="bottom"/>
            <w:hideMark/>
          </w:tcPr>
          <w:p w14:paraId="6527982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9.87</w:t>
            </w:r>
          </w:p>
        </w:tc>
        <w:tc>
          <w:tcPr>
            <w:tcW w:w="0" w:type="auto"/>
            <w:tcBorders>
              <w:top w:val="nil"/>
              <w:left w:val="nil"/>
              <w:bottom w:val="single" w:sz="4" w:space="0" w:color="auto"/>
              <w:right w:val="single" w:sz="4" w:space="0" w:color="auto"/>
            </w:tcBorders>
            <w:noWrap/>
            <w:vAlign w:val="bottom"/>
            <w:hideMark/>
          </w:tcPr>
          <w:p w14:paraId="3B05ED5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7.20</w:t>
            </w:r>
          </w:p>
        </w:tc>
        <w:tc>
          <w:tcPr>
            <w:tcW w:w="0" w:type="auto"/>
            <w:tcBorders>
              <w:top w:val="nil"/>
              <w:left w:val="nil"/>
              <w:bottom w:val="single" w:sz="4" w:space="0" w:color="auto"/>
              <w:right w:val="single" w:sz="4" w:space="0" w:color="auto"/>
            </w:tcBorders>
            <w:noWrap/>
            <w:vAlign w:val="bottom"/>
            <w:hideMark/>
          </w:tcPr>
          <w:p w14:paraId="6D6EC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1.89</w:t>
            </w:r>
          </w:p>
        </w:tc>
        <w:tc>
          <w:tcPr>
            <w:tcW w:w="0" w:type="auto"/>
            <w:tcBorders>
              <w:top w:val="nil"/>
              <w:left w:val="nil"/>
              <w:bottom w:val="single" w:sz="4" w:space="0" w:color="auto"/>
              <w:right w:val="single" w:sz="4" w:space="0" w:color="auto"/>
            </w:tcBorders>
            <w:noWrap/>
            <w:vAlign w:val="bottom"/>
            <w:hideMark/>
          </w:tcPr>
          <w:p w14:paraId="4CE75A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10.83</w:t>
            </w:r>
          </w:p>
        </w:tc>
      </w:tr>
      <w:tr w:rsidR="00294854" w:rsidRPr="004869B8" w14:paraId="78F850B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743982A"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57316FD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3.35</w:t>
            </w:r>
          </w:p>
        </w:tc>
        <w:tc>
          <w:tcPr>
            <w:tcW w:w="0" w:type="auto"/>
            <w:tcBorders>
              <w:top w:val="nil"/>
              <w:left w:val="nil"/>
              <w:bottom w:val="single" w:sz="4" w:space="0" w:color="auto"/>
              <w:right w:val="single" w:sz="4" w:space="0" w:color="auto"/>
            </w:tcBorders>
            <w:noWrap/>
            <w:vAlign w:val="bottom"/>
            <w:hideMark/>
          </w:tcPr>
          <w:p w14:paraId="1E9BF96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12.19</w:t>
            </w:r>
          </w:p>
        </w:tc>
        <w:tc>
          <w:tcPr>
            <w:tcW w:w="0" w:type="auto"/>
            <w:tcBorders>
              <w:top w:val="nil"/>
              <w:left w:val="nil"/>
              <w:bottom w:val="single" w:sz="4" w:space="0" w:color="auto"/>
              <w:right w:val="single" w:sz="4" w:space="0" w:color="auto"/>
            </w:tcBorders>
            <w:noWrap/>
            <w:vAlign w:val="bottom"/>
            <w:hideMark/>
          </w:tcPr>
          <w:p w14:paraId="60BC832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7.60</w:t>
            </w:r>
          </w:p>
        </w:tc>
        <w:tc>
          <w:tcPr>
            <w:tcW w:w="0" w:type="auto"/>
            <w:tcBorders>
              <w:top w:val="nil"/>
              <w:left w:val="nil"/>
              <w:bottom w:val="single" w:sz="4" w:space="0" w:color="auto"/>
              <w:right w:val="single" w:sz="4" w:space="0" w:color="auto"/>
            </w:tcBorders>
            <w:noWrap/>
            <w:vAlign w:val="bottom"/>
            <w:hideMark/>
          </w:tcPr>
          <w:p w14:paraId="3B00E7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96.63</w:t>
            </w:r>
          </w:p>
        </w:tc>
        <w:tc>
          <w:tcPr>
            <w:tcW w:w="0" w:type="auto"/>
            <w:tcBorders>
              <w:top w:val="nil"/>
              <w:left w:val="nil"/>
              <w:bottom w:val="single" w:sz="4" w:space="0" w:color="auto"/>
              <w:right w:val="single" w:sz="4" w:space="0" w:color="auto"/>
            </w:tcBorders>
            <w:noWrap/>
            <w:vAlign w:val="bottom"/>
            <w:hideMark/>
          </w:tcPr>
          <w:p w14:paraId="2CC8B1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5.95</w:t>
            </w:r>
          </w:p>
        </w:tc>
        <w:tc>
          <w:tcPr>
            <w:tcW w:w="0" w:type="auto"/>
            <w:tcBorders>
              <w:top w:val="nil"/>
              <w:left w:val="nil"/>
              <w:bottom w:val="single" w:sz="4" w:space="0" w:color="auto"/>
              <w:right w:val="single" w:sz="4" w:space="0" w:color="auto"/>
            </w:tcBorders>
            <w:noWrap/>
            <w:vAlign w:val="bottom"/>
            <w:hideMark/>
          </w:tcPr>
          <w:p w14:paraId="2A48D7C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21.90</w:t>
            </w:r>
          </w:p>
        </w:tc>
        <w:tc>
          <w:tcPr>
            <w:tcW w:w="0" w:type="auto"/>
            <w:tcBorders>
              <w:top w:val="nil"/>
              <w:left w:val="nil"/>
              <w:bottom w:val="single" w:sz="4" w:space="0" w:color="auto"/>
              <w:right w:val="single" w:sz="4" w:space="0" w:color="auto"/>
            </w:tcBorders>
            <w:noWrap/>
            <w:vAlign w:val="bottom"/>
            <w:hideMark/>
          </w:tcPr>
          <w:p w14:paraId="478A164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21.49</w:t>
            </w:r>
          </w:p>
        </w:tc>
        <w:tc>
          <w:tcPr>
            <w:tcW w:w="0" w:type="auto"/>
            <w:tcBorders>
              <w:top w:val="nil"/>
              <w:left w:val="nil"/>
              <w:bottom w:val="single" w:sz="4" w:space="0" w:color="auto"/>
              <w:right w:val="single" w:sz="4" w:space="0" w:color="auto"/>
            </w:tcBorders>
            <w:noWrap/>
            <w:vAlign w:val="bottom"/>
            <w:hideMark/>
          </w:tcPr>
          <w:p w14:paraId="1786663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3.31</w:t>
            </w:r>
          </w:p>
        </w:tc>
        <w:tc>
          <w:tcPr>
            <w:tcW w:w="0" w:type="auto"/>
            <w:tcBorders>
              <w:top w:val="nil"/>
              <w:left w:val="nil"/>
              <w:bottom w:val="single" w:sz="4" w:space="0" w:color="auto"/>
              <w:right w:val="single" w:sz="4" w:space="0" w:color="auto"/>
            </w:tcBorders>
            <w:noWrap/>
            <w:vAlign w:val="bottom"/>
            <w:hideMark/>
          </w:tcPr>
          <w:p w14:paraId="1A0CD2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43.52</w:t>
            </w:r>
          </w:p>
        </w:tc>
      </w:tr>
      <w:tr w:rsidR="00294854" w:rsidRPr="004869B8" w14:paraId="3A6EB1E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93E20A0"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0F767C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11.00</w:t>
            </w:r>
          </w:p>
        </w:tc>
        <w:tc>
          <w:tcPr>
            <w:tcW w:w="0" w:type="auto"/>
            <w:tcBorders>
              <w:top w:val="nil"/>
              <w:left w:val="nil"/>
              <w:bottom w:val="single" w:sz="4" w:space="0" w:color="auto"/>
              <w:right w:val="single" w:sz="4" w:space="0" w:color="auto"/>
            </w:tcBorders>
            <w:noWrap/>
            <w:vAlign w:val="bottom"/>
            <w:hideMark/>
          </w:tcPr>
          <w:p w14:paraId="4F8D8D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152.50</w:t>
            </w:r>
          </w:p>
        </w:tc>
        <w:tc>
          <w:tcPr>
            <w:tcW w:w="0" w:type="auto"/>
            <w:tcBorders>
              <w:top w:val="nil"/>
              <w:left w:val="nil"/>
              <w:bottom w:val="single" w:sz="4" w:space="0" w:color="auto"/>
              <w:right w:val="single" w:sz="4" w:space="0" w:color="auto"/>
            </w:tcBorders>
            <w:noWrap/>
            <w:vAlign w:val="bottom"/>
            <w:hideMark/>
          </w:tcPr>
          <w:p w14:paraId="048A489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72.83</w:t>
            </w:r>
          </w:p>
        </w:tc>
        <w:tc>
          <w:tcPr>
            <w:tcW w:w="0" w:type="auto"/>
            <w:tcBorders>
              <w:top w:val="nil"/>
              <w:left w:val="nil"/>
              <w:bottom w:val="single" w:sz="4" w:space="0" w:color="auto"/>
              <w:right w:val="single" w:sz="4" w:space="0" w:color="auto"/>
            </w:tcBorders>
            <w:noWrap/>
            <w:vAlign w:val="bottom"/>
            <w:hideMark/>
          </w:tcPr>
          <w:p w14:paraId="480E8E2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95.83</w:t>
            </w:r>
          </w:p>
        </w:tc>
        <w:tc>
          <w:tcPr>
            <w:tcW w:w="0" w:type="auto"/>
            <w:tcBorders>
              <w:top w:val="nil"/>
              <w:left w:val="nil"/>
              <w:bottom w:val="single" w:sz="4" w:space="0" w:color="auto"/>
              <w:right w:val="single" w:sz="4" w:space="0" w:color="auto"/>
            </w:tcBorders>
            <w:noWrap/>
            <w:vAlign w:val="bottom"/>
            <w:hideMark/>
          </w:tcPr>
          <w:p w14:paraId="716F95A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10.46</w:t>
            </w:r>
          </w:p>
        </w:tc>
        <w:tc>
          <w:tcPr>
            <w:tcW w:w="0" w:type="auto"/>
            <w:tcBorders>
              <w:top w:val="nil"/>
              <w:left w:val="nil"/>
              <w:bottom w:val="single" w:sz="4" w:space="0" w:color="auto"/>
              <w:right w:val="single" w:sz="4" w:space="0" w:color="auto"/>
            </w:tcBorders>
            <w:noWrap/>
            <w:vAlign w:val="bottom"/>
            <w:hideMark/>
          </w:tcPr>
          <w:p w14:paraId="60CDFA3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36.25</w:t>
            </w:r>
          </w:p>
        </w:tc>
        <w:tc>
          <w:tcPr>
            <w:tcW w:w="0" w:type="auto"/>
            <w:tcBorders>
              <w:top w:val="nil"/>
              <w:left w:val="nil"/>
              <w:bottom w:val="single" w:sz="4" w:space="0" w:color="auto"/>
              <w:right w:val="single" w:sz="4" w:space="0" w:color="auto"/>
            </w:tcBorders>
            <w:noWrap/>
            <w:vAlign w:val="bottom"/>
            <w:hideMark/>
          </w:tcPr>
          <w:p w14:paraId="59041CD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35.48</w:t>
            </w:r>
          </w:p>
        </w:tc>
        <w:tc>
          <w:tcPr>
            <w:tcW w:w="0" w:type="auto"/>
            <w:tcBorders>
              <w:top w:val="nil"/>
              <w:left w:val="nil"/>
              <w:bottom w:val="single" w:sz="4" w:space="0" w:color="auto"/>
              <w:right w:val="single" w:sz="4" w:space="0" w:color="auto"/>
            </w:tcBorders>
            <w:noWrap/>
            <w:vAlign w:val="bottom"/>
            <w:hideMark/>
          </w:tcPr>
          <w:p w14:paraId="0DD250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52.19</w:t>
            </w:r>
          </w:p>
        </w:tc>
        <w:tc>
          <w:tcPr>
            <w:tcW w:w="0" w:type="auto"/>
            <w:tcBorders>
              <w:top w:val="nil"/>
              <w:left w:val="nil"/>
              <w:bottom w:val="single" w:sz="4" w:space="0" w:color="auto"/>
              <w:right w:val="single" w:sz="4" w:space="0" w:color="auto"/>
            </w:tcBorders>
            <w:noWrap/>
            <w:vAlign w:val="bottom"/>
            <w:hideMark/>
          </w:tcPr>
          <w:p w14:paraId="587277E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71.66</w:t>
            </w:r>
          </w:p>
        </w:tc>
      </w:tr>
      <w:tr w:rsidR="00294854" w:rsidRPr="004869B8" w14:paraId="25F0943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3ACEF92"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5C6F946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15.60</w:t>
            </w:r>
          </w:p>
        </w:tc>
        <w:tc>
          <w:tcPr>
            <w:tcW w:w="0" w:type="auto"/>
            <w:tcBorders>
              <w:top w:val="nil"/>
              <w:left w:val="nil"/>
              <w:bottom w:val="single" w:sz="4" w:space="0" w:color="auto"/>
              <w:right w:val="single" w:sz="4" w:space="0" w:color="auto"/>
            </w:tcBorders>
            <w:noWrap/>
            <w:vAlign w:val="bottom"/>
            <w:hideMark/>
          </w:tcPr>
          <w:p w14:paraId="3F9CD72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76.98</w:t>
            </w:r>
          </w:p>
        </w:tc>
        <w:tc>
          <w:tcPr>
            <w:tcW w:w="0" w:type="auto"/>
            <w:tcBorders>
              <w:top w:val="nil"/>
              <w:left w:val="nil"/>
              <w:bottom w:val="single" w:sz="4" w:space="0" w:color="auto"/>
              <w:right w:val="single" w:sz="4" w:space="0" w:color="auto"/>
            </w:tcBorders>
            <w:noWrap/>
            <w:vAlign w:val="bottom"/>
            <w:hideMark/>
          </w:tcPr>
          <w:p w14:paraId="7EF70C0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52.49</w:t>
            </w:r>
          </w:p>
        </w:tc>
        <w:tc>
          <w:tcPr>
            <w:tcW w:w="0" w:type="auto"/>
            <w:tcBorders>
              <w:top w:val="nil"/>
              <w:left w:val="nil"/>
              <w:bottom w:val="single" w:sz="4" w:space="0" w:color="auto"/>
              <w:right w:val="single" w:sz="4" w:space="0" w:color="auto"/>
            </w:tcBorders>
            <w:noWrap/>
            <w:vAlign w:val="bottom"/>
            <w:hideMark/>
          </w:tcPr>
          <w:p w14:paraId="66950AA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91.88</w:t>
            </w:r>
          </w:p>
        </w:tc>
        <w:tc>
          <w:tcPr>
            <w:tcW w:w="0" w:type="auto"/>
            <w:tcBorders>
              <w:top w:val="nil"/>
              <w:left w:val="nil"/>
              <w:bottom w:val="single" w:sz="4" w:space="0" w:color="auto"/>
              <w:right w:val="single" w:sz="4" w:space="0" w:color="auto"/>
            </w:tcBorders>
            <w:noWrap/>
            <w:vAlign w:val="bottom"/>
            <w:hideMark/>
          </w:tcPr>
          <w:p w14:paraId="7EC5DB9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8.90</w:t>
            </w:r>
          </w:p>
        </w:tc>
        <w:tc>
          <w:tcPr>
            <w:tcW w:w="0" w:type="auto"/>
            <w:tcBorders>
              <w:top w:val="nil"/>
              <w:left w:val="nil"/>
              <w:bottom w:val="single" w:sz="4" w:space="0" w:color="auto"/>
              <w:right w:val="single" w:sz="4" w:space="0" w:color="auto"/>
            </w:tcBorders>
            <w:noWrap/>
            <w:vAlign w:val="bottom"/>
            <w:hideMark/>
          </w:tcPr>
          <w:p w14:paraId="0785270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22.10</w:t>
            </w:r>
          </w:p>
        </w:tc>
        <w:tc>
          <w:tcPr>
            <w:tcW w:w="0" w:type="auto"/>
            <w:tcBorders>
              <w:top w:val="nil"/>
              <w:left w:val="nil"/>
              <w:bottom w:val="single" w:sz="4" w:space="0" w:color="auto"/>
              <w:right w:val="single" w:sz="4" w:space="0" w:color="auto"/>
            </w:tcBorders>
            <w:noWrap/>
            <w:vAlign w:val="bottom"/>
            <w:hideMark/>
          </w:tcPr>
          <w:p w14:paraId="1A376AB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21.18</w:t>
            </w:r>
          </w:p>
        </w:tc>
        <w:tc>
          <w:tcPr>
            <w:tcW w:w="0" w:type="auto"/>
            <w:tcBorders>
              <w:top w:val="nil"/>
              <w:left w:val="nil"/>
              <w:bottom w:val="single" w:sz="4" w:space="0" w:color="auto"/>
              <w:right w:val="single" w:sz="4" w:space="0" w:color="auto"/>
            </w:tcBorders>
            <w:noWrap/>
            <w:vAlign w:val="bottom"/>
            <w:hideMark/>
          </w:tcPr>
          <w:p w14:paraId="5B05141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21.99</w:t>
            </w:r>
          </w:p>
        </w:tc>
        <w:tc>
          <w:tcPr>
            <w:tcW w:w="0" w:type="auto"/>
            <w:tcBorders>
              <w:top w:val="nil"/>
              <w:left w:val="nil"/>
              <w:bottom w:val="single" w:sz="4" w:space="0" w:color="auto"/>
              <w:right w:val="single" w:sz="4" w:space="0" w:color="auto"/>
            </w:tcBorders>
            <w:noWrap/>
            <w:vAlign w:val="bottom"/>
            <w:hideMark/>
          </w:tcPr>
          <w:p w14:paraId="6CE19A7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41.89</w:t>
            </w:r>
          </w:p>
        </w:tc>
      </w:tr>
      <w:tr w:rsidR="00294854" w:rsidRPr="004869B8" w14:paraId="1912335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972BD8D" w14:textId="77777777" w:rsidR="00294854" w:rsidRPr="004869B8" w:rsidRDefault="00294854" w:rsidP="00D0174E">
            <w:pPr>
              <w:spacing w:after="0" w:line="240" w:lineRule="auto"/>
              <w:rPr>
                <w:rFonts w:ascii="Arial" w:hAnsi="Arial" w:cs="Arial"/>
                <w:b/>
                <w:bCs/>
                <w:color w:val="000000"/>
                <w:kern w:val="0"/>
                <w:sz w:val="20"/>
                <w:szCs w:val="20"/>
              </w:rPr>
            </w:pPr>
            <w:r w:rsidRPr="004869B8">
              <w:rPr>
                <w:rFonts w:ascii="Arial" w:hAnsi="Arial" w:cs="Arial"/>
                <w:b/>
                <w:bCs/>
                <w:color w:val="000000"/>
                <w:kern w:val="0"/>
                <w:sz w:val="20"/>
                <w:szCs w:val="20"/>
              </w:rPr>
              <w:lastRenderedPageBreak/>
              <w:t>BS</w:t>
            </w:r>
          </w:p>
        </w:tc>
        <w:tc>
          <w:tcPr>
            <w:tcW w:w="0" w:type="auto"/>
            <w:tcBorders>
              <w:top w:val="nil"/>
              <w:left w:val="nil"/>
              <w:bottom w:val="single" w:sz="4" w:space="0" w:color="auto"/>
              <w:right w:val="single" w:sz="4" w:space="0" w:color="auto"/>
            </w:tcBorders>
            <w:noWrap/>
            <w:vAlign w:val="bottom"/>
            <w:hideMark/>
          </w:tcPr>
          <w:p w14:paraId="61DE8D3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31DC12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8.10</w:t>
            </w:r>
          </w:p>
        </w:tc>
        <w:tc>
          <w:tcPr>
            <w:tcW w:w="0" w:type="auto"/>
            <w:tcBorders>
              <w:top w:val="nil"/>
              <w:left w:val="nil"/>
              <w:bottom w:val="single" w:sz="4" w:space="0" w:color="auto"/>
              <w:right w:val="single" w:sz="4" w:space="0" w:color="auto"/>
            </w:tcBorders>
            <w:noWrap/>
            <w:vAlign w:val="bottom"/>
            <w:hideMark/>
          </w:tcPr>
          <w:p w14:paraId="62CF04C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4.73</w:t>
            </w:r>
          </w:p>
        </w:tc>
        <w:tc>
          <w:tcPr>
            <w:tcW w:w="0" w:type="auto"/>
            <w:tcBorders>
              <w:top w:val="nil"/>
              <w:left w:val="nil"/>
              <w:bottom w:val="single" w:sz="4" w:space="0" w:color="auto"/>
              <w:right w:val="single" w:sz="4" w:space="0" w:color="auto"/>
            </w:tcBorders>
            <w:noWrap/>
            <w:vAlign w:val="bottom"/>
            <w:hideMark/>
          </w:tcPr>
          <w:p w14:paraId="3AF7621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93.83</w:t>
            </w:r>
          </w:p>
        </w:tc>
        <w:tc>
          <w:tcPr>
            <w:tcW w:w="0" w:type="auto"/>
            <w:tcBorders>
              <w:top w:val="nil"/>
              <w:left w:val="nil"/>
              <w:bottom w:val="single" w:sz="4" w:space="0" w:color="auto"/>
              <w:right w:val="single" w:sz="4" w:space="0" w:color="auto"/>
            </w:tcBorders>
            <w:noWrap/>
            <w:vAlign w:val="bottom"/>
            <w:hideMark/>
          </w:tcPr>
          <w:p w14:paraId="3F7A18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11.48</w:t>
            </w:r>
          </w:p>
        </w:tc>
        <w:tc>
          <w:tcPr>
            <w:tcW w:w="0" w:type="auto"/>
            <w:tcBorders>
              <w:top w:val="nil"/>
              <w:left w:val="nil"/>
              <w:bottom w:val="single" w:sz="4" w:space="0" w:color="auto"/>
              <w:right w:val="single" w:sz="4" w:space="0" w:color="auto"/>
            </w:tcBorders>
            <w:noWrap/>
            <w:vAlign w:val="bottom"/>
            <w:hideMark/>
          </w:tcPr>
          <w:p w14:paraId="49FFE15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32.66</w:t>
            </w:r>
          </w:p>
        </w:tc>
        <w:tc>
          <w:tcPr>
            <w:tcW w:w="0" w:type="auto"/>
            <w:tcBorders>
              <w:top w:val="nil"/>
              <w:left w:val="nil"/>
              <w:bottom w:val="single" w:sz="4" w:space="0" w:color="auto"/>
              <w:right w:val="single" w:sz="4" w:space="0" w:color="auto"/>
            </w:tcBorders>
            <w:noWrap/>
            <w:vAlign w:val="bottom"/>
            <w:hideMark/>
          </w:tcPr>
          <w:p w14:paraId="78751EB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31.64</w:t>
            </w:r>
          </w:p>
        </w:tc>
        <w:tc>
          <w:tcPr>
            <w:tcW w:w="0" w:type="auto"/>
            <w:tcBorders>
              <w:top w:val="nil"/>
              <w:left w:val="nil"/>
              <w:bottom w:val="single" w:sz="4" w:space="0" w:color="auto"/>
              <w:right w:val="single" w:sz="4" w:space="0" w:color="auto"/>
            </w:tcBorders>
            <w:noWrap/>
            <w:vAlign w:val="bottom"/>
            <w:hideMark/>
          </w:tcPr>
          <w:p w14:paraId="40278D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2.99</w:t>
            </w:r>
          </w:p>
        </w:tc>
        <w:tc>
          <w:tcPr>
            <w:tcW w:w="0" w:type="auto"/>
            <w:tcBorders>
              <w:top w:val="nil"/>
              <w:left w:val="nil"/>
              <w:bottom w:val="single" w:sz="4" w:space="0" w:color="auto"/>
              <w:right w:val="single" w:sz="4" w:space="0" w:color="auto"/>
            </w:tcBorders>
            <w:noWrap/>
            <w:vAlign w:val="bottom"/>
            <w:hideMark/>
          </w:tcPr>
          <w:p w14:paraId="485FAA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63.22</w:t>
            </w:r>
          </w:p>
        </w:tc>
      </w:tr>
    </w:tbl>
    <w:p w14:paraId="6A49246A" w14:textId="77777777" w:rsidR="00294854" w:rsidRPr="004869B8" w:rsidRDefault="00294854" w:rsidP="00294854">
      <w:pPr>
        <w:spacing w:line="240" w:lineRule="auto"/>
        <w:rPr>
          <w:rFonts w:ascii="Arial" w:hAnsi="Arial" w:cs="Arial"/>
          <w:sz w:val="20"/>
          <w:szCs w:val="20"/>
        </w:rPr>
      </w:pPr>
    </w:p>
    <w:tbl>
      <w:tblPr>
        <w:tblW w:w="0" w:type="auto"/>
        <w:jc w:val="center"/>
        <w:tblLook w:val="04A0" w:firstRow="1" w:lastRow="0" w:firstColumn="1" w:lastColumn="0" w:noHBand="0" w:noVBand="1"/>
      </w:tblPr>
      <w:tblGrid>
        <w:gridCol w:w="1061"/>
        <w:gridCol w:w="717"/>
        <w:gridCol w:w="828"/>
        <w:gridCol w:w="828"/>
        <w:gridCol w:w="728"/>
        <w:gridCol w:w="861"/>
        <w:gridCol w:w="994"/>
        <w:gridCol w:w="1016"/>
        <w:gridCol w:w="717"/>
        <w:gridCol w:w="717"/>
      </w:tblGrid>
      <w:tr w:rsidR="00294854" w:rsidRPr="004869B8" w14:paraId="676A4916" w14:textId="77777777" w:rsidTr="00D0174E">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306E81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POOLED</w:t>
            </w:r>
          </w:p>
        </w:tc>
        <w:tc>
          <w:tcPr>
            <w:tcW w:w="0" w:type="auto"/>
            <w:gridSpan w:val="2"/>
            <w:tcBorders>
              <w:top w:val="single" w:sz="4" w:space="0" w:color="auto"/>
              <w:left w:val="nil"/>
              <w:bottom w:val="single" w:sz="4" w:space="0" w:color="auto"/>
              <w:right w:val="single" w:sz="4" w:space="0" w:color="auto"/>
            </w:tcBorders>
            <w:noWrap/>
            <w:vAlign w:val="bottom"/>
            <w:hideMark/>
          </w:tcPr>
          <w:p w14:paraId="0B02EF03"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RANGE</w:t>
            </w:r>
          </w:p>
        </w:tc>
        <w:tc>
          <w:tcPr>
            <w:tcW w:w="0" w:type="auto"/>
            <w:tcBorders>
              <w:top w:val="single" w:sz="4" w:space="0" w:color="auto"/>
              <w:left w:val="nil"/>
              <w:bottom w:val="single" w:sz="4" w:space="0" w:color="auto"/>
              <w:right w:val="single" w:sz="4" w:space="0" w:color="auto"/>
            </w:tcBorders>
            <w:noWrap/>
            <w:vAlign w:val="bottom"/>
            <w:hideMark/>
          </w:tcPr>
          <w:p w14:paraId="0A97F719"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02EF259F"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B82E655"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57CB0CBE"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23B4B8E8"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672654A0" w14:textId="77777777" w:rsidR="00294854" w:rsidRPr="004869B8" w:rsidRDefault="00294854" w:rsidP="00D0174E">
            <w:pPr>
              <w:spacing w:after="0" w:line="240" w:lineRule="auto"/>
              <w:jc w:val="center"/>
              <w:rPr>
                <w:rFonts w:ascii="Arial" w:hAnsi="Arial" w:cs="Arial"/>
                <w:b/>
                <w:bCs/>
                <w:color w:val="000000"/>
                <w:kern w:val="0"/>
                <w:sz w:val="20"/>
                <w:szCs w:val="20"/>
              </w:rPr>
            </w:pPr>
          </w:p>
        </w:tc>
        <w:tc>
          <w:tcPr>
            <w:tcW w:w="0" w:type="auto"/>
            <w:tcBorders>
              <w:top w:val="single" w:sz="4" w:space="0" w:color="auto"/>
              <w:left w:val="nil"/>
              <w:bottom w:val="single" w:sz="4" w:space="0" w:color="auto"/>
              <w:right w:val="single" w:sz="4" w:space="0" w:color="auto"/>
            </w:tcBorders>
            <w:noWrap/>
            <w:vAlign w:val="bottom"/>
            <w:hideMark/>
          </w:tcPr>
          <w:p w14:paraId="44896EBE" w14:textId="77777777" w:rsidR="00294854" w:rsidRPr="004869B8" w:rsidRDefault="00294854" w:rsidP="00D0174E">
            <w:pPr>
              <w:spacing w:after="0" w:line="240" w:lineRule="auto"/>
              <w:jc w:val="center"/>
              <w:rPr>
                <w:rFonts w:ascii="Arial" w:hAnsi="Arial" w:cs="Arial"/>
                <w:b/>
                <w:bCs/>
                <w:color w:val="000000"/>
                <w:kern w:val="0"/>
                <w:sz w:val="20"/>
                <w:szCs w:val="20"/>
              </w:rPr>
            </w:pPr>
          </w:p>
        </w:tc>
      </w:tr>
      <w:tr w:rsidR="00294854" w:rsidRPr="004869B8" w14:paraId="4A04533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7382B79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TRAIT</w:t>
            </w:r>
          </w:p>
        </w:tc>
        <w:tc>
          <w:tcPr>
            <w:tcW w:w="0" w:type="auto"/>
            <w:tcBorders>
              <w:top w:val="nil"/>
              <w:left w:val="nil"/>
              <w:bottom w:val="single" w:sz="4" w:space="0" w:color="auto"/>
              <w:right w:val="single" w:sz="4" w:space="0" w:color="auto"/>
            </w:tcBorders>
            <w:noWrap/>
            <w:vAlign w:val="bottom"/>
            <w:hideMark/>
          </w:tcPr>
          <w:p w14:paraId="78C92910"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MIN</w:t>
            </w:r>
          </w:p>
        </w:tc>
        <w:tc>
          <w:tcPr>
            <w:tcW w:w="0" w:type="auto"/>
            <w:tcBorders>
              <w:top w:val="nil"/>
              <w:left w:val="nil"/>
              <w:bottom w:val="single" w:sz="4" w:space="0" w:color="auto"/>
              <w:right w:val="single" w:sz="4" w:space="0" w:color="auto"/>
            </w:tcBorders>
            <w:noWrap/>
            <w:vAlign w:val="bottom"/>
            <w:hideMark/>
          </w:tcPr>
          <w:p w14:paraId="58394086"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MAX</w:t>
            </w:r>
          </w:p>
        </w:tc>
        <w:tc>
          <w:tcPr>
            <w:tcW w:w="0" w:type="auto"/>
            <w:tcBorders>
              <w:top w:val="nil"/>
              <w:left w:val="nil"/>
              <w:bottom w:val="single" w:sz="4" w:space="0" w:color="auto"/>
              <w:right w:val="single" w:sz="4" w:space="0" w:color="auto"/>
            </w:tcBorders>
            <w:noWrap/>
            <w:vAlign w:val="bottom"/>
            <w:hideMark/>
          </w:tcPr>
          <w:p w14:paraId="276D3C4F"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MEAN</w:t>
            </w:r>
          </w:p>
        </w:tc>
        <w:tc>
          <w:tcPr>
            <w:tcW w:w="0" w:type="auto"/>
            <w:tcBorders>
              <w:top w:val="nil"/>
              <w:left w:val="nil"/>
              <w:bottom w:val="single" w:sz="4" w:space="0" w:color="auto"/>
              <w:right w:val="single" w:sz="4" w:space="0" w:color="auto"/>
            </w:tcBorders>
            <w:noWrap/>
            <w:vAlign w:val="bottom"/>
            <w:hideMark/>
          </w:tcPr>
          <w:p w14:paraId="24AF5E32"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H (%)</w:t>
            </w:r>
          </w:p>
        </w:tc>
        <w:tc>
          <w:tcPr>
            <w:tcW w:w="0" w:type="auto"/>
            <w:tcBorders>
              <w:top w:val="nil"/>
              <w:left w:val="nil"/>
              <w:bottom w:val="single" w:sz="4" w:space="0" w:color="auto"/>
              <w:right w:val="single" w:sz="4" w:space="0" w:color="auto"/>
            </w:tcBorders>
            <w:noWrap/>
            <w:vAlign w:val="bottom"/>
            <w:hideMark/>
          </w:tcPr>
          <w:p w14:paraId="76BD602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CV (%)</w:t>
            </w:r>
          </w:p>
        </w:tc>
        <w:tc>
          <w:tcPr>
            <w:tcW w:w="0" w:type="auto"/>
            <w:tcBorders>
              <w:top w:val="nil"/>
              <w:left w:val="nil"/>
              <w:bottom w:val="single" w:sz="4" w:space="0" w:color="auto"/>
              <w:right w:val="single" w:sz="4" w:space="0" w:color="auto"/>
            </w:tcBorders>
            <w:noWrap/>
            <w:vAlign w:val="bottom"/>
            <w:hideMark/>
          </w:tcPr>
          <w:p w14:paraId="5A1FB181"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PCV (%)</w:t>
            </w:r>
          </w:p>
        </w:tc>
        <w:tc>
          <w:tcPr>
            <w:tcW w:w="0" w:type="auto"/>
            <w:tcBorders>
              <w:top w:val="nil"/>
              <w:left w:val="nil"/>
              <w:bottom w:val="single" w:sz="4" w:space="0" w:color="auto"/>
              <w:right w:val="single" w:sz="4" w:space="0" w:color="auto"/>
            </w:tcBorders>
            <w:noWrap/>
            <w:vAlign w:val="bottom"/>
            <w:hideMark/>
          </w:tcPr>
          <w:p w14:paraId="0CE9982E"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GCV (%)</w:t>
            </w:r>
          </w:p>
        </w:tc>
        <w:tc>
          <w:tcPr>
            <w:tcW w:w="0" w:type="auto"/>
            <w:tcBorders>
              <w:top w:val="nil"/>
              <w:left w:val="nil"/>
              <w:bottom w:val="single" w:sz="4" w:space="0" w:color="auto"/>
              <w:right w:val="single" w:sz="4" w:space="0" w:color="auto"/>
            </w:tcBorders>
            <w:noWrap/>
            <w:vAlign w:val="bottom"/>
            <w:hideMark/>
          </w:tcPr>
          <w:p w14:paraId="787FC8EA"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w:t>
            </w:r>
          </w:p>
        </w:tc>
        <w:tc>
          <w:tcPr>
            <w:tcW w:w="0" w:type="auto"/>
            <w:tcBorders>
              <w:top w:val="nil"/>
              <w:left w:val="nil"/>
              <w:bottom w:val="single" w:sz="4" w:space="0" w:color="auto"/>
              <w:right w:val="single" w:sz="4" w:space="0" w:color="auto"/>
            </w:tcBorders>
            <w:noWrap/>
            <w:vAlign w:val="bottom"/>
            <w:hideMark/>
          </w:tcPr>
          <w:p w14:paraId="594BBFA7" w14:textId="77777777" w:rsidR="00294854" w:rsidRPr="004869B8" w:rsidRDefault="00294854" w:rsidP="00D0174E">
            <w:pPr>
              <w:spacing w:after="0" w:line="240" w:lineRule="auto"/>
              <w:jc w:val="center"/>
              <w:rPr>
                <w:rFonts w:ascii="Arial" w:hAnsi="Arial" w:cs="Arial"/>
                <w:b/>
                <w:bCs/>
                <w:color w:val="000000"/>
                <w:kern w:val="0"/>
                <w:sz w:val="20"/>
                <w:szCs w:val="20"/>
              </w:rPr>
            </w:pPr>
            <w:r w:rsidRPr="004869B8">
              <w:rPr>
                <w:rFonts w:ascii="Arial" w:hAnsi="Arial" w:cs="Arial"/>
                <w:b/>
                <w:bCs/>
                <w:color w:val="000000"/>
                <w:kern w:val="0"/>
                <w:sz w:val="20"/>
                <w:szCs w:val="20"/>
              </w:rPr>
              <w:t>GAM</w:t>
            </w:r>
          </w:p>
        </w:tc>
      </w:tr>
      <w:tr w:rsidR="00294854" w:rsidRPr="004869B8" w14:paraId="3F27A99D"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2FA48BE"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DFF</w:t>
            </w:r>
          </w:p>
        </w:tc>
        <w:tc>
          <w:tcPr>
            <w:tcW w:w="0" w:type="auto"/>
            <w:tcBorders>
              <w:top w:val="nil"/>
              <w:left w:val="nil"/>
              <w:bottom w:val="single" w:sz="4" w:space="0" w:color="auto"/>
              <w:right w:val="single" w:sz="4" w:space="0" w:color="auto"/>
            </w:tcBorders>
            <w:noWrap/>
            <w:vAlign w:val="bottom"/>
            <w:hideMark/>
          </w:tcPr>
          <w:p w14:paraId="76C564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37.50</w:t>
            </w:r>
          </w:p>
        </w:tc>
        <w:tc>
          <w:tcPr>
            <w:tcW w:w="0" w:type="auto"/>
            <w:tcBorders>
              <w:top w:val="nil"/>
              <w:left w:val="nil"/>
              <w:bottom w:val="single" w:sz="4" w:space="0" w:color="auto"/>
              <w:right w:val="single" w:sz="4" w:space="0" w:color="auto"/>
            </w:tcBorders>
            <w:noWrap/>
            <w:vAlign w:val="bottom"/>
            <w:hideMark/>
          </w:tcPr>
          <w:p w14:paraId="0DBFE7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54.25</w:t>
            </w:r>
          </w:p>
        </w:tc>
        <w:tc>
          <w:tcPr>
            <w:tcW w:w="0" w:type="auto"/>
            <w:tcBorders>
              <w:top w:val="nil"/>
              <w:left w:val="nil"/>
              <w:bottom w:val="single" w:sz="4" w:space="0" w:color="auto"/>
              <w:right w:val="single" w:sz="4" w:space="0" w:color="auto"/>
            </w:tcBorders>
            <w:noWrap/>
            <w:vAlign w:val="bottom"/>
            <w:hideMark/>
          </w:tcPr>
          <w:p w14:paraId="1629657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43.60</w:t>
            </w:r>
          </w:p>
        </w:tc>
        <w:tc>
          <w:tcPr>
            <w:tcW w:w="0" w:type="auto"/>
            <w:tcBorders>
              <w:top w:val="nil"/>
              <w:left w:val="nil"/>
              <w:bottom w:val="single" w:sz="4" w:space="0" w:color="auto"/>
              <w:right w:val="single" w:sz="4" w:space="0" w:color="auto"/>
            </w:tcBorders>
            <w:noWrap/>
            <w:vAlign w:val="bottom"/>
            <w:hideMark/>
          </w:tcPr>
          <w:p w14:paraId="4D268E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51.36</w:t>
            </w:r>
          </w:p>
        </w:tc>
        <w:tc>
          <w:tcPr>
            <w:tcW w:w="0" w:type="auto"/>
            <w:tcBorders>
              <w:top w:val="nil"/>
              <w:left w:val="nil"/>
              <w:bottom w:val="single" w:sz="4" w:space="0" w:color="auto"/>
              <w:right w:val="single" w:sz="4" w:space="0" w:color="auto"/>
            </w:tcBorders>
            <w:noWrap/>
            <w:vAlign w:val="bottom"/>
            <w:hideMark/>
          </w:tcPr>
          <w:p w14:paraId="5B33B42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3.37</w:t>
            </w:r>
          </w:p>
        </w:tc>
        <w:tc>
          <w:tcPr>
            <w:tcW w:w="0" w:type="auto"/>
            <w:tcBorders>
              <w:top w:val="nil"/>
              <w:left w:val="nil"/>
              <w:bottom w:val="single" w:sz="4" w:space="0" w:color="auto"/>
              <w:right w:val="single" w:sz="4" w:space="0" w:color="auto"/>
            </w:tcBorders>
            <w:noWrap/>
            <w:vAlign w:val="bottom"/>
            <w:hideMark/>
          </w:tcPr>
          <w:p w14:paraId="69934F5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6.59</w:t>
            </w:r>
          </w:p>
        </w:tc>
        <w:tc>
          <w:tcPr>
            <w:tcW w:w="0" w:type="auto"/>
            <w:tcBorders>
              <w:top w:val="nil"/>
              <w:left w:val="nil"/>
              <w:bottom w:val="single" w:sz="4" w:space="0" w:color="auto"/>
              <w:right w:val="single" w:sz="4" w:space="0" w:color="auto"/>
            </w:tcBorders>
            <w:noWrap/>
            <w:vAlign w:val="bottom"/>
            <w:hideMark/>
          </w:tcPr>
          <w:p w14:paraId="5357197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4.72</w:t>
            </w:r>
          </w:p>
        </w:tc>
        <w:tc>
          <w:tcPr>
            <w:tcW w:w="0" w:type="auto"/>
            <w:tcBorders>
              <w:top w:val="nil"/>
              <w:left w:val="nil"/>
              <w:bottom w:val="single" w:sz="4" w:space="0" w:color="auto"/>
              <w:right w:val="single" w:sz="4" w:space="0" w:color="auto"/>
            </w:tcBorders>
            <w:noWrap/>
            <w:vAlign w:val="bottom"/>
            <w:hideMark/>
          </w:tcPr>
          <w:p w14:paraId="4F78BCC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3.04</w:t>
            </w:r>
          </w:p>
        </w:tc>
        <w:tc>
          <w:tcPr>
            <w:tcW w:w="0" w:type="auto"/>
            <w:tcBorders>
              <w:top w:val="nil"/>
              <w:left w:val="nil"/>
              <w:bottom w:val="single" w:sz="4" w:space="0" w:color="auto"/>
              <w:right w:val="single" w:sz="4" w:space="0" w:color="auto"/>
            </w:tcBorders>
            <w:noWrap/>
            <w:vAlign w:val="bottom"/>
            <w:hideMark/>
          </w:tcPr>
          <w:p w14:paraId="65EFE4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6.98</w:t>
            </w:r>
          </w:p>
        </w:tc>
      </w:tr>
      <w:tr w:rsidR="00294854" w:rsidRPr="004869B8" w14:paraId="5F93AEB9"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6FA2BC48"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DM</w:t>
            </w:r>
          </w:p>
        </w:tc>
        <w:tc>
          <w:tcPr>
            <w:tcW w:w="0" w:type="auto"/>
            <w:tcBorders>
              <w:top w:val="nil"/>
              <w:left w:val="nil"/>
              <w:bottom w:val="single" w:sz="4" w:space="0" w:color="auto"/>
              <w:right w:val="single" w:sz="4" w:space="0" w:color="auto"/>
            </w:tcBorders>
            <w:noWrap/>
            <w:vAlign w:val="bottom"/>
            <w:hideMark/>
          </w:tcPr>
          <w:p w14:paraId="511E049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58.75</w:t>
            </w:r>
          </w:p>
        </w:tc>
        <w:tc>
          <w:tcPr>
            <w:tcW w:w="0" w:type="auto"/>
            <w:tcBorders>
              <w:top w:val="nil"/>
              <w:left w:val="nil"/>
              <w:bottom w:val="single" w:sz="4" w:space="0" w:color="auto"/>
              <w:right w:val="single" w:sz="4" w:space="0" w:color="auto"/>
            </w:tcBorders>
            <w:noWrap/>
            <w:vAlign w:val="bottom"/>
            <w:hideMark/>
          </w:tcPr>
          <w:p w14:paraId="07A357E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78.75</w:t>
            </w:r>
          </w:p>
        </w:tc>
        <w:tc>
          <w:tcPr>
            <w:tcW w:w="0" w:type="auto"/>
            <w:tcBorders>
              <w:top w:val="nil"/>
              <w:left w:val="nil"/>
              <w:bottom w:val="single" w:sz="4" w:space="0" w:color="auto"/>
              <w:right w:val="single" w:sz="4" w:space="0" w:color="auto"/>
            </w:tcBorders>
            <w:noWrap/>
            <w:vAlign w:val="bottom"/>
            <w:hideMark/>
          </w:tcPr>
          <w:p w14:paraId="206FBE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65.91</w:t>
            </w:r>
          </w:p>
        </w:tc>
        <w:tc>
          <w:tcPr>
            <w:tcW w:w="0" w:type="auto"/>
            <w:tcBorders>
              <w:top w:val="nil"/>
              <w:left w:val="nil"/>
              <w:bottom w:val="single" w:sz="4" w:space="0" w:color="auto"/>
              <w:right w:val="single" w:sz="4" w:space="0" w:color="auto"/>
            </w:tcBorders>
            <w:noWrap/>
            <w:vAlign w:val="bottom"/>
            <w:hideMark/>
          </w:tcPr>
          <w:p w14:paraId="79F61F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26.28</w:t>
            </w:r>
          </w:p>
        </w:tc>
        <w:tc>
          <w:tcPr>
            <w:tcW w:w="0" w:type="auto"/>
            <w:tcBorders>
              <w:top w:val="nil"/>
              <w:left w:val="nil"/>
              <w:bottom w:val="single" w:sz="4" w:space="0" w:color="auto"/>
              <w:right w:val="single" w:sz="4" w:space="0" w:color="auto"/>
            </w:tcBorders>
            <w:noWrap/>
            <w:vAlign w:val="bottom"/>
            <w:hideMark/>
          </w:tcPr>
          <w:p w14:paraId="7214D1C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2.97</w:t>
            </w:r>
          </w:p>
        </w:tc>
        <w:tc>
          <w:tcPr>
            <w:tcW w:w="0" w:type="auto"/>
            <w:tcBorders>
              <w:top w:val="nil"/>
              <w:left w:val="nil"/>
              <w:bottom w:val="single" w:sz="4" w:space="0" w:color="auto"/>
              <w:right w:val="single" w:sz="4" w:space="0" w:color="auto"/>
            </w:tcBorders>
            <w:noWrap/>
            <w:vAlign w:val="bottom"/>
            <w:hideMark/>
          </w:tcPr>
          <w:p w14:paraId="23BFF61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4.68</w:t>
            </w:r>
          </w:p>
        </w:tc>
        <w:tc>
          <w:tcPr>
            <w:tcW w:w="0" w:type="auto"/>
            <w:tcBorders>
              <w:top w:val="nil"/>
              <w:left w:val="nil"/>
              <w:bottom w:val="single" w:sz="4" w:space="0" w:color="auto"/>
              <w:right w:val="single" w:sz="4" w:space="0" w:color="auto"/>
            </w:tcBorders>
            <w:noWrap/>
            <w:vAlign w:val="bottom"/>
            <w:hideMark/>
          </w:tcPr>
          <w:p w14:paraId="1650988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2.40</w:t>
            </w:r>
          </w:p>
        </w:tc>
        <w:tc>
          <w:tcPr>
            <w:tcW w:w="0" w:type="auto"/>
            <w:tcBorders>
              <w:top w:val="nil"/>
              <w:left w:val="nil"/>
              <w:bottom w:val="single" w:sz="4" w:space="0" w:color="auto"/>
              <w:right w:val="single" w:sz="4" w:space="0" w:color="auto"/>
            </w:tcBorders>
            <w:noWrap/>
            <w:vAlign w:val="bottom"/>
            <w:hideMark/>
          </w:tcPr>
          <w:p w14:paraId="2CF7B0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1.67</w:t>
            </w:r>
          </w:p>
        </w:tc>
        <w:tc>
          <w:tcPr>
            <w:tcW w:w="0" w:type="auto"/>
            <w:tcBorders>
              <w:top w:val="nil"/>
              <w:left w:val="nil"/>
              <w:bottom w:val="single" w:sz="4" w:space="0" w:color="auto"/>
              <w:right w:val="single" w:sz="4" w:space="0" w:color="auto"/>
            </w:tcBorders>
            <w:noWrap/>
            <w:vAlign w:val="bottom"/>
            <w:hideMark/>
          </w:tcPr>
          <w:p w14:paraId="353579F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2.54</w:t>
            </w:r>
          </w:p>
        </w:tc>
      </w:tr>
      <w:tr w:rsidR="00294854" w:rsidRPr="004869B8" w14:paraId="655689D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FA2D46F"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PS</w:t>
            </w:r>
          </w:p>
        </w:tc>
        <w:tc>
          <w:tcPr>
            <w:tcW w:w="0" w:type="auto"/>
            <w:tcBorders>
              <w:top w:val="nil"/>
              <w:left w:val="nil"/>
              <w:bottom w:val="single" w:sz="4" w:space="0" w:color="auto"/>
              <w:right w:val="single" w:sz="4" w:space="0" w:color="auto"/>
            </w:tcBorders>
            <w:noWrap/>
            <w:vAlign w:val="bottom"/>
            <w:hideMark/>
          </w:tcPr>
          <w:p w14:paraId="64BC8F5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6.50</w:t>
            </w:r>
          </w:p>
        </w:tc>
        <w:tc>
          <w:tcPr>
            <w:tcW w:w="0" w:type="auto"/>
            <w:tcBorders>
              <w:top w:val="nil"/>
              <w:left w:val="nil"/>
              <w:bottom w:val="single" w:sz="4" w:space="0" w:color="auto"/>
              <w:right w:val="single" w:sz="4" w:space="0" w:color="auto"/>
            </w:tcBorders>
            <w:noWrap/>
            <w:vAlign w:val="bottom"/>
            <w:hideMark/>
          </w:tcPr>
          <w:p w14:paraId="30D522A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15.50</w:t>
            </w:r>
          </w:p>
        </w:tc>
        <w:tc>
          <w:tcPr>
            <w:tcW w:w="0" w:type="auto"/>
            <w:tcBorders>
              <w:top w:val="nil"/>
              <w:left w:val="nil"/>
              <w:bottom w:val="single" w:sz="4" w:space="0" w:color="auto"/>
              <w:right w:val="single" w:sz="4" w:space="0" w:color="auto"/>
            </w:tcBorders>
            <w:noWrap/>
            <w:vAlign w:val="bottom"/>
            <w:hideMark/>
          </w:tcPr>
          <w:p w14:paraId="7BA027A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10.96</w:t>
            </w:r>
          </w:p>
        </w:tc>
        <w:tc>
          <w:tcPr>
            <w:tcW w:w="0" w:type="auto"/>
            <w:tcBorders>
              <w:top w:val="nil"/>
              <w:left w:val="nil"/>
              <w:bottom w:val="single" w:sz="4" w:space="0" w:color="auto"/>
              <w:right w:val="single" w:sz="4" w:space="0" w:color="auto"/>
            </w:tcBorders>
            <w:noWrap/>
            <w:vAlign w:val="bottom"/>
            <w:hideMark/>
          </w:tcPr>
          <w:p w14:paraId="4A1E259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15.14</w:t>
            </w:r>
          </w:p>
        </w:tc>
        <w:tc>
          <w:tcPr>
            <w:tcW w:w="0" w:type="auto"/>
            <w:tcBorders>
              <w:top w:val="nil"/>
              <w:left w:val="nil"/>
              <w:bottom w:val="single" w:sz="4" w:space="0" w:color="auto"/>
              <w:right w:val="single" w:sz="4" w:space="0" w:color="auto"/>
            </w:tcBorders>
            <w:noWrap/>
            <w:vAlign w:val="bottom"/>
            <w:hideMark/>
          </w:tcPr>
          <w:p w14:paraId="01949EF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26.73</w:t>
            </w:r>
          </w:p>
        </w:tc>
        <w:tc>
          <w:tcPr>
            <w:tcW w:w="0" w:type="auto"/>
            <w:tcBorders>
              <w:top w:val="nil"/>
              <w:left w:val="nil"/>
              <w:bottom w:val="single" w:sz="4" w:space="0" w:color="auto"/>
              <w:right w:val="single" w:sz="4" w:space="0" w:color="auto"/>
            </w:tcBorders>
            <w:noWrap/>
            <w:vAlign w:val="bottom"/>
            <w:hideMark/>
          </w:tcPr>
          <w:p w14:paraId="3DA361C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16.56</w:t>
            </w:r>
          </w:p>
        </w:tc>
        <w:tc>
          <w:tcPr>
            <w:tcW w:w="0" w:type="auto"/>
            <w:tcBorders>
              <w:top w:val="nil"/>
              <w:left w:val="nil"/>
              <w:bottom w:val="single" w:sz="4" w:space="0" w:color="auto"/>
              <w:right w:val="single" w:sz="4" w:space="0" w:color="auto"/>
            </w:tcBorders>
            <w:noWrap/>
            <w:vAlign w:val="bottom"/>
            <w:hideMark/>
          </w:tcPr>
          <w:p w14:paraId="3FEA759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6.44</w:t>
            </w:r>
          </w:p>
        </w:tc>
        <w:tc>
          <w:tcPr>
            <w:tcW w:w="0" w:type="auto"/>
            <w:tcBorders>
              <w:top w:val="nil"/>
              <w:left w:val="nil"/>
              <w:bottom w:val="single" w:sz="4" w:space="0" w:color="auto"/>
              <w:right w:val="single" w:sz="4" w:space="0" w:color="auto"/>
            </w:tcBorders>
            <w:noWrap/>
            <w:vAlign w:val="bottom"/>
            <w:hideMark/>
          </w:tcPr>
          <w:p w14:paraId="20AE21E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0.57</w:t>
            </w:r>
          </w:p>
        </w:tc>
        <w:tc>
          <w:tcPr>
            <w:tcW w:w="0" w:type="auto"/>
            <w:tcBorders>
              <w:top w:val="nil"/>
              <w:left w:val="nil"/>
              <w:bottom w:val="single" w:sz="4" w:space="0" w:color="auto"/>
              <w:right w:val="single" w:sz="4" w:space="0" w:color="auto"/>
            </w:tcBorders>
            <w:noWrap/>
            <w:vAlign w:val="bottom"/>
            <w:hideMark/>
          </w:tcPr>
          <w:p w14:paraId="5357AB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5.17</w:t>
            </w:r>
          </w:p>
        </w:tc>
      </w:tr>
      <w:tr w:rsidR="00294854" w:rsidRPr="004869B8" w14:paraId="664F54A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43F3FD7D"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PH (cm)</w:t>
            </w:r>
          </w:p>
        </w:tc>
        <w:tc>
          <w:tcPr>
            <w:tcW w:w="0" w:type="auto"/>
            <w:tcBorders>
              <w:top w:val="nil"/>
              <w:left w:val="nil"/>
              <w:bottom w:val="single" w:sz="4" w:space="0" w:color="auto"/>
              <w:right w:val="single" w:sz="4" w:space="0" w:color="auto"/>
            </w:tcBorders>
            <w:noWrap/>
            <w:vAlign w:val="bottom"/>
            <w:hideMark/>
          </w:tcPr>
          <w:p w14:paraId="0250773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70.75</w:t>
            </w:r>
          </w:p>
        </w:tc>
        <w:tc>
          <w:tcPr>
            <w:tcW w:w="0" w:type="auto"/>
            <w:tcBorders>
              <w:top w:val="nil"/>
              <w:left w:val="nil"/>
              <w:bottom w:val="single" w:sz="4" w:space="0" w:color="auto"/>
              <w:right w:val="single" w:sz="4" w:space="0" w:color="auto"/>
            </w:tcBorders>
            <w:noWrap/>
            <w:vAlign w:val="bottom"/>
            <w:hideMark/>
          </w:tcPr>
          <w:p w14:paraId="63F9FB1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156.50</w:t>
            </w:r>
          </w:p>
        </w:tc>
        <w:tc>
          <w:tcPr>
            <w:tcW w:w="0" w:type="auto"/>
            <w:tcBorders>
              <w:top w:val="nil"/>
              <w:left w:val="nil"/>
              <w:bottom w:val="single" w:sz="4" w:space="0" w:color="auto"/>
              <w:right w:val="single" w:sz="4" w:space="0" w:color="auto"/>
            </w:tcBorders>
            <w:noWrap/>
            <w:vAlign w:val="bottom"/>
            <w:hideMark/>
          </w:tcPr>
          <w:p w14:paraId="08220B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114.29</w:t>
            </w:r>
          </w:p>
        </w:tc>
        <w:tc>
          <w:tcPr>
            <w:tcW w:w="0" w:type="auto"/>
            <w:tcBorders>
              <w:top w:val="nil"/>
              <w:left w:val="nil"/>
              <w:bottom w:val="single" w:sz="4" w:space="0" w:color="auto"/>
              <w:right w:val="single" w:sz="4" w:space="0" w:color="auto"/>
            </w:tcBorders>
            <w:noWrap/>
            <w:vAlign w:val="bottom"/>
            <w:hideMark/>
          </w:tcPr>
          <w:p w14:paraId="1D1C56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92.30</w:t>
            </w:r>
          </w:p>
        </w:tc>
        <w:tc>
          <w:tcPr>
            <w:tcW w:w="0" w:type="auto"/>
            <w:tcBorders>
              <w:top w:val="nil"/>
              <w:left w:val="nil"/>
              <w:bottom w:val="single" w:sz="4" w:space="0" w:color="auto"/>
              <w:right w:val="single" w:sz="4" w:space="0" w:color="auto"/>
            </w:tcBorders>
            <w:noWrap/>
            <w:vAlign w:val="bottom"/>
            <w:hideMark/>
          </w:tcPr>
          <w:p w14:paraId="633A84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7.76</w:t>
            </w:r>
          </w:p>
        </w:tc>
        <w:tc>
          <w:tcPr>
            <w:tcW w:w="0" w:type="auto"/>
            <w:tcBorders>
              <w:top w:val="nil"/>
              <w:left w:val="nil"/>
              <w:bottom w:val="single" w:sz="4" w:space="0" w:color="auto"/>
              <w:right w:val="single" w:sz="4" w:space="0" w:color="auto"/>
            </w:tcBorders>
            <w:noWrap/>
            <w:vAlign w:val="bottom"/>
            <w:hideMark/>
          </w:tcPr>
          <w:p w14:paraId="56FC417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14.60</w:t>
            </w:r>
          </w:p>
        </w:tc>
        <w:tc>
          <w:tcPr>
            <w:tcW w:w="0" w:type="auto"/>
            <w:tcBorders>
              <w:top w:val="nil"/>
              <w:left w:val="nil"/>
              <w:bottom w:val="single" w:sz="4" w:space="0" w:color="auto"/>
              <w:right w:val="single" w:sz="4" w:space="0" w:color="auto"/>
            </w:tcBorders>
            <w:noWrap/>
            <w:vAlign w:val="bottom"/>
            <w:hideMark/>
          </w:tcPr>
          <w:p w14:paraId="2668FC3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14.03</w:t>
            </w:r>
          </w:p>
        </w:tc>
        <w:tc>
          <w:tcPr>
            <w:tcW w:w="0" w:type="auto"/>
            <w:tcBorders>
              <w:top w:val="nil"/>
              <w:left w:val="nil"/>
              <w:bottom w:val="single" w:sz="4" w:space="0" w:color="auto"/>
              <w:right w:val="single" w:sz="4" w:space="0" w:color="auto"/>
            </w:tcBorders>
            <w:noWrap/>
            <w:vAlign w:val="bottom"/>
            <w:hideMark/>
          </w:tcPr>
          <w:p w14:paraId="24A1102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31.77</w:t>
            </w:r>
          </w:p>
        </w:tc>
        <w:tc>
          <w:tcPr>
            <w:tcW w:w="0" w:type="auto"/>
            <w:tcBorders>
              <w:top w:val="nil"/>
              <w:left w:val="nil"/>
              <w:bottom w:val="single" w:sz="4" w:space="0" w:color="auto"/>
              <w:right w:val="single" w:sz="4" w:space="0" w:color="auto"/>
            </w:tcBorders>
            <w:noWrap/>
            <w:vAlign w:val="bottom"/>
            <w:hideMark/>
          </w:tcPr>
          <w:p w14:paraId="51F605F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27.80</w:t>
            </w:r>
          </w:p>
        </w:tc>
      </w:tr>
      <w:tr w:rsidR="00294854" w:rsidRPr="004869B8" w14:paraId="74723D03"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0C6F83E8"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NT</w:t>
            </w:r>
          </w:p>
        </w:tc>
        <w:tc>
          <w:tcPr>
            <w:tcW w:w="0" w:type="auto"/>
            <w:tcBorders>
              <w:top w:val="nil"/>
              <w:left w:val="nil"/>
              <w:bottom w:val="single" w:sz="4" w:space="0" w:color="auto"/>
              <w:right w:val="single" w:sz="4" w:space="0" w:color="auto"/>
            </w:tcBorders>
            <w:noWrap/>
            <w:vAlign w:val="bottom"/>
            <w:hideMark/>
          </w:tcPr>
          <w:p w14:paraId="2D240AB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1.75</w:t>
            </w:r>
          </w:p>
        </w:tc>
        <w:tc>
          <w:tcPr>
            <w:tcW w:w="0" w:type="auto"/>
            <w:tcBorders>
              <w:top w:val="nil"/>
              <w:left w:val="nil"/>
              <w:bottom w:val="single" w:sz="4" w:space="0" w:color="auto"/>
              <w:right w:val="single" w:sz="4" w:space="0" w:color="auto"/>
            </w:tcBorders>
            <w:noWrap/>
            <w:vAlign w:val="bottom"/>
            <w:hideMark/>
          </w:tcPr>
          <w:p w14:paraId="5ABBC12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6.20</w:t>
            </w:r>
          </w:p>
        </w:tc>
        <w:tc>
          <w:tcPr>
            <w:tcW w:w="0" w:type="auto"/>
            <w:tcBorders>
              <w:top w:val="nil"/>
              <w:left w:val="nil"/>
              <w:bottom w:val="single" w:sz="4" w:space="0" w:color="auto"/>
              <w:right w:val="single" w:sz="4" w:space="0" w:color="auto"/>
            </w:tcBorders>
            <w:noWrap/>
            <w:vAlign w:val="bottom"/>
            <w:hideMark/>
          </w:tcPr>
          <w:p w14:paraId="6FED071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3.64</w:t>
            </w:r>
          </w:p>
        </w:tc>
        <w:tc>
          <w:tcPr>
            <w:tcW w:w="0" w:type="auto"/>
            <w:tcBorders>
              <w:top w:val="nil"/>
              <w:left w:val="nil"/>
              <w:bottom w:val="single" w:sz="4" w:space="0" w:color="auto"/>
              <w:right w:val="single" w:sz="4" w:space="0" w:color="auto"/>
            </w:tcBorders>
            <w:noWrap/>
            <w:vAlign w:val="bottom"/>
            <w:hideMark/>
          </w:tcPr>
          <w:p w14:paraId="73362A7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65.84</w:t>
            </w:r>
          </w:p>
        </w:tc>
        <w:tc>
          <w:tcPr>
            <w:tcW w:w="0" w:type="auto"/>
            <w:tcBorders>
              <w:top w:val="nil"/>
              <w:left w:val="nil"/>
              <w:bottom w:val="single" w:sz="4" w:space="0" w:color="auto"/>
              <w:right w:val="single" w:sz="4" w:space="0" w:color="auto"/>
            </w:tcBorders>
            <w:noWrap/>
            <w:vAlign w:val="bottom"/>
            <w:hideMark/>
          </w:tcPr>
          <w:p w14:paraId="0006FB4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13.46</w:t>
            </w:r>
          </w:p>
        </w:tc>
        <w:tc>
          <w:tcPr>
            <w:tcW w:w="0" w:type="auto"/>
            <w:tcBorders>
              <w:top w:val="nil"/>
              <w:left w:val="nil"/>
              <w:bottom w:val="single" w:sz="4" w:space="0" w:color="auto"/>
              <w:right w:val="single" w:sz="4" w:space="0" w:color="auto"/>
            </w:tcBorders>
            <w:noWrap/>
            <w:vAlign w:val="bottom"/>
            <w:hideMark/>
          </w:tcPr>
          <w:p w14:paraId="26E3B9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19.20</w:t>
            </w:r>
          </w:p>
        </w:tc>
        <w:tc>
          <w:tcPr>
            <w:tcW w:w="0" w:type="auto"/>
            <w:tcBorders>
              <w:top w:val="nil"/>
              <w:left w:val="nil"/>
              <w:bottom w:val="single" w:sz="4" w:space="0" w:color="auto"/>
              <w:right w:val="single" w:sz="4" w:space="0" w:color="auto"/>
            </w:tcBorders>
            <w:noWrap/>
            <w:vAlign w:val="bottom"/>
            <w:hideMark/>
          </w:tcPr>
          <w:p w14:paraId="094F448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15.58</w:t>
            </w:r>
          </w:p>
        </w:tc>
        <w:tc>
          <w:tcPr>
            <w:tcW w:w="0" w:type="auto"/>
            <w:tcBorders>
              <w:top w:val="nil"/>
              <w:left w:val="nil"/>
              <w:bottom w:val="single" w:sz="4" w:space="0" w:color="auto"/>
              <w:right w:val="single" w:sz="4" w:space="0" w:color="auto"/>
            </w:tcBorders>
            <w:noWrap/>
            <w:vAlign w:val="bottom"/>
            <w:hideMark/>
          </w:tcPr>
          <w:p w14:paraId="4103DF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0.95</w:t>
            </w:r>
          </w:p>
        </w:tc>
        <w:tc>
          <w:tcPr>
            <w:tcW w:w="0" w:type="auto"/>
            <w:tcBorders>
              <w:top w:val="nil"/>
              <w:left w:val="nil"/>
              <w:bottom w:val="single" w:sz="4" w:space="0" w:color="auto"/>
              <w:right w:val="single" w:sz="4" w:space="0" w:color="auto"/>
            </w:tcBorders>
            <w:noWrap/>
            <w:vAlign w:val="bottom"/>
            <w:hideMark/>
          </w:tcPr>
          <w:p w14:paraId="4C9E6AC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26.08</w:t>
            </w:r>
          </w:p>
        </w:tc>
      </w:tr>
      <w:tr w:rsidR="00294854" w:rsidRPr="004869B8" w14:paraId="7422354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D9B803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NPT</w:t>
            </w:r>
          </w:p>
        </w:tc>
        <w:tc>
          <w:tcPr>
            <w:tcW w:w="0" w:type="auto"/>
            <w:tcBorders>
              <w:top w:val="nil"/>
              <w:left w:val="nil"/>
              <w:bottom w:val="single" w:sz="4" w:space="0" w:color="auto"/>
              <w:right w:val="single" w:sz="4" w:space="0" w:color="auto"/>
            </w:tcBorders>
            <w:noWrap/>
            <w:vAlign w:val="bottom"/>
            <w:hideMark/>
          </w:tcPr>
          <w:p w14:paraId="3191CB6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1.30</w:t>
            </w:r>
          </w:p>
        </w:tc>
        <w:tc>
          <w:tcPr>
            <w:tcW w:w="0" w:type="auto"/>
            <w:tcBorders>
              <w:top w:val="nil"/>
              <w:left w:val="nil"/>
              <w:bottom w:val="single" w:sz="4" w:space="0" w:color="auto"/>
              <w:right w:val="single" w:sz="4" w:space="0" w:color="auto"/>
            </w:tcBorders>
            <w:noWrap/>
            <w:vAlign w:val="bottom"/>
            <w:hideMark/>
          </w:tcPr>
          <w:p w14:paraId="413585C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5.72</w:t>
            </w:r>
          </w:p>
        </w:tc>
        <w:tc>
          <w:tcPr>
            <w:tcW w:w="0" w:type="auto"/>
            <w:tcBorders>
              <w:top w:val="nil"/>
              <w:left w:val="nil"/>
              <w:bottom w:val="single" w:sz="4" w:space="0" w:color="auto"/>
              <w:right w:val="single" w:sz="4" w:space="0" w:color="auto"/>
            </w:tcBorders>
            <w:noWrap/>
            <w:vAlign w:val="bottom"/>
            <w:hideMark/>
          </w:tcPr>
          <w:p w14:paraId="3D5965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2.84</w:t>
            </w:r>
          </w:p>
        </w:tc>
        <w:tc>
          <w:tcPr>
            <w:tcW w:w="0" w:type="auto"/>
            <w:tcBorders>
              <w:top w:val="nil"/>
              <w:left w:val="nil"/>
              <w:bottom w:val="single" w:sz="4" w:space="0" w:color="auto"/>
              <w:right w:val="single" w:sz="4" w:space="0" w:color="auto"/>
            </w:tcBorders>
            <w:noWrap/>
            <w:vAlign w:val="bottom"/>
            <w:hideMark/>
          </w:tcPr>
          <w:p w14:paraId="298599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71.15</w:t>
            </w:r>
          </w:p>
        </w:tc>
        <w:tc>
          <w:tcPr>
            <w:tcW w:w="0" w:type="auto"/>
            <w:tcBorders>
              <w:top w:val="nil"/>
              <w:left w:val="nil"/>
              <w:bottom w:val="single" w:sz="4" w:space="0" w:color="auto"/>
              <w:right w:val="single" w:sz="4" w:space="0" w:color="auto"/>
            </w:tcBorders>
            <w:noWrap/>
            <w:vAlign w:val="bottom"/>
            <w:hideMark/>
          </w:tcPr>
          <w:p w14:paraId="0560B88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25.06</w:t>
            </w:r>
          </w:p>
        </w:tc>
        <w:tc>
          <w:tcPr>
            <w:tcW w:w="0" w:type="auto"/>
            <w:tcBorders>
              <w:top w:val="nil"/>
              <w:left w:val="nil"/>
              <w:bottom w:val="single" w:sz="4" w:space="0" w:color="auto"/>
              <w:right w:val="single" w:sz="4" w:space="0" w:color="auto"/>
            </w:tcBorders>
            <w:noWrap/>
            <w:vAlign w:val="bottom"/>
            <w:hideMark/>
          </w:tcPr>
          <w:p w14:paraId="6A93C1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23.33</w:t>
            </w:r>
          </w:p>
        </w:tc>
        <w:tc>
          <w:tcPr>
            <w:tcW w:w="0" w:type="auto"/>
            <w:tcBorders>
              <w:top w:val="nil"/>
              <w:left w:val="nil"/>
              <w:bottom w:val="single" w:sz="4" w:space="0" w:color="auto"/>
              <w:right w:val="single" w:sz="4" w:space="0" w:color="auto"/>
            </w:tcBorders>
            <w:noWrap/>
            <w:vAlign w:val="bottom"/>
            <w:hideMark/>
          </w:tcPr>
          <w:p w14:paraId="4178D66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19.68</w:t>
            </w:r>
          </w:p>
        </w:tc>
        <w:tc>
          <w:tcPr>
            <w:tcW w:w="0" w:type="auto"/>
            <w:tcBorders>
              <w:top w:val="nil"/>
              <w:left w:val="nil"/>
              <w:bottom w:val="single" w:sz="4" w:space="0" w:color="auto"/>
              <w:right w:val="single" w:sz="4" w:space="0" w:color="auto"/>
            </w:tcBorders>
            <w:noWrap/>
            <w:vAlign w:val="bottom"/>
            <w:hideMark/>
          </w:tcPr>
          <w:p w14:paraId="53C5B96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0.97</w:t>
            </w:r>
          </w:p>
        </w:tc>
        <w:tc>
          <w:tcPr>
            <w:tcW w:w="0" w:type="auto"/>
            <w:tcBorders>
              <w:top w:val="nil"/>
              <w:left w:val="nil"/>
              <w:bottom w:val="single" w:sz="4" w:space="0" w:color="auto"/>
              <w:right w:val="single" w:sz="4" w:space="0" w:color="auto"/>
            </w:tcBorders>
            <w:noWrap/>
            <w:vAlign w:val="bottom"/>
            <w:hideMark/>
          </w:tcPr>
          <w:p w14:paraId="6366A70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34.25</w:t>
            </w:r>
          </w:p>
        </w:tc>
      </w:tr>
      <w:tr w:rsidR="00294854" w:rsidRPr="004869B8" w14:paraId="155D6C5A"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5F636D37"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NL</w:t>
            </w:r>
          </w:p>
        </w:tc>
        <w:tc>
          <w:tcPr>
            <w:tcW w:w="0" w:type="auto"/>
            <w:tcBorders>
              <w:top w:val="nil"/>
              <w:left w:val="nil"/>
              <w:bottom w:val="single" w:sz="4" w:space="0" w:color="auto"/>
              <w:right w:val="single" w:sz="4" w:space="0" w:color="auto"/>
            </w:tcBorders>
            <w:noWrap/>
            <w:vAlign w:val="bottom"/>
            <w:hideMark/>
          </w:tcPr>
          <w:p w14:paraId="0461B14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12.00</w:t>
            </w:r>
          </w:p>
        </w:tc>
        <w:tc>
          <w:tcPr>
            <w:tcW w:w="0" w:type="auto"/>
            <w:tcBorders>
              <w:top w:val="nil"/>
              <w:left w:val="nil"/>
              <w:bottom w:val="single" w:sz="4" w:space="0" w:color="auto"/>
              <w:right w:val="single" w:sz="4" w:space="0" w:color="auto"/>
            </w:tcBorders>
            <w:noWrap/>
            <w:vAlign w:val="bottom"/>
            <w:hideMark/>
          </w:tcPr>
          <w:p w14:paraId="32DA793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30.25</w:t>
            </w:r>
          </w:p>
        </w:tc>
        <w:tc>
          <w:tcPr>
            <w:tcW w:w="0" w:type="auto"/>
            <w:tcBorders>
              <w:top w:val="nil"/>
              <w:left w:val="nil"/>
              <w:bottom w:val="single" w:sz="4" w:space="0" w:color="auto"/>
              <w:right w:val="single" w:sz="4" w:space="0" w:color="auto"/>
            </w:tcBorders>
            <w:noWrap/>
            <w:vAlign w:val="bottom"/>
            <w:hideMark/>
          </w:tcPr>
          <w:p w14:paraId="0267E71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19.39</w:t>
            </w:r>
          </w:p>
        </w:tc>
        <w:tc>
          <w:tcPr>
            <w:tcW w:w="0" w:type="auto"/>
            <w:tcBorders>
              <w:top w:val="nil"/>
              <w:left w:val="nil"/>
              <w:bottom w:val="single" w:sz="4" w:space="0" w:color="auto"/>
              <w:right w:val="single" w:sz="4" w:space="0" w:color="auto"/>
            </w:tcBorders>
            <w:noWrap/>
            <w:vAlign w:val="bottom"/>
            <w:hideMark/>
          </w:tcPr>
          <w:p w14:paraId="6719A0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40.16</w:t>
            </w:r>
          </w:p>
        </w:tc>
        <w:tc>
          <w:tcPr>
            <w:tcW w:w="0" w:type="auto"/>
            <w:tcBorders>
              <w:top w:val="nil"/>
              <w:left w:val="nil"/>
              <w:bottom w:val="single" w:sz="4" w:space="0" w:color="auto"/>
              <w:right w:val="single" w:sz="4" w:space="0" w:color="auto"/>
            </w:tcBorders>
            <w:noWrap/>
            <w:vAlign w:val="bottom"/>
            <w:hideMark/>
          </w:tcPr>
          <w:p w14:paraId="5D3F34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13.37</w:t>
            </w:r>
          </w:p>
        </w:tc>
        <w:tc>
          <w:tcPr>
            <w:tcW w:w="0" w:type="auto"/>
            <w:tcBorders>
              <w:top w:val="nil"/>
              <w:left w:val="nil"/>
              <w:bottom w:val="single" w:sz="4" w:space="0" w:color="auto"/>
              <w:right w:val="single" w:sz="4" w:space="0" w:color="auto"/>
            </w:tcBorders>
            <w:noWrap/>
            <w:vAlign w:val="bottom"/>
            <w:hideMark/>
          </w:tcPr>
          <w:p w14:paraId="5CC887D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15.59</w:t>
            </w:r>
          </w:p>
        </w:tc>
        <w:tc>
          <w:tcPr>
            <w:tcW w:w="0" w:type="auto"/>
            <w:tcBorders>
              <w:top w:val="nil"/>
              <w:left w:val="nil"/>
              <w:bottom w:val="single" w:sz="4" w:space="0" w:color="auto"/>
              <w:right w:val="single" w:sz="4" w:space="0" w:color="auto"/>
            </w:tcBorders>
            <w:noWrap/>
            <w:vAlign w:val="bottom"/>
            <w:hideMark/>
          </w:tcPr>
          <w:p w14:paraId="1410E5F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9.88</w:t>
            </w:r>
          </w:p>
        </w:tc>
        <w:tc>
          <w:tcPr>
            <w:tcW w:w="0" w:type="auto"/>
            <w:tcBorders>
              <w:top w:val="nil"/>
              <w:left w:val="nil"/>
              <w:bottom w:val="single" w:sz="4" w:space="0" w:color="auto"/>
              <w:right w:val="single" w:sz="4" w:space="0" w:color="auto"/>
            </w:tcBorders>
            <w:noWrap/>
            <w:vAlign w:val="bottom"/>
            <w:hideMark/>
          </w:tcPr>
          <w:p w14:paraId="6753869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2.50</w:t>
            </w:r>
          </w:p>
        </w:tc>
        <w:tc>
          <w:tcPr>
            <w:tcW w:w="0" w:type="auto"/>
            <w:tcBorders>
              <w:top w:val="nil"/>
              <w:left w:val="nil"/>
              <w:bottom w:val="single" w:sz="4" w:space="0" w:color="auto"/>
              <w:right w:val="single" w:sz="4" w:space="0" w:color="auto"/>
            </w:tcBorders>
            <w:noWrap/>
            <w:vAlign w:val="bottom"/>
            <w:hideMark/>
          </w:tcPr>
          <w:p w14:paraId="0A5FB98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12.91</w:t>
            </w:r>
          </w:p>
        </w:tc>
      </w:tr>
      <w:tr w:rsidR="00294854" w:rsidRPr="004869B8" w14:paraId="771944F5"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C127949"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PL (cm)</w:t>
            </w:r>
          </w:p>
        </w:tc>
        <w:tc>
          <w:tcPr>
            <w:tcW w:w="0" w:type="auto"/>
            <w:tcBorders>
              <w:top w:val="nil"/>
              <w:left w:val="nil"/>
              <w:bottom w:val="single" w:sz="4" w:space="0" w:color="auto"/>
              <w:right w:val="single" w:sz="4" w:space="0" w:color="auto"/>
            </w:tcBorders>
            <w:noWrap/>
            <w:vAlign w:val="bottom"/>
            <w:hideMark/>
          </w:tcPr>
          <w:p w14:paraId="2BC3AF0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9.80</w:t>
            </w:r>
          </w:p>
        </w:tc>
        <w:tc>
          <w:tcPr>
            <w:tcW w:w="0" w:type="auto"/>
            <w:tcBorders>
              <w:top w:val="nil"/>
              <w:left w:val="nil"/>
              <w:bottom w:val="single" w:sz="4" w:space="0" w:color="auto"/>
              <w:right w:val="single" w:sz="4" w:space="0" w:color="auto"/>
            </w:tcBorders>
            <w:noWrap/>
            <w:vAlign w:val="bottom"/>
            <w:hideMark/>
          </w:tcPr>
          <w:p w14:paraId="0D1E5A4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23.55</w:t>
            </w:r>
          </w:p>
        </w:tc>
        <w:tc>
          <w:tcPr>
            <w:tcW w:w="0" w:type="auto"/>
            <w:tcBorders>
              <w:top w:val="nil"/>
              <w:left w:val="nil"/>
              <w:bottom w:val="single" w:sz="4" w:space="0" w:color="auto"/>
              <w:right w:val="single" w:sz="4" w:space="0" w:color="auto"/>
            </w:tcBorders>
            <w:noWrap/>
            <w:vAlign w:val="bottom"/>
            <w:hideMark/>
          </w:tcPr>
          <w:p w14:paraId="607A8BF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16.99</w:t>
            </w:r>
          </w:p>
        </w:tc>
        <w:tc>
          <w:tcPr>
            <w:tcW w:w="0" w:type="auto"/>
            <w:tcBorders>
              <w:top w:val="nil"/>
              <w:left w:val="nil"/>
              <w:bottom w:val="single" w:sz="4" w:space="0" w:color="auto"/>
              <w:right w:val="single" w:sz="4" w:space="0" w:color="auto"/>
            </w:tcBorders>
            <w:noWrap/>
            <w:vAlign w:val="bottom"/>
            <w:hideMark/>
          </w:tcPr>
          <w:p w14:paraId="58578C3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84.32</w:t>
            </w:r>
          </w:p>
        </w:tc>
        <w:tc>
          <w:tcPr>
            <w:tcW w:w="0" w:type="auto"/>
            <w:tcBorders>
              <w:top w:val="nil"/>
              <w:left w:val="nil"/>
              <w:bottom w:val="single" w:sz="4" w:space="0" w:color="auto"/>
              <w:right w:val="single" w:sz="4" w:space="0" w:color="auto"/>
            </w:tcBorders>
            <w:noWrap/>
            <w:vAlign w:val="bottom"/>
            <w:hideMark/>
          </w:tcPr>
          <w:p w14:paraId="31AA26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6.30</w:t>
            </w:r>
          </w:p>
        </w:tc>
        <w:tc>
          <w:tcPr>
            <w:tcW w:w="0" w:type="auto"/>
            <w:tcBorders>
              <w:top w:val="nil"/>
              <w:left w:val="nil"/>
              <w:bottom w:val="single" w:sz="4" w:space="0" w:color="auto"/>
              <w:right w:val="single" w:sz="4" w:space="0" w:color="auto"/>
            </w:tcBorders>
            <w:noWrap/>
            <w:vAlign w:val="bottom"/>
            <w:hideMark/>
          </w:tcPr>
          <w:p w14:paraId="678EB39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15.74</w:t>
            </w:r>
          </w:p>
        </w:tc>
        <w:tc>
          <w:tcPr>
            <w:tcW w:w="0" w:type="auto"/>
            <w:tcBorders>
              <w:top w:val="nil"/>
              <w:left w:val="nil"/>
              <w:bottom w:val="single" w:sz="4" w:space="0" w:color="auto"/>
              <w:right w:val="single" w:sz="4" w:space="0" w:color="auto"/>
            </w:tcBorders>
            <w:noWrap/>
            <w:vAlign w:val="bottom"/>
            <w:hideMark/>
          </w:tcPr>
          <w:p w14:paraId="688BD68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14.45</w:t>
            </w:r>
          </w:p>
        </w:tc>
        <w:tc>
          <w:tcPr>
            <w:tcW w:w="0" w:type="auto"/>
            <w:tcBorders>
              <w:top w:val="nil"/>
              <w:left w:val="nil"/>
              <w:bottom w:val="single" w:sz="4" w:space="0" w:color="auto"/>
              <w:right w:val="single" w:sz="4" w:space="0" w:color="auto"/>
            </w:tcBorders>
            <w:noWrap/>
            <w:vAlign w:val="bottom"/>
            <w:hideMark/>
          </w:tcPr>
          <w:p w14:paraId="57B302B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4.65</w:t>
            </w:r>
          </w:p>
        </w:tc>
        <w:tc>
          <w:tcPr>
            <w:tcW w:w="0" w:type="auto"/>
            <w:tcBorders>
              <w:top w:val="nil"/>
              <w:left w:val="nil"/>
              <w:bottom w:val="single" w:sz="4" w:space="0" w:color="auto"/>
              <w:right w:val="single" w:sz="4" w:space="0" w:color="auto"/>
            </w:tcBorders>
            <w:noWrap/>
            <w:vAlign w:val="bottom"/>
            <w:hideMark/>
          </w:tcPr>
          <w:p w14:paraId="097C0D5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27.37</w:t>
            </w:r>
          </w:p>
        </w:tc>
      </w:tr>
      <w:tr w:rsidR="00294854" w:rsidRPr="004869B8" w14:paraId="2D8034D7"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F77503C"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PD (mm)</w:t>
            </w:r>
          </w:p>
        </w:tc>
        <w:tc>
          <w:tcPr>
            <w:tcW w:w="0" w:type="auto"/>
            <w:tcBorders>
              <w:top w:val="nil"/>
              <w:left w:val="nil"/>
              <w:bottom w:val="single" w:sz="4" w:space="0" w:color="auto"/>
              <w:right w:val="single" w:sz="4" w:space="0" w:color="auto"/>
            </w:tcBorders>
            <w:noWrap/>
            <w:vAlign w:val="bottom"/>
            <w:hideMark/>
          </w:tcPr>
          <w:p w14:paraId="3F4DD0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16.32</w:t>
            </w:r>
          </w:p>
        </w:tc>
        <w:tc>
          <w:tcPr>
            <w:tcW w:w="0" w:type="auto"/>
            <w:tcBorders>
              <w:top w:val="nil"/>
              <w:left w:val="nil"/>
              <w:bottom w:val="single" w:sz="4" w:space="0" w:color="auto"/>
              <w:right w:val="single" w:sz="4" w:space="0" w:color="auto"/>
            </w:tcBorders>
            <w:noWrap/>
            <w:vAlign w:val="bottom"/>
            <w:hideMark/>
          </w:tcPr>
          <w:p w14:paraId="2746D1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28.35</w:t>
            </w:r>
          </w:p>
        </w:tc>
        <w:tc>
          <w:tcPr>
            <w:tcW w:w="0" w:type="auto"/>
            <w:tcBorders>
              <w:top w:val="nil"/>
              <w:left w:val="nil"/>
              <w:bottom w:val="single" w:sz="4" w:space="0" w:color="auto"/>
              <w:right w:val="single" w:sz="4" w:space="0" w:color="auto"/>
            </w:tcBorders>
            <w:noWrap/>
            <w:vAlign w:val="bottom"/>
            <w:hideMark/>
          </w:tcPr>
          <w:p w14:paraId="62E85C8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21.27</w:t>
            </w:r>
          </w:p>
        </w:tc>
        <w:tc>
          <w:tcPr>
            <w:tcW w:w="0" w:type="auto"/>
            <w:tcBorders>
              <w:top w:val="nil"/>
              <w:left w:val="nil"/>
              <w:bottom w:val="single" w:sz="4" w:space="0" w:color="auto"/>
              <w:right w:val="single" w:sz="4" w:space="0" w:color="auto"/>
            </w:tcBorders>
            <w:noWrap/>
            <w:vAlign w:val="bottom"/>
            <w:hideMark/>
          </w:tcPr>
          <w:p w14:paraId="07329B5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67.00</w:t>
            </w:r>
          </w:p>
        </w:tc>
        <w:tc>
          <w:tcPr>
            <w:tcW w:w="0" w:type="auto"/>
            <w:tcBorders>
              <w:top w:val="nil"/>
              <w:left w:val="nil"/>
              <w:bottom w:val="single" w:sz="4" w:space="0" w:color="auto"/>
              <w:right w:val="single" w:sz="4" w:space="0" w:color="auto"/>
            </w:tcBorders>
            <w:noWrap/>
            <w:vAlign w:val="bottom"/>
            <w:hideMark/>
          </w:tcPr>
          <w:p w14:paraId="3B7DE2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4.80</w:t>
            </w:r>
          </w:p>
        </w:tc>
        <w:tc>
          <w:tcPr>
            <w:tcW w:w="0" w:type="auto"/>
            <w:tcBorders>
              <w:top w:val="nil"/>
              <w:left w:val="nil"/>
              <w:bottom w:val="single" w:sz="4" w:space="0" w:color="auto"/>
              <w:right w:val="single" w:sz="4" w:space="0" w:color="auto"/>
            </w:tcBorders>
            <w:noWrap/>
            <w:vAlign w:val="bottom"/>
            <w:hideMark/>
          </w:tcPr>
          <w:p w14:paraId="67589BB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9.03</w:t>
            </w:r>
          </w:p>
        </w:tc>
        <w:tc>
          <w:tcPr>
            <w:tcW w:w="0" w:type="auto"/>
            <w:tcBorders>
              <w:top w:val="nil"/>
              <w:left w:val="nil"/>
              <w:bottom w:val="single" w:sz="4" w:space="0" w:color="auto"/>
              <w:right w:val="single" w:sz="4" w:space="0" w:color="auto"/>
            </w:tcBorders>
            <w:noWrap/>
            <w:vAlign w:val="bottom"/>
            <w:hideMark/>
          </w:tcPr>
          <w:p w14:paraId="4D5AE79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7.39</w:t>
            </w:r>
          </w:p>
        </w:tc>
        <w:tc>
          <w:tcPr>
            <w:tcW w:w="0" w:type="auto"/>
            <w:tcBorders>
              <w:top w:val="nil"/>
              <w:left w:val="nil"/>
              <w:bottom w:val="single" w:sz="4" w:space="0" w:color="auto"/>
              <w:right w:val="single" w:sz="4" w:space="0" w:color="auto"/>
            </w:tcBorders>
            <w:noWrap/>
            <w:vAlign w:val="bottom"/>
            <w:hideMark/>
          </w:tcPr>
          <w:p w14:paraId="33736E7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2.65</w:t>
            </w:r>
          </w:p>
        </w:tc>
        <w:tc>
          <w:tcPr>
            <w:tcW w:w="0" w:type="auto"/>
            <w:tcBorders>
              <w:top w:val="nil"/>
              <w:left w:val="nil"/>
              <w:bottom w:val="single" w:sz="4" w:space="0" w:color="auto"/>
              <w:right w:val="single" w:sz="4" w:space="0" w:color="auto"/>
            </w:tcBorders>
            <w:noWrap/>
            <w:vAlign w:val="bottom"/>
            <w:hideMark/>
          </w:tcPr>
          <w:p w14:paraId="6E61803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12.48</w:t>
            </w:r>
          </w:p>
        </w:tc>
      </w:tr>
      <w:tr w:rsidR="00294854" w:rsidRPr="004869B8" w14:paraId="2CD8B6C6"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A77EFF4"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SG (mm)</w:t>
            </w:r>
          </w:p>
        </w:tc>
        <w:tc>
          <w:tcPr>
            <w:tcW w:w="0" w:type="auto"/>
            <w:tcBorders>
              <w:top w:val="nil"/>
              <w:left w:val="nil"/>
              <w:bottom w:val="single" w:sz="4" w:space="0" w:color="auto"/>
              <w:right w:val="single" w:sz="4" w:space="0" w:color="auto"/>
            </w:tcBorders>
            <w:noWrap/>
            <w:vAlign w:val="bottom"/>
            <w:hideMark/>
          </w:tcPr>
          <w:p w14:paraId="563D20E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14.33</w:t>
            </w:r>
          </w:p>
        </w:tc>
        <w:tc>
          <w:tcPr>
            <w:tcW w:w="0" w:type="auto"/>
            <w:tcBorders>
              <w:top w:val="nil"/>
              <w:left w:val="nil"/>
              <w:bottom w:val="single" w:sz="4" w:space="0" w:color="auto"/>
              <w:right w:val="single" w:sz="4" w:space="0" w:color="auto"/>
            </w:tcBorders>
            <w:noWrap/>
            <w:vAlign w:val="bottom"/>
            <w:hideMark/>
          </w:tcPr>
          <w:p w14:paraId="02253AA2"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23.28</w:t>
            </w:r>
          </w:p>
        </w:tc>
        <w:tc>
          <w:tcPr>
            <w:tcW w:w="0" w:type="auto"/>
            <w:tcBorders>
              <w:top w:val="nil"/>
              <w:left w:val="nil"/>
              <w:bottom w:val="single" w:sz="4" w:space="0" w:color="auto"/>
              <w:right w:val="single" w:sz="4" w:space="0" w:color="auto"/>
            </w:tcBorders>
            <w:noWrap/>
            <w:vAlign w:val="bottom"/>
            <w:hideMark/>
          </w:tcPr>
          <w:p w14:paraId="6947091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17.65</w:t>
            </w:r>
          </w:p>
        </w:tc>
        <w:tc>
          <w:tcPr>
            <w:tcW w:w="0" w:type="auto"/>
            <w:tcBorders>
              <w:top w:val="nil"/>
              <w:left w:val="nil"/>
              <w:bottom w:val="single" w:sz="4" w:space="0" w:color="auto"/>
              <w:right w:val="single" w:sz="4" w:space="0" w:color="auto"/>
            </w:tcBorders>
            <w:noWrap/>
            <w:vAlign w:val="bottom"/>
            <w:hideMark/>
          </w:tcPr>
          <w:p w14:paraId="653529C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12.25</w:t>
            </w:r>
          </w:p>
        </w:tc>
        <w:tc>
          <w:tcPr>
            <w:tcW w:w="0" w:type="auto"/>
            <w:tcBorders>
              <w:top w:val="nil"/>
              <w:left w:val="nil"/>
              <w:bottom w:val="single" w:sz="4" w:space="0" w:color="auto"/>
              <w:right w:val="single" w:sz="4" w:space="0" w:color="auto"/>
            </w:tcBorders>
            <w:noWrap/>
            <w:vAlign w:val="bottom"/>
            <w:hideMark/>
          </w:tcPr>
          <w:p w14:paraId="438F8C8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9.22</w:t>
            </w:r>
          </w:p>
        </w:tc>
        <w:tc>
          <w:tcPr>
            <w:tcW w:w="0" w:type="auto"/>
            <w:tcBorders>
              <w:top w:val="nil"/>
              <w:left w:val="nil"/>
              <w:bottom w:val="single" w:sz="4" w:space="0" w:color="auto"/>
              <w:right w:val="single" w:sz="4" w:space="0" w:color="auto"/>
            </w:tcBorders>
            <w:noWrap/>
            <w:vAlign w:val="bottom"/>
            <w:hideMark/>
          </w:tcPr>
          <w:p w14:paraId="750F18D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7.03</w:t>
            </w:r>
          </w:p>
        </w:tc>
        <w:tc>
          <w:tcPr>
            <w:tcW w:w="0" w:type="auto"/>
            <w:tcBorders>
              <w:top w:val="nil"/>
              <w:left w:val="nil"/>
              <w:bottom w:val="single" w:sz="4" w:space="0" w:color="auto"/>
              <w:right w:val="single" w:sz="4" w:space="0" w:color="auto"/>
            </w:tcBorders>
            <w:noWrap/>
            <w:vAlign w:val="bottom"/>
            <w:hideMark/>
          </w:tcPr>
          <w:p w14:paraId="5F37FAD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2.46</w:t>
            </w:r>
          </w:p>
        </w:tc>
        <w:tc>
          <w:tcPr>
            <w:tcW w:w="0" w:type="auto"/>
            <w:tcBorders>
              <w:top w:val="nil"/>
              <w:left w:val="nil"/>
              <w:bottom w:val="single" w:sz="4" w:space="0" w:color="auto"/>
              <w:right w:val="single" w:sz="4" w:space="0" w:color="auto"/>
            </w:tcBorders>
            <w:noWrap/>
            <w:vAlign w:val="bottom"/>
            <w:hideMark/>
          </w:tcPr>
          <w:p w14:paraId="019F00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0.31</w:t>
            </w:r>
          </w:p>
        </w:tc>
        <w:tc>
          <w:tcPr>
            <w:tcW w:w="0" w:type="auto"/>
            <w:tcBorders>
              <w:top w:val="nil"/>
              <w:left w:val="nil"/>
              <w:bottom w:val="single" w:sz="4" w:space="0" w:color="auto"/>
              <w:right w:val="single" w:sz="4" w:space="0" w:color="auto"/>
            </w:tcBorders>
            <w:noWrap/>
            <w:vAlign w:val="bottom"/>
            <w:hideMark/>
          </w:tcPr>
          <w:p w14:paraId="4BD45BF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w:t>
            </w:r>
          </w:p>
        </w:tc>
      </w:tr>
      <w:tr w:rsidR="00294854" w:rsidRPr="004869B8" w14:paraId="766874DE"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10E89709"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TSW (g)</w:t>
            </w:r>
          </w:p>
        </w:tc>
        <w:tc>
          <w:tcPr>
            <w:tcW w:w="0" w:type="auto"/>
            <w:tcBorders>
              <w:top w:val="nil"/>
              <w:left w:val="nil"/>
              <w:bottom w:val="single" w:sz="4" w:space="0" w:color="auto"/>
              <w:right w:val="single" w:sz="4" w:space="0" w:color="auto"/>
            </w:tcBorders>
            <w:noWrap/>
            <w:vAlign w:val="bottom"/>
            <w:hideMark/>
          </w:tcPr>
          <w:p w14:paraId="45F6E43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3.59</w:t>
            </w:r>
          </w:p>
        </w:tc>
        <w:tc>
          <w:tcPr>
            <w:tcW w:w="0" w:type="auto"/>
            <w:tcBorders>
              <w:top w:val="nil"/>
              <w:left w:val="nil"/>
              <w:bottom w:val="single" w:sz="4" w:space="0" w:color="auto"/>
              <w:right w:val="single" w:sz="4" w:space="0" w:color="auto"/>
            </w:tcBorders>
            <w:noWrap/>
            <w:vAlign w:val="bottom"/>
            <w:hideMark/>
          </w:tcPr>
          <w:p w14:paraId="2B9E422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11.95</w:t>
            </w:r>
          </w:p>
        </w:tc>
        <w:tc>
          <w:tcPr>
            <w:tcW w:w="0" w:type="auto"/>
            <w:tcBorders>
              <w:top w:val="nil"/>
              <w:left w:val="nil"/>
              <w:bottom w:val="single" w:sz="4" w:space="0" w:color="auto"/>
              <w:right w:val="single" w:sz="4" w:space="0" w:color="auto"/>
            </w:tcBorders>
            <w:noWrap/>
            <w:vAlign w:val="bottom"/>
            <w:hideMark/>
          </w:tcPr>
          <w:p w14:paraId="715C13F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7.47</w:t>
            </w:r>
          </w:p>
        </w:tc>
        <w:tc>
          <w:tcPr>
            <w:tcW w:w="0" w:type="auto"/>
            <w:tcBorders>
              <w:top w:val="nil"/>
              <w:left w:val="nil"/>
              <w:bottom w:val="single" w:sz="4" w:space="0" w:color="auto"/>
              <w:right w:val="single" w:sz="4" w:space="0" w:color="auto"/>
            </w:tcBorders>
            <w:noWrap/>
            <w:vAlign w:val="bottom"/>
            <w:hideMark/>
          </w:tcPr>
          <w:p w14:paraId="747740C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75.67</w:t>
            </w:r>
          </w:p>
        </w:tc>
        <w:tc>
          <w:tcPr>
            <w:tcW w:w="0" w:type="auto"/>
            <w:tcBorders>
              <w:top w:val="nil"/>
              <w:left w:val="nil"/>
              <w:bottom w:val="single" w:sz="4" w:space="0" w:color="auto"/>
              <w:right w:val="single" w:sz="4" w:space="0" w:color="auto"/>
            </w:tcBorders>
            <w:noWrap/>
            <w:vAlign w:val="bottom"/>
            <w:hideMark/>
          </w:tcPr>
          <w:p w14:paraId="1DFDD05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6.22</w:t>
            </w:r>
          </w:p>
        </w:tc>
        <w:tc>
          <w:tcPr>
            <w:tcW w:w="0" w:type="auto"/>
            <w:tcBorders>
              <w:top w:val="nil"/>
              <w:left w:val="nil"/>
              <w:bottom w:val="single" w:sz="4" w:space="0" w:color="auto"/>
              <w:right w:val="single" w:sz="4" w:space="0" w:color="auto"/>
            </w:tcBorders>
            <w:noWrap/>
            <w:vAlign w:val="bottom"/>
            <w:hideMark/>
          </w:tcPr>
          <w:p w14:paraId="2D2F5C2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20.03</w:t>
            </w:r>
          </w:p>
        </w:tc>
        <w:tc>
          <w:tcPr>
            <w:tcW w:w="0" w:type="auto"/>
            <w:tcBorders>
              <w:top w:val="nil"/>
              <w:left w:val="nil"/>
              <w:bottom w:val="single" w:sz="4" w:space="0" w:color="auto"/>
              <w:right w:val="single" w:sz="4" w:space="0" w:color="auto"/>
            </w:tcBorders>
            <w:noWrap/>
            <w:vAlign w:val="bottom"/>
            <w:hideMark/>
          </w:tcPr>
          <w:p w14:paraId="0CEFDC6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17.43</w:t>
            </w:r>
          </w:p>
        </w:tc>
        <w:tc>
          <w:tcPr>
            <w:tcW w:w="0" w:type="auto"/>
            <w:tcBorders>
              <w:top w:val="nil"/>
              <w:left w:val="nil"/>
              <w:bottom w:val="single" w:sz="4" w:space="0" w:color="auto"/>
              <w:right w:val="single" w:sz="4" w:space="0" w:color="auto"/>
            </w:tcBorders>
            <w:noWrap/>
            <w:vAlign w:val="bottom"/>
            <w:hideMark/>
          </w:tcPr>
          <w:p w14:paraId="68E71BC7"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2.34</w:t>
            </w:r>
          </w:p>
        </w:tc>
        <w:tc>
          <w:tcPr>
            <w:tcW w:w="0" w:type="auto"/>
            <w:tcBorders>
              <w:top w:val="nil"/>
              <w:left w:val="nil"/>
              <w:bottom w:val="single" w:sz="4" w:space="0" w:color="auto"/>
              <w:right w:val="single" w:sz="4" w:space="0" w:color="auto"/>
            </w:tcBorders>
            <w:noWrap/>
            <w:vAlign w:val="bottom"/>
            <w:hideMark/>
          </w:tcPr>
          <w:p w14:paraId="0521A2A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31.27</w:t>
            </w:r>
          </w:p>
        </w:tc>
      </w:tr>
      <w:tr w:rsidR="00294854" w:rsidRPr="004869B8" w14:paraId="6473236F"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05850F3"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SY (g)</w:t>
            </w:r>
          </w:p>
        </w:tc>
        <w:tc>
          <w:tcPr>
            <w:tcW w:w="0" w:type="auto"/>
            <w:tcBorders>
              <w:top w:val="nil"/>
              <w:left w:val="nil"/>
              <w:bottom w:val="single" w:sz="4" w:space="0" w:color="auto"/>
              <w:right w:val="single" w:sz="4" w:space="0" w:color="auto"/>
            </w:tcBorders>
            <w:noWrap/>
            <w:vAlign w:val="bottom"/>
            <w:hideMark/>
          </w:tcPr>
          <w:p w14:paraId="77264E1E"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15.00</w:t>
            </w:r>
          </w:p>
        </w:tc>
        <w:tc>
          <w:tcPr>
            <w:tcW w:w="0" w:type="auto"/>
            <w:tcBorders>
              <w:top w:val="nil"/>
              <w:left w:val="nil"/>
              <w:bottom w:val="single" w:sz="4" w:space="0" w:color="auto"/>
              <w:right w:val="single" w:sz="4" w:space="0" w:color="auto"/>
            </w:tcBorders>
            <w:noWrap/>
            <w:vAlign w:val="bottom"/>
            <w:hideMark/>
          </w:tcPr>
          <w:p w14:paraId="138FDEE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178.50</w:t>
            </w:r>
          </w:p>
        </w:tc>
        <w:tc>
          <w:tcPr>
            <w:tcW w:w="0" w:type="auto"/>
            <w:tcBorders>
              <w:top w:val="nil"/>
              <w:left w:val="nil"/>
              <w:bottom w:val="single" w:sz="4" w:space="0" w:color="auto"/>
              <w:right w:val="single" w:sz="4" w:space="0" w:color="auto"/>
            </w:tcBorders>
            <w:noWrap/>
            <w:vAlign w:val="bottom"/>
            <w:hideMark/>
          </w:tcPr>
          <w:p w14:paraId="1167A75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76.65</w:t>
            </w:r>
          </w:p>
        </w:tc>
        <w:tc>
          <w:tcPr>
            <w:tcW w:w="0" w:type="auto"/>
            <w:tcBorders>
              <w:top w:val="nil"/>
              <w:left w:val="nil"/>
              <w:bottom w:val="single" w:sz="4" w:space="0" w:color="auto"/>
              <w:right w:val="single" w:sz="4" w:space="0" w:color="auto"/>
            </w:tcBorders>
            <w:noWrap/>
            <w:vAlign w:val="bottom"/>
            <w:hideMark/>
          </w:tcPr>
          <w:p w14:paraId="508AFFB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79.64</w:t>
            </w:r>
          </w:p>
        </w:tc>
        <w:tc>
          <w:tcPr>
            <w:tcW w:w="0" w:type="auto"/>
            <w:tcBorders>
              <w:top w:val="nil"/>
              <w:left w:val="nil"/>
              <w:bottom w:val="single" w:sz="4" w:space="0" w:color="auto"/>
              <w:right w:val="single" w:sz="4" w:space="0" w:color="auto"/>
            </w:tcBorders>
            <w:noWrap/>
            <w:vAlign w:val="bottom"/>
            <w:hideMark/>
          </w:tcPr>
          <w:p w14:paraId="7F809373"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11.89</w:t>
            </w:r>
          </w:p>
        </w:tc>
        <w:tc>
          <w:tcPr>
            <w:tcW w:w="0" w:type="auto"/>
            <w:tcBorders>
              <w:top w:val="nil"/>
              <w:left w:val="nil"/>
              <w:bottom w:val="single" w:sz="4" w:space="0" w:color="auto"/>
              <w:right w:val="single" w:sz="4" w:space="0" w:color="auto"/>
            </w:tcBorders>
            <w:noWrap/>
            <w:vAlign w:val="bottom"/>
            <w:hideMark/>
          </w:tcPr>
          <w:p w14:paraId="02A594AC"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31.49</w:t>
            </w:r>
          </w:p>
        </w:tc>
        <w:tc>
          <w:tcPr>
            <w:tcW w:w="0" w:type="auto"/>
            <w:tcBorders>
              <w:top w:val="nil"/>
              <w:left w:val="nil"/>
              <w:bottom w:val="single" w:sz="4" w:space="0" w:color="auto"/>
              <w:right w:val="single" w:sz="4" w:space="0" w:color="auto"/>
            </w:tcBorders>
            <w:noWrap/>
            <w:vAlign w:val="bottom"/>
            <w:hideMark/>
          </w:tcPr>
          <w:p w14:paraId="2545418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28.10</w:t>
            </w:r>
          </w:p>
        </w:tc>
        <w:tc>
          <w:tcPr>
            <w:tcW w:w="0" w:type="auto"/>
            <w:tcBorders>
              <w:top w:val="nil"/>
              <w:left w:val="nil"/>
              <w:bottom w:val="single" w:sz="4" w:space="0" w:color="auto"/>
              <w:right w:val="single" w:sz="4" w:space="0" w:color="auto"/>
            </w:tcBorders>
            <w:noWrap/>
            <w:vAlign w:val="bottom"/>
            <w:hideMark/>
          </w:tcPr>
          <w:p w14:paraId="6CF0D1D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39.65</w:t>
            </w:r>
          </w:p>
        </w:tc>
        <w:tc>
          <w:tcPr>
            <w:tcW w:w="0" w:type="auto"/>
            <w:tcBorders>
              <w:top w:val="nil"/>
              <w:left w:val="nil"/>
              <w:bottom w:val="single" w:sz="4" w:space="0" w:color="auto"/>
              <w:right w:val="single" w:sz="4" w:space="0" w:color="auto"/>
            </w:tcBorders>
            <w:noWrap/>
            <w:vAlign w:val="bottom"/>
            <w:hideMark/>
          </w:tcPr>
          <w:p w14:paraId="6DAEC2C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51.73</w:t>
            </w:r>
          </w:p>
        </w:tc>
      </w:tr>
      <w:tr w:rsidR="00294854" w:rsidRPr="004869B8" w14:paraId="088D01AB"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30233CC1"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HI</w:t>
            </w:r>
          </w:p>
        </w:tc>
        <w:tc>
          <w:tcPr>
            <w:tcW w:w="0" w:type="auto"/>
            <w:tcBorders>
              <w:top w:val="nil"/>
              <w:left w:val="nil"/>
              <w:bottom w:val="single" w:sz="4" w:space="0" w:color="auto"/>
              <w:right w:val="single" w:sz="4" w:space="0" w:color="auto"/>
            </w:tcBorders>
            <w:noWrap/>
            <w:vAlign w:val="bottom"/>
            <w:hideMark/>
          </w:tcPr>
          <w:p w14:paraId="52DE936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24.37</w:t>
            </w:r>
          </w:p>
        </w:tc>
        <w:tc>
          <w:tcPr>
            <w:tcW w:w="0" w:type="auto"/>
            <w:tcBorders>
              <w:top w:val="nil"/>
              <w:left w:val="nil"/>
              <w:bottom w:val="single" w:sz="4" w:space="0" w:color="auto"/>
              <w:right w:val="single" w:sz="4" w:space="0" w:color="auto"/>
            </w:tcBorders>
            <w:noWrap/>
            <w:vAlign w:val="bottom"/>
            <w:hideMark/>
          </w:tcPr>
          <w:p w14:paraId="3FC8ACD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78.28</w:t>
            </w:r>
          </w:p>
        </w:tc>
        <w:tc>
          <w:tcPr>
            <w:tcW w:w="0" w:type="auto"/>
            <w:tcBorders>
              <w:top w:val="nil"/>
              <w:left w:val="nil"/>
              <w:bottom w:val="single" w:sz="4" w:space="0" w:color="auto"/>
              <w:right w:val="single" w:sz="4" w:space="0" w:color="auto"/>
            </w:tcBorders>
            <w:noWrap/>
            <w:vAlign w:val="bottom"/>
            <w:hideMark/>
          </w:tcPr>
          <w:p w14:paraId="109C2561"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55.75</w:t>
            </w:r>
          </w:p>
        </w:tc>
        <w:tc>
          <w:tcPr>
            <w:tcW w:w="0" w:type="auto"/>
            <w:tcBorders>
              <w:top w:val="nil"/>
              <w:left w:val="nil"/>
              <w:bottom w:val="single" w:sz="4" w:space="0" w:color="auto"/>
              <w:right w:val="single" w:sz="4" w:space="0" w:color="auto"/>
            </w:tcBorders>
            <w:noWrap/>
            <w:vAlign w:val="bottom"/>
            <w:hideMark/>
          </w:tcPr>
          <w:p w14:paraId="5152A93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73.28</w:t>
            </w:r>
          </w:p>
        </w:tc>
        <w:tc>
          <w:tcPr>
            <w:tcW w:w="0" w:type="auto"/>
            <w:tcBorders>
              <w:top w:val="nil"/>
              <w:left w:val="nil"/>
              <w:bottom w:val="single" w:sz="4" w:space="0" w:color="auto"/>
              <w:right w:val="single" w:sz="4" w:space="0" w:color="auto"/>
            </w:tcBorders>
            <w:noWrap/>
            <w:vAlign w:val="bottom"/>
            <w:hideMark/>
          </w:tcPr>
          <w:p w14:paraId="6B329EE9"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8.56</w:t>
            </w:r>
          </w:p>
        </w:tc>
        <w:tc>
          <w:tcPr>
            <w:tcW w:w="0" w:type="auto"/>
            <w:tcBorders>
              <w:top w:val="nil"/>
              <w:left w:val="nil"/>
              <w:bottom w:val="single" w:sz="4" w:space="0" w:color="auto"/>
              <w:right w:val="single" w:sz="4" w:space="0" w:color="auto"/>
            </w:tcBorders>
            <w:noWrap/>
            <w:vAlign w:val="bottom"/>
            <w:hideMark/>
          </w:tcPr>
          <w:p w14:paraId="10073B1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17.03</w:t>
            </w:r>
          </w:p>
        </w:tc>
        <w:tc>
          <w:tcPr>
            <w:tcW w:w="0" w:type="auto"/>
            <w:tcBorders>
              <w:top w:val="nil"/>
              <w:left w:val="nil"/>
              <w:bottom w:val="single" w:sz="4" w:space="0" w:color="auto"/>
              <w:right w:val="single" w:sz="4" w:space="0" w:color="auto"/>
            </w:tcBorders>
            <w:noWrap/>
            <w:vAlign w:val="bottom"/>
            <w:hideMark/>
          </w:tcPr>
          <w:p w14:paraId="0073CC16"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14.58</w:t>
            </w:r>
          </w:p>
        </w:tc>
        <w:tc>
          <w:tcPr>
            <w:tcW w:w="0" w:type="auto"/>
            <w:tcBorders>
              <w:top w:val="nil"/>
              <w:left w:val="nil"/>
              <w:bottom w:val="single" w:sz="4" w:space="0" w:color="auto"/>
              <w:right w:val="single" w:sz="4" w:space="0" w:color="auto"/>
            </w:tcBorders>
            <w:noWrap/>
            <w:vAlign w:val="bottom"/>
            <w:hideMark/>
          </w:tcPr>
          <w:p w14:paraId="756927D4"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14.36</w:t>
            </w:r>
          </w:p>
        </w:tc>
        <w:tc>
          <w:tcPr>
            <w:tcW w:w="0" w:type="auto"/>
            <w:tcBorders>
              <w:top w:val="nil"/>
              <w:left w:val="nil"/>
              <w:bottom w:val="single" w:sz="4" w:space="0" w:color="auto"/>
              <w:right w:val="single" w:sz="4" w:space="0" w:color="auto"/>
            </w:tcBorders>
            <w:noWrap/>
            <w:vAlign w:val="bottom"/>
            <w:hideMark/>
          </w:tcPr>
          <w:p w14:paraId="5E29E6E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25.75</w:t>
            </w:r>
          </w:p>
        </w:tc>
      </w:tr>
      <w:tr w:rsidR="00294854" w:rsidRPr="004869B8" w14:paraId="30C1C4F0" w14:textId="77777777" w:rsidTr="00D0174E">
        <w:trPr>
          <w:trHeight w:val="290"/>
          <w:jc w:val="center"/>
        </w:trPr>
        <w:tc>
          <w:tcPr>
            <w:tcW w:w="0" w:type="auto"/>
            <w:tcBorders>
              <w:top w:val="nil"/>
              <w:left w:val="single" w:sz="4" w:space="0" w:color="auto"/>
              <w:bottom w:val="single" w:sz="4" w:space="0" w:color="auto"/>
              <w:right w:val="single" w:sz="4" w:space="0" w:color="auto"/>
            </w:tcBorders>
            <w:noWrap/>
            <w:vAlign w:val="bottom"/>
            <w:hideMark/>
          </w:tcPr>
          <w:p w14:paraId="2485C25B" w14:textId="77777777" w:rsidR="00294854" w:rsidRPr="004869B8" w:rsidRDefault="00294854" w:rsidP="00D0174E">
            <w:pPr>
              <w:spacing w:after="0" w:line="240" w:lineRule="auto"/>
              <w:jc w:val="both"/>
              <w:rPr>
                <w:rFonts w:ascii="Arial" w:hAnsi="Arial" w:cs="Arial"/>
                <w:b/>
                <w:bCs/>
                <w:color w:val="000000"/>
                <w:kern w:val="0"/>
                <w:sz w:val="20"/>
                <w:szCs w:val="20"/>
              </w:rPr>
            </w:pPr>
            <w:r w:rsidRPr="004869B8">
              <w:rPr>
                <w:rFonts w:ascii="Arial" w:hAnsi="Arial" w:cs="Arial"/>
                <w:b/>
                <w:bCs/>
                <w:color w:val="000000"/>
                <w:kern w:val="0"/>
                <w:sz w:val="20"/>
                <w:szCs w:val="20"/>
              </w:rPr>
              <w:t>BS</w:t>
            </w:r>
          </w:p>
        </w:tc>
        <w:tc>
          <w:tcPr>
            <w:tcW w:w="0" w:type="auto"/>
            <w:tcBorders>
              <w:top w:val="nil"/>
              <w:left w:val="nil"/>
              <w:bottom w:val="single" w:sz="4" w:space="0" w:color="auto"/>
              <w:right w:val="single" w:sz="4" w:space="0" w:color="auto"/>
            </w:tcBorders>
            <w:noWrap/>
            <w:vAlign w:val="bottom"/>
            <w:hideMark/>
          </w:tcPr>
          <w:p w14:paraId="3A7DF09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2.30</w:t>
            </w:r>
          </w:p>
        </w:tc>
        <w:tc>
          <w:tcPr>
            <w:tcW w:w="0" w:type="auto"/>
            <w:tcBorders>
              <w:top w:val="nil"/>
              <w:left w:val="nil"/>
              <w:bottom w:val="single" w:sz="4" w:space="0" w:color="auto"/>
              <w:right w:val="single" w:sz="4" w:space="0" w:color="auto"/>
            </w:tcBorders>
            <w:noWrap/>
            <w:vAlign w:val="bottom"/>
            <w:hideMark/>
          </w:tcPr>
          <w:p w14:paraId="0C843218"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7.30</w:t>
            </w:r>
          </w:p>
        </w:tc>
        <w:tc>
          <w:tcPr>
            <w:tcW w:w="0" w:type="auto"/>
            <w:tcBorders>
              <w:top w:val="nil"/>
              <w:left w:val="nil"/>
              <w:bottom w:val="single" w:sz="4" w:space="0" w:color="auto"/>
              <w:right w:val="single" w:sz="4" w:space="0" w:color="auto"/>
            </w:tcBorders>
            <w:noWrap/>
            <w:vAlign w:val="bottom"/>
            <w:hideMark/>
          </w:tcPr>
          <w:p w14:paraId="468276A5"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4.64</w:t>
            </w:r>
          </w:p>
        </w:tc>
        <w:tc>
          <w:tcPr>
            <w:tcW w:w="0" w:type="auto"/>
            <w:tcBorders>
              <w:top w:val="nil"/>
              <w:left w:val="nil"/>
              <w:bottom w:val="single" w:sz="4" w:space="0" w:color="auto"/>
              <w:right w:val="single" w:sz="4" w:space="0" w:color="auto"/>
            </w:tcBorders>
            <w:noWrap/>
            <w:vAlign w:val="bottom"/>
            <w:hideMark/>
          </w:tcPr>
          <w:p w14:paraId="160E6D10"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86.18</w:t>
            </w:r>
          </w:p>
        </w:tc>
        <w:tc>
          <w:tcPr>
            <w:tcW w:w="0" w:type="auto"/>
            <w:tcBorders>
              <w:top w:val="nil"/>
              <w:left w:val="nil"/>
              <w:bottom w:val="single" w:sz="4" w:space="0" w:color="auto"/>
              <w:right w:val="single" w:sz="4" w:space="0" w:color="auto"/>
            </w:tcBorders>
            <w:noWrap/>
            <w:vAlign w:val="bottom"/>
            <w:hideMark/>
          </w:tcPr>
          <w:p w14:paraId="427ABF7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11.13</w:t>
            </w:r>
          </w:p>
        </w:tc>
        <w:tc>
          <w:tcPr>
            <w:tcW w:w="0" w:type="auto"/>
            <w:tcBorders>
              <w:top w:val="nil"/>
              <w:left w:val="nil"/>
              <w:bottom w:val="single" w:sz="4" w:space="0" w:color="auto"/>
              <w:right w:val="single" w:sz="4" w:space="0" w:color="auto"/>
            </w:tcBorders>
            <w:noWrap/>
            <w:vAlign w:val="bottom"/>
            <w:hideMark/>
          </w:tcPr>
          <w:p w14:paraId="7A107BCA"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29.45</w:t>
            </w:r>
          </w:p>
        </w:tc>
        <w:tc>
          <w:tcPr>
            <w:tcW w:w="0" w:type="auto"/>
            <w:tcBorders>
              <w:top w:val="nil"/>
              <w:left w:val="nil"/>
              <w:bottom w:val="single" w:sz="4" w:space="0" w:color="auto"/>
              <w:right w:val="single" w:sz="4" w:space="0" w:color="auto"/>
            </w:tcBorders>
            <w:noWrap/>
            <w:vAlign w:val="bottom"/>
            <w:hideMark/>
          </w:tcPr>
          <w:p w14:paraId="6569F7BB"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27.34</w:t>
            </w:r>
          </w:p>
        </w:tc>
        <w:tc>
          <w:tcPr>
            <w:tcW w:w="0" w:type="auto"/>
            <w:tcBorders>
              <w:top w:val="nil"/>
              <w:left w:val="nil"/>
              <w:bottom w:val="single" w:sz="4" w:space="0" w:color="auto"/>
              <w:right w:val="single" w:sz="4" w:space="0" w:color="auto"/>
            </w:tcBorders>
            <w:noWrap/>
            <w:vAlign w:val="bottom"/>
            <w:hideMark/>
          </w:tcPr>
          <w:p w14:paraId="2D51AACF"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2.43</w:t>
            </w:r>
          </w:p>
        </w:tc>
        <w:tc>
          <w:tcPr>
            <w:tcW w:w="0" w:type="auto"/>
            <w:tcBorders>
              <w:top w:val="nil"/>
              <w:left w:val="nil"/>
              <w:bottom w:val="single" w:sz="4" w:space="0" w:color="auto"/>
              <w:right w:val="single" w:sz="4" w:space="0" w:color="auto"/>
            </w:tcBorders>
            <w:noWrap/>
            <w:vAlign w:val="bottom"/>
            <w:hideMark/>
          </w:tcPr>
          <w:p w14:paraId="311293ED" w14:textId="77777777" w:rsidR="00294854" w:rsidRPr="004869B8" w:rsidRDefault="00294854" w:rsidP="00D0174E">
            <w:pPr>
              <w:spacing w:after="0" w:line="240" w:lineRule="auto"/>
              <w:jc w:val="center"/>
              <w:rPr>
                <w:rFonts w:ascii="Arial" w:hAnsi="Arial" w:cs="Arial"/>
                <w:color w:val="000000"/>
                <w:kern w:val="0"/>
                <w:sz w:val="20"/>
                <w:szCs w:val="20"/>
              </w:rPr>
            </w:pPr>
            <w:r w:rsidRPr="004869B8">
              <w:rPr>
                <w:rFonts w:ascii="Arial" w:hAnsi="Arial" w:cs="Arial"/>
                <w:color w:val="000000"/>
                <w:kern w:val="0"/>
                <w:sz w:val="20"/>
                <w:szCs w:val="20"/>
              </w:rPr>
              <w:t>52.36</w:t>
            </w:r>
          </w:p>
        </w:tc>
      </w:tr>
    </w:tbl>
    <w:p w14:paraId="14ACFCDD" w14:textId="77777777" w:rsidR="00294854" w:rsidRPr="004869B8" w:rsidRDefault="00294854" w:rsidP="00294854">
      <w:pPr>
        <w:spacing w:line="240" w:lineRule="auto"/>
        <w:jc w:val="both"/>
        <w:rPr>
          <w:rFonts w:ascii="Arial" w:hAnsi="Arial" w:cs="Arial"/>
          <w:sz w:val="20"/>
          <w:szCs w:val="20"/>
        </w:rPr>
      </w:pPr>
    </w:p>
    <w:p w14:paraId="4B6D5D50"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MIN - Minimum, MAX - Maximum, H</w:t>
      </w:r>
      <w:r w:rsidRPr="004869B8">
        <w:rPr>
          <w:rFonts w:ascii="Arial" w:hAnsi="Arial" w:cs="Arial"/>
          <w:sz w:val="20"/>
          <w:szCs w:val="20"/>
          <w:vertAlign w:val="superscript"/>
        </w:rPr>
        <w:t>2</w:t>
      </w:r>
      <w:r w:rsidRPr="004869B8">
        <w:rPr>
          <w:rFonts w:ascii="Arial" w:hAnsi="Arial" w:cs="Arial"/>
          <w:sz w:val="20"/>
          <w:szCs w:val="20"/>
        </w:rPr>
        <w:t>(%) - Heritability, CV(%) - Co-efficient of Variation, PCV(%) - Phenotypic Coefficient of Variation, GCV(%) – Genotypic Coefficient of Variation, GA – Genetic Advance, GAM – Genetic Advance as Percent of Mean, DFF – Days to 50% Flowering, DM – Days to Maturity, PS - Plant Stand, PH – Plant Height, NT – Number of Tillers, NPT – Number of Productive Tillers, NL – Number of Leaves, PL – Panicle Length, PD - Panicle Diameter, SG – Stem Girth, TSW – Thousand Seed Weight, SY – Seed Yield, HI – Harvest Index, BS - Blast Score.</w:t>
      </w:r>
    </w:p>
    <w:p w14:paraId="3975B231" w14:textId="6059BC74" w:rsidR="00252BBB" w:rsidRPr="003816DC" w:rsidRDefault="0057502D" w:rsidP="00252BBB">
      <w:pPr>
        <w:spacing w:line="240" w:lineRule="auto"/>
        <w:jc w:val="both"/>
        <w:rPr>
          <w:rFonts w:ascii="Arial" w:hAnsi="Arial" w:cs="Arial"/>
          <w:b/>
          <w:bCs/>
        </w:rPr>
      </w:pPr>
      <w:r w:rsidRPr="003816DC">
        <w:rPr>
          <w:rFonts w:ascii="Arial" w:hAnsi="Arial" w:cs="Arial"/>
          <w:b/>
          <w:bCs/>
        </w:rPr>
        <w:t>3.</w:t>
      </w:r>
      <w:r w:rsidR="007D311D" w:rsidRPr="003816DC">
        <w:rPr>
          <w:rFonts w:ascii="Arial" w:hAnsi="Arial" w:cs="Arial"/>
          <w:b/>
          <w:bCs/>
        </w:rPr>
        <w:t>2</w:t>
      </w:r>
      <w:r w:rsidRPr="003816DC">
        <w:rPr>
          <w:rFonts w:ascii="Arial" w:hAnsi="Arial" w:cs="Arial"/>
          <w:b/>
          <w:bCs/>
        </w:rPr>
        <w:t xml:space="preserve">.1 </w:t>
      </w:r>
      <w:r w:rsidR="00F5088A" w:rsidRPr="003816DC">
        <w:rPr>
          <w:rFonts w:ascii="Arial" w:hAnsi="Arial" w:cs="Arial"/>
          <w:b/>
          <w:bCs/>
        </w:rPr>
        <w:t>As</w:t>
      </w:r>
      <w:r w:rsidR="003E4D49" w:rsidRPr="003816DC">
        <w:rPr>
          <w:rFonts w:ascii="Arial" w:hAnsi="Arial" w:cs="Arial"/>
          <w:b/>
          <w:bCs/>
        </w:rPr>
        <w:t>s</w:t>
      </w:r>
      <w:r w:rsidR="00F5088A" w:rsidRPr="003816DC">
        <w:rPr>
          <w:rFonts w:ascii="Arial" w:hAnsi="Arial" w:cs="Arial"/>
          <w:b/>
          <w:bCs/>
        </w:rPr>
        <w:t xml:space="preserve">essment </w:t>
      </w:r>
      <w:r w:rsidR="003E4D49" w:rsidRPr="003816DC">
        <w:rPr>
          <w:rFonts w:ascii="Arial" w:hAnsi="Arial" w:cs="Arial"/>
          <w:b/>
          <w:bCs/>
        </w:rPr>
        <w:t xml:space="preserve">of </w:t>
      </w:r>
      <w:r w:rsidR="00441F9D" w:rsidRPr="003816DC">
        <w:rPr>
          <w:rFonts w:ascii="Arial" w:hAnsi="Arial" w:cs="Arial"/>
          <w:b/>
          <w:bCs/>
        </w:rPr>
        <w:t>v</w:t>
      </w:r>
      <w:r w:rsidR="00D34E38" w:rsidRPr="003816DC">
        <w:rPr>
          <w:rFonts w:ascii="Arial" w:hAnsi="Arial" w:cs="Arial"/>
          <w:b/>
          <w:bCs/>
        </w:rPr>
        <w:t>aria</w:t>
      </w:r>
      <w:r w:rsidR="004C67CA" w:rsidRPr="003816DC">
        <w:rPr>
          <w:rFonts w:ascii="Arial" w:hAnsi="Arial" w:cs="Arial"/>
          <w:b/>
          <w:bCs/>
        </w:rPr>
        <w:t xml:space="preserve">bility </w:t>
      </w:r>
    </w:p>
    <w:p w14:paraId="76D08886" w14:textId="34345E5C" w:rsidR="009B4936" w:rsidRPr="004869B8" w:rsidRDefault="009B4936" w:rsidP="000B3C52">
      <w:pPr>
        <w:ind w:firstLine="720"/>
        <w:jc w:val="both"/>
        <w:rPr>
          <w:rFonts w:ascii="Arial" w:hAnsi="Arial" w:cs="Arial"/>
          <w:sz w:val="20"/>
          <w:szCs w:val="20"/>
        </w:rPr>
      </w:pPr>
      <w:r w:rsidRPr="004869B8">
        <w:rPr>
          <w:rFonts w:ascii="Arial" w:hAnsi="Arial" w:cs="Arial"/>
          <w:sz w:val="20"/>
          <w:szCs w:val="20"/>
        </w:rPr>
        <w:t>High variability was observed across environments for Days to 50% Flowering, with ranges of 36.00–57.00 days in ENV-I, 38.50–53.00 days in ENV-II, and 37.50–54.25 days in the Pooled environment. Similarly, Days to Maturity showed substantial variation, ranging from 54.50–76.50 days in ENV-I, 58.50–81.00 days in ENV-II, and 58.75–78.75 days in the Pooled environment. Plant Stand also varied significantly, with ranges of 5.00–17.50 in ENV-I, 5.00–19.00 in ENV-II, and 6.50–15.50 in the Pooled environment. Plant Height exhibited a wide range of variability, spanning 55.50–165.00 cm in ENV-I, 73.00–154.00 cm in ENV-II, and 70.75–156.50 cm in the Pooled environment. The Number of Tillers varied across environments, with ranges of 1.60–6.70 in ENV-I, 1.90–6.60 in ENV-II, and 1.75–6.20 in the Pooled environment. Similarly, the Number of Productive Tillers displayed a high range of variation, ranging from 1.10–6.33 in ENV-I, 1.50–5.20 in ENV-II, and 1.30–5.72 in the Pooled environment.</w:t>
      </w:r>
      <w:r w:rsidR="000B3C52" w:rsidRPr="004869B8">
        <w:rPr>
          <w:rFonts w:ascii="Arial" w:hAnsi="Arial" w:cs="Arial"/>
          <w:sz w:val="20"/>
          <w:szCs w:val="20"/>
        </w:rPr>
        <w:t xml:space="preserve"> </w:t>
      </w:r>
      <w:r w:rsidRPr="004869B8">
        <w:rPr>
          <w:rFonts w:ascii="Arial" w:hAnsi="Arial" w:cs="Arial"/>
          <w:sz w:val="20"/>
          <w:szCs w:val="20"/>
        </w:rPr>
        <w:t xml:space="preserve">Substantial variation was also observed in the Number of Leaves, ranging from 10.00–32.50 in ENV-I, 10.50–30.00 in ENV-II, and 12.00–30.25 in the Pooled environment. Panicle Length exhibited a wide range of variation, spanning from 10.00–25.50 cm in ENV-I, 9.60–24.70 cm in ENV-II, and 9.80–23.55 cm in the Pooled environment. Panicle Diameter varied from 15.18–29.37 mm in ENV-I, 15.87–27.72 mm in ENV-II, and 16.32–28.35 mm in the Pooled environment. </w:t>
      </w:r>
      <w:r w:rsidR="000B3C52" w:rsidRPr="004869B8">
        <w:rPr>
          <w:rFonts w:ascii="Arial" w:hAnsi="Arial" w:cs="Arial"/>
          <w:sz w:val="20"/>
          <w:szCs w:val="20"/>
        </w:rPr>
        <w:t xml:space="preserve"> </w:t>
      </w:r>
      <w:r w:rsidRPr="004869B8">
        <w:rPr>
          <w:rFonts w:ascii="Arial" w:hAnsi="Arial" w:cs="Arial"/>
          <w:sz w:val="20"/>
          <w:szCs w:val="20"/>
        </w:rPr>
        <w:t>Stem Girth showed a range of variation from 13.05–25.25 mm in ENV-I, 14.00–22.00 mm in ENV-II, and 14.33–23.28 mm in the Pooled environment. Thousand Seed Weight exhibited broad variability, ranging from 2.28–12.58 gm in ENV-I, 3.35–12.19 gm in ENV-II, and 3.59–11.95 gm in the Pooled environment. Seed Yield demonstrated considerable variation, ranging from 11.00–204.50 g in ENV-I, 11.00–152.50 g in ENV-II, and 15.00–178.50 g in the Pooled environment. The Harvest Index varied widely, ranging from 24.61–</w:t>
      </w:r>
      <w:r w:rsidRPr="004869B8">
        <w:rPr>
          <w:rFonts w:ascii="Arial" w:hAnsi="Arial" w:cs="Arial"/>
          <w:sz w:val="20"/>
          <w:szCs w:val="20"/>
        </w:rPr>
        <w:lastRenderedPageBreak/>
        <w:t>80.22% in ENV-I, 15.60–76.98% in ENV-II, and 24.37–78.28% in the Pooled environment. The Blast score, which indicates resistance to susceptibility, also varied significantly, ranging from 2.30–7.90 in ENV-I, 2.30–8.10 in ENV-II, and 2.30–7.30 in the Pooled environment</w:t>
      </w:r>
      <w:r w:rsidRPr="004869B8">
        <w:rPr>
          <w:rFonts w:ascii="Arial" w:hAnsi="Arial" w:cs="Arial"/>
          <w:b/>
          <w:bCs/>
          <w:sz w:val="20"/>
          <w:szCs w:val="20"/>
        </w:rPr>
        <w:t>.</w:t>
      </w:r>
    </w:p>
    <w:p w14:paraId="20A07B9B" w14:textId="65D36228" w:rsidR="00703CD9" w:rsidRPr="003816DC" w:rsidRDefault="0057502D" w:rsidP="009B4936">
      <w:pPr>
        <w:rPr>
          <w:rFonts w:ascii="Arial" w:hAnsi="Arial" w:cs="Arial"/>
          <w:b/>
          <w:bCs/>
        </w:rPr>
      </w:pPr>
      <w:r w:rsidRPr="003816DC">
        <w:rPr>
          <w:rFonts w:ascii="Arial" w:hAnsi="Arial" w:cs="Arial"/>
          <w:b/>
          <w:bCs/>
        </w:rPr>
        <w:t>3.2.</w:t>
      </w:r>
      <w:r w:rsidR="007D311D" w:rsidRPr="003816DC">
        <w:rPr>
          <w:rFonts w:ascii="Arial" w:hAnsi="Arial" w:cs="Arial"/>
          <w:b/>
          <w:bCs/>
        </w:rPr>
        <w:t xml:space="preserve">2. </w:t>
      </w:r>
      <w:r w:rsidRPr="003816DC">
        <w:rPr>
          <w:rFonts w:ascii="Arial" w:hAnsi="Arial" w:cs="Arial"/>
          <w:b/>
          <w:bCs/>
        </w:rPr>
        <w:t xml:space="preserve"> </w:t>
      </w:r>
      <w:r w:rsidR="009812B6" w:rsidRPr="003816DC">
        <w:rPr>
          <w:rFonts w:ascii="Arial" w:hAnsi="Arial" w:cs="Arial"/>
          <w:b/>
          <w:bCs/>
        </w:rPr>
        <w:t>Heritability</w:t>
      </w:r>
      <w:r w:rsidR="007F249C" w:rsidRPr="003816DC">
        <w:rPr>
          <w:rFonts w:ascii="Arial" w:hAnsi="Arial" w:cs="Arial"/>
          <w:b/>
          <w:bCs/>
        </w:rPr>
        <w:t xml:space="preserve"> (H</w:t>
      </w:r>
      <w:r w:rsidR="007F249C" w:rsidRPr="003816DC">
        <w:rPr>
          <w:rFonts w:ascii="Arial" w:hAnsi="Arial" w:cs="Arial"/>
          <w:b/>
          <w:bCs/>
          <w:vertAlign w:val="superscript"/>
        </w:rPr>
        <w:t>2</w:t>
      </w:r>
      <w:r w:rsidR="007F249C" w:rsidRPr="003816DC">
        <w:rPr>
          <w:rFonts w:ascii="Arial" w:hAnsi="Arial" w:cs="Arial"/>
          <w:b/>
          <w:bCs/>
        </w:rPr>
        <w:t>)</w:t>
      </w:r>
      <w:r w:rsidR="000904F9" w:rsidRPr="003816DC">
        <w:rPr>
          <w:rFonts w:ascii="Arial" w:hAnsi="Arial" w:cs="Arial"/>
          <w:b/>
          <w:bCs/>
        </w:rPr>
        <w:t xml:space="preserve"> </w:t>
      </w:r>
    </w:p>
    <w:p w14:paraId="6F97D9F3" w14:textId="096571B9" w:rsidR="00005B01" w:rsidRPr="004869B8" w:rsidRDefault="00005B01" w:rsidP="00E1475D">
      <w:pPr>
        <w:ind w:firstLine="720"/>
        <w:jc w:val="both"/>
        <w:rPr>
          <w:rFonts w:ascii="Arial" w:hAnsi="Arial" w:cs="Arial"/>
          <w:sz w:val="20"/>
          <w:szCs w:val="20"/>
        </w:rPr>
      </w:pPr>
      <w:r w:rsidRPr="004869B8">
        <w:rPr>
          <w:rFonts w:ascii="Arial" w:hAnsi="Arial" w:cs="Arial"/>
          <w:sz w:val="20"/>
          <w:szCs w:val="20"/>
        </w:rPr>
        <w:t>The trait of Days to 50% Flowering exhibited high heritability in ENV-I (92.84%) and ENV-II (89.22%), while moderate heritability was observed in the Pooled environment (51.36%). Similarly</w:t>
      </w:r>
      <w:r w:rsidR="00E1475D" w:rsidRPr="004869B8">
        <w:rPr>
          <w:rFonts w:ascii="Arial" w:hAnsi="Arial" w:cs="Arial"/>
          <w:sz w:val="20"/>
          <w:szCs w:val="20"/>
        </w:rPr>
        <w:t>,</w:t>
      </w:r>
      <w:r w:rsidRPr="004869B8">
        <w:rPr>
          <w:rFonts w:ascii="Arial" w:hAnsi="Arial" w:cs="Arial"/>
          <w:sz w:val="20"/>
          <w:szCs w:val="20"/>
        </w:rPr>
        <w:t xml:space="preserve"> for Days to Maturity, high heritability was noted in ENV-I (81.89%) and ENV-II (92.63%), whereas the Pooled environment displayed low heritability (26.28%) unlike moderate for days to 50% flower. Plant Stand showed low heritability across all conditions, with values of 28.88%, 30.37%, and 15.14% in ENV-I, ENV-II, and the Pooled environment, respectively. In contrast, Plant Height exhibited high heritability in all environments, with heritability of 90.55%, 82.07%, and 92.30% in ENV-I, ENV-II, and the Pooled environment, respectively. For the Number of Tillers, heritability was high across ENV-I (81.81%), ENV-II (81.51%), and the Pooled environment (65.84%). The Number of Productive Tillers demonstrated moderate heritability in ENV-I (54.83%) and ENV-II (34.75%), while the Pooled environment exhibited high heritability (71.15%). The Number of Leaves showed high heritability in ENV-I (77.75%) and ENV-II (76.06%), with moderate heritability in the Pooled environment (40.16%). Panicle Length displayed high heritability across all environments, with values of 93.10% in ENV-I, 93.07% in ENV-II, and 84.32% in the Pooled environment. Similarly, Panicle Diameter exhibited high heritability in ENV-I (90.05%), ENV-II (88.56%), and the Pooled environment (67.00%). Stem Girth showed moderate heritability in ENV-I (55.27%) and ENV-II (53.23%), while low heritability was observed in the Pooled environment (12.25%). Thousand Seed Weight demonstrated high heritability across ENV-I (95.94%), ENV-II (96.63%), and the Pooled environment (75.67%). Seed Yield exhibited high heritability in all environments, with values of 92.33% in ENV-I, 95.83% in ENV-II, and 79.64% in the Pooled environment. Similarly, the Harvest Index showed high heritability across ENV-I (87.44%), ENV-II (91.88%), and the Pooled environment (73.28%). Lastly, the Blast Score also demonstrated high heritability in all environments, with values of 93.59% in ENV-I, 93.83% in ENV-II, and 86.18% in the Pooled environment.</w:t>
      </w:r>
    </w:p>
    <w:p w14:paraId="55AF51B0" w14:textId="13D29322" w:rsidR="00851F12" w:rsidRPr="003816DC" w:rsidRDefault="007D311D" w:rsidP="007D311D">
      <w:pPr>
        <w:jc w:val="both"/>
        <w:rPr>
          <w:rFonts w:ascii="Arial" w:hAnsi="Arial" w:cs="Arial"/>
          <w:b/>
          <w:bCs/>
        </w:rPr>
      </w:pPr>
      <w:r w:rsidRPr="003816DC">
        <w:rPr>
          <w:rFonts w:ascii="Arial" w:hAnsi="Arial" w:cs="Arial"/>
          <w:b/>
          <w:bCs/>
        </w:rPr>
        <w:t xml:space="preserve">3.2.3. </w:t>
      </w:r>
      <w:r w:rsidR="00C44166" w:rsidRPr="003816DC">
        <w:rPr>
          <w:rFonts w:ascii="Arial" w:hAnsi="Arial" w:cs="Arial"/>
          <w:b/>
          <w:bCs/>
        </w:rPr>
        <w:t>PCV and GCV</w:t>
      </w:r>
    </w:p>
    <w:p w14:paraId="5B6E6D37" w14:textId="76D599C8" w:rsidR="00641E49" w:rsidRPr="004869B8" w:rsidRDefault="00641E49" w:rsidP="00146DBF">
      <w:pPr>
        <w:ind w:firstLine="720"/>
        <w:jc w:val="both"/>
        <w:rPr>
          <w:rFonts w:ascii="Arial" w:hAnsi="Arial" w:cs="Arial"/>
          <w:sz w:val="20"/>
          <w:szCs w:val="20"/>
        </w:rPr>
      </w:pPr>
      <w:r w:rsidRPr="004869B8">
        <w:rPr>
          <w:rFonts w:ascii="Arial" w:hAnsi="Arial" w:cs="Arial"/>
          <w:sz w:val="20"/>
          <w:szCs w:val="20"/>
        </w:rPr>
        <w:t xml:space="preserve">The PCV and GCV for Days to 50% Flowering were low across environments, recorded at 8.61% and 8.30% in ENV-I, 7.42% and 7.01% in ENV-II, and 6.59% and 4.72% in the Pooled environment. For Days to Maturity, both PCV and GCV were also low, with values of 5.56% and 5.03% in ENV-I, 6.65% and 6.40% in ENV-II, and 4.68% and 2.40% in the Pooled environment. A notable difference was observed in Plant Stand, where PCV and GCV values were 20.58% and 11.06% in ENV-I, 23.86% and 13.15% in ENV-II, and 16.56% and 6.44% in the Pooled environment. For Plant Height, PCV and GCV showed minor variation across environments, with moderate values of 16.32% and 15.53% in ENV-I, 13.94% and 12.63% in ENV-II, and 14.60% and 14.03% in the Pooled environment. High PCV and GCV were recorded for the Number of Tillers in ENV-I (22.99% and 20.79%) and ENV-II (21.39% and 19.31%), while the Pooled environment exhibited moderate values of 19.20% and 15.58%. For the Number of Productive Tillers, ENV-I showed high PCV and GCV at 30.02% and 22.23%, respectively, while ENV-II exhibited high PCV (20.89%) and moderate GCV (12.32%). The Pooled environment displayed high PCV (23.33%) and GCV (19.68%). The Number of Leaves showed high PCV (20.29%) and moderate GCV (17.89%) in ENV-I, while ENV-II demonstrated moderate PCV (19.08%) and GCV (16.64%). The Pooled environment exhibited moderate PCV (15.59%) and low GCV (9.88%). Panicle Length had moderate PCV and GCV across all environments, with values of 17.24% and 16.63% in ENV-I, 16.62% and 16.03% in ENV-II, and 15.74% and 14.45% in the Pooled environment. Panicle Diameter showed low PCV and GCV, recording values of 10.73% and 10.18% in ENV-I, 10.07% and 9.47% in ENV-II, and 9.03% and 7.39% in the Pooled environment. Stem Girth also had low PCV and GCV across all environments, with values of 9.41% and 7.00% in ENV-I, 9.87% and 7.20% in ENV-II, and 7.03% and 2.46% in the Pooled environment. For Thousand Seed Weight, ENV-I and ENV-II exhibited high PCV and GCV, with values of 22.79% and 22.32% in ENV-I, and 21.90% and 21.49% in ENV-II, while the Pooled environment showed </w:t>
      </w:r>
      <w:r w:rsidRPr="004869B8">
        <w:rPr>
          <w:rFonts w:ascii="Arial" w:hAnsi="Arial" w:cs="Arial"/>
          <w:sz w:val="20"/>
          <w:szCs w:val="20"/>
        </w:rPr>
        <w:lastRenderedPageBreak/>
        <w:t>high PCV (20.03%) and moderate GCV (17.43%). Seed Yield demonstrated high PCV and GCV, with values of 33.01% and 31.72% in ENV-I, 36.25% and 35.48% in ENV-II, and 31.49% and 28.10% in the Pooled environment. The Harvest Index showed moderate PCV and GCV in ENV-I (16.43% and 15.36%) and the Pooled environment (17.03% and 14.58%), while ENV-II displayed high values of 22.10% and 21.18%. Lastly, the Blast Score exhibited high PCV and GCV across all environments, with values of 29.99% and 29.01% in ENV-I, 32.66% and 31.64% in ENV-II, and 29.45% and 27.34% in the Pooled environment.</w:t>
      </w:r>
    </w:p>
    <w:p w14:paraId="4858B3E8" w14:textId="1EEE7721" w:rsidR="007E1FC7" w:rsidRPr="003816DC" w:rsidRDefault="00C5275A" w:rsidP="00115C13">
      <w:pPr>
        <w:jc w:val="both"/>
        <w:rPr>
          <w:rFonts w:ascii="Arial" w:hAnsi="Arial" w:cs="Arial"/>
          <w:b/>
          <w:bCs/>
        </w:rPr>
      </w:pPr>
      <w:r w:rsidRPr="003816DC">
        <w:rPr>
          <w:rFonts w:ascii="Arial" w:hAnsi="Arial" w:cs="Arial"/>
          <w:b/>
          <w:bCs/>
        </w:rPr>
        <w:t xml:space="preserve">3.2.4. </w:t>
      </w:r>
      <w:r w:rsidR="00CF0B7C" w:rsidRPr="003816DC">
        <w:rPr>
          <w:rFonts w:ascii="Arial" w:hAnsi="Arial" w:cs="Arial"/>
          <w:b/>
          <w:bCs/>
        </w:rPr>
        <w:t xml:space="preserve">Heritability coupled with </w:t>
      </w:r>
      <w:r w:rsidR="00441F9D" w:rsidRPr="003816DC">
        <w:rPr>
          <w:rFonts w:ascii="Arial" w:hAnsi="Arial" w:cs="Arial"/>
          <w:b/>
          <w:bCs/>
        </w:rPr>
        <w:t>GAM</w:t>
      </w:r>
    </w:p>
    <w:p w14:paraId="4D4EC36D" w14:textId="1F260B46" w:rsidR="000356BC" w:rsidRPr="004869B8" w:rsidRDefault="000356BC" w:rsidP="00115C13">
      <w:pPr>
        <w:ind w:firstLine="360"/>
        <w:jc w:val="both"/>
        <w:rPr>
          <w:rFonts w:ascii="Arial" w:hAnsi="Arial" w:cs="Arial"/>
          <w:sz w:val="20"/>
          <w:szCs w:val="20"/>
        </w:rPr>
      </w:pPr>
      <w:r w:rsidRPr="004869B8">
        <w:rPr>
          <w:rFonts w:ascii="Arial" w:hAnsi="Arial" w:cs="Arial"/>
          <w:sz w:val="20"/>
          <w:szCs w:val="20"/>
        </w:rPr>
        <w:t>ENV-I and ENV-II exhibited high heritability with moderate genetic advance as a</w:t>
      </w:r>
      <w:r w:rsidR="00115C13" w:rsidRPr="004869B8">
        <w:rPr>
          <w:rFonts w:ascii="Arial" w:hAnsi="Arial" w:cs="Arial"/>
          <w:sz w:val="20"/>
          <w:szCs w:val="20"/>
        </w:rPr>
        <w:t xml:space="preserve"> </w:t>
      </w:r>
      <w:r w:rsidRPr="004869B8">
        <w:rPr>
          <w:rFonts w:ascii="Arial" w:hAnsi="Arial" w:cs="Arial"/>
          <w:sz w:val="20"/>
          <w:szCs w:val="20"/>
        </w:rPr>
        <w:t>percentage of the mean (GAM), of 16.50% and 13.66%, respectively, for Days to 50%</w:t>
      </w:r>
      <w:r w:rsidR="00115C13" w:rsidRPr="004869B8">
        <w:rPr>
          <w:rFonts w:ascii="Arial" w:hAnsi="Arial" w:cs="Arial"/>
          <w:sz w:val="20"/>
          <w:szCs w:val="20"/>
        </w:rPr>
        <w:t xml:space="preserve"> </w:t>
      </w:r>
      <w:r w:rsidRPr="004869B8">
        <w:rPr>
          <w:rFonts w:ascii="Arial" w:hAnsi="Arial" w:cs="Arial"/>
          <w:sz w:val="20"/>
          <w:szCs w:val="20"/>
        </w:rPr>
        <w:t>Flowering. In contrast, the Pooled environment showed moderate heritability and low GAM. For</w:t>
      </w:r>
      <w:r w:rsidR="00115C13" w:rsidRPr="004869B8">
        <w:rPr>
          <w:rFonts w:ascii="Arial" w:hAnsi="Arial" w:cs="Arial"/>
          <w:sz w:val="20"/>
          <w:szCs w:val="20"/>
        </w:rPr>
        <w:t xml:space="preserve"> </w:t>
      </w:r>
      <w:r w:rsidRPr="004869B8">
        <w:rPr>
          <w:rFonts w:ascii="Arial" w:hAnsi="Arial" w:cs="Arial"/>
          <w:sz w:val="20"/>
          <w:szCs w:val="20"/>
        </w:rPr>
        <w:t>Days to Maturity, ENV-I demonstrated high heritability with a low GAM of 9.39%, while ENV-</w:t>
      </w:r>
      <w:r w:rsidR="00115C13" w:rsidRPr="004869B8">
        <w:rPr>
          <w:rFonts w:ascii="Arial" w:hAnsi="Arial" w:cs="Arial"/>
          <w:sz w:val="20"/>
          <w:szCs w:val="20"/>
        </w:rPr>
        <w:t xml:space="preserve"> </w:t>
      </w:r>
      <w:r w:rsidRPr="004869B8">
        <w:rPr>
          <w:rFonts w:ascii="Arial" w:hAnsi="Arial" w:cs="Arial"/>
          <w:sz w:val="20"/>
          <w:szCs w:val="20"/>
        </w:rPr>
        <w:t>II had high heritability with moderate GAM at 12.70%. The Pooled environment showed low</w:t>
      </w:r>
      <w:r w:rsidR="00115C13" w:rsidRPr="004869B8">
        <w:rPr>
          <w:rFonts w:ascii="Arial" w:hAnsi="Arial" w:cs="Arial"/>
          <w:sz w:val="20"/>
          <w:szCs w:val="20"/>
        </w:rPr>
        <w:t xml:space="preserve"> </w:t>
      </w:r>
      <w:r w:rsidRPr="004869B8">
        <w:rPr>
          <w:rFonts w:ascii="Arial" w:hAnsi="Arial" w:cs="Arial"/>
          <w:sz w:val="20"/>
          <w:szCs w:val="20"/>
        </w:rPr>
        <w:t>heritability and low GAM at 2.54%. For Plant Stand, both ENV-I and ENV-II exhibited low</w:t>
      </w:r>
      <w:r w:rsidR="00115C13" w:rsidRPr="004869B8">
        <w:rPr>
          <w:rFonts w:ascii="Arial" w:hAnsi="Arial" w:cs="Arial"/>
          <w:sz w:val="20"/>
          <w:szCs w:val="20"/>
        </w:rPr>
        <w:t xml:space="preserve"> </w:t>
      </w:r>
      <w:r w:rsidRPr="004869B8">
        <w:rPr>
          <w:rFonts w:ascii="Arial" w:hAnsi="Arial" w:cs="Arial"/>
          <w:sz w:val="20"/>
          <w:szCs w:val="20"/>
        </w:rPr>
        <w:t>heritability with moderate GAM, at 12.26% and 14.95%, respectively, while the Pooled</w:t>
      </w:r>
      <w:r w:rsidR="00115C13" w:rsidRPr="004869B8">
        <w:rPr>
          <w:rFonts w:ascii="Arial" w:hAnsi="Arial" w:cs="Arial"/>
          <w:sz w:val="20"/>
          <w:szCs w:val="20"/>
        </w:rPr>
        <w:t xml:space="preserve"> </w:t>
      </w:r>
      <w:r w:rsidRPr="004869B8">
        <w:rPr>
          <w:rFonts w:ascii="Arial" w:hAnsi="Arial" w:cs="Arial"/>
          <w:sz w:val="20"/>
          <w:szCs w:val="20"/>
        </w:rPr>
        <w:t>environment had low heritability and low GAM at 5.17%. High heritability was paired with high</w:t>
      </w:r>
      <w:r w:rsidR="00115C13" w:rsidRPr="004869B8">
        <w:rPr>
          <w:rFonts w:ascii="Arial" w:hAnsi="Arial" w:cs="Arial"/>
          <w:sz w:val="20"/>
          <w:szCs w:val="20"/>
        </w:rPr>
        <w:t xml:space="preserve"> </w:t>
      </w:r>
      <w:r w:rsidRPr="004869B8">
        <w:rPr>
          <w:rFonts w:ascii="Arial" w:hAnsi="Arial" w:cs="Arial"/>
          <w:sz w:val="20"/>
          <w:szCs w:val="20"/>
        </w:rPr>
        <w:t>GAM for Plant Height across all environments, with values of 30.48%, 23.60%, and 27.80% in</w:t>
      </w:r>
      <w:r w:rsidR="00115C13" w:rsidRPr="004869B8">
        <w:rPr>
          <w:rFonts w:ascii="Arial" w:hAnsi="Arial" w:cs="Arial"/>
          <w:sz w:val="20"/>
          <w:szCs w:val="20"/>
        </w:rPr>
        <w:t xml:space="preserve"> </w:t>
      </w:r>
      <w:r w:rsidRPr="004869B8">
        <w:rPr>
          <w:rFonts w:ascii="Arial" w:hAnsi="Arial" w:cs="Arial"/>
          <w:sz w:val="20"/>
          <w:szCs w:val="20"/>
        </w:rPr>
        <w:t>ENV-I, ENV-II, and the Pooled environment, respectively. For the Number of Tillers, high</w:t>
      </w:r>
      <w:r w:rsidR="00115C13" w:rsidRPr="004869B8">
        <w:rPr>
          <w:rFonts w:ascii="Arial" w:hAnsi="Arial" w:cs="Arial"/>
          <w:sz w:val="20"/>
          <w:szCs w:val="20"/>
        </w:rPr>
        <w:t xml:space="preserve"> </w:t>
      </w:r>
      <w:r w:rsidRPr="004869B8">
        <w:rPr>
          <w:rFonts w:ascii="Arial" w:hAnsi="Arial" w:cs="Arial"/>
          <w:sz w:val="20"/>
          <w:szCs w:val="20"/>
        </w:rPr>
        <w:t>heritability was associated with high GAM in ENV-I (38.79%), ENV-II (35.96%), and the</w:t>
      </w:r>
      <w:r w:rsidR="00115C13" w:rsidRPr="004869B8">
        <w:rPr>
          <w:rFonts w:ascii="Arial" w:hAnsi="Arial" w:cs="Arial"/>
          <w:sz w:val="20"/>
          <w:szCs w:val="20"/>
        </w:rPr>
        <w:t xml:space="preserve"> </w:t>
      </w:r>
      <w:r w:rsidRPr="004869B8">
        <w:rPr>
          <w:rFonts w:ascii="Arial" w:hAnsi="Arial" w:cs="Arial"/>
          <w:sz w:val="20"/>
          <w:szCs w:val="20"/>
        </w:rPr>
        <w:t>Pooled environment (26.08%). ENV-I showed moderate heritability with high GAM (33.96%)</w:t>
      </w:r>
      <w:r w:rsidR="00115C13" w:rsidRPr="004869B8">
        <w:rPr>
          <w:rFonts w:ascii="Arial" w:hAnsi="Arial" w:cs="Arial"/>
          <w:sz w:val="20"/>
          <w:szCs w:val="20"/>
        </w:rPr>
        <w:t xml:space="preserve"> </w:t>
      </w:r>
      <w:r w:rsidRPr="004869B8">
        <w:rPr>
          <w:rFonts w:ascii="Arial" w:hAnsi="Arial" w:cs="Arial"/>
          <w:sz w:val="20"/>
          <w:szCs w:val="20"/>
        </w:rPr>
        <w:t>for the Number of Productive Tillers. ENV-II had moderate heritability with moderate GAM</w:t>
      </w:r>
      <w:r w:rsidR="00115C13" w:rsidRPr="004869B8">
        <w:rPr>
          <w:rFonts w:ascii="Arial" w:hAnsi="Arial" w:cs="Arial"/>
          <w:sz w:val="20"/>
          <w:szCs w:val="20"/>
        </w:rPr>
        <w:t xml:space="preserve"> </w:t>
      </w:r>
      <w:r w:rsidRPr="004869B8">
        <w:rPr>
          <w:rFonts w:ascii="Arial" w:hAnsi="Arial" w:cs="Arial"/>
          <w:sz w:val="20"/>
          <w:szCs w:val="20"/>
        </w:rPr>
        <w:t>(14.98%), while the Pooled environment displayed high heritability with high GAM (34.25%).</w:t>
      </w:r>
      <w:r w:rsidR="00115C13" w:rsidRPr="004869B8">
        <w:rPr>
          <w:rFonts w:ascii="Arial" w:hAnsi="Arial" w:cs="Arial"/>
          <w:sz w:val="20"/>
          <w:szCs w:val="20"/>
        </w:rPr>
        <w:t xml:space="preserve"> </w:t>
      </w:r>
      <w:r w:rsidRPr="004869B8">
        <w:rPr>
          <w:rFonts w:ascii="Arial" w:hAnsi="Arial" w:cs="Arial"/>
          <w:sz w:val="20"/>
          <w:szCs w:val="20"/>
        </w:rPr>
        <w:t>For the Number of Leaves, both ENV-I and ENV-II had high heritability with high GAM at</w:t>
      </w:r>
      <w:r w:rsidR="00115C13" w:rsidRPr="004869B8">
        <w:rPr>
          <w:rFonts w:ascii="Arial" w:hAnsi="Arial" w:cs="Arial"/>
          <w:sz w:val="20"/>
          <w:szCs w:val="20"/>
        </w:rPr>
        <w:t xml:space="preserve"> </w:t>
      </w:r>
      <w:r w:rsidRPr="004869B8">
        <w:rPr>
          <w:rFonts w:ascii="Arial" w:hAnsi="Arial" w:cs="Arial"/>
          <w:sz w:val="20"/>
          <w:szCs w:val="20"/>
        </w:rPr>
        <w:t>32.54% and 29.94%, respectively, while the Pooled environment exhibited moderate heritability</w:t>
      </w:r>
      <w:r w:rsidR="00115C13" w:rsidRPr="004869B8">
        <w:rPr>
          <w:rFonts w:ascii="Arial" w:hAnsi="Arial" w:cs="Arial"/>
          <w:sz w:val="20"/>
          <w:szCs w:val="20"/>
        </w:rPr>
        <w:t xml:space="preserve"> </w:t>
      </w:r>
      <w:r w:rsidRPr="004869B8">
        <w:rPr>
          <w:rFonts w:ascii="Arial" w:hAnsi="Arial" w:cs="Arial"/>
          <w:sz w:val="20"/>
          <w:szCs w:val="20"/>
        </w:rPr>
        <w:t>with moderate GAM at 12.91%. Panicle Length showed high heritability with high GAM across</w:t>
      </w:r>
      <w:r w:rsidR="0067276F" w:rsidRPr="004869B8">
        <w:rPr>
          <w:rFonts w:ascii="Arial" w:hAnsi="Arial" w:cs="Arial"/>
          <w:sz w:val="20"/>
          <w:szCs w:val="20"/>
        </w:rPr>
        <w:t xml:space="preserve"> </w:t>
      </w:r>
      <w:r w:rsidRPr="004869B8">
        <w:rPr>
          <w:rFonts w:ascii="Arial" w:hAnsi="Arial" w:cs="Arial"/>
          <w:sz w:val="20"/>
          <w:szCs w:val="20"/>
        </w:rPr>
        <w:t>all environments, with values of 33.11% in ENV-I, 31.91% in ENV-II, and 27.37% in the Pooled</w:t>
      </w:r>
      <w:r w:rsidR="00115C13" w:rsidRPr="004869B8">
        <w:rPr>
          <w:rFonts w:ascii="Arial" w:hAnsi="Arial" w:cs="Arial"/>
          <w:sz w:val="20"/>
          <w:szCs w:val="20"/>
        </w:rPr>
        <w:t xml:space="preserve"> </w:t>
      </w:r>
      <w:r w:rsidRPr="004869B8">
        <w:rPr>
          <w:rFonts w:ascii="Arial" w:hAnsi="Arial" w:cs="Arial"/>
          <w:sz w:val="20"/>
          <w:szCs w:val="20"/>
        </w:rPr>
        <w:t>environment. For Panicle Diameter, high heritability was coupled with moderate GAM in ENV-I</w:t>
      </w:r>
      <w:r w:rsidR="00115C13" w:rsidRPr="004869B8">
        <w:rPr>
          <w:rFonts w:ascii="Arial" w:hAnsi="Arial" w:cs="Arial"/>
          <w:sz w:val="20"/>
          <w:szCs w:val="20"/>
        </w:rPr>
        <w:t xml:space="preserve"> </w:t>
      </w:r>
      <w:r w:rsidRPr="004869B8">
        <w:rPr>
          <w:rFonts w:ascii="Arial" w:hAnsi="Arial" w:cs="Arial"/>
          <w:sz w:val="20"/>
          <w:szCs w:val="20"/>
        </w:rPr>
        <w:t>(19.93%), ENV-II (18.39%), and the Pooled environment (12.48%). Stem Girth exhibited</w:t>
      </w:r>
      <w:r w:rsidR="00115C13" w:rsidRPr="004869B8">
        <w:rPr>
          <w:rFonts w:ascii="Arial" w:hAnsi="Arial" w:cs="Arial"/>
          <w:sz w:val="20"/>
          <w:szCs w:val="20"/>
        </w:rPr>
        <w:t xml:space="preserve"> </w:t>
      </w:r>
      <w:r w:rsidRPr="004869B8">
        <w:rPr>
          <w:rFonts w:ascii="Arial" w:hAnsi="Arial" w:cs="Arial"/>
          <w:sz w:val="20"/>
          <w:szCs w:val="20"/>
        </w:rPr>
        <w:t>moderate heritability with low GAM in ENV-I (10.73%) and ENV-II (10.83%), while the Pooled</w:t>
      </w:r>
      <w:r w:rsidR="00115C13" w:rsidRPr="004869B8">
        <w:rPr>
          <w:rFonts w:ascii="Arial" w:hAnsi="Arial" w:cs="Arial"/>
          <w:sz w:val="20"/>
          <w:szCs w:val="20"/>
        </w:rPr>
        <w:t xml:space="preserve"> </w:t>
      </w:r>
      <w:r w:rsidRPr="004869B8">
        <w:rPr>
          <w:rFonts w:ascii="Arial" w:hAnsi="Arial" w:cs="Arial"/>
          <w:sz w:val="20"/>
          <w:szCs w:val="20"/>
        </w:rPr>
        <w:t>environment showed low heritability and low GAM at 1.78%. Thousand Seed Weight had high</w:t>
      </w:r>
      <w:r w:rsidR="00115C13" w:rsidRPr="004869B8">
        <w:rPr>
          <w:rFonts w:ascii="Arial" w:hAnsi="Arial" w:cs="Arial"/>
          <w:sz w:val="20"/>
          <w:szCs w:val="20"/>
        </w:rPr>
        <w:t xml:space="preserve"> </w:t>
      </w:r>
      <w:r w:rsidRPr="004869B8">
        <w:rPr>
          <w:rFonts w:ascii="Arial" w:hAnsi="Arial" w:cs="Arial"/>
          <w:sz w:val="20"/>
          <w:szCs w:val="20"/>
        </w:rPr>
        <w:t>heritability with significant GAM in ENV-I (45.11%), ENV-II (43.52%), and the Pooled</w:t>
      </w:r>
      <w:r w:rsidR="00115C13" w:rsidRPr="004869B8">
        <w:rPr>
          <w:rFonts w:ascii="Arial" w:hAnsi="Arial" w:cs="Arial"/>
          <w:sz w:val="20"/>
          <w:szCs w:val="20"/>
        </w:rPr>
        <w:t xml:space="preserve"> </w:t>
      </w:r>
      <w:r w:rsidRPr="004869B8">
        <w:rPr>
          <w:rFonts w:ascii="Arial" w:hAnsi="Arial" w:cs="Arial"/>
          <w:sz w:val="20"/>
          <w:szCs w:val="20"/>
        </w:rPr>
        <w:t>environment (31.27%). Seed Yield showed high heritability with high GAM across all</w:t>
      </w:r>
      <w:r w:rsidR="00115C13" w:rsidRPr="004869B8">
        <w:rPr>
          <w:rFonts w:ascii="Arial" w:hAnsi="Arial" w:cs="Arial"/>
          <w:sz w:val="20"/>
          <w:szCs w:val="20"/>
        </w:rPr>
        <w:t xml:space="preserve"> </w:t>
      </w:r>
      <w:r w:rsidRPr="004869B8">
        <w:rPr>
          <w:rFonts w:ascii="Arial" w:hAnsi="Arial" w:cs="Arial"/>
          <w:sz w:val="20"/>
          <w:szCs w:val="20"/>
        </w:rPr>
        <w:t>environments, with values of 62.88% in ENV-I, 71.66% in ENV-II, and 51.73% in the Pooled</w:t>
      </w:r>
      <w:r w:rsidR="00115C13" w:rsidRPr="004869B8">
        <w:rPr>
          <w:rFonts w:ascii="Arial" w:hAnsi="Arial" w:cs="Arial"/>
          <w:sz w:val="20"/>
          <w:szCs w:val="20"/>
        </w:rPr>
        <w:t xml:space="preserve"> </w:t>
      </w:r>
      <w:r w:rsidRPr="004869B8">
        <w:rPr>
          <w:rFonts w:ascii="Arial" w:hAnsi="Arial" w:cs="Arial"/>
          <w:sz w:val="20"/>
          <w:szCs w:val="20"/>
        </w:rPr>
        <w:t>environment. The Harvest Index demonstrated high heritability with high GAM in ENV-I</w:t>
      </w:r>
      <w:r w:rsidR="00115C13" w:rsidRPr="004869B8">
        <w:rPr>
          <w:rFonts w:ascii="Arial" w:hAnsi="Arial" w:cs="Arial"/>
          <w:sz w:val="20"/>
          <w:szCs w:val="20"/>
        </w:rPr>
        <w:t xml:space="preserve"> </w:t>
      </w:r>
      <w:r w:rsidRPr="004869B8">
        <w:rPr>
          <w:rFonts w:ascii="Arial" w:hAnsi="Arial" w:cs="Arial"/>
          <w:sz w:val="20"/>
          <w:szCs w:val="20"/>
        </w:rPr>
        <w:t>(29.63%), ENV-II (41.89%), and the Pooled environment (25.75%). Finally, the Blast Score</w:t>
      </w:r>
      <w:r w:rsidR="00115C13" w:rsidRPr="004869B8">
        <w:rPr>
          <w:rFonts w:ascii="Arial" w:hAnsi="Arial" w:cs="Arial"/>
          <w:sz w:val="20"/>
          <w:szCs w:val="20"/>
        </w:rPr>
        <w:t xml:space="preserve"> </w:t>
      </w:r>
      <w:r w:rsidRPr="004869B8">
        <w:rPr>
          <w:rFonts w:ascii="Arial" w:hAnsi="Arial" w:cs="Arial"/>
          <w:sz w:val="20"/>
          <w:szCs w:val="20"/>
        </w:rPr>
        <w:t>exhibited high heritability with high GAM in ENV-I (57.90%), ENV-II (63.22%), and the Pooled</w:t>
      </w:r>
      <w:r w:rsidR="00115C13" w:rsidRPr="004869B8">
        <w:rPr>
          <w:rFonts w:ascii="Arial" w:hAnsi="Arial" w:cs="Arial"/>
          <w:sz w:val="20"/>
          <w:szCs w:val="20"/>
        </w:rPr>
        <w:t xml:space="preserve"> </w:t>
      </w:r>
      <w:r w:rsidRPr="004869B8">
        <w:rPr>
          <w:rFonts w:ascii="Arial" w:hAnsi="Arial" w:cs="Arial"/>
          <w:sz w:val="20"/>
          <w:szCs w:val="20"/>
        </w:rPr>
        <w:t>environment (52.36%).</w:t>
      </w:r>
    </w:p>
    <w:p w14:paraId="711E0232" w14:textId="3A88AAA9" w:rsidR="00294854" w:rsidRPr="003816DC" w:rsidRDefault="00294854" w:rsidP="006B304C">
      <w:pPr>
        <w:pStyle w:val="ListParagraph"/>
        <w:numPr>
          <w:ilvl w:val="1"/>
          <w:numId w:val="37"/>
        </w:numPr>
        <w:spacing w:line="240" w:lineRule="auto"/>
        <w:jc w:val="both"/>
        <w:rPr>
          <w:rFonts w:ascii="Arial" w:hAnsi="Arial" w:cs="Arial"/>
          <w:b/>
          <w:bCs/>
        </w:rPr>
      </w:pPr>
      <w:r w:rsidRPr="003816DC">
        <w:rPr>
          <w:rFonts w:ascii="Arial" w:hAnsi="Arial" w:cs="Arial"/>
          <w:b/>
          <w:bCs/>
        </w:rPr>
        <w:t>C</w:t>
      </w:r>
      <w:r w:rsidR="00B82C71" w:rsidRPr="003816DC">
        <w:rPr>
          <w:rFonts w:ascii="Arial" w:hAnsi="Arial" w:cs="Arial"/>
          <w:b/>
          <w:bCs/>
        </w:rPr>
        <w:t>orrelation</w:t>
      </w:r>
      <w:r w:rsidRPr="003816DC">
        <w:rPr>
          <w:rFonts w:ascii="Arial" w:hAnsi="Arial" w:cs="Arial"/>
          <w:b/>
          <w:bCs/>
        </w:rPr>
        <w:t xml:space="preserve"> </w:t>
      </w:r>
      <w:r w:rsidR="008D102B" w:rsidRPr="003816DC">
        <w:rPr>
          <w:rFonts w:ascii="Arial" w:hAnsi="Arial" w:cs="Arial"/>
          <w:b/>
          <w:bCs/>
        </w:rPr>
        <w:t>s</w:t>
      </w:r>
      <w:r w:rsidR="00B82C71" w:rsidRPr="003816DC">
        <w:rPr>
          <w:rFonts w:ascii="Arial" w:hAnsi="Arial" w:cs="Arial"/>
          <w:b/>
          <w:bCs/>
        </w:rPr>
        <w:t>tudies</w:t>
      </w:r>
    </w:p>
    <w:p w14:paraId="27473525" w14:textId="77777777" w:rsidR="00294854" w:rsidRPr="004869B8" w:rsidRDefault="00294854" w:rsidP="00294854">
      <w:pPr>
        <w:spacing w:line="240" w:lineRule="auto"/>
        <w:ind w:firstLine="540"/>
        <w:jc w:val="both"/>
        <w:rPr>
          <w:rFonts w:ascii="Arial" w:hAnsi="Arial" w:cs="Arial"/>
          <w:sz w:val="20"/>
          <w:szCs w:val="20"/>
        </w:rPr>
      </w:pPr>
      <w:r w:rsidRPr="004869B8">
        <w:rPr>
          <w:rFonts w:ascii="Arial" w:hAnsi="Arial" w:cs="Arial"/>
          <w:sz w:val="20"/>
          <w:szCs w:val="20"/>
        </w:rPr>
        <w:t>Correlation analysis is a statistical method used to evaluate the strength and direction of the relationship between two or more variables. It quantifies how changes in one variable are associated with changes in another.</w:t>
      </w:r>
    </w:p>
    <w:p w14:paraId="71CEA561" w14:textId="77777777" w:rsidR="00294854" w:rsidRPr="004869B8" w:rsidRDefault="00294854" w:rsidP="00294854">
      <w:pPr>
        <w:spacing w:line="240" w:lineRule="auto"/>
        <w:ind w:firstLine="540"/>
        <w:jc w:val="both"/>
        <w:rPr>
          <w:rFonts w:ascii="Arial" w:hAnsi="Arial" w:cs="Arial"/>
          <w:sz w:val="20"/>
          <w:szCs w:val="20"/>
        </w:rPr>
      </w:pPr>
      <w:r w:rsidRPr="004869B8">
        <w:rPr>
          <w:rFonts w:ascii="Arial" w:hAnsi="Arial" w:cs="Arial"/>
          <w:sz w:val="20"/>
          <w:szCs w:val="20"/>
        </w:rPr>
        <w:t xml:space="preserve">Understanding the traits associated with seed yield and the impact of blast disease on agronomic parameters is essential for optimizing crop performance and developing effective management strategies. Seed yield is a key indicator of a crop's productivity and is influenced by various agronomic traits. Identifying traits that positively or negatively affect seed yield enables targeted breeding and management practices to enhance both crop output and resilience. Additionally, blast disease, caused by the fungus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poses a significant threat to crop health and yield. Recognizing the interplay between blast disease and other agronomic traits is crucial for developing disease-resistant varieties and implementing effective control measures to mitigate its impact.</w:t>
      </w:r>
    </w:p>
    <w:p w14:paraId="0F8BFEE3" w14:textId="08BDF33B" w:rsidR="00106AF6" w:rsidRPr="003816DC" w:rsidRDefault="0036732D" w:rsidP="00106AF6">
      <w:pPr>
        <w:pStyle w:val="ListParagraph"/>
        <w:numPr>
          <w:ilvl w:val="2"/>
          <w:numId w:val="37"/>
        </w:numPr>
        <w:spacing w:line="240" w:lineRule="auto"/>
        <w:jc w:val="both"/>
        <w:rPr>
          <w:rFonts w:ascii="Arial" w:hAnsi="Arial" w:cs="Arial"/>
          <w:b/>
          <w:bCs/>
        </w:rPr>
      </w:pPr>
      <w:r w:rsidRPr="003816DC">
        <w:rPr>
          <w:rFonts w:ascii="Arial" w:hAnsi="Arial" w:cs="Arial"/>
          <w:b/>
          <w:bCs/>
        </w:rPr>
        <w:t>ENV</w:t>
      </w:r>
      <w:r w:rsidR="00106AF6" w:rsidRPr="003816DC">
        <w:rPr>
          <w:rFonts w:ascii="Arial" w:hAnsi="Arial" w:cs="Arial"/>
          <w:b/>
          <w:bCs/>
        </w:rPr>
        <w:t>-1:</w:t>
      </w:r>
    </w:p>
    <w:p w14:paraId="02F46BC8" w14:textId="01B8ADE9" w:rsidR="0036732D" w:rsidRPr="004869B8" w:rsidRDefault="0036732D" w:rsidP="00DC6DEC">
      <w:pPr>
        <w:spacing w:line="240" w:lineRule="auto"/>
        <w:ind w:firstLine="720"/>
        <w:jc w:val="both"/>
        <w:rPr>
          <w:rFonts w:ascii="Arial" w:hAnsi="Arial" w:cs="Arial"/>
          <w:sz w:val="20"/>
          <w:szCs w:val="20"/>
        </w:rPr>
      </w:pPr>
      <w:r w:rsidRPr="004869B8">
        <w:rPr>
          <w:rFonts w:ascii="Arial" w:hAnsi="Arial" w:cs="Arial"/>
          <w:sz w:val="20"/>
          <w:szCs w:val="20"/>
        </w:rPr>
        <w:lastRenderedPageBreak/>
        <w:t>Seed Yield was positively and significantly correlated with Thousand Seed Weight</w:t>
      </w:r>
      <w:r w:rsidR="00106AF6" w:rsidRPr="004869B8">
        <w:rPr>
          <w:rFonts w:ascii="Arial" w:hAnsi="Arial" w:cs="Arial"/>
          <w:sz w:val="20"/>
          <w:szCs w:val="20"/>
        </w:rPr>
        <w:t xml:space="preserve"> </w:t>
      </w:r>
      <w:r w:rsidRPr="004869B8">
        <w:rPr>
          <w:rFonts w:ascii="Arial" w:hAnsi="Arial" w:cs="Arial"/>
          <w:sz w:val="20"/>
          <w:szCs w:val="20"/>
        </w:rPr>
        <w:t>(0.21***), Harvest Index (0.54***), Number of Productive Tillers (0.35***), Stem Girth</w:t>
      </w:r>
      <w:r w:rsidR="00106AF6" w:rsidRPr="004869B8">
        <w:rPr>
          <w:rFonts w:ascii="Arial" w:hAnsi="Arial" w:cs="Arial"/>
          <w:sz w:val="20"/>
          <w:szCs w:val="20"/>
        </w:rPr>
        <w:t xml:space="preserve"> </w:t>
      </w:r>
      <w:r w:rsidRPr="004869B8">
        <w:rPr>
          <w:rFonts w:ascii="Arial" w:hAnsi="Arial" w:cs="Arial"/>
          <w:sz w:val="20"/>
          <w:szCs w:val="20"/>
        </w:rPr>
        <w:t>(0.16**), Plant Height (0.42***), Number of Tillers (0.25***), Panicle Diameter (0.41***) and</w:t>
      </w:r>
      <w:r w:rsidR="00106AF6" w:rsidRPr="004869B8">
        <w:rPr>
          <w:rFonts w:ascii="Arial" w:hAnsi="Arial" w:cs="Arial"/>
          <w:sz w:val="20"/>
          <w:szCs w:val="20"/>
        </w:rPr>
        <w:t xml:space="preserve"> </w:t>
      </w:r>
      <w:r w:rsidRPr="004869B8">
        <w:rPr>
          <w:rFonts w:ascii="Arial" w:hAnsi="Arial" w:cs="Arial"/>
          <w:sz w:val="20"/>
          <w:szCs w:val="20"/>
        </w:rPr>
        <w:t>Plant Stand (0.13*)</w:t>
      </w:r>
      <w:r w:rsidR="00607D3F" w:rsidRPr="004869B8">
        <w:rPr>
          <w:rFonts w:ascii="Arial" w:hAnsi="Arial" w:cs="Arial"/>
          <w:sz w:val="20"/>
          <w:szCs w:val="20"/>
        </w:rPr>
        <w:t xml:space="preserve"> </w:t>
      </w:r>
      <w:r w:rsidRPr="004869B8">
        <w:rPr>
          <w:rFonts w:ascii="Arial" w:hAnsi="Arial" w:cs="Arial"/>
          <w:sz w:val="20"/>
          <w:szCs w:val="20"/>
        </w:rPr>
        <w:t>and it is significantly negatively correlated with the blast disease score (-0.37***).</w:t>
      </w:r>
      <w:r w:rsidR="0058735F" w:rsidRPr="004869B8">
        <w:rPr>
          <w:rFonts w:ascii="Arial" w:hAnsi="Arial" w:cs="Arial"/>
          <w:sz w:val="20"/>
          <w:szCs w:val="20"/>
        </w:rPr>
        <w:t xml:space="preserve"> </w:t>
      </w:r>
      <w:r w:rsidRPr="004869B8">
        <w:rPr>
          <w:rFonts w:ascii="Arial" w:hAnsi="Arial" w:cs="Arial"/>
          <w:sz w:val="20"/>
          <w:szCs w:val="20"/>
        </w:rPr>
        <w:t>This</w:t>
      </w:r>
      <w:r w:rsidR="00106AF6" w:rsidRPr="004869B8">
        <w:rPr>
          <w:rFonts w:ascii="Arial" w:hAnsi="Arial" w:cs="Arial"/>
          <w:sz w:val="20"/>
          <w:szCs w:val="20"/>
        </w:rPr>
        <w:t xml:space="preserve"> </w:t>
      </w:r>
      <w:r w:rsidRPr="004869B8">
        <w:rPr>
          <w:rFonts w:ascii="Arial" w:hAnsi="Arial" w:cs="Arial"/>
          <w:sz w:val="20"/>
          <w:szCs w:val="20"/>
        </w:rPr>
        <w:t>disease score was not only negatively correlated with seed yield but was also negatively</w:t>
      </w:r>
      <w:r w:rsidR="00106AF6" w:rsidRPr="004869B8">
        <w:rPr>
          <w:rFonts w:ascii="Arial" w:hAnsi="Arial" w:cs="Arial"/>
          <w:sz w:val="20"/>
          <w:szCs w:val="20"/>
        </w:rPr>
        <w:t xml:space="preserve"> </w:t>
      </w:r>
      <w:r w:rsidRPr="004869B8">
        <w:rPr>
          <w:rFonts w:ascii="Arial" w:hAnsi="Arial" w:cs="Arial"/>
          <w:sz w:val="20"/>
          <w:szCs w:val="20"/>
        </w:rPr>
        <w:t>correlated with Thousand Seed Weight (-0.21***), Number of Leaves (-0.14*), Number of</w:t>
      </w:r>
      <w:r w:rsidR="00106AF6" w:rsidRPr="004869B8">
        <w:rPr>
          <w:rFonts w:ascii="Arial" w:hAnsi="Arial" w:cs="Arial"/>
          <w:sz w:val="20"/>
          <w:szCs w:val="20"/>
        </w:rPr>
        <w:t xml:space="preserve"> </w:t>
      </w:r>
      <w:r w:rsidRPr="004869B8">
        <w:rPr>
          <w:rFonts w:ascii="Arial" w:hAnsi="Arial" w:cs="Arial"/>
          <w:sz w:val="20"/>
          <w:szCs w:val="20"/>
        </w:rPr>
        <w:t>Productive Tillers (-0.24***), Plant Height (-0.38***), Number of Tillers (-0.21***), Panicle</w:t>
      </w:r>
      <w:r w:rsidR="00106AF6" w:rsidRPr="004869B8">
        <w:rPr>
          <w:rFonts w:ascii="Arial" w:hAnsi="Arial" w:cs="Arial"/>
          <w:sz w:val="20"/>
          <w:szCs w:val="20"/>
        </w:rPr>
        <w:t xml:space="preserve"> </w:t>
      </w:r>
      <w:r w:rsidRPr="004869B8">
        <w:rPr>
          <w:rFonts w:ascii="Arial" w:hAnsi="Arial" w:cs="Arial"/>
          <w:sz w:val="20"/>
          <w:szCs w:val="20"/>
        </w:rPr>
        <w:t>Diameter (-0.24***)</w:t>
      </w:r>
      <w:r w:rsidR="00315528" w:rsidRPr="004869B8">
        <w:rPr>
          <w:rFonts w:ascii="Arial" w:hAnsi="Arial" w:cs="Arial"/>
          <w:sz w:val="20"/>
          <w:szCs w:val="20"/>
        </w:rPr>
        <w:t xml:space="preserve"> (Fig 1a)</w:t>
      </w:r>
      <w:r w:rsidRPr="004869B8">
        <w:rPr>
          <w:rFonts w:ascii="Arial" w:hAnsi="Arial" w:cs="Arial"/>
          <w:sz w:val="20"/>
          <w:szCs w:val="20"/>
        </w:rPr>
        <w:t>.</w:t>
      </w:r>
    </w:p>
    <w:p w14:paraId="70E04D20" w14:textId="1E84ED47" w:rsidR="00106AF6" w:rsidRPr="003816DC" w:rsidRDefault="0036732D" w:rsidP="00106AF6">
      <w:pPr>
        <w:pStyle w:val="ListParagraph"/>
        <w:numPr>
          <w:ilvl w:val="2"/>
          <w:numId w:val="37"/>
        </w:numPr>
        <w:spacing w:line="240" w:lineRule="auto"/>
        <w:jc w:val="both"/>
        <w:rPr>
          <w:rFonts w:ascii="Arial" w:hAnsi="Arial" w:cs="Arial"/>
          <w:b/>
          <w:bCs/>
        </w:rPr>
      </w:pPr>
      <w:r w:rsidRPr="003816DC">
        <w:rPr>
          <w:rFonts w:ascii="Arial" w:hAnsi="Arial" w:cs="Arial"/>
          <w:b/>
          <w:bCs/>
        </w:rPr>
        <w:t xml:space="preserve">ENV-II: </w:t>
      </w:r>
    </w:p>
    <w:p w14:paraId="469BDB4A" w14:textId="20C5053F" w:rsidR="0036732D" w:rsidRPr="004869B8" w:rsidRDefault="0036732D" w:rsidP="00DC6DEC">
      <w:pPr>
        <w:spacing w:line="240" w:lineRule="auto"/>
        <w:ind w:firstLine="540"/>
        <w:jc w:val="both"/>
        <w:rPr>
          <w:rFonts w:ascii="Arial" w:hAnsi="Arial" w:cs="Arial"/>
          <w:sz w:val="20"/>
          <w:szCs w:val="20"/>
        </w:rPr>
      </w:pPr>
      <w:r w:rsidRPr="004869B8">
        <w:rPr>
          <w:rFonts w:ascii="Arial" w:hAnsi="Arial" w:cs="Arial"/>
          <w:sz w:val="20"/>
          <w:szCs w:val="20"/>
        </w:rPr>
        <w:t>In this environment</w:t>
      </w:r>
      <w:r w:rsidR="0058735F" w:rsidRPr="004869B8">
        <w:rPr>
          <w:rFonts w:ascii="Arial" w:hAnsi="Arial" w:cs="Arial"/>
          <w:sz w:val="20"/>
          <w:szCs w:val="20"/>
        </w:rPr>
        <w:t>,</w:t>
      </w:r>
      <w:r w:rsidRPr="004869B8">
        <w:rPr>
          <w:rFonts w:ascii="Arial" w:hAnsi="Arial" w:cs="Arial"/>
          <w:sz w:val="20"/>
          <w:szCs w:val="20"/>
        </w:rPr>
        <w:t xml:space="preserve"> too Seed Yield was significantly and positively</w:t>
      </w:r>
      <w:r w:rsidR="00106AF6" w:rsidRPr="004869B8">
        <w:rPr>
          <w:rFonts w:ascii="Arial" w:hAnsi="Arial" w:cs="Arial"/>
          <w:sz w:val="20"/>
          <w:szCs w:val="20"/>
        </w:rPr>
        <w:t xml:space="preserve"> </w:t>
      </w:r>
      <w:r w:rsidRPr="004869B8">
        <w:rPr>
          <w:rFonts w:ascii="Arial" w:hAnsi="Arial" w:cs="Arial"/>
          <w:sz w:val="20"/>
          <w:szCs w:val="20"/>
        </w:rPr>
        <w:t>correlated</w:t>
      </w:r>
      <w:r w:rsidR="00F24E8F" w:rsidRPr="004869B8">
        <w:rPr>
          <w:rFonts w:ascii="Arial" w:hAnsi="Arial" w:cs="Arial"/>
          <w:sz w:val="20"/>
          <w:szCs w:val="20"/>
        </w:rPr>
        <w:t xml:space="preserve"> </w:t>
      </w:r>
      <w:r w:rsidRPr="004869B8">
        <w:rPr>
          <w:rFonts w:ascii="Arial" w:hAnsi="Arial" w:cs="Arial"/>
          <w:sz w:val="20"/>
          <w:szCs w:val="20"/>
        </w:rPr>
        <w:t>with Harvest Index (0.77***), Number of Productive Tillers (0.20***), Plant</w:t>
      </w:r>
      <w:r w:rsidR="00F24E8F" w:rsidRPr="004869B8">
        <w:rPr>
          <w:rFonts w:ascii="Arial" w:hAnsi="Arial" w:cs="Arial"/>
          <w:sz w:val="20"/>
          <w:szCs w:val="20"/>
        </w:rPr>
        <w:t xml:space="preserve"> </w:t>
      </w:r>
      <w:r w:rsidRPr="004869B8">
        <w:rPr>
          <w:rFonts w:ascii="Arial" w:hAnsi="Arial" w:cs="Arial"/>
          <w:sz w:val="20"/>
          <w:szCs w:val="20"/>
        </w:rPr>
        <w:t>Height (0.22***), and Number of Tillers (0.15*), and a significant negative correlation with</w:t>
      </w:r>
      <w:r w:rsidR="00F24E8F" w:rsidRPr="004869B8">
        <w:rPr>
          <w:rFonts w:ascii="Arial" w:hAnsi="Arial" w:cs="Arial"/>
          <w:sz w:val="20"/>
          <w:szCs w:val="20"/>
        </w:rPr>
        <w:t xml:space="preserve"> </w:t>
      </w:r>
      <w:r w:rsidRPr="004869B8">
        <w:rPr>
          <w:rFonts w:ascii="Arial" w:hAnsi="Arial" w:cs="Arial"/>
          <w:sz w:val="20"/>
          <w:szCs w:val="20"/>
        </w:rPr>
        <w:t>Blast Disease Score (-0.26***). Here, the Blast Disease showed significant negative associations</w:t>
      </w:r>
      <w:r w:rsidR="00F24E8F" w:rsidRPr="004869B8">
        <w:rPr>
          <w:rFonts w:ascii="Arial" w:hAnsi="Arial" w:cs="Arial"/>
          <w:sz w:val="20"/>
          <w:szCs w:val="20"/>
        </w:rPr>
        <w:t xml:space="preserve"> </w:t>
      </w:r>
      <w:r w:rsidRPr="004869B8">
        <w:rPr>
          <w:rFonts w:ascii="Arial" w:hAnsi="Arial" w:cs="Arial"/>
          <w:sz w:val="20"/>
          <w:szCs w:val="20"/>
        </w:rPr>
        <w:t>with Harvest Index (-0.14*), Number of Productive Tillers (-0.15*), Plant Height (-0.20***), and</w:t>
      </w:r>
      <w:r w:rsidR="00F24E8F" w:rsidRPr="004869B8">
        <w:rPr>
          <w:rFonts w:ascii="Arial" w:hAnsi="Arial" w:cs="Arial"/>
          <w:sz w:val="20"/>
          <w:szCs w:val="20"/>
        </w:rPr>
        <w:t xml:space="preserve"> </w:t>
      </w:r>
      <w:r w:rsidRPr="004869B8">
        <w:rPr>
          <w:rFonts w:ascii="Arial" w:hAnsi="Arial" w:cs="Arial"/>
          <w:sz w:val="20"/>
          <w:szCs w:val="20"/>
        </w:rPr>
        <w:t>Number of Tillers (-0.12*)</w:t>
      </w:r>
      <w:r w:rsidR="00315528" w:rsidRPr="004869B8">
        <w:rPr>
          <w:rFonts w:ascii="Arial" w:hAnsi="Arial" w:cs="Arial"/>
          <w:sz w:val="20"/>
          <w:szCs w:val="20"/>
        </w:rPr>
        <w:t xml:space="preserve"> (Fig 1b)</w:t>
      </w:r>
      <w:r w:rsidRPr="004869B8">
        <w:rPr>
          <w:rFonts w:ascii="Arial" w:hAnsi="Arial" w:cs="Arial"/>
          <w:sz w:val="20"/>
          <w:szCs w:val="20"/>
        </w:rPr>
        <w:t>.</w:t>
      </w:r>
    </w:p>
    <w:p w14:paraId="571EAABC" w14:textId="53FB9C43" w:rsidR="00DC6DEC" w:rsidRPr="003816DC" w:rsidRDefault="0036732D" w:rsidP="00DC6DEC">
      <w:pPr>
        <w:pStyle w:val="ListParagraph"/>
        <w:numPr>
          <w:ilvl w:val="2"/>
          <w:numId w:val="37"/>
        </w:numPr>
        <w:spacing w:line="240" w:lineRule="auto"/>
        <w:jc w:val="both"/>
        <w:rPr>
          <w:rFonts w:ascii="Arial" w:hAnsi="Arial" w:cs="Arial"/>
        </w:rPr>
      </w:pPr>
      <w:r w:rsidRPr="003816DC">
        <w:rPr>
          <w:rFonts w:ascii="Arial" w:hAnsi="Arial" w:cs="Arial"/>
          <w:b/>
          <w:bCs/>
        </w:rPr>
        <w:t xml:space="preserve">Pooled </w:t>
      </w:r>
      <w:r w:rsidR="008D102B" w:rsidRPr="003816DC">
        <w:rPr>
          <w:rFonts w:ascii="Arial" w:hAnsi="Arial" w:cs="Arial"/>
          <w:b/>
          <w:bCs/>
        </w:rPr>
        <w:t>e</w:t>
      </w:r>
      <w:r w:rsidRPr="003816DC">
        <w:rPr>
          <w:rFonts w:ascii="Arial" w:hAnsi="Arial" w:cs="Arial"/>
          <w:b/>
          <w:bCs/>
        </w:rPr>
        <w:t>nvironment:</w:t>
      </w:r>
      <w:r w:rsidRPr="003816DC">
        <w:rPr>
          <w:rFonts w:ascii="Arial" w:hAnsi="Arial" w:cs="Arial"/>
        </w:rPr>
        <w:t xml:space="preserve"> </w:t>
      </w:r>
    </w:p>
    <w:p w14:paraId="23733066" w14:textId="48038340" w:rsidR="0036732D" w:rsidRDefault="0036732D" w:rsidP="007964C9">
      <w:pPr>
        <w:spacing w:line="240" w:lineRule="auto"/>
        <w:ind w:firstLine="540"/>
        <w:jc w:val="both"/>
        <w:rPr>
          <w:rFonts w:ascii="Arial" w:hAnsi="Arial" w:cs="Arial"/>
          <w:sz w:val="20"/>
          <w:szCs w:val="20"/>
        </w:rPr>
      </w:pPr>
      <w:r w:rsidRPr="004869B8">
        <w:rPr>
          <w:rFonts w:ascii="Arial" w:hAnsi="Arial" w:cs="Arial"/>
          <w:sz w:val="20"/>
          <w:szCs w:val="20"/>
        </w:rPr>
        <w:t xml:space="preserve">As </w:t>
      </w:r>
      <w:r w:rsidR="0058735F" w:rsidRPr="004869B8">
        <w:rPr>
          <w:rFonts w:ascii="Arial" w:hAnsi="Arial" w:cs="Arial"/>
          <w:sz w:val="20"/>
          <w:szCs w:val="20"/>
        </w:rPr>
        <w:t>with</w:t>
      </w:r>
      <w:r w:rsidRPr="004869B8">
        <w:rPr>
          <w:rFonts w:ascii="Arial" w:hAnsi="Arial" w:cs="Arial"/>
          <w:sz w:val="20"/>
          <w:szCs w:val="20"/>
        </w:rPr>
        <w:t xml:space="preserve"> ENV-I and ENV-II, Seed Yield was positively correlated</w:t>
      </w:r>
      <w:r w:rsidR="00DC6DEC" w:rsidRPr="004869B8">
        <w:rPr>
          <w:rFonts w:ascii="Arial" w:hAnsi="Arial" w:cs="Arial"/>
          <w:sz w:val="20"/>
          <w:szCs w:val="20"/>
        </w:rPr>
        <w:t xml:space="preserve"> </w:t>
      </w:r>
      <w:r w:rsidRPr="004869B8">
        <w:rPr>
          <w:rFonts w:ascii="Arial" w:hAnsi="Arial" w:cs="Arial"/>
          <w:sz w:val="20"/>
          <w:szCs w:val="20"/>
        </w:rPr>
        <w:t>with Harvest Index (0.69***),</w:t>
      </w:r>
      <w:r w:rsidR="00047067" w:rsidRPr="004869B8">
        <w:rPr>
          <w:rFonts w:ascii="Arial" w:hAnsi="Arial" w:cs="Arial"/>
          <w:sz w:val="20"/>
          <w:szCs w:val="20"/>
        </w:rPr>
        <w:t xml:space="preserve"> </w:t>
      </w:r>
      <w:r w:rsidRPr="004869B8">
        <w:rPr>
          <w:rFonts w:ascii="Arial" w:hAnsi="Arial" w:cs="Arial"/>
          <w:sz w:val="20"/>
          <w:szCs w:val="20"/>
        </w:rPr>
        <w:t xml:space="preserve">Number of Productive Tillers (0.33***), Plant Height (0.36***), </w:t>
      </w:r>
      <w:r w:rsidR="0058735F" w:rsidRPr="004869B8">
        <w:rPr>
          <w:rFonts w:ascii="Arial" w:hAnsi="Arial" w:cs="Arial"/>
          <w:sz w:val="20"/>
          <w:szCs w:val="20"/>
        </w:rPr>
        <w:t xml:space="preserve">and </w:t>
      </w:r>
      <w:r w:rsidRPr="004869B8">
        <w:rPr>
          <w:rFonts w:ascii="Arial" w:hAnsi="Arial" w:cs="Arial"/>
          <w:sz w:val="20"/>
          <w:szCs w:val="20"/>
        </w:rPr>
        <w:t>Number of Tillers (0.27***).</w:t>
      </w:r>
      <w:r w:rsidR="00047067" w:rsidRPr="004869B8">
        <w:rPr>
          <w:rFonts w:ascii="Arial" w:hAnsi="Arial" w:cs="Arial"/>
          <w:sz w:val="20"/>
          <w:szCs w:val="20"/>
        </w:rPr>
        <w:t xml:space="preserve"> </w:t>
      </w:r>
      <w:r w:rsidRPr="004869B8">
        <w:rPr>
          <w:rFonts w:ascii="Arial" w:hAnsi="Arial" w:cs="Arial"/>
          <w:sz w:val="20"/>
          <w:szCs w:val="20"/>
        </w:rPr>
        <w:t xml:space="preserve">Similar to ENV-I, it recorded </w:t>
      </w:r>
      <w:r w:rsidR="0058735F" w:rsidRPr="004869B8">
        <w:rPr>
          <w:rFonts w:ascii="Arial" w:hAnsi="Arial" w:cs="Arial"/>
          <w:sz w:val="20"/>
          <w:szCs w:val="20"/>
        </w:rPr>
        <w:t xml:space="preserve">a </w:t>
      </w:r>
      <w:r w:rsidRPr="004869B8">
        <w:rPr>
          <w:rFonts w:ascii="Arial" w:hAnsi="Arial" w:cs="Arial"/>
          <w:sz w:val="20"/>
          <w:szCs w:val="20"/>
        </w:rPr>
        <w:t>significant positive correlation with Thousand Seed Weight</w:t>
      </w:r>
      <w:r w:rsidR="00047067" w:rsidRPr="004869B8">
        <w:rPr>
          <w:rFonts w:ascii="Arial" w:hAnsi="Arial" w:cs="Arial"/>
          <w:sz w:val="20"/>
          <w:szCs w:val="20"/>
        </w:rPr>
        <w:t xml:space="preserve"> </w:t>
      </w:r>
      <w:r w:rsidRPr="004869B8">
        <w:rPr>
          <w:rFonts w:ascii="Arial" w:hAnsi="Arial" w:cs="Arial"/>
          <w:sz w:val="20"/>
          <w:szCs w:val="20"/>
        </w:rPr>
        <w:t xml:space="preserve">(0.18**) and Panicle Diameter (0.33***). In addition, it also had </w:t>
      </w:r>
      <w:r w:rsidR="0058735F" w:rsidRPr="004869B8">
        <w:rPr>
          <w:rFonts w:ascii="Arial" w:hAnsi="Arial" w:cs="Arial"/>
          <w:sz w:val="20"/>
          <w:szCs w:val="20"/>
        </w:rPr>
        <w:t xml:space="preserve">a </w:t>
      </w:r>
      <w:r w:rsidRPr="004869B8">
        <w:rPr>
          <w:rFonts w:ascii="Arial" w:hAnsi="Arial" w:cs="Arial"/>
          <w:sz w:val="20"/>
          <w:szCs w:val="20"/>
        </w:rPr>
        <w:t>positive association with Days</w:t>
      </w:r>
      <w:r w:rsidR="00047067" w:rsidRPr="004869B8">
        <w:rPr>
          <w:rFonts w:ascii="Arial" w:hAnsi="Arial" w:cs="Arial"/>
          <w:sz w:val="20"/>
          <w:szCs w:val="20"/>
        </w:rPr>
        <w:t xml:space="preserve"> </w:t>
      </w:r>
      <w:r w:rsidRPr="004869B8">
        <w:rPr>
          <w:rFonts w:ascii="Arial" w:hAnsi="Arial" w:cs="Arial"/>
          <w:sz w:val="20"/>
          <w:szCs w:val="20"/>
        </w:rPr>
        <w:t>to Maturity (0.12*)</w:t>
      </w:r>
      <w:r w:rsidR="000A0EA1" w:rsidRPr="004869B8">
        <w:rPr>
          <w:rFonts w:ascii="Arial" w:hAnsi="Arial" w:cs="Arial"/>
          <w:sz w:val="20"/>
          <w:szCs w:val="20"/>
        </w:rPr>
        <w:t xml:space="preserve"> </w:t>
      </w:r>
      <w:r w:rsidRPr="004869B8">
        <w:rPr>
          <w:rFonts w:ascii="Arial" w:hAnsi="Arial" w:cs="Arial"/>
          <w:sz w:val="20"/>
          <w:szCs w:val="20"/>
        </w:rPr>
        <w:t xml:space="preserve">and Plant Stand (0.15*). Similar to both </w:t>
      </w:r>
      <w:r w:rsidR="00FF4FC8" w:rsidRPr="004869B8">
        <w:rPr>
          <w:rFonts w:ascii="Arial" w:hAnsi="Arial" w:cs="Arial"/>
          <w:sz w:val="20"/>
          <w:szCs w:val="20"/>
        </w:rPr>
        <w:t xml:space="preserve">of </w:t>
      </w:r>
      <w:r w:rsidRPr="004869B8">
        <w:rPr>
          <w:rFonts w:ascii="Arial" w:hAnsi="Arial" w:cs="Arial"/>
          <w:sz w:val="20"/>
          <w:szCs w:val="20"/>
        </w:rPr>
        <w:t>the</w:t>
      </w:r>
      <w:r w:rsidR="00FF4FC8" w:rsidRPr="004869B8">
        <w:rPr>
          <w:rFonts w:ascii="Arial" w:hAnsi="Arial" w:cs="Arial"/>
          <w:sz w:val="20"/>
          <w:szCs w:val="20"/>
        </w:rPr>
        <w:t xml:space="preserve"> </w:t>
      </w:r>
      <w:r w:rsidRPr="004869B8">
        <w:rPr>
          <w:rFonts w:ascii="Arial" w:hAnsi="Arial" w:cs="Arial"/>
          <w:sz w:val="20"/>
          <w:szCs w:val="20"/>
        </w:rPr>
        <w:t xml:space="preserve">environments, </w:t>
      </w:r>
      <w:r w:rsidR="00FF4FC8" w:rsidRPr="004869B8">
        <w:rPr>
          <w:rFonts w:ascii="Arial" w:hAnsi="Arial" w:cs="Arial"/>
          <w:sz w:val="20"/>
          <w:szCs w:val="20"/>
        </w:rPr>
        <w:t>i</w:t>
      </w:r>
      <w:r w:rsidRPr="004869B8">
        <w:rPr>
          <w:rFonts w:ascii="Arial" w:hAnsi="Arial" w:cs="Arial"/>
          <w:sz w:val="20"/>
          <w:szCs w:val="20"/>
        </w:rPr>
        <w:t>t</w:t>
      </w:r>
      <w:r w:rsidR="00FF4FC8" w:rsidRPr="004869B8">
        <w:rPr>
          <w:rFonts w:ascii="Arial" w:hAnsi="Arial" w:cs="Arial"/>
          <w:sz w:val="20"/>
          <w:szCs w:val="20"/>
        </w:rPr>
        <w:t xml:space="preserve"> </w:t>
      </w:r>
      <w:r w:rsidRPr="004869B8">
        <w:rPr>
          <w:rFonts w:ascii="Arial" w:hAnsi="Arial" w:cs="Arial"/>
          <w:sz w:val="20"/>
          <w:szCs w:val="20"/>
        </w:rPr>
        <w:t>had a significant negative correlation with Blast Disease Score (-0.34***).</w:t>
      </w:r>
      <w:r w:rsidR="0058735F" w:rsidRPr="004869B8">
        <w:rPr>
          <w:rFonts w:ascii="Arial" w:hAnsi="Arial" w:cs="Arial"/>
          <w:sz w:val="20"/>
          <w:szCs w:val="20"/>
        </w:rPr>
        <w:t xml:space="preserve"> A similar</w:t>
      </w:r>
      <w:r w:rsidRPr="004869B8">
        <w:rPr>
          <w:rFonts w:ascii="Arial" w:hAnsi="Arial" w:cs="Arial"/>
          <w:sz w:val="20"/>
          <w:szCs w:val="20"/>
        </w:rPr>
        <w:t xml:space="preserve"> trend of negative association was observed in the pooled environment like </w:t>
      </w:r>
      <w:r w:rsidR="0058735F" w:rsidRPr="004869B8">
        <w:rPr>
          <w:rFonts w:ascii="Arial" w:hAnsi="Arial" w:cs="Arial"/>
          <w:sz w:val="20"/>
          <w:szCs w:val="20"/>
        </w:rPr>
        <w:t xml:space="preserve">the </w:t>
      </w:r>
      <w:r w:rsidRPr="004869B8">
        <w:rPr>
          <w:rFonts w:ascii="Arial" w:hAnsi="Arial" w:cs="Arial"/>
          <w:sz w:val="20"/>
          <w:szCs w:val="20"/>
        </w:rPr>
        <w:t>other two for</w:t>
      </w:r>
      <w:r w:rsidR="007964C9" w:rsidRPr="004869B8">
        <w:rPr>
          <w:rFonts w:ascii="Arial" w:hAnsi="Arial" w:cs="Arial"/>
          <w:sz w:val="20"/>
          <w:szCs w:val="20"/>
        </w:rPr>
        <w:t xml:space="preserve"> </w:t>
      </w:r>
      <w:r w:rsidRPr="004869B8">
        <w:rPr>
          <w:rFonts w:ascii="Arial" w:hAnsi="Arial" w:cs="Arial"/>
          <w:sz w:val="20"/>
          <w:szCs w:val="20"/>
        </w:rPr>
        <w:t>the blast disease score with Harvest Index (-0.12*), Plant Height (0.30***), Number of</w:t>
      </w:r>
      <w:r w:rsidR="007964C9" w:rsidRPr="004869B8">
        <w:rPr>
          <w:rFonts w:ascii="Arial" w:hAnsi="Arial" w:cs="Arial"/>
          <w:sz w:val="20"/>
          <w:szCs w:val="20"/>
        </w:rPr>
        <w:t xml:space="preserve"> </w:t>
      </w:r>
      <w:r w:rsidRPr="004869B8">
        <w:rPr>
          <w:rFonts w:ascii="Arial" w:hAnsi="Arial" w:cs="Arial"/>
          <w:sz w:val="20"/>
          <w:szCs w:val="20"/>
        </w:rPr>
        <w:t xml:space="preserve">Productive Tillers (-0.21***) and Number of Tillers (-0.20***). In addition, it had </w:t>
      </w:r>
      <w:r w:rsidR="0058735F" w:rsidRPr="004869B8">
        <w:rPr>
          <w:rFonts w:ascii="Arial" w:hAnsi="Arial" w:cs="Arial"/>
          <w:sz w:val="20"/>
          <w:szCs w:val="20"/>
        </w:rPr>
        <w:t xml:space="preserve">a </w:t>
      </w:r>
      <w:r w:rsidRPr="004869B8">
        <w:rPr>
          <w:rFonts w:ascii="Arial" w:hAnsi="Arial" w:cs="Arial"/>
          <w:sz w:val="20"/>
          <w:szCs w:val="20"/>
        </w:rPr>
        <w:t>negative</w:t>
      </w:r>
      <w:r w:rsidR="007964C9" w:rsidRPr="004869B8">
        <w:rPr>
          <w:rFonts w:ascii="Arial" w:hAnsi="Arial" w:cs="Arial"/>
          <w:sz w:val="20"/>
          <w:szCs w:val="20"/>
        </w:rPr>
        <w:t xml:space="preserve"> </w:t>
      </w:r>
      <w:r w:rsidRPr="004869B8">
        <w:rPr>
          <w:rFonts w:ascii="Arial" w:hAnsi="Arial" w:cs="Arial"/>
          <w:sz w:val="20"/>
          <w:szCs w:val="20"/>
        </w:rPr>
        <w:t>correlation with Thousand Seed Weight (-0.18**), Days to Maturity (-0.12*) and Number of</w:t>
      </w:r>
      <w:r w:rsidR="007964C9" w:rsidRPr="004869B8">
        <w:rPr>
          <w:rFonts w:ascii="Arial" w:hAnsi="Arial" w:cs="Arial"/>
          <w:sz w:val="20"/>
          <w:szCs w:val="20"/>
        </w:rPr>
        <w:t xml:space="preserve"> </w:t>
      </w:r>
      <w:r w:rsidRPr="004869B8">
        <w:rPr>
          <w:rFonts w:ascii="Arial" w:hAnsi="Arial" w:cs="Arial"/>
          <w:sz w:val="20"/>
          <w:szCs w:val="20"/>
        </w:rPr>
        <w:t>Leaves (-0.12*)</w:t>
      </w:r>
      <w:r w:rsidR="00315528" w:rsidRPr="004869B8">
        <w:rPr>
          <w:rFonts w:ascii="Arial" w:hAnsi="Arial" w:cs="Arial"/>
          <w:sz w:val="20"/>
          <w:szCs w:val="20"/>
        </w:rPr>
        <w:t xml:space="preserve"> (Fig 1c)</w:t>
      </w:r>
      <w:r w:rsidR="00FE5D94" w:rsidRPr="004869B8">
        <w:rPr>
          <w:rFonts w:ascii="Arial" w:hAnsi="Arial" w:cs="Arial"/>
          <w:sz w:val="20"/>
          <w:szCs w:val="20"/>
        </w:rPr>
        <w:t>.</w:t>
      </w:r>
      <w:r w:rsidR="00315528" w:rsidRPr="004869B8">
        <w:rPr>
          <w:rFonts w:ascii="Arial" w:hAnsi="Arial" w:cs="Arial"/>
          <w:sz w:val="20"/>
          <w:szCs w:val="20"/>
        </w:rPr>
        <w:t xml:space="preserve"> </w:t>
      </w:r>
    </w:p>
    <w:p w14:paraId="5BF7CCAC" w14:textId="77777777" w:rsidR="009153AF" w:rsidRPr="004869B8" w:rsidRDefault="009153AF" w:rsidP="007964C9">
      <w:pPr>
        <w:spacing w:line="240" w:lineRule="auto"/>
        <w:ind w:firstLine="540"/>
        <w:jc w:val="both"/>
        <w:rPr>
          <w:rFonts w:ascii="Arial" w:hAnsi="Arial" w:cs="Arial"/>
          <w:sz w:val="20"/>
          <w:szCs w:val="20"/>
        </w:rPr>
      </w:pPr>
    </w:p>
    <w:p w14:paraId="3BCC7229" w14:textId="18867614" w:rsidR="00294854" w:rsidRPr="004869B8" w:rsidRDefault="00294854" w:rsidP="00294854">
      <w:pPr>
        <w:spacing w:line="240" w:lineRule="auto"/>
        <w:jc w:val="both"/>
        <w:rPr>
          <w:rFonts w:ascii="Arial" w:hAnsi="Arial" w:cs="Arial"/>
          <w:sz w:val="20"/>
          <w:szCs w:val="20"/>
        </w:rPr>
      </w:pPr>
      <w:r w:rsidRPr="004869B8">
        <w:rPr>
          <w:rFonts w:ascii="Arial" w:hAnsi="Arial" w:cs="Arial"/>
          <w:b/>
          <w:bCs/>
          <w:sz w:val="20"/>
          <w:szCs w:val="20"/>
        </w:rPr>
        <w:t>Fig. 1a. Correlation</w:t>
      </w:r>
      <w:r w:rsidR="008A2AAE"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58735F" w:rsidRPr="004869B8">
        <w:rPr>
          <w:rFonts w:ascii="Arial" w:hAnsi="Arial" w:cs="Arial"/>
          <w:b/>
          <w:bCs/>
          <w:sz w:val="20"/>
          <w:szCs w:val="20"/>
        </w:rPr>
        <w:t xml:space="preserve">eed </w:t>
      </w:r>
      <w:r w:rsidR="00DC4889" w:rsidRPr="004869B8">
        <w:rPr>
          <w:rFonts w:ascii="Arial" w:hAnsi="Arial" w:cs="Arial"/>
          <w:b/>
          <w:bCs/>
          <w:sz w:val="20"/>
          <w:szCs w:val="20"/>
        </w:rPr>
        <w:t>y</w:t>
      </w:r>
      <w:r w:rsidR="0058735F" w:rsidRPr="004869B8">
        <w:rPr>
          <w:rFonts w:ascii="Arial" w:hAnsi="Arial" w:cs="Arial"/>
          <w:b/>
          <w:bCs/>
          <w:sz w:val="20"/>
          <w:szCs w:val="20"/>
        </w:rPr>
        <w:t>ield,</w:t>
      </w:r>
      <w:r w:rsidR="008A2AAE" w:rsidRPr="004869B8">
        <w:rPr>
          <w:rFonts w:ascii="Arial" w:hAnsi="Arial" w:cs="Arial"/>
          <w:b/>
          <w:bCs/>
          <w:sz w:val="20"/>
          <w:szCs w:val="20"/>
        </w:rPr>
        <w:t xml:space="preserve"> </w:t>
      </w:r>
      <w:r w:rsidR="00DC4889" w:rsidRPr="004869B8">
        <w:rPr>
          <w:rFonts w:ascii="Arial" w:hAnsi="Arial" w:cs="Arial"/>
          <w:b/>
          <w:bCs/>
          <w:sz w:val="20"/>
          <w:szCs w:val="20"/>
        </w:rPr>
        <w:t>b</w:t>
      </w:r>
      <w:r w:rsidR="008A2AAE" w:rsidRPr="004869B8">
        <w:rPr>
          <w:rFonts w:ascii="Arial" w:hAnsi="Arial" w:cs="Arial"/>
          <w:b/>
          <w:bCs/>
          <w:sz w:val="20"/>
          <w:szCs w:val="20"/>
        </w:rPr>
        <w:t>last</w:t>
      </w:r>
      <w:r w:rsidRPr="004869B8">
        <w:rPr>
          <w:rFonts w:ascii="Arial" w:hAnsi="Arial" w:cs="Arial"/>
          <w:b/>
          <w:bCs/>
          <w:sz w:val="20"/>
          <w:szCs w:val="20"/>
        </w:rPr>
        <w:t xml:space="preserve">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raits in ENV-I</w:t>
      </w:r>
    </w:p>
    <w:p w14:paraId="2D44740D"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noProof/>
          <w:sz w:val="20"/>
          <w:szCs w:val="20"/>
        </w:rPr>
        <w:drawing>
          <wp:inline distT="0" distB="0" distL="0" distR="0" wp14:anchorId="3FE427F7" wp14:editId="3E98E926">
            <wp:extent cx="4416357" cy="3440876"/>
            <wp:effectExtent l="0" t="0" r="3810" b="762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722" cy="3542446"/>
                    </a:xfrm>
                    <a:prstGeom prst="rect">
                      <a:avLst/>
                    </a:prstGeom>
                    <a:noFill/>
                    <a:ln>
                      <a:noFill/>
                    </a:ln>
                  </pic:spPr>
                </pic:pic>
              </a:graphicData>
            </a:graphic>
          </wp:inline>
        </w:drawing>
      </w:r>
    </w:p>
    <w:p w14:paraId="13119F87" w14:textId="77777777" w:rsidR="009153AF" w:rsidRDefault="009153AF" w:rsidP="00294854">
      <w:pPr>
        <w:spacing w:line="240" w:lineRule="auto"/>
        <w:rPr>
          <w:rFonts w:ascii="Arial" w:hAnsi="Arial" w:cs="Arial"/>
          <w:b/>
          <w:bCs/>
          <w:sz w:val="20"/>
          <w:szCs w:val="20"/>
        </w:rPr>
      </w:pPr>
    </w:p>
    <w:p w14:paraId="78B1E9CF" w14:textId="77777777" w:rsidR="009153AF" w:rsidRDefault="009153AF" w:rsidP="00294854">
      <w:pPr>
        <w:spacing w:line="240" w:lineRule="auto"/>
        <w:rPr>
          <w:rFonts w:ascii="Arial" w:hAnsi="Arial" w:cs="Arial"/>
          <w:b/>
          <w:bCs/>
          <w:sz w:val="20"/>
          <w:szCs w:val="20"/>
        </w:rPr>
      </w:pPr>
    </w:p>
    <w:p w14:paraId="7539D26C" w14:textId="77777777" w:rsidR="009153AF" w:rsidRDefault="009153AF" w:rsidP="00294854">
      <w:pPr>
        <w:spacing w:line="240" w:lineRule="auto"/>
        <w:rPr>
          <w:rFonts w:ascii="Arial" w:hAnsi="Arial" w:cs="Arial"/>
          <w:b/>
          <w:bCs/>
          <w:sz w:val="20"/>
          <w:szCs w:val="20"/>
        </w:rPr>
      </w:pPr>
    </w:p>
    <w:p w14:paraId="313E7994" w14:textId="77777777" w:rsidR="009153AF" w:rsidRDefault="009153AF" w:rsidP="00294854">
      <w:pPr>
        <w:spacing w:line="240" w:lineRule="auto"/>
        <w:rPr>
          <w:rFonts w:ascii="Arial" w:hAnsi="Arial" w:cs="Arial"/>
          <w:b/>
          <w:bCs/>
          <w:sz w:val="20"/>
          <w:szCs w:val="20"/>
        </w:rPr>
      </w:pPr>
    </w:p>
    <w:p w14:paraId="37445AC5" w14:textId="77777777" w:rsidR="009153AF" w:rsidRDefault="009153AF" w:rsidP="00294854">
      <w:pPr>
        <w:spacing w:line="240" w:lineRule="auto"/>
        <w:rPr>
          <w:rFonts w:ascii="Arial" w:hAnsi="Arial" w:cs="Arial"/>
          <w:b/>
          <w:bCs/>
          <w:sz w:val="20"/>
          <w:szCs w:val="20"/>
        </w:rPr>
      </w:pPr>
    </w:p>
    <w:p w14:paraId="440DFC15" w14:textId="77777777" w:rsidR="009153AF" w:rsidRDefault="009153AF" w:rsidP="00294854">
      <w:pPr>
        <w:spacing w:line="240" w:lineRule="auto"/>
        <w:rPr>
          <w:rFonts w:ascii="Arial" w:hAnsi="Arial" w:cs="Arial"/>
          <w:b/>
          <w:bCs/>
          <w:sz w:val="20"/>
          <w:szCs w:val="20"/>
        </w:rPr>
      </w:pPr>
    </w:p>
    <w:p w14:paraId="17AF56AC" w14:textId="77777777" w:rsidR="009153AF" w:rsidRDefault="009153AF" w:rsidP="00294854">
      <w:pPr>
        <w:spacing w:line="240" w:lineRule="auto"/>
        <w:rPr>
          <w:rFonts w:ascii="Arial" w:hAnsi="Arial" w:cs="Arial"/>
          <w:b/>
          <w:bCs/>
          <w:sz w:val="20"/>
          <w:szCs w:val="20"/>
        </w:rPr>
      </w:pPr>
    </w:p>
    <w:p w14:paraId="639206CE" w14:textId="77777777" w:rsidR="009153AF" w:rsidRDefault="009153AF" w:rsidP="00294854">
      <w:pPr>
        <w:spacing w:line="240" w:lineRule="auto"/>
        <w:rPr>
          <w:rFonts w:ascii="Arial" w:hAnsi="Arial" w:cs="Arial"/>
          <w:b/>
          <w:bCs/>
          <w:sz w:val="20"/>
          <w:szCs w:val="20"/>
        </w:rPr>
      </w:pPr>
    </w:p>
    <w:p w14:paraId="6F2AD879" w14:textId="77777777" w:rsidR="009153AF" w:rsidRDefault="009153AF" w:rsidP="00294854">
      <w:pPr>
        <w:spacing w:line="240" w:lineRule="auto"/>
        <w:rPr>
          <w:rFonts w:ascii="Arial" w:hAnsi="Arial" w:cs="Arial"/>
          <w:b/>
          <w:bCs/>
          <w:sz w:val="20"/>
          <w:szCs w:val="20"/>
        </w:rPr>
      </w:pPr>
    </w:p>
    <w:p w14:paraId="22BE545B" w14:textId="77777777" w:rsidR="009153AF" w:rsidRDefault="009153AF" w:rsidP="00294854">
      <w:pPr>
        <w:spacing w:line="240" w:lineRule="auto"/>
        <w:rPr>
          <w:rFonts w:ascii="Arial" w:hAnsi="Arial" w:cs="Arial"/>
          <w:b/>
          <w:bCs/>
          <w:sz w:val="20"/>
          <w:szCs w:val="20"/>
        </w:rPr>
      </w:pPr>
    </w:p>
    <w:p w14:paraId="3624D271" w14:textId="59BF80D5" w:rsidR="00294854" w:rsidRPr="004869B8" w:rsidRDefault="00294854" w:rsidP="00294854">
      <w:pPr>
        <w:spacing w:line="240" w:lineRule="auto"/>
        <w:rPr>
          <w:rFonts w:ascii="Arial" w:hAnsi="Arial" w:cs="Arial"/>
          <w:sz w:val="20"/>
          <w:szCs w:val="20"/>
        </w:rPr>
      </w:pPr>
      <w:r w:rsidRPr="004869B8">
        <w:rPr>
          <w:rFonts w:ascii="Arial" w:hAnsi="Arial" w:cs="Arial"/>
          <w:b/>
          <w:bCs/>
          <w:sz w:val="20"/>
          <w:szCs w:val="20"/>
        </w:rPr>
        <w:t>Fig. 1b. Correlation</w:t>
      </w:r>
      <w:r w:rsidR="006075C2"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6075C2" w:rsidRPr="004869B8">
        <w:rPr>
          <w:rFonts w:ascii="Arial" w:hAnsi="Arial" w:cs="Arial"/>
          <w:b/>
          <w:bCs/>
          <w:sz w:val="20"/>
          <w:szCs w:val="20"/>
        </w:rPr>
        <w:t xml:space="preserve">eed </w:t>
      </w:r>
      <w:r w:rsidR="00DC4889" w:rsidRPr="004869B8">
        <w:rPr>
          <w:rFonts w:ascii="Arial" w:hAnsi="Arial" w:cs="Arial"/>
          <w:b/>
          <w:bCs/>
          <w:sz w:val="20"/>
          <w:szCs w:val="20"/>
        </w:rPr>
        <w:t>y</w:t>
      </w:r>
      <w:r w:rsidR="006075C2" w:rsidRPr="004869B8">
        <w:rPr>
          <w:rFonts w:ascii="Arial" w:hAnsi="Arial" w:cs="Arial"/>
          <w:b/>
          <w:bCs/>
          <w:sz w:val="20"/>
          <w:szCs w:val="20"/>
        </w:rPr>
        <w:t xml:space="preserve">ield, </w:t>
      </w:r>
      <w:r w:rsidR="00DC4889" w:rsidRPr="004869B8">
        <w:rPr>
          <w:rFonts w:ascii="Arial" w:hAnsi="Arial" w:cs="Arial"/>
          <w:b/>
          <w:bCs/>
          <w:sz w:val="20"/>
          <w:szCs w:val="20"/>
        </w:rPr>
        <w:t>b</w:t>
      </w:r>
      <w:r w:rsidRPr="004869B8">
        <w:rPr>
          <w:rFonts w:ascii="Arial" w:hAnsi="Arial" w:cs="Arial"/>
          <w:b/>
          <w:bCs/>
          <w:sz w:val="20"/>
          <w:szCs w:val="20"/>
        </w:rPr>
        <w:t xml:space="preserve">last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raits in ENV-II</w:t>
      </w:r>
    </w:p>
    <w:p w14:paraId="3AA32CCF" w14:textId="77777777" w:rsidR="00CC3D37" w:rsidRPr="004869B8" w:rsidRDefault="00294854" w:rsidP="00294854">
      <w:pPr>
        <w:spacing w:line="240" w:lineRule="auto"/>
        <w:rPr>
          <w:rFonts w:ascii="Arial" w:hAnsi="Arial" w:cs="Arial"/>
          <w:sz w:val="20"/>
          <w:szCs w:val="20"/>
        </w:rPr>
      </w:pPr>
      <w:r w:rsidRPr="004869B8">
        <w:rPr>
          <w:rFonts w:ascii="Arial" w:hAnsi="Arial" w:cs="Arial"/>
          <w:noProof/>
          <w:sz w:val="20"/>
          <w:szCs w:val="20"/>
        </w:rPr>
        <w:drawing>
          <wp:inline distT="0" distB="0" distL="0" distR="0" wp14:anchorId="14EAB283" wp14:editId="1CFA04DA">
            <wp:extent cx="4403589" cy="3433864"/>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9689" cy="3438621"/>
                    </a:xfrm>
                    <a:prstGeom prst="rect">
                      <a:avLst/>
                    </a:prstGeom>
                    <a:noFill/>
                    <a:ln>
                      <a:noFill/>
                    </a:ln>
                  </pic:spPr>
                </pic:pic>
              </a:graphicData>
            </a:graphic>
          </wp:inline>
        </w:drawing>
      </w:r>
    </w:p>
    <w:p w14:paraId="3432228D" w14:textId="77777777" w:rsidR="00730897" w:rsidRPr="004869B8" w:rsidRDefault="00730897" w:rsidP="00294854">
      <w:pPr>
        <w:spacing w:line="240" w:lineRule="auto"/>
        <w:rPr>
          <w:rFonts w:ascii="Arial" w:hAnsi="Arial" w:cs="Arial"/>
          <w:b/>
          <w:bCs/>
          <w:sz w:val="20"/>
          <w:szCs w:val="20"/>
        </w:rPr>
      </w:pPr>
    </w:p>
    <w:p w14:paraId="19B07CE7" w14:textId="15876E14" w:rsidR="00294854" w:rsidRPr="004869B8" w:rsidRDefault="00294854" w:rsidP="00294854">
      <w:pPr>
        <w:spacing w:line="240" w:lineRule="auto"/>
        <w:rPr>
          <w:rFonts w:ascii="Arial" w:hAnsi="Arial" w:cs="Arial"/>
          <w:sz w:val="20"/>
          <w:szCs w:val="20"/>
        </w:rPr>
      </w:pPr>
      <w:r w:rsidRPr="004869B8">
        <w:rPr>
          <w:rFonts w:ascii="Arial" w:hAnsi="Arial" w:cs="Arial"/>
          <w:b/>
          <w:bCs/>
          <w:sz w:val="20"/>
          <w:szCs w:val="20"/>
        </w:rPr>
        <w:t>Fig. 1c. Correlation</w:t>
      </w:r>
      <w:r w:rsidR="006075C2" w:rsidRPr="004869B8">
        <w:rPr>
          <w:rFonts w:ascii="Arial" w:hAnsi="Arial" w:cs="Arial"/>
          <w:b/>
          <w:bCs/>
          <w:sz w:val="20"/>
          <w:szCs w:val="20"/>
        </w:rPr>
        <w:t>s</w:t>
      </w:r>
      <w:r w:rsidRPr="004869B8">
        <w:rPr>
          <w:rFonts w:ascii="Arial" w:hAnsi="Arial" w:cs="Arial"/>
          <w:b/>
          <w:bCs/>
          <w:sz w:val="20"/>
          <w:szCs w:val="20"/>
        </w:rPr>
        <w:t xml:space="preserve"> among </w:t>
      </w:r>
      <w:r w:rsidR="00DC4889" w:rsidRPr="004869B8">
        <w:rPr>
          <w:rFonts w:ascii="Arial" w:hAnsi="Arial" w:cs="Arial"/>
          <w:b/>
          <w:bCs/>
          <w:sz w:val="20"/>
          <w:szCs w:val="20"/>
        </w:rPr>
        <w:t>s</w:t>
      </w:r>
      <w:r w:rsidR="006075C2" w:rsidRPr="004869B8">
        <w:rPr>
          <w:rFonts w:ascii="Arial" w:hAnsi="Arial" w:cs="Arial"/>
          <w:b/>
          <w:bCs/>
          <w:sz w:val="20"/>
          <w:szCs w:val="20"/>
        </w:rPr>
        <w:t xml:space="preserve">eed </w:t>
      </w:r>
      <w:r w:rsidR="00DC4889" w:rsidRPr="004869B8">
        <w:rPr>
          <w:rFonts w:ascii="Arial" w:hAnsi="Arial" w:cs="Arial"/>
          <w:b/>
          <w:bCs/>
          <w:sz w:val="20"/>
          <w:szCs w:val="20"/>
        </w:rPr>
        <w:t>y</w:t>
      </w:r>
      <w:r w:rsidR="006075C2" w:rsidRPr="004869B8">
        <w:rPr>
          <w:rFonts w:ascii="Arial" w:hAnsi="Arial" w:cs="Arial"/>
          <w:b/>
          <w:bCs/>
          <w:sz w:val="20"/>
          <w:szCs w:val="20"/>
        </w:rPr>
        <w:t xml:space="preserve">ield, </w:t>
      </w:r>
      <w:r w:rsidR="00DC4889" w:rsidRPr="004869B8">
        <w:rPr>
          <w:rFonts w:ascii="Arial" w:hAnsi="Arial" w:cs="Arial"/>
          <w:b/>
          <w:bCs/>
          <w:sz w:val="20"/>
          <w:szCs w:val="20"/>
        </w:rPr>
        <w:t>b</w:t>
      </w:r>
      <w:r w:rsidRPr="004869B8">
        <w:rPr>
          <w:rFonts w:ascii="Arial" w:hAnsi="Arial" w:cs="Arial"/>
          <w:b/>
          <w:bCs/>
          <w:sz w:val="20"/>
          <w:szCs w:val="20"/>
        </w:rPr>
        <w:t xml:space="preserve">last </w:t>
      </w:r>
      <w:r w:rsidR="00DC4889" w:rsidRPr="004869B8">
        <w:rPr>
          <w:rFonts w:ascii="Arial" w:hAnsi="Arial" w:cs="Arial"/>
          <w:b/>
          <w:bCs/>
          <w:sz w:val="20"/>
          <w:szCs w:val="20"/>
        </w:rPr>
        <w:t>d</w:t>
      </w:r>
      <w:r w:rsidRPr="004869B8">
        <w:rPr>
          <w:rFonts w:ascii="Arial" w:hAnsi="Arial" w:cs="Arial"/>
          <w:b/>
          <w:bCs/>
          <w:sz w:val="20"/>
          <w:szCs w:val="20"/>
        </w:rPr>
        <w:t xml:space="preserve">isease </w:t>
      </w:r>
      <w:r w:rsidR="00DC4889" w:rsidRPr="004869B8">
        <w:rPr>
          <w:rFonts w:ascii="Arial" w:hAnsi="Arial" w:cs="Arial"/>
          <w:b/>
          <w:bCs/>
          <w:sz w:val="20"/>
          <w:szCs w:val="20"/>
        </w:rPr>
        <w:t>r</w:t>
      </w:r>
      <w:r w:rsidRPr="004869B8">
        <w:rPr>
          <w:rFonts w:ascii="Arial" w:hAnsi="Arial" w:cs="Arial"/>
          <w:b/>
          <w:bCs/>
          <w:sz w:val="20"/>
          <w:szCs w:val="20"/>
        </w:rPr>
        <w:t xml:space="preserve">esistance and other </w:t>
      </w:r>
      <w:r w:rsidR="00DC4889" w:rsidRPr="004869B8">
        <w:rPr>
          <w:rFonts w:ascii="Arial" w:hAnsi="Arial" w:cs="Arial"/>
          <w:b/>
          <w:bCs/>
          <w:sz w:val="20"/>
          <w:szCs w:val="20"/>
        </w:rPr>
        <w:t>a</w:t>
      </w:r>
      <w:r w:rsidRPr="004869B8">
        <w:rPr>
          <w:rFonts w:ascii="Arial" w:hAnsi="Arial" w:cs="Arial"/>
          <w:b/>
          <w:bCs/>
          <w:sz w:val="20"/>
          <w:szCs w:val="20"/>
        </w:rPr>
        <w:t xml:space="preserve">gronomic </w:t>
      </w:r>
      <w:r w:rsidR="00DC4889" w:rsidRPr="004869B8">
        <w:rPr>
          <w:rFonts w:ascii="Arial" w:hAnsi="Arial" w:cs="Arial"/>
          <w:b/>
          <w:bCs/>
          <w:sz w:val="20"/>
          <w:szCs w:val="20"/>
        </w:rPr>
        <w:t>t</w:t>
      </w:r>
      <w:r w:rsidRPr="004869B8">
        <w:rPr>
          <w:rFonts w:ascii="Arial" w:hAnsi="Arial" w:cs="Arial"/>
          <w:b/>
          <w:bCs/>
          <w:sz w:val="20"/>
          <w:szCs w:val="20"/>
        </w:rPr>
        <w:t xml:space="preserve">raits in </w:t>
      </w:r>
      <w:r w:rsidR="00DC4889" w:rsidRPr="004869B8">
        <w:rPr>
          <w:rFonts w:ascii="Arial" w:hAnsi="Arial" w:cs="Arial"/>
          <w:b/>
          <w:bCs/>
          <w:sz w:val="20"/>
          <w:szCs w:val="20"/>
        </w:rPr>
        <w:t>p</w:t>
      </w:r>
      <w:r w:rsidRPr="004869B8">
        <w:rPr>
          <w:rFonts w:ascii="Arial" w:hAnsi="Arial" w:cs="Arial"/>
          <w:b/>
          <w:bCs/>
          <w:sz w:val="20"/>
          <w:szCs w:val="20"/>
        </w:rPr>
        <w:t xml:space="preserve">ooled </w:t>
      </w:r>
      <w:r w:rsidR="00DC4889" w:rsidRPr="004869B8">
        <w:rPr>
          <w:rFonts w:ascii="Arial" w:hAnsi="Arial" w:cs="Arial"/>
          <w:b/>
          <w:bCs/>
          <w:sz w:val="20"/>
          <w:szCs w:val="20"/>
        </w:rPr>
        <w:t>e</w:t>
      </w:r>
      <w:r w:rsidRPr="004869B8">
        <w:rPr>
          <w:rFonts w:ascii="Arial" w:hAnsi="Arial" w:cs="Arial"/>
          <w:b/>
          <w:bCs/>
          <w:sz w:val="20"/>
          <w:szCs w:val="20"/>
        </w:rPr>
        <w:t>nvironment</w:t>
      </w:r>
    </w:p>
    <w:p w14:paraId="22B471ED" w14:textId="77777777" w:rsidR="00294854" w:rsidRPr="004869B8" w:rsidRDefault="00294854" w:rsidP="00294854">
      <w:pPr>
        <w:spacing w:line="240" w:lineRule="auto"/>
        <w:rPr>
          <w:rFonts w:ascii="Arial" w:hAnsi="Arial" w:cs="Arial"/>
          <w:sz w:val="20"/>
          <w:szCs w:val="20"/>
        </w:rPr>
      </w:pPr>
      <w:r w:rsidRPr="004869B8">
        <w:rPr>
          <w:rFonts w:ascii="Arial" w:hAnsi="Arial" w:cs="Arial"/>
          <w:noProof/>
          <w:sz w:val="20"/>
          <w:szCs w:val="20"/>
        </w:rPr>
        <w:lastRenderedPageBreak/>
        <w:drawing>
          <wp:inline distT="0" distB="0" distL="0" distR="0" wp14:anchorId="40B1D125" wp14:editId="63390627">
            <wp:extent cx="4521188" cy="3528391"/>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0952" cy="3559424"/>
                    </a:xfrm>
                    <a:prstGeom prst="rect">
                      <a:avLst/>
                    </a:prstGeom>
                    <a:noFill/>
                    <a:ln>
                      <a:noFill/>
                    </a:ln>
                  </pic:spPr>
                </pic:pic>
              </a:graphicData>
            </a:graphic>
          </wp:inline>
        </w:drawing>
      </w:r>
    </w:p>
    <w:p w14:paraId="7F8359ED" w14:textId="77777777" w:rsidR="00294854" w:rsidRPr="004869B8" w:rsidRDefault="00294854" w:rsidP="00294854">
      <w:pPr>
        <w:spacing w:line="240" w:lineRule="auto"/>
        <w:rPr>
          <w:rFonts w:ascii="Arial" w:hAnsi="Arial" w:cs="Arial"/>
          <w:sz w:val="20"/>
          <w:szCs w:val="20"/>
        </w:rPr>
      </w:pPr>
    </w:p>
    <w:p w14:paraId="6D1DC837" w14:textId="77777777" w:rsidR="00294854" w:rsidRPr="004869B8" w:rsidRDefault="00294854" w:rsidP="00294854">
      <w:pPr>
        <w:spacing w:line="240" w:lineRule="auto"/>
        <w:jc w:val="both"/>
        <w:rPr>
          <w:rFonts w:ascii="Arial" w:hAnsi="Arial" w:cs="Arial"/>
          <w:sz w:val="20"/>
          <w:szCs w:val="20"/>
        </w:rPr>
      </w:pPr>
      <w:r w:rsidRPr="004869B8">
        <w:rPr>
          <w:rFonts w:ascii="Arial" w:hAnsi="Arial" w:cs="Arial"/>
          <w:sz w:val="20"/>
          <w:szCs w:val="20"/>
        </w:rPr>
        <w:t>BS - Blast Score, PS - Plant Stand, PD - Panicle Diameter, NT – Number of Tillers, PL – Panicle Length, PH – Plant Height, SG – Stem Girth, NPT – Number of Productive Tillers, NL – Number of Leaves, HI – Harvest Index, DFF – Days to 50% Flowering, DM – Days to Maturity, TSW – Thousand Seed Weight</w:t>
      </w:r>
    </w:p>
    <w:p w14:paraId="2A96CE35" w14:textId="77777777" w:rsidR="00294854" w:rsidRPr="004869B8" w:rsidRDefault="00294854" w:rsidP="00294854">
      <w:pPr>
        <w:spacing w:line="240" w:lineRule="auto"/>
        <w:rPr>
          <w:rFonts w:ascii="Arial" w:hAnsi="Arial" w:cs="Arial"/>
          <w:sz w:val="20"/>
          <w:szCs w:val="20"/>
        </w:rPr>
      </w:pPr>
      <w:r w:rsidRPr="004869B8">
        <w:rPr>
          <w:rFonts w:ascii="Arial" w:hAnsi="Arial" w:cs="Arial"/>
          <w:sz w:val="20"/>
          <w:szCs w:val="20"/>
        </w:rPr>
        <w:t>*, **, *** correlation significance at 0.05, 0.01, 0.001 levels, respectively, ns – Non – Significant.</w:t>
      </w:r>
    </w:p>
    <w:p w14:paraId="5A657D7C" w14:textId="028BD199" w:rsidR="00250E9D" w:rsidRPr="004869B8" w:rsidRDefault="008C6447" w:rsidP="00294854">
      <w:pPr>
        <w:spacing w:line="240" w:lineRule="auto"/>
        <w:ind w:firstLine="720"/>
        <w:jc w:val="both"/>
        <w:rPr>
          <w:rFonts w:ascii="Arial" w:hAnsi="Arial" w:cs="Arial"/>
          <w:sz w:val="20"/>
          <w:szCs w:val="20"/>
        </w:rPr>
      </w:pPr>
      <w:r w:rsidRPr="004869B8">
        <w:rPr>
          <w:rFonts w:ascii="Arial" w:hAnsi="Arial" w:cs="Arial"/>
          <w:sz w:val="20"/>
          <w:szCs w:val="20"/>
        </w:rPr>
        <w:t>In the current study, the analysis of variance indicated significant variations for all traits between the lines. Significant variations for all the traits except, NT and NPT between environments and for interactions except, NPT and PH, all other traits exhibited significant variations</w:t>
      </w:r>
      <w:r w:rsidR="00250E9D" w:rsidRPr="004869B8">
        <w:rPr>
          <w:rFonts w:ascii="Arial" w:hAnsi="Arial" w:cs="Arial"/>
          <w:sz w:val="20"/>
          <w:szCs w:val="20"/>
        </w:rPr>
        <w:t>.</w:t>
      </w:r>
    </w:p>
    <w:p w14:paraId="11329844" w14:textId="77777777" w:rsidR="00F40A39" w:rsidRPr="004869B8" w:rsidRDefault="00892EF1" w:rsidP="005E1453">
      <w:pPr>
        <w:ind w:firstLine="360"/>
        <w:jc w:val="both"/>
        <w:rPr>
          <w:rFonts w:ascii="Arial" w:hAnsi="Arial" w:cs="Arial"/>
          <w:sz w:val="20"/>
          <w:szCs w:val="20"/>
        </w:rPr>
      </w:pPr>
      <w:r w:rsidRPr="004869B8">
        <w:rPr>
          <w:rFonts w:ascii="Arial" w:hAnsi="Arial" w:cs="Arial"/>
          <w:sz w:val="20"/>
          <w:szCs w:val="20"/>
        </w:rPr>
        <w:t>High heritability for days to 50% flowering in ENV-I and ENV-II, as reported by Singh et al. (2014), Sumathi et al. (2016), and Sumathi et al. (2010), suggests effective genetic selection in these environments. While ENV-I and ENV-II show potential for genetic improvement with moderate GAM (Nehra et al., 2017), the low GAM in the pooled environment (</w:t>
      </w:r>
      <w:proofErr w:type="spellStart"/>
      <w:r w:rsidRPr="004869B8">
        <w:rPr>
          <w:rFonts w:ascii="Arial" w:hAnsi="Arial" w:cs="Arial"/>
          <w:sz w:val="20"/>
          <w:szCs w:val="20"/>
        </w:rPr>
        <w:t>Vetriventhan</w:t>
      </w:r>
      <w:proofErr w:type="spellEnd"/>
      <w:r w:rsidRPr="004869B8">
        <w:rPr>
          <w:rFonts w:ascii="Arial" w:hAnsi="Arial" w:cs="Arial"/>
          <w:sz w:val="20"/>
          <w:szCs w:val="20"/>
        </w:rPr>
        <w:t xml:space="preserve"> et al., 2007; Sumathi et al., 2010; Ramya et al., 2018) suggests that achieving significant genetic gains might be challenging in a broader range of environments.</w:t>
      </w:r>
      <w:r w:rsidR="00194FCE" w:rsidRPr="004869B8">
        <w:rPr>
          <w:rFonts w:ascii="Arial" w:hAnsi="Arial" w:cs="Arial"/>
          <w:sz w:val="20"/>
          <w:szCs w:val="20"/>
        </w:rPr>
        <w:t xml:space="preserve"> </w:t>
      </w:r>
      <w:r w:rsidRPr="004869B8">
        <w:rPr>
          <w:rFonts w:ascii="Arial" w:hAnsi="Arial" w:cs="Arial"/>
          <w:sz w:val="20"/>
          <w:szCs w:val="20"/>
        </w:rPr>
        <w:t>High heritability for Days to Maturity in ENV-I and ENV-II, supported by Anuradha et al. (2020) and Singh et al. (2014), indicates strong genetic control in these environments. Conversely, Pallavi et al. (2020) reported lower heritability in the pooled environment, suggesting that combining multiple environments may dilute genetic effects.</w:t>
      </w:r>
      <w:r w:rsidR="008661B9" w:rsidRPr="004869B8">
        <w:rPr>
          <w:rFonts w:ascii="Arial" w:hAnsi="Arial" w:cs="Arial"/>
          <w:sz w:val="20"/>
          <w:szCs w:val="20"/>
        </w:rPr>
        <w:t xml:space="preserve"> </w:t>
      </w:r>
      <w:r w:rsidRPr="004869B8">
        <w:rPr>
          <w:rFonts w:ascii="Arial" w:hAnsi="Arial" w:cs="Arial"/>
          <w:sz w:val="20"/>
          <w:szCs w:val="20"/>
        </w:rPr>
        <w:t>While ENV-I and ENV-II show potential for genetic improvement with low to moderate genetic advance (Pallavi et al., 2020; Sharma et al., 2018; Sumathi et al., 2016), the pooled environment presents challenges due to reduced heritability and varying genetic advance, emphasizing the effectiveness of targeted selection in specific environments.</w:t>
      </w:r>
      <w:r w:rsidR="008661B9" w:rsidRPr="004869B8">
        <w:rPr>
          <w:rFonts w:ascii="Arial" w:hAnsi="Arial" w:cs="Arial"/>
          <w:sz w:val="20"/>
          <w:szCs w:val="20"/>
        </w:rPr>
        <w:t xml:space="preserve"> </w:t>
      </w:r>
      <w:r w:rsidRPr="004869B8">
        <w:rPr>
          <w:rFonts w:ascii="Arial" w:hAnsi="Arial" w:cs="Arial"/>
          <w:sz w:val="20"/>
          <w:szCs w:val="20"/>
        </w:rPr>
        <w:t>Low heritability and genetic advance for Plant Stand, consistent with Shobha Rani et al. (2019), indicate that genetic improvements may be limited.</w:t>
      </w:r>
      <w:r w:rsidR="00AA000B" w:rsidRPr="004869B8">
        <w:rPr>
          <w:rFonts w:ascii="Arial" w:hAnsi="Arial" w:cs="Arial"/>
          <w:sz w:val="20"/>
          <w:szCs w:val="20"/>
        </w:rPr>
        <w:t xml:space="preserve"> </w:t>
      </w:r>
      <w:r w:rsidRPr="004869B8">
        <w:rPr>
          <w:rFonts w:ascii="Arial" w:hAnsi="Arial" w:cs="Arial"/>
          <w:sz w:val="20"/>
          <w:szCs w:val="20"/>
        </w:rPr>
        <w:t xml:space="preserve">The high heritability and genetic advance for Plant Height across all environments, as noted by Satya et al. (2014), Annamalai et al. (2020), Dapke et al. (2014), and </w:t>
      </w:r>
      <w:proofErr w:type="spellStart"/>
      <w:r w:rsidRPr="004869B8">
        <w:rPr>
          <w:rFonts w:ascii="Arial" w:hAnsi="Arial" w:cs="Arial"/>
          <w:sz w:val="20"/>
          <w:szCs w:val="20"/>
        </w:rPr>
        <w:t>Vetriventhan</w:t>
      </w:r>
      <w:proofErr w:type="spellEnd"/>
      <w:r w:rsidRPr="004869B8">
        <w:rPr>
          <w:rFonts w:ascii="Arial" w:hAnsi="Arial" w:cs="Arial"/>
          <w:sz w:val="20"/>
          <w:szCs w:val="20"/>
        </w:rPr>
        <w:t xml:space="preserve"> et al. (2007), indicate a strong genetic influence on this trait.</w:t>
      </w:r>
    </w:p>
    <w:p w14:paraId="0BE7E254" w14:textId="77777777" w:rsidR="00AE493D" w:rsidRPr="004869B8" w:rsidRDefault="00AA000B" w:rsidP="005E1453">
      <w:pPr>
        <w:ind w:firstLine="360"/>
        <w:jc w:val="both"/>
        <w:rPr>
          <w:rFonts w:ascii="Arial" w:hAnsi="Arial" w:cs="Arial"/>
          <w:sz w:val="20"/>
          <w:szCs w:val="20"/>
        </w:rPr>
      </w:pPr>
      <w:r w:rsidRPr="004869B8">
        <w:rPr>
          <w:rFonts w:ascii="Arial" w:hAnsi="Arial" w:cs="Arial"/>
          <w:sz w:val="20"/>
          <w:szCs w:val="20"/>
        </w:rPr>
        <w:t xml:space="preserve"> </w:t>
      </w:r>
      <w:r w:rsidR="00892EF1" w:rsidRPr="004869B8">
        <w:rPr>
          <w:rFonts w:ascii="Arial" w:hAnsi="Arial" w:cs="Arial"/>
          <w:sz w:val="20"/>
          <w:szCs w:val="20"/>
        </w:rPr>
        <w:t xml:space="preserve">High heritability and genetic advance as percent of mean for the Number of Tillers in ENV-I and ENV-II, as reported by Annamalai et al. (2020) and </w:t>
      </w:r>
      <w:proofErr w:type="spellStart"/>
      <w:r w:rsidR="00892EF1" w:rsidRPr="004869B8">
        <w:rPr>
          <w:rFonts w:ascii="Arial" w:hAnsi="Arial" w:cs="Arial"/>
          <w:sz w:val="20"/>
          <w:szCs w:val="20"/>
        </w:rPr>
        <w:t>Vetriventhan</w:t>
      </w:r>
      <w:proofErr w:type="spellEnd"/>
      <w:r w:rsidR="00892EF1" w:rsidRPr="004869B8">
        <w:rPr>
          <w:rFonts w:ascii="Arial" w:hAnsi="Arial" w:cs="Arial"/>
          <w:sz w:val="20"/>
          <w:szCs w:val="20"/>
        </w:rPr>
        <w:t xml:space="preserve"> et al. (2007), indicate these </w:t>
      </w:r>
      <w:r w:rsidR="00892EF1" w:rsidRPr="004869B8">
        <w:rPr>
          <w:rFonts w:ascii="Arial" w:hAnsi="Arial" w:cs="Arial"/>
          <w:sz w:val="20"/>
          <w:szCs w:val="20"/>
        </w:rPr>
        <w:lastRenderedPageBreak/>
        <w:t>environments are conducive to genetic improvement</w:t>
      </w:r>
      <w:r w:rsidR="00A534A6" w:rsidRPr="004869B8">
        <w:rPr>
          <w:rFonts w:ascii="Arial" w:hAnsi="Arial" w:cs="Arial"/>
          <w:sz w:val="20"/>
          <w:szCs w:val="20"/>
        </w:rPr>
        <w:t xml:space="preserve">. </w:t>
      </w:r>
      <w:r w:rsidR="00892EF1" w:rsidRPr="004869B8">
        <w:rPr>
          <w:rFonts w:ascii="Arial" w:hAnsi="Arial" w:cs="Arial"/>
          <w:sz w:val="20"/>
          <w:szCs w:val="20"/>
        </w:rPr>
        <w:t xml:space="preserve">High heritability </w:t>
      </w:r>
      <w:r w:rsidR="005C3EF4" w:rsidRPr="004869B8">
        <w:rPr>
          <w:rFonts w:ascii="Arial" w:hAnsi="Arial" w:cs="Arial"/>
          <w:sz w:val="20"/>
          <w:szCs w:val="20"/>
        </w:rPr>
        <w:t xml:space="preserve">and genetic advance </w:t>
      </w:r>
      <w:r w:rsidR="00892EF1" w:rsidRPr="004869B8">
        <w:rPr>
          <w:rFonts w:ascii="Arial" w:hAnsi="Arial" w:cs="Arial"/>
          <w:sz w:val="20"/>
          <w:szCs w:val="20"/>
        </w:rPr>
        <w:t>for the Number of Productive Tillers in the Pooled environment, supported by Satya et al. (2014), Annamalai et al. (2020), and Shashibhushan et al. (2022), indicates strong genetic potential for improvement. ENV-I shows moderate heritability and high genetic advance, suggesting favorable conditions for progress (</w:t>
      </w:r>
      <w:proofErr w:type="spellStart"/>
      <w:r w:rsidR="00892EF1" w:rsidRPr="004869B8">
        <w:rPr>
          <w:rFonts w:ascii="Arial" w:hAnsi="Arial" w:cs="Arial"/>
          <w:sz w:val="20"/>
          <w:szCs w:val="20"/>
        </w:rPr>
        <w:t>Narasimhulu</w:t>
      </w:r>
      <w:proofErr w:type="spellEnd"/>
      <w:r w:rsidR="00892EF1" w:rsidRPr="004869B8">
        <w:rPr>
          <w:rFonts w:ascii="Arial" w:hAnsi="Arial" w:cs="Arial"/>
          <w:sz w:val="20"/>
          <w:szCs w:val="20"/>
        </w:rPr>
        <w:t xml:space="preserve"> et al., 2020; Singh et al., 2014). In contrast, ENV-II's moderate heritability and genetic advance (Basavaraj et al., 2017) imply less potential for genetic gain. </w:t>
      </w:r>
      <w:r w:rsidR="00194FCE" w:rsidRPr="004869B8">
        <w:rPr>
          <w:rFonts w:ascii="Arial" w:hAnsi="Arial" w:cs="Arial"/>
          <w:sz w:val="20"/>
          <w:szCs w:val="20"/>
        </w:rPr>
        <w:t>High heritability for the Number of Leaves in ENV-I and ENV-II indicates these environments offer stable genetic expression, with substantial genetic advance further supporting strong potential for improvement.</w:t>
      </w:r>
      <w:r w:rsidR="00A534A6" w:rsidRPr="004869B8">
        <w:rPr>
          <w:rFonts w:ascii="Arial" w:hAnsi="Arial" w:cs="Arial"/>
          <w:sz w:val="20"/>
          <w:szCs w:val="20"/>
        </w:rPr>
        <w:t xml:space="preserve"> </w:t>
      </w:r>
      <w:r w:rsidR="00194FCE" w:rsidRPr="004869B8">
        <w:rPr>
          <w:rFonts w:ascii="Arial" w:hAnsi="Arial" w:cs="Arial"/>
          <w:sz w:val="20"/>
          <w:szCs w:val="20"/>
        </w:rPr>
        <w:t xml:space="preserve">The high heritability and genetic advance as percent of mean for Panicle Length observed across all environments, supported by Annamalai et al. (2020), Dapke et al. (2014), </w:t>
      </w:r>
      <w:proofErr w:type="spellStart"/>
      <w:r w:rsidR="00194FCE" w:rsidRPr="004869B8">
        <w:rPr>
          <w:rFonts w:ascii="Arial" w:hAnsi="Arial" w:cs="Arial"/>
          <w:sz w:val="20"/>
          <w:szCs w:val="20"/>
        </w:rPr>
        <w:t>Vetriventhan</w:t>
      </w:r>
      <w:proofErr w:type="spellEnd"/>
      <w:r w:rsidR="00194FCE" w:rsidRPr="004869B8">
        <w:rPr>
          <w:rFonts w:ascii="Arial" w:hAnsi="Arial" w:cs="Arial"/>
          <w:sz w:val="20"/>
          <w:szCs w:val="20"/>
        </w:rPr>
        <w:t xml:space="preserve"> et al. (2007), and Sumathi et al. (2010), indicates strong genetic control and significant potential for improvement</w:t>
      </w:r>
      <w:r w:rsidR="00A534A6" w:rsidRPr="004869B8">
        <w:rPr>
          <w:rFonts w:ascii="Arial" w:hAnsi="Arial" w:cs="Arial"/>
          <w:sz w:val="20"/>
          <w:szCs w:val="20"/>
        </w:rPr>
        <w:t xml:space="preserve"> </w:t>
      </w:r>
      <w:r w:rsidR="00194FCE" w:rsidRPr="004869B8">
        <w:rPr>
          <w:rFonts w:ascii="Arial" w:hAnsi="Arial" w:cs="Arial"/>
          <w:sz w:val="20"/>
          <w:szCs w:val="20"/>
        </w:rPr>
        <w:t>The high heritability for Panicle Diameter across all environments, as observed by Sumathi et al. (2010), Kumari et al. (2020), and Pallavi et al. (2020), indicates a strong genetic influence. The moderate genetic advance associated with this high heritability suggests potential for improvement through selection, although the gains may be constrained by the trait's low variability.</w:t>
      </w:r>
      <w:r w:rsidR="00794380" w:rsidRPr="004869B8">
        <w:rPr>
          <w:rFonts w:ascii="Arial" w:hAnsi="Arial" w:cs="Arial"/>
          <w:sz w:val="20"/>
          <w:szCs w:val="20"/>
        </w:rPr>
        <w:t xml:space="preserve"> </w:t>
      </w:r>
    </w:p>
    <w:p w14:paraId="5D2603B7" w14:textId="0004EFF1" w:rsidR="00851E1E" w:rsidRPr="004869B8" w:rsidRDefault="00194FCE" w:rsidP="00AF4B8D">
      <w:pPr>
        <w:ind w:firstLine="360"/>
        <w:jc w:val="both"/>
        <w:rPr>
          <w:rFonts w:ascii="Arial" w:hAnsi="Arial" w:cs="Arial"/>
          <w:sz w:val="20"/>
          <w:szCs w:val="20"/>
        </w:rPr>
      </w:pPr>
      <w:r w:rsidRPr="004869B8">
        <w:rPr>
          <w:rFonts w:ascii="Arial" w:hAnsi="Arial" w:cs="Arial"/>
          <w:sz w:val="20"/>
          <w:szCs w:val="20"/>
        </w:rPr>
        <w:t xml:space="preserve">The moderate heritability for Stem Girth in ENV-I and ENV-II suggests some genetic influence, but the low genetic advance indicates limited potential for improvement through selection. The low heritability in the Pooled environment, as reported by Singh et al. (2014), further restricts the trait's responsiveness to selection. Thousand Seed Weight shows high heritability </w:t>
      </w:r>
      <w:r w:rsidR="00B903DE" w:rsidRPr="004869B8">
        <w:rPr>
          <w:rFonts w:ascii="Arial" w:hAnsi="Arial" w:cs="Arial"/>
          <w:sz w:val="20"/>
          <w:szCs w:val="20"/>
        </w:rPr>
        <w:t xml:space="preserve">and genetic advance </w:t>
      </w:r>
      <w:r w:rsidRPr="004869B8">
        <w:rPr>
          <w:rFonts w:ascii="Arial" w:hAnsi="Arial" w:cs="Arial"/>
          <w:sz w:val="20"/>
          <w:szCs w:val="20"/>
        </w:rPr>
        <w:t>in all environments, reflecting strong genetic control and improvement potential (Nehra et al., 2017; Kumar et al., 2022; Pallavi et al., 2020).</w:t>
      </w:r>
      <w:r w:rsidR="00B903DE" w:rsidRPr="004869B8">
        <w:rPr>
          <w:rFonts w:ascii="Arial" w:hAnsi="Arial" w:cs="Arial"/>
          <w:sz w:val="20"/>
          <w:szCs w:val="20"/>
        </w:rPr>
        <w:t xml:space="preserve"> </w:t>
      </w:r>
      <w:r w:rsidRPr="004869B8">
        <w:rPr>
          <w:rFonts w:ascii="Arial" w:hAnsi="Arial" w:cs="Arial"/>
          <w:sz w:val="20"/>
          <w:szCs w:val="20"/>
        </w:rPr>
        <w:t xml:space="preserve">The high heritability </w:t>
      </w:r>
      <w:r w:rsidR="00AC030B" w:rsidRPr="004869B8">
        <w:rPr>
          <w:rFonts w:ascii="Arial" w:hAnsi="Arial" w:cs="Arial"/>
          <w:sz w:val="20"/>
          <w:szCs w:val="20"/>
        </w:rPr>
        <w:t xml:space="preserve">and genetic advance </w:t>
      </w:r>
      <w:r w:rsidRPr="004869B8">
        <w:rPr>
          <w:rFonts w:ascii="Arial" w:hAnsi="Arial" w:cs="Arial"/>
          <w:sz w:val="20"/>
          <w:szCs w:val="20"/>
        </w:rPr>
        <w:t>for Seed Yield across all environments, supported by Shobha Rani et al. (2019), Nehra et al. (2017), Kumar et al. (2022), and Shashibhushan et al. (2022), indicates strong genetic control and significant potential for improvement through selection. The high heritability</w:t>
      </w:r>
      <w:r w:rsidR="00640168" w:rsidRPr="004869B8">
        <w:rPr>
          <w:rFonts w:ascii="Arial" w:hAnsi="Arial" w:cs="Arial"/>
          <w:sz w:val="20"/>
          <w:szCs w:val="20"/>
        </w:rPr>
        <w:t xml:space="preserve"> and genetic advance</w:t>
      </w:r>
      <w:r w:rsidRPr="004869B8">
        <w:rPr>
          <w:rFonts w:ascii="Arial" w:hAnsi="Arial" w:cs="Arial"/>
          <w:sz w:val="20"/>
          <w:szCs w:val="20"/>
        </w:rPr>
        <w:t xml:space="preserve"> for Harvest Index observed across all environments, consistent with findings from Dapke et al. (2014) and Singh et al. (2014), indicates strong genetic control and considerable potential for improvement through selection. The high heritability </w:t>
      </w:r>
      <w:r w:rsidR="007F5671" w:rsidRPr="004869B8">
        <w:rPr>
          <w:rFonts w:ascii="Arial" w:hAnsi="Arial" w:cs="Arial"/>
          <w:sz w:val="20"/>
          <w:szCs w:val="20"/>
        </w:rPr>
        <w:t xml:space="preserve">and genetic advance </w:t>
      </w:r>
      <w:r w:rsidRPr="004869B8">
        <w:rPr>
          <w:rFonts w:ascii="Arial" w:hAnsi="Arial" w:cs="Arial"/>
          <w:sz w:val="20"/>
          <w:szCs w:val="20"/>
        </w:rPr>
        <w:t>of Blast score in all environments, consistent with Owere et al. (2015) and Salleh et al. (2022), indicates a strong genetic control over resistance to blast disease, suggesting significant potential for genetic improvement</w:t>
      </w:r>
      <w:r w:rsidR="007F5671" w:rsidRPr="004869B8">
        <w:rPr>
          <w:rFonts w:ascii="Arial" w:hAnsi="Arial" w:cs="Arial"/>
          <w:sz w:val="20"/>
          <w:szCs w:val="20"/>
        </w:rPr>
        <w:t xml:space="preserve"> and effectiveness of selection. </w:t>
      </w:r>
      <w:r w:rsidR="002157DF" w:rsidRPr="004869B8">
        <w:rPr>
          <w:rFonts w:ascii="Arial" w:hAnsi="Arial" w:cs="Arial"/>
          <w:sz w:val="20"/>
          <w:szCs w:val="20"/>
        </w:rPr>
        <w:t xml:space="preserve">Low PCV and GCV values </w:t>
      </w:r>
      <w:r w:rsidR="00223E58" w:rsidRPr="004869B8">
        <w:rPr>
          <w:rFonts w:ascii="Arial" w:hAnsi="Arial" w:cs="Arial"/>
          <w:sz w:val="20"/>
          <w:szCs w:val="20"/>
        </w:rPr>
        <w:t xml:space="preserve">DFF </w:t>
      </w:r>
      <w:r w:rsidR="002157DF" w:rsidRPr="004869B8">
        <w:rPr>
          <w:rFonts w:ascii="Arial" w:hAnsi="Arial" w:cs="Arial"/>
          <w:sz w:val="20"/>
          <w:szCs w:val="20"/>
        </w:rPr>
        <w:t xml:space="preserve">(Satya et al., 2014; Dapke et al., 2014; Basavaraj et al., 2017) indicate a minimal environmental impact on this trait. Similarly, low PCV and GCV values for </w:t>
      </w:r>
      <w:r w:rsidR="00223E58" w:rsidRPr="004869B8">
        <w:rPr>
          <w:rFonts w:ascii="Arial" w:hAnsi="Arial" w:cs="Arial"/>
          <w:sz w:val="20"/>
          <w:szCs w:val="20"/>
        </w:rPr>
        <w:t xml:space="preserve">DM </w:t>
      </w:r>
      <w:r w:rsidR="002157DF" w:rsidRPr="004869B8">
        <w:rPr>
          <w:rFonts w:ascii="Arial" w:hAnsi="Arial" w:cs="Arial"/>
          <w:sz w:val="20"/>
          <w:szCs w:val="20"/>
        </w:rPr>
        <w:t>(Satya et al., 2014; Sumathi et al., 2016; Dapke et al., 2014) suggest a limited influence of the environment, emphasizing a strong genetic control. Moderate PCV and GCV values (Satya et al., 2014; Anuradha et al., 2020; Ramya et al., 2018) underscore the genetic dominance of this trait despite some environmental variation</w:t>
      </w:r>
      <w:r w:rsidR="00851E1E" w:rsidRPr="004869B8">
        <w:rPr>
          <w:rFonts w:ascii="Arial" w:hAnsi="Arial" w:cs="Arial"/>
          <w:sz w:val="20"/>
          <w:szCs w:val="20"/>
        </w:rPr>
        <w:t xml:space="preserve"> for PH</w:t>
      </w:r>
      <w:r w:rsidR="002157DF" w:rsidRPr="004869B8">
        <w:rPr>
          <w:rFonts w:ascii="Arial" w:hAnsi="Arial" w:cs="Arial"/>
          <w:sz w:val="20"/>
          <w:szCs w:val="20"/>
        </w:rPr>
        <w:t>.</w:t>
      </w:r>
    </w:p>
    <w:p w14:paraId="12B5CF46" w14:textId="697CE7A5" w:rsidR="00AF4B8D" w:rsidRPr="004869B8" w:rsidRDefault="002157DF" w:rsidP="00AF4B8D">
      <w:pPr>
        <w:spacing w:line="240" w:lineRule="auto"/>
        <w:ind w:firstLine="720"/>
        <w:jc w:val="both"/>
        <w:rPr>
          <w:rFonts w:ascii="Arial" w:hAnsi="Arial" w:cs="Arial"/>
          <w:sz w:val="20"/>
          <w:szCs w:val="20"/>
        </w:rPr>
      </w:pPr>
      <w:r w:rsidRPr="004869B8">
        <w:rPr>
          <w:rFonts w:ascii="Arial" w:hAnsi="Arial" w:cs="Arial"/>
          <w:sz w:val="20"/>
          <w:szCs w:val="20"/>
        </w:rPr>
        <w:t xml:space="preserve"> For Number of Tillers, moderate PCV and GCV in the pooled environment (Sumathi et al., 2016; Sumathi et al., 2010) </w:t>
      </w:r>
      <w:r w:rsidR="00AF4B8D" w:rsidRPr="004869B8">
        <w:rPr>
          <w:rFonts w:ascii="Arial" w:hAnsi="Arial" w:cs="Arial"/>
          <w:sz w:val="20"/>
          <w:szCs w:val="20"/>
        </w:rPr>
        <w:t>reflects</w:t>
      </w:r>
      <w:r w:rsidRPr="004869B8">
        <w:rPr>
          <w:rFonts w:ascii="Arial" w:hAnsi="Arial" w:cs="Arial"/>
          <w:sz w:val="20"/>
          <w:szCs w:val="20"/>
        </w:rPr>
        <w:t xml:space="preserve"> lower variability, contrasting with the high PCV and GCV observed in ENV-I and ENV-II (Annamalai et al., 2020; Kumari et al., 2020), which point to better conditions for genetic expression and variation. The moderate to low PCV and GCV values for Number of Productive Tillers in the Pooled environment (Kumari et al., 2018) suggest limited variability, potentially hindering selection effectiveness. In contrast, moderate PCV and GCV values for Panicle Length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Pallavi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indicate that selection remains effective due to the trait's strong genetic basis. For Panicle Diameter, low PCV and GCV values (Sumathi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reflect limited genetic and phenotypic variability, which may constrain the effectiveness of breeding programs. Similarly, low PCV and GCV values across environments for Stem Girth (Singh et al., 2014) suggest minimal variability, indicating that selection for this trait may be less effective. </w:t>
      </w:r>
    </w:p>
    <w:p w14:paraId="74D3036A" w14:textId="77777777" w:rsidR="00AF4B8D" w:rsidRPr="004869B8" w:rsidRDefault="002157DF" w:rsidP="00AF4B8D">
      <w:pPr>
        <w:spacing w:line="240" w:lineRule="auto"/>
        <w:ind w:firstLine="720"/>
        <w:jc w:val="both"/>
        <w:rPr>
          <w:rFonts w:ascii="Arial" w:hAnsi="Arial" w:cs="Arial"/>
          <w:sz w:val="20"/>
          <w:szCs w:val="20"/>
        </w:rPr>
      </w:pPr>
      <w:r w:rsidRPr="004869B8">
        <w:rPr>
          <w:rFonts w:ascii="Arial" w:hAnsi="Arial" w:cs="Arial"/>
          <w:sz w:val="20"/>
          <w:szCs w:val="20"/>
        </w:rPr>
        <w:t xml:space="preserve">High PCV and GCV values for Thousand Seed Weight in ENV-I and ENV-II (Annamalai et al., 2020; Singh et al., 2014) highlight substantial variability, while moderate GCV in the Pooled environment (Satya et al., 2014; Ramya et al., 2018) indicates reduced variability but still presents opportunities for improvement. For Seed Yield, high PCV and GCV values (Ramya et al., 2018; Basavaraj et al., 2017; Kumari et al., 2020; Annamalai et al., 2020) indicate substantial genetic variability, enhancing the prospects for selection. Similarly, for Harvest Index, moderate PCV and GCV in ENV-I and the Pooled </w:t>
      </w:r>
      <w:r w:rsidRPr="004869B8">
        <w:rPr>
          <w:rFonts w:ascii="Arial" w:hAnsi="Arial" w:cs="Arial"/>
          <w:sz w:val="20"/>
          <w:szCs w:val="20"/>
        </w:rPr>
        <w:lastRenderedPageBreak/>
        <w:t>environment, alongside high PCV and GCV in ENV-II (Dapke et al., 2014; Singh et al., 2014), suggest greater potential for selection in ENV-II compared to the other environments. Finally, high PCV and GCV values for Blast Score (Owere et al., 2015; Salleh et al., 2022) reflect significant genetic variability, which enhances the potential for selection and breeding for improved resistance to blast disease.</w:t>
      </w:r>
      <w:r w:rsidR="00AF4B8D" w:rsidRPr="004869B8">
        <w:rPr>
          <w:rFonts w:ascii="Arial" w:hAnsi="Arial" w:cs="Arial"/>
          <w:sz w:val="20"/>
          <w:szCs w:val="20"/>
        </w:rPr>
        <w:t xml:space="preserve">   </w:t>
      </w:r>
    </w:p>
    <w:p w14:paraId="1121B2FF" w14:textId="0988E216" w:rsidR="00AF4B8D" w:rsidRPr="004869B8" w:rsidRDefault="00AF4B8D" w:rsidP="00AF4B8D">
      <w:pPr>
        <w:spacing w:line="240" w:lineRule="auto"/>
        <w:ind w:firstLine="720"/>
        <w:jc w:val="both"/>
        <w:rPr>
          <w:rFonts w:ascii="Arial" w:hAnsi="Arial" w:cs="Arial"/>
          <w:sz w:val="20"/>
          <w:szCs w:val="20"/>
        </w:rPr>
      </w:pPr>
      <w:r w:rsidRPr="004869B8">
        <w:rPr>
          <w:rFonts w:ascii="Arial" w:hAnsi="Arial" w:cs="Arial"/>
          <w:sz w:val="20"/>
          <w:szCs w:val="20"/>
        </w:rPr>
        <w:t xml:space="preserve">The correlation analysis conducted across various environments reveals that Seed Yield is significantly positively associated with traits such as Thousand Seed Weight, Harvest Index, Number of Productive Tillers, Stem Girth, Plant Height, Number of Tillers, Panicle Diameter, and Plant Stand (Fig. 1a, 1b, 1c). These findings are supported by Annamalai et al., (2020), Anuradha et al., (2020), Singh et al., (2014) for Thousand Seed Weight; Dapke et al., (2014), Singh et al., (2014),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for Harvest Index; Annamalai et al., (2020), Anuradha et al., (2020), and Dapke et al., (2014) for Number of Productive Tillers; </w:t>
      </w:r>
      <w:proofErr w:type="spellStart"/>
      <w:r w:rsidRPr="004869B8">
        <w:rPr>
          <w:rFonts w:ascii="Arial" w:hAnsi="Arial" w:cs="Arial"/>
          <w:sz w:val="20"/>
          <w:szCs w:val="20"/>
        </w:rPr>
        <w:t>Dezfouli</w:t>
      </w:r>
      <w:proofErr w:type="spellEnd"/>
      <w:r w:rsidRPr="004869B8">
        <w:rPr>
          <w:rFonts w:ascii="Arial" w:hAnsi="Arial" w:cs="Arial"/>
          <w:sz w:val="20"/>
          <w:szCs w:val="20"/>
        </w:rPr>
        <w:t xml:space="preserve"> et al., (2010) and Singh et al., (2014) for Stem Girth; Anuradha et al., (2020), Dapke et al., (2020), and Singh et al., (2014) for Plant Height; Annamalai et al., (2020) and Kumari et al., (2020) for Number of Tillers;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(2020),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and Shashi Bhushan et al., (2022) for Panicle Diameter;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(2021) for Plant Stand. Additionally, the positive correlation with Days to Maturity is supported by Sumathi et al., (2016) and </w:t>
      </w:r>
      <w:proofErr w:type="spellStart"/>
      <w:r w:rsidRPr="004869B8">
        <w:rPr>
          <w:rFonts w:ascii="Arial" w:hAnsi="Arial" w:cs="Arial"/>
          <w:sz w:val="20"/>
          <w:szCs w:val="20"/>
        </w:rPr>
        <w:t>Narasimhulu</w:t>
      </w:r>
      <w:proofErr w:type="spellEnd"/>
      <w:r w:rsidRPr="004869B8">
        <w:rPr>
          <w:rFonts w:ascii="Arial" w:hAnsi="Arial" w:cs="Arial"/>
          <w:sz w:val="20"/>
          <w:szCs w:val="20"/>
        </w:rPr>
        <w:t xml:space="preserve"> et al., (2019). Conversely, the negative association between Seed Yield and Blast Disease Score is consistent with findings from Kandel et al., (2020),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w:t>
      </w:r>
      <w:proofErr w:type="spellStart"/>
      <w:r w:rsidRPr="004869B8">
        <w:rPr>
          <w:rFonts w:ascii="Arial" w:hAnsi="Arial" w:cs="Arial"/>
          <w:sz w:val="20"/>
          <w:szCs w:val="20"/>
        </w:rPr>
        <w:t>Chuwa</w:t>
      </w:r>
      <w:proofErr w:type="spellEnd"/>
      <w:r w:rsidRPr="004869B8">
        <w:rPr>
          <w:rFonts w:ascii="Arial" w:hAnsi="Arial" w:cs="Arial"/>
          <w:sz w:val="20"/>
          <w:szCs w:val="20"/>
        </w:rPr>
        <w:t xml:space="preserve"> et al., (2015), Owere et al., (2015), Subedi et al., (2022), and </w:t>
      </w:r>
      <w:proofErr w:type="spellStart"/>
      <w:r w:rsidRPr="004869B8">
        <w:rPr>
          <w:rFonts w:ascii="Arial" w:hAnsi="Arial" w:cs="Arial"/>
          <w:sz w:val="20"/>
          <w:szCs w:val="20"/>
        </w:rPr>
        <w:t>Bastiaans</w:t>
      </w:r>
      <w:proofErr w:type="spellEnd"/>
      <w:r w:rsidRPr="004869B8">
        <w:rPr>
          <w:rFonts w:ascii="Arial" w:hAnsi="Arial" w:cs="Arial"/>
          <w:sz w:val="20"/>
          <w:szCs w:val="20"/>
        </w:rPr>
        <w:t xml:space="preserve"> (1993), demonstrating that higher disease severity adversely impacts yield by reducing plant health and productivity. This comprehensive understanding of trait correlations with Seed Yield is crucial for informing breeding strategies and management practices aimed at enhancing crop performance and resilience.</w:t>
      </w:r>
    </w:p>
    <w:p w14:paraId="688D0A57" w14:textId="68C973EF" w:rsidR="002678DE" w:rsidRPr="004869B8" w:rsidRDefault="00AF4B8D" w:rsidP="003816DC">
      <w:pPr>
        <w:spacing w:line="240" w:lineRule="auto"/>
        <w:ind w:firstLine="720"/>
        <w:jc w:val="both"/>
        <w:rPr>
          <w:rFonts w:ascii="Arial" w:hAnsi="Arial" w:cs="Arial"/>
          <w:sz w:val="20"/>
          <w:szCs w:val="20"/>
        </w:rPr>
      </w:pPr>
      <w:r w:rsidRPr="004869B8">
        <w:rPr>
          <w:rFonts w:ascii="Arial" w:hAnsi="Arial" w:cs="Arial"/>
          <w:sz w:val="20"/>
          <w:szCs w:val="20"/>
        </w:rPr>
        <w:t xml:space="preserve">The correlation analysis highlights the significant negative impact of Blast Disease on several key agronomic traits, which is crucial for understanding its effect on crop performance. Blast Disease is negatively correlated with Thousand Seed Weight, as indicated by Kandel et al., (2020), </w:t>
      </w:r>
      <w:proofErr w:type="spellStart"/>
      <w:r w:rsidRPr="004869B8">
        <w:rPr>
          <w:rFonts w:ascii="Arial" w:hAnsi="Arial" w:cs="Arial"/>
          <w:sz w:val="20"/>
          <w:szCs w:val="20"/>
        </w:rPr>
        <w:t>Bastiaans</w:t>
      </w:r>
      <w:proofErr w:type="spellEnd"/>
      <w:r w:rsidRPr="004869B8">
        <w:rPr>
          <w:rFonts w:ascii="Arial" w:hAnsi="Arial" w:cs="Arial"/>
          <w:sz w:val="20"/>
          <w:szCs w:val="20"/>
        </w:rPr>
        <w:t xml:space="preserve"> (1993), and </w:t>
      </w:r>
      <w:proofErr w:type="spellStart"/>
      <w:r w:rsidRPr="004869B8">
        <w:rPr>
          <w:rFonts w:ascii="Arial" w:hAnsi="Arial" w:cs="Arial"/>
          <w:sz w:val="20"/>
          <w:szCs w:val="20"/>
        </w:rPr>
        <w:t>Salleh</w:t>
      </w:r>
      <w:proofErr w:type="spellEnd"/>
      <w:r w:rsidRPr="004869B8">
        <w:rPr>
          <w:rFonts w:ascii="Arial" w:hAnsi="Arial" w:cs="Arial"/>
          <w:sz w:val="20"/>
          <w:szCs w:val="20"/>
        </w:rPr>
        <w:t xml:space="preserve"> et al., (2022), showing that increased disease severity reduces seed weight. The adverse effects on the Number of Productive Tillers align with findings from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and Plant Height is negatively impacted, as supported by </w:t>
      </w: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et al., (2009), Owere et al., (2015), Ramakrishnan et al., (2016), and Salleh et al., (2022). The reduction in the Number of Tillers is corroborated by </w:t>
      </w:r>
      <w:proofErr w:type="spellStart"/>
      <w:r w:rsidRPr="004869B8">
        <w:rPr>
          <w:rFonts w:ascii="Arial" w:hAnsi="Arial" w:cs="Arial"/>
          <w:sz w:val="20"/>
          <w:szCs w:val="20"/>
        </w:rPr>
        <w:t>Chuwa</w:t>
      </w:r>
      <w:proofErr w:type="spellEnd"/>
      <w:r w:rsidRPr="004869B8">
        <w:rPr>
          <w:rFonts w:ascii="Arial" w:hAnsi="Arial" w:cs="Arial"/>
          <w:sz w:val="20"/>
          <w:szCs w:val="20"/>
        </w:rPr>
        <w:t xml:space="preserve"> et al., (2015). Days to Maturity is negatively associated, as Salleh et al., (2022). Kandel et al., (2020) support that Blast Disease is negatively associated with Leaf Length and further illustrates its detrimental effects on plant health. These findings collectively underscore the significant detrimental effects of Blast Disease on key traits, emphasizing the importance of effective management strategies to mitigate its negative impacts and improve overall crop productivity.</w:t>
      </w:r>
    </w:p>
    <w:p w14:paraId="66446F90" w14:textId="00C97A63" w:rsidR="0084335E" w:rsidRPr="003816DC" w:rsidRDefault="003816DC" w:rsidP="00BB2558">
      <w:pPr>
        <w:spacing w:line="240" w:lineRule="auto"/>
        <w:jc w:val="both"/>
        <w:rPr>
          <w:rFonts w:ascii="Arial" w:hAnsi="Arial" w:cs="Arial"/>
          <w:b/>
          <w:bCs/>
        </w:rPr>
      </w:pPr>
      <w:r>
        <w:rPr>
          <w:rFonts w:ascii="Arial" w:hAnsi="Arial" w:cs="Arial"/>
          <w:b/>
          <w:bCs/>
        </w:rPr>
        <w:t>4.</w:t>
      </w:r>
      <w:r w:rsidR="00BB2558" w:rsidRPr="003816DC">
        <w:rPr>
          <w:rFonts w:ascii="Arial" w:hAnsi="Arial" w:cs="Arial"/>
          <w:b/>
          <w:bCs/>
        </w:rPr>
        <w:t xml:space="preserve"> </w:t>
      </w:r>
      <w:r w:rsidR="0084335E" w:rsidRPr="003816DC">
        <w:rPr>
          <w:rFonts w:ascii="Arial" w:hAnsi="Arial" w:cs="Arial"/>
          <w:b/>
          <w:bCs/>
        </w:rPr>
        <w:t>CONCLUSION</w:t>
      </w:r>
    </w:p>
    <w:p w14:paraId="4FCCBDB5" w14:textId="49C3AC40" w:rsidR="00075186" w:rsidRDefault="00F72F47" w:rsidP="00F72F47">
      <w:pPr>
        <w:spacing w:line="240" w:lineRule="auto"/>
        <w:ind w:firstLine="720"/>
        <w:jc w:val="both"/>
        <w:rPr>
          <w:rFonts w:ascii="Arial" w:hAnsi="Arial" w:cs="Arial"/>
          <w:sz w:val="20"/>
          <w:szCs w:val="20"/>
        </w:rPr>
      </w:pPr>
      <w:r w:rsidRPr="004869B8">
        <w:rPr>
          <w:rFonts w:ascii="Arial" w:hAnsi="Arial" w:cs="Arial"/>
          <w:sz w:val="20"/>
          <w:szCs w:val="20"/>
        </w:rPr>
        <w:t>Variability is essential for developing effective breeding strategies, as it provides the basis for selecting and improving traits. This study utilized a multi-faceted analytical approach, including ANOVA, heritability estimation, phenotypic and genotypic coefficients of variation (PCV and GCV), genetic advance as a percentage of the mean (GAM) and correlation analysis to thoroughly assess the pearl millet population. ANOVA highlighted significant variation across all parameters, indicating substantial diversity within the population. PCV slightly exceeds GCV suggests a substantial environmental influence on these traits. High heritability coupled with high GAM, along with medium to high PCV and GCV for traits such as plant height, panicle length, seed yield, harvest index, and thousand seed weight, indicates that these traits are predominantly genetically controlled and can be improved significantly through selection, making them valuable for breeding. Correlation analysis highlighted significant relationships, such as the positive correlation of seed yield with thousand seed weight, days to maturity, harvest index, number of productive tillers, plant height, number of tillers, panicle diameter, and plant stand. Conversely, blast disease was negatively correlated with seed yield, thousand seed weight, days to maturity, harvest index, number of leaves, number of productive tillers, plant height, and number of tillers.</w:t>
      </w:r>
      <w:r w:rsidRPr="004869B8">
        <w:rPr>
          <w:rFonts w:ascii="Arial" w:hAnsi="Arial" w:cs="Arial"/>
          <w:sz w:val="20"/>
          <w:szCs w:val="20"/>
        </w:rPr>
        <w:tab/>
      </w:r>
    </w:p>
    <w:p w14:paraId="2C78FC0D" w14:textId="77777777" w:rsidR="00CB5DD7" w:rsidRPr="004869B8" w:rsidRDefault="00CB5DD7" w:rsidP="009D236F">
      <w:pPr>
        <w:spacing w:line="240" w:lineRule="auto"/>
        <w:jc w:val="both"/>
        <w:rPr>
          <w:rFonts w:ascii="Arial" w:hAnsi="Arial" w:cs="Arial"/>
          <w:b/>
          <w:bCs/>
          <w:sz w:val="20"/>
          <w:szCs w:val="20"/>
        </w:rPr>
      </w:pPr>
    </w:p>
    <w:p w14:paraId="281E4F19" w14:textId="77777777" w:rsidR="00B578E2" w:rsidRDefault="00B578E2" w:rsidP="00B578E2">
      <w:pPr>
        <w:pStyle w:val="ReferHead"/>
        <w:spacing w:after="0"/>
        <w:jc w:val="both"/>
        <w:rPr>
          <w:rFonts w:ascii="Arial" w:hAnsi="Arial" w:cs="Arial"/>
        </w:rPr>
      </w:pPr>
      <w:commentRangeStart w:id="0"/>
      <w:r w:rsidRPr="00FB3A86">
        <w:rPr>
          <w:rFonts w:ascii="Arial" w:hAnsi="Arial" w:cs="Arial"/>
        </w:rPr>
        <w:t>References</w:t>
      </w:r>
      <w:commentRangeEnd w:id="0"/>
      <w:r w:rsidR="00084E94">
        <w:rPr>
          <w:rStyle w:val="CommentReference"/>
          <w:rFonts w:asciiTheme="minorHAnsi" w:eastAsiaTheme="minorEastAsia" w:hAnsiTheme="minorHAnsi"/>
          <w:b w:val="0"/>
          <w:caps w:val="0"/>
          <w:kern w:val="2"/>
        </w:rPr>
        <w:commentReference w:id="0"/>
      </w:r>
    </w:p>
    <w:p w14:paraId="7C219F83" w14:textId="77777777" w:rsidR="00B578E2" w:rsidRDefault="00B578E2" w:rsidP="00D53B4F">
      <w:pPr>
        <w:spacing w:line="240" w:lineRule="atLeast"/>
        <w:ind w:left="720" w:hanging="720"/>
        <w:jc w:val="both"/>
        <w:rPr>
          <w:rFonts w:ascii="Arial" w:hAnsi="Arial" w:cs="Arial"/>
          <w:sz w:val="20"/>
          <w:szCs w:val="20"/>
        </w:rPr>
      </w:pPr>
    </w:p>
    <w:p w14:paraId="3C26D9AE" w14:textId="2BABE29E"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lastRenderedPageBreak/>
        <w:t>Allard RW. Principles of Plant Breeding. John Wiley and Sons Inc., New York. 485.</w:t>
      </w:r>
    </w:p>
    <w:p w14:paraId="3979C2CD" w14:textId="485D55CD"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Annamalai R, Aananthi N, </w:t>
      </w:r>
      <w:proofErr w:type="spellStart"/>
      <w:r w:rsidRPr="004869B8">
        <w:rPr>
          <w:rFonts w:ascii="Arial" w:hAnsi="Arial" w:cs="Arial"/>
          <w:color w:val="222222"/>
          <w:sz w:val="20"/>
          <w:szCs w:val="20"/>
          <w:shd w:val="clear" w:color="auto" w:fill="FFFFFF"/>
        </w:rPr>
        <w:t>Arumugam</w:t>
      </w:r>
      <w:proofErr w:type="spellEnd"/>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Pillai</w:t>
      </w:r>
      <w:proofErr w:type="spellEnd"/>
      <w:r w:rsidRPr="004869B8">
        <w:rPr>
          <w:rFonts w:ascii="Arial" w:hAnsi="Arial" w:cs="Arial"/>
          <w:color w:val="222222"/>
          <w:sz w:val="20"/>
          <w:szCs w:val="20"/>
          <w:shd w:val="clear" w:color="auto" w:fill="FFFFFF"/>
        </w:rPr>
        <w:t xml:space="preserve"> M</w:t>
      </w:r>
      <w:r w:rsidR="00631955">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Leninraja</w:t>
      </w:r>
      <w:proofErr w:type="spellEnd"/>
      <w:r w:rsidRPr="004869B8">
        <w:rPr>
          <w:rFonts w:ascii="Arial" w:hAnsi="Arial" w:cs="Arial"/>
          <w:color w:val="222222"/>
          <w:sz w:val="20"/>
          <w:szCs w:val="20"/>
          <w:shd w:val="clear" w:color="auto" w:fill="FFFFFF"/>
        </w:rPr>
        <w:t xml:space="preserve"> D. Assessment of variability and character association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631955">
        <w:rPr>
          <w:rFonts w:ascii="Arial" w:hAnsi="Arial" w:cs="Arial"/>
          <w:color w:val="222222"/>
          <w:sz w:val="20"/>
          <w:szCs w:val="20"/>
          <w:shd w:val="clear" w:color="auto" w:fill="FFFFFF"/>
        </w:rPr>
        <w:t>International Journal of Current Microbiology and Applied Sciences.</w:t>
      </w:r>
      <w:r w:rsidRPr="004869B8">
        <w:rPr>
          <w:rFonts w:ascii="Arial" w:hAnsi="Arial" w:cs="Arial"/>
          <w:color w:val="222222"/>
          <w:sz w:val="20"/>
          <w:szCs w:val="20"/>
          <w:shd w:val="clear" w:color="auto" w:fill="FFFFFF"/>
        </w:rPr>
        <w:t> </w:t>
      </w:r>
      <w:r w:rsidR="00631955">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9(6):3247-3259.</w:t>
      </w:r>
    </w:p>
    <w:p w14:paraId="0F32FD1B" w14:textId="4C334966"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Anuradha N, Kranthi Priya P, Patro TSSK, Sandhya Rani Y</w:t>
      </w:r>
      <w:r w:rsidR="001B08B8">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Triveni U. Character association, variability and heritability studies for grain yield and its yield attributes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1B08B8">
        <w:rPr>
          <w:rFonts w:ascii="Arial" w:hAnsi="Arial" w:cs="Arial"/>
          <w:color w:val="222222"/>
          <w:sz w:val="20"/>
          <w:szCs w:val="20"/>
          <w:shd w:val="clear" w:color="auto" w:fill="FFFFFF"/>
        </w:rPr>
        <w:t>International Journal of Chemical Studies. </w:t>
      </w:r>
      <w:r w:rsidR="001B08B8">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11:1459-1464.</w:t>
      </w:r>
    </w:p>
    <w:p w14:paraId="3224A4FD" w14:textId="3219AB5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Basavaraj PS, </w:t>
      </w:r>
      <w:proofErr w:type="spellStart"/>
      <w:r w:rsidRPr="004869B8">
        <w:rPr>
          <w:rFonts w:ascii="Arial" w:hAnsi="Arial" w:cs="Arial"/>
          <w:color w:val="222222"/>
          <w:sz w:val="20"/>
          <w:szCs w:val="20"/>
          <w:shd w:val="clear" w:color="auto" w:fill="FFFFFF"/>
        </w:rPr>
        <w:t>Biradar</w:t>
      </w:r>
      <w:proofErr w:type="spellEnd"/>
      <w:r w:rsidRPr="004869B8">
        <w:rPr>
          <w:rFonts w:ascii="Arial" w:hAnsi="Arial" w:cs="Arial"/>
          <w:color w:val="222222"/>
          <w:sz w:val="20"/>
          <w:szCs w:val="20"/>
          <w:shd w:val="clear" w:color="auto" w:fill="FFFFFF"/>
        </w:rPr>
        <w:t xml:space="preserve"> BD</w:t>
      </w:r>
      <w:r w:rsidR="00BB0253">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Sajjanar</w:t>
      </w:r>
      <w:proofErr w:type="spellEnd"/>
      <w:r w:rsidRPr="004869B8">
        <w:rPr>
          <w:rFonts w:ascii="Arial" w:hAnsi="Arial" w:cs="Arial"/>
          <w:color w:val="222222"/>
          <w:sz w:val="20"/>
          <w:szCs w:val="20"/>
          <w:shd w:val="clear" w:color="auto" w:fill="FFFFFF"/>
        </w:rPr>
        <w:t xml:space="preserve"> GM.</w:t>
      </w:r>
      <w:r w:rsidR="00BB0253">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variability studies for quantitative traits of restorer (R) Lines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BB0253">
        <w:rPr>
          <w:rFonts w:ascii="Arial" w:hAnsi="Arial" w:cs="Arial"/>
          <w:color w:val="222222"/>
          <w:sz w:val="20"/>
          <w:szCs w:val="20"/>
          <w:shd w:val="clear" w:color="auto" w:fill="FFFFFF"/>
        </w:rPr>
        <w:t xml:space="preserve">International Journal of Current Microbiology and </w:t>
      </w:r>
      <w:proofErr w:type="spellStart"/>
      <w:r w:rsidRPr="00BB0253">
        <w:rPr>
          <w:rFonts w:ascii="Arial" w:hAnsi="Arial" w:cs="Arial"/>
          <w:color w:val="222222"/>
          <w:sz w:val="20"/>
          <w:szCs w:val="20"/>
          <w:shd w:val="clear" w:color="auto" w:fill="FFFFFF"/>
        </w:rPr>
        <w:t>Appiled</w:t>
      </w:r>
      <w:proofErr w:type="spellEnd"/>
      <w:r w:rsidRPr="00BB0253">
        <w:rPr>
          <w:rFonts w:ascii="Arial" w:hAnsi="Arial" w:cs="Arial"/>
          <w:color w:val="222222"/>
          <w:sz w:val="20"/>
          <w:szCs w:val="20"/>
          <w:shd w:val="clear" w:color="auto" w:fill="FFFFFF"/>
        </w:rPr>
        <w:t xml:space="preserve"> Sciences</w:t>
      </w:r>
      <w:r w:rsidR="00BB0253" w:rsidRPr="00BB0253">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w:t>
      </w:r>
      <w:r w:rsidR="00BB0253">
        <w:rPr>
          <w:rFonts w:ascii="Arial" w:hAnsi="Arial" w:cs="Arial"/>
          <w:color w:val="222222"/>
          <w:sz w:val="20"/>
          <w:szCs w:val="20"/>
          <w:shd w:val="clear" w:color="auto" w:fill="FFFFFF"/>
        </w:rPr>
        <w:t>2017;</w:t>
      </w:r>
      <w:r w:rsidRPr="004869B8">
        <w:rPr>
          <w:rFonts w:ascii="Arial" w:hAnsi="Arial" w:cs="Arial"/>
          <w:color w:val="222222"/>
          <w:sz w:val="20"/>
          <w:szCs w:val="20"/>
          <w:shd w:val="clear" w:color="auto" w:fill="FFFFFF"/>
        </w:rPr>
        <w:t>6(8):3353-3358.</w:t>
      </w:r>
    </w:p>
    <w:p w14:paraId="42DA4FE2" w14:textId="09B8DA79"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Bastiaans</w:t>
      </w:r>
      <w:proofErr w:type="spellEnd"/>
      <w:r w:rsidRPr="004869B8">
        <w:rPr>
          <w:rFonts w:ascii="Arial" w:hAnsi="Arial" w:cs="Arial"/>
          <w:sz w:val="20"/>
          <w:szCs w:val="20"/>
        </w:rPr>
        <w:t xml:space="preserve"> L. Effects of leaf blast on growth and production of a rice crop: 1. Determining the mechanism of yield reduction. </w:t>
      </w:r>
      <w:r w:rsidRPr="00BB0253">
        <w:rPr>
          <w:rFonts w:ascii="Arial" w:hAnsi="Arial" w:cs="Arial"/>
          <w:sz w:val="20"/>
          <w:szCs w:val="20"/>
        </w:rPr>
        <w:t>Netherlands Journal of Plant Pathology.</w:t>
      </w:r>
      <w:r w:rsidRPr="004869B8">
        <w:rPr>
          <w:rFonts w:ascii="Arial" w:hAnsi="Arial" w:cs="Arial"/>
          <w:sz w:val="20"/>
          <w:szCs w:val="20"/>
        </w:rPr>
        <w:t> </w:t>
      </w:r>
      <w:r w:rsidR="00BB0253" w:rsidRPr="00BB0253">
        <w:rPr>
          <w:rFonts w:ascii="Arial" w:hAnsi="Arial" w:cs="Arial"/>
          <w:sz w:val="20"/>
          <w:szCs w:val="20"/>
        </w:rPr>
        <w:t>1993;</w:t>
      </w:r>
      <w:r w:rsidRPr="00BB0253">
        <w:rPr>
          <w:rFonts w:ascii="Arial" w:hAnsi="Arial" w:cs="Arial"/>
          <w:sz w:val="20"/>
          <w:szCs w:val="20"/>
        </w:rPr>
        <w:t>99:323-334.</w:t>
      </w:r>
    </w:p>
    <w:p w14:paraId="4C376000" w14:textId="7955DD9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Burton GW</w:t>
      </w:r>
      <w:r w:rsidR="00DE0F85">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Devane</w:t>
      </w:r>
      <w:proofErr w:type="spellEnd"/>
      <w:r w:rsidRPr="004869B8">
        <w:rPr>
          <w:rFonts w:ascii="Arial" w:hAnsi="Arial" w:cs="Arial"/>
          <w:sz w:val="20"/>
          <w:szCs w:val="20"/>
        </w:rPr>
        <w:t xml:space="preserve"> EW</w:t>
      </w:r>
      <w:r w:rsidR="00DE0F85">
        <w:rPr>
          <w:rFonts w:ascii="Arial" w:hAnsi="Arial" w:cs="Arial"/>
          <w:sz w:val="20"/>
          <w:szCs w:val="20"/>
        </w:rPr>
        <w:t>.</w:t>
      </w:r>
      <w:r w:rsidRPr="004869B8">
        <w:rPr>
          <w:rFonts w:ascii="Arial" w:hAnsi="Arial" w:cs="Arial"/>
          <w:sz w:val="20"/>
          <w:szCs w:val="20"/>
        </w:rPr>
        <w:t xml:space="preserve"> Estimating heritability in tall fescue (</w:t>
      </w:r>
      <w:proofErr w:type="spellStart"/>
      <w:r w:rsidRPr="004869B8">
        <w:rPr>
          <w:rFonts w:ascii="Arial" w:hAnsi="Arial" w:cs="Arial"/>
          <w:i/>
          <w:iCs/>
          <w:sz w:val="20"/>
          <w:szCs w:val="20"/>
        </w:rPr>
        <w:t>Festuca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arundiraceae</w:t>
      </w:r>
      <w:proofErr w:type="spellEnd"/>
      <w:r w:rsidRPr="004869B8">
        <w:rPr>
          <w:rFonts w:ascii="Arial" w:hAnsi="Arial" w:cs="Arial"/>
          <w:sz w:val="20"/>
          <w:szCs w:val="20"/>
        </w:rPr>
        <w:t xml:space="preserve">) from replicated clonal material. </w:t>
      </w:r>
      <w:r w:rsidRPr="00DE0F85">
        <w:rPr>
          <w:rFonts w:ascii="Arial" w:hAnsi="Arial" w:cs="Arial"/>
          <w:sz w:val="20"/>
          <w:szCs w:val="20"/>
        </w:rPr>
        <w:t>Agronomy Journal.</w:t>
      </w:r>
      <w:r w:rsidRPr="004869B8">
        <w:rPr>
          <w:rFonts w:ascii="Arial" w:hAnsi="Arial" w:cs="Arial"/>
          <w:sz w:val="20"/>
          <w:szCs w:val="20"/>
        </w:rPr>
        <w:t xml:space="preserve"> </w:t>
      </w:r>
      <w:r w:rsidR="00DE0F85">
        <w:rPr>
          <w:rFonts w:ascii="Arial" w:hAnsi="Arial" w:cs="Arial"/>
          <w:sz w:val="20"/>
          <w:szCs w:val="20"/>
        </w:rPr>
        <w:t>1953;</w:t>
      </w:r>
      <w:r w:rsidRPr="004869B8">
        <w:rPr>
          <w:rFonts w:ascii="Arial" w:hAnsi="Arial" w:cs="Arial"/>
          <w:sz w:val="20"/>
          <w:szCs w:val="20"/>
        </w:rPr>
        <w:t>45:478-481.</w:t>
      </w:r>
    </w:p>
    <w:p w14:paraId="036AC41C" w14:textId="3CA5562E" w:rsidR="00D53B4F" w:rsidRPr="004869B8" w:rsidRDefault="00D53B4F" w:rsidP="00D53B4F">
      <w:pPr>
        <w:spacing w:line="240" w:lineRule="atLeast"/>
        <w:ind w:left="720" w:hanging="720"/>
        <w:jc w:val="both"/>
        <w:rPr>
          <w:rFonts w:ascii="Arial" w:hAnsi="Arial" w:cs="Arial"/>
          <w:sz w:val="20"/>
          <w:szCs w:val="20"/>
        </w:rPr>
      </w:pPr>
      <w:r w:rsidRPr="00F623BA">
        <w:rPr>
          <w:rFonts w:ascii="Arial" w:hAnsi="Arial" w:cs="Arial"/>
          <w:sz w:val="20"/>
          <w:szCs w:val="20"/>
          <w:lang w:val="de-DE"/>
        </w:rPr>
        <w:t>Butler DG, Cullis BR, Gilmour AR</w:t>
      </w:r>
      <w:r w:rsidR="00BC1F94" w:rsidRPr="00F623BA">
        <w:rPr>
          <w:rFonts w:ascii="Arial" w:hAnsi="Arial" w:cs="Arial"/>
          <w:sz w:val="20"/>
          <w:szCs w:val="20"/>
          <w:lang w:val="de-DE"/>
        </w:rPr>
        <w:t>,</w:t>
      </w:r>
      <w:r w:rsidRPr="00F623BA">
        <w:rPr>
          <w:rFonts w:ascii="Arial" w:hAnsi="Arial" w:cs="Arial"/>
          <w:sz w:val="20"/>
          <w:szCs w:val="20"/>
          <w:lang w:val="de-DE"/>
        </w:rPr>
        <w:t xml:space="preserve"> Gogel BJ. </w:t>
      </w:r>
      <w:proofErr w:type="spellStart"/>
      <w:r w:rsidRPr="004869B8">
        <w:rPr>
          <w:rFonts w:ascii="Arial" w:hAnsi="Arial" w:cs="Arial"/>
          <w:sz w:val="20"/>
          <w:szCs w:val="20"/>
        </w:rPr>
        <w:t>ASReml</w:t>
      </w:r>
      <w:proofErr w:type="spellEnd"/>
      <w:r w:rsidRPr="004869B8">
        <w:rPr>
          <w:rFonts w:ascii="Arial" w:hAnsi="Arial" w:cs="Arial"/>
          <w:sz w:val="20"/>
          <w:szCs w:val="20"/>
        </w:rPr>
        <w:t>-R reference manual, release 3.0. Technical Report, The State of Queensland, Department of Primary Industries and Fisheries, Brisbane.</w:t>
      </w:r>
      <w:r w:rsidR="00BC1F94">
        <w:rPr>
          <w:rFonts w:ascii="Arial" w:hAnsi="Arial" w:cs="Arial"/>
          <w:sz w:val="20"/>
          <w:szCs w:val="20"/>
        </w:rPr>
        <w:t xml:space="preserve"> 2009.</w:t>
      </w:r>
    </w:p>
    <w:p w14:paraId="31F20D10" w14:textId="06F9C8ED"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Chuwa</w:t>
      </w:r>
      <w:proofErr w:type="spellEnd"/>
      <w:r w:rsidRPr="004869B8">
        <w:rPr>
          <w:rFonts w:ascii="Arial" w:hAnsi="Arial" w:cs="Arial"/>
          <w:sz w:val="20"/>
          <w:szCs w:val="20"/>
        </w:rPr>
        <w:t xml:space="preserve"> CJ, </w:t>
      </w:r>
      <w:proofErr w:type="spellStart"/>
      <w:r w:rsidRPr="004869B8">
        <w:rPr>
          <w:rFonts w:ascii="Arial" w:hAnsi="Arial" w:cs="Arial"/>
          <w:sz w:val="20"/>
          <w:szCs w:val="20"/>
        </w:rPr>
        <w:t>Mabagala</w:t>
      </w:r>
      <w:proofErr w:type="spellEnd"/>
      <w:r w:rsidRPr="004869B8">
        <w:rPr>
          <w:rFonts w:ascii="Arial" w:hAnsi="Arial" w:cs="Arial"/>
          <w:sz w:val="20"/>
          <w:szCs w:val="20"/>
        </w:rPr>
        <w:t xml:space="preserve"> RB</w:t>
      </w:r>
      <w:r w:rsidR="00276039">
        <w:rPr>
          <w:rFonts w:ascii="Arial" w:hAnsi="Arial" w:cs="Arial"/>
          <w:sz w:val="20"/>
          <w:szCs w:val="20"/>
        </w:rPr>
        <w:t>,</w:t>
      </w:r>
      <w:r w:rsidRPr="004869B8">
        <w:rPr>
          <w:rFonts w:ascii="Arial" w:hAnsi="Arial" w:cs="Arial"/>
          <w:sz w:val="20"/>
          <w:szCs w:val="20"/>
        </w:rPr>
        <w:t xml:space="preserve"> Reuben MSOW. Assessment of grain yield losses caused by rice blast disease in major rice growing areas in Tanzania. </w:t>
      </w:r>
      <w:r w:rsidRPr="00276039">
        <w:rPr>
          <w:rFonts w:ascii="Arial" w:hAnsi="Arial" w:cs="Arial"/>
          <w:sz w:val="20"/>
          <w:szCs w:val="20"/>
        </w:rPr>
        <w:t>International Journal of Science and Research.</w:t>
      </w:r>
      <w:r w:rsidRPr="004869B8">
        <w:rPr>
          <w:rFonts w:ascii="Arial" w:hAnsi="Arial" w:cs="Arial"/>
          <w:sz w:val="20"/>
          <w:szCs w:val="20"/>
        </w:rPr>
        <w:t> </w:t>
      </w:r>
      <w:r w:rsidR="00276039">
        <w:rPr>
          <w:rFonts w:ascii="Arial" w:hAnsi="Arial" w:cs="Arial"/>
          <w:sz w:val="20"/>
          <w:szCs w:val="20"/>
        </w:rPr>
        <w:t>2015;</w:t>
      </w:r>
      <w:r w:rsidRPr="004869B8">
        <w:rPr>
          <w:rFonts w:ascii="Arial" w:hAnsi="Arial" w:cs="Arial"/>
          <w:sz w:val="20"/>
          <w:szCs w:val="20"/>
        </w:rPr>
        <w:t>4(10):2211-2218.</w:t>
      </w:r>
    </w:p>
    <w:p w14:paraId="2DEBDCB4" w14:textId="7434335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Dapke JS, Shah DS, </w:t>
      </w:r>
      <w:proofErr w:type="spellStart"/>
      <w:r w:rsidRPr="004869B8">
        <w:rPr>
          <w:rFonts w:ascii="Arial" w:hAnsi="Arial" w:cs="Arial"/>
          <w:color w:val="222222"/>
          <w:sz w:val="20"/>
          <w:szCs w:val="20"/>
          <w:shd w:val="clear" w:color="auto" w:fill="FFFFFF"/>
        </w:rPr>
        <w:t>Pawar</w:t>
      </w:r>
      <w:proofErr w:type="spellEnd"/>
      <w:r w:rsidRPr="004869B8">
        <w:rPr>
          <w:rFonts w:ascii="Arial" w:hAnsi="Arial" w:cs="Arial"/>
          <w:color w:val="222222"/>
          <w:sz w:val="20"/>
          <w:szCs w:val="20"/>
          <w:shd w:val="clear" w:color="auto" w:fill="FFFFFF"/>
        </w:rPr>
        <w:t xml:space="preserve"> GN, </w:t>
      </w:r>
      <w:proofErr w:type="spellStart"/>
      <w:r w:rsidRPr="004869B8">
        <w:rPr>
          <w:rFonts w:ascii="Arial" w:hAnsi="Arial" w:cs="Arial"/>
          <w:color w:val="222222"/>
          <w:sz w:val="20"/>
          <w:szCs w:val="20"/>
          <w:shd w:val="clear" w:color="auto" w:fill="FFFFFF"/>
        </w:rPr>
        <w:t>Dhembre</w:t>
      </w:r>
      <w:proofErr w:type="spellEnd"/>
      <w:r w:rsidRPr="004869B8">
        <w:rPr>
          <w:rFonts w:ascii="Arial" w:hAnsi="Arial" w:cs="Arial"/>
          <w:color w:val="222222"/>
          <w:sz w:val="20"/>
          <w:szCs w:val="20"/>
          <w:shd w:val="clear" w:color="auto" w:fill="FFFFFF"/>
        </w:rPr>
        <w:t xml:space="preserve"> VM</w:t>
      </w:r>
      <w:r w:rsidR="00407A3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Kumar M. Genetic variability and character association over environment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under dryland conditions of Gujarat. </w:t>
      </w:r>
      <w:r w:rsidRPr="00407A3F">
        <w:rPr>
          <w:rFonts w:ascii="Arial" w:hAnsi="Arial" w:cs="Arial"/>
          <w:color w:val="222222"/>
          <w:sz w:val="20"/>
          <w:szCs w:val="20"/>
          <w:shd w:val="clear" w:color="auto" w:fill="FFFFFF"/>
        </w:rPr>
        <w:t>The Bioscan</w:t>
      </w:r>
      <w:r w:rsidRPr="004869B8">
        <w:rPr>
          <w:rFonts w:ascii="Arial" w:hAnsi="Arial" w:cs="Arial"/>
          <w:color w:val="222222"/>
          <w:sz w:val="20"/>
          <w:szCs w:val="20"/>
          <w:shd w:val="clear" w:color="auto" w:fill="FFFFFF"/>
        </w:rPr>
        <w:t xml:space="preserve">. </w:t>
      </w:r>
      <w:r w:rsidR="00407A3F">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9(2):863-867.</w:t>
      </w:r>
    </w:p>
    <w:p w14:paraId="4C7EC094" w14:textId="2186038D" w:rsidR="00D53B4F" w:rsidRPr="00407A3F"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Dezfouli</w:t>
      </w:r>
      <w:proofErr w:type="spellEnd"/>
      <w:r w:rsidRPr="004869B8">
        <w:rPr>
          <w:rFonts w:ascii="Arial" w:hAnsi="Arial" w:cs="Arial"/>
          <w:sz w:val="20"/>
          <w:szCs w:val="20"/>
        </w:rPr>
        <w:t xml:space="preserve"> AAS</w:t>
      </w:r>
      <w:r w:rsidR="00407A3F">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Mehrani</w:t>
      </w:r>
      <w:proofErr w:type="spellEnd"/>
      <w:r w:rsidRPr="004869B8">
        <w:rPr>
          <w:rFonts w:ascii="Arial" w:hAnsi="Arial" w:cs="Arial"/>
          <w:sz w:val="20"/>
          <w:szCs w:val="20"/>
        </w:rPr>
        <w:t xml:space="preserve"> A. A study of the relationships between yield and yield components in promising cultivars of foxtail millet (</w:t>
      </w:r>
      <w:proofErr w:type="spellStart"/>
      <w:r w:rsidRPr="004869B8">
        <w:rPr>
          <w:rFonts w:ascii="Arial" w:hAnsi="Arial" w:cs="Arial"/>
          <w:i/>
          <w:iCs/>
          <w:sz w:val="20"/>
          <w:szCs w:val="20"/>
        </w:rPr>
        <w:t>Setaria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italica</w:t>
      </w:r>
      <w:proofErr w:type="spellEnd"/>
      <w:r w:rsidRPr="004869B8">
        <w:rPr>
          <w:rFonts w:ascii="Arial" w:hAnsi="Arial" w:cs="Arial"/>
          <w:sz w:val="20"/>
          <w:szCs w:val="20"/>
        </w:rPr>
        <w:t xml:space="preserve">). </w:t>
      </w:r>
      <w:hyperlink r:id="rId12" w:history="1">
        <w:r w:rsidRPr="00407A3F">
          <w:rPr>
            <w:rStyle w:val="Hyperlink"/>
            <w:rFonts w:ascii="Arial" w:hAnsi="Arial" w:cs="Arial"/>
            <w:color w:val="auto"/>
            <w:sz w:val="20"/>
            <w:szCs w:val="20"/>
            <w:u w:val="none"/>
          </w:rPr>
          <w:t>Iranian Journal of Field Crop Science</w:t>
        </w:r>
      </w:hyperlink>
      <w:r w:rsidRPr="00407A3F">
        <w:rPr>
          <w:rFonts w:ascii="Arial" w:hAnsi="Arial" w:cs="Arial"/>
          <w:b/>
          <w:bCs/>
          <w:sz w:val="20"/>
          <w:szCs w:val="20"/>
        </w:rPr>
        <w:t>.</w:t>
      </w:r>
      <w:r w:rsidRPr="004869B8">
        <w:rPr>
          <w:rFonts w:ascii="Arial" w:hAnsi="Arial" w:cs="Arial"/>
          <w:i/>
          <w:iCs/>
          <w:sz w:val="20"/>
          <w:szCs w:val="20"/>
        </w:rPr>
        <w:t xml:space="preserve"> </w:t>
      </w:r>
      <w:r w:rsidR="00407A3F" w:rsidRPr="00407A3F">
        <w:rPr>
          <w:rFonts w:ascii="Arial" w:hAnsi="Arial" w:cs="Arial"/>
          <w:sz w:val="20"/>
          <w:szCs w:val="20"/>
        </w:rPr>
        <w:t>2010;</w:t>
      </w:r>
      <w:r w:rsidRPr="00407A3F">
        <w:rPr>
          <w:rFonts w:ascii="Arial" w:hAnsi="Arial" w:cs="Arial"/>
          <w:sz w:val="20"/>
          <w:szCs w:val="20"/>
        </w:rPr>
        <w:t>41(2):413-421.</w:t>
      </w:r>
    </w:p>
    <w:p w14:paraId="35AEC9C7" w14:textId="132B0B32"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Falconer DS. Introduction to Quantitative Genetics. 2nd ed. Longman, London.</w:t>
      </w:r>
      <w:r w:rsidR="00407A3F">
        <w:rPr>
          <w:rFonts w:ascii="Arial" w:hAnsi="Arial" w:cs="Arial"/>
          <w:sz w:val="20"/>
          <w:szCs w:val="20"/>
        </w:rPr>
        <w:t xml:space="preserve"> 1981.</w:t>
      </w:r>
    </w:p>
    <w:p w14:paraId="770BB366" w14:textId="1A25A503"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Fleck H. Introduction to nutrition. Macmillan Publishing Co., Indi. </w:t>
      </w:r>
      <w:r w:rsidR="00407A3F">
        <w:rPr>
          <w:rFonts w:ascii="Arial" w:hAnsi="Arial" w:cs="Arial"/>
          <w:sz w:val="20"/>
          <w:szCs w:val="20"/>
        </w:rPr>
        <w:t>1981;</w:t>
      </w:r>
      <w:r w:rsidRPr="004869B8">
        <w:rPr>
          <w:rFonts w:ascii="Arial" w:hAnsi="Arial" w:cs="Arial"/>
          <w:sz w:val="20"/>
          <w:szCs w:val="20"/>
        </w:rPr>
        <w:t>49(9).</w:t>
      </w:r>
    </w:p>
    <w:p w14:paraId="16EE4F83" w14:textId="7CA6EDBA"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Gupta D</w:t>
      </w:r>
      <w:r w:rsidR="008258F1">
        <w:rPr>
          <w:rFonts w:ascii="Arial" w:hAnsi="Arial" w:cs="Arial"/>
          <w:sz w:val="20"/>
          <w:szCs w:val="20"/>
        </w:rPr>
        <w:t>,</w:t>
      </w:r>
      <w:r w:rsidRPr="004869B8">
        <w:rPr>
          <w:rFonts w:ascii="Arial" w:hAnsi="Arial" w:cs="Arial"/>
          <w:sz w:val="20"/>
          <w:szCs w:val="20"/>
        </w:rPr>
        <w:t xml:space="preserve"> Khandelwal V. Principal component analysis for yield and its attributing characters of pearl millet (</w:t>
      </w:r>
      <w:r w:rsidRPr="008258F1">
        <w:rPr>
          <w:rFonts w:ascii="Arial" w:hAnsi="Arial" w:cs="Arial"/>
          <w:i/>
          <w:iCs/>
          <w:sz w:val="20"/>
          <w:szCs w:val="20"/>
        </w:rPr>
        <w:t>Pennisetum glaucum</w:t>
      </w:r>
      <w:r w:rsidRPr="004869B8">
        <w:rPr>
          <w:rFonts w:ascii="Arial" w:hAnsi="Arial" w:cs="Arial"/>
          <w:sz w:val="20"/>
          <w:szCs w:val="20"/>
        </w:rPr>
        <w:t xml:space="preserve"> [L.] R. Br.). </w:t>
      </w:r>
      <w:r w:rsidRPr="008258F1">
        <w:rPr>
          <w:rFonts w:ascii="Arial" w:hAnsi="Arial" w:cs="Arial"/>
          <w:sz w:val="20"/>
          <w:szCs w:val="20"/>
        </w:rPr>
        <w:t>Annals of Plant and Soil Research. </w:t>
      </w:r>
      <w:r w:rsidR="008258F1">
        <w:rPr>
          <w:rFonts w:ascii="Arial" w:hAnsi="Arial" w:cs="Arial"/>
          <w:sz w:val="20"/>
          <w:szCs w:val="20"/>
        </w:rPr>
        <w:t>2022;</w:t>
      </w:r>
      <w:r w:rsidRPr="004869B8">
        <w:rPr>
          <w:rFonts w:ascii="Arial" w:hAnsi="Arial" w:cs="Arial"/>
          <w:sz w:val="20"/>
          <w:szCs w:val="20"/>
        </w:rPr>
        <w:t>24(3):408-14.</w:t>
      </w:r>
    </w:p>
    <w:p w14:paraId="4F6D0704" w14:textId="0E8C8A99"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Hostelling H. Analysis of a complex of statistical variables into principal components. </w:t>
      </w:r>
      <w:r w:rsidRPr="0035789B">
        <w:rPr>
          <w:rFonts w:ascii="Arial" w:hAnsi="Arial" w:cs="Arial"/>
          <w:sz w:val="20"/>
          <w:szCs w:val="20"/>
        </w:rPr>
        <w:t>Journal of Educational Psychology.</w:t>
      </w:r>
      <w:r w:rsidRPr="004869B8">
        <w:rPr>
          <w:rFonts w:ascii="Arial" w:hAnsi="Arial" w:cs="Arial"/>
          <w:sz w:val="20"/>
          <w:szCs w:val="20"/>
        </w:rPr>
        <w:t xml:space="preserve"> </w:t>
      </w:r>
      <w:r w:rsidR="0035789B">
        <w:rPr>
          <w:rFonts w:ascii="Arial" w:hAnsi="Arial" w:cs="Arial"/>
          <w:sz w:val="20"/>
          <w:szCs w:val="20"/>
        </w:rPr>
        <w:t>1933;</w:t>
      </w:r>
      <w:r w:rsidRPr="004869B8">
        <w:rPr>
          <w:rFonts w:ascii="Arial" w:hAnsi="Arial" w:cs="Arial"/>
          <w:sz w:val="20"/>
          <w:szCs w:val="20"/>
        </w:rPr>
        <w:t>24:417-441.</w:t>
      </w:r>
    </w:p>
    <w:p w14:paraId="0339A4C2" w14:textId="444ED93E"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 xml:space="preserve">Johnson HW, Robinson HF, Comstock RE. Estimate of genetic and environmental variability in Soybeans. </w:t>
      </w:r>
      <w:r w:rsidRPr="0035789B">
        <w:rPr>
          <w:rFonts w:ascii="Arial" w:hAnsi="Arial" w:cs="Arial"/>
          <w:sz w:val="20"/>
          <w:szCs w:val="20"/>
        </w:rPr>
        <w:t>Agronomy Journal.</w:t>
      </w:r>
      <w:r w:rsidRPr="004869B8">
        <w:rPr>
          <w:rFonts w:ascii="Arial" w:hAnsi="Arial" w:cs="Arial"/>
          <w:sz w:val="20"/>
          <w:szCs w:val="20"/>
        </w:rPr>
        <w:t xml:space="preserve"> </w:t>
      </w:r>
      <w:r w:rsidR="00DB60D8">
        <w:rPr>
          <w:rFonts w:ascii="Arial" w:hAnsi="Arial" w:cs="Arial"/>
          <w:sz w:val="20"/>
          <w:szCs w:val="20"/>
        </w:rPr>
        <w:t>1955;</w:t>
      </w:r>
      <w:r w:rsidRPr="004869B8">
        <w:rPr>
          <w:rFonts w:ascii="Arial" w:hAnsi="Arial" w:cs="Arial"/>
          <w:sz w:val="20"/>
          <w:szCs w:val="20"/>
        </w:rPr>
        <w:t>47:314-318.</w:t>
      </w:r>
    </w:p>
    <w:p w14:paraId="55724918" w14:textId="55F786D7"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Kandel M, Gurung SB, Dhami NB</w:t>
      </w:r>
      <w:r w:rsidR="00140A95">
        <w:rPr>
          <w:rFonts w:ascii="Arial" w:hAnsi="Arial" w:cs="Arial"/>
          <w:sz w:val="20"/>
          <w:szCs w:val="20"/>
        </w:rPr>
        <w:t>,</w:t>
      </w:r>
      <w:r w:rsidRPr="004869B8">
        <w:rPr>
          <w:rFonts w:ascii="Arial" w:hAnsi="Arial" w:cs="Arial"/>
          <w:sz w:val="20"/>
          <w:szCs w:val="20"/>
        </w:rPr>
        <w:t xml:space="preserve"> Shrestha J. Assessment of variability of foxtail millet [</w:t>
      </w:r>
      <w:proofErr w:type="spellStart"/>
      <w:r w:rsidRPr="00140A95">
        <w:rPr>
          <w:rFonts w:ascii="Arial" w:hAnsi="Arial" w:cs="Arial"/>
          <w:i/>
          <w:iCs/>
          <w:sz w:val="20"/>
          <w:szCs w:val="20"/>
        </w:rPr>
        <w:t>Setaria</w:t>
      </w:r>
      <w:proofErr w:type="spellEnd"/>
      <w:r w:rsidRPr="00140A95">
        <w:rPr>
          <w:rFonts w:ascii="Arial" w:hAnsi="Arial" w:cs="Arial"/>
          <w:i/>
          <w:iCs/>
          <w:sz w:val="20"/>
          <w:szCs w:val="20"/>
        </w:rPr>
        <w:t xml:space="preserve"> </w:t>
      </w:r>
      <w:proofErr w:type="spellStart"/>
      <w:r w:rsidRPr="00140A95">
        <w:rPr>
          <w:rFonts w:ascii="Arial" w:hAnsi="Arial" w:cs="Arial"/>
          <w:i/>
          <w:iCs/>
          <w:sz w:val="20"/>
          <w:szCs w:val="20"/>
        </w:rPr>
        <w:t>italica</w:t>
      </w:r>
      <w:proofErr w:type="spellEnd"/>
      <w:r w:rsidRPr="004869B8">
        <w:rPr>
          <w:rFonts w:ascii="Arial" w:hAnsi="Arial" w:cs="Arial"/>
          <w:sz w:val="20"/>
          <w:szCs w:val="20"/>
        </w:rPr>
        <w:t xml:space="preserve"> (L.) </w:t>
      </w:r>
      <w:proofErr w:type="spellStart"/>
      <w:r w:rsidRPr="004869B8">
        <w:rPr>
          <w:rFonts w:ascii="Arial" w:hAnsi="Arial" w:cs="Arial"/>
          <w:sz w:val="20"/>
          <w:szCs w:val="20"/>
        </w:rPr>
        <w:t>Beauv</w:t>
      </w:r>
      <w:proofErr w:type="spellEnd"/>
      <w:r w:rsidRPr="004869B8">
        <w:rPr>
          <w:rFonts w:ascii="Arial" w:hAnsi="Arial" w:cs="Arial"/>
          <w:sz w:val="20"/>
          <w:szCs w:val="20"/>
        </w:rPr>
        <w:t>.] genotypes. </w:t>
      </w:r>
      <w:r w:rsidRPr="004869B8">
        <w:rPr>
          <w:rFonts w:ascii="Arial" w:hAnsi="Arial" w:cs="Arial"/>
          <w:i/>
          <w:iCs/>
          <w:sz w:val="20"/>
          <w:szCs w:val="20"/>
        </w:rPr>
        <w:t>Bhutan Journal of Natural Resources and Development</w:t>
      </w:r>
      <w:r w:rsidRPr="004869B8">
        <w:rPr>
          <w:rFonts w:ascii="Arial" w:hAnsi="Arial" w:cs="Arial"/>
          <w:sz w:val="20"/>
          <w:szCs w:val="20"/>
        </w:rPr>
        <w:t>. </w:t>
      </w:r>
      <w:r w:rsidR="00140A95" w:rsidRPr="00140A95">
        <w:rPr>
          <w:rFonts w:ascii="Arial" w:hAnsi="Arial" w:cs="Arial"/>
          <w:sz w:val="20"/>
          <w:szCs w:val="20"/>
        </w:rPr>
        <w:t>2020;</w:t>
      </w:r>
      <w:r w:rsidRPr="00140A95">
        <w:rPr>
          <w:rFonts w:ascii="Arial" w:hAnsi="Arial" w:cs="Arial"/>
          <w:sz w:val="20"/>
          <w:szCs w:val="20"/>
        </w:rPr>
        <w:t>7(2)</w:t>
      </w:r>
      <w:r w:rsidR="00140A95" w:rsidRPr="00140A95">
        <w:rPr>
          <w:rFonts w:ascii="Arial" w:hAnsi="Arial" w:cs="Arial"/>
          <w:sz w:val="20"/>
          <w:szCs w:val="20"/>
        </w:rPr>
        <w:t>:</w:t>
      </w:r>
      <w:r w:rsidRPr="00140A95">
        <w:rPr>
          <w:rFonts w:ascii="Arial" w:hAnsi="Arial" w:cs="Arial"/>
          <w:sz w:val="20"/>
          <w:szCs w:val="20"/>
        </w:rPr>
        <w:t>51-61</w:t>
      </w:r>
      <w:r w:rsidRPr="004869B8">
        <w:rPr>
          <w:rFonts w:ascii="Arial" w:hAnsi="Arial" w:cs="Arial"/>
          <w:sz w:val="20"/>
          <w:szCs w:val="20"/>
        </w:rPr>
        <w:t>.</w:t>
      </w:r>
    </w:p>
    <w:p w14:paraId="1C6AF46A" w14:textId="34349CA5"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Koutroubas</w:t>
      </w:r>
      <w:proofErr w:type="spellEnd"/>
      <w:r w:rsidRPr="004869B8">
        <w:rPr>
          <w:rFonts w:ascii="Arial" w:hAnsi="Arial" w:cs="Arial"/>
          <w:sz w:val="20"/>
          <w:szCs w:val="20"/>
        </w:rPr>
        <w:t xml:space="preserve"> SD, </w:t>
      </w:r>
      <w:proofErr w:type="spellStart"/>
      <w:r w:rsidRPr="004869B8">
        <w:rPr>
          <w:rFonts w:ascii="Arial" w:hAnsi="Arial" w:cs="Arial"/>
          <w:sz w:val="20"/>
          <w:szCs w:val="20"/>
        </w:rPr>
        <w:t>Katsantonis</w:t>
      </w:r>
      <w:proofErr w:type="spellEnd"/>
      <w:r w:rsidRPr="004869B8">
        <w:rPr>
          <w:rFonts w:ascii="Arial" w:hAnsi="Arial" w:cs="Arial"/>
          <w:sz w:val="20"/>
          <w:szCs w:val="20"/>
        </w:rPr>
        <w:t xml:space="preserve"> D, </w:t>
      </w:r>
      <w:proofErr w:type="spellStart"/>
      <w:r w:rsidRPr="004869B8">
        <w:rPr>
          <w:rFonts w:ascii="Arial" w:hAnsi="Arial" w:cs="Arial"/>
          <w:sz w:val="20"/>
          <w:szCs w:val="20"/>
        </w:rPr>
        <w:t>Ntanos</w:t>
      </w:r>
      <w:proofErr w:type="spellEnd"/>
      <w:r w:rsidRPr="004869B8">
        <w:rPr>
          <w:rFonts w:ascii="Arial" w:hAnsi="Arial" w:cs="Arial"/>
          <w:sz w:val="20"/>
          <w:szCs w:val="20"/>
        </w:rPr>
        <w:t xml:space="preserve"> DA</w:t>
      </w:r>
      <w:r w:rsidR="004D368E">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Lupotto</w:t>
      </w:r>
      <w:proofErr w:type="spellEnd"/>
      <w:r w:rsidRPr="004869B8">
        <w:rPr>
          <w:rFonts w:ascii="Arial" w:hAnsi="Arial" w:cs="Arial"/>
          <w:sz w:val="20"/>
          <w:szCs w:val="20"/>
        </w:rPr>
        <w:t xml:space="preserve"> E. Blast disease influence on agronomic and quality traits of rice varieties under Mediterranean conditions. </w:t>
      </w:r>
      <w:r w:rsidRPr="004D368E">
        <w:rPr>
          <w:rFonts w:ascii="Arial" w:hAnsi="Arial" w:cs="Arial"/>
          <w:sz w:val="20"/>
          <w:szCs w:val="20"/>
        </w:rPr>
        <w:t>Turkish Journal of Agriculture and forestry.</w:t>
      </w:r>
      <w:r w:rsidRPr="004869B8">
        <w:rPr>
          <w:rFonts w:ascii="Arial" w:hAnsi="Arial" w:cs="Arial"/>
          <w:sz w:val="20"/>
          <w:szCs w:val="20"/>
        </w:rPr>
        <w:t> </w:t>
      </w:r>
      <w:r w:rsidR="004D368E">
        <w:rPr>
          <w:rFonts w:ascii="Arial" w:hAnsi="Arial" w:cs="Arial"/>
          <w:sz w:val="20"/>
          <w:szCs w:val="20"/>
        </w:rPr>
        <w:t>2009;</w:t>
      </w:r>
      <w:r w:rsidRPr="004869B8">
        <w:rPr>
          <w:rFonts w:ascii="Arial" w:hAnsi="Arial" w:cs="Arial"/>
          <w:sz w:val="20"/>
          <w:szCs w:val="20"/>
        </w:rPr>
        <w:t>33(5):487-494.</w:t>
      </w:r>
    </w:p>
    <w:p w14:paraId="4E2F570E" w14:textId="5D846837"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Kumar M, Rani K, Ajay BC, Patel MS, Mungra KD</w:t>
      </w:r>
      <w:r w:rsidR="000954D7">
        <w:rPr>
          <w:rFonts w:ascii="Arial" w:hAnsi="Arial" w:cs="Arial"/>
          <w:sz w:val="20"/>
          <w:szCs w:val="20"/>
        </w:rPr>
        <w:t>,</w:t>
      </w:r>
      <w:r w:rsidRPr="004869B8">
        <w:rPr>
          <w:rFonts w:ascii="Arial" w:hAnsi="Arial" w:cs="Arial"/>
          <w:sz w:val="20"/>
          <w:szCs w:val="20"/>
        </w:rPr>
        <w:t xml:space="preserve"> Patel MP. Multivariate diversity analysis for grain micronutrients concentration, yield and agro-morphological traits in pearl millet (</w:t>
      </w:r>
      <w:r w:rsidRPr="004869B8">
        <w:rPr>
          <w:rFonts w:ascii="Arial" w:hAnsi="Arial" w:cs="Arial"/>
          <w:i/>
          <w:iCs/>
          <w:sz w:val="20"/>
          <w:szCs w:val="20"/>
        </w:rPr>
        <w:t>Pennisetum glaucum</w:t>
      </w:r>
      <w:r w:rsidRPr="004869B8">
        <w:rPr>
          <w:rFonts w:ascii="Arial" w:hAnsi="Arial" w:cs="Arial"/>
          <w:sz w:val="20"/>
          <w:szCs w:val="20"/>
        </w:rPr>
        <w:t xml:space="preserve"> (L) R. Br.). </w:t>
      </w:r>
      <w:r w:rsidRPr="000954D7">
        <w:rPr>
          <w:rFonts w:ascii="Arial" w:hAnsi="Arial" w:cs="Arial"/>
          <w:sz w:val="20"/>
          <w:szCs w:val="20"/>
        </w:rPr>
        <w:t>International Journal of Current Microbiology and Applied Sciences.</w:t>
      </w:r>
      <w:r w:rsidRPr="004869B8">
        <w:rPr>
          <w:rFonts w:ascii="Arial" w:hAnsi="Arial" w:cs="Arial"/>
          <w:sz w:val="20"/>
          <w:szCs w:val="20"/>
        </w:rPr>
        <w:t> </w:t>
      </w:r>
      <w:r w:rsidR="000954D7">
        <w:rPr>
          <w:rFonts w:ascii="Arial" w:hAnsi="Arial" w:cs="Arial"/>
          <w:sz w:val="20"/>
          <w:szCs w:val="20"/>
        </w:rPr>
        <w:t>2020;</w:t>
      </w:r>
      <w:r w:rsidRPr="004869B8">
        <w:rPr>
          <w:rFonts w:ascii="Arial" w:hAnsi="Arial" w:cs="Arial"/>
          <w:sz w:val="20"/>
          <w:szCs w:val="20"/>
        </w:rPr>
        <w:t>9(3):2209-2226.</w:t>
      </w:r>
    </w:p>
    <w:p w14:paraId="092B980B" w14:textId="391E144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color w:val="222222"/>
          <w:sz w:val="20"/>
          <w:szCs w:val="20"/>
          <w:shd w:val="clear" w:color="auto" w:fill="FFFFFF"/>
        </w:rPr>
        <w:lastRenderedPageBreak/>
        <w:t xml:space="preserve">Kumar V, </w:t>
      </w:r>
      <w:proofErr w:type="spellStart"/>
      <w:r w:rsidRPr="004869B8">
        <w:rPr>
          <w:rFonts w:ascii="Arial" w:hAnsi="Arial" w:cs="Arial"/>
          <w:color w:val="222222"/>
          <w:sz w:val="20"/>
          <w:szCs w:val="20"/>
          <w:shd w:val="clear" w:color="auto" w:fill="FFFFFF"/>
        </w:rPr>
        <w:t>Dehnival</w:t>
      </w:r>
      <w:proofErr w:type="spellEnd"/>
      <w:r w:rsidRPr="004869B8">
        <w:rPr>
          <w:rFonts w:ascii="Arial" w:hAnsi="Arial" w:cs="Arial"/>
          <w:color w:val="222222"/>
          <w:sz w:val="20"/>
          <w:szCs w:val="20"/>
          <w:shd w:val="clear" w:color="auto" w:fill="FFFFFF"/>
        </w:rPr>
        <w:t xml:space="preserve"> AK, </w:t>
      </w:r>
      <w:proofErr w:type="spellStart"/>
      <w:r w:rsidRPr="004869B8">
        <w:rPr>
          <w:rFonts w:ascii="Arial" w:hAnsi="Arial" w:cs="Arial"/>
          <w:color w:val="222222"/>
          <w:sz w:val="20"/>
          <w:szCs w:val="20"/>
          <w:shd w:val="clear" w:color="auto" w:fill="FFFFFF"/>
        </w:rPr>
        <w:t>Vart</w:t>
      </w:r>
      <w:proofErr w:type="spellEnd"/>
      <w:r w:rsidRPr="004869B8">
        <w:rPr>
          <w:rFonts w:ascii="Arial" w:hAnsi="Arial" w:cs="Arial"/>
          <w:color w:val="222222"/>
          <w:sz w:val="20"/>
          <w:szCs w:val="20"/>
          <w:shd w:val="clear" w:color="auto" w:fill="FFFFFF"/>
        </w:rPr>
        <w:t xml:space="preserve"> D, Amit, Sharma R</w:t>
      </w:r>
      <w:r w:rsidR="008A1650">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Rani R. </w:t>
      </w:r>
      <w:r w:rsidRPr="004869B8">
        <w:rPr>
          <w:rFonts w:ascii="Arial" w:hAnsi="Arial" w:cs="Arial"/>
          <w:sz w:val="20"/>
          <w:szCs w:val="20"/>
        </w:rPr>
        <w:t>Pearl millet germplasm variability for yield and its attributing traits under rainfed conditions</w:t>
      </w:r>
      <w:r w:rsidRPr="004869B8">
        <w:rPr>
          <w:rFonts w:ascii="Arial" w:hAnsi="Arial" w:cs="Arial"/>
          <w:i/>
          <w:iCs/>
          <w:sz w:val="20"/>
          <w:szCs w:val="20"/>
        </w:rPr>
        <w:t xml:space="preserve">. </w:t>
      </w:r>
      <w:r w:rsidRPr="008A1650">
        <w:rPr>
          <w:rFonts w:ascii="Arial" w:hAnsi="Arial" w:cs="Arial"/>
          <w:sz w:val="20"/>
          <w:szCs w:val="20"/>
        </w:rPr>
        <w:t>Forage Research</w:t>
      </w:r>
      <w:r w:rsidR="008A1650" w:rsidRPr="008A1650">
        <w:rPr>
          <w:rFonts w:ascii="Arial" w:hAnsi="Arial" w:cs="Arial"/>
          <w:sz w:val="20"/>
          <w:szCs w:val="20"/>
        </w:rPr>
        <w:t>.</w:t>
      </w:r>
      <w:r w:rsidRPr="004869B8">
        <w:rPr>
          <w:rFonts w:ascii="Arial" w:hAnsi="Arial" w:cs="Arial"/>
          <w:sz w:val="20"/>
          <w:szCs w:val="20"/>
        </w:rPr>
        <w:t xml:space="preserve"> </w:t>
      </w:r>
      <w:r w:rsidR="008A1650">
        <w:rPr>
          <w:rFonts w:ascii="Arial" w:hAnsi="Arial" w:cs="Arial"/>
          <w:sz w:val="20"/>
          <w:szCs w:val="20"/>
        </w:rPr>
        <w:t>2022;</w:t>
      </w:r>
      <w:r w:rsidRPr="004869B8">
        <w:rPr>
          <w:rFonts w:ascii="Arial" w:hAnsi="Arial" w:cs="Arial"/>
          <w:sz w:val="20"/>
          <w:szCs w:val="20"/>
        </w:rPr>
        <w:t>48(1):41-45.</w:t>
      </w:r>
    </w:p>
    <w:p w14:paraId="68749D4F" w14:textId="1721A01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Kumari N, Sharma</w:t>
      </w:r>
      <w:r w:rsidR="007528F1">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 xml:space="preserve">NK, </w:t>
      </w:r>
      <w:proofErr w:type="spellStart"/>
      <w:r w:rsidRPr="004869B8">
        <w:rPr>
          <w:rFonts w:ascii="Arial" w:hAnsi="Arial" w:cs="Arial"/>
          <w:color w:val="222222"/>
          <w:sz w:val="20"/>
          <w:szCs w:val="20"/>
          <w:shd w:val="clear" w:color="auto" w:fill="FFFFFF"/>
        </w:rPr>
        <w:t>Kajla</w:t>
      </w:r>
      <w:proofErr w:type="spellEnd"/>
      <w:r w:rsidRPr="004869B8">
        <w:rPr>
          <w:rFonts w:ascii="Arial" w:hAnsi="Arial" w:cs="Arial"/>
          <w:color w:val="222222"/>
          <w:sz w:val="20"/>
          <w:szCs w:val="20"/>
          <w:shd w:val="clear" w:color="auto" w:fill="FFFFFF"/>
        </w:rPr>
        <w:t xml:space="preserve"> S</w:t>
      </w:r>
      <w:r w:rsidR="007528F1">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Sanadya</w:t>
      </w:r>
      <w:proofErr w:type="spellEnd"/>
      <w:r w:rsidRPr="004869B8">
        <w:rPr>
          <w:rFonts w:ascii="Arial" w:hAnsi="Arial" w:cs="Arial"/>
          <w:color w:val="222222"/>
          <w:sz w:val="20"/>
          <w:szCs w:val="20"/>
          <w:shd w:val="clear" w:color="auto" w:fill="FFFFFF"/>
        </w:rPr>
        <w:t>, SK. Studies on variability, character association and genetic diversity in R-lines of pearl millet. </w:t>
      </w:r>
      <w:r w:rsidRPr="007528F1">
        <w:rPr>
          <w:rFonts w:ascii="Arial" w:hAnsi="Arial" w:cs="Arial"/>
          <w:color w:val="222222"/>
          <w:sz w:val="20"/>
          <w:szCs w:val="20"/>
          <w:shd w:val="clear" w:color="auto" w:fill="FFFFFF"/>
        </w:rPr>
        <w:t>International Journal of Chemical Studies.</w:t>
      </w:r>
      <w:r w:rsidRPr="004869B8">
        <w:rPr>
          <w:rFonts w:ascii="Arial" w:hAnsi="Arial" w:cs="Arial"/>
          <w:color w:val="222222"/>
          <w:sz w:val="20"/>
          <w:szCs w:val="20"/>
          <w:shd w:val="clear" w:color="auto" w:fill="FFFFFF"/>
        </w:rPr>
        <w:t xml:space="preserve"> </w:t>
      </w:r>
      <w:r w:rsidR="007528F1">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6(5):700-704.</w:t>
      </w:r>
    </w:p>
    <w:p w14:paraId="5CC3CC32" w14:textId="6DE93896"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Kumawat KR, Sharma</w:t>
      </w:r>
      <w:r w:rsidR="00A0039A">
        <w:rPr>
          <w:rFonts w:ascii="Arial" w:hAnsi="Arial" w:cs="Arial"/>
          <w:sz w:val="20"/>
          <w:szCs w:val="20"/>
        </w:rPr>
        <w:t xml:space="preserve"> NK,</w:t>
      </w:r>
      <w:r w:rsidRPr="004869B8">
        <w:rPr>
          <w:rFonts w:ascii="Arial" w:hAnsi="Arial" w:cs="Arial"/>
          <w:sz w:val="20"/>
          <w:szCs w:val="20"/>
        </w:rPr>
        <w:t xml:space="preserve"> Sharma</w:t>
      </w:r>
      <w:r w:rsidR="00A0039A">
        <w:rPr>
          <w:rFonts w:ascii="Arial" w:hAnsi="Arial" w:cs="Arial"/>
          <w:sz w:val="20"/>
          <w:szCs w:val="20"/>
        </w:rPr>
        <w:t xml:space="preserve"> N</w:t>
      </w:r>
      <w:r w:rsidRPr="004869B8">
        <w:rPr>
          <w:rFonts w:ascii="Arial" w:hAnsi="Arial" w:cs="Arial"/>
          <w:sz w:val="20"/>
          <w:szCs w:val="20"/>
        </w:rPr>
        <w:t xml:space="preserve">. Genetic variability and character association analysis in pearl millet single cross hybrids under dry conditions of Rajasthan. </w:t>
      </w:r>
      <w:r w:rsidRPr="000E2A3C">
        <w:rPr>
          <w:rFonts w:ascii="Arial" w:hAnsi="Arial" w:cs="Arial"/>
          <w:sz w:val="20"/>
          <w:szCs w:val="20"/>
        </w:rPr>
        <w:t>Electronic Journal of Plant Breeding</w:t>
      </w:r>
      <w:r w:rsidRPr="004869B8">
        <w:rPr>
          <w:rFonts w:ascii="Arial" w:hAnsi="Arial" w:cs="Arial"/>
          <w:i/>
          <w:iCs/>
          <w:sz w:val="20"/>
          <w:szCs w:val="20"/>
        </w:rPr>
        <w:t xml:space="preserve">. </w:t>
      </w:r>
      <w:r w:rsidR="000E2A3C" w:rsidRPr="00A0039A">
        <w:rPr>
          <w:rFonts w:ascii="Arial" w:hAnsi="Arial" w:cs="Arial"/>
          <w:sz w:val="20"/>
          <w:szCs w:val="20"/>
        </w:rPr>
        <w:t>2019;</w:t>
      </w:r>
      <w:r w:rsidRPr="00A0039A">
        <w:rPr>
          <w:rFonts w:ascii="Arial" w:hAnsi="Arial" w:cs="Arial"/>
          <w:sz w:val="20"/>
          <w:szCs w:val="20"/>
        </w:rPr>
        <w:t>10</w:t>
      </w:r>
      <w:r w:rsidRPr="004869B8">
        <w:rPr>
          <w:rFonts w:ascii="Arial" w:hAnsi="Arial" w:cs="Arial"/>
          <w:sz w:val="20"/>
          <w:szCs w:val="20"/>
        </w:rPr>
        <w:t>(3):1067-1070.</w:t>
      </w:r>
    </w:p>
    <w:p w14:paraId="5E7D749A" w14:textId="2FE2E0D3"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Maiti RK</w:t>
      </w:r>
      <w:r w:rsidR="000E2A3C">
        <w:rPr>
          <w:rFonts w:ascii="Arial" w:hAnsi="Arial" w:cs="Arial"/>
          <w:sz w:val="20"/>
          <w:szCs w:val="20"/>
        </w:rPr>
        <w:t>,</w:t>
      </w:r>
      <w:r w:rsidRPr="004869B8">
        <w:rPr>
          <w:rFonts w:ascii="Arial" w:hAnsi="Arial" w:cs="Arial"/>
          <w:sz w:val="20"/>
          <w:szCs w:val="20"/>
        </w:rPr>
        <w:t xml:space="preserve"> Bidinger FR. Growth and development of pearl millet plant. ICRISAT Research Bulletin. </w:t>
      </w:r>
      <w:r w:rsidR="000E2A3C">
        <w:rPr>
          <w:rFonts w:ascii="Arial" w:hAnsi="Arial" w:cs="Arial"/>
          <w:sz w:val="20"/>
          <w:szCs w:val="20"/>
        </w:rPr>
        <w:t>1981;</w:t>
      </w:r>
      <w:r w:rsidRPr="004869B8">
        <w:rPr>
          <w:rFonts w:ascii="Arial" w:hAnsi="Arial" w:cs="Arial"/>
          <w:sz w:val="20"/>
          <w:szCs w:val="20"/>
        </w:rPr>
        <w:t>6.</w:t>
      </w:r>
    </w:p>
    <w:p w14:paraId="28EBADC9" w14:textId="7695FA93"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w:t>
      </w:r>
      <w:r w:rsidR="00C66A3A">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Veeraraghavaiah</w:t>
      </w:r>
      <w:proofErr w:type="spellEnd"/>
      <w:r w:rsidRPr="004869B8">
        <w:rPr>
          <w:rFonts w:ascii="Arial" w:hAnsi="Arial" w:cs="Arial"/>
          <w:color w:val="222222"/>
          <w:sz w:val="20"/>
          <w:szCs w:val="20"/>
          <w:shd w:val="clear" w:color="auto" w:fill="FFFFFF"/>
        </w:rPr>
        <w:t xml:space="preserve"> R. Estimation of genetic parameters and evolving suitable selection criteria for grain yield in pearl millet under rainfed conditions of Andhra Pradesh. </w:t>
      </w:r>
      <w:r w:rsidRPr="00C66A3A">
        <w:rPr>
          <w:rFonts w:ascii="Arial" w:hAnsi="Arial" w:cs="Arial"/>
          <w:color w:val="222222"/>
          <w:sz w:val="20"/>
          <w:szCs w:val="20"/>
          <w:shd w:val="clear" w:color="auto" w:fill="FFFFFF"/>
        </w:rPr>
        <w:t>Journal of Pharmacognosy and Phytochemistry. </w:t>
      </w:r>
      <w:r w:rsidR="00C66A3A">
        <w:rPr>
          <w:rFonts w:ascii="Arial" w:hAnsi="Arial" w:cs="Arial"/>
          <w:color w:val="222222"/>
          <w:sz w:val="20"/>
          <w:szCs w:val="20"/>
          <w:shd w:val="clear" w:color="auto" w:fill="FFFFFF"/>
        </w:rPr>
        <w:t>2019;</w:t>
      </w:r>
      <w:r w:rsidRPr="004869B8">
        <w:rPr>
          <w:rFonts w:ascii="Arial" w:hAnsi="Arial" w:cs="Arial"/>
          <w:color w:val="222222"/>
          <w:sz w:val="20"/>
          <w:szCs w:val="20"/>
          <w:shd w:val="clear" w:color="auto" w:fill="FFFFFF"/>
        </w:rPr>
        <w:t>8(6):2580-2583.</w:t>
      </w:r>
    </w:p>
    <w:p w14:paraId="7476C93D" w14:textId="30ED6A24"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w:t>
      </w:r>
      <w:r w:rsidR="00B87AE6">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Veeraraghavaiah</w:t>
      </w:r>
      <w:proofErr w:type="spellEnd"/>
      <w:r w:rsidRPr="004869B8">
        <w:rPr>
          <w:rFonts w:ascii="Arial" w:hAnsi="Arial" w:cs="Arial"/>
          <w:color w:val="222222"/>
          <w:sz w:val="20"/>
          <w:szCs w:val="20"/>
          <w:shd w:val="clear" w:color="auto" w:fill="FFFFFF"/>
        </w:rPr>
        <w:t xml:space="preserve"> R. Genetic variability and association studies of pearl millet genotypes for yield contributing traits under rainfed conditions of Andhra Pradesh. </w:t>
      </w:r>
      <w:r w:rsidRPr="00B87AE6">
        <w:rPr>
          <w:rFonts w:ascii="Arial" w:hAnsi="Arial" w:cs="Arial"/>
          <w:color w:val="222222"/>
          <w:sz w:val="20"/>
          <w:szCs w:val="20"/>
          <w:shd w:val="clear" w:color="auto" w:fill="FFFFFF"/>
        </w:rPr>
        <w:t xml:space="preserve">Journal of Pharmacognosy and Phytochemistry. </w:t>
      </w:r>
      <w:r w:rsidR="00B87AE6">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9(3):2301-2304.</w:t>
      </w:r>
    </w:p>
    <w:p w14:paraId="0C132578" w14:textId="46601B84"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Narasimhulu</w:t>
      </w:r>
      <w:proofErr w:type="spellEnd"/>
      <w:r w:rsidRPr="004869B8">
        <w:rPr>
          <w:rFonts w:ascii="Arial" w:hAnsi="Arial" w:cs="Arial"/>
          <w:color w:val="222222"/>
          <w:sz w:val="20"/>
          <w:szCs w:val="20"/>
          <w:shd w:val="clear" w:color="auto" w:fill="FFFFFF"/>
        </w:rPr>
        <w:t xml:space="preserve"> R, </w:t>
      </w:r>
      <w:proofErr w:type="spellStart"/>
      <w:r w:rsidRPr="004869B8">
        <w:rPr>
          <w:rFonts w:ascii="Arial" w:hAnsi="Arial" w:cs="Arial"/>
          <w:color w:val="222222"/>
          <w:sz w:val="20"/>
          <w:szCs w:val="20"/>
          <w:shd w:val="clear" w:color="auto" w:fill="FFFFFF"/>
        </w:rPr>
        <w:t>Sahadeva</w:t>
      </w:r>
      <w:proofErr w:type="spellEnd"/>
      <w:r w:rsidRPr="004869B8">
        <w:rPr>
          <w:rFonts w:ascii="Arial" w:hAnsi="Arial" w:cs="Arial"/>
          <w:color w:val="222222"/>
          <w:sz w:val="20"/>
          <w:szCs w:val="20"/>
          <w:shd w:val="clear" w:color="auto" w:fill="FFFFFF"/>
        </w:rPr>
        <w:t xml:space="preserve"> Reddy B, Tara Satyavathi C</w:t>
      </w:r>
      <w:r w:rsidR="00A21D3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Ajay BC. Performance, genetic variability and association analysis of pearl millet yield attributing traits in Andhra Pradesh’s arid region. </w:t>
      </w:r>
      <w:r w:rsidRPr="00A21D3F">
        <w:rPr>
          <w:rFonts w:ascii="Arial" w:hAnsi="Arial" w:cs="Arial"/>
          <w:color w:val="222222"/>
          <w:sz w:val="20"/>
          <w:szCs w:val="20"/>
          <w:shd w:val="clear" w:color="auto" w:fill="FFFFFF"/>
        </w:rPr>
        <w:t>Chemical Science Review and Letters. </w:t>
      </w:r>
      <w:r w:rsidR="00A21D3F">
        <w:rPr>
          <w:rFonts w:ascii="Arial" w:hAnsi="Arial" w:cs="Arial"/>
          <w:color w:val="222222"/>
          <w:sz w:val="20"/>
          <w:szCs w:val="20"/>
          <w:shd w:val="clear" w:color="auto" w:fill="FFFFFF"/>
        </w:rPr>
        <w:t>2021;</w:t>
      </w:r>
      <w:r w:rsidRPr="004869B8">
        <w:rPr>
          <w:rFonts w:ascii="Arial" w:hAnsi="Arial" w:cs="Arial"/>
          <w:color w:val="222222"/>
          <w:sz w:val="20"/>
          <w:szCs w:val="20"/>
          <w:shd w:val="clear" w:color="auto" w:fill="FFFFFF"/>
        </w:rPr>
        <w:t>10(38):177-182.</w:t>
      </w:r>
    </w:p>
    <w:p w14:paraId="55912D42" w14:textId="2ECB0CC3"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Nehra M, Kumar M, Kaushik J, Vart D, Sharma RK</w:t>
      </w:r>
      <w:r w:rsidR="00AF511C">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Punia MS. Genetic divergence, character association and path coefficient analysis for yield attributing traits in pearl millet [</w:t>
      </w:r>
      <w:r w:rsidRPr="00AF511C">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inbreds. </w:t>
      </w:r>
      <w:r w:rsidRPr="00AF511C">
        <w:rPr>
          <w:rFonts w:ascii="Arial" w:hAnsi="Arial" w:cs="Arial"/>
          <w:color w:val="222222"/>
          <w:sz w:val="20"/>
          <w:szCs w:val="20"/>
          <w:shd w:val="clear" w:color="auto" w:fill="FFFFFF"/>
        </w:rPr>
        <w:t>Chemical Science Review and Letters</w:t>
      </w:r>
      <w:r w:rsidRPr="004869B8">
        <w:rPr>
          <w:rFonts w:ascii="Arial" w:hAnsi="Arial" w:cs="Arial"/>
          <w:color w:val="222222"/>
          <w:sz w:val="20"/>
          <w:szCs w:val="20"/>
          <w:shd w:val="clear" w:color="auto" w:fill="FFFFFF"/>
        </w:rPr>
        <w:t>. </w:t>
      </w:r>
      <w:r w:rsidR="00AF511C">
        <w:rPr>
          <w:rFonts w:ascii="Arial" w:hAnsi="Arial" w:cs="Arial"/>
          <w:color w:val="222222"/>
          <w:sz w:val="20"/>
          <w:szCs w:val="20"/>
          <w:shd w:val="clear" w:color="auto" w:fill="FFFFFF"/>
        </w:rPr>
        <w:t>2017;</w:t>
      </w:r>
      <w:r w:rsidRPr="004869B8">
        <w:rPr>
          <w:rFonts w:ascii="Arial" w:hAnsi="Arial" w:cs="Arial"/>
          <w:color w:val="222222"/>
          <w:sz w:val="20"/>
          <w:szCs w:val="20"/>
          <w:shd w:val="clear" w:color="auto" w:fill="FFFFFF"/>
        </w:rPr>
        <w:t>6(21):538-543.</w:t>
      </w:r>
    </w:p>
    <w:p w14:paraId="3D820D73" w14:textId="24E30155"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Owere</w:t>
      </w:r>
      <w:proofErr w:type="spellEnd"/>
      <w:r w:rsidRPr="004869B8">
        <w:rPr>
          <w:rFonts w:ascii="Arial" w:hAnsi="Arial" w:cs="Arial"/>
          <w:sz w:val="20"/>
          <w:szCs w:val="20"/>
        </w:rPr>
        <w:t xml:space="preserve"> L, </w:t>
      </w:r>
      <w:proofErr w:type="spellStart"/>
      <w:r w:rsidRPr="004869B8">
        <w:rPr>
          <w:rFonts w:ascii="Arial" w:hAnsi="Arial" w:cs="Arial"/>
          <w:sz w:val="20"/>
          <w:szCs w:val="20"/>
        </w:rPr>
        <w:t>Tongoona</w:t>
      </w:r>
      <w:proofErr w:type="spellEnd"/>
      <w:r w:rsidRPr="004869B8">
        <w:rPr>
          <w:rFonts w:ascii="Arial" w:hAnsi="Arial" w:cs="Arial"/>
          <w:sz w:val="20"/>
          <w:szCs w:val="20"/>
        </w:rPr>
        <w:t xml:space="preserve"> P, </w:t>
      </w:r>
      <w:proofErr w:type="spellStart"/>
      <w:r w:rsidRPr="004869B8">
        <w:rPr>
          <w:rFonts w:ascii="Arial" w:hAnsi="Arial" w:cs="Arial"/>
          <w:sz w:val="20"/>
          <w:szCs w:val="20"/>
        </w:rPr>
        <w:t>Derera</w:t>
      </w:r>
      <w:proofErr w:type="spellEnd"/>
      <w:r w:rsidRPr="004869B8">
        <w:rPr>
          <w:rFonts w:ascii="Arial" w:hAnsi="Arial" w:cs="Arial"/>
          <w:sz w:val="20"/>
          <w:szCs w:val="20"/>
        </w:rPr>
        <w:t xml:space="preserve"> J</w:t>
      </w:r>
      <w:r w:rsidR="00202579">
        <w:rPr>
          <w:rFonts w:ascii="Arial" w:hAnsi="Arial" w:cs="Arial"/>
          <w:sz w:val="20"/>
          <w:szCs w:val="20"/>
        </w:rPr>
        <w:t>,</w:t>
      </w:r>
      <w:r w:rsidRPr="004869B8">
        <w:rPr>
          <w:rFonts w:ascii="Arial" w:hAnsi="Arial" w:cs="Arial"/>
          <w:sz w:val="20"/>
          <w:szCs w:val="20"/>
        </w:rPr>
        <w:t xml:space="preserve"> </w:t>
      </w:r>
      <w:proofErr w:type="spellStart"/>
      <w:r w:rsidRPr="004869B8">
        <w:rPr>
          <w:rFonts w:ascii="Arial" w:hAnsi="Arial" w:cs="Arial"/>
          <w:sz w:val="20"/>
          <w:szCs w:val="20"/>
        </w:rPr>
        <w:t>Wanyera</w:t>
      </w:r>
      <w:proofErr w:type="spellEnd"/>
      <w:r w:rsidRPr="004869B8">
        <w:rPr>
          <w:rFonts w:ascii="Arial" w:hAnsi="Arial" w:cs="Arial"/>
          <w:sz w:val="20"/>
          <w:szCs w:val="20"/>
        </w:rPr>
        <w:t xml:space="preserve"> N. Variability and trait relationships among finger millet accessions in Uganda. </w:t>
      </w:r>
      <w:r w:rsidRPr="00202579">
        <w:rPr>
          <w:rFonts w:ascii="Arial" w:hAnsi="Arial" w:cs="Arial"/>
          <w:sz w:val="20"/>
          <w:szCs w:val="20"/>
        </w:rPr>
        <w:t>Uganda Journal of Agricultural Sciences. </w:t>
      </w:r>
      <w:r w:rsidR="00202579">
        <w:rPr>
          <w:rFonts w:ascii="Arial" w:hAnsi="Arial" w:cs="Arial"/>
          <w:sz w:val="20"/>
          <w:szCs w:val="20"/>
        </w:rPr>
        <w:t>2015;</w:t>
      </w:r>
      <w:r w:rsidRPr="004869B8">
        <w:rPr>
          <w:rFonts w:ascii="Arial" w:hAnsi="Arial" w:cs="Arial"/>
          <w:sz w:val="20"/>
          <w:szCs w:val="20"/>
        </w:rPr>
        <w:t>16(2):161-176.</w:t>
      </w:r>
    </w:p>
    <w:p w14:paraId="414AD1C3" w14:textId="3C93D18E"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Pallavi M, Reddy PS, Krishna KR, Ratnavathi CV</w:t>
      </w:r>
      <w:r w:rsidR="00EC7AE1">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Sujatha P. Genetic variability, heritability and association of grain yield characters in pearl millet (</w:t>
      </w:r>
      <w:r w:rsidRPr="00202579">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w:t>
      </w:r>
      <w:r w:rsidRPr="00EC7AE1">
        <w:rPr>
          <w:rFonts w:ascii="Arial" w:hAnsi="Arial" w:cs="Arial"/>
          <w:color w:val="222222"/>
          <w:sz w:val="20"/>
          <w:szCs w:val="20"/>
          <w:shd w:val="clear" w:color="auto" w:fill="FFFFFF"/>
        </w:rPr>
        <w:t>Journal of Pharmacognosy and Phytochemistry.</w:t>
      </w:r>
      <w:r w:rsidRPr="004869B8">
        <w:rPr>
          <w:rFonts w:ascii="Arial" w:hAnsi="Arial" w:cs="Arial"/>
          <w:color w:val="222222"/>
          <w:sz w:val="20"/>
          <w:szCs w:val="20"/>
          <w:shd w:val="clear" w:color="auto" w:fill="FFFFFF"/>
        </w:rPr>
        <w:t> </w:t>
      </w:r>
      <w:r w:rsidR="00EC7AE1">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9(3):1666-1669.</w:t>
      </w:r>
    </w:p>
    <w:p w14:paraId="6E5E0FA3" w14:textId="24123CD2" w:rsidR="00D53B4F" w:rsidRPr="004869B8" w:rsidRDefault="00D53B4F" w:rsidP="00D53B4F">
      <w:pPr>
        <w:spacing w:line="240" w:lineRule="atLeast"/>
        <w:ind w:left="720" w:hanging="720"/>
        <w:jc w:val="both"/>
        <w:rPr>
          <w:rFonts w:ascii="Arial" w:hAnsi="Arial" w:cs="Arial"/>
          <w:sz w:val="20"/>
          <w:szCs w:val="20"/>
        </w:rPr>
      </w:pPr>
      <w:proofErr w:type="spellStart"/>
      <w:r w:rsidRPr="004869B8">
        <w:rPr>
          <w:rFonts w:ascii="Arial" w:hAnsi="Arial" w:cs="Arial"/>
          <w:sz w:val="20"/>
          <w:szCs w:val="20"/>
        </w:rPr>
        <w:t>Panse</w:t>
      </w:r>
      <w:proofErr w:type="spellEnd"/>
      <w:r w:rsidRPr="004869B8">
        <w:rPr>
          <w:rFonts w:ascii="Arial" w:hAnsi="Arial" w:cs="Arial"/>
          <w:sz w:val="20"/>
          <w:szCs w:val="20"/>
        </w:rPr>
        <w:t xml:space="preserve"> VG, </w:t>
      </w:r>
      <w:proofErr w:type="spellStart"/>
      <w:r w:rsidRPr="004869B8">
        <w:rPr>
          <w:rFonts w:ascii="Arial" w:hAnsi="Arial" w:cs="Arial"/>
          <w:sz w:val="20"/>
          <w:szCs w:val="20"/>
        </w:rPr>
        <w:t>Sukathme</w:t>
      </w:r>
      <w:proofErr w:type="spellEnd"/>
      <w:r w:rsidRPr="004869B8">
        <w:rPr>
          <w:rFonts w:ascii="Arial" w:hAnsi="Arial" w:cs="Arial"/>
          <w:sz w:val="20"/>
          <w:szCs w:val="20"/>
        </w:rPr>
        <w:t xml:space="preserve"> PV. Statistical Method for Agricultural Workers. ICAR, New Delhi.</w:t>
      </w:r>
      <w:r w:rsidR="00EC7AE1">
        <w:rPr>
          <w:rFonts w:ascii="Arial" w:hAnsi="Arial" w:cs="Arial"/>
          <w:sz w:val="20"/>
          <w:szCs w:val="20"/>
        </w:rPr>
        <w:t>1967;</w:t>
      </w:r>
      <w:r w:rsidRPr="004869B8">
        <w:rPr>
          <w:rFonts w:ascii="Arial" w:hAnsi="Arial" w:cs="Arial"/>
          <w:sz w:val="20"/>
          <w:szCs w:val="20"/>
        </w:rPr>
        <w:t>381.</w:t>
      </w:r>
    </w:p>
    <w:p w14:paraId="298ACC57" w14:textId="78F000BA"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Pujar M, </w:t>
      </w:r>
      <w:proofErr w:type="spellStart"/>
      <w:r w:rsidRPr="004869B8">
        <w:rPr>
          <w:rFonts w:ascii="Arial" w:hAnsi="Arial" w:cs="Arial"/>
          <w:color w:val="222222"/>
          <w:sz w:val="20"/>
          <w:szCs w:val="20"/>
          <w:shd w:val="clear" w:color="auto" w:fill="FFFFFF"/>
        </w:rPr>
        <w:t>Govindaraj</w:t>
      </w:r>
      <w:proofErr w:type="spellEnd"/>
      <w:r w:rsidRPr="004869B8">
        <w:rPr>
          <w:rFonts w:ascii="Arial" w:hAnsi="Arial" w:cs="Arial"/>
          <w:color w:val="222222"/>
          <w:sz w:val="20"/>
          <w:szCs w:val="20"/>
          <w:shd w:val="clear" w:color="auto" w:fill="FFFFFF"/>
        </w:rPr>
        <w:t xml:space="preserve"> M, </w:t>
      </w:r>
      <w:proofErr w:type="spellStart"/>
      <w:r w:rsidRPr="004869B8">
        <w:rPr>
          <w:rFonts w:ascii="Arial" w:hAnsi="Arial" w:cs="Arial"/>
          <w:color w:val="222222"/>
          <w:sz w:val="20"/>
          <w:szCs w:val="20"/>
          <w:shd w:val="clear" w:color="auto" w:fill="FFFFFF"/>
        </w:rPr>
        <w:t>Gangaprasad</w:t>
      </w:r>
      <w:proofErr w:type="spellEnd"/>
      <w:r w:rsidRPr="004869B8">
        <w:rPr>
          <w:rFonts w:ascii="Arial" w:hAnsi="Arial" w:cs="Arial"/>
          <w:color w:val="222222"/>
          <w:sz w:val="20"/>
          <w:szCs w:val="20"/>
          <w:shd w:val="clear" w:color="auto" w:fill="FFFFFF"/>
        </w:rPr>
        <w:t xml:space="preserve"> S, </w:t>
      </w:r>
      <w:proofErr w:type="spellStart"/>
      <w:r w:rsidRPr="004869B8">
        <w:rPr>
          <w:rFonts w:ascii="Arial" w:hAnsi="Arial" w:cs="Arial"/>
          <w:color w:val="222222"/>
          <w:sz w:val="20"/>
          <w:szCs w:val="20"/>
          <w:shd w:val="clear" w:color="auto" w:fill="FFFFFF"/>
        </w:rPr>
        <w:t>Kanatti</w:t>
      </w:r>
      <w:proofErr w:type="spellEnd"/>
      <w:r w:rsidRPr="004869B8">
        <w:rPr>
          <w:rFonts w:ascii="Arial" w:hAnsi="Arial" w:cs="Arial"/>
          <w:color w:val="222222"/>
          <w:sz w:val="20"/>
          <w:szCs w:val="20"/>
          <w:shd w:val="clear" w:color="auto" w:fill="FFFFFF"/>
        </w:rPr>
        <w:t xml:space="preserve"> A</w:t>
      </w:r>
      <w:r w:rsidR="00F07E7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Shivade</w:t>
      </w:r>
      <w:proofErr w:type="spellEnd"/>
      <w:r w:rsidRPr="004869B8">
        <w:rPr>
          <w:rFonts w:ascii="Arial" w:hAnsi="Arial" w:cs="Arial"/>
          <w:color w:val="222222"/>
          <w:sz w:val="20"/>
          <w:szCs w:val="20"/>
          <w:shd w:val="clear" w:color="auto" w:fill="FFFFFF"/>
        </w:rPr>
        <w:t xml:space="preserve"> H.</w:t>
      </w:r>
      <w:r w:rsidR="00F07E74">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variation and diversity for grain iron, zinc, protein and agronomic traits in advanced breeding lines of pearl millet [Pennisetum glaucum (L.) R. Br.] for biofortification breeding. </w:t>
      </w:r>
      <w:r w:rsidRPr="00F07E74">
        <w:rPr>
          <w:rFonts w:ascii="Arial" w:hAnsi="Arial" w:cs="Arial"/>
          <w:color w:val="222222"/>
          <w:sz w:val="20"/>
          <w:szCs w:val="20"/>
          <w:shd w:val="clear" w:color="auto" w:fill="FFFFFF"/>
        </w:rPr>
        <w:t>Genetic Resources and Crop Evolution.</w:t>
      </w:r>
      <w:r w:rsidRPr="004869B8">
        <w:rPr>
          <w:rFonts w:ascii="Arial" w:hAnsi="Arial" w:cs="Arial"/>
          <w:color w:val="222222"/>
          <w:sz w:val="20"/>
          <w:szCs w:val="20"/>
          <w:shd w:val="clear" w:color="auto" w:fill="FFFFFF"/>
        </w:rPr>
        <w:t> </w:t>
      </w:r>
      <w:r w:rsidR="00F07E74">
        <w:rPr>
          <w:rFonts w:ascii="Arial" w:hAnsi="Arial" w:cs="Arial"/>
          <w:color w:val="222222"/>
          <w:sz w:val="20"/>
          <w:szCs w:val="20"/>
          <w:shd w:val="clear" w:color="auto" w:fill="FFFFFF"/>
        </w:rPr>
        <w:t>2020;</w:t>
      </w:r>
      <w:r w:rsidRPr="004869B8">
        <w:rPr>
          <w:rFonts w:ascii="Arial" w:hAnsi="Arial" w:cs="Arial"/>
          <w:color w:val="222222"/>
          <w:sz w:val="20"/>
          <w:szCs w:val="20"/>
          <w:shd w:val="clear" w:color="auto" w:fill="FFFFFF"/>
        </w:rPr>
        <w:t>67:2009-2022.</w:t>
      </w:r>
    </w:p>
    <w:p w14:paraId="4CCDDD47" w14:textId="791B38A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Ramya KR, Sumathi P</w:t>
      </w:r>
      <w:r w:rsidR="00132649">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Joel AJ</w:t>
      </w:r>
      <w:r w:rsidR="00132649">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Genetic variability study in pearl millet germplasm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for yield and its component traits. </w:t>
      </w:r>
      <w:r w:rsidRPr="00132649">
        <w:rPr>
          <w:rFonts w:ascii="Arial" w:hAnsi="Arial" w:cs="Arial"/>
          <w:color w:val="222222"/>
          <w:sz w:val="20"/>
          <w:szCs w:val="20"/>
          <w:shd w:val="clear" w:color="auto" w:fill="FFFFFF"/>
        </w:rPr>
        <w:t>Electronic Journal of Plant Breeding.</w:t>
      </w:r>
      <w:r w:rsidRPr="004869B8">
        <w:rPr>
          <w:rFonts w:ascii="Arial" w:hAnsi="Arial" w:cs="Arial"/>
          <w:color w:val="222222"/>
          <w:sz w:val="20"/>
          <w:szCs w:val="20"/>
          <w:shd w:val="clear" w:color="auto" w:fill="FFFFFF"/>
        </w:rPr>
        <w:t> </w:t>
      </w:r>
      <w:r w:rsidR="00132649">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9(3):1247-1252.</w:t>
      </w:r>
    </w:p>
    <w:p w14:paraId="10AEC510" w14:textId="518AB16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Robinson HF, Comstock RE</w:t>
      </w:r>
      <w:r w:rsidR="004413F2">
        <w:rPr>
          <w:rFonts w:ascii="Arial" w:hAnsi="Arial" w:cs="Arial"/>
          <w:sz w:val="20"/>
          <w:szCs w:val="20"/>
        </w:rPr>
        <w:t>,</w:t>
      </w:r>
      <w:r w:rsidRPr="004869B8">
        <w:rPr>
          <w:rFonts w:ascii="Arial" w:hAnsi="Arial" w:cs="Arial"/>
          <w:sz w:val="20"/>
          <w:szCs w:val="20"/>
        </w:rPr>
        <w:t xml:space="preserve"> Harney PH. Estimates of heritability and degree in corn. </w:t>
      </w:r>
      <w:r w:rsidRPr="004413F2">
        <w:rPr>
          <w:rFonts w:ascii="Arial" w:hAnsi="Arial" w:cs="Arial"/>
          <w:sz w:val="20"/>
          <w:szCs w:val="20"/>
        </w:rPr>
        <w:t>Agronomy Journal.</w:t>
      </w:r>
      <w:r w:rsidRPr="004869B8">
        <w:rPr>
          <w:rFonts w:ascii="Arial" w:hAnsi="Arial" w:cs="Arial"/>
          <w:sz w:val="20"/>
          <w:szCs w:val="20"/>
        </w:rPr>
        <w:t xml:space="preserve"> </w:t>
      </w:r>
      <w:r w:rsidR="004413F2">
        <w:rPr>
          <w:rFonts w:ascii="Arial" w:hAnsi="Arial" w:cs="Arial"/>
          <w:sz w:val="20"/>
          <w:szCs w:val="20"/>
        </w:rPr>
        <w:t>1949;</w:t>
      </w:r>
      <w:r w:rsidRPr="004869B8">
        <w:rPr>
          <w:rFonts w:ascii="Arial" w:hAnsi="Arial" w:cs="Arial"/>
          <w:sz w:val="20"/>
          <w:szCs w:val="20"/>
        </w:rPr>
        <w:t>41:353-359.</w:t>
      </w:r>
    </w:p>
    <w:p w14:paraId="1BCAA93E" w14:textId="196C534D"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Salleh SB, Rafii MY, Ismail MR, Ramli</w:t>
      </w:r>
      <w:r w:rsidR="00775782">
        <w:rPr>
          <w:rFonts w:ascii="Arial" w:hAnsi="Arial" w:cs="Arial"/>
          <w:sz w:val="20"/>
          <w:szCs w:val="20"/>
        </w:rPr>
        <w:t xml:space="preserve"> </w:t>
      </w:r>
      <w:r w:rsidRPr="004869B8">
        <w:rPr>
          <w:rFonts w:ascii="Arial" w:hAnsi="Arial" w:cs="Arial"/>
          <w:sz w:val="20"/>
          <w:szCs w:val="20"/>
        </w:rPr>
        <w:t>A, Chukwu SC, Yusuff O</w:t>
      </w:r>
      <w:r w:rsidR="00775782">
        <w:rPr>
          <w:rFonts w:ascii="Arial" w:hAnsi="Arial" w:cs="Arial"/>
          <w:sz w:val="20"/>
          <w:szCs w:val="20"/>
        </w:rPr>
        <w:t>,</w:t>
      </w:r>
      <w:r w:rsidRPr="004869B8">
        <w:rPr>
          <w:rFonts w:ascii="Arial" w:hAnsi="Arial" w:cs="Arial"/>
          <w:sz w:val="20"/>
          <w:szCs w:val="20"/>
        </w:rPr>
        <w:t xml:space="preserve"> Hasan NA. Genotype-by-environment interaction effects on blast disease severity and genetic diversity of advanced blast-resistant rice lines based on quantitative traits. </w:t>
      </w:r>
      <w:r w:rsidRPr="00775782">
        <w:rPr>
          <w:rFonts w:ascii="Arial" w:hAnsi="Arial" w:cs="Arial"/>
          <w:sz w:val="20"/>
          <w:szCs w:val="20"/>
        </w:rPr>
        <w:t>Frontiers in Agronomy</w:t>
      </w:r>
      <w:r w:rsidRPr="004869B8">
        <w:rPr>
          <w:rFonts w:ascii="Arial" w:hAnsi="Arial" w:cs="Arial"/>
          <w:sz w:val="20"/>
          <w:szCs w:val="20"/>
        </w:rPr>
        <w:t>. </w:t>
      </w:r>
      <w:r w:rsidR="00775782">
        <w:rPr>
          <w:rFonts w:ascii="Arial" w:hAnsi="Arial" w:cs="Arial"/>
          <w:sz w:val="20"/>
          <w:szCs w:val="20"/>
        </w:rPr>
        <w:t>2022;</w:t>
      </w:r>
      <w:r w:rsidRPr="004869B8">
        <w:rPr>
          <w:rFonts w:ascii="Arial" w:hAnsi="Arial" w:cs="Arial"/>
          <w:sz w:val="20"/>
          <w:szCs w:val="20"/>
        </w:rPr>
        <w:t>4:990397.</w:t>
      </w:r>
    </w:p>
    <w:p w14:paraId="48CB6C5D" w14:textId="39FCC6CB"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Sathya M, Sumathi P, </w:t>
      </w:r>
      <w:proofErr w:type="spellStart"/>
      <w:r w:rsidRPr="004869B8">
        <w:rPr>
          <w:rFonts w:ascii="Arial" w:hAnsi="Arial" w:cs="Arial"/>
          <w:color w:val="222222"/>
          <w:sz w:val="20"/>
          <w:szCs w:val="20"/>
          <w:shd w:val="clear" w:color="auto" w:fill="FFFFFF"/>
        </w:rPr>
        <w:t>Senthil</w:t>
      </w:r>
      <w:proofErr w:type="spellEnd"/>
      <w:r w:rsidRPr="004869B8">
        <w:rPr>
          <w:rFonts w:ascii="Arial" w:hAnsi="Arial" w:cs="Arial"/>
          <w:color w:val="222222"/>
          <w:sz w:val="20"/>
          <w:szCs w:val="20"/>
          <w:shd w:val="clear" w:color="auto" w:fill="FFFFFF"/>
        </w:rPr>
        <w:t xml:space="preserve"> N, </w:t>
      </w:r>
      <w:proofErr w:type="spellStart"/>
      <w:r w:rsidRPr="004869B8">
        <w:rPr>
          <w:rFonts w:ascii="Arial" w:hAnsi="Arial" w:cs="Arial"/>
          <w:color w:val="222222"/>
          <w:sz w:val="20"/>
          <w:szCs w:val="20"/>
          <w:shd w:val="clear" w:color="auto" w:fill="FFFFFF"/>
        </w:rPr>
        <w:t>Vellaikumar</w:t>
      </w:r>
      <w:proofErr w:type="spellEnd"/>
      <w:r w:rsidRPr="004869B8">
        <w:rPr>
          <w:rFonts w:ascii="Arial" w:hAnsi="Arial" w:cs="Arial"/>
          <w:color w:val="222222"/>
          <w:sz w:val="20"/>
          <w:szCs w:val="20"/>
          <w:shd w:val="clear" w:color="auto" w:fill="FFFFFF"/>
        </w:rPr>
        <w:t xml:space="preserve"> S</w:t>
      </w:r>
      <w:r w:rsidR="0010388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Joel AJ. Genetic studies for yield and its component traits in RIL population of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10388F">
        <w:rPr>
          <w:rFonts w:ascii="Arial" w:hAnsi="Arial" w:cs="Arial"/>
          <w:color w:val="222222"/>
          <w:sz w:val="20"/>
          <w:szCs w:val="20"/>
          <w:shd w:val="clear" w:color="auto" w:fill="FFFFFF"/>
        </w:rPr>
        <w:t>Electronic Journal of Plant Breeding</w:t>
      </w:r>
      <w:r w:rsidR="0010388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w:t>
      </w:r>
      <w:r w:rsidR="0010388F">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5(2):322-326.</w:t>
      </w:r>
    </w:p>
    <w:p w14:paraId="3F091882" w14:textId="5BA9FA48"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lastRenderedPageBreak/>
        <w:t xml:space="preserve">Sharma B, </w:t>
      </w:r>
      <w:proofErr w:type="spellStart"/>
      <w:r w:rsidRPr="004869B8">
        <w:rPr>
          <w:rFonts w:ascii="Arial" w:hAnsi="Arial" w:cs="Arial"/>
          <w:color w:val="222222"/>
          <w:sz w:val="20"/>
          <w:szCs w:val="20"/>
          <w:shd w:val="clear" w:color="auto" w:fill="FFFFFF"/>
        </w:rPr>
        <w:t>Chugh</w:t>
      </w:r>
      <w:proofErr w:type="spellEnd"/>
      <w:r w:rsidRPr="004869B8">
        <w:rPr>
          <w:rFonts w:ascii="Arial" w:hAnsi="Arial" w:cs="Arial"/>
          <w:color w:val="222222"/>
          <w:sz w:val="20"/>
          <w:szCs w:val="20"/>
          <w:shd w:val="clear" w:color="auto" w:fill="FFFFFF"/>
        </w:rPr>
        <w:t xml:space="preserve"> LK, </w:t>
      </w:r>
      <w:proofErr w:type="spellStart"/>
      <w:r w:rsidRPr="004869B8">
        <w:rPr>
          <w:rFonts w:ascii="Arial" w:hAnsi="Arial" w:cs="Arial"/>
          <w:color w:val="222222"/>
          <w:sz w:val="20"/>
          <w:szCs w:val="20"/>
          <w:shd w:val="clear" w:color="auto" w:fill="FFFFFF"/>
        </w:rPr>
        <w:t>Sheoran</w:t>
      </w:r>
      <w:proofErr w:type="spellEnd"/>
      <w:r w:rsidRPr="004869B8">
        <w:rPr>
          <w:rFonts w:ascii="Arial" w:hAnsi="Arial" w:cs="Arial"/>
          <w:color w:val="222222"/>
          <w:sz w:val="20"/>
          <w:szCs w:val="20"/>
          <w:shd w:val="clear" w:color="auto" w:fill="FFFFFF"/>
        </w:rPr>
        <w:t xml:space="preserve"> RK, Singh VK</w:t>
      </w:r>
      <w:r w:rsidR="0010614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Sood</w:t>
      </w:r>
      <w:r w:rsidR="0010388F">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M. Study on genetic variability, heritability and correlation in pearl millets germplasm. </w:t>
      </w:r>
      <w:r w:rsidRPr="00106142">
        <w:rPr>
          <w:rFonts w:ascii="Arial" w:hAnsi="Arial" w:cs="Arial"/>
          <w:color w:val="222222"/>
          <w:sz w:val="20"/>
          <w:szCs w:val="20"/>
          <w:shd w:val="clear" w:color="auto" w:fill="FFFFFF"/>
        </w:rPr>
        <w:t>Journal of Pharmacognosy and Phytochemistry.</w:t>
      </w:r>
      <w:r w:rsidRPr="004869B8">
        <w:rPr>
          <w:rFonts w:ascii="Arial" w:hAnsi="Arial" w:cs="Arial"/>
          <w:color w:val="222222"/>
          <w:sz w:val="20"/>
          <w:szCs w:val="20"/>
          <w:shd w:val="clear" w:color="auto" w:fill="FFFFFF"/>
        </w:rPr>
        <w:t> </w:t>
      </w:r>
      <w:r w:rsidR="00106142">
        <w:rPr>
          <w:rFonts w:ascii="Arial" w:hAnsi="Arial" w:cs="Arial"/>
          <w:color w:val="222222"/>
          <w:sz w:val="20"/>
          <w:szCs w:val="20"/>
          <w:shd w:val="clear" w:color="auto" w:fill="FFFFFF"/>
        </w:rPr>
        <w:t>2018;</w:t>
      </w:r>
      <w:r w:rsidRPr="004869B8">
        <w:rPr>
          <w:rFonts w:ascii="Arial" w:hAnsi="Arial" w:cs="Arial"/>
          <w:color w:val="222222"/>
          <w:sz w:val="20"/>
          <w:szCs w:val="20"/>
          <w:shd w:val="clear" w:color="auto" w:fill="FFFFFF"/>
        </w:rPr>
        <w:t>7(6):1983-1987.</w:t>
      </w:r>
    </w:p>
    <w:p w14:paraId="5AFDFC35" w14:textId="3962F661"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Sharma R, Upadhyaya HD, Manjunatha SV, Rai KN, Gupta SK</w:t>
      </w:r>
      <w:r w:rsidR="0013655E">
        <w:rPr>
          <w:rFonts w:ascii="Arial" w:hAnsi="Arial" w:cs="Arial"/>
          <w:sz w:val="20"/>
          <w:szCs w:val="20"/>
        </w:rPr>
        <w:t xml:space="preserve">, </w:t>
      </w:r>
      <w:r w:rsidRPr="004869B8">
        <w:rPr>
          <w:rFonts w:ascii="Arial" w:hAnsi="Arial" w:cs="Arial"/>
          <w:sz w:val="20"/>
          <w:szCs w:val="20"/>
        </w:rPr>
        <w:t xml:space="preserve">Thakur, RP. Pathogenic variation in the pearl millet blast pathogen </w:t>
      </w:r>
      <w:proofErr w:type="spellStart"/>
      <w:r w:rsidRPr="004869B8">
        <w:rPr>
          <w:rFonts w:ascii="Arial" w:hAnsi="Arial" w:cs="Arial"/>
          <w:i/>
          <w:iCs/>
          <w:sz w:val="20"/>
          <w:szCs w:val="20"/>
        </w:rPr>
        <w:t>Magnaporthe</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and identification of resistance to diverse pathotypes. </w:t>
      </w:r>
      <w:r w:rsidRPr="0013655E">
        <w:rPr>
          <w:rFonts w:ascii="Arial" w:hAnsi="Arial" w:cs="Arial"/>
          <w:sz w:val="20"/>
          <w:szCs w:val="20"/>
        </w:rPr>
        <w:t>Plant Disease</w:t>
      </w:r>
      <w:r w:rsidRPr="004869B8">
        <w:rPr>
          <w:rFonts w:ascii="Arial" w:hAnsi="Arial" w:cs="Arial"/>
          <w:sz w:val="20"/>
          <w:szCs w:val="20"/>
        </w:rPr>
        <w:t xml:space="preserve">. </w:t>
      </w:r>
      <w:r w:rsidR="0013655E">
        <w:rPr>
          <w:rFonts w:ascii="Arial" w:hAnsi="Arial" w:cs="Arial"/>
          <w:sz w:val="20"/>
          <w:szCs w:val="20"/>
        </w:rPr>
        <w:t>2013;</w:t>
      </w:r>
      <w:r w:rsidRPr="004869B8">
        <w:rPr>
          <w:rFonts w:ascii="Arial" w:hAnsi="Arial" w:cs="Arial"/>
          <w:sz w:val="20"/>
          <w:szCs w:val="20"/>
        </w:rPr>
        <w:t>97:189–195.</w:t>
      </w:r>
    </w:p>
    <w:p w14:paraId="7FBE4AD2" w14:textId="24B4889F"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Shashibhushan D, Kumar CS</w:t>
      </w:r>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Kondi RKR.</w:t>
      </w:r>
      <w:r w:rsidR="00F81DB2">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Genetic parameters and association studies for yield and yield contributing traits in pearl millet cultivars</w:t>
      </w:r>
      <w:r w:rsidRPr="00F81DB2">
        <w:rPr>
          <w:rFonts w:ascii="Arial" w:hAnsi="Arial" w:cs="Arial"/>
          <w:color w:val="222222"/>
          <w:sz w:val="20"/>
          <w:szCs w:val="20"/>
          <w:shd w:val="clear" w:color="auto" w:fill="FFFFFF"/>
        </w:rPr>
        <w:t>. In Biol. Forum-Int. J</w:t>
      </w:r>
      <w:r w:rsidR="00F81DB2" w:rsidRPr="00F81DB2">
        <w:rPr>
          <w:rFonts w:ascii="Arial" w:hAnsi="Arial" w:cs="Arial"/>
          <w:color w:val="222222"/>
          <w:sz w:val="20"/>
          <w:szCs w:val="20"/>
          <w:shd w:val="clear" w:color="auto" w:fill="FFFFFF"/>
        </w:rPr>
        <w:t>.</w:t>
      </w:r>
      <w:r w:rsidR="00F81DB2">
        <w:rPr>
          <w:rFonts w:ascii="Arial" w:hAnsi="Arial" w:cs="Arial"/>
          <w:color w:val="222222"/>
          <w:sz w:val="20"/>
          <w:szCs w:val="20"/>
          <w:shd w:val="clear" w:color="auto" w:fill="FFFFFF"/>
        </w:rPr>
        <w:t xml:space="preserve"> 2022;</w:t>
      </w:r>
      <w:r w:rsidRPr="004869B8">
        <w:rPr>
          <w:rFonts w:ascii="Arial" w:hAnsi="Arial" w:cs="Arial"/>
          <w:color w:val="222222"/>
          <w:sz w:val="20"/>
          <w:szCs w:val="20"/>
          <w:shd w:val="clear" w:color="auto" w:fill="FFFFFF"/>
        </w:rPr>
        <w:t>14</w:t>
      </w:r>
      <w:r w:rsidR="00F81DB2">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416-421.</w:t>
      </w:r>
    </w:p>
    <w:p w14:paraId="4249474F" w14:textId="04A74D99"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 xml:space="preserve">Shobha Rani T, Sameer Kumar CV, </w:t>
      </w:r>
      <w:proofErr w:type="spellStart"/>
      <w:r w:rsidRPr="004869B8">
        <w:rPr>
          <w:rFonts w:ascii="Arial" w:hAnsi="Arial" w:cs="Arial"/>
          <w:color w:val="222222"/>
          <w:sz w:val="20"/>
          <w:szCs w:val="20"/>
          <w:shd w:val="clear" w:color="auto" w:fill="FFFFFF"/>
        </w:rPr>
        <w:t>Maheswaramma</w:t>
      </w:r>
      <w:proofErr w:type="spellEnd"/>
      <w:r w:rsidRPr="004869B8">
        <w:rPr>
          <w:rFonts w:ascii="Arial" w:hAnsi="Arial" w:cs="Arial"/>
          <w:color w:val="222222"/>
          <w:sz w:val="20"/>
          <w:szCs w:val="20"/>
          <w:shd w:val="clear" w:color="auto" w:fill="FFFFFF"/>
        </w:rPr>
        <w:t xml:space="preserve"> S, </w:t>
      </w:r>
      <w:proofErr w:type="spellStart"/>
      <w:r w:rsidRPr="004869B8">
        <w:rPr>
          <w:rFonts w:ascii="Arial" w:hAnsi="Arial" w:cs="Arial"/>
          <w:color w:val="222222"/>
          <w:sz w:val="20"/>
          <w:szCs w:val="20"/>
          <w:shd w:val="clear" w:color="auto" w:fill="FFFFFF"/>
        </w:rPr>
        <w:t>Parimal</w:t>
      </w:r>
      <w:proofErr w:type="spellEnd"/>
      <w:r w:rsidRPr="004869B8">
        <w:rPr>
          <w:rFonts w:ascii="Arial" w:hAnsi="Arial" w:cs="Arial"/>
          <w:color w:val="222222"/>
          <w:sz w:val="20"/>
          <w:szCs w:val="20"/>
          <w:shd w:val="clear" w:color="auto" w:fill="FFFFFF"/>
        </w:rPr>
        <w:t xml:space="preserve"> M, Anil Kumar G</w:t>
      </w:r>
      <w:r w:rsidR="00C42794">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Sravanthi K. Selection criteria for grain yield in pearl millet (</w:t>
      </w:r>
      <w:proofErr w:type="spellStart"/>
      <w:r w:rsidRPr="004869B8">
        <w:rPr>
          <w:rFonts w:ascii="Arial" w:hAnsi="Arial" w:cs="Arial"/>
          <w:i/>
          <w:iCs/>
          <w:color w:val="222222"/>
          <w:sz w:val="20"/>
          <w:szCs w:val="20"/>
          <w:shd w:val="clear" w:color="auto" w:fill="FFFFFF"/>
        </w:rPr>
        <w:t>Pennisetum</w:t>
      </w:r>
      <w:proofErr w:type="spellEnd"/>
      <w:r w:rsidRPr="004869B8">
        <w:rPr>
          <w:rFonts w:ascii="Arial" w:hAnsi="Arial" w:cs="Arial"/>
          <w:i/>
          <w:iCs/>
          <w:color w:val="222222"/>
          <w:sz w:val="20"/>
          <w:szCs w:val="20"/>
          <w:shd w:val="clear" w:color="auto" w:fill="FFFFFF"/>
        </w:rPr>
        <w:t xml:space="preserve"> </w:t>
      </w:r>
      <w:proofErr w:type="spellStart"/>
      <w:r w:rsidRPr="004869B8">
        <w:rPr>
          <w:rFonts w:ascii="Arial" w:hAnsi="Arial" w:cs="Arial"/>
          <w:i/>
          <w:iCs/>
          <w:color w:val="222222"/>
          <w:sz w:val="20"/>
          <w:szCs w:val="20"/>
          <w:shd w:val="clear" w:color="auto" w:fill="FFFFFF"/>
        </w:rPr>
        <w:t>glaucam</w:t>
      </w:r>
      <w:proofErr w:type="spellEnd"/>
      <w:r w:rsidRPr="004869B8">
        <w:rPr>
          <w:rFonts w:ascii="Arial" w:hAnsi="Arial" w:cs="Arial"/>
          <w:i/>
          <w:iCs/>
          <w:color w:val="222222"/>
          <w:sz w:val="20"/>
          <w:szCs w:val="20"/>
          <w:shd w:val="clear" w:color="auto" w:fill="FFFFFF"/>
        </w:rPr>
        <w:t xml:space="preserve"> </w:t>
      </w:r>
      <w:r w:rsidRPr="004869B8">
        <w:rPr>
          <w:rFonts w:ascii="Arial" w:hAnsi="Arial" w:cs="Arial"/>
          <w:color w:val="222222"/>
          <w:sz w:val="20"/>
          <w:szCs w:val="20"/>
          <w:shd w:val="clear" w:color="auto" w:fill="FFFFFF"/>
        </w:rPr>
        <w:t>L.) in association with yield contributing traits. </w:t>
      </w:r>
      <w:r w:rsidRPr="00CD1B38">
        <w:rPr>
          <w:rFonts w:ascii="Arial" w:hAnsi="Arial" w:cs="Arial"/>
          <w:color w:val="222222"/>
          <w:sz w:val="20"/>
          <w:szCs w:val="20"/>
          <w:shd w:val="clear" w:color="auto" w:fill="FFFFFF"/>
        </w:rPr>
        <w:t>International Journal of Pure &amp; Applied Bioscience.</w:t>
      </w:r>
      <w:r w:rsidR="00CD1B38">
        <w:rPr>
          <w:rFonts w:ascii="Arial" w:hAnsi="Arial" w:cs="Arial"/>
          <w:color w:val="222222"/>
          <w:sz w:val="20"/>
          <w:szCs w:val="20"/>
          <w:shd w:val="clear" w:color="auto" w:fill="FFFFFF"/>
        </w:rPr>
        <w:t xml:space="preserve"> 2019;</w:t>
      </w:r>
      <w:r w:rsidRPr="00CD1B38">
        <w:rPr>
          <w:rFonts w:ascii="Arial" w:hAnsi="Arial" w:cs="Arial"/>
          <w:color w:val="222222"/>
          <w:sz w:val="20"/>
          <w:szCs w:val="20"/>
          <w:shd w:val="clear" w:color="auto" w:fill="FFFFFF"/>
        </w:rPr>
        <w:t>7(3):</w:t>
      </w:r>
      <w:r w:rsidRPr="004869B8">
        <w:rPr>
          <w:rFonts w:ascii="Arial" w:hAnsi="Arial" w:cs="Arial"/>
          <w:color w:val="222222"/>
          <w:sz w:val="20"/>
          <w:szCs w:val="20"/>
          <w:shd w:val="clear" w:color="auto" w:fill="FFFFFF"/>
        </w:rPr>
        <w:t>257-262.</w:t>
      </w:r>
    </w:p>
    <w:p w14:paraId="104186A2" w14:textId="4E0D702A"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r w:rsidRPr="004869B8">
        <w:rPr>
          <w:rFonts w:ascii="Arial" w:hAnsi="Arial" w:cs="Arial"/>
          <w:color w:val="222222"/>
          <w:sz w:val="20"/>
          <w:szCs w:val="20"/>
          <w:shd w:val="clear" w:color="auto" w:fill="FFFFFF"/>
        </w:rPr>
        <w:t>Singh</w:t>
      </w:r>
      <w:r w:rsidR="004023BA">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B, Upadhyay PK</w:t>
      </w:r>
      <w:r w:rsidR="004023BA">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Sharma KC. Genetic variability, correlation and path analysis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4023BA">
        <w:rPr>
          <w:rFonts w:ascii="Arial" w:hAnsi="Arial" w:cs="Arial"/>
          <w:color w:val="222222"/>
          <w:sz w:val="20"/>
          <w:szCs w:val="20"/>
          <w:shd w:val="clear" w:color="auto" w:fill="FFFFFF"/>
        </w:rPr>
        <w:t>Indian Research Journal of Genetics and Biotechnology.</w:t>
      </w:r>
      <w:r w:rsidRPr="004869B8">
        <w:rPr>
          <w:rFonts w:ascii="Arial" w:hAnsi="Arial" w:cs="Arial"/>
          <w:color w:val="222222"/>
          <w:sz w:val="20"/>
          <w:szCs w:val="20"/>
          <w:shd w:val="clear" w:color="auto" w:fill="FFFFFF"/>
        </w:rPr>
        <w:t> </w:t>
      </w:r>
      <w:r w:rsidR="004023BA">
        <w:rPr>
          <w:rFonts w:ascii="Arial" w:hAnsi="Arial" w:cs="Arial"/>
          <w:color w:val="222222"/>
          <w:sz w:val="20"/>
          <w:szCs w:val="20"/>
          <w:shd w:val="clear" w:color="auto" w:fill="FFFFFF"/>
        </w:rPr>
        <w:t>2014;</w:t>
      </w:r>
      <w:r w:rsidRPr="004869B8">
        <w:rPr>
          <w:rFonts w:ascii="Arial" w:hAnsi="Arial" w:cs="Arial"/>
          <w:color w:val="222222"/>
          <w:sz w:val="20"/>
          <w:szCs w:val="20"/>
          <w:shd w:val="clear" w:color="auto" w:fill="FFFFFF"/>
        </w:rPr>
        <w:t>6(4):605-612.</w:t>
      </w:r>
    </w:p>
    <w:p w14:paraId="3CD69BAA" w14:textId="7E9CD8E5"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Singh J</w:t>
      </w:r>
      <w:r w:rsidR="00F25A51">
        <w:rPr>
          <w:rFonts w:ascii="Arial" w:hAnsi="Arial" w:cs="Arial"/>
          <w:sz w:val="20"/>
          <w:szCs w:val="20"/>
        </w:rPr>
        <w:t>,</w:t>
      </w:r>
      <w:r w:rsidRPr="004869B8">
        <w:rPr>
          <w:rFonts w:ascii="Arial" w:hAnsi="Arial" w:cs="Arial"/>
          <w:sz w:val="20"/>
          <w:szCs w:val="20"/>
        </w:rPr>
        <w:t xml:space="preserve"> Chhabra AK. Genetic variability and character association in advanced inbred lines of pearl millet under optimal and drought condition.</w:t>
      </w:r>
      <w:r w:rsidR="00F25A51">
        <w:rPr>
          <w:rFonts w:ascii="Arial" w:hAnsi="Arial" w:cs="Arial"/>
          <w:sz w:val="20"/>
          <w:szCs w:val="20"/>
        </w:rPr>
        <w:t xml:space="preserve"> </w:t>
      </w:r>
      <w:r w:rsidRPr="00F25A51">
        <w:rPr>
          <w:rFonts w:ascii="Arial" w:hAnsi="Arial" w:cs="Arial"/>
          <w:sz w:val="20"/>
          <w:szCs w:val="20"/>
        </w:rPr>
        <w:t>Ekin Journal of Crop Breeding and Genetics.</w:t>
      </w:r>
      <w:r w:rsidR="00F25A51">
        <w:rPr>
          <w:rFonts w:ascii="Arial" w:hAnsi="Arial" w:cs="Arial"/>
          <w:sz w:val="20"/>
          <w:szCs w:val="20"/>
        </w:rPr>
        <w:t xml:space="preserve"> 2018;</w:t>
      </w:r>
      <w:r w:rsidRPr="004869B8">
        <w:rPr>
          <w:rFonts w:ascii="Arial" w:hAnsi="Arial" w:cs="Arial"/>
          <w:sz w:val="20"/>
          <w:szCs w:val="20"/>
        </w:rPr>
        <w:t>4(2):45-51.</w:t>
      </w:r>
    </w:p>
    <w:p w14:paraId="101EA60C" w14:textId="4F5C664A"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Singh S, Yadav YP, Yadav HP, Vart DEV</w:t>
      </w:r>
      <w:r w:rsidR="004F620D">
        <w:rPr>
          <w:rFonts w:ascii="Arial" w:hAnsi="Arial" w:cs="Arial"/>
          <w:sz w:val="20"/>
          <w:szCs w:val="20"/>
        </w:rPr>
        <w:t xml:space="preserve">, </w:t>
      </w:r>
      <w:r w:rsidRPr="004869B8">
        <w:rPr>
          <w:rFonts w:ascii="Arial" w:hAnsi="Arial" w:cs="Arial"/>
          <w:sz w:val="20"/>
          <w:szCs w:val="20"/>
        </w:rPr>
        <w:t>Yadav, N. Studies on genetic variability and trait association for grain yield and its components in pearl millet [</w:t>
      </w:r>
      <w:r w:rsidRPr="004869B8">
        <w:rPr>
          <w:rFonts w:ascii="Arial" w:hAnsi="Arial" w:cs="Arial"/>
          <w:i/>
          <w:iCs/>
          <w:sz w:val="20"/>
          <w:szCs w:val="20"/>
        </w:rPr>
        <w:t>Pennisetum glaucum</w:t>
      </w:r>
      <w:r w:rsidRPr="004869B8">
        <w:rPr>
          <w:rFonts w:ascii="Arial" w:hAnsi="Arial" w:cs="Arial"/>
          <w:sz w:val="20"/>
          <w:szCs w:val="20"/>
        </w:rPr>
        <w:t xml:space="preserve"> (L.) R. Br.]. </w:t>
      </w:r>
      <w:r w:rsidRPr="004F620D">
        <w:rPr>
          <w:rFonts w:ascii="Arial" w:hAnsi="Arial" w:cs="Arial"/>
          <w:sz w:val="20"/>
          <w:szCs w:val="20"/>
        </w:rPr>
        <w:t>Forage Research.</w:t>
      </w:r>
      <w:r w:rsidR="004F620D">
        <w:rPr>
          <w:rFonts w:ascii="Arial" w:hAnsi="Arial" w:cs="Arial"/>
          <w:sz w:val="20"/>
          <w:szCs w:val="20"/>
        </w:rPr>
        <w:t xml:space="preserve"> 2014;</w:t>
      </w:r>
      <w:r w:rsidRPr="004F620D">
        <w:rPr>
          <w:rFonts w:ascii="Arial" w:hAnsi="Arial" w:cs="Arial"/>
          <w:sz w:val="20"/>
          <w:szCs w:val="20"/>
        </w:rPr>
        <w:t>40(2):</w:t>
      </w:r>
      <w:r w:rsidRPr="004869B8">
        <w:rPr>
          <w:rFonts w:ascii="Arial" w:hAnsi="Arial" w:cs="Arial"/>
          <w:sz w:val="20"/>
          <w:szCs w:val="20"/>
        </w:rPr>
        <w:t>91-94.</w:t>
      </w:r>
    </w:p>
    <w:p w14:paraId="02D4D34F" w14:textId="6A81139B" w:rsidR="00D53B4F" w:rsidRPr="004869B8" w:rsidRDefault="00D53B4F" w:rsidP="00D53B4F">
      <w:pPr>
        <w:spacing w:line="240" w:lineRule="atLeast"/>
        <w:ind w:left="720" w:hanging="720"/>
        <w:jc w:val="both"/>
        <w:rPr>
          <w:rFonts w:ascii="Arial" w:hAnsi="Arial" w:cs="Arial"/>
          <w:sz w:val="20"/>
          <w:szCs w:val="20"/>
        </w:rPr>
      </w:pPr>
      <w:r w:rsidRPr="004869B8">
        <w:rPr>
          <w:rFonts w:ascii="Arial" w:hAnsi="Arial" w:cs="Arial"/>
          <w:sz w:val="20"/>
          <w:szCs w:val="20"/>
        </w:rPr>
        <w:t>Subedi S, Neupane S, Neupane P</w:t>
      </w:r>
      <w:r w:rsidR="00504EAD">
        <w:rPr>
          <w:rFonts w:ascii="Arial" w:hAnsi="Arial" w:cs="Arial"/>
          <w:sz w:val="20"/>
          <w:szCs w:val="20"/>
        </w:rPr>
        <w:t xml:space="preserve">, </w:t>
      </w:r>
      <w:r w:rsidRPr="004869B8">
        <w:rPr>
          <w:rFonts w:ascii="Arial" w:hAnsi="Arial" w:cs="Arial"/>
          <w:sz w:val="20"/>
          <w:szCs w:val="20"/>
        </w:rPr>
        <w:t xml:space="preserve">Shrestha J. Assessment of Proso millet genotypes against blast caused by </w:t>
      </w:r>
      <w:proofErr w:type="spellStart"/>
      <w:r w:rsidRPr="004869B8">
        <w:rPr>
          <w:rFonts w:ascii="Arial" w:hAnsi="Arial" w:cs="Arial"/>
          <w:i/>
          <w:iCs/>
          <w:sz w:val="20"/>
          <w:szCs w:val="20"/>
        </w:rPr>
        <w:t>Pyricularia</w:t>
      </w:r>
      <w:proofErr w:type="spellEnd"/>
      <w:r w:rsidRPr="004869B8">
        <w:rPr>
          <w:rFonts w:ascii="Arial" w:hAnsi="Arial" w:cs="Arial"/>
          <w:i/>
          <w:iCs/>
          <w:sz w:val="20"/>
          <w:szCs w:val="20"/>
        </w:rPr>
        <w:t xml:space="preserve"> </w:t>
      </w:r>
      <w:proofErr w:type="spellStart"/>
      <w:r w:rsidRPr="004869B8">
        <w:rPr>
          <w:rFonts w:ascii="Arial" w:hAnsi="Arial" w:cs="Arial"/>
          <w:i/>
          <w:iCs/>
          <w:sz w:val="20"/>
          <w:szCs w:val="20"/>
        </w:rPr>
        <w:t>grisea</w:t>
      </w:r>
      <w:proofErr w:type="spellEnd"/>
      <w:r w:rsidRPr="004869B8">
        <w:rPr>
          <w:rFonts w:ascii="Arial" w:hAnsi="Arial" w:cs="Arial"/>
          <w:sz w:val="20"/>
          <w:szCs w:val="20"/>
        </w:rPr>
        <w:t xml:space="preserve"> (</w:t>
      </w:r>
      <w:proofErr w:type="spellStart"/>
      <w:r w:rsidRPr="004869B8">
        <w:rPr>
          <w:rFonts w:ascii="Arial" w:hAnsi="Arial" w:cs="Arial"/>
          <w:sz w:val="20"/>
          <w:szCs w:val="20"/>
        </w:rPr>
        <w:t>cooke</w:t>
      </w:r>
      <w:proofErr w:type="spellEnd"/>
      <w:r w:rsidRPr="004869B8">
        <w:rPr>
          <w:rFonts w:ascii="Arial" w:hAnsi="Arial" w:cs="Arial"/>
          <w:sz w:val="20"/>
          <w:szCs w:val="20"/>
        </w:rPr>
        <w:t xml:space="preserve">) </w:t>
      </w:r>
      <w:proofErr w:type="spellStart"/>
      <w:r w:rsidRPr="004869B8">
        <w:rPr>
          <w:rFonts w:ascii="Arial" w:hAnsi="Arial" w:cs="Arial"/>
          <w:sz w:val="20"/>
          <w:szCs w:val="20"/>
        </w:rPr>
        <w:t>sacc</w:t>
      </w:r>
      <w:proofErr w:type="spellEnd"/>
      <w:r w:rsidRPr="004869B8">
        <w:rPr>
          <w:rFonts w:ascii="Arial" w:hAnsi="Arial" w:cs="Arial"/>
          <w:sz w:val="20"/>
          <w:szCs w:val="20"/>
        </w:rPr>
        <w:t xml:space="preserve">. under field condition at mid hill region of Nepal. </w:t>
      </w:r>
      <w:r w:rsidRPr="00504EAD">
        <w:rPr>
          <w:rFonts w:ascii="Arial" w:hAnsi="Arial" w:cs="Arial"/>
          <w:sz w:val="20"/>
          <w:szCs w:val="20"/>
        </w:rPr>
        <w:t>Journal of Nepal Agricultural Research Council.</w:t>
      </w:r>
      <w:r w:rsidRPr="004869B8">
        <w:rPr>
          <w:rFonts w:ascii="Arial" w:hAnsi="Arial" w:cs="Arial"/>
          <w:sz w:val="20"/>
          <w:szCs w:val="20"/>
        </w:rPr>
        <w:t xml:space="preserve"> </w:t>
      </w:r>
      <w:r w:rsidR="00504EAD">
        <w:rPr>
          <w:rFonts w:ascii="Arial" w:hAnsi="Arial" w:cs="Arial"/>
          <w:sz w:val="20"/>
          <w:szCs w:val="20"/>
        </w:rPr>
        <w:t>2022;</w:t>
      </w:r>
      <w:r w:rsidRPr="004869B8">
        <w:rPr>
          <w:rFonts w:ascii="Arial" w:hAnsi="Arial" w:cs="Arial"/>
          <w:sz w:val="20"/>
          <w:szCs w:val="20"/>
        </w:rPr>
        <w:t>8:27-34.</w:t>
      </w:r>
    </w:p>
    <w:p w14:paraId="39BB32F9" w14:textId="551AF3B1" w:rsidR="00D53B4F" w:rsidRPr="004869B8" w:rsidRDefault="00D53B4F" w:rsidP="00D53B4F">
      <w:pPr>
        <w:spacing w:line="240" w:lineRule="atLeast"/>
        <w:ind w:left="720" w:hanging="720"/>
        <w:jc w:val="both"/>
        <w:rPr>
          <w:rFonts w:ascii="Arial" w:hAnsi="Arial" w:cs="Arial"/>
          <w:color w:val="222222"/>
          <w:sz w:val="20"/>
          <w:szCs w:val="20"/>
          <w:shd w:val="clear" w:color="auto" w:fill="FFFFFF"/>
        </w:rPr>
      </w:pPr>
      <w:proofErr w:type="spellStart"/>
      <w:r w:rsidRPr="004869B8">
        <w:rPr>
          <w:rFonts w:ascii="Arial" w:hAnsi="Arial" w:cs="Arial"/>
          <w:color w:val="222222"/>
          <w:sz w:val="20"/>
          <w:szCs w:val="20"/>
          <w:shd w:val="clear" w:color="auto" w:fill="FFFFFF"/>
        </w:rPr>
        <w:t>Vetriventhan</w:t>
      </w:r>
      <w:proofErr w:type="spellEnd"/>
      <w:r w:rsidR="00B91121">
        <w:rPr>
          <w:rFonts w:ascii="Arial" w:hAnsi="Arial" w:cs="Arial"/>
          <w:color w:val="222222"/>
          <w:sz w:val="20"/>
          <w:szCs w:val="20"/>
          <w:shd w:val="clear" w:color="auto" w:fill="FFFFFF"/>
        </w:rPr>
        <w:t xml:space="preserve"> </w:t>
      </w:r>
      <w:r w:rsidRPr="004869B8">
        <w:rPr>
          <w:rFonts w:ascii="Arial" w:hAnsi="Arial" w:cs="Arial"/>
          <w:color w:val="222222"/>
          <w:sz w:val="20"/>
          <w:szCs w:val="20"/>
          <w:shd w:val="clear" w:color="auto" w:fill="FFFFFF"/>
        </w:rPr>
        <w:t>M</w:t>
      </w:r>
      <w:r w:rsidR="0030525F">
        <w:rPr>
          <w:rFonts w:ascii="Arial" w:hAnsi="Arial" w:cs="Arial"/>
          <w:color w:val="222222"/>
          <w:sz w:val="20"/>
          <w:szCs w:val="20"/>
          <w:shd w:val="clear" w:color="auto" w:fill="FFFFFF"/>
        </w:rPr>
        <w:t>,</w:t>
      </w:r>
      <w:r w:rsidRPr="004869B8">
        <w:rPr>
          <w:rFonts w:ascii="Arial" w:hAnsi="Arial" w:cs="Arial"/>
          <w:color w:val="222222"/>
          <w:sz w:val="20"/>
          <w:szCs w:val="20"/>
          <w:shd w:val="clear" w:color="auto" w:fill="FFFFFF"/>
        </w:rPr>
        <w:t xml:space="preserve"> </w:t>
      </w:r>
      <w:proofErr w:type="spellStart"/>
      <w:r w:rsidRPr="004869B8">
        <w:rPr>
          <w:rFonts w:ascii="Arial" w:hAnsi="Arial" w:cs="Arial"/>
          <w:color w:val="222222"/>
          <w:sz w:val="20"/>
          <w:szCs w:val="20"/>
          <w:shd w:val="clear" w:color="auto" w:fill="FFFFFF"/>
        </w:rPr>
        <w:t>Nirmalakumari</w:t>
      </w:r>
      <w:proofErr w:type="spellEnd"/>
      <w:r w:rsidRPr="004869B8">
        <w:rPr>
          <w:rFonts w:ascii="Arial" w:hAnsi="Arial" w:cs="Arial"/>
          <w:color w:val="222222"/>
          <w:sz w:val="20"/>
          <w:szCs w:val="20"/>
          <w:shd w:val="clear" w:color="auto" w:fill="FFFFFF"/>
        </w:rPr>
        <w:t xml:space="preserve"> A. Studies on variability parameters in pearl millet (</w:t>
      </w:r>
      <w:r w:rsidRPr="004869B8">
        <w:rPr>
          <w:rFonts w:ascii="Arial" w:hAnsi="Arial" w:cs="Arial"/>
          <w:i/>
          <w:iCs/>
          <w:color w:val="222222"/>
          <w:sz w:val="20"/>
          <w:szCs w:val="20"/>
          <w:shd w:val="clear" w:color="auto" w:fill="FFFFFF"/>
        </w:rPr>
        <w:t>Pennisetum glaucum</w:t>
      </w:r>
      <w:r w:rsidRPr="004869B8">
        <w:rPr>
          <w:rFonts w:ascii="Arial" w:hAnsi="Arial" w:cs="Arial"/>
          <w:color w:val="222222"/>
          <w:sz w:val="20"/>
          <w:szCs w:val="20"/>
          <w:shd w:val="clear" w:color="auto" w:fill="FFFFFF"/>
        </w:rPr>
        <w:t xml:space="preserve"> (L.) R. Br.). </w:t>
      </w:r>
      <w:r w:rsidRPr="0030525F">
        <w:rPr>
          <w:rFonts w:ascii="Arial" w:hAnsi="Arial" w:cs="Arial"/>
          <w:color w:val="222222"/>
          <w:sz w:val="20"/>
          <w:szCs w:val="20"/>
          <w:shd w:val="clear" w:color="auto" w:fill="FFFFFF"/>
        </w:rPr>
        <w:t>Madras Agricultural Journal</w:t>
      </w:r>
      <w:r w:rsidRPr="004869B8">
        <w:rPr>
          <w:rFonts w:ascii="Arial" w:hAnsi="Arial" w:cs="Arial"/>
          <w:color w:val="222222"/>
          <w:sz w:val="20"/>
          <w:szCs w:val="20"/>
          <w:shd w:val="clear" w:color="auto" w:fill="FFFFFF"/>
        </w:rPr>
        <w:t xml:space="preserve">. </w:t>
      </w:r>
      <w:r w:rsidR="0030525F">
        <w:rPr>
          <w:rFonts w:ascii="Arial" w:hAnsi="Arial" w:cs="Arial"/>
          <w:color w:val="222222"/>
          <w:sz w:val="20"/>
          <w:szCs w:val="20"/>
          <w:shd w:val="clear" w:color="auto" w:fill="FFFFFF"/>
        </w:rPr>
        <w:t>2007;</w:t>
      </w:r>
      <w:r w:rsidRPr="004869B8">
        <w:rPr>
          <w:rFonts w:ascii="Arial" w:hAnsi="Arial" w:cs="Arial"/>
          <w:color w:val="222222"/>
          <w:sz w:val="20"/>
          <w:szCs w:val="20"/>
          <w:shd w:val="clear" w:color="auto" w:fill="FFFFFF"/>
        </w:rPr>
        <w:t>94:1-6.</w:t>
      </w:r>
    </w:p>
    <w:p w14:paraId="61A8C022" w14:textId="77777777" w:rsidR="00BE2630" w:rsidRPr="004869B8" w:rsidRDefault="00BE2630" w:rsidP="00075186">
      <w:pPr>
        <w:spacing w:line="240" w:lineRule="auto"/>
        <w:jc w:val="both"/>
        <w:rPr>
          <w:rFonts w:ascii="Arial" w:hAnsi="Arial" w:cs="Arial"/>
          <w:sz w:val="20"/>
          <w:szCs w:val="20"/>
        </w:rPr>
      </w:pPr>
    </w:p>
    <w:p w14:paraId="77D6C1E2" w14:textId="77777777" w:rsidR="00294854" w:rsidRPr="004869B8" w:rsidRDefault="00294854">
      <w:pPr>
        <w:rPr>
          <w:rFonts w:ascii="Arial" w:hAnsi="Arial" w:cs="Arial"/>
          <w:sz w:val="20"/>
          <w:szCs w:val="20"/>
        </w:rPr>
      </w:pPr>
    </w:p>
    <w:sectPr w:rsidR="00294854" w:rsidRPr="004869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4-09-16T23:58:00Z" w:initials="MF">
    <w:p w14:paraId="734DBDFF" w14:textId="77777777" w:rsidR="00084E94" w:rsidRPr="00084E94" w:rsidRDefault="00084E94" w:rsidP="00084E94">
      <w:pPr>
        <w:pStyle w:val="CommentText"/>
        <w:rPr>
          <w:rFonts w:ascii="Calibri" w:eastAsia="Calibri" w:hAnsi="Calibri" w:cs="Mangal"/>
          <w:rtl/>
          <w:lang w:val="en-IN" w:bidi="ar-IQ"/>
          <w14:ligatures w14:val="standardContextual"/>
        </w:rPr>
      </w:pPr>
      <w:r>
        <w:rPr>
          <w:rStyle w:val="CommentReference"/>
        </w:rPr>
        <w:annotationRef/>
      </w:r>
      <w:r w:rsidRPr="00084E94">
        <w:rPr>
          <w:rFonts w:ascii="Calibri" w:eastAsia="Calibri" w:hAnsi="Calibri" w:cs="Mangal"/>
          <w:lang w:val="nb-NO"/>
          <w14:ligatures w14:val="standardContextual"/>
        </w:rPr>
        <w:t>Arrange sources according to the journal system</w:t>
      </w:r>
    </w:p>
    <w:p w14:paraId="087ED547" w14:textId="77777777" w:rsidR="00084E94" w:rsidRPr="00084E94" w:rsidRDefault="00084E94" w:rsidP="00084E94">
      <w:pPr>
        <w:spacing w:line="240" w:lineRule="auto"/>
        <w:rPr>
          <w:rFonts w:ascii="Calibri" w:eastAsia="Calibri" w:hAnsi="Calibri" w:cs="Mangal"/>
          <w:sz w:val="20"/>
          <w:szCs w:val="20"/>
          <w:lang w:val="nb-NO"/>
          <w14:ligatures w14:val="standardContextual"/>
        </w:rPr>
      </w:pPr>
      <w:r w:rsidRPr="00084E94">
        <w:rPr>
          <w:rFonts w:ascii="Calibri" w:eastAsia="Calibri" w:hAnsi="Calibri" w:cs="Mangal"/>
          <w:sz w:val="20"/>
          <w:szCs w:val="20"/>
          <w14:ligatures w14:val="standardContextual"/>
        </w:rPr>
        <w:t>Rewrite the sources well please</w:t>
      </w:r>
    </w:p>
    <w:p w14:paraId="04C8BF04" w14:textId="77777777" w:rsidR="00084E94" w:rsidRPr="00084E94" w:rsidRDefault="00084E94" w:rsidP="00084E94">
      <w:pPr>
        <w:spacing w:line="240" w:lineRule="auto"/>
        <w:rPr>
          <w:rFonts w:ascii="Calibri" w:eastAsia="Calibri" w:hAnsi="Calibri" w:cs="Mangal"/>
          <w:sz w:val="20"/>
          <w:szCs w:val="20"/>
          <w:lang w:val="x-none"/>
          <w14:ligatures w14:val="standardContextual"/>
        </w:rPr>
      </w:pPr>
    </w:p>
    <w:p w14:paraId="5A437497" w14:textId="68DCA25D" w:rsidR="00084E94" w:rsidRDefault="00084E94">
      <w:pPr>
        <w:pStyle w:val="CommentText"/>
      </w:pP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5AE0" w14:textId="77777777" w:rsidR="00593649" w:rsidRDefault="00593649" w:rsidP="009B3D87">
      <w:pPr>
        <w:spacing w:after="0" w:line="240" w:lineRule="auto"/>
      </w:pPr>
      <w:r>
        <w:separator/>
      </w:r>
    </w:p>
  </w:endnote>
  <w:endnote w:type="continuationSeparator" w:id="0">
    <w:p w14:paraId="22A2AE7F" w14:textId="77777777" w:rsidR="00593649" w:rsidRDefault="00593649" w:rsidP="009B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6A1E2" w14:textId="77777777" w:rsidR="00F623BA" w:rsidRDefault="00F62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46BA7" w14:textId="77777777" w:rsidR="00F623BA" w:rsidRDefault="00F62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0ED7E" w14:textId="77777777" w:rsidR="00F623BA" w:rsidRDefault="00F62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76125" w14:textId="77777777" w:rsidR="00593649" w:rsidRDefault="00593649" w:rsidP="009B3D87">
      <w:pPr>
        <w:spacing w:after="0" w:line="240" w:lineRule="auto"/>
      </w:pPr>
      <w:r>
        <w:separator/>
      </w:r>
    </w:p>
  </w:footnote>
  <w:footnote w:type="continuationSeparator" w:id="0">
    <w:p w14:paraId="48862927" w14:textId="77777777" w:rsidR="00593649" w:rsidRDefault="00593649" w:rsidP="009B3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8F7B2" w14:textId="40C6C65E" w:rsidR="00F623BA" w:rsidRDefault="00593649">
    <w:pPr>
      <w:pStyle w:val="Header"/>
    </w:pPr>
    <w:r>
      <w:rPr>
        <w:noProof/>
      </w:rPr>
      <w:pict w14:anchorId="1EFB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FF667" w14:textId="17B441D8" w:rsidR="00F623BA" w:rsidRDefault="00593649">
    <w:pPr>
      <w:pStyle w:val="Header"/>
    </w:pPr>
    <w:r>
      <w:rPr>
        <w:noProof/>
      </w:rPr>
      <w:pict w14:anchorId="07A31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66A5A" w14:textId="0BD71DF1" w:rsidR="00F623BA" w:rsidRDefault="00593649">
    <w:pPr>
      <w:pStyle w:val="Header"/>
    </w:pPr>
    <w:r>
      <w:rPr>
        <w:noProof/>
      </w:rPr>
      <w:pict w14:anchorId="6CA4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0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7B8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FD3F31"/>
    <w:multiLevelType w:val="hybridMultilevel"/>
    <w:tmpl w:val="DADA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474DD"/>
    <w:multiLevelType w:val="multilevel"/>
    <w:tmpl w:val="AE8256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0762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F387DAB"/>
    <w:multiLevelType w:val="multilevel"/>
    <w:tmpl w:val="FFFFFFFF"/>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11D449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2C23D55"/>
    <w:multiLevelType w:val="hybridMultilevel"/>
    <w:tmpl w:val="0E02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F09AC"/>
    <w:multiLevelType w:val="multilevel"/>
    <w:tmpl w:val="73F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35F2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F6407DF"/>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0453890"/>
    <w:multiLevelType w:val="hybridMultilevel"/>
    <w:tmpl w:val="F6C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47D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A0FA6"/>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ED734C1"/>
    <w:multiLevelType w:val="hybridMultilevel"/>
    <w:tmpl w:val="DDFED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33E6A"/>
    <w:multiLevelType w:val="multilevel"/>
    <w:tmpl w:val="FFFFFFFF"/>
    <w:styleLink w:val="CurrentList1"/>
    <w:lvl w:ilvl="0">
      <w:start w:val="3"/>
      <w:numFmt w:val="decimal"/>
      <w:lvlText w:val="%1."/>
      <w:lvlJc w:val="left"/>
      <w:pPr>
        <w:ind w:left="540" w:hanging="540"/>
      </w:pPr>
      <w:rPr>
        <w:rFonts w:cs="Times New Roman" w:hint="default"/>
        <w:b/>
      </w:rPr>
    </w:lvl>
    <w:lvl w:ilvl="1">
      <w:start w:val="1"/>
      <w:numFmt w:val="decimal"/>
      <w:lvlText w:val="%1.%2."/>
      <w:lvlJc w:val="left"/>
      <w:pPr>
        <w:ind w:left="900" w:hanging="540"/>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5">
    <w:nsid w:val="31D91515"/>
    <w:multiLevelType w:val="multilevel"/>
    <w:tmpl w:val="FFFFFFFF"/>
    <w:lvl w:ilvl="0">
      <w:start w:val="3"/>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8A26222"/>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3A7275BD"/>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B404B28"/>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3C1A79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24548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1995422"/>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1260" w:hanging="540"/>
      </w:pPr>
      <w:rPr>
        <w:rFonts w:cs="Times New Roman" w:hint="default"/>
      </w:rPr>
    </w:lvl>
    <w:lvl w:ilvl="2">
      <w:start w:val="6"/>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421E49E3"/>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2A15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203701"/>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48CB54C7"/>
    <w:multiLevelType w:val="multilevel"/>
    <w:tmpl w:val="4E601C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9DB1EAB"/>
    <w:multiLevelType w:val="multilevel"/>
    <w:tmpl w:val="FFFFFFFF"/>
    <w:lvl w:ilvl="0">
      <w:start w:val="3"/>
      <w:numFmt w:val="decimal"/>
      <w:lvlText w:val="%1."/>
      <w:lvlJc w:val="left"/>
      <w:pPr>
        <w:ind w:left="540" w:hanging="540"/>
      </w:pPr>
      <w:rPr>
        <w:rFonts w:cs="Times New Roman" w:hint="default"/>
        <w:b/>
      </w:rPr>
    </w:lvl>
    <w:lvl w:ilvl="1">
      <w:start w:val="1"/>
      <w:numFmt w:val="decimal"/>
      <w:lvlText w:val="%1.%2."/>
      <w:lvlJc w:val="left"/>
      <w:pPr>
        <w:ind w:left="900" w:hanging="540"/>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7">
    <w:nsid w:val="5CDF15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C2246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B864E1B"/>
    <w:multiLevelType w:val="multilevel"/>
    <w:tmpl w:val="FFFFFFFF"/>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E8A753D"/>
    <w:multiLevelType w:val="multilevel"/>
    <w:tmpl w:val="FFFFFFFF"/>
    <w:lvl w:ilvl="0">
      <w:start w:val="3"/>
      <w:numFmt w:val="decimal"/>
      <w:lvlText w:val="%1"/>
      <w:lvlJc w:val="left"/>
      <w:pPr>
        <w:ind w:left="480" w:hanging="480"/>
      </w:pPr>
      <w:rPr>
        <w:rFonts w:cs="Times New Roman" w:hint="default"/>
      </w:rPr>
    </w:lvl>
    <w:lvl w:ilvl="1">
      <w:start w:val="3"/>
      <w:numFmt w:val="decimal"/>
      <w:lvlText w:val="%1.%2"/>
      <w:lvlJc w:val="left"/>
      <w:pPr>
        <w:ind w:left="750" w:hanging="48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31">
    <w:nsid w:val="719D60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893E8C"/>
    <w:multiLevelType w:val="hybridMultilevel"/>
    <w:tmpl w:val="5EA2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A637D"/>
    <w:multiLevelType w:val="multilevel"/>
    <w:tmpl w:val="FFFFFFFF"/>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74D844DF"/>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788C60C2"/>
    <w:multiLevelType w:val="multilevel"/>
    <w:tmpl w:val="DADA9AA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D1151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31"/>
  </w:num>
  <w:num w:numId="3">
    <w:abstractNumId w:val="19"/>
  </w:num>
  <w:num w:numId="4">
    <w:abstractNumId w:val="11"/>
  </w:num>
  <w:num w:numId="5">
    <w:abstractNumId w:val="27"/>
  </w:num>
  <w:num w:numId="6">
    <w:abstractNumId w:val="20"/>
  </w:num>
  <w:num w:numId="7">
    <w:abstractNumId w:val="3"/>
  </w:num>
  <w:num w:numId="8">
    <w:abstractNumId w:val="9"/>
  </w:num>
  <w:num w:numId="9">
    <w:abstractNumId w:val="16"/>
  </w:num>
  <w:num w:numId="10">
    <w:abstractNumId w:val="8"/>
  </w:num>
  <w:num w:numId="11">
    <w:abstractNumId w:val="34"/>
  </w:num>
  <w:num w:numId="12">
    <w:abstractNumId w:val="24"/>
  </w:num>
  <w:num w:numId="13">
    <w:abstractNumId w:val="18"/>
  </w:num>
  <w:num w:numId="14">
    <w:abstractNumId w:val="21"/>
  </w:num>
  <w:num w:numId="15">
    <w:abstractNumId w:val="12"/>
  </w:num>
  <w:num w:numId="16">
    <w:abstractNumId w:val="17"/>
  </w:num>
  <w:num w:numId="17">
    <w:abstractNumId w:val="5"/>
  </w:num>
  <w:num w:numId="18">
    <w:abstractNumId w:val="29"/>
  </w:num>
  <w:num w:numId="19">
    <w:abstractNumId w:val="26"/>
  </w:num>
  <w:num w:numId="20">
    <w:abstractNumId w:val="14"/>
  </w:num>
  <w:num w:numId="21">
    <w:abstractNumId w:val="22"/>
  </w:num>
  <w:num w:numId="22">
    <w:abstractNumId w:val="33"/>
  </w:num>
  <w:num w:numId="23">
    <w:abstractNumId w:val="30"/>
  </w:num>
  <w:num w:numId="24">
    <w:abstractNumId w:val="15"/>
  </w:num>
  <w:num w:numId="25">
    <w:abstractNumId w:val="4"/>
  </w:num>
  <w:num w:numId="26">
    <w:abstractNumId w:val="36"/>
  </w:num>
  <w:num w:numId="27">
    <w:abstractNumId w:val="28"/>
  </w:num>
  <w:num w:numId="28">
    <w:abstractNumId w:val="0"/>
  </w:num>
  <w:num w:numId="29">
    <w:abstractNumId w:val="7"/>
  </w:num>
  <w:num w:numId="30">
    <w:abstractNumId w:val="1"/>
  </w:num>
  <w:num w:numId="31">
    <w:abstractNumId w:val="35"/>
  </w:num>
  <w:num w:numId="32">
    <w:abstractNumId w:val="13"/>
  </w:num>
  <w:num w:numId="33">
    <w:abstractNumId w:val="6"/>
  </w:num>
  <w:num w:numId="34">
    <w:abstractNumId w:val="25"/>
  </w:num>
  <w:num w:numId="35">
    <w:abstractNumId w:val="32"/>
  </w:num>
  <w:num w:numId="36">
    <w:abstractNumId w:val="1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54"/>
    <w:rsid w:val="00005B01"/>
    <w:rsid w:val="000065BD"/>
    <w:rsid w:val="00030731"/>
    <w:rsid w:val="000356BC"/>
    <w:rsid w:val="00041CCB"/>
    <w:rsid w:val="00047067"/>
    <w:rsid w:val="0006418D"/>
    <w:rsid w:val="00067464"/>
    <w:rsid w:val="00075186"/>
    <w:rsid w:val="00084E94"/>
    <w:rsid w:val="000904F9"/>
    <w:rsid w:val="0009381D"/>
    <w:rsid w:val="000954D7"/>
    <w:rsid w:val="000A0EA1"/>
    <w:rsid w:val="000B0847"/>
    <w:rsid w:val="000B2F75"/>
    <w:rsid w:val="000B3C52"/>
    <w:rsid w:val="000C5FBC"/>
    <w:rsid w:val="000D3201"/>
    <w:rsid w:val="000E1024"/>
    <w:rsid w:val="000E2A3C"/>
    <w:rsid w:val="000E446E"/>
    <w:rsid w:val="000F4BB4"/>
    <w:rsid w:val="000F75FA"/>
    <w:rsid w:val="0010388F"/>
    <w:rsid w:val="0010604C"/>
    <w:rsid w:val="00106142"/>
    <w:rsid w:val="00106AF6"/>
    <w:rsid w:val="00115C13"/>
    <w:rsid w:val="00120762"/>
    <w:rsid w:val="00132649"/>
    <w:rsid w:val="001326E1"/>
    <w:rsid w:val="0013643D"/>
    <w:rsid w:val="0013655E"/>
    <w:rsid w:val="001365F1"/>
    <w:rsid w:val="00140A95"/>
    <w:rsid w:val="0014573F"/>
    <w:rsid w:val="00146DBF"/>
    <w:rsid w:val="00165EA2"/>
    <w:rsid w:val="00167175"/>
    <w:rsid w:val="001679CC"/>
    <w:rsid w:val="00190D8C"/>
    <w:rsid w:val="00191F95"/>
    <w:rsid w:val="00194FCE"/>
    <w:rsid w:val="00196F49"/>
    <w:rsid w:val="001B02A3"/>
    <w:rsid w:val="001B08B8"/>
    <w:rsid w:val="001B2E00"/>
    <w:rsid w:val="001C1768"/>
    <w:rsid w:val="001D0FF0"/>
    <w:rsid w:val="00202579"/>
    <w:rsid w:val="002157DF"/>
    <w:rsid w:val="00215A06"/>
    <w:rsid w:val="00223E58"/>
    <w:rsid w:val="002240F7"/>
    <w:rsid w:val="00231037"/>
    <w:rsid w:val="00250E9D"/>
    <w:rsid w:val="00251070"/>
    <w:rsid w:val="00252BBB"/>
    <w:rsid w:val="00254759"/>
    <w:rsid w:val="00266653"/>
    <w:rsid w:val="002678DE"/>
    <w:rsid w:val="00276039"/>
    <w:rsid w:val="00281542"/>
    <w:rsid w:val="002868CA"/>
    <w:rsid w:val="00291A28"/>
    <w:rsid w:val="00294854"/>
    <w:rsid w:val="002A2653"/>
    <w:rsid w:val="002A420D"/>
    <w:rsid w:val="002B5974"/>
    <w:rsid w:val="002B6E2B"/>
    <w:rsid w:val="002C2B9E"/>
    <w:rsid w:val="002D6DAE"/>
    <w:rsid w:val="002E3680"/>
    <w:rsid w:val="002F671B"/>
    <w:rsid w:val="003007C2"/>
    <w:rsid w:val="0030525F"/>
    <w:rsid w:val="0030539A"/>
    <w:rsid w:val="00313CDD"/>
    <w:rsid w:val="0031449F"/>
    <w:rsid w:val="00315528"/>
    <w:rsid w:val="003179E8"/>
    <w:rsid w:val="0035789B"/>
    <w:rsid w:val="00361AE6"/>
    <w:rsid w:val="00362962"/>
    <w:rsid w:val="00363264"/>
    <w:rsid w:val="0036732D"/>
    <w:rsid w:val="00373026"/>
    <w:rsid w:val="00377C41"/>
    <w:rsid w:val="003816DC"/>
    <w:rsid w:val="003A28E5"/>
    <w:rsid w:val="003B1D74"/>
    <w:rsid w:val="003E3388"/>
    <w:rsid w:val="003E4D49"/>
    <w:rsid w:val="003E50BA"/>
    <w:rsid w:val="003E52BF"/>
    <w:rsid w:val="003F55F7"/>
    <w:rsid w:val="004023BA"/>
    <w:rsid w:val="004064DE"/>
    <w:rsid w:val="00407A3F"/>
    <w:rsid w:val="00413300"/>
    <w:rsid w:val="004223B7"/>
    <w:rsid w:val="00423F3F"/>
    <w:rsid w:val="00425542"/>
    <w:rsid w:val="00426D67"/>
    <w:rsid w:val="00430874"/>
    <w:rsid w:val="00434AB3"/>
    <w:rsid w:val="004413F2"/>
    <w:rsid w:val="00441F9D"/>
    <w:rsid w:val="004462DC"/>
    <w:rsid w:val="00447F44"/>
    <w:rsid w:val="004523DE"/>
    <w:rsid w:val="0046576E"/>
    <w:rsid w:val="00471592"/>
    <w:rsid w:val="00482A5D"/>
    <w:rsid w:val="004869B8"/>
    <w:rsid w:val="00486FD3"/>
    <w:rsid w:val="00490B33"/>
    <w:rsid w:val="00490E80"/>
    <w:rsid w:val="00496A85"/>
    <w:rsid w:val="004A3DC5"/>
    <w:rsid w:val="004A5079"/>
    <w:rsid w:val="004B666D"/>
    <w:rsid w:val="004B77EF"/>
    <w:rsid w:val="004C3467"/>
    <w:rsid w:val="004C67CA"/>
    <w:rsid w:val="004D368E"/>
    <w:rsid w:val="004D743B"/>
    <w:rsid w:val="004E0544"/>
    <w:rsid w:val="004F24CA"/>
    <w:rsid w:val="004F2841"/>
    <w:rsid w:val="004F5026"/>
    <w:rsid w:val="004F620D"/>
    <w:rsid w:val="00501F26"/>
    <w:rsid w:val="00504EAD"/>
    <w:rsid w:val="00505527"/>
    <w:rsid w:val="005151DE"/>
    <w:rsid w:val="005345C1"/>
    <w:rsid w:val="00535F80"/>
    <w:rsid w:val="00543164"/>
    <w:rsid w:val="00574878"/>
    <w:rsid w:val="0057502D"/>
    <w:rsid w:val="00576E13"/>
    <w:rsid w:val="0058350C"/>
    <w:rsid w:val="0058735F"/>
    <w:rsid w:val="00593649"/>
    <w:rsid w:val="0059541E"/>
    <w:rsid w:val="005A2A09"/>
    <w:rsid w:val="005C3EF4"/>
    <w:rsid w:val="005D613E"/>
    <w:rsid w:val="005E1453"/>
    <w:rsid w:val="005E615A"/>
    <w:rsid w:val="006075C2"/>
    <w:rsid w:val="00607D3F"/>
    <w:rsid w:val="00631955"/>
    <w:rsid w:val="00640168"/>
    <w:rsid w:val="00641E49"/>
    <w:rsid w:val="006632E0"/>
    <w:rsid w:val="0067276F"/>
    <w:rsid w:val="006869ED"/>
    <w:rsid w:val="006945E2"/>
    <w:rsid w:val="006B304C"/>
    <w:rsid w:val="006B5D5C"/>
    <w:rsid w:val="006C0EFA"/>
    <w:rsid w:val="006C5A87"/>
    <w:rsid w:val="006D0764"/>
    <w:rsid w:val="006F2DF0"/>
    <w:rsid w:val="006F53D0"/>
    <w:rsid w:val="006F6B95"/>
    <w:rsid w:val="006F7312"/>
    <w:rsid w:val="00703CD9"/>
    <w:rsid w:val="00707B00"/>
    <w:rsid w:val="007108A0"/>
    <w:rsid w:val="00722704"/>
    <w:rsid w:val="00724965"/>
    <w:rsid w:val="00730897"/>
    <w:rsid w:val="007354B2"/>
    <w:rsid w:val="0074190C"/>
    <w:rsid w:val="007528F1"/>
    <w:rsid w:val="00775782"/>
    <w:rsid w:val="00776942"/>
    <w:rsid w:val="0077780C"/>
    <w:rsid w:val="00786FCC"/>
    <w:rsid w:val="0078775C"/>
    <w:rsid w:val="0079200A"/>
    <w:rsid w:val="00794380"/>
    <w:rsid w:val="007964C9"/>
    <w:rsid w:val="00796793"/>
    <w:rsid w:val="007A583C"/>
    <w:rsid w:val="007B2377"/>
    <w:rsid w:val="007C00BB"/>
    <w:rsid w:val="007C07B6"/>
    <w:rsid w:val="007C4423"/>
    <w:rsid w:val="007D0934"/>
    <w:rsid w:val="007D311D"/>
    <w:rsid w:val="007E0879"/>
    <w:rsid w:val="007E1FC7"/>
    <w:rsid w:val="007E29E6"/>
    <w:rsid w:val="007F249C"/>
    <w:rsid w:val="007F5671"/>
    <w:rsid w:val="008258F1"/>
    <w:rsid w:val="008341D3"/>
    <w:rsid w:val="00835981"/>
    <w:rsid w:val="0084335E"/>
    <w:rsid w:val="00851E1E"/>
    <w:rsid w:val="00851F12"/>
    <w:rsid w:val="008661B9"/>
    <w:rsid w:val="008750EE"/>
    <w:rsid w:val="0088058E"/>
    <w:rsid w:val="0088787F"/>
    <w:rsid w:val="00892EF1"/>
    <w:rsid w:val="008938AC"/>
    <w:rsid w:val="008A0042"/>
    <w:rsid w:val="008A1650"/>
    <w:rsid w:val="008A2AAE"/>
    <w:rsid w:val="008A7BE5"/>
    <w:rsid w:val="008C6447"/>
    <w:rsid w:val="008D102B"/>
    <w:rsid w:val="008D3186"/>
    <w:rsid w:val="008D5B9D"/>
    <w:rsid w:val="008D5CBB"/>
    <w:rsid w:val="008E0ECC"/>
    <w:rsid w:val="008E35A9"/>
    <w:rsid w:val="008E6634"/>
    <w:rsid w:val="008F18F2"/>
    <w:rsid w:val="009011EF"/>
    <w:rsid w:val="00905EA9"/>
    <w:rsid w:val="009107A3"/>
    <w:rsid w:val="009153AF"/>
    <w:rsid w:val="00927A9F"/>
    <w:rsid w:val="00931CD3"/>
    <w:rsid w:val="00951430"/>
    <w:rsid w:val="009516B8"/>
    <w:rsid w:val="009812B6"/>
    <w:rsid w:val="009A52E0"/>
    <w:rsid w:val="009A5ABB"/>
    <w:rsid w:val="009B3D87"/>
    <w:rsid w:val="009B4936"/>
    <w:rsid w:val="009B4953"/>
    <w:rsid w:val="009D0900"/>
    <w:rsid w:val="009D236F"/>
    <w:rsid w:val="009D3EE4"/>
    <w:rsid w:val="009D4831"/>
    <w:rsid w:val="009E4754"/>
    <w:rsid w:val="00A0039A"/>
    <w:rsid w:val="00A0091E"/>
    <w:rsid w:val="00A0450D"/>
    <w:rsid w:val="00A21D3F"/>
    <w:rsid w:val="00A507E8"/>
    <w:rsid w:val="00A50C8B"/>
    <w:rsid w:val="00A534A6"/>
    <w:rsid w:val="00A6172B"/>
    <w:rsid w:val="00A62329"/>
    <w:rsid w:val="00A62343"/>
    <w:rsid w:val="00A63B2B"/>
    <w:rsid w:val="00A74103"/>
    <w:rsid w:val="00A82F98"/>
    <w:rsid w:val="00A850A5"/>
    <w:rsid w:val="00A8757F"/>
    <w:rsid w:val="00A92608"/>
    <w:rsid w:val="00A96B97"/>
    <w:rsid w:val="00AA000B"/>
    <w:rsid w:val="00AB5284"/>
    <w:rsid w:val="00AC030B"/>
    <w:rsid w:val="00AD2D56"/>
    <w:rsid w:val="00AE21A7"/>
    <w:rsid w:val="00AE493D"/>
    <w:rsid w:val="00AE64D0"/>
    <w:rsid w:val="00AF4B8D"/>
    <w:rsid w:val="00AF511C"/>
    <w:rsid w:val="00B14F5A"/>
    <w:rsid w:val="00B20462"/>
    <w:rsid w:val="00B211B5"/>
    <w:rsid w:val="00B54147"/>
    <w:rsid w:val="00B55938"/>
    <w:rsid w:val="00B578E2"/>
    <w:rsid w:val="00B66D71"/>
    <w:rsid w:val="00B77B3E"/>
    <w:rsid w:val="00B82C71"/>
    <w:rsid w:val="00B876BC"/>
    <w:rsid w:val="00B87AE6"/>
    <w:rsid w:val="00B903DE"/>
    <w:rsid w:val="00B91121"/>
    <w:rsid w:val="00B95DDC"/>
    <w:rsid w:val="00B97021"/>
    <w:rsid w:val="00BA680D"/>
    <w:rsid w:val="00BB0253"/>
    <w:rsid w:val="00BB204B"/>
    <w:rsid w:val="00BB2558"/>
    <w:rsid w:val="00BB553E"/>
    <w:rsid w:val="00BC1F94"/>
    <w:rsid w:val="00BE2630"/>
    <w:rsid w:val="00C0112E"/>
    <w:rsid w:val="00C02A3A"/>
    <w:rsid w:val="00C1217B"/>
    <w:rsid w:val="00C32761"/>
    <w:rsid w:val="00C42794"/>
    <w:rsid w:val="00C44166"/>
    <w:rsid w:val="00C46DBA"/>
    <w:rsid w:val="00C50E6F"/>
    <w:rsid w:val="00C5275A"/>
    <w:rsid w:val="00C56919"/>
    <w:rsid w:val="00C65557"/>
    <w:rsid w:val="00C66A3A"/>
    <w:rsid w:val="00C70796"/>
    <w:rsid w:val="00C9473B"/>
    <w:rsid w:val="00CA46A9"/>
    <w:rsid w:val="00CB41F5"/>
    <w:rsid w:val="00CB5DD7"/>
    <w:rsid w:val="00CC3D37"/>
    <w:rsid w:val="00CD09FF"/>
    <w:rsid w:val="00CD1B38"/>
    <w:rsid w:val="00CF0B7C"/>
    <w:rsid w:val="00CF48F7"/>
    <w:rsid w:val="00D24A2D"/>
    <w:rsid w:val="00D313F7"/>
    <w:rsid w:val="00D33114"/>
    <w:rsid w:val="00D34E38"/>
    <w:rsid w:val="00D35EC5"/>
    <w:rsid w:val="00D53B4F"/>
    <w:rsid w:val="00D7404B"/>
    <w:rsid w:val="00D8157D"/>
    <w:rsid w:val="00DA0857"/>
    <w:rsid w:val="00DA512E"/>
    <w:rsid w:val="00DB6092"/>
    <w:rsid w:val="00DB60D8"/>
    <w:rsid w:val="00DC4889"/>
    <w:rsid w:val="00DC6ABF"/>
    <w:rsid w:val="00DC6DEC"/>
    <w:rsid w:val="00DD4911"/>
    <w:rsid w:val="00DD5EFA"/>
    <w:rsid w:val="00DE0F85"/>
    <w:rsid w:val="00DE5A4A"/>
    <w:rsid w:val="00DF6EB5"/>
    <w:rsid w:val="00E1475D"/>
    <w:rsid w:val="00E21EAE"/>
    <w:rsid w:val="00E246CB"/>
    <w:rsid w:val="00E34F55"/>
    <w:rsid w:val="00E461C6"/>
    <w:rsid w:val="00E56278"/>
    <w:rsid w:val="00E73421"/>
    <w:rsid w:val="00EC1B26"/>
    <w:rsid w:val="00EC4E17"/>
    <w:rsid w:val="00EC7AE1"/>
    <w:rsid w:val="00ED6FBC"/>
    <w:rsid w:val="00EE4AA6"/>
    <w:rsid w:val="00EF1328"/>
    <w:rsid w:val="00EF402D"/>
    <w:rsid w:val="00F02959"/>
    <w:rsid w:val="00F03DDD"/>
    <w:rsid w:val="00F0551A"/>
    <w:rsid w:val="00F07E74"/>
    <w:rsid w:val="00F11865"/>
    <w:rsid w:val="00F24E8F"/>
    <w:rsid w:val="00F25A51"/>
    <w:rsid w:val="00F26511"/>
    <w:rsid w:val="00F26D58"/>
    <w:rsid w:val="00F2746B"/>
    <w:rsid w:val="00F3017A"/>
    <w:rsid w:val="00F3778A"/>
    <w:rsid w:val="00F40A39"/>
    <w:rsid w:val="00F44756"/>
    <w:rsid w:val="00F46C5B"/>
    <w:rsid w:val="00F5088A"/>
    <w:rsid w:val="00F518FB"/>
    <w:rsid w:val="00F623BA"/>
    <w:rsid w:val="00F629A7"/>
    <w:rsid w:val="00F72F47"/>
    <w:rsid w:val="00F81DB2"/>
    <w:rsid w:val="00F87165"/>
    <w:rsid w:val="00F967CE"/>
    <w:rsid w:val="00FA313C"/>
    <w:rsid w:val="00FA44D6"/>
    <w:rsid w:val="00FB07F3"/>
    <w:rsid w:val="00FC6621"/>
    <w:rsid w:val="00FD3F6C"/>
    <w:rsid w:val="00FD6C6F"/>
    <w:rsid w:val="00FE5D94"/>
    <w:rsid w:val="00FF4FC8"/>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A0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54"/>
    <w:rPr>
      <w:rFonts w:eastAsiaTheme="minorEastAsia"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854"/>
    <w:pPr>
      <w:spacing w:after="0" w:line="240" w:lineRule="auto"/>
    </w:pPr>
    <w:rPr>
      <w:rFonts w:eastAsiaTheme="minorEastAsia"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4854"/>
    <w:pPr>
      <w:tabs>
        <w:tab w:val="center" w:pos="4680"/>
        <w:tab w:val="right" w:pos="9360"/>
      </w:tabs>
    </w:pPr>
  </w:style>
  <w:style w:type="character" w:customStyle="1" w:styleId="HeaderChar">
    <w:name w:val="Header Char"/>
    <w:basedOn w:val="DefaultParagraphFont"/>
    <w:link w:val="Header"/>
    <w:uiPriority w:val="99"/>
    <w:rsid w:val="00294854"/>
    <w:rPr>
      <w:rFonts w:eastAsiaTheme="minorEastAsia" w:cs="Times New Roman"/>
      <w14:ligatures w14:val="none"/>
    </w:rPr>
  </w:style>
  <w:style w:type="paragraph" w:styleId="Footer">
    <w:name w:val="footer"/>
    <w:basedOn w:val="Normal"/>
    <w:link w:val="FooterChar"/>
    <w:uiPriority w:val="99"/>
    <w:unhideWhenUsed/>
    <w:rsid w:val="00294854"/>
    <w:pPr>
      <w:tabs>
        <w:tab w:val="center" w:pos="4680"/>
        <w:tab w:val="right" w:pos="9360"/>
      </w:tabs>
    </w:pPr>
  </w:style>
  <w:style w:type="character" w:customStyle="1" w:styleId="FooterChar">
    <w:name w:val="Footer Char"/>
    <w:basedOn w:val="DefaultParagraphFont"/>
    <w:link w:val="Footer"/>
    <w:uiPriority w:val="99"/>
    <w:rsid w:val="00294854"/>
    <w:rPr>
      <w:rFonts w:eastAsiaTheme="minorEastAsia" w:cs="Times New Roman"/>
      <w14:ligatures w14:val="none"/>
    </w:rPr>
  </w:style>
  <w:style w:type="character" w:styleId="Hyperlink">
    <w:name w:val="Hyperlink"/>
    <w:basedOn w:val="DefaultParagraphFont"/>
    <w:uiPriority w:val="99"/>
    <w:unhideWhenUsed/>
    <w:rsid w:val="00294854"/>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294854"/>
    <w:rPr>
      <w:rFonts w:cs="Times New Roman"/>
      <w:color w:val="605E5C"/>
      <w:shd w:val="clear" w:color="auto" w:fill="E1DFDD"/>
    </w:rPr>
  </w:style>
  <w:style w:type="paragraph" w:styleId="ListParagraph">
    <w:name w:val="List Paragraph"/>
    <w:basedOn w:val="Normal"/>
    <w:uiPriority w:val="34"/>
    <w:qFormat/>
    <w:rsid w:val="00294854"/>
    <w:pPr>
      <w:ind w:left="720"/>
      <w:contextualSpacing/>
    </w:pPr>
    <w:rPr>
      <w:rFonts w:ascii="Calibri" w:hAnsi="Calibri"/>
    </w:rPr>
  </w:style>
  <w:style w:type="paragraph" w:styleId="NormalWeb">
    <w:name w:val="Normal (Web)"/>
    <w:basedOn w:val="Normal"/>
    <w:uiPriority w:val="99"/>
    <w:unhideWhenUsed/>
    <w:rsid w:val="0029485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294854"/>
    <w:rPr>
      <w:rFonts w:cs="Times New Roman"/>
      <w:i/>
    </w:rPr>
  </w:style>
  <w:style w:type="numbering" w:customStyle="1" w:styleId="CurrentList1">
    <w:name w:val="Current List1"/>
    <w:rsid w:val="00294854"/>
    <w:pPr>
      <w:numPr>
        <w:numId w:val="20"/>
      </w:numPr>
    </w:pPr>
  </w:style>
  <w:style w:type="character" w:styleId="CommentReference">
    <w:name w:val="annotation reference"/>
    <w:basedOn w:val="DefaultParagraphFont"/>
    <w:uiPriority w:val="99"/>
    <w:semiHidden/>
    <w:unhideWhenUsed/>
    <w:rsid w:val="00294854"/>
    <w:rPr>
      <w:sz w:val="16"/>
      <w:szCs w:val="16"/>
    </w:rPr>
  </w:style>
  <w:style w:type="paragraph" w:styleId="CommentText">
    <w:name w:val="annotation text"/>
    <w:basedOn w:val="Normal"/>
    <w:link w:val="CommentTextChar"/>
    <w:uiPriority w:val="99"/>
    <w:semiHidden/>
    <w:unhideWhenUsed/>
    <w:rsid w:val="00294854"/>
    <w:pPr>
      <w:spacing w:line="240" w:lineRule="auto"/>
    </w:pPr>
    <w:rPr>
      <w:sz w:val="20"/>
      <w:szCs w:val="20"/>
    </w:rPr>
  </w:style>
  <w:style w:type="character" w:customStyle="1" w:styleId="CommentTextChar">
    <w:name w:val="Comment Text Char"/>
    <w:basedOn w:val="DefaultParagraphFont"/>
    <w:link w:val="CommentText"/>
    <w:uiPriority w:val="99"/>
    <w:semiHidden/>
    <w:rsid w:val="00294854"/>
    <w:rPr>
      <w:rFonts w:eastAsiaTheme="minorEastAsia"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294854"/>
    <w:rPr>
      <w:b/>
      <w:bCs/>
    </w:rPr>
  </w:style>
  <w:style w:type="character" w:customStyle="1" w:styleId="CommentSubjectChar">
    <w:name w:val="Comment Subject Char"/>
    <w:basedOn w:val="CommentTextChar"/>
    <w:link w:val="CommentSubject"/>
    <w:uiPriority w:val="99"/>
    <w:semiHidden/>
    <w:rsid w:val="00294854"/>
    <w:rPr>
      <w:rFonts w:eastAsiaTheme="minorEastAsia" w:cs="Times New Roman"/>
      <w:b/>
      <w:bCs/>
      <w:sz w:val="20"/>
      <w:szCs w:val="20"/>
      <w14:ligatures w14:val="none"/>
    </w:rPr>
  </w:style>
  <w:style w:type="numbering" w:customStyle="1" w:styleId="CurrentList2">
    <w:name w:val="Current List2"/>
    <w:uiPriority w:val="99"/>
    <w:rsid w:val="00294854"/>
    <w:pPr>
      <w:numPr>
        <w:numId w:val="31"/>
      </w:numPr>
    </w:pPr>
  </w:style>
  <w:style w:type="paragraph" w:customStyle="1" w:styleId="ReferHead">
    <w:name w:val="Refer Head"/>
    <w:basedOn w:val="Normal"/>
    <w:rsid w:val="00B578E2"/>
    <w:pPr>
      <w:keepNext/>
      <w:spacing w:after="240" w:line="240" w:lineRule="auto"/>
    </w:pPr>
    <w:rPr>
      <w:rFonts w:ascii="Helvetica" w:eastAsia="Times New Roman" w:hAnsi="Helvetica"/>
      <w:b/>
      <w:caps/>
      <w:kern w:val="0"/>
      <w:szCs w:val="20"/>
    </w:rPr>
  </w:style>
  <w:style w:type="paragraph" w:customStyle="1" w:styleId="AcknHead">
    <w:name w:val="Ackn Head"/>
    <w:basedOn w:val="Normal"/>
    <w:rsid w:val="00CB5DD7"/>
    <w:pPr>
      <w:keepNext/>
      <w:spacing w:after="240" w:line="240" w:lineRule="auto"/>
    </w:pPr>
    <w:rPr>
      <w:rFonts w:ascii="Helvetica" w:eastAsia="Times New Roman" w:hAnsi="Helvetica"/>
      <w:b/>
      <w:caps/>
      <w:kern w:val="0"/>
      <w:szCs w:val="20"/>
    </w:rPr>
  </w:style>
  <w:style w:type="paragraph" w:styleId="BalloonText">
    <w:name w:val="Balloon Text"/>
    <w:basedOn w:val="Normal"/>
    <w:link w:val="BalloonTextChar"/>
    <w:uiPriority w:val="99"/>
    <w:semiHidden/>
    <w:unhideWhenUsed/>
    <w:rsid w:val="0008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94"/>
    <w:rPr>
      <w:rFonts w:ascii="Tahoma" w:eastAsiaTheme="minorEastAsia" w:hAnsi="Tahoma" w:cs="Tahoma"/>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54"/>
    <w:rPr>
      <w:rFonts w:eastAsiaTheme="minorEastAsia"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854"/>
    <w:pPr>
      <w:spacing w:after="0" w:line="240" w:lineRule="auto"/>
    </w:pPr>
    <w:rPr>
      <w:rFonts w:eastAsiaTheme="minorEastAsia"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4854"/>
    <w:pPr>
      <w:tabs>
        <w:tab w:val="center" w:pos="4680"/>
        <w:tab w:val="right" w:pos="9360"/>
      </w:tabs>
    </w:pPr>
  </w:style>
  <w:style w:type="character" w:customStyle="1" w:styleId="HeaderChar">
    <w:name w:val="Header Char"/>
    <w:basedOn w:val="DefaultParagraphFont"/>
    <w:link w:val="Header"/>
    <w:uiPriority w:val="99"/>
    <w:rsid w:val="00294854"/>
    <w:rPr>
      <w:rFonts w:eastAsiaTheme="minorEastAsia" w:cs="Times New Roman"/>
      <w14:ligatures w14:val="none"/>
    </w:rPr>
  </w:style>
  <w:style w:type="paragraph" w:styleId="Footer">
    <w:name w:val="footer"/>
    <w:basedOn w:val="Normal"/>
    <w:link w:val="FooterChar"/>
    <w:uiPriority w:val="99"/>
    <w:unhideWhenUsed/>
    <w:rsid w:val="00294854"/>
    <w:pPr>
      <w:tabs>
        <w:tab w:val="center" w:pos="4680"/>
        <w:tab w:val="right" w:pos="9360"/>
      </w:tabs>
    </w:pPr>
  </w:style>
  <w:style w:type="character" w:customStyle="1" w:styleId="FooterChar">
    <w:name w:val="Footer Char"/>
    <w:basedOn w:val="DefaultParagraphFont"/>
    <w:link w:val="Footer"/>
    <w:uiPriority w:val="99"/>
    <w:rsid w:val="00294854"/>
    <w:rPr>
      <w:rFonts w:eastAsiaTheme="minorEastAsia" w:cs="Times New Roman"/>
      <w14:ligatures w14:val="none"/>
    </w:rPr>
  </w:style>
  <w:style w:type="character" w:styleId="Hyperlink">
    <w:name w:val="Hyperlink"/>
    <w:basedOn w:val="DefaultParagraphFont"/>
    <w:uiPriority w:val="99"/>
    <w:unhideWhenUsed/>
    <w:rsid w:val="00294854"/>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294854"/>
    <w:rPr>
      <w:rFonts w:cs="Times New Roman"/>
      <w:color w:val="605E5C"/>
      <w:shd w:val="clear" w:color="auto" w:fill="E1DFDD"/>
    </w:rPr>
  </w:style>
  <w:style w:type="paragraph" w:styleId="ListParagraph">
    <w:name w:val="List Paragraph"/>
    <w:basedOn w:val="Normal"/>
    <w:uiPriority w:val="34"/>
    <w:qFormat/>
    <w:rsid w:val="00294854"/>
    <w:pPr>
      <w:ind w:left="720"/>
      <w:contextualSpacing/>
    </w:pPr>
    <w:rPr>
      <w:rFonts w:ascii="Calibri" w:hAnsi="Calibri"/>
    </w:rPr>
  </w:style>
  <w:style w:type="paragraph" w:styleId="NormalWeb">
    <w:name w:val="Normal (Web)"/>
    <w:basedOn w:val="Normal"/>
    <w:uiPriority w:val="99"/>
    <w:unhideWhenUsed/>
    <w:rsid w:val="0029485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294854"/>
    <w:rPr>
      <w:rFonts w:cs="Times New Roman"/>
      <w:i/>
    </w:rPr>
  </w:style>
  <w:style w:type="numbering" w:customStyle="1" w:styleId="CurrentList1">
    <w:name w:val="Current List1"/>
    <w:rsid w:val="00294854"/>
    <w:pPr>
      <w:numPr>
        <w:numId w:val="20"/>
      </w:numPr>
    </w:pPr>
  </w:style>
  <w:style w:type="character" w:styleId="CommentReference">
    <w:name w:val="annotation reference"/>
    <w:basedOn w:val="DefaultParagraphFont"/>
    <w:uiPriority w:val="99"/>
    <w:semiHidden/>
    <w:unhideWhenUsed/>
    <w:rsid w:val="00294854"/>
    <w:rPr>
      <w:sz w:val="16"/>
      <w:szCs w:val="16"/>
    </w:rPr>
  </w:style>
  <w:style w:type="paragraph" w:styleId="CommentText">
    <w:name w:val="annotation text"/>
    <w:basedOn w:val="Normal"/>
    <w:link w:val="CommentTextChar"/>
    <w:uiPriority w:val="99"/>
    <w:semiHidden/>
    <w:unhideWhenUsed/>
    <w:rsid w:val="00294854"/>
    <w:pPr>
      <w:spacing w:line="240" w:lineRule="auto"/>
    </w:pPr>
    <w:rPr>
      <w:sz w:val="20"/>
      <w:szCs w:val="20"/>
    </w:rPr>
  </w:style>
  <w:style w:type="character" w:customStyle="1" w:styleId="CommentTextChar">
    <w:name w:val="Comment Text Char"/>
    <w:basedOn w:val="DefaultParagraphFont"/>
    <w:link w:val="CommentText"/>
    <w:uiPriority w:val="99"/>
    <w:semiHidden/>
    <w:rsid w:val="00294854"/>
    <w:rPr>
      <w:rFonts w:eastAsiaTheme="minorEastAsia"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294854"/>
    <w:rPr>
      <w:b/>
      <w:bCs/>
    </w:rPr>
  </w:style>
  <w:style w:type="character" w:customStyle="1" w:styleId="CommentSubjectChar">
    <w:name w:val="Comment Subject Char"/>
    <w:basedOn w:val="CommentTextChar"/>
    <w:link w:val="CommentSubject"/>
    <w:uiPriority w:val="99"/>
    <w:semiHidden/>
    <w:rsid w:val="00294854"/>
    <w:rPr>
      <w:rFonts w:eastAsiaTheme="minorEastAsia" w:cs="Times New Roman"/>
      <w:b/>
      <w:bCs/>
      <w:sz w:val="20"/>
      <w:szCs w:val="20"/>
      <w14:ligatures w14:val="none"/>
    </w:rPr>
  </w:style>
  <w:style w:type="numbering" w:customStyle="1" w:styleId="CurrentList2">
    <w:name w:val="Current List2"/>
    <w:uiPriority w:val="99"/>
    <w:rsid w:val="00294854"/>
    <w:pPr>
      <w:numPr>
        <w:numId w:val="31"/>
      </w:numPr>
    </w:pPr>
  </w:style>
  <w:style w:type="paragraph" w:customStyle="1" w:styleId="ReferHead">
    <w:name w:val="Refer Head"/>
    <w:basedOn w:val="Normal"/>
    <w:rsid w:val="00B578E2"/>
    <w:pPr>
      <w:keepNext/>
      <w:spacing w:after="240" w:line="240" w:lineRule="auto"/>
    </w:pPr>
    <w:rPr>
      <w:rFonts w:ascii="Helvetica" w:eastAsia="Times New Roman" w:hAnsi="Helvetica"/>
      <w:b/>
      <w:caps/>
      <w:kern w:val="0"/>
      <w:szCs w:val="20"/>
    </w:rPr>
  </w:style>
  <w:style w:type="paragraph" w:customStyle="1" w:styleId="AcknHead">
    <w:name w:val="Ackn Head"/>
    <w:basedOn w:val="Normal"/>
    <w:rsid w:val="00CB5DD7"/>
    <w:pPr>
      <w:keepNext/>
      <w:spacing w:after="240" w:line="240" w:lineRule="auto"/>
    </w:pPr>
    <w:rPr>
      <w:rFonts w:ascii="Helvetica" w:eastAsia="Times New Roman" w:hAnsi="Helvetica"/>
      <w:b/>
      <w:caps/>
      <w:kern w:val="0"/>
      <w:szCs w:val="20"/>
    </w:rPr>
  </w:style>
  <w:style w:type="paragraph" w:styleId="BalloonText">
    <w:name w:val="Balloon Text"/>
    <w:basedOn w:val="Normal"/>
    <w:link w:val="BalloonTextChar"/>
    <w:uiPriority w:val="99"/>
    <w:semiHidden/>
    <w:unhideWhenUsed/>
    <w:rsid w:val="0008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94"/>
    <w:rPr>
      <w:rFonts w:ascii="Tahoma" w:eastAsiaTheme="minorEastAsia"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bidigitallibrary.org/action/doSearch?do=Iranian+Journal+of+Field+Crop+Scie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7389</Words>
  <Characters>42123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Pasupuleti</dc:creator>
  <cp:lastModifiedBy>Maher</cp:lastModifiedBy>
  <cp:revision>2</cp:revision>
  <dcterms:created xsi:type="dcterms:W3CDTF">2024-09-16T20:58:00Z</dcterms:created>
  <dcterms:modified xsi:type="dcterms:W3CDTF">2024-09-16T20:58:00Z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b53d271e-f530-4936-b025-2c788cc2f846</vt:lpwstr>
  </property>
</Properties>
</file>