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930" w:rsidRDefault="003059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305930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305930" w:rsidRDefault="00305930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305930">
        <w:trPr>
          <w:trHeight w:val="290"/>
        </w:trPr>
        <w:tc>
          <w:tcPr>
            <w:tcW w:w="5167" w:type="dxa"/>
          </w:tcPr>
          <w:p w:rsidR="00305930" w:rsidRDefault="008C0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930" w:rsidRDefault="000A470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8C0454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International Journal of TROPICAL DISEASE &amp; Health</w:t>
              </w:r>
            </w:hyperlink>
          </w:p>
        </w:tc>
      </w:tr>
      <w:tr w:rsidR="00305930">
        <w:trPr>
          <w:trHeight w:val="290"/>
        </w:trPr>
        <w:tc>
          <w:tcPr>
            <w:tcW w:w="5167" w:type="dxa"/>
          </w:tcPr>
          <w:p w:rsidR="00305930" w:rsidRDefault="008C0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930" w:rsidRDefault="008C0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Ms_IJTDH_146324</w:t>
            </w:r>
          </w:p>
        </w:tc>
      </w:tr>
      <w:tr w:rsidR="00305930">
        <w:trPr>
          <w:trHeight w:val="650"/>
        </w:trPr>
        <w:tc>
          <w:tcPr>
            <w:tcW w:w="5167" w:type="dxa"/>
          </w:tcPr>
          <w:p w:rsidR="00305930" w:rsidRDefault="008C0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930" w:rsidRDefault="008C0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PATTERN OF DYSGLYCAEMIA IN PERSONS WITH TUBERCULOSIS</w:t>
            </w:r>
          </w:p>
        </w:tc>
      </w:tr>
      <w:tr w:rsidR="00305930">
        <w:trPr>
          <w:trHeight w:val="332"/>
        </w:trPr>
        <w:tc>
          <w:tcPr>
            <w:tcW w:w="5167" w:type="dxa"/>
          </w:tcPr>
          <w:p w:rsidR="00305930" w:rsidRDefault="008C0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930" w:rsidRDefault="008C0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 Research Article; Clinical Observational Study</w:t>
            </w:r>
          </w:p>
        </w:tc>
      </w:tr>
    </w:tbl>
    <w:p w:rsidR="00305930" w:rsidRDefault="001F5F4D" w:rsidP="001F5F4D">
      <w:pPr>
        <w:pBdr>
          <w:top w:val="nil"/>
          <w:left w:val="nil"/>
          <w:bottom w:val="nil"/>
          <w:right w:val="nil"/>
          <w:between w:val="nil"/>
        </w:pBdr>
        <w:tabs>
          <w:tab w:val="left" w:pos="2282"/>
        </w:tabs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</w:p>
    <w:p w:rsidR="00305930" w:rsidRDefault="00305930">
      <w:pPr>
        <w:rPr>
          <w:sz w:val="20"/>
          <w:szCs w:val="20"/>
        </w:rPr>
      </w:pPr>
      <w:bookmarkStart w:id="0" w:name="_28muk4g73gqe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05930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305930" w:rsidRDefault="008C0454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305930" w:rsidRDefault="00305930">
            <w:pPr>
              <w:rPr>
                <w:sz w:val="20"/>
                <w:szCs w:val="20"/>
              </w:rPr>
            </w:pPr>
          </w:p>
        </w:tc>
      </w:tr>
      <w:tr w:rsidR="00305930">
        <w:tc>
          <w:tcPr>
            <w:tcW w:w="5351" w:type="dxa"/>
          </w:tcPr>
          <w:p w:rsidR="00305930" w:rsidRDefault="00305930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305930" w:rsidRDefault="008C0454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305930" w:rsidRDefault="008C045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05930" w:rsidRDefault="00305930"/>
        </w:tc>
        <w:tc>
          <w:tcPr>
            <w:tcW w:w="6442" w:type="dxa"/>
          </w:tcPr>
          <w:p w:rsidR="00305930" w:rsidRDefault="008C0454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305930" w:rsidRDefault="0030593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305930">
        <w:trPr>
          <w:trHeight w:val="1264"/>
        </w:trPr>
        <w:tc>
          <w:tcPr>
            <w:tcW w:w="5351" w:type="dxa"/>
          </w:tcPr>
          <w:p w:rsidR="00305930" w:rsidRDefault="008C0454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305930" w:rsidRDefault="0030593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305930" w:rsidRDefault="008C0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findings of the manuscript highlighted some risk factors responsible for the prevalence of </w:t>
            </w:r>
            <w:proofErr w:type="spellStart"/>
            <w:r>
              <w:rPr>
                <w:sz w:val="20"/>
                <w:szCs w:val="20"/>
              </w:rPr>
              <w:t>dysglycaemia</w:t>
            </w:r>
            <w:proofErr w:type="spellEnd"/>
            <w:r>
              <w:rPr>
                <w:sz w:val="20"/>
                <w:szCs w:val="20"/>
              </w:rPr>
              <w:t xml:space="preserve"> in patients suffering from pulmonary tuberculosis, such as obesity, overweight, smoking, and also low socioeconomic status (which may be due to poor nutrition, occupational stress,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). This can be useful to health personnel in providing solutions that can help manage these modifiable factors, thus reducing their prevalence.</w:t>
            </w:r>
          </w:p>
          <w:p w:rsidR="00305930" w:rsidRDefault="008C0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also suggested integrating diabetes screening and management into tuberculosis care pathways. Portraying that "early identification and management of </w:t>
            </w:r>
            <w:proofErr w:type="spellStart"/>
            <w:r>
              <w:rPr>
                <w:sz w:val="20"/>
                <w:szCs w:val="20"/>
              </w:rPr>
              <w:t>dysglycaemia</w:t>
            </w:r>
            <w:proofErr w:type="spellEnd"/>
            <w:r>
              <w:rPr>
                <w:sz w:val="20"/>
                <w:szCs w:val="20"/>
              </w:rPr>
              <w:t xml:space="preserve"> can enhance treatment adherence, mitigate complications, and reduce mortality among TB patients".</w:t>
            </w:r>
          </w:p>
          <w:p w:rsidR="00305930" w:rsidRDefault="00305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6442" w:type="dxa"/>
          </w:tcPr>
          <w:p w:rsidR="00305930" w:rsidRDefault="0030593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305930">
        <w:trPr>
          <w:trHeight w:val="1262"/>
        </w:trPr>
        <w:tc>
          <w:tcPr>
            <w:tcW w:w="5351" w:type="dxa"/>
          </w:tcPr>
          <w:p w:rsidR="00305930" w:rsidRDefault="008C0454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305930" w:rsidRDefault="008C0454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305930" w:rsidRDefault="00305930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305930" w:rsidRDefault="00E0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Here is </w:t>
            </w:r>
            <w:r w:rsidR="008C0454">
              <w:rPr>
                <w:sz w:val="20"/>
                <w:szCs w:val="20"/>
              </w:rPr>
              <w:t xml:space="preserve">alternative suggestion: “Assessing The Factors Responsible for the Prevalence of </w:t>
            </w:r>
            <w:proofErr w:type="spellStart"/>
            <w:r w:rsidR="008C0454">
              <w:rPr>
                <w:sz w:val="20"/>
                <w:szCs w:val="20"/>
              </w:rPr>
              <w:t>Dysglycaemia</w:t>
            </w:r>
            <w:proofErr w:type="spellEnd"/>
            <w:r w:rsidR="008C0454">
              <w:rPr>
                <w:sz w:val="20"/>
                <w:szCs w:val="20"/>
              </w:rPr>
              <w:t xml:space="preserve"> among Tuberculosis Patients”.</w:t>
            </w:r>
          </w:p>
        </w:tc>
        <w:tc>
          <w:tcPr>
            <w:tcW w:w="6442" w:type="dxa"/>
          </w:tcPr>
          <w:p w:rsidR="00305930" w:rsidRDefault="0030593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305930">
        <w:trPr>
          <w:trHeight w:val="1262"/>
        </w:trPr>
        <w:tc>
          <w:tcPr>
            <w:tcW w:w="5351" w:type="dxa"/>
          </w:tcPr>
          <w:p w:rsidR="00305930" w:rsidRDefault="008C0454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305930" w:rsidRDefault="00305930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305930" w:rsidRDefault="008C0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the abstract seemed to be comprehensive enough.</w:t>
            </w:r>
          </w:p>
        </w:tc>
        <w:tc>
          <w:tcPr>
            <w:tcW w:w="6442" w:type="dxa"/>
          </w:tcPr>
          <w:p w:rsidR="00305930" w:rsidRDefault="0030593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305930">
        <w:trPr>
          <w:trHeight w:val="704"/>
        </w:trPr>
        <w:tc>
          <w:tcPr>
            <w:tcW w:w="5351" w:type="dxa"/>
          </w:tcPr>
          <w:p w:rsidR="00305930" w:rsidRDefault="008C0454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305930" w:rsidRDefault="008C0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manuscript is scientifically correct because it obeys the standard structure of a scientific manuscript which is generally known in its abbreviated format as "IMRAD"; meaning the Introduction, Methodology,  Result and Discussion., </w:t>
            </w:r>
          </w:p>
          <w:p w:rsidR="00305930" w:rsidRDefault="00305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305930" w:rsidRDefault="008C0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justice was done towards each section as possible.</w:t>
            </w:r>
          </w:p>
          <w:p w:rsidR="00305930" w:rsidRDefault="00305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6442" w:type="dxa"/>
          </w:tcPr>
          <w:p w:rsidR="00305930" w:rsidRDefault="0030593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305930">
        <w:trPr>
          <w:trHeight w:val="703"/>
        </w:trPr>
        <w:tc>
          <w:tcPr>
            <w:tcW w:w="5351" w:type="dxa"/>
          </w:tcPr>
          <w:p w:rsidR="00305930" w:rsidRDefault="008C0454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305930" w:rsidRDefault="008C0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references so far are up-to-date, all the years and names tally effectively; but it seems to be incomplete. From the manuscript, this </w:t>
            </w:r>
            <w:proofErr w:type="gramStart"/>
            <w:r>
              <w:rPr>
                <w:sz w:val="20"/>
                <w:szCs w:val="20"/>
              </w:rPr>
              <w:t>citation:-</w:t>
            </w:r>
            <w:proofErr w:type="gramEnd"/>
            <w:r>
              <w:rPr>
                <w:sz w:val="20"/>
                <w:szCs w:val="20"/>
              </w:rPr>
              <w:t xml:space="preserve"> “(Calderon et al., 2022; Lopez et al., 2021)” found in the Introduction section; seems to have an incomplete reference in the reference list. </w:t>
            </w:r>
          </w:p>
          <w:p w:rsidR="00305930" w:rsidRDefault="008C0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 “Calderon et al., 2022” is found in the reference list while “Lopez et al., 2021” is not.</w:t>
            </w:r>
          </w:p>
          <w:p w:rsidR="00305930" w:rsidRDefault="00305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6442" w:type="dxa"/>
          </w:tcPr>
          <w:p w:rsidR="00305930" w:rsidRDefault="0030593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305930">
        <w:trPr>
          <w:trHeight w:val="386"/>
        </w:trPr>
        <w:tc>
          <w:tcPr>
            <w:tcW w:w="5351" w:type="dxa"/>
          </w:tcPr>
          <w:p w:rsidR="00305930" w:rsidRDefault="008C0454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305930" w:rsidRDefault="00305930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305930" w:rsidRDefault="008C0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it is.</w:t>
            </w:r>
          </w:p>
        </w:tc>
        <w:tc>
          <w:tcPr>
            <w:tcW w:w="6442" w:type="dxa"/>
          </w:tcPr>
          <w:p w:rsidR="00305930" w:rsidRDefault="00305930">
            <w:pPr>
              <w:rPr>
                <w:sz w:val="20"/>
                <w:szCs w:val="20"/>
              </w:rPr>
            </w:pPr>
          </w:p>
        </w:tc>
      </w:tr>
      <w:tr w:rsidR="00305930">
        <w:trPr>
          <w:trHeight w:val="1178"/>
        </w:trPr>
        <w:tc>
          <w:tcPr>
            <w:tcW w:w="5351" w:type="dxa"/>
          </w:tcPr>
          <w:p w:rsidR="00305930" w:rsidRDefault="008C0454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305930" w:rsidRDefault="00305930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305930" w:rsidRDefault="00305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305930" w:rsidRDefault="00305930">
            <w:pPr>
              <w:rPr>
                <w:sz w:val="20"/>
                <w:szCs w:val="20"/>
              </w:rPr>
            </w:pPr>
          </w:p>
        </w:tc>
      </w:tr>
    </w:tbl>
    <w:p w:rsidR="00305930" w:rsidRDefault="003059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305930" w:rsidRDefault="003059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305930" w:rsidRDefault="003059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0055FF" w:rsidRPr="000055FF" w:rsidRDefault="000055FF" w:rsidP="000055FF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055FF" w:rsidTr="000055F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5FF" w:rsidRDefault="000055F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055FF" w:rsidRDefault="000055F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055FF" w:rsidTr="000055F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5FF" w:rsidRDefault="000055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FF" w:rsidRDefault="000055F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FF" w:rsidRDefault="000055F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055FF" w:rsidRDefault="000055F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5FF" w:rsidTr="000055F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5FF" w:rsidRDefault="000055F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055FF" w:rsidRDefault="000055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5FF" w:rsidRDefault="000055F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055FF" w:rsidRDefault="000055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FF" w:rsidRDefault="000055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055FF" w:rsidRDefault="000055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055FF" w:rsidRDefault="000055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1F5F4D" w:rsidRDefault="001F5F4D" w:rsidP="001F5F4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F5F4D" w:rsidRPr="005F4EDD" w:rsidRDefault="001F5F4D" w:rsidP="001F5F4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F5F4D" w:rsidRDefault="001F5F4D" w:rsidP="001F5F4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F5F4D" w:rsidRPr="00E013E8" w:rsidRDefault="001F5F4D" w:rsidP="001F5F4D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Hassan Faisal Musa, </w:t>
      </w:r>
      <w:proofErr w:type="spellStart"/>
      <w:r>
        <w:rPr>
          <w:rFonts w:ascii="Calibri" w:hAnsi="Calibri" w:cs="Calibri"/>
          <w:color w:val="000000"/>
        </w:rPr>
        <w:t>Bayero</w:t>
      </w:r>
      <w:proofErr w:type="spellEnd"/>
      <w:r>
        <w:rPr>
          <w:rFonts w:ascii="Calibri" w:hAnsi="Calibri" w:cs="Calibri"/>
          <w:color w:val="000000"/>
        </w:rPr>
        <w:t xml:space="preserve"> University, Kano, Nigeria</w:t>
      </w:r>
      <w:r>
        <w:rPr>
          <w:rFonts w:ascii="Calibri" w:hAnsi="Calibri" w:cs="Calibri"/>
          <w:color w:val="000000"/>
        </w:rPr>
        <w:br/>
      </w:r>
    </w:p>
    <w:p w:rsidR="000055FF" w:rsidRDefault="000055FF" w:rsidP="000055FF">
      <w:bookmarkStart w:id="3" w:name="_GoBack"/>
      <w:bookmarkEnd w:id="3"/>
    </w:p>
    <w:p w:rsidR="000055FF" w:rsidRDefault="000055FF" w:rsidP="000055FF"/>
    <w:p w:rsidR="000055FF" w:rsidRDefault="000055FF" w:rsidP="000055FF">
      <w:pPr>
        <w:rPr>
          <w:bCs/>
          <w:u w:val="single"/>
          <w:lang w:val="en-GB"/>
        </w:rPr>
      </w:pPr>
    </w:p>
    <w:bookmarkEnd w:id="2"/>
    <w:p w:rsidR="000055FF" w:rsidRDefault="000055FF" w:rsidP="000055FF"/>
    <w:p w:rsidR="000055FF" w:rsidRPr="000055FF" w:rsidRDefault="000055FF" w:rsidP="000055FF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:rsidR="000055FF" w:rsidRPr="000055FF" w:rsidRDefault="000055FF" w:rsidP="000055FF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:rsidR="000055FF" w:rsidRPr="000055FF" w:rsidRDefault="000055FF" w:rsidP="000055FF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:rsidR="000055FF" w:rsidRPr="000055FF" w:rsidRDefault="000055FF" w:rsidP="000055FF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:rsidR="000055FF" w:rsidRPr="000055FF" w:rsidRDefault="000055FF" w:rsidP="000055FF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:rsidR="000055FF" w:rsidRPr="000055FF" w:rsidRDefault="000055FF" w:rsidP="000055FF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:rsidR="000055FF" w:rsidRPr="000055FF" w:rsidRDefault="000055FF" w:rsidP="000055FF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:rsidR="000055FF" w:rsidRPr="000055FF" w:rsidRDefault="000055FF" w:rsidP="000055FF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  <w:r w:rsidRPr="000055FF"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  <w:tab/>
      </w:r>
    </w:p>
    <w:p w:rsidR="000055FF" w:rsidRPr="000055FF" w:rsidRDefault="000055FF" w:rsidP="000055FF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:rsidR="00305930" w:rsidRDefault="003059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sectPr w:rsidR="00305930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703" w:rsidRDefault="000A4703">
      <w:r>
        <w:separator/>
      </w:r>
    </w:p>
  </w:endnote>
  <w:endnote w:type="continuationSeparator" w:id="0">
    <w:p w:rsidR="000A4703" w:rsidRDefault="000A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930" w:rsidRDefault="008C0454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703" w:rsidRDefault="000A4703">
      <w:r>
        <w:separator/>
      </w:r>
    </w:p>
  </w:footnote>
  <w:footnote w:type="continuationSeparator" w:id="0">
    <w:p w:rsidR="000A4703" w:rsidRDefault="000A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930" w:rsidRDefault="00305930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305930" w:rsidRDefault="008C0454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30"/>
    <w:rsid w:val="000055FF"/>
    <w:rsid w:val="000A4703"/>
    <w:rsid w:val="001F5F4D"/>
    <w:rsid w:val="00305930"/>
    <w:rsid w:val="00405C7E"/>
    <w:rsid w:val="008C0454"/>
    <w:rsid w:val="00E0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069D"/>
  <w15:docId w15:val="{BDEFCF41-3ECC-4A9C-A706-10624091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iliation">
    <w:name w:val="Affiliation"/>
    <w:basedOn w:val="Normal"/>
    <w:rsid w:val="001F5F4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tdh.com/index.php/IJTD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2025-10-13T06:46:00Z</dcterms:created>
  <dcterms:modified xsi:type="dcterms:W3CDTF">2025-10-16T06:10:00Z</dcterms:modified>
</cp:coreProperties>
</file>