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515A9" w:rsidTr="002643B3">
        <w:trPr>
          <w:trHeight w:val="290"/>
        </w:trPr>
        <w:tc>
          <w:tcPr>
            <w:tcW w:w="5000" w:type="pct"/>
            <w:gridSpan w:val="2"/>
            <w:tcBorders>
              <w:top w:val="nil"/>
              <w:left w:val="nil"/>
              <w:right w:val="nil"/>
            </w:tcBorders>
          </w:tcPr>
          <w:p w:rsidR="00602F7D" w:rsidRPr="001515A9" w:rsidRDefault="00602F7D" w:rsidP="00F2643C">
            <w:pPr>
              <w:pStyle w:val="Heading2"/>
              <w:jc w:val="left"/>
              <w:rPr>
                <w:rFonts w:ascii="Arial" w:hAnsi="Arial" w:cs="Arial"/>
                <w:b w:val="0"/>
                <w:bCs w:val="0"/>
                <w:lang w:val="en-GB"/>
              </w:rPr>
            </w:pPr>
          </w:p>
        </w:tc>
      </w:tr>
      <w:tr w:rsidR="0000007A" w:rsidRPr="001515A9" w:rsidTr="002643B3">
        <w:trPr>
          <w:trHeight w:val="290"/>
        </w:trPr>
        <w:tc>
          <w:tcPr>
            <w:tcW w:w="1234" w:type="pct"/>
          </w:tcPr>
          <w:p w:rsidR="0000007A" w:rsidRPr="001515A9" w:rsidRDefault="0000007A" w:rsidP="00696CAD">
            <w:pPr>
              <w:pStyle w:val="BodyText"/>
              <w:ind w:left="90"/>
              <w:jc w:val="left"/>
              <w:rPr>
                <w:rFonts w:ascii="Arial" w:hAnsi="Arial" w:cs="Arial"/>
                <w:bCs/>
                <w:sz w:val="20"/>
                <w:szCs w:val="20"/>
                <w:lang w:val="en-GB"/>
              </w:rPr>
            </w:pPr>
            <w:r w:rsidRPr="001515A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1515A9" w:rsidRDefault="00826BD7" w:rsidP="00E65EB7">
            <w:pPr>
              <w:rPr>
                <w:rFonts w:ascii="Arial" w:hAnsi="Arial" w:cs="Arial"/>
                <w:b/>
                <w:bCs/>
                <w:color w:val="0000FF"/>
                <w:sz w:val="20"/>
                <w:szCs w:val="20"/>
              </w:rPr>
            </w:pPr>
            <w:hyperlink r:id="rId8" w:history="1">
              <w:r w:rsidRPr="001515A9">
                <w:rPr>
                  <w:rStyle w:val="Hyperlink"/>
                  <w:rFonts w:ascii="Arial" w:hAnsi="Arial" w:cs="Arial"/>
                  <w:b/>
                  <w:bCs/>
                  <w:sz w:val="20"/>
                  <w:szCs w:val="20"/>
                </w:rPr>
                <w:t>International Journal of Plant &amp; Soil Science</w:t>
              </w:r>
            </w:hyperlink>
            <w:r w:rsidRPr="001515A9">
              <w:rPr>
                <w:rFonts w:ascii="Arial" w:hAnsi="Arial" w:cs="Arial"/>
                <w:b/>
                <w:bCs/>
                <w:color w:val="0000FF"/>
                <w:sz w:val="20"/>
                <w:szCs w:val="20"/>
              </w:rPr>
              <w:t xml:space="preserve"> </w:t>
            </w:r>
          </w:p>
        </w:tc>
      </w:tr>
      <w:tr w:rsidR="0000007A" w:rsidRPr="001515A9" w:rsidTr="002643B3">
        <w:trPr>
          <w:trHeight w:val="290"/>
        </w:trPr>
        <w:tc>
          <w:tcPr>
            <w:tcW w:w="1234" w:type="pct"/>
          </w:tcPr>
          <w:p w:rsidR="0000007A" w:rsidRPr="001515A9" w:rsidRDefault="0000007A" w:rsidP="00696CAD">
            <w:pPr>
              <w:pStyle w:val="BodyText"/>
              <w:ind w:left="90"/>
              <w:jc w:val="left"/>
              <w:rPr>
                <w:rFonts w:ascii="Arial" w:hAnsi="Arial" w:cs="Arial"/>
                <w:bCs/>
                <w:sz w:val="20"/>
                <w:szCs w:val="20"/>
                <w:lang w:val="en-GB"/>
              </w:rPr>
            </w:pPr>
            <w:r w:rsidRPr="001515A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1515A9" w:rsidRDefault="000975A2" w:rsidP="00F3669D">
            <w:pPr>
              <w:pStyle w:val="NormalWeb"/>
              <w:spacing w:before="0" w:beforeAutospacing="0" w:after="0" w:afterAutospacing="0"/>
              <w:rPr>
                <w:rFonts w:ascii="Arial" w:hAnsi="Arial" w:cs="Arial"/>
                <w:b/>
                <w:bCs/>
                <w:sz w:val="20"/>
                <w:szCs w:val="20"/>
                <w:lang w:val="en-GB"/>
              </w:rPr>
            </w:pPr>
            <w:r w:rsidRPr="001515A9">
              <w:rPr>
                <w:rFonts w:ascii="Arial" w:hAnsi="Arial" w:cs="Arial"/>
                <w:b/>
                <w:bCs/>
                <w:sz w:val="20"/>
                <w:szCs w:val="20"/>
                <w:lang w:val="en-GB"/>
              </w:rPr>
              <w:t>Ms_IJPSS_146360</w:t>
            </w:r>
          </w:p>
        </w:tc>
      </w:tr>
      <w:tr w:rsidR="0000007A" w:rsidRPr="001515A9" w:rsidTr="002643B3">
        <w:trPr>
          <w:trHeight w:val="650"/>
        </w:trPr>
        <w:tc>
          <w:tcPr>
            <w:tcW w:w="1234" w:type="pct"/>
          </w:tcPr>
          <w:p w:rsidR="0000007A" w:rsidRPr="001515A9" w:rsidRDefault="0000007A" w:rsidP="00696CAD">
            <w:pPr>
              <w:pStyle w:val="BodyText"/>
              <w:ind w:left="90"/>
              <w:jc w:val="left"/>
              <w:rPr>
                <w:rFonts w:ascii="Arial" w:hAnsi="Arial" w:cs="Arial"/>
                <w:bCs/>
                <w:sz w:val="20"/>
                <w:szCs w:val="20"/>
                <w:lang w:val="en-GB"/>
              </w:rPr>
            </w:pPr>
            <w:r w:rsidRPr="001515A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1515A9" w:rsidRDefault="000975A2" w:rsidP="000450FC">
            <w:pPr>
              <w:pStyle w:val="NormalWeb"/>
              <w:spacing w:before="0" w:beforeAutospacing="0" w:after="0" w:afterAutospacing="0"/>
              <w:rPr>
                <w:rFonts w:ascii="Arial" w:hAnsi="Arial" w:cs="Arial"/>
                <w:b/>
                <w:sz w:val="20"/>
                <w:szCs w:val="20"/>
                <w:lang w:val="en-GB"/>
              </w:rPr>
            </w:pPr>
            <w:r w:rsidRPr="001515A9">
              <w:rPr>
                <w:rFonts w:ascii="Arial" w:hAnsi="Arial" w:cs="Arial"/>
                <w:b/>
                <w:sz w:val="20"/>
                <w:szCs w:val="20"/>
                <w:lang w:val="en-GB"/>
              </w:rPr>
              <w:t xml:space="preserve">Floristic diversity and potential carbon stock in cocoa-based agroforestry systems: the case of the Nawa and </w:t>
            </w:r>
            <w:proofErr w:type="spellStart"/>
            <w:r w:rsidRPr="001515A9">
              <w:rPr>
                <w:rFonts w:ascii="Arial" w:hAnsi="Arial" w:cs="Arial"/>
                <w:b/>
                <w:sz w:val="20"/>
                <w:szCs w:val="20"/>
                <w:lang w:val="en-GB"/>
              </w:rPr>
              <w:t>Indénié</w:t>
            </w:r>
            <w:proofErr w:type="spellEnd"/>
            <w:r w:rsidRPr="001515A9">
              <w:rPr>
                <w:rFonts w:ascii="Arial" w:hAnsi="Arial" w:cs="Arial"/>
                <w:b/>
                <w:sz w:val="20"/>
                <w:szCs w:val="20"/>
                <w:lang w:val="en-GB"/>
              </w:rPr>
              <w:t xml:space="preserve">- </w:t>
            </w:r>
            <w:proofErr w:type="spellStart"/>
            <w:r w:rsidRPr="001515A9">
              <w:rPr>
                <w:rFonts w:ascii="Arial" w:hAnsi="Arial" w:cs="Arial"/>
                <w:b/>
                <w:sz w:val="20"/>
                <w:szCs w:val="20"/>
                <w:lang w:val="en-GB"/>
              </w:rPr>
              <w:t>Djuablin</w:t>
            </w:r>
            <w:proofErr w:type="spellEnd"/>
            <w:r w:rsidRPr="001515A9">
              <w:rPr>
                <w:rFonts w:ascii="Arial" w:hAnsi="Arial" w:cs="Arial"/>
                <w:b/>
                <w:sz w:val="20"/>
                <w:szCs w:val="20"/>
                <w:lang w:val="en-GB"/>
              </w:rPr>
              <w:t xml:space="preserve"> regions in Côte d'Ivoire</w:t>
            </w:r>
          </w:p>
        </w:tc>
      </w:tr>
      <w:tr w:rsidR="00CF0BBB" w:rsidRPr="001515A9" w:rsidTr="002643B3">
        <w:trPr>
          <w:trHeight w:val="332"/>
        </w:trPr>
        <w:tc>
          <w:tcPr>
            <w:tcW w:w="1234" w:type="pct"/>
          </w:tcPr>
          <w:p w:rsidR="00CF0BBB" w:rsidRPr="001515A9" w:rsidRDefault="00CF0BBB" w:rsidP="00696CAD">
            <w:pPr>
              <w:pStyle w:val="BodyText"/>
              <w:ind w:left="90"/>
              <w:jc w:val="left"/>
              <w:rPr>
                <w:rFonts w:ascii="Arial" w:hAnsi="Arial" w:cs="Arial"/>
                <w:bCs/>
                <w:sz w:val="20"/>
                <w:szCs w:val="20"/>
                <w:lang w:val="en-GB"/>
              </w:rPr>
            </w:pPr>
            <w:r w:rsidRPr="001515A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1515A9" w:rsidRDefault="000975A2" w:rsidP="000450FC">
            <w:pPr>
              <w:pStyle w:val="NormalWeb"/>
              <w:spacing w:before="0" w:beforeAutospacing="0" w:after="0" w:afterAutospacing="0"/>
              <w:rPr>
                <w:rFonts w:ascii="Arial" w:hAnsi="Arial" w:cs="Arial"/>
                <w:b/>
                <w:sz w:val="20"/>
                <w:szCs w:val="20"/>
                <w:lang w:val="en-GB"/>
              </w:rPr>
            </w:pPr>
            <w:r w:rsidRPr="001515A9">
              <w:rPr>
                <w:rFonts w:ascii="Arial" w:hAnsi="Arial" w:cs="Arial"/>
                <w:b/>
                <w:sz w:val="20"/>
                <w:szCs w:val="20"/>
                <w:lang w:val="en-GB"/>
              </w:rPr>
              <w:t>Original Research Article</w:t>
            </w:r>
          </w:p>
        </w:tc>
      </w:tr>
    </w:tbl>
    <w:p w:rsidR="00375C2F" w:rsidRPr="001515A9" w:rsidRDefault="00375C2F" w:rsidP="00375C2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9378"/>
        <w:gridCol w:w="6442"/>
      </w:tblGrid>
      <w:tr w:rsidR="00375C2F" w:rsidRPr="001515A9">
        <w:tc>
          <w:tcPr>
            <w:tcW w:w="5000" w:type="pct"/>
            <w:gridSpan w:val="3"/>
            <w:tcBorders>
              <w:top w:val="nil"/>
              <w:left w:val="nil"/>
              <w:right w:val="nil"/>
            </w:tcBorders>
            <w:noWrap/>
          </w:tcPr>
          <w:p w:rsidR="00375C2F" w:rsidRPr="001515A9" w:rsidRDefault="00375C2F">
            <w:pPr>
              <w:pStyle w:val="Heading2"/>
              <w:jc w:val="left"/>
              <w:rPr>
                <w:rFonts w:ascii="Arial" w:hAnsi="Arial" w:cs="Arial"/>
                <w:lang w:val="en-GB"/>
              </w:rPr>
            </w:pPr>
            <w:r w:rsidRPr="001515A9">
              <w:rPr>
                <w:rFonts w:ascii="Arial" w:hAnsi="Arial" w:cs="Arial"/>
                <w:highlight w:val="yellow"/>
                <w:lang w:val="en-GB"/>
              </w:rPr>
              <w:t>PART  1:</w:t>
            </w:r>
            <w:r w:rsidRPr="001515A9">
              <w:rPr>
                <w:rFonts w:ascii="Arial" w:hAnsi="Arial" w:cs="Arial"/>
                <w:lang w:val="en-GB"/>
              </w:rPr>
              <w:t xml:space="preserve"> Comments</w:t>
            </w:r>
          </w:p>
          <w:p w:rsidR="00375C2F" w:rsidRPr="001515A9" w:rsidRDefault="00375C2F">
            <w:pPr>
              <w:rPr>
                <w:rFonts w:ascii="Arial" w:hAnsi="Arial" w:cs="Arial"/>
                <w:sz w:val="20"/>
                <w:szCs w:val="20"/>
                <w:lang w:val="en-GB"/>
              </w:rPr>
            </w:pPr>
          </w:p>
        </w:tc>
      </w:tr>
      <w:tr w:rsidR="00375C2F" w:rsidRPr="001515A9" w:rsidTr="001515A9">
        <w:tc>
          <w:tcPr>
            <w:tcW w:w="1260" w:type="pct"/>
            <w:noWrap/>
          </w:tcPr>
          <w:p w:rsidR="00375C2F" w:rsidRPr="001515A9" w:rsidRDefault="00375C2F">
            <w:pPr>
              <w:pStyle w:val="Heading2"/>
              <w:jc w:val="left"/>
              <w:rPr>
                <w:rFonts w:ascii="Arial" w:hAnsi="Arial" w:cs="Arial"/>
                <w:lang w:val="en-GB"/>
              </w:rPr>
            </w:pPr>
          </w:p>
        </w:tc>
        <w:tc>
          <w:tcPr>
            <w:tcW w:w="2217" w:type="pct"/>
          </w:tcPr>
          <w:p w:rsidR="00375C2F" w:rsidRPr="001515A9" w:rsidRDefault="00375C2F">
            <w:pPr>
              <w:pStyle w:val="Heading2"/>
              <w:jc w:val="left"/>
              <w:rPr>
                <w:rFonts w:ascii="Arial" w:hAnsi="Arial" w:cs="Arial"/>
                <w:lang w:val="en-GB"/>
              </w:rPr>
            </w:pPr>
            <w:r w:rsidRPr="001515A9">
              <w:rPr>
                <w:rFonts w:ascii="Arial" w:hAnsi="Arial" w:cs="Arial"/>
                <w:lang w:val="en-GB"/>
              </w:rPr>
              <w:t>Reviewer’s comment</w:t>
            </w:r>
          </w:p>
          <w:p w:rsidR="0078731D" w:rsidRPr="001515A9" w:rsidRDefault="0078731D" w:rsidP="0078731D">
            <w:pPr>
              <w:rPr>
                <w:rFonts w:ascii="Arial" w:hAnsi="Arial" w:cs="Arial"/>
                <w:b/>
                <w:bCs/>
                <w:sz w:val="20"/>
                <w:szCs w:val="20"/>
              </w:rPr>
            </w:pPr>
            <w:r w:rsidRPr="001515A9">
              <w:rPr>
                <w:rFonts w:ascii="Arial" w:hAnsi="Arial" w:cs="Arial"/>
                <w:b/>
                <w:bCs/>
                <w:sz w:val="20"/>
                <w:szCs w:val="20"/>
                <w:highlight w:val="yellow"/>
              </w:rPr>
              <w:t>Artificial Intelligence (AI) generated or assisted review comments are strictly prohibited during peer review.</w:t>
            </w:r>
          </w:p>
          <w:p w:rsidR="0078731D" w:rsidRPr="001515A9" w:rsidRDefault="0078731D" w:rsidP="0078731D">
            <w:pPr>
              <w:rPr>
                <w:rFonts w:ascii="Arial" w:hAnsi="Arial" w:cs="Arial"/>
                <w:sz w:val="20"/>
                <w:szCs w:val="20"/>
                <w:lang w:val="en-GB"/>
              </w:rPr>
            </w:pPr>
          </w:p>
        </w:tc>
        <w:tc>
          <w:tcPr>
            <w:tcW w:w="1523" w:type="pct"/>
          </w:tcPr>
          <w:p w:rsidR="00DB7525" w:rsidRPr="001515A9" w:rsidRDefault="00DB7525" w:rsidP="00DB7525">
            <w:pPr>
              <w:spacing w:after="160" w:line="259" w:lineRule="auto"/>
              <w:rPr>
                <w:rFonts w:ascii="Arial" w:eastAsia="Calibri" w:hAnsi="Arial" w:cs="Arial"/>
                <w:kern w:val="2"/>
                <w:sz w:val="20"/>
                <w:szCs w:val="20"/>
                <w:lang w:val="en-IN"/>
              </w:rPr>
            </w:pPr>
            <w:r w:rsidRPr="001515A9">
              <w:rPr>
                <w:rFonts w:ascii="Arial" w:eastAsia="Calibri" w:hAnsi="Arial" w:cs="Arial"/>
                <w:b/>
                <w:kern w:val="2"/>
                <w:sz w:val="20"/>
                <w:szCs w:val="20"/>
                <w:lang w:val="en-IN"/>
              </w:rPr>
              <w:t>Author’s Feedback</w:t>
            </w:r>
            <w:r w:rsidRPr="001515A9">
              <w:rPr>
                <w:rFonts w:ascii="Arial" w:eastAsia="Calibri" w:hAnsi="Arial" w:cs="Arial"/>
                <w:kern w:val="2"/>
                <w:sz w:val="20"/>
                <w:szCs w:val="20"/>
                <w:lang w:val="en-IN"/>
              </w:rPr>
              <w:t xml:space="preserve"> (It is mandatory that authors should write his/her feedback here)</w:t>
            </w:r>
          </w:p>
          <w:p w:rsidR="00375C2F" w:rsidRPr="001515A9" w:rsidRDefault="00375C2F">
            <w:pPr>
              <w:pStyle w:val="Heading2"/>
              <w:jc w:val="left"/>
              <w:rPr>
                <w:rFonts w:ascii="Arial" w:hAnsi="Arial" w:cs="Arial"/>
                <w:b w:val="0"/>
                <w:lang w:val="en-GB"/>
              </w:rPr>
            </w:pPr>
          </w:p>
        </w:tc>
      </w:tr>
      <w:tr w:rsidR="00375C2F" w:rsidRPr="001515A9" w:rsidTr="001515A9">
        <w:trPr>
          <w:trHeight w:val="1264"/>
        </w:trPr>
        <w:tc>
          <w:tcPr>
            <w:tcW w:w="1260" w:type="pct"/>
            <w:noWrap/>
          </w:tcPr>
          <w:p w:rsidR="00375C2F" w:rsidRPr="001515A9" w:rsidRDefault="00375C2F">
            <w:pPr>
              <w:ind w:left="360"/>
              <w:rPr>
                <w:rFonts w:ascii="Arial" w:hAnsi="Arial" w:cs="Arial"/>
                <w:b/>
                <w:bCs/>
                <w:sz w:val="20"/>
                <w:szCs w:val="20"/>
                <w:lang w:val="en-GB"/>
              </w:rPr>
            </w:pPr>
            <w:r w:rsidRPr="001515A9">
              <w:rPr>
                <w:rFonts w:ascii="Arial" w:hAnsi="Arial" w:cs="Arial"/>
                <w:b/>
                <w:bCs/>
                <w:sz w:val="20"/>
                <w:szCs w:val="20"/>
                <w:lang w:val="en-GB"/>
              </w:rPr>
              <w:t>Please write a few sentences regarding the importance of this manuscript for the scientific community. A minimum of 3-4 sentences may be required for this part.</w:t>
            </w:r>
          </w:p>
          <w:p w:rsidR="00375C2F" w:rsidRPr="001515A9" w:rsidRDefault="00375C2F">
            <w:pPr>
              <w:ind w:left="360"/>
              <w:rPr>
                <w:rFonts w:ascii="Arial" w:eastAsia="MS Mincho" w:hAnsi="Arial" w:cs="Arial"/>
                <w:b/>
                <w:bCs/>
                <w:sz w:val="20"/>
                <w:szCs w:val="20"/>
                <w:lang w:val="en-GB"/>
              </w:rPr>
            </w:pPr>
          </w:p>
        </w:tc>
        <w:tc>
          <w:tcPr>
            <w:tcW w:w="2217" w:type="pct"/>
          </w:tcPr>
          <w:p w:rsidR="00375C2F" w:rsidRPr="001515A9" w:rsidRDefault="00CB5A1B">
            <w:pPr>
              <w:pStyle w:val="ListParagraph"/>
              <w:ind w:left="0"/>
              <w:rPr>
                <w:rFonts w:ascii="Arial" w:hAnsi="Arial" w:cs="Arial"/>
                <w:b/>
                <w:bCs/>
                <w:sz w:val="20"/>
                <w:szCs w:val="20"/>
                <w:lang w:val="en-GB"/>
              </w:rPr>
            </w:pPr>
            <w:r w:rsidRPr="001515A9">
              <w:rPr>
                <w:rFonts w:ascii="Arial" w:hAnsi="Arial" w:cs="Arial"/>
                <w:sz w:val="20"/>
                <w:szCs w:val="20"/>
              </w:rPr>
              <w:t>This manuscript holds strong scientific value as it quantifies both floristic diversity and carbon sequestration in cocoa-based agroforestry systems of Côte d’Ivoire, a key global cocoa producer. It bridges critical data gaps on regional carbon dynamics, biodiversity conservation, and climate mitigation potential, offering valuable insights for REDD+, sustainable agriculture, and carbon certification frameworks.</w:t>
            </w:r>
          </w:p>
        </w:tc>
        <w:tc>
          <w:tcPr>
            <w:tcW w:w="1523" w:type="pct"/>
          </w:tcPr>
          <w:p w:rsidR="00375C2F" w:rsidRPr="001515A9" w:rsidRDefault="00375C2F">
            <w:pPr>
              <w:pStyle w:val="Heading2"/>
              <w:jc w:val="left"/>
              <w:rPr>
                <w:rFonts w:ascii="Arial" w:hAnsi="Arial" w:cs="Arial"/>
                <w:b w:val="0"/>
                <w:lang w:val="en-GB"/>
              </w:rPr>
            </w:pPr>
          </w:p>
        </w:tc>
      </w:tr>
      <w:tr w:rsidR="00375C2F" w:rsidRPr="001515A9" w:rsidTr="001515A9">
        <w:trPr>
          <w:trHeight w:val="1262"/>
        </w:trPr>
        <w:tc>
          <w:tcPr>
            <w:tcW w:w="1260" w:type="pct"/>
            <w:noWrap/>
          </w:tcPr>
          <w:p w:rsidR="00375C2F" w:rsidRPr="001515A9" w:rsidRDefault="00375C2F">
            <w:pPr>
              <w:ind w:left="360"/>
              <w:rPr>
                <w:rFonts w:ascii="Arial" w:hAnsi="Arial" w:cs="Arial"/>
                <w:b/>
                <w:bCs/>
                <w:sz w:val="20"/>
                <w:szCs w:val="20"/>
                <w:lang w:val="en-GB"/>
              </w:rPr>
            </w:pPr>
            <w:r w:rsidRPr="001515A9">
              <w:rPr>
                <w:rFonts w:ascii="Arial" w:hAnsi="Arial" w:cs="Arial"/>
                <w:b/>
                <w:bCs/>
                <w:sz w:val="20"/>
                <w:szCs w:val="20"/>
                <w:lang w:val="en-GB"/>
              </w:rPr>
              <w:t>Is the title of the article suitable?</w:t>
            </w:r>
          </w:p>
          <w:p w:rsidR="00375C2F" w:rsidRPr="001515A9" w:rsidRDefault="00375C2F">
            <w:pPr>
              <w:ind w:left="360"/>
              <w:rPr>
                <w:rFonts w:ascii="Arial" w:hAnsi="Arial" w:cs="Arial"/>
                <w:b/>
                <w:bCs/>
                <w:sz w:val="20"/>
                <w:szCs w:val="20"/>
                <w:lang w:val="en-GB"/>
              </w:rPr>
            </w:pPr>
            <w:r w:rsidRPr="001515A9">
              <w:rPr>
                <w:rFonts w:ascii="Arial" w:hAnsi="Arial" w:cs="Arial"/>
                <w:b/>
                <w:bCs/>
                <w:sz w:val="20"/>
                <w:szCs w:val="20"/>
                <w:lang w:val="en-GB"/>
              </w:rPr>
              <w:t>(If not please suggest an alternative title)</w:t>
            </w:r>
          </w:p>
          <w:p w:rsidR="00375C2F" w:rsidRPr="001515A9" w:rsidRDefault="00375C2F">
            <w:pPr>
              <w:pStyle w:val="Heading2"/>
              <w:jc w:val="left"/>
              <w:rPr>
                <w:rFonts w:ascii="Arial" w:hAnsi="Arial" w:cs="Arial"/>
                <w:u w:val="single"/>
                <w:lang w:val="en-GB"/>
              </w:rPr>
            </w:pPr>
          </w:p>
        </w:tc>
        <w:tc>
          <w:tcPr>
            <w:tcW w:w="2217" w:type="pct"/>
          </w:tcPr>
          <w:p w:rsidR="00375C2F" w:rsidRPr="001515A9" w:rsidRDefault="009211E1" w:rsidP="009211E1">
            <w:pPr>
              <w:rPr>
                <w:rFonts w:ascii="Arial" w:hAnsi="Arial" w:cs="Arial"/>
                <w:b/>
                <w:bCs/>
                <w:sz w:val="20"/>
                <w:szCs w:val="20"/>
                <w:lang w:val="en-GB"/>
              </w:rPr>
            </w:pPr>
            <w:r w:rsidRPr="001515A9">
              <w:rPr>
                <w:rFonts w:ascii="Arial" w:hAnsi="Arial" w:cs="Arial"/>
                <w:sz w:val="20"/>
                <w:szCs w:val="20"/>
              </w:rPr>
              <w:t xml:space="preserve">The title “Floristic diversity and potential carbon stock in cocoa-based agroforestry systems: the case of the Nawa and </w:t>
            </w:r>
            <w:proofErr w:type="spellStart"/>
            <w:r w:rsidRPr="001515A9">
              <w:rPr>
                <w:rFonts w:ascii="Arial" w:hAnsi="Arial" w:cs="Arial"/>
                <w:sz w:val="20"/>
                <w:szCs w:val="20"/>
              </w:rPr>
              <w:t>Indénié-Djuablin</w:t>
            </w:r>
            <w:proofErr w:type="spellEnd"/>
            <w:r w:rsidRPr="001515A9">
              <w:rPr>
                <w:rFonts w:ascii="Arial" w:hAnsi="Arial" w:cs="Arial"/>
                <w:sz w:val="20"/>
                <w:szCs w:val="20"/>
              </w:rPr>
              <w:t xml:space="preserve"> regions in Côte d'Ivoire” is informative and contextually appropriate, reflecting the study’s focus on biodiversity and carbon assessment in cocoa agroforestry. However, “potential carbon stock” may mislead, as the research is based on field estimations rather than projections. For greater clarity and academic appeal, it could be refined to emphasize carbon sequestration and comparative analysis. Suggested alternatives include “Floristic Diversity and Carbon Sequestration in Cocoa Agroforestry Systems of Côte d’Ivoire” or “Biodiversity and Carbon Storage in Cocoa Agroforests.”</w:t>
            </w:r>
          </w:p>
        </w:tc>
        <w:tc>
          <w:tcPr>
            <w:tcW w:w="1523" w:type="pct"/>
          </w:tcPr>
          <w:p w:rsidR="00375C2F" w:rsidRPr="001515A9" w:rsidRDefault="00375C2F">
            <w:pPr>
              <w:pStyle w:val="Heading2"/>
              <w:jc w:val="left"/>
              <w:rPr>
                <w:rFonts w:ascii="Arial" w:hAnsi="Arial" w:cs="Arial"/>
                <w:b w:val="0"/>
                <w:lang w:val="en-GB"/>
              </w:rPr>
            </w:pPr>
          </w:p>
        </w:tc>
      </w:tr>
      <w:tr w:rsidR="00375C2F" w:rsidRPr="001515A9" w:rsidTr="001515A9">
        <w:trPr>
          <w:trHeight w:val="1262"/>
        </w:trPr>
        <w:tc>
          <w:tcPr>
            <w:tcW w:w="1260" w:type="pct"/>
            <w:noWrap/>
          </w:tcPr>
          <w:p w:rsidR="00375C2F" w:rsidRPr="001515A9" w:rsidRDefault="00375C2F">
            <w:pPr>
              <w:pStyle w:val="Heading2"/>
              <w:ind w:left="360"/>
              <w:jc w:val="left"/>
              <w:rPr>
                <w:rFonts w:ascii="Arial" w:hAnsi="Arial" w:cs="Arial"/>
                <w:lang w:val="en-GB"/>
              </w:rPr>
            </w:pPr>
            <w:r w:rsidRPr="001515A9">
              <w:rPr>
                <w:rFonts w:ascii="Arial" w:hAnsi="Arial" w:cs="Arial"/>
                <w:lang w:val="en-GB"/>
              </w:rPr>
              <w:t>Is the abstract of the article comprehensive? Do you suggest the addition (or deletion) of some points in this section? Please write your suggestions here.</w:t>
            </w:r>
          </w:p>
          <w:p w:rsidR="00375C2F" w:rsidRPr="001515A9" w:rsidRDefault="00375C2F">
            <w:pPr>
              <w:pStyle w:val="Heading2"/>
              <w:jc w:val="left"/>
              <w:rPr>
                <w:rFonts w:ascii="Arial" w:hAnsi="Arial" w:cs="Arial"/>
                <w:u w:val="single"/>
                <w:lang w:val="en-GB"/>
              </w:rPr>
            </w:pPr>
          </w:p>
        </w:tc>
        <w:tc>
          <w:tcPr>
            <w:tcW w:w="2217" w:type="pct"/>
          </w:tcPr>
          <w:p w:rsidR="00375C2F" w:rsidRPr="001515A9" w:rsidRDefault="009211E1" w:rsidP="009211E1">
            <w:pPr>
              <w:rPr>
                <w:rFonts w:ascii="Arial" w:hAnsi="Arial" w:cs="Arial"/>
                <w:b/>
                <w:bCs/>
                <w:sz w:val="20"/>
                <w:szCs w:val="20"/>
                <w:lang w:val="en-GB"/>
              </w:rPr>
            </w:pPr>
            <w:r w:rsidRPr="001515A9">
              <w:rPr>
                <w:rFonts w:ascii="Arial" w:hAnsi="Arial" w:cs="Arial"/>
                <w:sz w:val="20"/>
                <w:szCs w:val="20"/>
              </w:rPr>
              <w:t xml:space="preserve">The abstract presents a clear overview of the study’s objectives, methods, and key findings, including species richness, tree density, and carbon stock comparisons between Nawa and </w:t>
            </w:r>
            <w:proofErr w:type="spellStart"/>
            <w:r w:rsidRPr="001515A9">
              <w:rPr>
                <w:rFonts w:ascii="Arial" w:hAnsi="Arial" w:cs="Arial"/>
                <w:sz w:val="20"/>
                <w:szCs w:val="20"/>
              </w:rPr>
              <w:t>Indénié-Djuablin</w:t>
            </w:r>
            <w:proofErr w:type="spellEnd"/>
            <w:r w:rsidRPr="001515A9">
              <w:rPr>
                <w:rFonts w:ascii="Arial" w:hAnsi="Arial" w:cs="Arial"/>
                <w:sz w:val="20"/>
                <w:szCs w:val="20"/>
              </w:rPr>
              <w:t xml:space="preserve">. It demonstrates relevance to climate change mitigation and sustainable agroforestry. However, from an </w:t>
            </w:r>
            <w:r w:rsidRPr="001515A9">
              <w:rPr>
                <w:rStyle w:val="Strong"/>
                <w:rFonts w:ascii="Arial" w:eastAsia="MS Mincho" w:hAnsi="Arial" w:cs="Arial"/>
                <w:sz w:val="20"/>
                <w:szCs w:val="20"/>
              </w:rPr>
              <w:t>international journal standard</w:t>
            </w:r>
            <w:r w:rsidRPr="001515A9">
              <w:rPr>
                <w:rFonts w:ascii="Arial" w:hAnsi="Arial" w:cs="Arial"/>
                <w:sz w:val="20"/>
                <w:szCs w:val="20"/>
              </w:rPr>
              <w:t xml:space="preserve">, it lacks </w:t>
            </w:r>
            <w:r w:rsidRPr="001515A9">
              <w:rPr>
                <w:rStyle w:val="Strong"/>
                <w:rFonts w:ascii="Arial" w:eastAsia="MS Mincho" w:hAnsi="Arial" w:cs="Arial"/>
                <w:sz w:val="20"/>
                <w:szCs w:val="20"/>
              </w:rPr>
              <w:t>structured precision</w:t>
            </w:r>
            <w:r w:rsidRPr="001515A9">
              <w:rPr>
                <w:rFonts w:ascii="Arial" w:hAnsi="Arial" w:cs="Arial"/>
                <w:sz w:val="20"/>
                <w:szCs w:val="20"/>
              </w:rPr>
              <w:t xml:space="preserve">, </w:t>
            </w:r>
            <w:r w:rsidRPr="001515A9">
              <w:rPr>
                <w:rStyle w:val="Strong"/>
                <w:rFonts w:ascii="Arial" w:eastAsia="MS Mincho" w:hAnsi="Arial" w:cs="Arial"/>
                <w:sz w:val="20"/>
                <w:szCs w:val="20"/>
              </w:rPr>
              <w:t>quantitative clarity</w:t>
            </w:r>
            <w:r w:rsidRPr="001515A9">
              <w:rPr>
                <w:rFonts w:ascii="Arial" w:hAnsi="Arial" w:cs="Arial"/>
                <w:sz w:val="20"/>
                <w:szCs w:val="20"/>
              </w:rPr>
              <w:t xml:space="preserve">, and a </w:t>
            </w:r>
            <w:r w:rsidRPr="001515A9">
              <w:rPr>
                <w:rStyle w:val="Strong"/>
                <w:rFonts w:ascii="Arial" w:eastAsia="MS Mincho" w:hAnsi="Arial" w:cs="Arial"/>
                <w:sz w:val="20"/>
                <w:szCs w:val="20"/>
              </w:rPr>
              <w:t>concise statement of implications</w:t>
            </w:r>
            <w:r w:rsidRPr="001515A9">
              <w:rPr>
                <w:rFonts w:ascii="Arial" w:hAnsi="Arial" w:cs="Arial"/>
                <w:sz w:val="20"/>
                <w:szCs w:val="20"/>
              </w:rPr>
              <w:t xml:space="preserve">. The abstract should follow the logical sequence of </w:t>
            </w:r>
            <w:r w:rsidRPr="001515A9">
              <w:rPr>
                <w:rStyle w:val="Strong"/>
                <w:rFonts w:ascii="Arial" w:eastAsia="MS Mincho" w:hAnsi="Arial" w:cs="Arial"/>
                <w:sz w:val="20"/>
                <w:szCs w:val="20"/>
              </w:rPr>
              <w:t>background–objective–methods–results–conclusion–implications</w:t>
            </w:r>
            <w:r w:rsidRPr="001515A9">
              <w:rPr>
                <w:rFonts w:ascii="Arial" w:hAnsi="Arial" w:cs="Arial"/>
                <w:sz w:val="20"/>
                <w:szCs w:val="20"/>
              </w:rPr>
              <w:t xml:space="preserve">. Technical rigor would improve by specifying sample size, analytical methods (e.g., allometric models, soil carbon analysis), and statistical validation. The term “potential carbon stock” should be replaced with “estimated carbon stock” to reflect measured rather than projected data. Additionally, the linkage between floristic diversity and carbon sequestration should be better articulated to show ecological interactions. The conclusion could be strengthened by highlighting the study’s contribution to REDD+ policy, carbon certification mechanisms, and sustainable cocoa farming strategies. A brief mention of limitations and recommendations would add scientific transparency. Overall, the abstract is informative but would benefit from </w:t>
            </w:r>
            <w:r w:rsidRPr="001515A9">
              <w:rPr>
                <w:rStyle w:val="Strong"/>
                <w:rFonts w:ascii="Arial" w:eastAsia="MS Mincho" w:hAnsi="Arial" w:cs="Arial"/>
                <w:sz w:val="20"/>
                <w:szCs w:val="20"/>
              </w:rPr>
              <w:t>restructuring into a concise, data-driven summary</w:t>
            </w:r>
            <w:r w:rsidRPr="001515A9">
              <w:rPr>
                <w:rFonts w:ascii="Arial" w:hAnsi="Arial" w:cs="Arial"/>
                <w:sz w:val="20"/>
                <w:szCs w:val="20"/>
              </w:rPr>
              <w:t xml:space="preserve"> that highlights novelty, quantitative outcomes, and policy relevance—key requirements for publication in high-impact international journals.</w:t>
            </w:r>
          </w:p>
        </w:tc>
        <w:tc>
          <w:tcPr>
            <w:tcW w:w="1523" w:type="pct"/>
          </w:tcPr>
          <w:p w:rsidR="00375C2F" w:rsidRPr="001515A9" w:rsidRDefault="00375C2F">
            <w:pPr>
              <w:pStyle w:val="Heading2"/>
              <w:jc w:val="left"/>
              <w:rPr>
                <w:rFonts w:ascii="Arial" w:hAnsi="Arial" w:cs="Arial"/>
                <w:b w:val="0"/>
                <w:lang w:val="en-GB"/>
              </w:rPr>
            </w:pPr>
          </w:p>
        </w:tc>
      </w:tr>
      <w:tr w:rsidR="00375C2F" w:rsidRPr="001515A9" w:rsidTr="001515A9">
        <w:trPr>
          <w:trHeight w:val="704"/>
        </w:trPr>
        <w:tc>
          <w:tcPr>
            <w:tcW w:w="1260" w:type="pct"/>
            <w:noWrap/>
          </w:tcPr>
          <w:p w:rsidR="00375C2F" w:rsidRPr="001515A9" w:rsidRDefault="00375C2F">
            <w:pPr>
              <w:pStyle w:val="Heading2"/>
              <w:ind w:left="360"/>
              <w:jc w:val="left"/>
              <w:rPr>
                <w:rFonts w:ascii="Arial" w:hAnsi="Arial" w:cs="Arial"/>
                <w:b w:val="0"/>
                <w:bCs w:val="0"/>
                <w:u w:val="single"/>
                <w:lang w:val="en-GB"/>
              </w:rPr>
            </w:pPr>
            <w:r w:rsidRPr="001515A9">
              <w:rPr>
                <w:rFonts w:ascii="Arial" w:hAnsi="Arial" w:cs="Arial"/>
                <w:lang w:val="en-GB"/>
              </w:rPr>
              <w:t>Is the manuscript scientifically, correct? Please write here.</w:t>
            </w:r>
          </w:p>
        </w:tc>
        <w:tc>
          <w:tcPr>
            <w:tcW w:w="2217" w:type="pct"/>
          </w:tcPr>
          <w:p w:rsidR="00375C2F" w:rsidRPr="001515A9" w:rsidRDefault="00430DF1">
            <w:pPr>
              <w:pStyle w:val="ListParagraph"/>
              <w:ind w:left="0"/>
              <w:rPr>
                <w:rFonts w:ascii="Arial" w:hAnsi="Arial" w:cs="Arial"/>
                <w:bCs/>
                <w:sz w:val="20"/>
                <w:szCs w:val="20"/>
                <w:lang w:val="en-GB"/>
              </w:rPr>
            </w:pPr>
            <w:r w:rsidRPr="001515A9">
              <w:rPr>
                <w:rFonts w:ascii="Arial" w:hAnsi="Arial" w:cs="Arial"/>
                <w:sz w:val="20"/>
                <w:szCs w:val="20"/>
              </w:rPr>
              <w:t xml:space="preserve">The manuscript is scientifically sound in its objectives, field design, and analytical approach, aligning well with international standards for agroforestry and carbon assessment research. The study applies appropriate </w:t>
            </w:r>
            <w:r w:rsidRPr="001515A9">
              <w:rPr>
                <w:rStyle w:val="Strong"/>
                <w:rFonts w:ascii="Arial" w:eastAsia="MS Mincho" w:hAnsi="Arial" w:cs="Arial"/>
                <w:b w:val="0"/>
                <w:bCs w:val="0"/>
                <w:sz w:val="20"/>
                <w:szCs w:val="20"/>
              </w:rPr>
              <w:t>allometric models (Chave et al., 2005; 2014)</w:t>
            </w:r>
            <w:r w:rsidRPr="001515A9">
              <w:rPr>
                <w:rFonts w:ascii="Arial" w:hAnsi="Arial" w:cs="Arial"/>
                <w:b/>
                <w:bCs/>
                <w:sz w:val="20"/>
                <w:szCs w:val="20"/>
              </w:rPr>
              <w:t xml:space="preserve"> </w:t>
            </w:r>
            <w:r w:rsidRPr="001515A9">
              <w:rPr>
                <w:rFonts w:ascii="Arial" w:hAnsi="Arial" w:cs="Arial"/>
                <w:sz w:val="20"/>
                <w:szCs w:val="20"/>
              </w:rPr>
              <w:t xml:space="preserve">and </w:t>
            </w:r>
            <w:r w:rsidRPr="001515A9">
              <w:rPr>
                <w:rStyle w:val="Strong"/>
                <w:rFonts w:ascii="Arial" w:eastAsia="MS Mincho" w:hAnsi="Arial" w:cs="Arial"/>
                <w:b w:val="0"/>
                <w:bCs w:val="0"/>
                <w:sz w:val="20"/>
                <w:szCs w:val="20"/>
              </w:rPr>
              <w:t>IPCC (2006)</w:t>
            </w:r>
            <w:r w:rsidRPr="001515A9">
              <w:rPr>
                <w:rFonts w:ascii="Arial" w:hAnsi="Arial" w:cs="Arial"/>
                <w:sz w:val="20"/>
                <w:szCs w:val="20"/>
              </w:rPr>
              <w:t xml:space="preserve"> guidelines for biomass and carbon estimation, supported by </w:t>
            </w:r>
            <w:r w:rsidRPr="001515A9">
              <w:rPr>
                <w:rStyle w:val="Strong"/>
                <w:rFonts w:ascii="Arial" w:eastAsia="MS Mincho" w:hAnsi="Arial" w:cs="Arial"/>
                <w:b w:val="0"/>
                <w:bCs w:val="0"/>
                <w:sz w:val="20"/>
                <w:szCs w:val="20"/>
              </w:rPr>
              <w:t>standard biodiversity indices</w:t>
            </w:r>
            <w:r w:rsidRPr="001515A9">
              <w:rPr>
                <w:rFonts w:ascii="Arial" w:hAnsi="Arial" w:cs="Arial"/>
                <w:sz w:val="20"/>
                <w:szCs w:val="20"/>
              </w:rPr>
              <w:t xml:space="preserve"> (Shannon, Simpson, Pielou). Sampling and statistical analyses are clearly structured, though replication size (10 plots) may limit representativeness. The methodology demonstrates logical consistency between data collection, computation, and interpretation. However, the manuscript could improve by presenting </w:t>
            </w:r>
            <w:r w:rsidRPr="001515A9">
              <w:rPr>
                <w:rStyle w:val="Strong"/>
                <w:rFonts w:ascii="Arial" w:eastAsia="MS Mincho" w:hAnsi="Arial" w:cs="Arial"/>
                <w:b w:val="0"/>
                <w:bCs w:val="0"/>
                <w:sz w:val="20"/>
                <w:szCs w:val="20"/>
              </w:rPr>
              <w:t>uncertainty analysis</w:t>
            </w:r>
            <w:r w:rsidRPr="001515A9">
              <w:rPr>
                <w:rFonts w:ascii="Arial" w:hAnsi="Arial" w:cs="Arial"/>
                <w:b/>
                <w:bCs/>
                <w:sz w:val="20"/>
                <w:szCs w:val="20"/>
              </w:rPr>
              <w:t xml:space="preserve">, </w:t>
            </w:r>
            <w:r w:rsidRPr="001515A9">
              <w:rPr>
                <w:rStyle w:val="Strong"/>
                <w:rFonts w:ascii="Arial" w:eastAsia="MS Mincho" w:hAnsi="Arial" w:cs="Arial"/>
                <w:b w:val="0"/>
                <w:bCs w:val="0"/>
                <w:sz w:val="20"/>
                <w:szCs w:val="20"/>
              </w:rPr>
              <w:t>error margins</w:t>
            </w:r>
            <w:r w:rsidRPr="001515A9">
              <w:rPr>
                <w:rFonts w:ascii="Arial" w:hAnsi="Arial" w:cs="Arial"/>
                <w:b/>
                <w:bCs/>
                <w:sz w:val="20"/>
                <w:szCs w:val="20"/>
              </w:rPr>
              <w:t xml:space="preserve">, </w:t>
            </w:r>
            <w:r w:rsidRPr="001515A9">
              <w:rPr>
                <w:rFonts w:ascii="Arial" w:hAnsi="Arial" w:cs="Arial"/>
                <w:sz w:val="20"/>
                <w:szCs w:val="20"/>
              </w:rPr>
              <w:t>and</w:t>
            </w:r>
            <w:r w:rsidRPr="001515A9">
              <w:rPr>
                <w:rFonts w:ascii="Arial" w:hAnsi="Arial" w:cs="Arial"/>
                <w:b/>
                <w:bCs/>
                <w:sz w:val="20"/>
                <w:szCs w:val="20"/>
              </w:rPr>
              <w:t xml:space="preserve"> </w:t>
            </w:r>
            <w:r w:rsidRPr="001515A9">
              <w:rPr>
                <w:rStyle w:val="Strong"/>
                <w:rFonts w:ascii="Arial" w:eastAsia="MS Mincho" w:hAnsi="Arial" w:cs="Arial"/>
                <w:b w:val="0"/>
                <w:bCs w:val="0"/>
                <w:sz w:val="20"/>
                <w:szCs w:val="20"/>
              </w:rPr>
              <w:t>statistical significance values</w:t>
            </w:r>
            <w:r w:rsidRPr="001515A9">
              <w:rPr>
                <w:rFonts w:ascii="Arial" w:hAnsi="Arial" w:cs="Arial"/>
                <w:sz w:val="20"/>
                <w:szCs w:val="20"/>
              </w:rPr>
              <w:t xml:space="preserve"> more explicitly. A stronger link between biodiversity and carbon storage dynamics would enhance the ecological interpretation. Overall, it meets scientific rigor in design and application but needs refinement in </w:t>
            </w:r>
            <w:r w:rsidRPr="001515A9">
              <w:rPr>
                <w:rStyle w:val="Strong"/>
                <w:rFonts w:ascii="Arial" w:eastAsia="MS Mincho" w:hAnsi="Arial" w:cs="Arial"/>
                <w:b w:val="0"/>
                <w:bCs w:val="0"/>
                <w:sz w:val="20"/>
                <w:szCs w:val="20"/>
              </w:rPr>
              <w:t>data presentation, validation transparency, and interpretative depth</w:t>
            </w:r>
            <w:r w:rsidRPr="001515A9">
              <w:rPr>
                <w:rFonts w:ascii="Arial" w:hAnsi="Arial" w:cs="Arial"/>
                <w:b/>
                <w:bCs/>
                <w:sz w:val="20"/>
                <w:szCs w:val="20"/>
              </w:rPr>
              <w:t xml:space="preserve"> </w:t>
            </w:r>
            <w:r w:rsidRPr="001515A9">
              <w:rPr>
                <w:rFonts w:ascii="Arial" w:hAnsi="Arial" w:cs="Arial"/>
                <w:sz w:val="20"/>
                <w:szCs w:val="20"/>
              </w:rPr>
              <w:t>to fully satisfy high-tier international journal standards.</w:t>
            </w:r>
          </w:p>
        </w:tc>
        <w:tc>
          <w:tcPr>
            <w:tcW w:w="1523" w:type="pct"/>
          </w:tcPr>
          <w:p w:rsidR="00375C2F" w:rsidRPr="001515A9" w:rsidRDefault="00375C2F">
            <w:pPr>
              <w:pStyle w:val="Heading2"/>
              <w:jc w:val="left"/>
              <w:rPr>
                <w:rFonts w:ascii="Arial" w:hAnsi="Arial" w:cs="Arial"/>
                <w:b w:val="0"/>
                <w:lang w:val="en-GB"/>
              </w:rPr>
            </w:pPr>
          </w:p>
        </w:tc>
      </w:tr>
      <w:tr w:rsidR="00375C2F" w:rsidRPr="001515A9" w:rsidTr="001515A9">
        <w:trPr>
          <w:trHeight w:val="703"/>
        </w:trPr>
        <w:tc>
          <w:tcPr>
            <w:tcW w:w="1260" w:type="pct"/>
            <w:noWrap/>
          </w:tcPr>
          <w:p w:rsidR="00375C2F" w:rsidRPr="001515A9" w:rsidRDefault="00375C2F">
            <w:pPr>
              <w:ind w:left="360"/>
              <w:rPr>
                <w:rFonts w:ascii="Arial" w:hAnsi="Arial" w:cs="Arial"/>
                <w:b/>
                <w:bCs/>
                <w:sz w:val="20"/>
                <w:szCs w:val="20"/>
                <w:lang w:val="en-GB"/>
              </w:rPr>
            </w:pPr>
            <w:r w:rsidRPr="001515A9">
              <w:rPr>
                <w:rFonts w:ascii="Arial" w:hAnsi="Arial" w:cs="Arial"/>
                <w:b/>
                <w:bCs/>
                <w:sz w:val="20"/>
                <w:szCs w:val="20"/>
                <w:lang w:val="en-GB"/>
              </w:rPr>
              <w:t>Are the references sufficient and recent? If you have suggestions of additional references, please mention them in the review form.</w:t>
            </w:r>
          </w:p>
        </w:tc>
        <w:tc>
          <w:tcPr>
            <w:tcW w:w="2217" w:type="pct"/>
          </w:tcPr>
          <w:p w:rsidR="00A006A4" w:rsidRPr="001515A9" w:rsidRDefault="00A006A4" w:rsidP="00A006A4">
            <w:pPr>
              <w:pStyle w:val="NormalWeb"/>
              <w:rPr>
                <w:rFonts w:ascii="Arial" w:hAnsi="Arial" w:cs="Arial"/>
                <w:sz w:val="20"/>
                <w:szCs w:val="20"/>
              </w:rPr>
            </w:pPr>
            <w:r w:rsidRPr="001515A9">
              <w:rPr>
                <w:rFonts w:ascii="Arial" w:hAnsi="Arial" w:cs="Arial"/>
                <w:sz w:val="20"/>
                <w:szCs w:val="20"/>
              </w:rPr>
              <w:t xml:space="preserve">The manuscript includes an extensive reference list (over 60 citations), covering foundational and regional works on cocoa agroforestry, biodiversity, and carbon stock assessment. However, </w:t>
            </w:r>
            <w:r w:rsidRPr="001515A9">
              <w:rPr>
                <w:rStyle w:val="Strong"/>
                <w:rFonts w:ascii="Arial" w:hAnsi="Arial" w:cs="Arial"/>
                <w:sz w:val="20"/>
                <w:szCs w:val="20"/>
              </w:rPr>
              <w:t>reference quality and consistency</w:t>
            </w:r>
            <w:r w:rsidRPr="001515A9">
              <w:rPr>
                <w:rFonts w:ascii="Arial" w:hAnsi="Arial" w:cs="Arial"/>
                <w:sz w:val="20"/>
                <w:szCs w:val="20"/>
              </w:rPr>
              <w:t xml:space="preserve"> do not fully meet international journal standards. The following critical </w:t>
            </w:r>
            <w:r w:rsidRPr="001515A9">
              <w:rPr>
                <w:rFonts w:ascii="Arial" w:hAnsi="Arial" w:cs="Arial"/>
                <w:sz w:val="20"/>
                <w:szCs w:val="20"/>
              </w:rPr>
              <w:lastRenderedPageBreak/>
              <w:t>observations and suggestions apply:</w:t>
            </w:r>
          </w:p>
          <w:p w:rsidR="00A006A4" w:rsidRPr="001515A9" w:rsidRDefault="00A006A4" w:rsidP="00A006A4">
            <w:pPr>
              <w:pStyle w:val="Heading3"/>
              <w:rPr>
                <w:rFonts w:ascii="Arial" w:hAnsi="Arial" w:cs="Arial"/>
                <w:sz w:val="20"/>
                <w:szCs w:val="20"/>
              </w:rPr>
            </w:pPr>
            <w:r w:rsidRPr="001515A9">
              <w:rPr>
                <w:rStyle w:val="Strong"/>
                <w:rFonts w:ascii="Arial" w:hAnsi="Arial" w:cs="Arial"/>
                <w:b/>
                <w:bCs/>
                <w:sz w:val="20"/>
                <w:szCs w:val="20"/>
              </w:rPr>
              <w:t>1. Citation Consistency and Formatting</w:t>
            </w:r>
          </w:p>
          <w:p w:rsidR="00A006A4" w:rsidRPr="001515A9" w:rsidRDefault="00A006A4" w:rsidP="00A006A4">
            <w:pPr>
              <w:pStyle w:val="NormalWeb"/>
              <w:numPr>
                <w:ilvl w:val="0"/>
                <w:numId w:val="13"/>
              </w:numPr>
              <w:rPr>
                <w:rFonts w:ascii="Arial" w:hAnsi="Arial" w:cs="Arial"/>
                <w:sz w:val="20"/>
                <w:szCs w:val="20"/>
              </w:rPr>
            </w:pPr>
            <w:r w:rsidRPr="001515A9">
              <w:rPr>
                <w:rFonts w:ascii="Arial" w:hAnsi="Arial" w:cs="Arial"/>
                <w:sz w:val="20"/>
                <w:szCs w:val="20"/>
              </w:rPr>
              <w:t xml:space="preserve">The referencing style is inconsistent—mixing </w:t>
            </w:r>
            <w:r w:rsidRPr="001515A9">
              <w:rPr>
                <w:rStyle w:val="Strong"/>
                <w:rFonts w:ascii="Arial" w:hAnsi="Arial" w:cs="Arial"/>
                <w:sz w:val="20"/>
                <w:szCs w:val="20"/>
              </w:rPr>
              <w:t>APA, numeric, and author–date</w:t>
            </w:r>
            <w:r w:rsidRPr="001515A9">
              <w:rPr>
                <w:rFonts w:ascii="Arial" w:hAnsi="Arial" w:cs="Arial"/>
                <w:sz w:val="20"/>
                <w:szCs w:val="20"/>
              </w:rPr>
              <w:t xml:space="preserve"> systems.</w:t>
            </w:r>
          </w:p>
          <w:p w:rsidR="00A006A4" w:rsidRPr="001515A9" w:rsidRDefault="00A006A4" w:rsidP="00A006A4">
            <w:pPr>
              <w:pStyle w:val="NormalWeb"/>
              <w:numPr>
                <w:ilvl w:val="0"/>
                <w:numId w:val="13"/>
              </w:numPr>
              <w:rPr>
                <w:rFonts w:ascii="Arial" w:hAnsi="Arial" w:cs="Arial"/>
                <w:sz w:val="20"/>
                <w:szCs w:val="20"/>
              </w:rPr>
            </w:pPr>
            <w:r w:rsidRPr="001515A9">
              <w:rPr>
                <w:rFonts w:ascii="Arial" w:hAnsi="Arial" w:cs="Arial"/>
                <w:sz w:val="20"/>
                <w:szCs w:val="20"/>
              </w:rPr>
              <w:t>Some references lack complete details (e.g., missing page numbers, DOIs, or publisher names).</w:t>
            </w:r>
          </w:p>
          <w:p w:rsidR="00A006A4" w:rsidRPr="001515A9" w:rsidRDefault="00A006A4" w:rsidP="00A006A4">
            <w:pPr>
              <w:pStyle w:val="NormalWeb"/>
              <w:numPr>
                <w:ilvl w:val="0"/>
                <w:numId w:val="13"/>
              </w:numPr>
              <w:rPr>
                <w:rFonts w:ascii="Arial" w:hAnsi="Arial" w:cs="Arial"/>
                <w:sz w:val="20"/>
                <w:szCs w:val="20"/>
              </w:rPr>
            </w:pPr>
            <w:r w:rsidRPr="001515A9">
              <w:rPr>
                <w:rFonts w:ascii="Arial" w:hAnsi="Arial" w:cs="Arial"/>
                <w:sz w:val="20"/>
                <w:szCs w:val="20"/>
              </w:rPr>
              <w:t xml:space="preserve">In-text citations such as </w:t>
            </w:r>
            <w:r w:rsidRPr="001515A9">
              <w:rPr>
                <w:rStyle w:val="Emphasis"/>
                <w:rFonts w:ascii="Arial" w:hAnsi="Arial" w:cs="Arial"/>
                <w:sz w:val="20"/>
                <w:szCs w:val="20"/>
              </w:rPr>
              <w:t>“</w:t>
            </w:r>
            <w:proofErr w:type="spellStart"/>
            <w:r w:rsidRPr="001515A9">
              <w:rPr>
                <w:rStyle w:val="Emphasis"/>
                <w:rFonts w:ascii="Arial" w:hAnsi="Arial" w:cs="Arial"/>
                <w:sz w:val="20"/>
                <w:szCs w:val="20"/>
              </w:rPr>
              <w:t>DonnéesMondiales</w:t>
            </w:r>
            <w:proofErr w:type="spellEnd"/>
            <w:r w:rsidRPr="001515A9">
              <w:rPr>
                <w:rStyle w:val="Emphasis"/>
                <w:rFonts w:ascii="Arial" w:hAnsi="Arial" w:cs="Arial"/>
                <w:sz w:val="20"/>
                <w:szCs w:val="20"/>
              </w:rPr>
              <w:t>, 2025”</w:t>
            </w:r>
            <w:r w:rsidRPr="001515A9">
              <w:rPr>
                <w:rFonts w:ascii="Arial" w:hAnsi="Arial" w:cs="Arial"/>
                <w:sz w:val="20"/>
                <w:szCs w:val="20"/>
              </w:rPr>
              <w:t xml:space="preserve"> and </w:t>
            </w:r>
            <w:r w:rsidRPr="001515A9">
              <w:rPr>
                <w:rStyle w:val="Emphasis"/>
                <w:rFonts w:ascii="Arial" w:hAnsi="Arial" w:cs="Arial"/>
                <w:sz w:val="20"/>
                <w:szCs w:val="20"/>
              </w:rPr>
              <w:t>“ISS, 2025”</w:t>
            </w:r>
            <w:r w:rsidRPr="001515A9">
              <w:rPr>
                <w:rFonts w:ascii="Arial" w:hAnsi="Arial" w:cs="Arial"/>
                <w:sz w:val="20"/>
                <w:szCs w:val="20"/>
              </w:rPr>
              <w:t xml:space="preserve"> are from </w:t>
            </w:r>
            <w:r w:rsidRPr="001515A9">
              <w:rPr>
                <w:rStyle w:val="Strong"/>
                <w:rFonts w:ascii="Arial" w:hAnsi="Arial" w:cs="Arial"/>
                <w:sz w:val="20"/>
                <w:szCs w:val="20"/>
              </w:rPr>
              <w:t>non-peer-reviewed web sources</w:t>
            </w:r>
            <w:r w:rsidRPr="001515A9">
              <w:rPr>
                <w:rFonts w:ascii="Arial" w:hAnsi="Arial" w:cs="Arial"/>
                <w:sz w:val="20"/>
                <w:szCs w:val="20"/>
              </w:rPr>
              <w:t>, which weakens credibility.</w:t>
            </w:r>
          </w:p>
          <w:p w:rsidR="00A006A4" w:rsidRPr="001515A9" w:rsidRDefault="00A006A4" w:rsidP="00A006A4">
            <w:pPr>
              <w:pStyle w:val="NormalWeb"/>
              <w:numPr>
                <w:ilvl w:val="0"/>
                <w:numId w:val="13"/>
              </w:numPr>
              <w:rPr>
                <w:rFonts w:ascii="Arial" w:hAnsi="Arial" w:cs="Arial"/>
                <w:sz w:val="20"/>
                <w:szCs w:val="20"/>
              </w:rPr>
            </w:pPr>
            <w:r w:rsidRPr="001515A9">
              <w:rPr>
                <w:rFonts w:ascii="Arial" w:hAnsi="Arial" w:cs="Arial"/>
                <w:sz w:val="20"/>
                <w:szCs w:val="20"/>
              </w:rPr>
              <w:t xml:space="preserve">“et al.” is sometimes used without italics or punctuation consistency (e.g., </w:t>
            </w:r>
            <w:proofErr w:type="spellStart"/>
            <w:r w:rsidRPr="001515A9">
              <w:rPr>
                <w:rStyle w:val="Emphasis"/>
                <w:rFonts w:ascii="Arial" w:hAnsi="Arial" w:cs="Arial"/>
                <w:sz w:val="20"/>
                <w:szCs w:val="20"/>
              </w:rPr>
              <w:t>Dawoeet</w:t>
            </w:r>
            <w:proofErr w:type="spellEnd"/>
            <w:r w:rsidRPr="001515A9">
              <w:rPr>
                <w:rStyle w:val="Emphasis"/>
                <w:rFonts w:ascii="Arial" w:hAnsi="Arial" w:cs="Arial"/>
                <w:sz w:val="20"/>
                <w:szCs w:val="20"/>
              </w:rPr>
              <w:t xml:space="preserve"> al., 2016</w:t>
            </w:r>
            <w:r w:rsidRPr="001515A9">
              <w:rPr>
                <w:rFonts w:ascii="Arial" w:hAnsi="Arial" w:cs="Arial"/>
                <w:sz w:val="20"/>
                <w:szCs w:val="20"/>
              </w:rPr>
              <w:t xml:space="preserve"> vs. </w:t>
            </w:r>
            <w:proofErr w:type="spellStart"/>
            <w:r w:rsidRPr="001515A9">
              <w:rPr>
                <w:rStyle w:val="Emphasis"/>
                <w:rFonts w:ascii="Arial" w:hAnsi="Arial" w:cs="Arial"/>
                <w:sz w:val="20"/>
                <w:szCs w:val="20"/>
              </w:rPr>
              <w:t>Dawoe</w:t>
            </w:r>
            <w:proofErr w:type="spellEnd"/>
            <w:r w:rsidRPr="001515A9">
              <w:rPr>
                <w:rStyle w:val="Emphasis"/>
                <w:rFonts w:ascii="Arial" w:hAnsi="Arial" w:cs="Arial"/>
                <w:sz w:val="20"/>
                <w:szCs w:val="20"/>
              </w:rPr>
              <w:t xml:space="preserve"> et al., 2016</w:t>
            </w:r>
            <w:r w:rsidRPr="001515A9">
              <w:rPr>
                <w:rFonts w:ascii="Arial" w:hAnsi="Arial" w:cs="Arial"/>
                <w:sz w:val="20"/>
                <w:szCs w:val="20"/>
              </w:rPr>
              <w:t>).</w:t>
            </w:r>
          </w:p>
          <w:p w:rsidR="00A006A4" w:rsidRPr="001515A9" w:rsidRDefault="00A006A4" w:rsidP="00A006A4">
            <w:pPr>
              <w:pStyle w:val="Heading3"/>
              <w:rPr>
                <w:rFonts w:ascii="Arial" w:hAnsi="Arial" w:cs="Arial"/>
                <w:sz w:val="20"/>
                <w:szCs w:val="20"/>
              </w:rPr>
            </w:pPr>
            <w:r w:rsidRPr="001515A9">
              <w:rPr>
                <w:rStyle w:val="Strong"/>
                <w:rFonts w:ascii="Arial" w:hAnsi="Arial" w:cs="Arial"/>
                <w:b/>
                <w:bCs/>
                <w:sz w:val="20"/>
                <w:szCs w:val="20"/>
              </w:rPr>
              <w:t>2. Relevance and Recency</w:t>
            </w:r>
          </w:p>
          <w:p w:rsidR="00A006A4" w:rsidRPr="001515A9" w:rsidRDefault="00A006A4" w:rsidP="00A006A4">
            <w:pPr>
              <w:pStyle w:val="NormalWeb"/>
              <w:numPr>
                <w:ilvl w:val="0"/>
                <w:numId w:val="14"/>
              </w:numPr>
              <w:rPr>
                <w:rFonts w:ascii="Arial" w:hAnsi="Arial" w:cs="Arial"/>
                <w:sz w:val="20"/>
                <w:szCs w:val="20"/>
              </w:rPr>
            </w:pPr>
            <w:r w:rsidRPr="001515A9">
              <w:rPr>
                <w:rFonts w:ascii="Arial" w:hAnsi="Arial" w:cs="Arial"/>
                <w:sz w:val="20"/>
                <w:szCs w:val="20"/>
              </w:rPr>
              <w:t xml:space="preserve">Most references are regionally relevant and recent (2020–2025), yet a few are outdated (e.g., </w:t>
            </w:r>
            <w:proofErr w:type="spellStart"/>
            <w:r w:rsidRPr="001515A9">
              <w:rPr>
                <w:rFonts w:ascii="Arial" w:hAnsi="Arial" w:cs="Arial"/>
                <w:sz w:val="20"/>
                <w:szCs w:val="20"/>
              </w:rPr>
              <w:t>Aubréville</w:t>
            </w:r>
            <w:proofErr w:type="spellEnd"/>
            <w:r w:rsidRPr="001515A9">
              <w:rPr>
                <w:rFonts w:ascii="Arial" w:hAnsi="Arial" w:cs="Arial"/>
                <w:sz w:val="20"/>
                <w:szCs w:val="20"/>
              </w:rPr>
              <w:t xml:space="preserve">, 1959; </w:t>
            </w:r>
            <w:proofErr w:type="spellStart"/>
            <w:r w:rsidRPr="001515A9">
              <w:rPr>
                <w:rFonts w:ascii="Arial" w:hAnsi="Arial" w:cs="Arial"/>
                <w:sz w:val="20"/>
                <w:szCs w:val="20"/>
              </w:rPr>
              <w:t>Rondeux</w:t>
            </w:r>
            <w:proofErr w:type="spellEnd"/>
            <w:r w:rsidRPr="001515A9">
              <w:rPr>
                <w:rFonts w:ascii="Arial" w:hAnsi="Arial" w:cs="Arial"/>
                <w:sz w:val="20"/>
                <w:szCs w:val="20"/>
              </w:rPr>
              <w:t xml:space="preserve">, 1993) and should be complemented with </w:t>
            </w:r>
            <w:r w:rsidRPr="001515A9">
              <w:rPr>
                <w:rStyle w:val="Strong"/>
                <w:rFonts w:ascii="Arial" w:hAnsi="Arial" w:cs="Arial"/>
                <w:sz w:val="20"/>
                <w:szCs w:val="20"/>
              </w:rPr>
              <w:t>updated global syntheses</w:t>
            </w:r>
            <w:r w:rsidRPr="001515A9">
              <w:rPr>
                <w:rFonts w:ascii="Arial" w:hAnsi="Arial" w:cs="Arial"/>
                <w:sz w:val="20"/>
                <w:szCs w:val="20"/>
              </w:rPr>
              <w:t>.</w:t>
            </w:r>
          </w:p>
          <w:p w:rsidR="00A006A4" w:rsidRPr="001515A9" w:rsidRDefault="00A006A4" w:rsidP="00A006A4">
            <w:pPr>
              <w:pStyle w:val="NormalWeb"/>
              <w:numPr>
                <w:ilvl w:val="0"/>
                <w:numId w:val="14"/>
              </w:numPr>
              <w:rPr>
                <w:rFonts w:ascii="Arial" w:hAnsi="Arial" w:cs="Arial"/>
                <w:sz w:val="20"/>
                <w:szCs w:val="20"/>
              </w:rPr>
            </w:pPr>
            <w:r w:rsidRPr="001515A9">
              <w:rPr>
                <w:rFonts w:ascii="Arial" w:hAnsi="Arial" w:cs="Arial"/>
                <w:sz w:val="20"/>
                <w:szCs w:val="20"/>
              </w:rPr>
              <w:t xml:space="preserve">Suggest adding recent peer-reviewed works on </w:t>
            </w:r>
            <w:r w:rsidRPr="001515A9">
              <w:rPr>
                <w:rStyle w:val="Strong"/>
                <w:rFonts w:ascii="Arial" w:hAnsi="Arial" w:cs="Arial"/>
                <w:sz w:val="20"/>
                <w:szCs w:val="20"/>
              </w:rPr>
              <w:t>carbon modeling and agroforestry biodiversity</w:t>
            </w:r>
            <w:r w:rsidRPr="001515A9">
              <w:rPr>
                <w:rFonts w:ascii="Arial" w:hAnsi="Arial" w:cs="Arial"/>
                <w:sz w:val="20"/>
                <w:szCs w:val="20"/>
              </w:rPr>
              <w:t>:</w:t>
            </w:r>
          </w:p>
          <w:p w:rsidR="00A006A4" w:rsidRPr="001515A9" w:rsidRDefault="00A006A4" w:rsidP="00A006A4">
            <w:pPr>
              <w:pStyle w:val="NormalWeb"/>
              <w:numPr>
                <w:ilvl w:val="1"/>
                <w:numId w:val="14"/>
              </w:numPr>
              <w:rPr>
                <w:rFonts w:ascii="Arial" w:hAnsi="Arial" w:cs="Arial"/>
                <w:sz w:val="20"/>
                <w:szCs w:val="20"/>
              </w:rPr>
            </w:pPr>
            <w:r w:rsidRPr="001515A9">
              <w:rPr>
                <w:rStyle w:val="Emphasis"/>
                <w:rFonts w:ascii="Arial" w:hAnsi="Arial" w:cs="Arial"/>
                <w:sz w:val="20"/>
                <w:szCs w:val="20"/>
              </w:rPr>
              <w:t>Vaast, P., Somarriba, E., et al. (2024). Agroforestry and climate-smart cocoa landscapes. Agriculture, Ecosystems &amp; Environment.</w:t>
            </w:r>
          </w:p>
          <w:p w:rsidR="00A006A4" w:rsidRPr="001515A9" w:rsidRDefault="00A006A4" w:rsidP="00A006A4">
            <w:pPr>
              <w:pStyle w:val="NormalWeb"/>
              <w:numPr>
                <w:ilvl w:val="1"/>
                <w:numId w:val="14"/>
              </w:numPr>
              <w:rPr>
                <w:rFonts w:ascii="Arial" w:hAnsi="Arial" w:cs="Arial"/>
                <w:sz w:val="20"/>
                <w:szCs w:val="20"/>
              </w:rPr>
            </w:pPr>
            <w:r w:rsidRPr="001515A9">
              <w:rPr>
                <w:rStyle w:val="Emphasis"/>
                <w:rFonts w:ascii="Arial" w:hAnsi="Arial" w:cs="Arial"/>
                <w:sz w:val="20"/>
                <w:szCs w:val="20"/>
              </w:rPr>
              <w:t>Nair, P.K.R., &amp; Garrity, D. (2021). Carbon sequestration through agroforestry: pathways and global implications. Springer Nature.</w:t>
            </w:r>
          </w:p>
          <w:p w:rsidR="00A006A4" w:rsidRPr="001515A9" w:rsidRDefault="00A006A4" w:rsidP="00A006A4">
            <w:pPr>
              <w:pStyle w:val="Heading3"/>
              <w:rPr>
                <w:rFonts w:ascii="Arial" w:hAnsi="Arial" w:cs="Arial"/>
                <w:sz w:val="20"/>
                <w:szCs w:val="20"/>
              </w:rPr>
            </w:pPr>
            <w:r w:rsidRPr="001515A9">
              <w:rPr>
                <w:rStyle w:val="Strong"/>
                <w:rFonts w:ascii="Arial" w:hAnsi="Arial" w:cs="Arial"/>
                <w:b/>
                <w:bCs/>
                <w:sz w:val="20"/>
                <w:szCs w:val="20"/>
              </w:rPr>
              <w:t>3. Uniformity Recommendations</w:t>
            </w:r>
          </w:p>
          <w:p w:rsidR="00375C2F" w:rsidRPr="001515A9" w:rsidRDefault="00A006A4" w:rsidP="00A006A4">
            <w:pPr>
              <w:pStyle w:val="NormalWeb"/>
              <w:rPr>
                <w:rFonts w:ascii="Arial" w:hAnsi="Arial" w:cs="Arial"/>
                <w:sz w:val="20"/>
                <w:szCs w:val="20"/>
              </w:rPr>
            </w:pPr>
            <w:r w:rsidRPr="001515A9">
              <w:rPr>
                <w:rFonts w:ascii="Arial" w:hAnsi="Arial" w:cs="Arial"/>
                <w:sz w:val="20"/>
                <w:szCs w:val="20"/>
              </w:rPr>
              <w:t xml:space="preserve">Adopt </w:t>
            </w:r>
            <w:r w:rsidRPr="001515A9">
              <w:rPr>
                <w:rStyle w:val="Strong"/>
                <w:rFonts w:ascii="Arial" w:hAnsi="Arial" w:cs="Arial"/>
                <w:sz w:val="20"/>
                <w:szCs w:val="20"/>
              </w:rPr>
              <w:t>APA 7th edition</w:t>
            </w:r>
            <w:r w:rsidRPr="001515A9">
              <w:rPr>
                <w:rFonts w:ascii="Arial" w:hAnsi="Arial" w:cs="Arial"/>
                <w:sz w:val="20"/>
                <w:szCs w:val="20"/>
              </w:rPr>
              <w:t xml:space="preserve"> uniformly, ensure all online sources include access dates and DOIs, italicize species names (e.g., </w:t>
            </w:r>
            <w:r w:rsidRPr="001515A9">
              <w:rPr>
                <w:rStyle w:val="Emphasis"/>
                <w:rFonts w:ascii="Arial" w:hAnsi="Arial" w:cs="Arial"/>
                <w:sz w:val="20"/>
                <w:szCs w:val="20"/>
              </w:rPr>
              <w:t>Theobroma cacao L.</w:t>
            </w:r>
            <w:r w:rsidRPr="001515A9">
              <w:rPr>
                <w:rFonts w:ascii="Arial" w:hAnsi="Arial" w:cs="Arial"/>
                <w:sz w:val="20"/>
                <w:szCs w:val="20"/>
              </w:rPr>
              <w:t>), and standardize journal title capitalization.</w:t>
            </w:r>
          </w:p>
        </w:tc>
        <w:tc>
          <w:tcPr>
            <w:tcW w:w="1523" w:type="pct"/>
          </w:tcPr>
          <w:p w:rsidR="00375C2F" w:rsidRPr="001515A9" w:rsidRDefault="00375C2F">
            <w:pPr>
              <w:pStyle w:val="Heading2"/>
              <w:jc w:val="left"/>
              <w:rPr>
                <w:rFonts w:ascii="Arial" w:hAnsi="Arial" w:cs="Arial"/>
                <w:b w:val="0"/>
                <w:lang w:val="en-GB"/>
              </w:rPr>
            </w:pPr>
          </w:p>
        </w:tc>
      </w:tr>
      <w:tr w:rsidR="00375C2F" w:rsidRPr="001515A9" w:rsidTr="001515A9">
        <w:trPr>
          <w:trHeight w:val="386"/>
        </w:trPr>
        <w:tc>
          <w:tcPr>
            <w:tcW w:w="1260" w:type="pct"/>
            <w:noWrap/>
          </w:tcPr>
          <w:p w:rsidR="00375C2F" w:rsidRPr="001515A9" w:rsidRDefault="00375C2F">
            <w:pPr>
              <w:pStyle w:val="Heading2"/>
              <w:ind w:left="360"/>
              <w:jc w:val="left"/>
              <w:rPr>
                <w:rFonts w:ascii="Arial" w:hAnsi="Arial" w:cs="Arial"/>
                <w:bCs w:val="0"/>
                <w:lang w:val="en-GB"/>
              </w:rPr>
            </w:pPr>
            <w:r w:rsidRPr="001515A9">
              <w:rPr>
                <w:rFonts w:ascii="Arial" w:hAnsi="Arial" w:cs="Arial"/>
                <w:bCs w:val="0"/>
                <w:lang w:val="en-GB"/>
              </w:rPr>
              <w:t>Is the language/English quality of the article suitable for scholarly communications?</w:t>
            </w:r>
          </w:p>
          <w:p w:rsidR="00375C2F" w:rsidRPr="001515A9" w:rsidRDefault="00375C2F">
            <w:pPr>
              <w:rPr>
                <w:rFonts w:ascii="Arial" w:hAnsi="Arial" w:cs="Arial"/>
                <w:sz w:val="20"/>
                <w:szCs w:val="20"/>
                <w:lang w:val="en-GB"/>
              </w:rPr>
            </w:pPr>
          </w:p>
        </w:tc>
        <w:tc>
          <w:tcPr>
            <w:tcW w:w="2217" w:type="pct"/>
          </w:tcPr>
          <w:p w:rsidR="00A006A4" w:rsidRPr="001515A9" w:rsidRDefault="00A006A4" w:rsidP="00A006A4">
            <w:pPr>
              <w:spacing w:before="100" w:beforeAutospacing="1" w:after="100" w:afterAutospacing="1"/>
              <w:rPr>
                <w:rFonts w:ascii="Arial" w:hAnsi="Arial" w:cs="Arial"/>
                <w:sz w:val="20"/>
                <w:szCs w:val="20"/>
                <w:lang w:val="en-GB" w:eastAsia="en-GB" w:bidi="ne-NP"/>
              </w:rPr>
            </w:pPr>
            <w:r w:rsidRPr="001515A9">
              <w:rPr>
                <w:rFonts w:ascii="Arial" w:hAnsi="Arial" w:cs="Arial"/>
                <w:sz w:val="20"/>
                <w:szCs w:val="20"/>
                <w:lang w:val="en-GB" w:eastAsia="en-GB" w:bidi="ne-NP"/>
              </w:rPr>
              <w:t xml:space="preserve">The manuscript demonstrates a reasonable command of English, with clear technical terminology and appropriate scientific tone; however, it does not yet meet the linguistic precision required for international scholarly communication. From a journal perspective, the writing contains syntactic inconsistencies, awkward phrasing, punctuation errors, and inconsistent tense usage. Transitions between sections (e.g., Methods to Results) are sometimes abrupt, and long sentences reduce readability. Scientific terms such as </w:t>
            </w:r>
            <w:r w:rsidRPr="001515A9">
              <w:rPr>
                <w:rFonts w:ascii="Arial" w:hAnsi="Arial" w:cs="Arial"/>
                <w:i/>
                <w:iCs/>
                <w:sz w:val="20"/>
                <w:szCs w:val="20"/>
                <w:lang w:val="en-GB" w:eastAsia="en-GB" w:bidi="ne-NP"/>
              </w:rPr>
              <w:t>“potential carbon stock”</w:t>
            </w:r>
            <w:r w:rsidRPr="001515A9">
              <w:rPr>
                <w:rFonts w:ascii="Arial" w:hAnsi="Arial" w:cs="Arial"/>
                <w:sz w:val="20"/>
                <w:szCs w:val="20"/>
                <w:lang w:val="en-GB" w:eastAsia="en-GB" w:bidi="ne-NP"/>
              </w:rPr>
              <w:t xml:space="preserve"> or </w:t>
            </w:r>
            <w:r w:rsidRPr="001515A9">
              <w:rPr>
                <w:rFonts w:ascii="Arial" w:hAnsi="Arial" w:cs="Arial"/>
                <w:i/>
                <w:iCs/>
                <w:sz w:val="20"/>
                <w:szCs w:val="20"/>
                <w:lang w:val="en-GB" w:eastAsia="en-GB" w:bidi="ne-NP"/>
              </w:rPr>
              <w:t>“density per hectare”</w:t>
            </w:r>
            <w:r w:rsidRPr="001515A9">
              <w:rPr>
                <w:rFonts w:ascii="Arial" w:hAnsi="Arial" w:cs="Arial"/>
                <w:sz w:val="20"/>
                <w:szCs w:val="20"/>
                <w:lang w:val="en-GB" w:eastAsia="en-GB" w:bidi="ne-NP"/>
              </w:rPr>
              <w:t xml:space="preserve"> need consistent expression. Minor grammatical lapses (articles, plural forms, and prepositions) appear throughout.</w:t>
            </w:r>
          </w:p>
          <w:p w:rsidR="00375C2F" w:rsidRPr="001515A9" w:rsidRDefault="00A006A4" w:rsidP="00A006A4">
            <w:pPr>
              <w:spacing w:before="100" w:beforeAutospacing="1" w:after="100" w:afterAutospacing="1"/>
              <w:rPr>
                <w:rFonts w:ascii="Arial" w:hAnsi="Arial" w:cs="Arial"/>
                <w:sz w:val="20"/>
                <w:szCs w:val="20"/>
                <w:lang w:val="en-GB" w:eastAsia="en-GB" w:bidi="ne-NP"/>
              </w:rPr>
            </w:pPr>
            <w:r w:rsidRPr="001515A9">
              <w:rPr>
                <w:rFonts w:ascii="Arial" w:hAnsi="Arial" w:cs="Arial"/>
                <w:sz w:val="20"/>
                <w:szCs w:val="20"/>
                <w:lang w:val="en-GB" w:eastAsia="en-GB" w:bidi="ne-NP"/>
              </w:rPr>
              <w:t xml:space="preserve">To meet international standards, the text should undergo professional English editing for clarity, conciseness, and fluency. Active voice, standardized technical vocabulary, and logical flow between ideas would enhance coherence. A focus on precise quantification and avoidance of redundant expressions will further align the manuscript with the linguistic and stylistic expectations of peer-reviewed international journals such as </w:t>
            </w:r>
            <w:r w:rsidRPr="001515A9">
              <w:rPr>
                <w:rFonts w:ascii="Arial" w:hAnsi="Arial" w:cs="Arial"/>
                <w:i/>
                <w:iCs/>
                <w:sz w:val="20"/>
                <w:szCs w:val="20"/>
                <w:lang w:val="en-GB" w:eastAsia="en-GB" w:bidi="ne-NP"/>
              </w:rPr>
              <w:t>Agroforestry Systems</w:t>
            </w:r>
            <w:r w:rsidRPr="001515A9">
              <w:rPr>
                <w:rFonts w:ascii="Arial" w:hAnsi="Arial" w:cs="Arial"/>
                <w:sz w:val="20"/>
                <w:szCs w:val="20"/>
                <w:lang w:val="en-GB" w:eastAsia="en-GB" w:bidi="ne-NP"/>
              </w:rPr>
              <w:t xml:space="preserve"> or </w:t>
            </w:r>
            <w:r w:rsidRPr="001515A9">
              <w:rPr>
                <w:rFonts w:ascii="Arial" w:hAnsi="Arial" w:cs="Arial"/>
                <w:i/>
                <w:iCs/>
                <w:sz w:val="20"/>
                <w:szCs w:val="20"/>
                <w:lang w:val="en-GB" w:eastAsia="en-GB" w:bidi="ne-NP"/>
              </w:rPr>
              <w:t>Carbon Balance and Management</w:t>
            </w:r>
            <w:r w:rsidRPr="001515A9">
              <w:rPr>
                <w:rFonts w:ascii="Arial" w:hAnsi="Arial" w:cs="Arial"/>
                <w:sz w:val="20"/>
                <w:szCs w:val="20"/>
                <w:lang w:val="en-GB" w:eastAsia="en-GB" w:bidi="ne-NP"/>
              </w:rPr>
              <w:t>.</w:t>
            </w:r>
          </w:p>
        </w:tc>
        <w:tc>
          <w:tcPr>
            <w:tcW w:w="1523" w:type="pct"/>
          </w:tcPr>
          <w:p w:rsidR="00375C2F" w:rsidRPr="001515A9" w:rsidRDefault="00375C2F">
            <w:pPr>
              <w:rPr>
                <w:rFonts w:ascii="Arial" w:hAnsi="Arial" w:cs="Arial"/>
                <w:sz w:val="20"/>
                <w:szCs w:val="20"/>
                <w:lang w:val="en-GB"/>
              </w:rPr>
            </w:pPr>
          </w:p>
        </w:tc>
      </w:tr>
      <w:tr w:rsidR="00375C2F" w:rsidRPr="001515A9" w:rsidTr="001515A9">
        <w:trPr>
          <w:trHeight w:val="1178"/>
        </w:trPr>
        <w:tc>
          <w:tcPr>
            <w:tcW w:w="1260" w:type="pct"/>
            <w:noWrap/>
          </w:tcPr>
          <w:p w:rsidR="00375C2F" w:rsidRPr="001515A9" w:rsidRDefault="00375C2F">
            <w:pPr>
              <w:pStyle w:val="Heading2"/>
              <w:jc w:val="left"/>
              <w:rPr>
                <w:rFonts w:ascii="Arial" w:hAnsi="Arial" w:cs="Arial"/>
                <w:b w:val="0"/>
                <w:bCs w:val="0"/>
                <w:lang w:val="en-GB"/>
              </w:rPr>
            </w:pPr>
            <w:r w:rsidRPr="001515A9">
              <w:rPr>
                <w:rFonts w:ascii="Arial" w:hAnsi="Arial" w:cs="Arial"/>
                <w:bCs w:val="0"/>
                <w:u w:val="single"/>
                <w:lang w:val="en-GB"/>
              </w:rPr>
              <w:t>Optional/General</w:t>
            </w:r>
            <w:r w:rsidRPr="001515A9">
              <w:rPr>
                <w:rFonts w:ascii="Arial" w:hAnsi="Arial" w:cs="Arial"/>
                <w:bCs w:val="0"/>
                <w:lang w:val="en-GB"/>
              </w:rPr>
              <w:t xml:space="preserve"> </w:t>
            </w:r>
            <w:r w:rsidRPr="001515A9">
              <w:rPr>
                <w:rFonts w:ascii="Arial" w:hAnsi="Arial" w:cs="Arial"/>
                <w:b w:val="0"/>
                <w:bCs w:val="0"/>
                <w:lang w:val="en-GB"/>
              </w:rPr>
              <w:t>comments</w:t>
            </w:r>
          </w:p>
          <w:p w:rsidR="00375C2F" w:rsidRPr="001515A9" w:rsidRDefault="00375C2F">
            <w:pPr>
              <w:pStyle w:val="Heading2"/>
              <w:jc w:val="left"/>
              <w:rPr>
                <w:rFonts w:ascii="Arial" w:hAnsi="Arial" w:cs="Arial"/>
                <w:b w:val="0"/>
                <w:lang w:val="en-GB"/>
              </w:rPr>
            </w:pPr>
          </w:p>
        </w:tc>
        <w:tc>
          <w:tcPr>
            <w:tcW w:w="2217" w:type="pct"/>
          </w:tcPr>
          <w:p w:rsidR="00375C2F" w:rsidRPr="001515A9" w:rsidRDefault="00D45E9A" w:rsidP="00D45E9A">
            <w:pPr>
              <w:pStyle w:val="NoSpacing"/>
              <w:rPr>
                <w:rFonts w:ascii="Arial" w:hAnsi="Arial" w:cs="Arial"/>
                <w:b/>
                <w:sz w:val="20"/>
                <w:szCs w:val="20"/>
                <w:lang w:val="en-GB"/>
              </w:rPr>
            </w:pPr>
            <w:r w:rsidRPr="001515A9">
              <w:rPr>
                <w:rFonts w:ascii="Arial" w:hAnsi="Arial" w:cs="Arial"/>
                <w:sz w:val="20"/>
                <w:szCs w:val="20"/>
              </w:rPr>
              <w:t>This manuscript presents valuable empirical insights into biodiversity and carbon sequestration in cocoa agroforestry systems. With improved English clarity, citation consistency, and strengthened analytical interpretation, it can make a meaningful contribution to climate-smart agriculture and sustainable land management research relevant to West Africa and tropical agroecosystems globally.</w:t>
            </w:r>
          </w:p>
        </w:tc>
        <w:tc>
          <w:tcPr>
            <w:tcW w:w="1523" w:type="pct"/>
          </w:tcPr>
          <w:p w:rsidR="00375C2F" w:rsidRPr="001515A9" w:rsidRDefault="00375C2F">
            <w:pPr>
              <w:rPr>
                <w:rFonts w:ascii="Arial" w:hAnsi="Arial" w:cs="Arial"/>
                <w:sz w:val="20"/>
                <w:szCs w:val="20"/>
                <w:lang w:val="en-GB"/>
              </w:rPr>
            </w:pPr>
          </w:p>
        </w:tc>
      </w:tr>
    </w:tbl>
    <w:p w:rsidR="00375C2F" w:rsidRPr="001515A9" w:rsidRDefault="00375C2F" w:rsidP="00375C2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44703" w:rsidRPr="001515A9" w:rsidTr="00201100">
        <w:tc>
          <w:tcPr>
            <w:tcW w:w="5000" w:type="pct"/>
            <w:gridSpan w:val="3"/>
            <w:tcBorders>
              <w:top w:val="nil"/>
              <w:left w:val="nil"/>
              <w:right w:val="nil"/>
            </w:tcBorders>
            <w:noWrap/>
            <w:tcMar>
              <w:top w:w="0" w:type="dxa"/>
              <w:left w:w="108" w:type="dxa"/>
              <w:bottom w:w="0" w:type="dxa"/>
              <w:right w:w="108" w:type="dxa"/>
            </w:tcMar>
            <w:vAlign w:val="center"/>
          </w:tcPr>
          <w:p w:rsidR="00344703" w:rsidRPr="001515A9" w:rsidRDefault="00344703" w:rsidP="00201100">
            <w:pPr>
              <w:rPr>
                <w:rFonts w:ascii="Arial" w:eastAsia="Arial Unicode MS" w:hAnsi="Arial" w:cs="Arial"/>
                <w:b/>
                <w:sz w:val="20"/>
                <w:szCs w:val="20"/>
                <w:u w:val="single"/>
                <w:lang w:val="en-GB"/>
              </w:rPr>
            </w:pPr>
            <w:bookmarkStart w:id="2" w:name="_Hlk156057883"/>
            <w:bookmarkStart w:id="3" w:name="_Hlk156057704"/>
            <w:r w:rsidRPr="001515A9">
              <w:rPr>
                <w:rFonts w:ascii="Arial" w:eastAsia="Arial Unicode MS" w:hAnsi="Arial" w:cs="Arial"/>
                <w:b/>
                <w:sz w:val="20"/>
                <w:szCs w:val="20"/>
                <w:highlight w:val="yellow"/>
                <w:u w:val="single"/>
                <w:lang w:val="en-GB"/>
              </w:rPr>
              <w:t>PART  2:</w:t>
            </w:r>
            <w:r w:rsidRPr="001515A9">
              <w:rPr>
                <w:rFonts w:ascii="Arial" w:eastAsia="Arial Unicode MS" w:hAnsi="Arial" w:cs="Arial"/>
                <w:b/>
                <w:sz w:val="20"/>
                <w:szCs w:val="20"/>
                <w:u w:val="single"/>
                <w:lang w:val="en-GB"/>
              </w:rPr>
              <w:t xml:space="preserve"> </w:t>
            </w:r>
          </w:p>
          <w:p w:rsidR="00344703" w:rsidRPr="001515A9" w:rsidRDefault="00344703" w:rsidP="00201100">
            <w:pPr>
              <w:rPr>
                <w:rFonts w:ascii="Arial" w:eastAsia="Arial Unicode MS" w:hAnsi="Arial" w:cs="Arial"/>
                <w:b/>
                <w:sz w:val="20"/>
                <w:szCs w:val="20"/>
                <w:u w:val="single"/>
                <w:lang w:val="en-GB"/>
              </w:rPr>
            </w:pPr>
          </w:p>
        </w:tc>
      </w:tr>
      <w:tr w:rsidR="00344703" w:rsidRPr="001515A9" w:rsidTr="00201100">
        <w:tc>
          <w:tcPr>
            <w:tcW w:w="1615" w:type="pct"/>
            <w:noWrap/>
            <w:tcMar>
              <w:top w:w="0" w:type="dxa"/>
              <w:left w:w="108" w:type="dxa"/>
              <w:bottom w:w="0" w:type="dxa"/>
              <w:right w:w="108" w:type="dxa"/>
            </w:tcMar>
            <w:vAlign w:val="center"/>
          </w:tcPr>
          <w:p w:rsidR="00344703" w:rsidRPr="001515A9" w:rsidRDefault="00344703" w:rsidP="00201100">
            <w:pPr>
              <w:rPr>
                <w:rFonts w:ascii="Arial" w:eastAsia="Arial Unicode MS" w:hAnsi="Arial" w:cs="Arial"/>
                <w:sz w:val="20"/>
                <w:szCs w:val="20"/>
                <w:lang w:val="en-GB"/>
              </w:rPr>
            </w:pPr>
          </w:p>
        </w:tc>
        <w:tc>
          <w:tcPr>
            <w:tcW w:w="1694" w:type="pct"/>
            <w:tcMar>
              <w:top w:w="0" w:type="dxa"/>
              <w:left w:w="108" w:type="dxa"/>
              <w:bottom w:w="0" w:type="dxa"/>
              <w:right w:w="108" w:type="dxa"/>
            </w:tcMar>
          </w:tcPr>
          <w:p w:rsidR="00344703" w:rsidRPr="001515A9" w:rsidRDefault="00344703" w:rsidP="00201100">
            <w:pPr>
              <w:keepNext/>
              <w:outlineLvl w:val="1"/>
              <w:rPr>
                <w:rFonts w:ascii="Arial" w:eastAsia="MS Mincho" w:hAnsi="Arial" w:cs="Arial"/>
                <w:b/>
                <w:bCs/>
                <w:sz w:val="20"/>
                <w:szCs w:val="20"/>
                <w:lang w:val="en-GB"/>
              </w:rPr>
            </w:pPr>
            <w:r w:rsidRPr="001515A9">
              <w:rPr>
                <w:rFonts w:ascii="Arial" w:eastAsia="MS Mincho" w:hAnsi="Arial" w:cs="Arial"/>
                <w:b/>
                <w:bCs/>
                <w:sz w:val="20"/>
                <w:szCs w:val="20"/>
                <w:lang w:val="en-GB"/>
              </w:rPr>
              <w:t>Reviewer’s comment</w:t>
            </w:r>
          </w:p>
        </w:tc>
        <w:tc>
          <w:tcPr>
            <w:tcW w:w="1691" w:type="pct"/>
          </w:tcPr>
          <w:p w:rsidR="00344703" w:rsidRPr="001515A9" w:rsidRDefault="00344703" w:rsidP="00201100">
            <w:pPr>
              <w:spacing w:after="160" w:line="252" w:lineRule="auto"/>
              <w:rPr>
                <w:rFonts w:ascii="Arial" w:eastAsia="Calibri" w:hAnsi="Arial" w:cs="Arial"/>
                <w:kern w:val="2"/>
                <w:sz w:val="20"/>
                <w:szCs w:val="20"/>
                <w:lang w:val="en-IN"/>
              </w:rPr>
            </w:pPr>
            <w:r w:rsidRPr="001515A9">
              <w:rPr>
                <w:rFonts w:ascii="Arial" w:eastAsia="Calibri" w:hAnsi="Arial" w:cs="Arial"/>
                <w:b/>
                <w:kern w:val="2"/>
                <w:sz w:val="20"/>
                <w:szCs w:val="20"/>
                <w:lang w:val="en-IN"/>
              </w:rPr>
              <w:t>Author’s Feedback</w:t>
            </w:r>
            <w:r w:rsidRPr="001515A9">
              <w:rPr>
                <w:rFonts w:ascii="Arial" w:eastAsia="Calibri" w:hAnsi="Arial" w:cs="Arial"/>
                <w:kern w:val="2"/>
                <w:sz w:val="20"/>
                <w:szCs w:val="20"/>
                <w:lang w:val="en-IN"/>
              </w:rPr>
              <w:t xml:space="preserve"> (It is mandatory that authors should write his/her feedback here)</w:t>
            </w:r>
          </w:p>
          <w:p w:rsidR="00344703" w:rsidRPr="001515A9" w:rsidRDefault="00344703" w:rsidP="00201100">
            <w:pPr>
              <w:keepNext/>
              <w:outlineLvl w:val="1"/>
              <w:rPr>
                <w:rFonts w:ascii="Arial" w:eastAsia="MS Mincho" w:hAnsi="Arial" w:cs="Arial"/>
                <w:bCs/>
                <w:sz w:val="20"/>
                <w:szCs w:val="20"/>
                <w:lang w:val="en-GB"/>
              </w:rPr>
            </w:pPr>
          </w:p>
        </w:tc>
      </w:tr>
      <w:tr w:rsidR="00344703" w:rsidRPr="001515A9" w:rsidTr="00201100">
        <w:trPr>
          <w:trHeight w:val="890"/>
        </w:trPr>
        <w:tc>
          <w:tcPr>
            <w:tcW w:w="1615" w:type="pct"/>
            <w:noWrap/>
            <w:tcMar>
              <w:top w:w="0" w:type="dxa"/>
              <w:left w:w="108" w:type="dxa"/>
              <w:bottom w:w="0" w:type="dxa"/>
              <w:right w:w="108" w:type="dxa"/>
            </w:tcMar>
            <w:vAlign w:val="center"/>
          </w:tcPr>
          <w:p w:rsidR="00344703" w:rsidRPr="001515A9" w:rsidRDefault="00344703" w:rsidP="00201100">
            <w:pPr>
              <w:rPr>
                <w:rFonts w:ascii="Arial" w:eastAsia="Arial Unicode MS" w:hAnsi="Arial" w:cs="Arial"/>
                <w:b/>
                <w:sz w:val="20"/>
                <w:szCs w:val="20"/>
                <w:lang w:val="en-GB"/>
              </w:rPr>
            </w:pPr>
            <w:r w:rsidRPr="001515A9">
              <w:rPr>
                <w:rFonts w:ascii="Arial" w:eastAsia="Arial Unicode MS" w:hAnsi="Arial" w:cs="Arial"/>
                <w:b/>
                <w:sz w:val="20"/>
                <w:szCs w:val="20"/>
                <w:lang w:val="en-GB"/>
              </w:rPr>
              <w:t xml:space="preserve">Are there ethical issues in this manuscript? </w:t>
            </w:r>
          </w:p>
          <w:p w:rsidR="00344703" w:rsidRPr="001515A9" w:rsidRDefault="00344703" w:rsidP="0020110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344703" w:rsidRPr="001515A9" w:rsidRDefault="00344703" w:rsidP="00201100">
            <w:pPr>
              <w:rPr>
                <w:rFonts w:ascii="Arial" w:eastAsia="Arial Unicode MS" w:hAnsi="Arial" w:cs="Arial"/>
                <w:i/>
                <w:iCs/>
                <w:sz w:val="20"/>
                <w:szCs w:val="20"/>
                <w:u w:val="single"/>
                <w:lang w:val="en-GB"/>
              </w:rPr>
            </w:pPr>
            <w:r w:rsidRPr="001515A9">
              <w:rPr>
                <w:rFonts w:ascii="Arial" w:eastAsia="Arial Unicode MS" w:hAnsi="Arial" w:cs="Arial"/>
                <w:i/>
                <w:iCs/>
                <w:sz w:val="20"/>
                <w:szCs w:val="20"/>
                <w:u w:val="single"/>
                <w:lang w:val="en-GB"/>
              </w:rPr>
              <w:t xml:space="preserve">(If yes, </w:t>
            </w:r>
            <w:proofErr w:type="gramStart"/>
            <w:r w:rsidRPr="001515A9">
              <w:rPr>
                <w:rFonts w:ascii="Arial" w:eastAsia="Arial Unicode MS" w:hAnsi="Arial" w:cs="Arial"/>
                <w:i/>
                <w:iCs/>
                <w:sz w:val="20"/>
                <w:szCs w:val="20"/>
                <w:u w:val="single"/>
                <w:lang w:val="en-GB"/>
              </w:rPr>
              <w:t>Kindly</w:t>
            </w:r>
            <w:proofErr w:type="gramEnd"/>
            <w:r w:rsidRPr="001515A9">
              <w:rPr>
                <w:rFonts w:ascii="Arial" w:eastAsia="Arial Unicode MS" w:hAnsi="Arial" w:cs="Arial"/>
                <w:i/>
                <w:iCs/>
                <w:sz w:val="20"/>
                <w:szCs w:val="20"/>
                <w:u w:val="single"/>
                <w:lang w:val="en-GB"/>
              </w:rPr>
              <w:t xml:space="preserve"> please write down the ethical issues here in details)</w:t>
            </w:r>
          </w:p>
          <w:p w:rsidR="00344703" w:rsidRPr="001515A9" w:rsidRDefault="00344703" w:rsidP="00201100">
            <w:pPr>
              <w:rPr>
                <w:rFonts w:ascii="Arial" w:eastAsia="Arial Unicode MS" w:hAnsi="Arial" w:cs="Arial"/>
                <w:sz w:val="20"/>
                <w:szCs w:val="20"/>
                <w:lang w:val="en-GB"/>
              </w:rPr>
            </w:pPr>
          </w:p>
        </w:tc>
        <w:tc>
          <w:tcPr>
            <w:tcW w:w="1691" w:type="pct"/>
            <w:vAlign w:val="center"/>
          </w:tcPr>
          <w:p w:rsidR="00344703" w:rsidRPr="001515A9" w:rsidRDefault="00344703" w:rsidP="00201100">
            <w:pPr>
              <w:rPr>
                <w:rFonts w:ascii="Arial" w:eastAsia="Arial Unicode MS" w:hAnsi="Arial" w:cs="Arial"/>
                <w:sz w:val="20"/>
                <w:szCs w:val="20"/>
                <w:lang w:val="en-GB"/>
              </w:rPr>
            </w:pPr>
          </w:p>
          <w:p w:rsidR="00344703" w:rsidRPr="001515A9" w:rsidRDefault="00344703" w:rsidP="00201100">
            <w:pPr>
              <w:rPr>
                <w:rFonts w:ascii="Arial" w:eastAsia="Arial Unicode MS" w:hAnsi="Arial" w:cs="Arial"/>
                <w:sz w:val="20"/>
                <w:szCs w:val="20"/>
                <w:lang w:val="en-GB"/>
              </w:rPr>
            </w:pPr>
          </w:p>
          <w:p w:rsidR="00344703" w:rsidRPr="001515A9" w:rsidRDefault="00344703" w:rsidP="00201100">
            <w:pPr>
              <w:rPr>
                <w:rFonts w:ascii="Arial" w:eastAsia="Arial Unicode MS" w:hAnsi="Arial" w:cs="Arial"/>
                <w:sz w:val="20"/>
                <w:szCs w:val="20"/>
                <w:lang w:val="en-GB"/>
              </w:rPr>
            </w:pPr>
          </w:p>
        </w:tc>
      </w:tr>
      <w:bookmarkEnd w:id="2"/>
    </w:tbl>
    <w:p w:rsidR="00344703" w:rsidRPr="001515A9" w:rsidRDefault="00344703" w:rsidP="00344703">
      <w:pPr>
        <w:rPr>
          <w:rFonts w:ascii="Arial" w:hAnsi="Arial" w:cs="Arial"/>
          <w:sz w:val="20"/>
          <w:szCs w:val="20"/>
        </w:rPr>
      </w:pPr>
    </w:p>
    <w:p w:rsidR="001515A9" w:rsidRPr="001515A9" w:rsidRDefault="001515A9" w:rsidP="001515A9">
      <w:pPr>
        <w:pStyle w:val="Affiliation"/>
        <w:spacing w:after="0" w:line="240" w:lineRule="auto"/>
        <w:jc w:val="left"/>
        <w:rPr>
          <w:rFonts w:ascii="Arial" w:hAnsi="Arial" w:cs="Arial"/>
          <w:b/>
          <w:u w:val="single"/>
        </w:rPr>
      </w:pPr>
      <w:r w:rsidRPr="001515A9">
        <w:rPr>
          <w:rFonts w:ascii="Arial" w:hAnsi="Arial" w:cs="Arial"/>
          <w:b/>
          <w:u w:val="single"/>
        </w:rPr>
        <w:t>Reviewer details:</w:t>
      </w:r>
    </w:p>
    <w:p w:rsidR="00344703" w:rsidRPr="001515A9" w:rsidRDefault="00344703" w:rsidP="00344703">
      <w:pPr>
        <w:rPr>
          <w:rFonts w:ascii="Arial" w:hAnsi="Arial" w:cs="Arial"/>
          <w:sz w:val="20"/>
          <w:szCs w:val="20"/>
        </w:rPr>
      </w:pPr>
    </w:p>
    <w:p w:rsidR="001515A9" w:rsidRPr="001515A9" w:rsidRDefault="001515A9" w:rsidP="00344703">
      <w:pPr>
        <w:rPr>
          <w:rFonts w:ascii="Arial" w:hAnsi="Arial" w:cs="Arial"/>
          <w:b/>
          <w:bCs/>
          <w:sz w:val="20"/>
          <w:szCs w:val="20"/>
        </w:rPr>
      </w:pPr>
      <w:bookmarkStart w:id="4" w:name="_Hlk213250018"/>
      <w:proofErr w:type="spellStart"/>
      <w:r w:rsidRPr="001515A9">
        <w:rPr>
          <w:rFonts w:ascii="Arial" w:hAnsi="Arial" w:cs="Arial"/>
          <w:b/>
          <w:bCs/>
          <w:sz w:val="20"/>
          <w:szCs w:val="20"/>
        </w:rPr>
        <w:t>Chhote</w:t>
      </w:r>
      <w:proofErr w:type="spellEnd"/>
      <w:r w:rsidRPr="001515A9">
        <w:rPr>
          <w:rFonts w:ascii="Arial" w:hAnsi="Arial" w:cs="Arial"/>
          <w:b/>
          <w:bCs/>
          <w:sz w:val="20"/>
          <w:szCs w:val="20"/>
        </w:rPr>
        <w:t xml:space="preserve"> Lal Chowdhary</w:t>
      </w:r>
      <w:r w:rsidRPr="001515A9">
        <w:rPr>
          <w:rFonts w:ascii="Arial" w:hAnsi="Arial" w:cs="Arial"/>
          <w:b/>
          <w:bCs/>
          <w:sz w:val="20"/>
          <w:szCs w:val="20"/>
        </w:rPr>
        <w:t xml:space="preserve">, </w:t>
      </w:r>
      <w:r w:rsidRPr="001515A9">
        <w:rPr>
          <w:rFonts w:ascii="Arial" w:hAnsi="Arial" w:cs="Arial"/>
          <w:b/>
          <w:bCs/>
          <w:sz w:val="20"/>
          <w:szCs w:val="20"/>
        </w:rPr>
        <w:t>Nepal</w:t>
      </w:r>
      <w:r w:rsidRPr="001515A9">
        <w:rPr>
          <w:rFonts w:ascii="Arial" w:hAnsi="Arial" w:cs="Arial"/>
          <w:b/>
          <w:bCs/>
          <w:sz w:val="20"/>
          <w:szCs w:val="20"/>
        </w:rPr>
        <w:t xml:space="preserve"> </w:t>
      </w:r>
      <w:bookmarkEnd w:id="4"/>
    </w:p>
    <w:p w:rsidR="00344703" w:rsidRPr="001515A9" w:rsidRDefault="00344703" w:rsidP="00344703">
      <w:pPr>
        <w:rPr>
          <w:rFonts w:ascii="Arial" w:hAnsi="Arial" w:cs="Arial"/>
          <w:bCs/>
          <w:sz w:val="20"/>
          <w:szCs w:val="20"/>
          <w:u w:val="single"/>
          <w:lang w:val="en-GB"/>
        </w:rPr>
      </w:pPr>
    </w:p>
    <w:bookmarkEnd w:id="0"/>
    <w:bookmarkEnd w:id="1"/>
    <w:bookmarkEnd w:id="3"/>
    <w:p w:rsidR="00375C2F" w:rsidRPr="001515A9" w:rsidRDefault="00375C2F" w:rsidP="00375C2F">
      <w:pPr>
        <w:pStyle w:val="BodyText"/>
        <w:rPr>
          <w:rFonts w:ascii="Arial" w:hAnsi="Arial" w:cs="Arial"/>
          <w:b/>
          <w:bCs/>
          <w:sz w:val="20"/>
          <w:szCs w:val="20"/>
          <w:u w:val="single"/>
          <w:lang w:val="en-GB"/>
        </w:rPr>
      </w:pPr>
    </w:p>
    <w:sectPr w:rsidR="00375C2F" w:rsidRPr="001515A9"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10F" w:rsidRPr="0000007A" w:rsidRDefault="00C0610F" w:rsidP="0099583E">
      <w:r>
        <w:separator/>
      </w:r>
    </w:p>
  </w:endnote>
  <w:endnote w:type="continuationSeparator" w:id="0">
    <w:p w:rsidR="00C0610F" w:rsidRPr="0000007A" w:rsidRDefault="00C0610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10F" w:rsidRPr="0000007A" w:rsidRDefault="00C0610F" w:rsidP="0099583E">
      <w:r>
        <w:separator/>
      </w:r>
    </w:p>
  </w:footnote>
  <w:footnote w:type="continuationSeparator" w:id="0">
    <w:p w:rsidR="00C0610F" w:rsidRPr="0000007A" w:rsidRDefault="00C0610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D5953"/>
    <w:multiLevelType w:val="multilevel"/>
    <w:tmpl w:val="3F7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02413"/>
    <w:multiLevelType w:val="multilevel"/>
    <w:tmpl w:val="4A283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5691328">
    <w:abstractNumId w:val="4"/>
  </w:num>
  <w:num w:numId="2" w16cid:durableId="2127265657">
    <w:abstractNumId w:val="8"/>
  </w:num>
  <w:num w:numId="3" w16cid:durableId="2012025882">
    <w:abstractNumId w:val="7"/>
  </w:num>
  <w:num w:numId="4" w16cid:durableId="1176581542">
    <w:abstractNumId w:val="9"/>
  </w:num>
  <w:num w:numId="5" w16cid:durableId="2077509170">
    <w:abstractNumId w:val="6"/>
  </w:num>
  <w:num w:numId="6" w16cid:durableId="183592915">
    <w:abstractNumId w:val="0"/>
  </w:num>
  <w:num w:numId="7" w16cid:durableId="1039361474">
    <w:abstractNumId w:val="3"/>
  </w:num>
  <w:num w:numId="8" w16cid:durableId="95904517">
    <w:abstractNumId w:val="13"/>
  </w:num>
  <w:num w:numId="9" w16cid:durableId="57100063">
    <w:abstractNumId w:val="12"/>
  </w:num>
  <w:num w:numId="10" w16cid:durableId="924605194">
    <w:abstractNumId w:val="2"/>
  </w:num>
  <w:num w:numId="11" w16cid:durableId="1533608514">
    <w:abstractNumId w:val="1"/>
  </w:num>
  <w:num w:numId="12" w16cid:durableId="1144390798">
    <w:abstractNumId w:val="5"/>
  </w:num>
  <w:num w:numId="13" w16cid:durableId="2009942839">
    <w:abstractNumId w:val="10"/>
  </w:num>
  <w:num w:numId="14" w16cid:durableId="1207373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975A2"/>
    <w:rsid w:val="000A2134"/>
    <w:rsid w:val="000A6F41"/>
    <w:rsid w:val="000B4EE5"/>
    <w:rsid w:val="000B74A1"/>
    <w:rsid w:val="000B757E"/>
    <w:rsid w:val="000C0837"/>
    <w:rsid w:val="000C3B7E"/>
    <w:rsid w:val="00100577"/>
    <w:rsid w:val="00101322"/>
    <w:rsid w:val="00136984"/>
    <w:rsid w:val="00144521"/>
    <w:rsid w:val="00150304"/>
    <w:rsid w:val="001515A9"/>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D08"/>
    <w:rsid w:val="00293482"/>
    <w:rsid w:val="002D1731"/>
    <w:rsid w:val="002D7EA9"/>
    <w:rsid w:val="002E1211"/>
    <w:rsid w:val="002E2339"/>
    <w:rsid w:val="002E6D86"/>
    <w:rsid w:val="002F6935"/>
    <w:rsid w:val="00312559"/>
    <w:rsid w:val="003204B8"/>
    <w:rsid w:val="00322618"/>
    <w:rsid w:val="003240A2"/>
    <w:rsid w:val="0033692F"/>
    <w:rsid w:val="00344703"/>
    <w:rsid w:val="00346223"/>
    <w:rsid w:val="0036017A"/>
    <w:rsid w:val="00375C2F"/>
    <w:rsid w:val="00391B3E"/>
    <w:rsid w:val="003A04E7"/>
    <w:rsid w:val="003A4991"/>
    <w:rsid w:val="003A6E1A"/>
    <w:rsid w:val="003B2172"/>
    <w:rsid w:val="003E746A"/>
    <w:rsid w:val="0042465A"/>
    <w:rsid w:val="00430DF1"/>
    <w:rsid w:val="004356CC"/>
    <w:rsid w:val="00435B36"/>
    <w:rsid w:val="00442B24"/>
    <w:rsid w:val="0044444D"/>
    <w:rsid w:val="0044519B"/>
    <w:rsid w:val="00445B35"/>
    <w:rsid w:val="00446659"/>
    <w:rsid w:val="00457AB1"/>
    <w:rsid w:val="00457BC0"/>
    <w:rsid w:val="00462996"/>
    <w:rsid w:val="004674B4"/>
    <w:rsid w:val="00475B66"/>
    <w:rsid w:val="00497719"/>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554D"/>
    <w:rsid w:val="005A5BE0"/>
    <w:rsid w:val="005B12E0"/>
    <w:rsid w:val="005C25A0"/>
    <w:rsid w:val="005D230D"/>
    <w:rsid w:val="005F51E1"/>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05E0"/>
    <w:rsid w:val="006E7D6E"/>
    <w:rsid w:val="006F6F2F"/>
    <w:rsid w:val="00701186"/>
    <w:rsid w:val="00707BE1"/>
    <w:rsid w:val="007238EB"/>
    <w:rsid w:val="0072789A"/>
    <w:rsid w:val="007317C3"/>
    <w:rsid w:val="00734756"/>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211E1"/>
    <w:rsid w:val="00933C8B"/>
    <w:rsid w:val="009553EC"/>
    <w:rsid w:val="00963B46"/>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06A4"/>
    <w:rsid w:val="00A12C83"/>
    <w:rsid w:val="00A2397F"/>
    <w:rsid w:val="00A31AAC"/>
    <w:rsid w:val="00A32905"/>
    <w:rsid w:val="00A36C95"/>
    <w:rsid w:val="00A37DE3"/>
    <w:rsid w:val="00A519D1"/>
    <w:rsid w:val="00A6343B"/>
    <w:rsid w:val="00A65C50"/>
    <w:rsid w:val="00A66DD2"/>
    <w:rsid w:val="00A673C1"/>
    <w:rsid w:val="00A86750"/>
    <w:rsid w:val="00A959B3"/>
    <w:rsid w:val="00AA41B3"/>
    <w:rsid w:val="00AA6670"/>
    <w:rsid w:val="00AB1ED6"/>
    <w:rsid w:val="00AB397D"/>
    <w:rsid w:val="00AB638A"/>
    <w:rsid w:val="00AB6E43"/>
    <w:rsid w:val="00AC1349"/>
    <w:rsid w:val="00AD6C51"/>
    <w:rsid w:val="00AE770C"/>
    <w:rsid w:val="00AF3016"/>
    <w:rsid w:val="00B03A45"/>
    <w:rsid w:val="00B05334"/>
    <w:rsid w:val="00B2236C"/>
    <w:rsid w:val="00B22FE6"/>
    <w:rsid w:val="00B3033D"/>
    <w:rsid w:val="00B356AF"/>
    <w:rsid w:val="00B62087"/>
    <w:rsid w:val="00B62F41"/>
    <w:rsid w:val="00B73785"/>
    <w:rsid w:val="00B760E1"/>
    <w:rsid w:val="00B807F8"/>
    <w:rsid w:val="00B858FF"/>
    <w:rsid w:val="00BA1AB3"/>
    <w:rsid w:val="00BA2DF8"/>
    <w:rsid w:val="00BA6421"/>
    <w:rsid w:val="00BB34E6"/>
    <w:rsid w:val="00BB4FEC"/>
    <w:rsid w:val="00BC402F"/>
    <w:rsid w:val="00BD27BA"/>
    <w:rsid w:val="00BE13EF"/>
    <w:rsid w:val="00BE40A5"/>
    <w:rsid w:val="00BE6454"/>
    <w:rsid w:val="00BF39A4"/>
    <w:rsid w:val="00C02797"/>
    <w:rsid w:val="00C0610F"/>
    <w:rsid w:val="00C10283"/>
    <w:rsid w:val="00C110CC"/>
    <w:rsid w:val="00C12D43"/>
    <w:rsid w:val="00C22886"/>
    <w:rsid w:val="00C25C8F"/>
    <w:rsid w:val="00C263C6"/>
    <w:rsid w:val="00C62547"/>
    <w:rsid w:val="00C635B6"/>
    <w:rsid w:val="00C70DFC"/>
    <w:rsid w:val="00C82466"/>
    <w:rsid w:val="00C84097"/>
    <w:rsid w:val="00CB429B"/>
    <w:rsid w:val="00CB5A1B"/>
    <w:rsid w:val="00CC2753"/>
    <w:rsid w:val="00CD093E"/>
    <w:rsid w:val="00CD1556"/>
    <w:rsid w:val="00CD1FD7"/>
    <w:rsid w:val="00CE199A"/>
    <w:rsid w:val="00CE5AC7"/>
    <w:rsid w:val="00CF0BBB"/>
    <w:rsid w:val="00D1283A"/>
    <w:rsid w:val="00D17979"/>
    <w:rsid w:val="00D2075F"/>
    <w:rsid w:val="00D3257B"/>
    <w:rsid w:val="00D370B4"/>
    <w:rsid w:val="00D40416"/>
    <w:rsid w:val="00D45CF7"/>
    <w:rsid w:val="00D45E9A"/>
    <w:rsid w:val="00D4782A"/>
    <w:rsid w:val="00D535D5"/>
    <w:rsid w:val="00D7603E"/>
    <w:rsid w:val="00D8579C"/>
    <w:rsid w:val="00D90124"/>
    <w:rsid w:val="00D9392F"/>
    <w:rsid w:val="00DA41F5"/>
    <w:rsid w:val="00DB5B54"/>
    <w:rsid w:val="00DB7525"/>
    <w:rsid w:val="00DB7E1B"/>
    <w:rsid w:val="00DC1D81"/>
    <w:rsid w:val="00E451EA"/>
    <w:rsid w:val="00E53E52"/>
    <w:rsid w:val="00E57F4B"/>
    <w:rsid w:val="00E63889"/>
    <w:rsid w:val="00E65EB7"/>
    <w:rsid w:val="00E71C8D"/>
    <w:rsid w:val="00E72360"/>
    <w:rsid w:val="00E80B81"/>
    <w:rsid w:val="00E972A7"/>
    <w:rsid w:val="00EA2839"/>
    <w:rsid w:val="00EB3E91"/>
    <w:rsid w:val="00EC6894"/>
    <w:rsid w:val="00ED6B12"/>
    <w:rsid w:val="00EE0D3E"/>
    <w:rsid w:val="00EF326D"/>
    <w:rsid w:val="00EF53FE"/>
    <w:rsid w:val="00F04069"/>
    <w:rsid w:val="00F245A7"/>
    <w:rsid w:val="00F2643C"/>
    <w:rsid w:val="00F3295A"/>
    <w:rsid w:val="00F34D8E"/>
    <w:rsid w:val="00F3669D"/>
    <w:rsid w:val="00F405F8"/>
    <w:rsid w:val="00F41154"/>
    <w:rsid w:val="00F45484"/>
    <w:rsid w:val="00F4700F"/>
    <w:rsid w:val="00F51F7F"/>
    <w:rsid w:val="00F573EA"/>
    <w:rsid w:val="00F57E9D"/>
    <w:rsid w:val="00F60797"/>
    <w:rsid w:val="00FA6528"/>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88A3E"/>
  <w15:docId w15:val="{E9241389-7238-4DFE-A642-6038C95B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A006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97719"/>
    <w:rPr>
      <w:color w:val="605E5C"/>
      <w:shd w:val="clear" w:color="auto" w:fill="E1DFDD"/>
    </w:rPr>
  </w:style>
  <w:style w:type="character" w:styleId="Strong">
    <w:name w:val="Strong"/>
    <w:basedOn w:val="DefaultParagraphFont"/>
    <w:uiPriority w:val="22"/>
    <w:qFormat/>
    <w:rsid w:val="009211E1"/>
    <w:rPr>
      <w:b/>
      <w:bCs/>
    </w:rPr>
  </w:style>
  <w:style w:type="character" w:customStyle="1" w:styleId="Heading3Char">
    <w:name w:val="Heading 3 Char"/>
    <w:basedOn w:val="DefaultParagraphFont"/>
    <w:link w:val="Heading3"/>
    <w:uiPriority w:val="9"/>
    <w:semiHidden/>
    <w:rsid w:val="00A006A4"/>
    <w:rPr>
      <w:rFonts w:asciiTheme="majorHAnsi" w:eastAsiaTheme="majorEastAsia" w:hAnsiTheme="majorHAnsi" w:cstheme="majorBidi"/>
      <w:b/>
      <w:bCs/>
      <w:color w:val="4F81BD" w:themeColor="accent1"/>
      <w:sz w:val="24"/>
      <w:szCs w:val="24"/>
      <w:lang w:val="en-US" w:eastAsia="en-US" w:bidi="ar-SA"/>
    </w:rPr>
  </w:style>
  <w:style w:type="character" w:styleId="Emphasis">
    <w:name w:val="Emphasis"/>
    <w:basedOn w:val="DefaultParagraphFont"/>
    <w:uiPriority w:val="20"/>
    <w:qFormat/>
    <w:rsid w:val="00A006A4"/>
    <w:rPr>
      <w:i/>
      <w:iCs/>
    </w:rPr>
  </w:style>
  <w:style w:type="paragraph" w:styleId="NoSpacing">
    <w:name w:val="No Spacing"/>
    <w:uiPriority w:val="1"/>
    <w:qFormat/>
    <w:rsid w:val="00D45E9A"/>
    <w:rPr>
      <w:rFonts w:ascii="Times New Roman" w:eastAsia="Times New Roman" w:hAnsi="Times New Roman"/>
      <w:sz w:val="24"/>
      <w:szCs w:val="24"/>
      <w:lang w:val="en-US" w:eastAsia="en-US" w:bidi="ar-SA"/>
    </w:rPr>
  </w:style>
  <w:style w:type="character" w:styleId="UnresolvedMention">
    <w:name w:val="Unresolved Mention"/>
    <w:basedOn w:val="DefaultParagraphFont"/>
    <w:uiPriority w:val="99"/>
    <w:semiHidden/>
    <w:unhideWhenUsed/>
    <w:rsid w:val="00AE770C"/>
    <w:rPr>
      <w:color w:val="605E5C"/>
      <w:shd w:val="clear" w:color="auto" w:fill="E1DFDD"/>
    </w:rPr>
  </w:style>
  <w:style w:type="paragraph" w:customStyle="1" w:styleId="Affiliation">
    <w:name w:val="Affiliation"/>
    <w:basedOn w:val="Normal"/>
    <w:rsid w:val="001515A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680098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077063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78125247">
      <w:bodyDiv w:val="1"/>
      <w:marLeft w:val="0"/>
      <w:marRight w:val="0"/>
      <w:marTop w:val="0"/>
      <w:marBottom w:val="0"/>
      <w:divBdr>
        <w:top w:val="none" w:sz="0" w:space="0" w:color="auto"/>
        <w:left w:val="none" w:sz="0" w:space="0" w:color="auto"/>
        <w:bottom w:val="none" w:sz="0" w:space="0" w:color="auto"/>
        <w:right w:val="none" w:sz="0" w:space="0" w:color="auto"/>
      </w:divBdr>
    </w:div>
    <w:div w:id="1813980339">
      <w:bodyDiv w:val="1"/>
      <w:marLeft w:val="0"/>
      <w:marRight w:val="0"/>
      <w:marTop w:val="0"/>
      <w:marBottom w:val="0"/>
      <w:divBdr>
        <w:top w:val="none" w:sz="0" w:space="0" w:color="auto"/>
        <w:left w:val="none" w:sz="0" w:space="0" w:color="auto"/>
        <w:bottom w:val="none" w:sz="0" w:space="0" w:color="auto"/>
        <w:right w:val="none" w:sz="0" w:space="0" w:color="auto"/>
      </w:divBdr>
    </w:div>
    <w:div w:id="20703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9CAA2-99A0-41F6-A0AD-7B32CA60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10</cp:revision>
  <dcterms:created xsi:type="dcterms:W3CDTF">2025-10-13T14:09:00Z</dcterms:created>
  <dcterms:modified xsi:type="dcterms:W3CDTF">2025-11-05T10:16:00Z</dcterms:modified>
</cp:coreProperties>
</file>